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253946" w14:textId="77777777" w:rsidR="00691AC7" w:rsidRPr="00F8788D" w:rsidRDefault="00691AC7" w:rsidP="00C9634E">
      <w:pPr>
        <w:spacing w:line="276" w:lineRule="auto"/>
        <w:jc w:val="both"/>
        <w:rPr>
          <w:rFonts w:cs="Arial"/>
          <w:b/>
          <w:bCs/>
          <w:color w:val="23236E"/>
          <w:sz w:val="40"/>
        </w:rPr>
      </w:pPr>
    </w:p>
    <w:p w14:paraId="25132C44" w14:textId="77777777" w:rsidR="00691AC7" w:rsidRPr="00EF3ECB" w:rsidRDefault="00691AC7" w:rsidP="00C9634E">
      <w:pPr>
        <w:spacing w:line="276" w:lineRule="auto"/>
        <w:jc w:val="both"/>
        <w:rPr>
          <w:rFonts w:cs="Arial"/>
          <w:b/>
          <w:bCs/>
          <w:color w:val="23236E"/>
          <w:sz w:val="40"/>
          <w:lang w:val="en-GB"/>
        </w:rPr>
      </w:pPr>
    </w:p>
    <w:p w14:paraId="6B95EDAA" w14:textId="77777777" w:rsidR="00691AC7" w:rsidRPr="00EF3ECB" w:rsidRDefault="00691AC7" w:rsidP="00C9634E">
      <w:pPr>
        <w:spacing w:line="276" w:lineRule="auto"/>
        <w:jc w:val="both"/>
        <w:rPr>
          <w:rFonts w:cs="Arial"/>
          <w:b/>
          <w:bCs/>
          <w:color w:val="23236E"/>
          <w:sz w:val="40"/>
          <w:lang w:val="en-GB"/>
        </w:rPr>
      </w:pPr>
    </w:p>
    <w:p w14:paraId="1E8D6FE7" w14:textId="0CB8DB44" w:rsidR="0094097A" w:rsidRPr="00EF3ECB" w:rsidRDefault="0094097A" w:rsidP="00C9634E">
      <w:pPr>
        <w:spacing w:line="276" w:lineRule="auto"/>
        <w:jc w:val="both"/>
        <w:rPr>
          <w:rFonts w:cs="Arial"/>
          <w:b/>
          <w:bCs/>
          <w:color w:val="23236E"/>
          <w:sz w:val="40"/>
          <w:lang w:val="en-GB"/>
        </w:rPr>
      </w:pPr>
      <w:r w:rsidRPr="00EF3ECB">
        <w:rPr>
          <w:rFonts w:cs="Arial"/>
          <w:b/>
          <w:bCs/>
          <w:color w:val="23236E"/>
          <w:sz w:val="40"/>
          <w:lang w:val="en-GB"/>
        </w:rPr>
        <w:t xml:space="preserve">Methodology for the Calculation of </w:t>
      </w:r>
      <w:r w:rsidR="00543D26" w:rsidRPr="00EF3ECB">
        <w:rPr>
          <w:rFonts w:cs="Arial"/>
          <w:b/>
          <w:bCs/>
          <w:color w:val="23236E"/>
          <w:sz w:val="40"/>
          <w:lang w:val="en-GB"/>
        </w:rPr>
        <w:t>Scheduled Exchanges</w:t>
      </w:r>
      <w:r w:rsidRPr="00EF3ECB">
        <w:rPr>
          <w:rFonts w:cs="Arial"/>
          <w:b/>
          <w:bCs/>
          <w:color w:val="23236E"/>
          <w:sz w:val="40"/>
          <w:lang w:val="en-GB"/>
        </w:rPr>
        <w:t xml:space="preserve"> resulting from single </w:t>
      </w:r>
      <w:r w:rsidR="00436F64" w:rsidRPr="00EF3ECB">
        <w:rPr>
          <w:rFonts w:cs="Arial"/>
          <w:b/>
          <w:bCs/>
          <w:color w:val="23236E"/>
          <w:sz w:val="40"/>
          <w:lang w:val="en-GB"/>
        </w:rPr>
        <w:t>day-ahead</w:t>
      </w:r>
      <w:r w:rsidRPr="00EF3ECB">
        <w:rPr>
          <w:rFonts w:cs="Arial"/>
          <w:b/>
          <w:bCs/>
          <w:color w:val="23236E"/>
          <w:sz w:val="40"/>
          <w:lang w:val="en-GB"/>
        </w:rPr>
        <w:t xml:space="preserve"> coupling – Explanatory Note</w:t>
      </w:r>
    </w:p>
    <w:p w14:paraId="64A7DB44" w14:textId="77777777" w:rsidR="00927691" w:rsidRPr="00EF3ECB" w:rsidRDefault="00927691" w:rsidP="00C9634E">
      <w:pPr>
        <w:spacing w:line="276" w:lineRule="auto"/>
        <w:jc w:val="both"/>
        <w:rPr>
          <w:rFonts w:cs="Arial"/>
          <w:b/>
          <w:bCs/>
          <w:color w:val="23236E"/>
          <w:sz w:val="40"/>
          <w:lang w:val="en-GB"/>
        </w:rPr>
      </w:pPr>
    </w:p>
    <w:p w14:paraId="1693AB3A" w14:textId="77777777" w:rsidR="00927691" w:rsidRPr="00EF3ECB" w:rsidRDefault="00927691" w:rsidP="00C9634E">
      <w:pPr>
        <w:spacing w:line="276" w:lineRule="auto"/>
        <w:jc w:val="both"/>
        <w:rPr>
          <w:rFonts w:cs="Arial"/>
          <w:b/>
          <w:bCs/>
          <w:color w:val="23236E"/>
          <w:sz w:val="40"/>
          <w:lang w:val="en-GB"/>
        </w:rPr>
      </w:pPr>
    </w:p>
    <w:p w14:paraId="3A1C9CA6" w14:textId="77777777" w:rsidR="00927691" w:rsidRPr="00EF3ECB" w:rsidRDefault="00927691" w:rsidP="00C9634E">
      <w:pPr>
        <w:spacing w:line="276" w:lineRule="auto"/>
        <w:jc w:val="both"/>
        <w:rPr>
          <w:rFonts w:cs="Arial"/>
          <w:b/>
          <w:bCs/>
          <w:color w:val="23236E"/>
          <w:sz w:val="40"/>
          <w:lang w:val="en-GB"/>
        </w:rPr>
      </w:pPr>
    </w:p>
    <w:p w14:paraId="32EEC32B" w14:textId="7DBB9739" w:rsidR="00927691" w:rsidRPr="00EF3ECB" w:rsidRDefault="009E7FAD" w:rsidP="00C9634E">
      <w:pPr>
        <w:pBdr>
          <w:top w:val="single" w:sz="6" w:space="1" w:color="auto"/>
          <w:bottom w:val="single" w:sz="6" w:space="1" w:color="auto"/>
        </w:pBdr>
        <w:spacing w:line="276" w:lineRule="auto"/>
        <w:jc w:val="both"/>
        <w:rPr>
          <w:rFonts w:cs="Arial"/>
          <w:b/>
          <w:bCs/>
          <w:color w:val="23236E"/>
          <w:sz w:val="40"/>
          <w:lang w:val="en-GB"/>
        </w:rPr>
      </w:pPr>
      <w:r>
        <w:rPr>
          <w:rFonts w:cs="Arial"/>
          <w:b/>
          <w:bCs/>
          <w:color w:val="23236E"/>
          <w:sz w:val="40"/>
          <w:lang w:val="en-GB"/>
        </w:rPr>
        <w:t>21</w:t>
      </w:r>
      <w:r w:rsidR="008E46CD" w:rsidRPr="00EF3ECB">
        <w:rPr>
          <w:rFonts w:cs="Arial"/>
          <w:b/>
          <w:bCs/>
          <w:color w:val="23236E"/>
          <w:sz w:val="40"/>
          <w:lang w:val="en-GB"/>
        </w:rPr>
        <w:t xml:space="preserve"> </w:t>
      </w:r>
      <w:r w:rsidR="005460BC" w:rsidRPr="00EF3ECB">
        <w:rPr>
          <w:rFonts w:cs="Arial"/>
          <w:b/>
          <w:bCs/>
          <w:color w:val="23236E"/>
          <w:sz w:val="40"/>
          <w:lang w:val="en-GB"/>
        </w:rPr>
        <w:t xml:space="preserve">February </w:t>
      </w:r>
      <w:r w:rsidR="008E46CD" w:rsidRPr="00EF3ECB">
        <w:rPr>
          <w:rFonts w:cs="Arial"/>
          <w:b/>
          <w:bCs/>
          <w:color w:val="23236E"/>
          <w:sz w:val="40"/>
          <w:lang w:val="en-GB"/>
        </w:rPr>
        <w:t>201</w:t>
      </w:r>
      <w:r w:rsidR="005460BC" w:rsidRPr="00EF3ECB">
        <w:rPr>
          <w:rFonts w:cs="Arial"/>
          <w:b/>
          <w:bCs/>
          <w:color w:val="23236E"/>
          <w:sz w:val="40"/>
          <w:lang w:val="en-GB"/>
        </w:rPr>
        <w:t>8</w:t>
      </w:r>
    </w:p>
    <w:p w14:paraId="7B6114A8" w14:textId="77777777" w:rsidR="00927691" w:rsidRPr="00EF3ECB" w:rsidRDefault="00927691" w:rsidP="00C9634E">
      <w:pPr>
        <w:spacing w:line="276" w:lineRule="auto"/>
        <w:jc w:val="both"/>
        <w:rPr>
          <w:rFonts w:cs="Arial"/>
          <w:b/>
          <w:bCs/>
          <w:color w:val="23236E"/>
          <w:sz w:val="40"/>
          <w:lang w:val="en-GB"/>
        </w:rPr>
      </w:pPr>
    </w:p>
    <w:p w14:paraId="1A3455D2" w14:textId="77777777" w:rsidR="00927691" w:rsidRPr="00EF3ECB" w:rsidRDefault="00927691" w:rsidP="00C9634E">
      <w:pPr>
        <w:spacing w:line="276" w:lineRule="auto"/>
        <w:jc w:val="both"/>
        <w:rPr>
          <w:rFonts w:cs="Arial"/>
          <w:b/>
          <w:bCs/>
          <w:color w:val="23236E"/>
          <w:sz w:val="40"/>
          <w:lang w:val="en-GB"/>
        </w:rPr>
      </w:pPr>
    </w:p>
    <w:p w14:paraId="67579169" w14:textId="77777777" w:rsidR="00927691" w:rsidRPr="00EF3ECB" w:rsidRDefault="00927691" w:rsidP="00C9634E">
      <w:pPr>
        <w:spacing w:line="276" w:lineRule="auto"/>
        <w:jc w:val="both"/>
        <w:rPr>
          <w:rFonts w:cs="Arial"/>
          <w:b/>
          <w:bCs/>
          <w:color w:val="23236E"/>
          <w:sz w:val="28"/>
          <w:szCs w:val="28"/>
          <w:lang w:val="en-GB"/>
        </w:rPr>
      </w:pPr>
    </w:p>
    <w:p w14:paraId="25725C29" w14:textId="77777777" w:rsidR="00927691" w:rsidRPr="00EF3ECB" w:rsidRDefault="00927691" w:rsidP="00C9634E">
      <w:pPr>
        <w:spacing w:line="276" w:lineRule="auto"/>
        <w:jc w:val="both"/>
        <w:rPr>
          <w:rFonts w:cs="Arial"/>
          <w:b/>
          <w:bCs/>
          <w:color w:val="23236E"/>
          <w:sz w:val="28"/>
          <w:szCs w:val="28"/>
          <w:lang w:val="en-GB"/>
        </w:rPr>
      </w:pPr>
    </w:p>
    <w:p w14:paraId="2F4663C4" w14:textId="77777777" w:rsidR="00927691" w:rsidRPr="00EF3ECB" w:rsidRDefault="00927691" w:rsidP="00C9634E">
      <w:pPr>
        <w:spacing w:line="276" w:lineRule="auto"/>
        <w:jc w:val="both"/>
        <w:rPr>
          <w:rFonts w:cs="Arial"/>
          <w:b/>
          <w:bCs/>
          <w:color w:val="23236E"/>
          <w:sz w:val="28"/>
          <w:szCs w:val="28"/>
          <w:lang w:val="en-GB"/>
        </w:rPr>
      </w:pPr>
    </w:p>
    <w:p w14:paraId="3A6E2BFF" w14:textId="77777777" w:rsidR="00927691" w:rsidRPr="00EF3ECB" w:rsidRDefault="00927691" w:rsidP="00C9634E">
      <w:pPr>
        <w:spacing w:line="276" w:lineRule="auto"/>
        <w:jc w:val="both"/>
        <w:rPr>
          <w:rFonts w:cs="Arial"/>
          <w:b/>
          <w:bCs/>
          <w:color w:val="23236E"/>
          <w:sz w:val="28"/>
          <w:szCs w:val="28"/>
          <w:lang w:val="en-GB"/>
        </w:rPr>
      </w:pPr>
    </w:p>
    <w:p w14:paraId="2F9AAEA7" w14:textId="77777777" w:rsidR="00927691" w:rsidRPr="00EF3ECB" w:rsidRDefault="00927691" w:rsidP="00C9634E">
      <w:pPr>
        <w:spacing w:line="276" w:lineRule="auto"/>
        <w:jc w:val="both"/>
        <w:rPr>
          <w:rFonts w:cs="Arial"/>
          <w:b/>
          <w:bCs/>
          <w:color w:val="23236E"/>
          <w:sz w:val="28"/>
          <w:szCs w:val="28"/>
          <w:lang w:val="en-GB"/>
        </w:rPr>
      </w:pPr>
    </w:p>
    <w:p w14:paraId="5C2B0E6A" w14:textId="77777777" w:rsidR="00927691" w:rsidRPr="00EF3ECB" w:rsidRDefault="00927691" w:rsidP="00C9634E">
      <w:pPr>
        <w:spacing w:line="276" w:lineRule="auto"/>
        <w:jc w:val="both"/>
        <w:rPr>
          <w:rFonts w:cs="Arial"/>
          <w:b/>
          <w:bCs/>
          <w:color w:val="23236E"/>
          <w:sz w:val="28"/>
          <w:szCs w:val="28"/>
          <w:lang w:val="en-GB"/>
        </w:rPr>
      </w:pPr>
    </w:p>
    <w:p w14:paraId="7AD4D8DD" w14:textId="77777777" w:rsidR="00927691" w:rsidRPr="00EF3ECB" w:rsidRDefault="00927691" w:rsidP="00C9634E">
      <w:pPr>
        <w:spacing w:line="276" w:lineRule="auto"/>
        <w:jc w:val="both"/>
        <w:rPr>
          <w:rFonts w:cs="Arial"/>
          <w:b/>
          <w:bCs/>
          <w:color w:val="23236E"/>
          <w:sz w:val="28"/>
          <w:szCs w:val="28"/>
          <w:lang w:val="en-GB"/>
        </w:rPr>
      </w:pPr>
    </w:p>
    <w:p w14:paraId="529086C0" w14:textId="77777777" w:rsidR="00927691" w:rsidRPr="00EF3ECB" w:rsidRDefault="00927691" w:rsidP="00C9634E">
      <w:pPr>
        <w:spacing w:line="276" w:lineRule="auto"/>
        <w:jc w:val="both"/>
        <w:rPr>
          <w:rFonts w:cs="Arial"/>
          <w:b/>
          <w:bCs/>
          <w:color w:val="23236E"/>
          <w:sz w:val="28"/>
          <w:szCs w:val="28"/>
          <w:lang w:val="en-GB"/>
        </w:rPr>
      </w:pPr>
    </w:p>
    <w:p w14:paraId="0D8E6652" w14:textId="77777777" w:rsidR="00927691" w:rsidRPr="00EF3ECB" w:rsidRDefault="00927691" w:rsidP="00C9634E">
      <w:pPr>
        <w:spacing w:line="276" w:lineRule="auto"/>
        <w:jc w:val="both"/>
        <w:rPr>
          <w:rFonts w:cs="Arial"/>
          <w:b/>
          <w:bCs/>
          <w:color w:val="23236E"/>
          <w:sz w:val="28"/>
          <w:szCs w:val="28"/>
          <w:lang w:val="en-GB"/>
        </w:rPr>
      </w:pPr>
    </w:p>
    <w:p w14:paraId="2FCC7803" w14:textId="77777777" w:rsidR="002740D6" w:rsidRPr="00EF3ECB" w:rsidRDefault="002740D6" w:rsidP="002740D6">
      <w:pPr>
        <w:rPr>
          <w:rFonts w:cs="Arial"/>
          <w:b/>
          <w:bCs/>
          <w:color w:val="23236E"/>
          <w:sz w:val="28"/>
          <w:szCs w:val="28"/>
          <w:lang w:val="en-GB"/>
        </w:rPr>
      </w:pPr>
      <w:r w:rsidRPr="00EF3ECB">
        <w:rPr>
          <w:rFonts w:cs="Arial"/>
          <w:b/>
          <w:bCs/>
          <w:color w:val="23236E"/>
          <w:sz w:val="28"/>
          <w:szCs w:val="28"/>
          <w:lang w:val="en-GB"/>
        </w:rPr>
        <w:t>Disclaimer</w:t>
      </w:r>
    </w:p>
    <w:p w14:paraId="5224EA66" w14:textId="7B1CF35A" w:rsidR="002740D6" w:rsidRPr="00EF3ECB" w:rsidRDefault="002740D6" w:rsidP="002740D6">
      <w:pPr>
        <w:rPr>
          <w:rFonts w:cs="Arial"/>
          <w:bCs/>
          <w:color w:val="23236E"/>
          <w:sz w:val="28"/>
          <w:szCs w:val="28"/>
          <w:lang w:val="en-GB"/>
        </w:rPr>
      </w:pPr>
      <w:r w:rsidRPr="00EF3ECB">
        <w:rPr>
          <w:rFonts w:cs="Arial"/>
          <w:bCs/>
          <w:color w:val="23236E"/>
          <w:sz w:val="28"/>
          <w:szCs w:val="28"/>
          <w:lang w:val="en-GB"/>
        </w:rPr>
        <w:t>This explanatory document is approved by All TSOs, sub</w:t>
      </w:r>
      <w:r w:rsidR="00C06721" w:rsidRPr="00EF3ECB">
        <w:rPr>
          <w:rFonts w:cs="Arial"/>
          <w:bCs/>
          <w:color w:val="23236E"/>
          <w:sz w:val="28"/>
          <w:szCs w:val="28"/>
          <w:lang w:val="en-GB"/>
        </w:rPr>
        <w:t xml:space="preserve">mitted to all NRAs by </w:t>
      </w:r>
      <w:r w:rsidR="00A04580">
        <w:rPr>
          <w:rFonts w:cs="Arial"/>
          <w:bCs/>
          <w:color w:val="23236E"/>
          <w:sz w:val="28"/>
          <w:szCs w:val="28"/>
          <w:lang w:val="en-GB"/>
        </w:rPr>
        <w:t xml:space="preserve">All </w:t>
      </w:r>
      <w:r w:rsidRPr="00EF3ECB">
        <w:rPr>
          <w:rFonts w:cs="Arial"/>
          <w:bCs/>
          <w:color w:val="23236E"/>
          <w:sz w:val="28"/>
          <w:szCs w:val="28"/>
          <w:lang w:val="en-GB"/>
        </w:rPr>
        <w:t xml:space="preserve">TSOs, for information and clarification purposes only accompanying the </w:t>
      </w:r>
      <w:r w:rsidR="001862E8" w:rsidRPr="00EF3ECB">
        <w:rPr>
          <w:rFonts w:cs="Arial"/>
          <w:bCs/>
          <w:color w:val="23236E"/>
          <w:sz w:val="28"/>
          <w:szCs w:val="28"/>
          <w:lang w:val="en-GB"/>
        </w:rPr>
        <w:t xml:space="preserve">DA </w:t>
      </w:r>
      <w:r w:rsidRPr="00EF3ECB">
        <w:rPr>
          <w:rFonts w:cs="Arial"/>
          <w:bCs/>
          <w:color w:val="23236E"/>
          <w:sz w:val="28"/>
          <w:szCs w:val="28"/>
          <w:lang w:val="en-GB"/>
        </w:rPr>
        <w:t xml:space="preserve">Scheduled Exchanges Calculation Methodology in accordance with Article </w:t>
      </w:r>
      <w:r w:rsidR="00C0156B">
        <w:rPr>
          <w:rFonts w:cs="Arial"/>
          <w:bCs/>
          <w:color w:val="23236E"/>
          <w:sz w:val="28"/>
          <w:szCs w:val="28"/>
          <w:lang w:val="en-GB"/>
        </w:rPr>
        <w:t>43</w:t>
      </w:r>
      <w:r w:rsidR="00C0156B" w:rsidRPr="00EF3ECB">
        <w:rPr>
          <w:rFonts w:cs="Arial"/>
          <w:bCs/>
          <w:color w:val="23236E"/>
          <w:sz w:val="28"/>
          <w:szCs w:val="28"/>
          <w:lang w:val="en-GB"/>
        </w:rPr>
        <w:t xml:space="preserve"> </w:t>
      </w:r>
      <w:r w:rsidRPr="00EF3ECB">
        <w:rPr>
          <w:rFonts w:cs="Arial"/>
          <w:bCs/>
          <w:color w:val="23236E"/>
          <w:sz w:val="28"/>
          <w:szCs w:val="28"/>
          <w:lang w:val="en-GB"/>
        </w:rPr>
        <w:t>of the Regulation 2015/1222 of 24 July 2015 establishing a Guideline on Capacity Allocation and Congestion Management</w:t>
      </w:r>
    </w:p>
    <w:sdt>
      <w:sdtPr>
        <w:rPr>
          <w:rFonts w:ascii="Arial" w:eastAsia="Times New Roman" w:hAnsi="Arial" w:cs="Arial"/>
          <w:color w:val="auto"/>
          <w:sz w:val="22"/>
          <w:szCs w:val="24"/>
          <w:lang w:val="en-GB" w:eastAsia="de-DE"/>
        </w:rPr>
        <w:id w:val="2126265190"/>
        <w:docPartObj>
          <w:docPartGallery w:val="Table of Contents"/>
          <w:docPartUnique/>
        </w:docPartObj>
      </w:sdtPr>
      <w:sdtEndPr>
        <w:rPr>
          <w:b/>
          <w:bCs/>
          <w:noProof/>
        </w:rPr>
      </w:sdtEndPr>
      <w:sdtContent>
        <w:p w14:paraId="7FD376E2" w14:textId="77777777" w:rsidR="00D3724A" w:rsidRPr="00EF3ECB" w:rsidRDefault="00D3724A" w:rsidP="00C9634E">
          <w:pPr>
            <w:pStyle w:val="TOCHeading"/>
            <w:spacing w:before="0" w:line="276" w:lineRule="auto"/>
            <w:jc w:val="both"/>
            <w:rPr>
              <w:rFonts w:ascii="Arial" w:eastAsia="Times New Roman" w:hAnsi="Arial" w:cs="Arial"/>
              <w:color w:val="auto"/>
              <w:sz w:val="22"/>
              <w:szCs w:val="24"/>
              <w:lang w:val="en-GB" w:eastAsia="de-DE"/>
            </w:rPr>
          </w:pPr>
        </w:p>
        <w:p w14:paraId="743EB942" w14:textId="77777777" w:rsidR="00D3724A" w:rsidRPr="00EF3ECB" w:rsidRDefault="00D3724A" w:rsidP="00C9634E">
          <w:pPr>
            <w:spacing w:after="160" w:line="276" w:lineRule="auto"/>
            <w:jc w:val="both"/>
            <w:rPr>
              <w:rFonts w:cs="Arial"/>
              <w:lang w:val="en-GB"/>
            </w:rPr>
          </w:pPr>
          <w:r w:rsidRPr="00EF3ECB">
            <w:rPr>
              <w:rFonts w:cs="Arial"/>
              <w:lang w:val="en-GB"/>
            </w:rPr>
            <w:br w:type="page"/>
          </w:r>
        </w:p>
        <w:p w14:paraId="772E825A" w14:textId="774DD50E" w:rsidR="0094097A" w:rsidRPr="00EF3ECB" w:rsidRDefault="0094097A" w:rsidP="00C9634E">
          <w:pPr>
            <w:pStyle w:val="TOCHeading"/>
            <w:spacing w:before="0" w:line="276" w:lineRule="auto"/>
            <w:jc w:val="both"/>
            <w:rPr>
              <w:rFonts w:ascii="Arial" w:hAnsi="Arial" w:cs="Arial"/>
              <w:lang w:val="en-GB"/>
            </w:rPr>
          </w:pPr>
          <w:r w:rsidRPr="00EF3ECB">
            <w:rPr>
              <w:rFonts w:ascii="Arial" w:hAnsi="Arial" w:cs="Arial"/>
              <w:lang w:val="en-GB"/>
            </w:rPr>
            <w:lastRenderedPageBreak/>
            <w:t>Table of Contents</w:t>
          </w:r>
        </w:p>
        <w:bookmarkStart w:id="0" w:name="_GoBack"/>
        <w:bookmarkEnd w:id="0"/>
        <w:p w14:paraId="736F56BF" w14:textId="73143C28" w:rsidR="00C56C0F" w:rsidRDefault="0094097A">
          <w:pPr>
            <w:pStyle w:val="TOC1"/>
            <w:tabs>
              <w:tab w:val="left" w:pos="440"/>
              <w:tab w:val="right" w:leader="dot" w:pos="9465"/>
            </w:tabs>
            <w:rPr>
              <w:rFonts w:asciiTheme="minorHAnsi" w:eastAsiaTheme="minorEastAsia" w:hAnsiTheme="minorHAnsi" w:cstheme="minorBidi"/>
              <w:noProof/>
              <w:szCs w:val="22"/>
              <w:lang w:val="en-US" w:eastAsia="en-US"/>
            </w:rPr>
          </w:pPr>
          <w:r w:rsidRPr="00EF3ECB">
            <w:rPr>
              <w:rFonts w:cs="Arial"/>
              <w:lang w:val="en-GB"/>
            </w:rPr>
            <w:fldChar w:fldCharType="begin"/>
          </w:r>
          <w:r w:rsidRPr="00EF3ECB">
            <w:rPr>
              <w:rFonts w:cs="Arial"/>
              <w:lang w:val="en-GB"/>
            </w:rPr>
            <w:instrText xml:space="preserve"> TOC \o "1-3" \h \z \u </w:instrText>
          </w:r>
          <w:r w:rsidRPr="00EF3ECB">
            <w:rPr>
              <w:rFonts w:cs="Arial"/>
              <w:lang w:val="en-GB"/>
            </w:rPr>
            <w:fldChar w:fldCharType="separate"/>
          </w:r>
          <w:hyperlink w:anchor="_Toc507425366" w:history="1">
            <w:r w:rsidR="00C56C0F" w:rsidRPr="00C21E6C">
              <w:rPr>
                <w:rStyle w:val="Hyperlink"/>
                <w:rFonts w:cs="Arial"/>
                <w:noProof/>
                <w:lang w:val="en-GB"/>
              </w:rPr>
              <w:t>1.</w:t>
            </w:r>
            <w:r w:rsidR="00C56C0F">
              <w:rPr>
                <w:rFonts w:asciiTheme="minorHAnsi" w:eastAsiaTheme="minorEastAsia" w:hAnsiTheme="minorHAnsi" w:cstheme="minorBidi"/>
                <w:noProof/>
                <w:szCs w:val="22"/>
                <w:lang w:val="en-US" w:eastAsia="en-US"/>
              </w:rPr>
              <w:tab/>
            </w:r>
            <w:r w:rsidR="00C56C0F" w:rsidRPr="00C21E6C">
              <w:rPr>
                <w:rStyle w:val="Hyperlink"/>
                <w:rFonts w:cs="Arial"/>
                <w:noProof/>
                <w:lang w:val="en-GB"/>
              </w:rPr>
              <w:t>Introduction</w:t>
            </w:r>
            <w:r w:rsidR="00C56C0F">
              <w:rPr>
                <w:noProof/>
                <w:webHidden/>
              </w:rPr>
              <w:tab/>
            </w:r>
            <w:r w:rsidR="00C56C0F">
              <w:rPr>
                <w:noProof/>
                <w:webHidden/>
              </w:rPr>
              <w:fldChar w:fldCharType="begin"/>
            </w:r>
            <w:r w:rsidR="00C56C0F">
              <w:rPr>
                <w:noProof/>
                <w:webHidden/>
              </w:rPr>
              <w:instrText xml:space="preserve"> PAGEREF _Toc507425366 \h </w:instrText>
            </w:r>
            <w:r w:rsidR="00C56C0F">
              <w:rPr>
                <w:noProof/>
                <w:webHidden/>
              </w:rPr>
            </w:r>
            <w:r w:rsidR="00C56C0F">
              <w:rPr>
                <w:noProof/>
                <w:webHidden/>
              </w:rPr>
              <w:fldChar w:fldCharType="separate"/>
            </w:r>
            <w:r w:rsidR="00FC1305">
              <w:rPr>
                <w:noProof/>
                <w:webHidden/>
              </w:rPr>
              <w:t>4</w:t>
            </w:r>
            <w:r w:rsidR="00C56C0F">
              <w:rPr>
                <w:noProof/>
                <w:webHidden/>
              </w:rPr>
              <w:fldChar w:fldCharType="end"/>
            </w:r>
          </w:hyperlink>
        </w:p>
        <w:p w14:paraId="115FE1A3" w14:textId="5AD88CE3" w:rsidR="00C56C0F" w:rsidRDefault="00C56C0F">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7425367" w:history="1">
            <w:r w:rsidRPr="00C21E6C">
              <w:rPr>
                <w:rStyle w:val="Hyperlink"/>
                <w:rFonts w:cs="Arial"/>
                <w:noProof/>
                <w:lang w:val="en-GB"/>
              </w:rPr>
              <w:t>1.1</w:t>
            </w:r>
            <w:r>
              <w:rPr>
                <w:rFonts w:asciiTheme="minorHAnsi" w:eastAsiaTheme="minorEastAsia" w:hAnsiTheme="minorHAnsi" w:cstheme="minorBidi"/>
                <w:noProof/>
                <w:szCs w:val="22"/>
                <w:lang w:val="en-US" w:eastAsia="en-US"/>
              </w:rPr>
              <w:tab/>
            </w:r>
            <w:r w:rsidRPr="00C21E6C">
              <w:rPr>
                <w:rStyle w:val="Hyperlink"/>
                <w:rFonts w:cs="Arial"/>
                <w:noProof/>
                <w:lang w:val="en-GB"/>
              </w:rPr>
              <w:t>Purpose and Structure of the Methodology</w:t>
            </w:r>
            <w:r>
              <w:rPr>
                <w:noProof/>
                <w:webHidden/>
              </w:rPr>
              <w:tab/>
            </w:r>
            <w:r>
              <w:rPr>
                <w:noProof/>
                <w:webHidden/>
              </w:rPr>
              <w:fldChar w:fldCharType="begin"/>
            </w:r>
            <w:r>
              <w:rPr>
                <w:noProof/>
                <w:webHidden/>
              </w:rPr>
              <w:instrText xml:space="preserve"> PAGEREF _Toc507425367 \h </w:instrText>
            </w:r>
            <w:r>
              <w:rPr>
                <w:noProof/>
                <w:webHidden/>
              </w:rPr>
            </w:r>
            <w:r>
              <w:rPr>
                <w:noProof/>
                <w:webHidden/>
              </w:rPr>
              <w:fldChar w:fldCharType="separate"/>
            </w:r>
            <w:r w:rsidR="00FC1305">
              <w:rPr>
                <w:noProof/>
                <w:webHidden/>
              </w:rPr>
              <w:t>4</w:t>
            </w:r>
            <w:r>
              <w:rPr>
                <w:noProof/>
                <w:webHidden/>
              </w:rPr>
              <w:fldChar w:fldCharType="end"/>
            </w:r>
          </w:hyperlink>
        </w:p>
        <w:p w14:paraId="265FF49F" w14:textId="17C2B085" w:rsidR="00C56C0F" w:rsidRDefault="00C56C0F">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7425368" w:history="1">
            <w:r w:rsidRPr="00C21E6C">
              <w:rPr>
                <w:rStyle w:val="Hyperlink"/>
                <w:rFonts w:cs="Arial"/>
                <w:noProof/>
                <w:lang w:val="en-GB"/>
              </w:rPr>
              <w:t>1.2</w:t>
            </w:r>
            <w:r>
              <w:rPr>
                <w:rFonts w:asciiTheme="minorHAnsi" w:eastAsiaTheme="minorEastAsia" w:hAnsiTheme="minorHAnsi" w:cstheme="minorBidi"/>
                <w:noProof/>
                <w:szCs w:val="22"/>
                <w:lang w:val="en-US" w:eastAsia="en-US"/>
              </w:rPr>
              <w:tab/>
            </w:r>
            <w:r w:rsidRPr="00C21E6C">
              <w:rPr>
                <w:rStyle w:val="Hyperlink"/>
                <w:rFonts w:cs="Arial"/>
                <w:noProof/>
                <w:lang w:val="en-GB"/>
              </w:rPr>
              <w:t>Development of the Methodology</w:t>
            </w:r>
            <w:r>
              <w:rPr>
                <w:noProof/>
                <w:webHidden/>
              </w:rPr>
              <w:tab/>
            </w:r>
            <w:r>
              <w:rPr>
                <w:noProof/>
                <w:webHidden/>
              </w:rPr>
              <w:fldChar w:fldCharType="begin"/>
            </w:r>
            <w:r>
              <w:rPr>
                <w:noProof/>
                <w:webHidden/>
              </w:rPr>
              <w:instrText xml:space="preserve"> PAGEREF _Toc507425368 \h </w:instrText>
            </w:r>
            <w:r>
              <w:rPr>
                <w:noProof/>
                <w:webHidden/>
              </w:rPr>
            </w:r>
            <w:r>
              <w:rPr>
                <w:noProof/>
                <w:webHidden/>
              </w:rPr>
              <w:fldChar w:fldCharType="separate"/>
            </w:r>
            <w:r w:rsidR="00FC1305">
              <w:rPr>
                <w:noProof/>
                <w:webHidden/>
              </w:rPr>
              <w:t>4</w:t>
            </w:r>
            <w:r>
              <w:rPr>
                <w:noProof/>
                <w:webHidden/>
              </w:rPr>
              <w:fldChar w:fldCharType="end"/>
            </w:r>
          </w:hyperlink>
        </w:p>
        <w:p w14:paraId="4A383966" w14:textId="0239449A" w:rsidR="00C56C0F" w:rsidRDefault="00C56C0F">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7425369" w:history="1">
            <w:r w:rsidRPr="00C21E6C">
              <w:rPr>
                <w:rStyle w:val="Hyperlink"/>
                <w:rFonts w:cs="Arial"/>
                <w:noProof/>
                <w:lang w:val="en-GB"/>
              </w:rPr>
              <w:t>1.3</w:t>
            </w:r>
            <w:r>
              <w:rPr>
                <w:rFonts w:asciiTheme="minorHAnsi" w:eastAsiaTheme="minorEastAsia" w:hAnsiTheme="minorHAnsi" w:cstheme="minorBidi"/>
                <w:noProof/>
                <w:szCs w:val="22"/>
                <w:lang w:val="en-US" w:eastAsia="en-US"/>
              </w:rPr>
              <w:tab/>
            </w:r>
            <w:r w:rsidRPr="00C21E6C">
              <w:rPr>
                <w:rStyle w:val="Hyperlink"/>
                <w:rFonts w:cs="Arial"/>
                <w:noProof/>
                <w:lang w:val="en-GB"/>
              </w:rPr>
              <w:t>TSOs interpretation about the exchanges between NEMO Trading Hubs</w:t>
            </w:r>
            <w:r>
              <w:rPr>
                <w:noProof/>
                <w:webHidden/>
              </w:rPr>
              <w:tab/>
            </w:r>
            <w:r>
              <w:rPr>
                <w:noProof/>
                <w:webHidden/>
              </w:rPr>
              <w:fldChar w:fldCharType="begin"/>
            </w:r>
            <w:r>
              <w:rPr>
                <w:noProof/>
                <w:webHidden/>
              </w:rPr>
              <w:instrText xml:space="preserve"> PAGEREF _Toc507425369 \h </w:instrText>
            </w:r>
            <w:r>
              <w:rPr>
                <w:noProof/>
                <w:webHidden/>
              </w:rPr>
            </w:r>
            <w:r>
              <w:rPr>
                <w:noProof/>
                <w:webHidden/>
              </w:rPr>
              <w:fldChar w:fldCharType="separate"/>
            </w:r>
            <w:r w:rsidR="00FC1305">
              <w:rPr>
                <w:noProof/>
                <w:webHidden/>
              </w:rPr>
              <w:t>5</w:t>
            </w:r>
            <w:r>
              <w:rPr>
                <w:noProof/>
                <w:webHidden/>
              </w:rPr>
              <w:fldChar w:fldCharType="end"/>
            </w:r>
          </w:hyperlink>
        </w:p>
        <w:p w14:paraId="69FEDC63" w14:textId="09B3C5B2" w:rsidR="00C56C0F" w:rsidRDefault="00C56C0F">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7425370" w:history="1">
            <w:r w:rsidRPr="00C21E6C">
              <w:rPr>
                <w:rStyle w:val="Hyperlink"/>
                <w:rFonts w:cs="Arial"/>
                <w:noProof/>
                <w:lang w:val="en-GB"/>
              </w:rPr>
              <w:t>1.4</w:t>
            </w:r>
            <w:r>
              <w:rPr>
                <w:rFonts w:asciiTheme="minorHAnsi" w:eastAsiaTheme="minorEastAsia" w:hAnsiTheme="minorHAnsi" w:cstheme="minorBidi"/>
                <w:noProof/>
                <w:szCs w:val="22"/>
                <w:lang w:val="en-US" w:eastAsia="en-US"/>
              </w:rPr>
              <w:tab/>
            </w:r>
            <w:r w:rsidRPr="00C21E6C">
              <w:rPr>
                <w:rStyle w:val="Hyperlink"/>
                <w:rFonts w:cs="Arial"/>
                <w:noProof/>
                <w:lang w:val="en-GB"/>
              </w:rPr>
              <w:t>Current Situation</w:t>
            </w:r>
            <w:r>
              <w:rPr>
                <w:noProof/>
                <w:webHidden/>
              </w:rPr>
              <w:tab/>
            </w:r>
            <w:r>
              <w:rPr>
                <w:noProof/>
                <w:webHidden/>
              </w:rPr>
              <w:fldChar w:fldCharType="begin"/>
            </w:r>
            <w:r>
              <w:rPr>
                <w:noProof/>
                <w:webHidden/>
              </w:rPr>
              <w:instrText xml:space="preserve"> PAGEREF _Toc507425370 \h </w:instrText>
            </w:r>
            <w:r>
              <w:rPr>
                <w:noProof/>
                <w:webHidden/>
              </w:rPr>
            </w:r>
            <w:r>
              <w:rPr>
                <w:noProof/>
                <w:webHidden/>
              </w:rPr>
              <w:fldChar w:fldCharType="separate"/>
            </w:r>
            <w:r w:rsidR="00FC1305">
              <w:rPr>
                <w:noProof/>
                <w:webHidden/>
              </w:rPr>
              <w:t>6</w:t>
            </w:r>
            <w:r>
              <w:rPr>
                <w:noProof/>
                <w:webHidden/>
              </w:rPr>
              <w:fldChar w:fldCharType="end"/>
            </w:r>
          </w:hyperlink>
        </w:p>
        <w:p w14:paraId="7159B61A" w14:textId="22CC3D07" w:rsidR="00C56C0F" w:rsidRDefault="00C56C0F">
          <w:pPr>
            <w:pStyle w:val="TOC1"/>
            <w:tabs>
              <w:tab w:val="left" w:pos="440"/>
              <w:tab w:val="right" w:leader="dot" w:pos="9465"/>
            </w:tabs>
            <w:rPr>
              <w:rFonts w:asciiTheme="minorHAnsi" w:eastAsiaTheme="minorEastAsia" w:hAnsiTheme="minorHAnsi" w:cstheme="minorBidi"/>
              <w:noProof/>
              <w:szCs w:val="22"/>
              <w:lang w:val="en-US" w:eastAsia="en-US"/>
            </w:rPr>
          </w:pPr>
          <w:hyperlink w:anchor="_Toc507425371" w:history="1">
            <w:r w:rsidRPr="00C21E6C">
              <w:rPr>
                <w:rStyle w:val="Hyperlink"/>
                <w:rFonts w:cs="Arial"/>
                <w:noProof/>
                <w:lang w:val="en-GB"/>
              </w:rPr>
              <w:t>2.</w:t>
            </w:r>
            <w:r>
              <w:rPr>
                <w:rFonts w:asciiTheme="minorHAnsi" w:eastAsiaTheme="minorEastAsia" w:hAnsiTheme="minorHAnsi" w:cstheme="minorBidi"/>
                <w:noProof/>
                <w:szCs w:val="22"/>
                <w:lang w:val="en-US" w:eastAsia="en-US"/>
              </w:rPr>
              <w:tab/>
            </w:r>
            <w:r w:rsidRPr="00C21E6C">
              <w:rPr>
                <w:rStyle w:val="Hyperlink"/>
                <w:rFonts w:cs="Arial"/>
                <w:noProof/>
                <w:lang w:val="en-GB"/>
              </w:rPr>
              <w:t>Common Criteria for Scheduled Exchanges Calculation</w:t>
            </w:r>
            <w:r>
              <w:rPr>
                <w:noProof/>
                <w:webHidden/>
              </w:rPr>
              <w:tab/>
            </w:r>
            <w:r>
              <w:rPr>
                <w:noProof/>
                <w:webHidden/>
              </w:rPr>
              <w:fldChar w:fldCharType="begin"/>
            </w:r>
            <w:r>
              <w:rPr>
                <w:noProof/>
                <w:webHidden/>
              </w:rPr>
              <w:instrText xml:space="preserve"> PAGEREF _Toc507425371 \h </w:instrText>
            </w:r>
            <w:r>
              <w:rPr>
                <w:noProof/>
                <w:webHidden/>
              </w:rPr>
            </w:r>
            <w:r>
              <w:rPr>
                <w:noProof/>
                <w:webHidden/>
              </w:rPr>
              <w:fldChar w:fldCharType="separate"/>
            </w:r>
            <w:r w:rsidR="00FC1305">
              <w:rPr>
                <w:noProof/>
                <w:webHidden/>
              </w:rPr>
              <w:t>7</w:t>
            </w:r>
            <w:r>
              <w:rPr>
                <w:noProof/>
                <w:webHidden/>
              </w:rPr>
              <w:fldChar w:fldCharType="end"/>
            </w:r>
          </w:hyperlink>
        </w:p>
        <w:p w14:paraId="19ABF21E" w14:textId="1A415BDA" w:rsidR="00C56C0F" w:rsidRDefault="00C56C0F">
          <w:pPr>
            <w:pStyle w:val="TOC1"/>
            <w:tabs>
              <w:tab w:val="left" w:pos="440"/>
              <w:tab w:val="right" w:leader="dot" w:pos="9465"/>
            </w:tabs>
            <w:rPr>
              <w:rFonts w:asciiTheme="minorHAnsi" w:eastAsiaTheme="minorEastAsia" w:hAnsiTheme="minorHAnsi" w:cstheme="minorBidi"/>
              <w:noProof/>
              <w:szCs w:val="22"/>
              <w:lang w:val="en-US" w:eastAsia="en-US"/>
            </w:rPr>
          </w:pPr>
          <w:hyperlink w:anchor="_Toc507425372" w:history="1">
            <w:r w:rsidRPr="00C21E6C">
              <w:rPr>
                <w:rStyle w:val="Hyperlink"/>
                <w:rFonts w:cs="Arial"/>
                <w:noProof/>
                <w:lang w:val="en-GB"/>
              </w:rPr>
              <w:t>3.</w:t>
            </w:r>
            <w:r>
              <w:rPr>
                <w:rFonts w:asciiTheme="minorHAnsi" w:eastAsiaTheme="minorEastAsia" w:hAnsiTheme="minorHAnsi" w:cstheme="minorBidi"/>
                <w:noProof/>
                <w:szCs w:val="22"/>
                <w:lang w:val="en-US" w:eastAsia="en-US"/>
              </w:rPr>
              <w:tab/>
            </w:r>
            <w:r w:rsidRPr="00C21E6C">
              <w:rPr>
                <w:rStyle w:val="Hyperlink"/>
                <w:rFonts w:cs="Arial"/>
                <w:noProof/>
                <w:lang w:val="en-GB"/>
              </w:rPr>
              <w:t>Requirements for Scheduled Exchanges Calculation</w:t>
            </w:r>
            <w:r>
              <w:rPr>
                <w:noProof/>
                <w:webHidden/>
              </w:rPr>
              <w:tab/>
            </w:r>
            <w:r>
              <w:rPr>
                <w:noProof/>
                <w:webHidden/>
              </w:rPr>
              <w:fldChar w:fldCharType="begin"/>
            </w:r>
            <w:r>
              <w:rPr>
                <w:noProof/>
                <w:webHidden/>
              </w:rPr>
              <w:instrText xml:space="preserve"> PAGEREF _Toc507425372 \h </w:instrText>
            </w:r>
            <w:r>
              <w:rPr>
                <w:noProof/>
                <w:webHidden/>
              </w:rPr>
            </w:r>
            <w:r>
              <w:rPr>
                <w:noProof/>
                <w:webHidden/>
              </w:rPr>
              <w:fldChar w:fldCharType="separate"/>
            </w:r>
            <w:r w:rsidR="00FC1305">
              <w:rPr>
                <w:noProof/>
                <w:webHidden/>
              </w:rPr>
              <w:t>7</w:t>
            </w:r>
            <w:r>
              <w:rPr>
                <w:noProof/>
                <w:webHidden/>
              </w:rPr>
              <w:fldChar w:fldCharType="end"/>
            </w:r>
          </w:hyperlink>
        </w:p>
        <w:p w14:paraId="74742750" w14:textId="78463A77" w:rsidR="00C56C0F" w:rsidRDefault="00C56C0F">
          <w:pPr>
            <w:pStyle w:val="TOC1"/>
            <w:tabs>
              <w:tab w:val="left" w:pos="440"/>
              <w:tab w:val="right" w:leader="dot" w:pos="9465"/>
            </w:tabs>
            <w:rPr>
              <w:rFonts w:asciiTheme="minorHAnsi" w:eastAsiaTheme="minorEastAsia" w:hAnsiTheme="minorHAnsi" w:cstheme="minorBidi"/>
              <w:noProof/>
              <w:szCs w:val="22"/>
              <w:lang w:val="en-US" w:eastAsia="en-US"/>
            </w:rPr>
          </w:pPr>
          <w:hyperlink w:anchor="_Toc507425373" w:history="1">
            <w:r w:rsidRPr="00C21E6C">
              <w:rPr>
                <w:rStyle w:val="Hyperlink"/>
                <w:rFonts w:cs="Arial"/>
                <w:noProof/>
                <w:lang w:val="en-GB"/>
              </w:rPr>
              <w:t>4.</w:t>
            </w:r>
            <w:r>
              <w:rPr>
                <w:rFonts w:asciiTheme="minorHAnsi" w:eastAsiaTheme="minorEastAsia" w:hAnsiTheme="minorHAnsi" w:cstheme="minorBidi"/>
                <w:noProof/>
                <w:szCs w:val="22"/>
                <w:lang w:val="en-US" w:eastAsia="en-US"/>
              </w:rPr>
              <w:tab/>
            </w:r>
            <w:r w:rsidRPr="00C21E6C">
              <w:rPr>
                <w:rStyle w:val="Hyperlink"/>
                <w:rFonts w:cs="Arial"/>
                <w:noProof/>
                <w:lang w:val="en-GB"/>
              </w:rPr>
              <w:t>Downstream Uses for Scheduled Exchanges</w:t>
            </w:r>
            <w:r>
              <w:rPr>
                <w:noProof/>
                <w:webHidden/>
              </w:rPr>
              <w:tab/>
            </w:r>
            <w:r>
              <w:rPr>
                <w:noProof/>
                <w:webHidden/>
              </w:rPr>
              <w:fldChar w:fldCharType="begin"/>
            </w:r>
            <w:r>
              <w:rPr>
                <w:noProof/>
                <w:webHidden/>
              </w:rPr>
              <w:instrText xml:space="preserve"> PAGEREF _Toc507425373 \h </w:instrText>
            </w:r>
            <w:r>
              <w:rPr>
                <w:noProof/>
                <w:webHidden/>
              </w:rPr>
            </w:r>
            <w:r>
              <w:rPr>
                <w:noProof/>
                <w:webHidden/>
              </w:rPr>
              <w:fldChar w:fldCharType="separate"/>
            </w:r>
            <w:r w:rsidR="00FC1305">
              <w:rPr>
                <w:noProof/>
                <w:webHidden/>
              </w:rPr>
              <w:t>8</w:t>
            </w:r>
            <w:r>
              <w:rPr>
                <w:noProof/>
                <w:webHidden/>
              </w:rPr>
              <w:fldChar w:fldCharType="end"/>
            </w:r>
          </w:hyperlink>
        </w:p>
        <w:p w14:paraId="27150DAB" w14:textId="154C3170" w:rsidR="00C56C0F" w:rsidRDefault="00C56C0F">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7425374" w:history="1">
            <w:r w:rsidRPr="00C21E6C">
              <w:rPr>
                <w:rStyle w:val="Hyperlink"/>
                <w:rFonts w:cs="Arial"/>
                <w:noProof/>
                <w:lang w:val="en-GB"/>
              </w:rPr>
              <w:t>4.1</w:t>
            </w:r>
            <w:r>
              <w:rPr>
                <w:rFonts w:asciiTheme="minorHAnsi" w:eastAsiaTheme="minorEastAsia" w:hAnsiTheme="minorHAnsi" w:cstheme="minorBidi"/>
                <w:noProof/>
                <w:szCs w:val="22"/>
                <w:lang w:val="en-US" w:eastAsia="en-US"/>
              </w:rPr>
              <w:tab/>
            </w:r>
            <w:r w:rsidRPr="00C21E6C">
              <w:rPr>
                <w:rStyle w:val="Hyperlink"/>
                <w:rFonts w:cs="Arial"/>
                <w:noProof/>
                <w:lang w:val="en-GB"/>
              </w:rPr>
              <w:t>Shipping &amp; Scheduling</w:t>
            </w:r>
            <w:r>
              <w:rPr>
                <w:noProof/>
                <w:webHidden/>
              </w:rPr>
              <w:tab/>
            </w:r>
            <w:r>
              <w:rPr>
                <w:noProof/>
                <w:webHidden/>
              </w:rPr>
              <w:fldChar w:fldCharType="begin"/>
            </w:r>
            <w:r>
              <w:rPr>
                <w:noProof/>
                <w:webHidden/>
              </w:rPr>
              <w:instrText xml:space="preserve"> PAGEREF _Toc507425374 \h </w:instrText>
            </w:r>
            <w:r>
              <w:rPr>
                <w:noProof/>
                <w:webHidden/>
              </w:rPr>
            </w:r>
            <w:r>
              <w:rPr>
                <w:noProof/>
                <w:webHidden/>
              </w:rPr>
              <w:fldChar w:fldCharType="separate"/>
            </w:r>
            <w:r w:rsidR="00FC1305">
              <w:rPr>
                <w:noProof/>
                <w:webHidden/>
              </w:rPr>
              <w:t>9</w:t>
            </w:r>
            <w:r>
              <w:rPr>
                <w:noProof/>
                <w:webHidden/>
              </w:rPr>
              <w:fldChar w:fldCharType="end"/>
            </w:r>
          </w:hyperlink>
        </w:p>
        <w:p w14:paraId="6DBA1848" w14:textId="5FA065DD" w:rsidR="00C56C0F" w:rsidRDefault="00C56C0F">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7425375" w:history="1">
            <w:r w:rsidRPr="00C21E6C">
              <w:rPr>
                <w:rStyle w:val="Hyperlink"/>
                <w:rFonts w:cs="Arial"/>
                <w:noProof/>
                <w:lang w:val="en-GB"/>
              </w:rPr>
              <w:t>4.2</w:t>
            </w:r>
            <w:r>
              <w:rPr>
                <w:rFonts w:asciiTheme="minorHAnsi" w:eastAsiaTheme="minorEastAsia" w:hAnsiTheme="minorHAnsi" w:cstheme="minorBidi"/>
                <w:noProof/>
                <w:szCs w:val="22"/>
                <w:lang w:val="en-US" w:eastAsia="en-US"/>
              </w:rPr>
              <w:tab/>
            </w:r>
            <w:r w:rsidRPr="00C21E6C">
              <w:rPr>
                <w:rStyle w:val="Hyperlink"/>
                <w:rFonts w:cs="Arial"/>
                <w:noProof/>
                <w:lang w:val="en-GB"/>
              </w:rPr>
              <w:t>Congestion Income Distribution</w:t>
            </w:r>
            <w:r>
              <w:rPr>
                <w:noProof/>
                <w:webHidden/>
              </w:rPr>
              <w:tab/>
            </w:r>
            <w:r>
              <w:rPr>
                <w:noProof/>
                <w:webHidden/>
              </w:rPr>
              <w:fldChar w:fldCharType="begin"/>
            </w:r>
            <w:r>
              <w:rPr>
                <w:noProof/>
                <w:webHidden/>
              </w:rPr>
              <w:instrText xml:space="preserve"> PAGEREF _Toc507425375 \h </w:instrText>
            </w:r>
            <w:r>
              <w:rPr>
                <w:noProof/>
                <w:webHidden/>
              </w:rPr>
            </w:r>
            <w:r>
              <w:rPr>
                <w:noProof/>
                <w:webHidden/>
              </w:rPr>
              <w:fldChar w:fldCharType="separate"/>
            </w:r>
            <w:r w:rsidR="00FC1305">
              <w:rPr>
                <w:noProof/>
                <w:webHidden/>
              </w:rPr>
              <w:t>10</w:t>
            </w:r>
            <w:r>
              <w:rPr>
                <w:noProof/>
                <w:webHidden/>
              </w:rPr>
              <w:fldChar w:fldCharType="end"/>
            </w:r>
          </w:hyperlink>
        </w:p>
        <w:p w14:paraId="17428715" w14:textId="2BFA756C" w:rsidR="00C56C0F" w:rsidRDefault="00C56C0F">
          <w:pPr>
            <w:pStyle w:val="TOC1"/>
            <w:tabs>
              <w:tab w:val="left" w:pos="440"/>
              <w:tab w:val="right" w:leader="dot" w:pos="9465"/>
            </w:tabs>
            <w:rPr>
              <w:rFonts w:asciiTheme="minorHAnsi" w:eastAsiaTheme="minorEastAsia" w:hAnsiTheme="minorHAnsi" w:cstheme="minorBidi"/>
              <w:noProof/>
              <w:szCs w:val="22"/>
              <w:lang w:val="en-US" w:eastAsia="en-US"/>
            </w:rPr>
          </w:pPr>
          <w:hyperlink w:anchor="_Toc507425376" w:history="1">
            <w:r w:rsidRPr="00C21E6C">
              <w:rPr>
                <w:rStyle w:val="Hyperlink"/>
                <w:rFonts w:cs="Arial"/>
                <w:noProof/>
                <w:lang w:val="en-GB"/>
              </w:rPr>
              <w:t>5.</w:t>
            </w:r>
            <w:r>
              <w:rPr>
                <w:rFonts w:asciiTheme="minorHAnsi" w:eastAsiaTheme="minorEastAsia" w:hAnsiTheme="minorHAnsi" w:cstheme="minorBidi"/>
                <w:noProof/>
                <w:szCs w:val="22"/>
                <w:lang w:val="en-US" w:eastAsia="en-US"/>
              </w:rPr>
              <w:tab/>
            </w:r>
            <w:r w:rsidRPr="00C21E6C">
              <w:rPr>
                <w:rStyle w:val="Hyperlink"/>
                <w:rFonts w:cs="Arial"/>
                <w:noProof/>
                <w:lang w:val="en-GB"/>
              </w:rPr>
              <w:t>Scheduled Exchange Calculator</w:t>
            </w:r>
            <w:r>
              <w:rPr>
                <w:noProof/>
                <w:webHidden/>
              </w:rPr>
              <w:tab/>
            </w:r>
            <w:r>
              <w:rPr>
                <w:noProof/>
                <w:webHidden/>
              </w:rPr>
              <w:fldChar w:fldCharType="begin"/>
            </w:r>
            <w:r>
              <w:rPr>
                <w:noProof/>
                <w:webHidden/>
              </w:rPr>
              <w:instrText xml:space="preserve"> PAGEREF _Toc507425376 \h </w:instrText>
            </w:r>
            <w:r>
              <w:rPr>
                <w:noProof/>
                <w:webHidden/>
              </w:rPr>
            </w:r>
            <w:r>
              <w:rPr>
                <w:noProof/>
                <w:webHidden/>
              </w:rPr>
              <w:fldChar w:fldCharType="separate"/>
            </w:r>
            <w:r w:rsidR="00FC1305">
              <w:rPr>
                <w:noProof/>
                <w:webHidden/>
              </w:rPr>
              <w:t>11</w:t>
            </w:r>
            <w:r>
              <w:rPr>
                <w:noProof/>
                <w:webHidden/>
              </w:rPr>
              <w:fldChar w:fldCharType="end"/>
            </w:r>
          </w:hyperlink>
        </w:p>
        <w:p w14:paraId="6E44ED18" w14:textId="7D523F95" w:rsidR="00C56C0F" w:rsidRDefault="00C56C0F">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7425377" w:history="1">
            <w:r w:rsidRPr="00C21E6C">
              <w:rPr>
                <w:rStyle w:val="Hyperlink"/>
                <w:rFonts w:cs="Arial"/>
                <w:noProof/>
                <w:lang w:val="en-GB"/>
              </w:rPr>
              <w:t>5.1</w:t>
            </w:r>
            <w:r>
              <w:rPr>
                <w:rFonts w:asciiTheme="minorHAnsi" w:eastAsiaTheme="minorEastAsia" w:hAnsiTheme="minorHAnsi" w:cstheme="minorBidi"/>
                <w:noProof/>
                <w:szCs w:val="22"/>
                <w:lang w:val="en-US" w:eastAsia="en-US"/>
              </w:rPr>
              <w:tab/>
            </w:r>
            <w:r w:rsidRPr="00C21E6C">
              <w:rPr>
                <w:rStyle w:val="Hyperlink"/>
                <w:rFonts w:cs="Arial"/>
                <w:noProof/>
                <w:lang w:val="en-GB"/>
              </w:rPr>
              <w:t>Calculation process</w:t>
            </w:r>
            <w:r>
              <w:rPr>
                <w:noProof/>
                <w:webHidden/>
              </w:rPr>
              <w:tab/>
            </w:r>
            <w:r>
              <w:rPr>
                <w:noProof/>
                <w:webHidden/>
              </w:rPr>
              <w:fldChar w:fldCharType="begin"/>
            </w:r>
            <w:r>
              <w:rPr>
                <w:noProof/>
                <w:webHidden/>
              </w:rPr>
              <w:instrText xml:space="preserve"> PAGEREF _Toc507425377 \h </w:instrText>
            </w:r>
            <w:r>
              <w:rPr>
                <w:noProof/>
                <w:webHidden/>
              </w:rPr>
            </w:r>
            <w:r>
              <w:rPr>
                <w:noProof/>
                <w:webHidden/>
              </w:rPr>
              <w:fldChar w:fldCharType="separate"/>
            </w:r>
            <w:r w:rsidR="00FC1305">
              <w:rPr>
                <w:noProof/>
                <w:webHidden/>
              </w:rPr>
              <w:t>11</w:t>
            </w:r>
            <w:r>
              <w:rPr>
                <w:noProof/>
                <w:webHidden/>
              </w:rPr>
              <w:fldChar w:fldCharType="end"/>
            </w:r>
          </w:hyperlink>
        </w:p>
        <w:p w14:paraId="6548A1F6" w14:textId="5338B850" w:rsidR="00C56C0F" w:rsidRDefault="00C56C0F">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7425378" w:history="1">
            <w:r w:rsidRPr="00C21E6C">
              <w:rPr>
                <w:rStyle w:val="Hyperlink"/>
                <w:rFonts w:cs="Arial"/>
                <w:noProof/>
                <w:lang w:val="en-GB"/>
              </w:rPr>
              <w:t>5.2</w:t>
            </w:r>
            <w:r>
              <w:rPr>
                <w:rFonts w:asciiTheme="minorHAnsi" w:eastAsiaTheme="minorEastAsia" w:hAnsiTheme="minorHAnsi" w:cstheme="minorBidi"/>
                <w:noProof/>
                <w:szCs w:val="22"/>
                <w:lang w:val="en-US" w:eastAsia="en-US"/>
              </w:rPr>
              <w:tab/>
            </w:r>
            <w:r w:rsidRPr="00C21E6C">
              <w:rPr>
                <w:rStyle w:val="Hyperlink"/>
                <w:rFonts w:cs="Arial"/>
                <w:noProof/>
                <w:lang w:val="en-GB"/>
              </w:rPr>
              <w:t>Time Limits for Delivery of Information</w:t>
            </w:r>
            <w:r>
              <w:rPr>
                <w:noProof/>
                <w:webHidden/>
              </w:rPr>
              <w:tab/>
            </w:r>
            <w:r>
              <w:rPr>
                <w:noProof/>
                <w:webHidden/>
              </w:rPr>
              <w:fldChar w:fldCharType="begin"/>
            </w:r>
            <w:r>
              <w:rPr>
                <w:noProof/>
                <w:webHidden/>
              </w:rPr>
              <w:instrText xml:space="preserve"> PAGEREF _Toc507425378 \h </w:instrText>
            </w:r>
            <w:r>
              <w:rPr>
                <w:noProof/>
                <w:webHidden/>
              </w:rPr>
            </w:r>
            <w:r>
              <w:rPr>
                <w:noProof/>
                <w:webHidden/>
              </w:rPr>
              <w:fldChar w:fldCharType="separate"/>
            </w:r>
            <w:r w:rsidR="00FC1305">
              <w:rPr>
                <w:noProof/>
                <w:webHidden/>
              </w:rPr>
              <w:t>12</w:t>
            </w:r>
            <w:r>
              <w:rPr>
                <w:noProof/>
                <w:webHidden/>
              </w:rPr>
              <w:fldChar w:fldCharType="end"/>
            </w:r>
          </w:hyperlink>
        </w:p>
        <w:p w14:paraId="2E7A381B" w14:textId="252B2522" w:rsidR="00C56C0F" w:rsidRDefault="00C56C0F">
          <w:pPr>
            <w:pStyle w:val="TOC1"/>
            <w:tabs>
              <w:tab w:val="left" w:pos="440"/>
              <w:tab w:val="right" w:leader="dot" w:pos="9465"/>
            </w:tabs>
            <w:rPr>
              <w:rFonts w:asciiTheme="minorHAnsi" w:eastAsiaTheme="minorEastAsia" w:hAnsiTheme="minorHAnsi" w:cstheme="minorBidi"/>
              <w:noProof/>
              <w:szCs w:val="22"/>
              <w:lang w:val="en-US" w:eastAsia="en-US"/>
            </w:rPr>
          </w:pPr>
          <w:hyperlink w:anchor="_Toc507425379" w:history="1">
            <w:r w:rsidRPr="00C21E6C">
              <w:rPr>
                <w:rStyle w:val="Hyperlink"/>
                <w:rFonts w:cs="Arial"/>
                <w:noProof/>
                <w:lang w:val="en-GB"/>
              </w:rPr>
              <w:t>6.</w:t>
            </w:r>
            <w:r>
              <w:rPr>
                <w:rFonts w:asciiTheme="minorHAnsi" w:eastAsiaTheme="minorEastAsia" w:hAnsiTheme="minorHAnsi" w:cstheme="minorBidi"/>
                <w:noProof/>
                <w:szCs w:val="22"/>
                <w:lang w:val="en-US" w:eastAsia="en-US"/>
              </w:rPr>
              <w:tab/>
            </w:r>
            <w:r w:rsidRPr="00C21E6C">
              <w:rPr>
                <w:rStyle w:val="Hyperlink"/>
                <w:rFonts w:cs="Arial"/>
                <w:noProof/>
                <w:lang w:val="en-GB"/>
              </w:rPr>
              <w:t>Calculation Methodology</w:t>
            </w:r>
            <w:r>
              <w:rPr>
                <w:noProof/>
                <w:webHidden/>
              </w:rPr>
              <w:tab/>
            </w:r>
            <w:r>
              <w:rPr>
                <w:noProof/>
                <w:webHidden/>
              </w:rPr>
              <w:fldChar w:fldCharType="begin"/>
            </w:r>
            <w:r>
              <w:rPr>
                <w:noProof/>
                <w:webHidden/>
              </w:rPr>
              <w:instrText xml:space="preserve"> PAGEREF _Toc507425379 \h </w:instrText>
            </w:r>
            <w:r>
              <w:rPr>
                <w:noProof/>
                <w:webHidden/>
              </w:rPr>
            </w:r>
            <w:r>
              <w:rPr>
                <w:noProof/>
                <w:webHidden/>
              </w:rPr>
              <w:fldChar w:fldCharType="separate"/>
            </w:r>
            <w:r w:rsidR="00FC1305">
              <w:rPr>
                <w:noProof/>
                <w:webHidden/>
              </w:rPr>
              <w:t>13</w:t>
            </w:r>
            <w:r>
              <w:rPr>
                <w:noProof/>
                <w:webHidden/>
              </w:rPr>
              <w:fldChar w:fldCharType="end"/>
            </w:r>
          </w:hyperlink>
        </w:p>
        <w:p w14:paraId="21C72034" w14:textId="391BC102" w:rsidR="00C56C0F" w:rsidRDefault="00C56C0F">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7425380" w:history="1">
            <w:r w:rsidRPr="00C21E6C">
              <w:rPr>
                <w:rStyle w:val="Hyperlink"/>
                <w:rFonts w:cs="Arial"/>
                <w:noProof/>
                <w:lang w:val="en-GB"/>
              </w:rPr>
              <w:t>6.1</w:t>
            </w:r>
            <w:r>
              <w:rPr>
                <w:rFonts w:asciiTheme="minorHAnsi" w:eastAsiaTheme="minorEastAsia" w:hAnsiTheme="minorHAnsi" w:cstheme="minorBidi"/>
                <w:noProof/>
                <w:szCs w:val="22"/>
                <w:lang w:val="en-US" w:eastAsia="en-US"/>
              </w:rPr>
              <w:tab/>
            </w:r>
            <w:r w:rsidRPr="00C21E6C">
              <w:rPr>
                <w:rStyle w:val="Hyperlink"/>
                <w:rFonts w:cs="Arial"/>
                <w:noProof/>
                <w:lang w:val="en-GB"/>
              </w:rPr>
              <w:t>General Principles</w:t>
            </w:r>
            <w:r>
              <w:rPr>
                <w:noProof/>
                <w:webHidden/>
              </w:rPr>
              <w:tab/>
            </w:r>
            <w:r>
              <w:rPr>
                <w:noProof/>
                <w:webHidden/>
              </w:rPr>
              <w:fldChar w:fldCharType="begin"/>
            </w:r>
            <w:r>
              <w:rPr>
                <w:noProof/>
                <w:webHidden/>
              </w:rPr>
              <w:instrText xml:space="preserve"> PAGEREF _Toc507425380 \h </w:instrText>
            </w:r>
            <w:r>
              <w:rPr>
                <w:noProof/>
                <w:webHidden/>
              </w:rPr>
            </w:r>
            <w:r>
              <w:rPr>
                <w:noProof/>
                <w:webHidden/>
              </w:rPr>
              <w:fldChar w:fldCharType="separate"/>
            </w:r>
            <w:r w:rsidR="00FC1305">
              <w:rPr>
                <w:noProof/>
                <w:webHidden/>
              </w:rPr>
              <w:t>13</w:t>
            </w:r>
            <w:r>
              <w:rPr>
                <w:noProof/>
                <w:webHidden/>
              </w:rPr>
              <w:fldChar w:fldCharType="end"/>
            </w:r>
          </w:hyperlink>
        </w:p>
        <w:p w14:paraId="6F2B2DCD" w14:textId="337C3561" w:rsidR="00C56C0F" w:rsidRDefault="00C56C0F">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7425381" w:history="1">
            <w:r w:rsidRPr="00C21E6C">
              <w:rPr>
                <w:rStyle w:val="Hyperlink"/>
                <w:noProof/>
                <w:lang w:val="en-GB" w:eastAsia="en-GB"/>
              </w:rPr>
              <w:t>6.2</w:t>
            </w:r>
            <w:r>
              <w:rPr>
                <w:rFonts w:asciiTheme="minorHAnsi" w:eastAsiaTheme="minorEastAsia" w:hAnsiTheme="minorHAnsi" w:cstheme="minorBidi"/>
                <w:noProof/>
                <w:szCs w:val="22"/>
                <w:lang w:val="en-US" w:eastAsia="en-US"/>
              </w:rPr>
              <w:tab/>
            </w:r>
            <w:r w:rsidRPr="00C21E6C">
              <w:rPr>
                <w:rStyle w:val="Hyperlink"/>
                <w:rFonts w:cs="Arial"/>
                <w:noProof/>
                <w:lang w:val="en-GB"/>
              </w:rPr>
              <w:t>Flow calculation between Bidding Zones (BZ)</w:t>
            </w:r>
            <w:r>
              <w:rPr>
                <w:noProof/>
                <w:webHidden/>
              </w:rPr>
              <w:tab/>
            </w:r>
            <w:r>
              <w:rPr>
                <w:noProof/>
                <w:webHidden/>
              </w:rPr>
              <w:fldChar w:fldCharType="begin"/>
            </w:r>
            <w:r>
              <w:rPr>
                <w:noProof/>
                <w:webHidden/>
              </w:rPr>
              <w:instrText xml:space="preserve"> PAGEREF _Toc507425381 \h </w:instrText>
            </w:r>
            <w:r>
              <w:rPr>
                <w:noProof/>
                <w:webHidden/>
              </w:rPr>
            </w:r>
            <w:r>
              <w:rPr>
                <w:noProof/>
                <w:webHidden/>
              </w:rPr>
              <w:fldChar w:fldCharType="separate"/>
            </w:r>
            <w:r w:rsidR="00FC1305">
              <w:rPr>
                <w:noProof/>
                <w:webHidden/>
              </w:rPr>
              <w:t>18</w:t>
            </w:r>
            <w:r>
              <w:rPr>
                <w:noProof/>
                <w:webHidden/>
              </w:rPr>
              <w:fldChar w:fldCharType="end"/>
            </w:r>
          </w:hyperlink>
        </w:p>
        <w:p w14:paraId="6688F32D" w14:textId="3086577D" w:rsidR="00C56C0F" w:rsidRDefault="00C56C0F">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7425382" w:history="1">
            <w:r w:rsidRPr="00C21E6C">
              <w:rPr>
                <w:rStyle w:val="Hyperlink"/>
                <w:rFonts w:cs="Arial"/>
                <w:noProof/>
                <w:lang w:val="en-GB"/>
              </w:rPr>
              <w:t>6.3</w:t>
            </w:r>
            <w:r>
              <w:rPr>
                <w:rFonts w:asciiTheme="minorHAnsi" w:eastAsiaTheme="minorEastAsia" w:hAnsiTheme="minorHAnsi" w:cstheme="minorBidi"/>
                <w:noProof/>
                <w:szCs w:val="22"/>
                <w:lang w:val="en-US" w:eastAsia="en-US"/>
              </w:rPr>
              <w:tab/>
            </w:r>
            <w:r w:rsidRPr="00C21E6C">
              <w:rPr>
                <w:rStyle w:val="Hyperlink"/>
                <w:rFonts w:cs="Arial"/>
                <w:noProof/>
                <w:lang w:val="en-GB"/>
              </w:rPr>
              <w:t>Calculation of Scheduled Exchanges per Scheduling Area border</w:t>
            </w:r>
            <w:r>
              <w:rPr>
                <w:noProof/>
                <w:webHidden/>
              </w:rPr>
              <w:tab/>
            </w:r>
            <w:r>
              <w:rPr>
                <w:noProof/>
                <w:webHidden/>
              </w:rPr>
              <w:fldChar w:fldCharType="begin"/>
            </w:r>
            <w:r>
              <w:rPr>
                <w:noProof/>
                <w:webHidden/>
              </w:rPr>
              <w:instrText xml:space="preserve"> PAGEREF _Toc507425382 \h </w:instrText>
            </w:r>
            <w:r>
              <w:rPr>
                <w:noProof/>
                <w:webHidden/>
              </w:rPr>
            </w:r>
            <w:r>
              <w:rPr>
                <w:noProof/>
                <w:webHidden/>
              </w:rPr>
              <w:fldChar w:fldCharType="separate"/>
            </w:r>
            <w:r w:rsidR="00FC1305">
              <w:rPr>
                <w:noProof/>
                <w:webHidden/>
              </w:rPr>
              <w:t>20</w:t>
            </w:r>
            <w:r>
              <w:rPr>
                <w:noProof/>
                <w:webHidden/>
              </w:rPr>
              <w:fldChar w:fldCharType="end"/>
            </w:r>
          </w:hyperlink>
        </w:p>
        <w:p w14:paraId="2EE60028" w14:textId="5554A514" w:rsidR="00C56C0F" w:rsidRDefault="00C56C0F">
          <w:pPr>
            <w:pStyle w:val="TOC1"/>
            <w:tabs>
              <w:tab w:val="left" w:pos="440"/>
              <w:tab w:val="right" w:leader="dot" w:pos="9465"/>
            </w:tabs>
            <w:rPr>
              <w:rFonts w:asciiTheme="minorHAnsi" w:eastAsiaTheme="minorEastAsia" w:hAnsiTheme="minorHAnsi" w:cstheme="minorBidi"/>
              <w:noProof/>
              <w:szCs w:val="22"/>
              <w:lang w:val="en-US" w:eastAsia="en-US"/>
            </w:rPr>
          </w:pPr>
          <w:hyperlink w:anchor="_Toc507425383" w:history="1">
            <w:r w:rsidRPr="00C21E6C">
              <w:rPr>
                <w:rStyle w:val="Hyperlink"/>
                <w:rFonts w:cs="Arial"/>
                <w:noProof/>
                <w:lang w:val="en-GB"/>
              </w:rPr>
              <w:t>7.</w:t>
            </w:r>
            <w:r>
              <w:rPr>
                <w:rFonts w:asciiTheme="minorHAnsi" w:eastAsiaTheme="minorEastAsia" w:hAnsiTheme="minorHAnsi" w:cstheme="minorBidi"/>
                <w:noProof/>
                <w:szCs w:val="22"/>
                <w:lang w:val="en-US" w:eastAsia="en-US"/>
              </w:rPr>
              <w:tab/>
            </w:r>
            <w:r w:rsidRPr="00C21E6C">
              <w:rPr>
                <w:rStyle w:val="Hyperlink"/>
                <w:rFonts w:cs="Arial"/>
                <w:noProof/>
                <w:lang w:val="en-GB"/>
              </w:rPr>
              <w:t>Implementation</w:t>
            </w:r>
            <w:r>
              <w:rPr>
                <w:noProof/>
                <w:webHidden/>
              </w:rPr>
              <w:tab/>
            </w:r>
            <w:r>
              <w:rPr>
                <w:noProof/>
                <w:webHidden/>
              </w:rPr>
              <w:fldChar w:fldCharType="begin"/>
            </w:r>
            <w:r>
              <w:rPr>
                <w:noProof/>
                <w:webHidden/>
              </w:rPr>
              <w:instrText xml:space="preserve"> PAGEREF _Toc507425383 \h </w:instrText>
            </w:r>
            <w:r>
              <w:rPr>
                <w:noProof/>
                <w:webHidden/>
              </w:rPr>
            </w:r>
            <w:r>
              <w:rPr>
                <w:noProof/>
                <w:webHidden/>
              </w:rPr>
              <w:fldChar w:fldCharType="separate"/>
            </w:r>
            <w:r w:rsidR="00FC1305">
              <w:rPr>
                <w:noProof/>
                <w:webHidden/>
              </w:rPr>
              <w:t>21</w:t>
            </w:r>
            <w:r>
              <w:rPr>
                <w:noProof/>
                <w:webHidden/>
              </w:rPr>
              <w:fldChar w:fldCharType="end"/>
            </w:r>
          </w:hyperlink>
        </w:p>
        <w:p w14:paraId="48A0CD35" w14:textId="62CDB9CA" w:rsidR="00C56C0F" w:rsidRDefault="00C56C0F">
          <w:pPr>
            <w:pStyle w:val="TOC1"/>
            <w:tabs>
              <w:tab w:val="right" w:leader="dot" w:pos="9465"/>
            </w:tabs>
            <w:rPr>
              <w:rFonts w:asciiTheme="minorHAnsi" w:eastAsiaTheme="minorEastAsia" w:hAnsiTheme="minorHAnsi" w:cstheme="minorBidi"/>
              <w:noProof/>
              <w:szCs w:val="22"/>
              <w:lang w:val="en-US" w:eastAsia="en-US"/>
            </w:rPr>
          </w:pPr>
          <w:hyperlink w:anchor="_Toc507425384" w:history="1">
            <w:r w:rsidRPr="00C21E6C">
              <w:rPr>
                <w:rStyle w:val="Hyperlink"/>
                <w:rFonts w:cs="Arial"/>
                <w:noProof/>
              </w:rPr>
              <w:t>ANNEX 1 - Functioning principles of the SDAC under MNA, Description of the Inter-NEMO Flow Calculation</w:t>
            </w:r>
            <w:r>
              <w:rPr>
                <w:noProof/>
                <w:webHidden/>
              </w:rPr>
              <w:tab/>
            </w:r>
            <w:r>
              <w:rPr>
                <w:noProof/>
                <w:webHidden/>
              </w:rPr>
              <w:fldChar w:fldCharType="begin"/>
            </w:r>
            <w:r>
              <w:rPr>
                <w:noProof/>
                <w:webHidden/>
              </w:rPr>
              <w:instrText xml:space="preserve"> PAGEREF _Toc507425384 \h </w:instrText>
            </w:r>
            <w:r>
              <w:rPr>
                <w:noProof/>
                <w:webHidden/>
              </w:rPr>
            </w:r>
            <w:r>
              <w:rPr>
                <w:noProof/>
                <w:webHidden/>
              </w:rPr>
              <w:fldChar w:fldCharType="separate"/>
            </w:r>
            <w:r w:rsidR="00FC1305">
              <w:rPr>
                <w:noProof/>
                <w:webHidden/>
              </w:rPr>
              <w:t>23</w:t>
            </w:r>
            <w:r>
              <w:rPr>
                <w:noProof/>
                <w:webHidden/>
              </w:rPr>
              <w:fldChar w:fldCharType="end"/>
            </w:r>
          </w:hyperlink>
        </w:p>
        <w:p w14:paraId="5BED3974" w14:textId="5DF60F0C" w:rsidR="00C56C0F" w:rsidRDefault="00C56C0F">
          <w:pPr>
            <w:pStyle w:val="TOC3"/>
            <w:tabs>
              <w:tab w:val="right" w:leader="dot" w:pos="9465"/>
            </w:tabs>
            <w:rPr>
              <w:rFonts w:asciiTheme="minorHAnsi" w:eastAsiaTheme="minorEastAsia" w:hAnsiTheme="minorHAnsi" w:cstheme="minorBidi"/>
              <w:noProof/>
              <w:szCs w:val="22"/>
              <w:lang w:val="en-US" w:eastAsia="en-US"/>
            </w:rPr>
          </w:pPr>
          <w:hyperlink w:anchor="_Toc507425385" w:history="1">
            <w:r w:rsidRPr="00C21E6C">
              <w:rPr>
                <w:rStyle w:val="Hyperlink"/>
                <w:noProof/>
              </w:rPr>
              <w:t>Description Flow Calculation between NEMO Trading Hubs (NTHs)</w:t>
            </w:r>
            <w:r>
              <w:rPr>
                <w:noProof/>
                <w:webHidden/>
              </w:rPr>
              <w:tab/>
            </w:r>
            <w:r>
              <w:rPr>
                <w:noProof/>
                <w:webHidden/>
              </w:rPr>
              <w:fldChar w:fldCharType="begin"/>
            </w:r>
            <w:r>
              <w:rPr>
                <w:noProof/>
                <w:webHidden/>
              </w:rPr>
              <w:instrText xml:space="preserve"> PAGEREF _Toc507425385 \h </w:instrText>
            </w:r>
            <w:r>
              <w:rPr>
                <w:noProof/>
                <w:webHidden/>
              </w:rPr>
            </w:r>
            <w:r>
              <w:rPr>
                <w:noProof/>
                <w:webHidden/>
              </w:rPr>
              <w:fldChar w:fldCharType="separate"/>
            </w:r>
            <w:r w:rsidR="00FC1305">
              <w:rPr>
                <w:noProof/>
                <w:webHidden/>
              </w:rPr>
              <w:t>24</w:t>
            </w:r>
            <w:r>
              <w:rPr>
                <w:noProof/>
                <w:webHidden/>
              </w:rPr>
              <w:fldChar w:fldCharType="end"/>
            </w:r>
          </w:hyperlink>
        </w:p>
        <w:p w14:paraId="36C1F0C1" w14:textId="3FB963E2" w:rsidR="00C56C0F" w:rsidRDefault="00C56C0F">
          <w:pPr>
            <w:pStyle w:val="TOC1"/>
            <w:tabs>
              <w:tab w:val="right" w:leader="dot" w:pos="9465"/>
            </w:tabs>
            <w:rPr>
              <w:rFonts w:asciiTheme="minorHAnsi" w:eastAsiaTheme="minorEastAsia" w:hAnsiTheme="minorHAnsi" w:cstheme="minorBidi"/>
              <w:noProof/>
              <w:szCs w:val="22"/>
              <w:lang w:val="en-US" w:eastAsia="en-US"/>
            </w:rPr>
          </w:pPr>
          <w:hyperlink w:anchor="_Toc507425386" w:history="1">
            <w:r w:rsidRPr="00C21E6C">
              <w:rPr>
                <w:rStyle w:val="Hyperlink"/>
                <w:rFonts w:cs="Arial"/>
                <w:noProof/>
              </w:rPr>
              <w:t>ANNEX 2 – Functioning principles of the SDAC under MNA</w:t>
            </w:r>
            <w:r>
              <w:rPr>
                <w:noProof/>
                <w:webHidden/>
              </w:rPr>
              <w:tab/>
            </w:r>
            <w:r>
              <w:rPr>
                <w:noProof/>
                <w:webHidden/>
              </w:rPr>
              <w:fldChar w:fldCharType="begin"/>
            </w:r>
            <w:r>
              <w:rPr>
                <w:noProof/>
                <w:webHidden/>
              </w:rPr>
              <w:instrText xml:space="preserve"> PAGEREF _Toc507425386 \h </w:instrText>
            </w:r>
            <w:r>
              <w:rPr>
                <w:noProof/>
                <w:webHidden/>
              </w:rPr>
            </w:r>
            <w:r>
              <w:rPr>
                <w:noProof/>
                <w:webHidden/>
              </w:rPr>
              <w:fldChar w:fldCharType="separate"/>
            </w:r>
            <w:r w:rsidR="00FC1305">
              <w:rPr>
                <w:noProof/>
                <w:webHidden/>
              </w:rPr>
              <w:t>27</w:t>
            </w:r>
            <w:r>
              <w:rPr>
                <w:noProof/>
                <w:webHidden/>
              </w:rPr>
              <w:fldChar w:fldCharType="end"/>
            </w:r>
          </w:hyperlink>
        </w:p>
        <w:p w14:paraId="493DFF3E" w14:textId="2FE1CF3D" w:rsidR="00C56C0F" w:rsidRDefault="00C56C0F">
          <w:pPr>
            <w:pStyle w:val="TOC1"/>
            <w:tabs>
              <w:tab w:val="left" w:pos="440"/>
              <w:tab w:val="right" w:leader="dot" w:pos="9465"/>
            </w:tabs>
            <w:rPr>
              <w:rFonts w:asciiTheme="minorHAnsi" w:eastAsiaTheme="minorEastAsia" w:hAnsiTheme="minorHAnsi" w:cstheme="minorBidi"/>
              <w:noProof/>
              <w:szCs w:val="22"/>
              <w:lang w:val="en-US" w:eastAsia="en-US"/>
            </w:rPr>
          </w:pPr>
          <w:hyperlink w:anchor="_Toc507425387" w:history="1">
            <w:r w:rsidRPr="00C21E6C">
              <w:rPr>
                <w:rStyle w:val="Hyperlink"/>
                <w:noProof/>
              </w:rPr>
              <w:t>1.</w:t>
            </w:r>
            <w:r>
              <w:rPr>
                <w:rFonts w:asciiTheme="minorHAnsi" w:eastAsiaTheme="minorEastAsia" w:hAnsiTheme="minorHAnsi" w:cstheme="minorBidi"/>
                <w:noProof/>
                <w:szCs w:val="22"/>
                <w:lang w:val="en-US" w:eastAsia="en-US"/>
              </w:rPr>
              <w:tab/>
            </w:r>
            <w:r w:rsidRPr="00C21E6C">
              <w:rPr>
                <w:rStyle w:val="Hyperlink"/>
                <w:noProof/>
              </w:rPr>
              <w:t>Purpose of the document</w:t>
            </w:r>
            <w:r>
              <w:rPr>
                <w:noProof/>
                <w:webHidden/>
              </w:rPr>
              <w:tab/>
            </w:r>
            <w:r>
              <w:rPr>
                <w:noProof/>
                <w:webHidden/>
              </w:rPr>
              <w:fldChar w:fldCharType="begin"/>
            </w:r>
            <w:r>
              <w:rPr>
                <w:noProof/>
                <w:webHidden/>
              </w:rPr>
              <w:instrText xml:space="preserve"> PAGEREF _Toc507425387 \h </w:instrText>
            </w:r>
            <w:r>
              <w:rPr>
                <w:noProof/>
                <w:webHidden/>
              </w:rPr>
            </w:r>
            <w:r>
              <w:rPr>
                <w:noProof/>
                <w:webHidden/>
              </w:rPr>
              <w:fldChar w:fldCharType="separate"/>
            </w:r>
            <w:r w:rsidR="00FC1305">
              <w:rPr>
                <w:noProof/>
                <w:webHidden/>
              </w:rPr>
              <w:t>30</w:t>
            </w:r>
            <w:r>
              <w:rPr>
                <w:noProof/>
                <w:webHidden/>
              </w:rPr>
              <w:fldChar w:fldCharType="end"/>
            </w:r>
          </w:hyperlink>
        </w:p>
        <w:p w14:paraId="6A75D346" w14:textId="734A30C6" w:rsidR="00C56C0F" w:rsidRDefault="00C56C0F">
          <w:pPr>
            <w:pStyle w:val="TOC1"/>
            <w:tabs>
              <w:tab w:val="left" w:pos="440"/>
              <w:tab w:val="right" w:leader="dot" w:pos="9465"/>
            </w:tabs>
            <w:rPr>
              <w:rFonts w:asciiTheme="minorHAnsi" w:eastAsiaTheme="minorEastAsia" w:hAnsiTheme="minorHAnsi" w:cstheme="minorBidi"/>
              <w:noProof/>
              <w:szCs w:val="22"/>
              <w:lang w:val="en-US" w:eastAsia="en-US"/>
            </w:rPr>
          </w:pPr>
          <w:hyperlink w:anchor="_Toc507425388" w:history="1">
            <w:r w:rsidRPr="00C21E6C">
              <w:rPr>
                <w:rStyle w:val="Hyperlink"/>
                <w:noProof/>
              </w:rPr>
              <w:t>2.</w:t>
            </w:r>
            <w:r>
              <w:rPr>
                <w:rFonts w:asciiTheme="minorHAnsi" w:eastAsiaTheme="minorEastAsia" w:hAnsiTheme="minorHAnsi" w:cstheme="minorBidi"/>
                <w:noProof/>
                <w:szCs w:val="22"/>
                <w:lang w:val="en-US" w:eastAsia="en-US"/>
              </w:rPr>
              <w:tab/>
            </w:r>
            <w:r w:rsidRPr="00C21E6C">
              <w:rPr>
                <w:rStyle w:val="Hyperlink"/>
                <w:noProof/>
              </w:rPr>
              <w:t>Glossary</w:t>
            </w:r>
            <w:r>
              <w:rPr>
                <w:noProof/>
                <w:webHidden/>
              </w:rPr>
              <w:tab/>
            </w:r>
            <w:r>
              <w:rPr>
                <w:noProof/>
                <w:webHidden/>
              </w:rPr>
              <w:fldChar w:fldCharType="begin"/>
            </w:r>
            <w:r>
              <w:rPr>
                <w:noProof/>
                <w:webHidden/>
              </w:rPr>
              <w:instrText xml:space="preserve"> PAGEREF _Toc507425388 \h </w:instrText>
            </w:r>
            <w:r>
              <w:rPr>
                <w:noProof/>
                <w:webHidden/>
              </w:rPr>
            </w:r>
            <w:r>
              <w:rPr>
                <w:noProof/>
                <w:webHidden/>
              </w:rPr>
              <w:fldChar w:fldCharType="separate"/>
            </w:r>
            <w:r w:rsidR="00FC1305">
              <w:rPr>
                <w:noProof/>
                <w:webHidden/>
              </w:rPr>
              <w:t>30</w:t>
            </w:r>
            <w:r>
              <w:rPr>
                <w:noProof/>
                <w:webHidden/>
              </w:rPr>
              <w:fldChar w:fldCharType="end"/>
            </w:r>
          </w:hyperlink>
        </w:p>
        <w:p w14:paraId="453717E5" w14:textId="69F25449" w:rsidR="00C56C0F" w:rsidRDefault="00C56C0F">
          <w:pPr>
            <w:pStyle w:val="TOC1"/>
            <w:tabs>
              <w:tab w:val="left" w:pos="440"/>
              <w:tab w:val="right" w:leader="dot" w:pos="9465"/>
            </w:tabs>
            <w:rPr>
              <w:rFonts w:asciiTheme="minorHAnsi" w:eastAsiaTheme="minorEastAsia" w:hAnsiTheme="minorHAnsi" w:cstheme="minorBidi"/>
              <w:noProof/>
              <w:szCs w:val="22"/>
              <w:lang w:val="en-US" w:eastAsia="en-US"/>
            </w:rPr>
          </w:pPr>
          <w:hyperlink w:anchor="_Toc507425389" w:history="1">
            <w:r w:rsidRPr="00C21E6C">
              <w:rPr>
                <w:rStyle w:val="Hyperlink"/>
                <w:noProof/>
              </w:rPr>
              <w:t>3.</w:t>
            </w:r>
            <w:r>
              <w:rPr>
                <w:rFonts w:asciiTheme="minorHAnsi" w:eastAsiaTheme="minorEastAsia" w:hAnsiTheme="minorHAnsi" w:cstheme="minorBidi"/>
                <w:noProof/>
                <w:szCs w:val="22"/>
                <w:lang w:val="en-US" w:eastAsia="en-US"/>
              </w:rPr>
              <w:tab/>
            </w:r>
            <w:r w:rsidRPr="00C21E6C">
              <w:rPr>
                <w:rStyle w:val="Hyperlink"/>
                <w:noProof/>
              </w:rPr>
              <w:t>Euphemia MNA coupling process</w:t>
            </w:r>
            <w:r>
              <w:rPr>
                <w:noProof/>
                <w:webHidden/>
              </w:rPr>
              <w:tab/>
            </w:r>
            <w:r>
              <w:rPr>
                <w:noProof/>
                <w:webHidden/>
              </w:rPr>
              <w:fldChar w:fldCharType="begin"/>
            </w:r>
            <w:r>
              <w:rPr>
                <w:noProof/>
                <w:webHidden/>
              </w:rPr>
              <w:instrText xml:space="preserve"> PAGEREF _Toc507425389 \h </w:instrText>
            </w:r>
            <w:r>
              <w:rPr>
                <w:noProof/>
                <w:webHidden/>
              </w:rPr>
            </w:r>
            <w:r>
              <w:rPr>
                <w:noProof/>
                <w:webHidden/>
              </w:rPr>
              <w:fldChar w:fldCharType="separate"/>
            </w:r>
            <w:r w:rsidR="00FC1305">
              <w:rPr>
                <w:noProof/>
                <w:webHidden/>
              </w:rPr>
              <w:t>32</w:t>
            </w:r>
            <w:r>
              <w:rPr>
                <w:noProof/>
                <w:webHidden/>
              </w:rPr>
              <w:fldChar w:fldCharType="end"/>
            </w:r>
          </w:hyperlink>
        </w:p>
        <w:p w14:paraId="6D9C8282" w14:textId="41D73361" w:rsidR="00C56C0F" w:rsidRDefault="00C56C0F">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7425393" w:history="1">
            <w:r w:rsidRPr="00C21E6C">
              <w:rPr>
                <w:rStyle w:val="Hyperlink"/>
                <w:noProof/>
              </w:rPr>
              <w:t>3.1</w:t>
            </w:r>
            <w:r>
              <w:rPr>
                <w:rFonts w:asciiTheme="minorHAnsi" w:eastAsiaTheme="minorEastAsia" w:hAnsiTheme="minorHAnsi" w:cstheme="minorBidi"/>
                <w:noProof/>
                <w:szCs w:val="22"/>
                <w:lang w:val="en-US" w:eastAsia="en-US"/>
              </w:rPr>
              <w:tab/>
            </w:r>
            <w:r w:rsidRPr="00C21E6C">
              <w:rPr>
                <w:rStyle w:val="Hyperlink"/>
                <w:noProof/>
              </w:rPr>
              <w:t>Euphemia perspective on sequence of the coupling calculation process</w:t>
            </w:r>
            <w:r>
              <w:rPr>
                <w:noProof/>
                <w:webHidden/>
              </w:rPr>
              <w:tab/>
            </w:r>
            <w:r>
              <w:rPr>
                <w:noProof/>
                <w:webHidden/>
              </w:rPr>
              <w:fldChar w:fldCharType="begin"/>
            </w:r>
            <w:r>
              <w:rPr>
                <w:noProof/>
                <w:webHidden/>
              </w:rPr>
              <w:instrText xml:space="preserve"> PAGEREF _Toc507425393 \h </w:instrText>
            </w:r>
            <w:r>
              <w:rPr>
                <w:noProof/>
                <w:webHidden/>
              </w:rPr>
            </w:r>
            <w:r>
              <w:rPr>
                <w:noProof/>
                <w:webHidden/>
              </w:rPr>
              <w:fldChar w:fldCharType="separate"/>
            </w:r>
            <w:r w:rsidR="00FC1305">
              <w:rPr>
                <w:noProof/>
                <w:webHidden/>
              </w:rPr>
              <w:t>32</w:t>
            </w:r>
            <w:r>
              <w:rPr>
                <w:noProof/>
                <w:webHidden/>
              </w:rPr>
              <w:fldChar w:fldCharType="end"/>
            </w:r>
          </w:hyperlink>
        </w:p>
        <w:p w14:paraId="284798A8" w14:textId="25A8E38D" w:rsidR="00C56C0F" w:rsidRDefault="00C56C0F">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7425394" w:history="1">
            <w:r w:rsidRPr="00C21E6C">
              <w:rPr>
                <w:rStyle w:val="Hyperlink"/>
                <w:noProof/>
              </w:rPr>
              <w:t>3.2</w:t>
            </w:r>
            <w:r>
              <w:rPr>
                <w:rFonts w:asciiTheme="minorHAnsi" w:eastAsiaTheme="minorEastAsia" w:hAnsiTheme="minorHAnsi" w:cstheme="minorBidi"/>
                <w:noProof/>
                <w:szCs w:val="22"/>
                <w:lang w:val="en-US" w:eastAsia="en-US"/>
              </w:rPr>
              <w:tab/>
            </w:r>
            <w:r w:rsidRPr="00C21E6C">
              <w:rPr>
                <w:rStyle w:val="Hyperlink"/>
                <w:noProof/>
              </w:rPr>
              <w:t>Functioning of the order aggregation</w:t>
            </w:r>
            <w:r>
              <w:rPr>
                <w:noProof/>
                <w:webHidden/>
              </w:rPr>
              <w:tab/>
            </w:r>
            <w:r>
              <w:rPr>
                <w:noProof/>
                <w:webHidden/>
              </w:rPr>
              <w:fldChar w:fldCharType="begin"/>
            </w:r>
            <w:r>
              <w:rPr>
                <w:noProof/>
                <w:webHidden/>
              </w:rPr>
              <w:instrText xml:space="preserve"> PAGEREF _Toc507425394 \h </w:instrText>
            </w:r>
            <w:r>
              <w:rPr>
                <w:noProof/>
                <w:webHidden/>
              </w:rPr>
            </w:r>
            <w:r>
              <w:rPr>
                <w:noProof/>
                <w:webHidden/>
              </w:rPr>
              <w:fldChar w:fldCharType="separate"/>
            </w:r>
            <w:r w:rsidR="00FC1305">
              <w:rPr>
                <w:noProof/>
                <w:webHidden/>
              </w:rPr>
              <w:t>33</w:t>
            </w:r>
            <w:r>
              <w:rPr>
                <w:noProof/>
                <w:webHidden/>
              </w:rPr>
              <w:fldChar w:fldCharType="end"/>
            </w:r>
          </w:hyperlink>
        </w:p>
        <w:p w14:paraId="5DB8405E" w14:textId="1B4B95FE" w:rsidR="00C56C0F" w:rsidRDefault="00C56C0F">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7425395" w:history="1">
            <w:r w:rsidRPr="00C21E6C">
              <w:rPr>
                <w:rStyle w:val="Hyperlink"/>
                <w:noProof/>
              </w:rPr>
              <w:t>3.3</w:t>
            </w:r>
            <w:r>
              <w:rPr>
                <w:rFonts w:asciiTheme="minorHAnsi" w:eastAsiaTheme="minorEastAsia" w:hAnsiTheme="minorHAnsi" w:cstheme="minorBidi"/>
                <w:noProof/>
                <w:szCs w:val="22"/>
                <w:lang w:val="en-US" w:eastAsia="en-US"/>
              </w:rPr>
              <w:tab/>
            </w:r>
            <w:r w:rsidRPr="00C21E6C">
              <w:rPr>
                <w:rStyle w:val="Hyperlink"/>
                <w:noProof/>
              </w:rPr>
              <w:t>Zonal calculation</w:t>
            </w:r>
            <w:r>
              <w:rPr>
                <w:noProof/>
                <w:webHidden/>
              </w:rPr>
              <w:tab/>
            </w:r>
            <w:r>
              <w:rPr>
                <w:noProof/>
                <w:webHidden/>
              </w:rPr>
              <w:fldChar w:fldCharType="begin"/>
            </w:r>
            <w:r>
              <w:rPr>
                <w:noProof/>
                <w:webHidden/>
              </w:rPr>
              <w:instrText xml:space="preserve"> PAGEREF _Toc507425395 \h </w:instrText>
            </w:r>
            <w:r>
              <w:rPr>
                <w:noProof/>
                <w:webHidden/>
              </w:rPr>
            </w:r>
            <w:r>
              <w:rPr>
                <w:noProof/>
                <w:webHidden/>
              </w:rPr>
              <w:fldChar w:fldCharType="separate"/>
            </w:r>
            <w:r w:rsidR="00FC1305">
              <w:rPr>
                <w:noProof/>
                <w:webHidden/>
              </w:rPr>
              <w:t>35</w:t>
            </w:r>
            <w:r>
              <w:rPr>
                <w:noProof/>
                <w:webHidden/>
              </w:rPr>
              <w:fldChar w:fldCharType="end"/>
            </w:r>
          </w:hyperlink>
        </w:p>
        <w:p w14:paraId="008A401A" w14:textId="6F5AC396" w:rsidR="00C56C0F" w:rsidRDefault="00C56C0F">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7425396" w:history="1">
            <w:r w:rsidRPr="00C21E6C">
              <w:rPr>
                <w:rStyle w:val="Hyperlink"/>
                <w:noProof/>
              </w:rPr>
              <w:t>3.4</w:t>
            </w:r>
            <w:r>
              <w:rPr>
                <w:rFonts w:asciiTheme="minorHAnsi" w:eastAsiaTheme="minorEastAsia" w:hAnsiTheme="minorHAnsi" w:cstheme="minorBidi"/>
                <w:noProof/>
                <w:szCs w:val="22"/>
                <w:lang w:val="en-US" w:eastAsia="en-US"/>
              </w:rPr>
              <w:tab/>
            </w:r>
            <w:r w:rsidRPr="00C21E6C">
              <w:rPr>
                <w:rStyle w:val="Hyperlink"/>
                <w:noProof/>
              </w:rPr>
              <w:t>Functioning of the order de-aggregation</w:t>
            </w:r>
            <w:r>
              <w:rPr>
                <w:noProof/>
                <w:webHidden/>
              </w:rPr>
              <w:tab/>
            </w:r>
            <w:r>
              <w:rPr>
                <w:noProof/>
                <w:webHidden/>
              </w:rPr>
              <w:fldChar w:fldCharType="begin"/>
            </w:r>
            <w:r>
              <w:rPr>
                <w:noProof/>
                <w:webHidden/>
              </w:rPr>
              <w:instrText xml:space="preserve"> PAGEREF _Toc507425396 \h </w:instrText>
            </w:r>
            <w:r>
              <w:rPr>
                <w:noProof/>
                <w:webHidden/>
              </w:rPr>
            </w:r>
            <w:r>
              <w:rPr>
                <w:noProof/>
                <w:webHidden/>
              </w:rPr>
              <w:fldChar w:fldCharType="separate"/>
            </w:r>
            <w:r w:rsidR="00FC1305">
              <w:rPr>
                <w:noProof/>
                <w:webHidden/>
              </w:rPr>
              <w:t>35</w:t>
            </w:r>
            <w:r>
              <w:rPr>
                <w:noProof/>
                <w:webHidden/>
              </w:rPr>
              <w:fldChar w:fldCharType="end"/>
            </w:r>
          </w:hyperlink>
        </w:p>
        <w:p w14:paraId="52C9D2C7" w14:textId="27D131E1" w:rsidR="00C56C0F" w:rsidRDefault="00C56C0F">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7425409" w:history="1">
            <w:r w:rsidRPr="00C21E6C">
              <w:rPr>
                <w:rStyle w:val="Hyperlink"/>
                <w:noProof/>
              </w:rPr>
              <w:t>3.5</w:t>
            </w:r>
            <w:r>
              <w:rPr>
                <w:rFonts w:asciiTheme="minorHAnsi" w:eastAsiaTheme="minorEastAsia" w:hAnsiTheme="minorHAnsi" w:cstheme="minorBidi"/>
                <w:noProof/>
                <w:szCs w:val="22"/>
                <w:lang w:val="en-US" w:eastAsia="en-US"/>
              </w:rPr>
              <w:tab/>
            </w:r>
            <w:r w:rsidRPr="00C21E6C">
              <w:rPr>
                <w:rStyle w:val="Hyperlink"/>
                <w:noProof/>
              </w:rPr>
              <w:t>Functioning and coherence of the 3 flow calculation steps</w:t>
            </w:r>
            <w:r>
              <w:rPr>
                <w:noProof/>
                <w:webHidden/>
              </w:rPr>
              <w:tab/>
            </w:r>
            <w:r>
              <w:rPr>
                <w:noProof/>
                <w:webHidden/>
              </w:rPr>
              <w:fldChar w:fldCharType="begin"/>
            </w:r>
            <w:r>
              <w:rPr>
                <w:noProof/>
                <w:webHidden/>
              </w:rPr>
              <w:instrText xml:space="preserve"> PAGEREF _Toc507425409 \h </w:instrText>
            </w:r>
            <w:r>
              <w:rPr>
                <w:noProof/>
                <w:webHidden/>
              </w:rPr>
            </w:r>
            <w:r>
              <w:rPr>
                <w:noProof/>
                <w:webHidden/>
              </w:rPr>
              <w:fldChar w:fldCharType="separate"/>
            </w:r>
            <w:r w:rsidR="00FC1305">
              <w:rPr>
                <w:noProof/>
                <w:webHidden/>
              </w:rPr>
              <w:t>35</w:t>
            </w:r>
            <w:r>
              <w:rPr>
                <w:noProof/>
                <w:webHidden/>
              </w:rPr>
              <w:fldChar w:fldCharType="end"/>
            </w:r>
          </w:hyperlink>
        </w:p>
        <w:p w14:paraId="23A7F204" w14:textId="255CA3D5" w:rsidR="00C56C0F" w:rsidRDefault="00C56C0F">
          <w:pPr>
            <w:pStyle w:val="TOC3"/>
            <w:tabs>
              <w:tab w:val="left" w:pos="1320"/>
              <w:tab w:val="right" w:leader="dot" w:pos="9465"/>
            </w:tabs>
            <w:rPr>
              <w:rFonts w:asciiTheme="minorHAnsi" w:eastAsiaTheme="minorEastAsia" w:hAnsiTheme="minorHAnsi" w:cstheme="minorBidi"/>
              <w:noProof/>
              <w:szCs w:val="22"/>
              <w:lang w:val="en-US" w:eastAsia="en-US"/>
            </w:rPr>
          </w:pPr>
          <w:hyperlink w:anchor="_Toc507425411" w:history="1">
            <w:r w:rsidRPr="00C21E6C">
              <w:rPr>
                <w:rStyle w:val="Hyperlink"/>
                <w:noProof/>
              </w:rPr>
              <w:t>3.5.1</w:t>
            </w:r>
            <w:r>
              <w:rPr>
                <w:rFonts w:asciiTheme="minorHAnsi" w:eastAsiaTheme="minorEastAsia" w:hAnsiTheme="minorHAnsi" w:cstheme="minorBidi"/>
                <w:noProof/>
                <w:szCs w:val="22"/>
                <w:lang w:val="en-US" w:eastAsia="en-US"/>
              </w:rPr>
              <w:tab/>
            </w:r>
            <w:r w:rsidRPr="00C21E6C">
              <w:rPr>
                <w:rStyle w:val="Hyperlink"/>
                <w:noProof/>
              </w:rPr>
              <w:t>Flow calculation between Bidding Zones (BZ)</w:t>
            </w:r>
            <w:r>
              <w:rPr>
                <w:noProof/>
                <w:webHidden/>
              </w:rPr>
              <w:tab/>
            </w:r>
            <w:r>
              <w:rPr>
                <w:noProof/>
                <w:webHidden/>
              </w:rPr>
              <w:fldChar w:fldCharType="begin"/>
            </w:r>
            <w:r>
              <w:rPr>
                <w:noProof/>
                <w:webHidden/>
              </w:rPr>
              <w:instrText xml:space="preserve"> PAGEREF _Toc507425411 \h </w:instrText>
            </w:r>
            <w:r>
              <w:rPr>
                <w:noProof/>
                <w:webHidden/>
              </w:rPr>
            </w:r>
            <w:r>
              <w:rPr>
                <w:noProof/>
                <w:webHidden/>
              </w:rPr>
              <w:fldChar w:fldCharType="separate"/>
            </w:r>
            <w:r w:rsidR="00FC1305">
              <w:rPr>
                <w:noProof/>
                <w:webHidden/>
              </w:rPr>
              <w:t>37</w:t>
            </w:r>
            <w:r>
              <w:rPr>
                <w:noProof/>
                <w:webHidden/>
              </w:rPr>
              <w:fldChar w:fldCharType="end"/>
            </w:r>
          </w:hyperlink>
        </w:p>
        <w:p w14:paraId="7CFC3A99" w14:textId="724014D7" w:rsidR="00C56C0F" w:rsidRDefault="00C56C0F">
          <w:pPr>
            <w:pStyle w:val="TOC3"/>
            <w:tabs>
              <w:tab w:val="left" w:pos="1320"/>
              <w:tab w:val="right" w:leader="dot" w:pos="9465"/>
            </w:tabs>
            <w:rPr>
              <w:rFonts w:asciiTheme="minorHAnsi" w:eastAsiaTheme="minorEastAsia" w:hAnsiTheme="minorHAnsi" w:cstheme="minorBidi"/>
              <w:noProof/>
              <w:szCs w:val="22"/>
              <w:lang w:val="en-US" w:eastAsia="en-US"/>
            </w:rPr>
          </w:pPr>
          <w:hyperlink w:anchor="_Toc507425412" w:history="1">
            <w:r w:rsidRPr="00C21E6C">
              <w:rPr>
                <w:rStyle w:val="Hyperlink"/>
                <w:noProof/>
              </w:rPr>
              <w:t>3.5.2</w:t>
            </w:r>
            <w:r>
              <w:rPr>
                <w:rFonts w:asciiTheme="minorHAnsi" w:eastAsiaTheme="minorEastAsia" w:hAnsiTheme="minorHAnsi" w:cstheme="minorBidi"/>
                <w:noProof/>
                <w:szCs w:val="22"/>
                <w:lang w:val="en-US" w:eastAsia="en-US"/>
              </w:rPr>
              <w:tab/>
            </w:r>
            <w:r w:rsidRPr="00C21E6C">
              <w:rPr>
                <w:rStyle w:val="Hyperlink"/>
                <w:noProof/>
              </w:rPr>
              <w:t>Flow calculation between Scheduling Areas (SA)</w:t>
            </w:r>
            <w:r>
              <w:rPr>
                <w:noProof/>
                <w:webHidden/>
              </w:rPr>
              <w:tab/>
            </w:r>
            <w:r>
              <w:rPr>
                <w:noProof/>
                <w:webHidden/>
              </w:rPr>
              <w:fldChar w:fldCharType="begin"/>
            </w:r>
            <w:r>
              <w:rPr>
                <w:noProof/>
                <w:webHidden/>
              </w:rPr>
              <w:instrText xml:space="preserve"> PAGEREF _Toc507425412 \h </w:instrText>
            </w:r>
            <w:r>
              <w:rPr>
                <w:noProof/>
                <w:webHidden/>
              </w:rPr>
            </w:r>
            <w:r>
              <w:rPr>
                <w:noProof/>
                <w:webHidden/>
              </w:rPr>
              <w:fldChar w:fldCharType="separate"/>
            </w:r>
            <w:r w:rsidR="00FC1305">
              <w:rPr>
                <w:noProof/>
                <w:webHidden/>
              </w:rPr>
              <w:t>40</w:t>
            </w:r>
            <w:r>
              <w:rPr>
                <w:noProof/>
                <w:webHidden/>
              </w:rPr>
              <w:fldChar w:fldCharType="end"/>
            </w:r>
          </w:hyperlink>
        </w:p>
        <w:p w14:paraId="7360F3CB" w14:textId="1B5AA8F4" w:rsidR="00C56C0F" w:rsidRDefault="00C56C0F">
          <w:pPr>
            <w:pStyle w:val="TOC3"/>
            <w:tabs>
              <w:tab w:val="left" w:pos="1320"/>
              <w:tab w:val="right" w:leader="dot" w:pos="9465"/>
            </w:tabs>
            <w:rPr>
              <w:rFonts w:asciiTheme="minorHAnsi" w:eastAsiaTheme="minorEastAsia" w:hAnsiTheme="minorHAnsi" w:cstheme="minorBidi"/>
              <w:noProof/>
              <w:szCs w:val="22"/>
              <w:lang w:val="en-US" w:eastAsia="en-US"/>
            </w:rPr>
          </w:pPr>
          <w:hyperlink w:anchor="_Toc507425413" w:history="1">
            <w:r w:rsidRPr="00C21E6C">
              <w:rPr>
                <w:rStyle w:val="Hyperlink"/>
                <w:noProof/>
              </w:rPr>
              <w:t>3.5.3</w:t>
            </w:r>
            <w:r>
              <w:rPr>
                <w:rFonts w:asciiTheme="minorHAnsi" w:eastAsiaTheme="minorEastAsia" w:hAnsiTheme="minorHAnsi" w:cstheme="minorBidi"/>
                <w:noProof/>
                <w:szCs w:val="22"/>
                <w:lang w:val="en-US" w:eastAsia="en-US"/>
              </w:rPr>
              <w:tab/>
            </w:r>
            <w:r w:rsidRPr="00C21E6C">
              <w:rPr>
                <w:rStyle w:val="Hyperlink"/>
                <w:noProof/>
              </w:rPr>
              <w:t>SEC Backup calculation process (degraded mode)</w:t>
            </w:r>
            <w:r>
              <w:rPr>
                <w:noProof/>
                <w:webHidden/>
              </w:rPr>
              <w:tab/>
            </w:r>
            <w:r>
              <w:rPr>
                <w:noProof/>
                <w:webHidden/>
              </w:rPr>
              <w:fldChar w:fldCharType="begin"/>
            </w:r>
            <w:r>
              <w:rPr>
                <w:noProof/>
                <w:webHidden/>
              </w:rPr>
              <w:instrText xml:space="preserve"> PAGEREF _Toc507425413 \h </w:instrText>
            </w:r>
            <w:r>
              <w:rPr>
                <w:noProof/>
                <w:webHidden/>
              </w:rPr>
            </w:r>
            <w:r>
              <w:rPr>
                <w:noProof/>
                <w:webHidden/>
              </w:rPr>
              <w:fldChar w:fldCharType="separate"/>
            </w:r>
            <w:r w:rsidR="00FC1305">
              <w:rPr>
                <w:noProof/>
                <w:webHidden/>
              </w:rPr>
              <w:t>44</w:t>
            </w:r>
            <w:r>
              <w:rPr>
                <w:noProof/>
                <w:webHidden/>
              </w:rPr>
              <w:fldChar w:fldCharType="end"/>
            </w:r>
          </w:hyperlink>
        </w:p>
        <w:p w14:paraId="6975A875" w14:textId="10C598B7" w:rsidR="00C56C0F" w:rsidRDefault="00C56C0F">
          <w:pPr>
            <w:pStyle w:val="TOC3"/>
            <w:tabs>
              <w:tab w:val="left" w:pos="1320"/>
              <w:tab w:val="right" w:leader="dot" w:pos="9465"/>
            </w:tabs>
            <w:rPr>
              <w:rFonts w:asciiTheme="minorHAnsi" w:eastAsiaTheme="minorEastAsia" w:hAnsiTheme="minorHAnsi" w:cstheme="minorBidi"/>
              <w:noProof/>
              <w:szCs w:val="22"/>
              <w:lang w:val="en-US" w:eastAsia="en-US"/>
            </w:rPr>
          </w:pPr>
          <w:hyperlink w:anchor="_Toc507425414" w:history="1">
            <w:r w:rsidRPr="00C21E6C">
              <w:rPr>
                <w:rStyle w:val="Hyperlink"/>
                <w:noProof/>
              </w:rPr>
              <w:t>3.5.4</w:t>
            </w:r>
            <w:r>
              <w:rPr>
                <w:rFonts w:asciiTheme="minorHAnsi" w:eastAsiaTheme="minorEastAsia" w:hAnsiTheme="minorHAnsi" w:cstheme="minorBidi"/>
                <w:noProof/>
                <w:szCs w:val="22"/>
                <w:lang w:val="en-US" w:eastAsia="en-US"/>
              </w:rPr>
              <w:tab/>
            </w:r>
            <w:r w:rsidRPr="00C21E6C">
              <w:rPr>
                <w:rStyle w:val="Hyperlink"/>
                <w:noProof/>
              </w:rPr>
              <w:t>Rounding solution</w:t>
            </w:r>
            <w:r>
              <w:rPr>
                <w:noProof/>
                <w:webHidden/>
              </w:rPr>
              <w:tab/>
            </w:r>
            <w:r>
              <w:rPr>
                <w:noProof/>
                <w:webHidden/>
              </w:rPr>
              <w:fldChar w:fldCharType="begin"/>
            </w:r>
            <w:r>
              <w:rPr>
                <w:noProof/>
                <w:webHidden/>
              </w:rPr>
              <w:instrText xml:space="preserve"> PAGEREF _Toc507425414 \h </w:instrText>
            </w:r>
            <w:r>
              <w:rPr>
                <w:noProof/>
                <w:webHidden/>
              </w:rPr>
            </w:r>
            <w:r>
              <w:rPr>
                <w:noProof/>
                <w:webHidden/>
              </w:rPr>
              <w:fldChar w:fldCharType="separate"/>
            </w:r>
            <w:r w:rsidR="00FC1305">
              <w:rPr>
                <w:noProof/>
                <w:webHidden/>
              </w:rPr>
              <w:t>50</w:t>
            </w:r>
            <w:r>
              <w:rPr>
                <w:noProof/>
                <w:webHidden/>
              </w:rPr>
              <w:fldChar w:fldCharType="end"/>
            </w:r>
          </w:hyperlink>
        </w:p>
        <w:p w14:paraId="61CC7821" w14:textId="6139D726" w:rsidR="00C56C0F" w:rsidRDefault="00C56C0F">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7425415" w:history="1">
            <w:r w:rsidRPr="00C21E6C">
              <w:rPr>
                <w:rStyle w:val="Hyperlink"/>
                <w:noProof/>
              </w:rPr>
              <w:t>3.6</w:t>
            </w:r>
            <w:r>
              <w:rPr>
                <w:rFonts w:asciiTheme="minorHAnsi" w:eastAsiaTheme="minorEastAsia" w:hAnsiTheme="minorHAnsi" w:cstheme="minorBidi"/>
                <w:noProof/>
                <w:szCs w:val="22"/>
                <w:lang w:val="en-US" w:eastAsia="en-US"/>
              </w:rPr>
              <w:tab/>
            </w:r>
            <w:r w:rsidRPr="00C21E6C">
              <w:rPr>
                <w:rStyle w:val="Hyperlink"/>
                <w:noProof/>
              </w:rPr>
              <w:t>Solution validation</w:t>
            </w:r>
            <w:r>
              <w:rPr>
                <w:noProof/>
                <w:webHidden/>
              </w:rPr>
              <w:tab/>
            </w:r>
            <w:r>
              <w:rPr>
                <w:noProof/>
                <w:webHidden/>
              </w:rPr>
              <w:fldChar w:fldCharType="begin"/>
            </w:r>
            <w:r>
              <w:rPr>
                <w:noProof/>
                <w:webHidden/>
              </w:rPr>
              <w:instrText xml:space="preserve"> PAGEREF _Toc507425415 \h </w:instrText>
            </w:r>
            <w:r>
              <w:rPr>
                <w:noProof/>
                <w:webHidden/>
              </w:rPr>
            </w:r>
            <w:r>
              <w:rPr>
                <w:noProof/>
                <w:webHidden/>
              </w:rPr>
              <w:fldChar w:fldCharType="separate"/>
            </w:r>
            <w:r w:rsidR="00FC1305">
              <w:rPr>
                <w:noProof/>
                <w:webHidden/>
              </w:rPr>
              <w:t>55</w:t>
            </w:r>
            <w:r>
              <w:rPr>
                <w:noProof/>
                <w:webHidden/>
              </w:rPr>
              <w:fldChar w:fldCharType="end"/>
            </w:r>
          </w:hyperlink>
        </w:p>
        <w:p w14:paraId="7C296BD7" w14:textId="288C24D1" w:rsidR="00C56C0F" w:rsidRDefault="00C56C0F">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7425416" w:history="1">
            <w:r w:rsidRPr="00C21E6C">
              <w:rPr>
                <w:rStyle w:val="Hyperlink"/>
                <w:noProof/>
              </w:rPr>
              <w:t>3.7</w:t>
            </w:r>
            <w:r>
              <w:rPr>
                <w:rFonts w:asciiTheme="minorHAnsi" w:eastAsiaTheme="minorEastAsia" w:hAnsiTheme="minorHAnsi" w:cstheme="minorBidi"/>
                <w:noProof/>
                <w:szCs w:val="22"/>
                <w:lang w:val="en-US" w:eastAsia="en-US"/>
              </w:rPr>
              <w:tab/>
            </w:r>
            <w:r w:rsidRPr="00C21E6C">
              <w:rPr>
                <w:rStyle w:val="Hyperlink"/>
                <w:noProof/>
              </w:rPr>
              <w:t>Change Control</w:t>
            </w:r>
            <w:r>
              <w:rPr>
                <w:noProof/>
                <w:webHidden/>
              </w:rPr>
              <w:tab/>
            </w:r>
            <w:r>
              <w:rPr>
                <w:noProof/>
                <w:webHidden/>
              </w:rPr>
              <w:fldChar w:fldCharType="begin"/>
            </w:r>
            <w:r>
              <w:rPr>
                <w:noProof/>
                <w:webHidden/>
              </w:rPr>
              <w:instrText xml:space="preserve"> PAGEREF _Toc507425416 \h </w:instrText>
            </w:r>
            <w:r>
              <w:rPr>
                <w:noProof/>
                <w:webHidden/>
              </w:rPr>
            </w:r>
            <w:r>
              <w:rPr>
                <w:noProof/>
                <w:webHidden/>
              </w:rPr>
              <w:fldChar w:fldCharType="separate"/>
            </w:r>
            <w:r w:rsidR="00FC1305">
              <w:rPr>
                <w:noProof/>
                <w:webHidden/>
              </w:rPr>
              <w:t>55</w:t>
            </w:r>
            <w:r>
              <w:rPr>
                <w:noProof/>
                <w:webHidden/>
              </w:rPr>
              <w:fldChar w:fldCharType="end"/>
            </w:r>
          </w:hyperlink>
        </w:p>
        <w:p w14:paraId="5C1B1FD9" w14:textId="2FC15B90" w:rsidR="00C56C0F" w:rsidRDefault="00C56C0F">
          <w:pPr>
            <w:pStyle w:val="TOC1"/>
            <w:tabs>
              <w:tab w:val="left" w:pos="440"/>
              <w:tab w:val="right" w:leader="dot" w:pos="9465"/>
            </w:tabs>
            <w:rPr>
              <w:rFonts w:asciiTheme="minorHAnsi" w:eastAsiaTheme="minorEastAsia" w:hAnsiTheme="minorHAnsi" w:cstheme="minorBidi"/>
              <w:noProof/>
              <w:szCs w:val="22"/>
              <w:lang w:val="en-US" w:eastAsia="en-US"/>
            </w:rPr>
          </w:pPr>
          <w:hyperlink w:anchor="_Toc507425418" w:history="1">
            <w:r w:rsidRPr="00C21E6C">
              <w:rPr>
                <w:rStyle w:val="Hyperlink"/>
                <w:noProof/>
              </w:rPr>
              <w:t>4.</w:t>
            </w:r>
            <w:r>
              <w:rPr>
                <w:rFonts w:asciiTheme="minorHAnsi" w:eastAsiaTheme="minorEastAsia" w:hAnsiTheme="minorHAnsi" w:cstheme="minorBidi"/>
                <w:noProof/>
                <w:szCs w:val="22"/>
                <w:lang w:val="en-US" w:eastAsia="en-US"/>
              </w:rPr>
              <w:tab/>
            </w:r>
            <w:r w:rsidRPr="00C21E6C">
              <w:rPr>
                <w:rStyle w:val="Hyperlink"/>
                <w:noProof/>
              </w:rPr>
              <w:t>Procedures</w:t>
            </w:r>
            <w:r>
              <w:rPr>
                <w:noProof/>
                <w:webHidden/>
              </w:rPr>
              <w:tab/>
            </w:r>
            <w:r>
              <w:rPr>
                <w:noProof/>
                <w:webHidden/>
              </w:rPr>
              <w:fldChar w:fldCharType="begin"/>
            </w:r>
            <w:r>
              <w:rPr>
                <w:noProof/>
                <w:webHidden/>
              </w:rPr>
              <w:instrText xml:space="preserve"> PAGEREF _Toc507425418 \h </w:instrText>
            </w:r>
            <w:r>
              <w:rPr>
                <w:noProof/>
                <w:webHidden/>
              </w:rPr>
            </w:r>
            <w:r>
              <w:rPr>
                <w:noProof/>
                <w:webHidden/>
              </w:rPr>
              <w:fldChar w:fldCharType="separate"/>
            </w:r>
            <w:r w:rsidR="00FC1305">
              <w:rPr>
                <w:noProof/>
                <w:webHidden/>
              </w:rPr>
              <w:t>57</w:t>
            </w:r>
            <w:r>
              <w:rPr>
                <w:noProof/>
                <w:webHidden/>
              </w:rPr>
              <w:fldChar w:fldCharType="end"/>
            </w:r>
          </w:hyperlink>
        </w:p>
        <w:p w14:paraId="17A1B4B5" w14:textId="34A92CB5" w:rsidR="00C56C0F" w:rsidRDefault="00C56C0F">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7425422" w:history="1">
            <w:r w:rsidRPr="00C21E6C">
              <w:rPr>
                <w:rStyle w:val="Hyperlink"/>
                <w:noProof/>
              </w:rPr>
              <w:t>4.1</w:t>
            </w:r>
            <w:r>
              <w:rPr>
                <w:rFonts w:asciiTheme="minorHAnsi" w:eastAsiaTheme="minorEastAsia" w:hAnsiTheme="minorHAnsi" w:cstheme="minorBidi"/>
                <w:noProof/>
                <w:szCs w:val="22"/>
                <w:lang w:val="en-US" w:eastAsia="en-US"/>
              </w:rPr>
              <w:tab/>
            </w:r>
            <w:r w:rsidRPr="00C21E6C">
              <w:rPr>
                <w:rStyle w:val="Hyperlink"/>
                <w:noProof/>
              </w:rPr>
              <w:t>Normal Procedures</w:t>
            </w:r>
            <w:r>
              <w:rPr>
                <w:noProof/>
                <w:webHidden/>
              </w:rPr>
              <w:tab/>
            </w:r>
            <w:r>
              <w:rPr>
                <w:noProof/>
                <w:webHidden/>
              </w:rPr>
              <w:fldChar w:fldCharType="begin"/>
            </w:r>
            <w:r>
              <w:rPr>
                <w:noProof/>
                <w:webHidden/>
              </w:rPr>
              <w:instrText xml:space="preserve"> PAGEREF _Toc507425422 \h </w:instrText>
            </w:r>
            <w:r>
              <w:rPr>
                <w:noProof/>
                <w:webHidden/>
              </w:rPr>
            </w:r>
            <w:r>
              <w:rPr>
                <w:noProof/>
                <w:webHidden/>
              </w:rPr>
              <w:fldChar w:fldCharType="separate"/>
            </w:r>
            <w:r w:rsidR="00FC1305">
              <w:rPr>
                <w:noProof/>
                <w:webHidden/>
              </w:rPr>
              <w:t>57</w:t>
            </w:r>
            <w:r>
              <w:rPr>
                <w:noProof/>
                <w:webHidden/>
              </w:rPr>
              <w:fldChar w:fldCharType="end"/>
            </w:r>
          </w:hyperlink>
        </w:p>
        <w:p w14:paraId="319E344F" w14:textId="76E67CCE" w:rsidR="00C56C0F" w:rsidRDefault="00C56C0F">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7425423" w:history="1">
            <w:r w:rsidRPr="00C21E6C">
              <w:rPr>
                <w:rStyle w:val="Hyperlink"/>
                <w:noProof/>
              </w:rPr>
              <w:t>4.2</w:t>
            </w:r>
            <w:r>
              <w:rPr>
                <w:rFonts w:asciiTheme="minorHAnsi" w:eastAsiaTheme="minorEastAsia" w:hAnsiTheme="minorHAnsi" w:cstheme="minorBidi"/>
                <w:noProof/>
                <w:szCs w:val="22"/>
                <w:lang w:val="en-US" w:eastAsia="en-US"/>
              </w:rPr>
              <w:tab/>
            </w:r>
            <w:r w:rsidRPr="00C21E6C">
              <w:rPr>
                <w:rStyle w:val="Hyperlink"/>
                <w:noProof/>
              </w:rPr>
              <w:t>SEC Degraded Mode</w:t>
            </w:r>
            <w:r>
              <w:rPr>
                <w:noProof/>
                <w:webHidden/>
              </w:rPr>
              <w:tab/>
            </w:r>
            <w:r>
              <w:rPr>
                <w:noProof/>
                <w:webHidden/>
              </w:rPr>
              <w:fldChar w:fldCharType="begin"/>
            </w:r>
            <w:r>
              <w:rPr>
                <w:noProof/>
                <w:webHidden/>
              </w:rPr>
              <w:instrText xml:space="preserve"> PAGEREF _Toc507425423 \h </w:instrText>
            </w:r>
            <w:r>
              <w:rPr>
                <w:noProof/>
                <w:webHidden/>
              </w:rPr>
            </w:r>
            <w:r>
              <w:rPr>
                <w:noProof/>
                <w:webHidden/>
              </w:rPr>
              <w:fldChar w:fldCharType="separate"/>
            </w:r>
            <w:r w:rsidR="00FC1305">
              <w:rPr>
                <w:noProof/>
                <w:webHidden/>
              </w:rPr>
              <w:t>58</w:t>
            </w:r>
            <w:r>
              <w:rPr>
                <w:noProof/>
                <w:webHidden/>
              </w:rPr>
              <w:fldChar w:fldCharType="end"/>
            </w:r>
          </w:hyperlink>
        </w:p>
        <w:p w14:paraId="1D498927" w14:textId="059030E7" w:rsidR="00C56C0F" w:rsidRDefault="00C56C0F">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7425424" w:history="1">
            <w:r w:rsidRPr="00C21E6C">
              <w:rPr>
                <w:rStyle w:val="Hyperlink"/>
                <w:noProof/>
              </w:rPr>
              <w:t>4.3</w:t>
            </w:r>
            <w:r>
              <w:rPr>
                <w:rFonts w:asciiTheme="minorHAnsi" w:eastAsiaTheme="minorEastAsia" w:hAnsiTheme="minorHAnsi" w:cstheme="minorBidi"/>
                <w:noProof/>
                <w:szCs w:val="22"/>
                <w:lang w:val="en-US" w:eastAsia="en-US"/>
              </w:rPr>
              <w:tab/>
            </w:r>
            <w:r w:rsidRPr="00C21E6C">
              <w:rPr>
                <w:rStyle w:val="Hyperlink"/>
                <w:noProof/>
              </w:rPr>
              <w:t>Decoupling Procedures</w:t>
            </w:r>
            <w:r>
              <w:rPr>
                <w:noProof/>
                <w:webHidden/>
              </w:rPr>
              <w:tab/>
            </w:r>
            <w:r>
              <w:rPr>
                <w:noProof/>
                <w:webHidden/>
              </w:rPr>
              <w:fldChar w:fldCharType="begin"/>
            </w:r>
            <w:r>
              <w:rPr>
                <w:noProof/>
                <w:webHidden/>
              </w:rPr>
              <w:instrText xml:space="preserve"> PAGEREF _Toc507425424 \h </w:instrText>
            </w:r>
            <w:r>
              <w:rPr>
                <w:noProof/>
                <w:webHidden/>
              </w:rPr>
            </w:r>
            <w:r>
              <w:rPr>
                <w:noProof/>
                <w:webHidden/>
              </w:rPr>
              <w:fldChar w:fldCharType="separate"/>
            </w:r>
            <w:r w:rsidR="00FC1305">
              <w:rPr>
                <w:noProof/>
                <w:webHidden/>
              </w:rPr>
              <w:t>58</w:t>
            </w:r>
            <w:r>
              <w:rPr>
                <w:noProof/>
                <w:webHidden/>
              </w:rPr>
              <w:fldChar w:fldCharType="end"/>
            </w:r>
          </w:hyperlink>
        </w:p>
        <w:p w14:paraId="291F5777" w14:textId="20AAE2DF" w:rsidR="00C56C0F" w:rsidRDefault="00C56C0F">
          <w:pPr>
            <w:pStyle w:val="TOC1"/>
            <w:tabs>
              <w:tab w:val="left" w:pos="440"/>
              <w:tab w:val="right" w:leader="dot" w:pos="9465"/>
            </w:tabs>
            <w:rPr>
              <w:rFonts w:asciiTheme="minorHAnsi" w:eastAsiaTheme="minorEastAsia" w:hAnsiTheme="minorHAnsi" w:cstheme="minorBidi"/>
              <w:noProof/>
              <w:szCs w:val="22"/>
              <w:lang w:val="en-US" w:eastAsia="en-US"/>
            </w:rPr>
          </w:pPr>
          <w:hyperlink w:anchor="_Toc507425425" w:history="1">
            <w:r w:rsidRPr="00C21E6C">
              <w:rPr>
                <w:rStyle w:val="Hyperlink"/>
                <w:noProof/>
              </w:rPr>
              <w:t>5</w:t>
            </w:r>
            <w:r>
              <w:rPr>
                <w:rFonts w:asciiTheme="minorHAnsi" w:eastAsiaTheme="minorEastAsia" w:hAnsiTheme="minorHAnsi" w:cstheme="minorBidi"/>
                <w:noProof/>
                <w:szCs w:val="22"/>
                <w:lang w:val="en-US" w:eastAsia="en-US"/>
              </w:rPr>
              <w:tab/>
            </w:r>
            <w:r w:rsidRPr="00C21E6C">
              <w:rPr>
                <w:rStyle w:val="Hyperlink"/>
                <w:noProof/>
              </w:rPr>
              <w:t>PMB requirements</w:t>
            </w:r>
            <w:r>
              <w:rPr>
                <w:noProof/>
                <w:webHidden/>
              </w:rPr>
              <w:tab/>
            </w:r>
            <w:r>
              <w:rPr>
                <w:noProof/>
                <w:webHidden/>
              </w:rPr>
              <w:fldChar w:fldCharType="begin"/>
            </w:r>
            <w:r>
              <w:rPr>
                <w:noProof/>
                <w:webHidden/>
              </w:rPr>
              <w:instrText xml:space="preserve"> PAGEREF _Toc507425425 \h </w:instrText>
            </w:r>
            <w:r>
              <w:rPr>
                <w:noProof/>
                <w:webHidden/>
              </w:rPr>
            </w:r>
            <w:r>
              <w:rPr>
                <w:noProof/>
                <w:webHidden/>
              </w:rPr>
              <w:fldChar w:fldCharType="separate"/>
            </w:r>
            <w:r w:rsidR="00FC1305">
              <w:rPr>
                <w:noProof/>
                <w:webHidden/>
              </w:rPr>
              <w:t>60</w:t>
            </w:r>
            <w:r>
              <w:rPr>
                <w:noProof/>
                <w:webHidden/>
              </w:rPr>
              <w:fldChar w:fldCharType="end"/>
            </w:r>
          </w:hyperlink>
        </w:p>
        <w:p w14:paraId="326B2FD9" w14:textId="4282E036" w:rsidR="00C56C0F" w:rsidRDefault="00C56C0F">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7425426" w:history="1">
            <w:r w:rsidRPr="00C21E6C">
              <w:rPr>
                <w:rStyle w:val="Hyperlink"/>
                <w:noProof/>
              </w:rPr>
              <w:t>5.1</w:t>
            </w:r>
            <w:r>
              <w:rPr>
                <w:rFonts w:asciiTheme="minorHAnsi" w:eastAsiaTheme="minorEastAsia" w:hAnsiTheme="minorHAnsi" w:cstheme="minorBidi"/>
                <w:noProof/>
                <w:szCs w:val="22"/>
                <w:lang w:val="en-US" w:eastAsia="en-US"/>
              </w:rPr>
              <w:tab/>
            </w:r>
            <w:r w:rsidRPr="00C21E6C">
              <w:rPr>
                <w:rStyle w:val="Hyperlink"/>
                <w:noProof/>
              </w:rPr>
              <w:t>Shared Configuration file changes</w:t>
            </w:r>
            <w:r>
              <w:rPr>
                <w:noProof/>
                <w:webHidden/>
              </w:rPr>
              <w:tab/>
            </w:r>
            <w:r>
              <w:rPr>
                <w:noProof/>
                <w:webHidden/>
              </w:rPr>
              <w:fldChar w:fldCharType="begin"/>
            </w:r>
            <w:r>
              <w:rPr>
                <w:noProof/>
                <w:webHidden/>
              </w:rPr>
              <w:instrText xml:space="preserve"> PAGEREF _Toc507425426 \h </w:instrText>
            </w:r>
            <w:r>
              <w:rPr>
                <w:noProof/>
                <w:webHidden/>
              </w:rPr>
            </w:r>
            <w:r>
              <w:rPr>
                <w:noProof/>
                <w:webHidden/>
              </w:rPr>
              <w:fldChar w:fldCharType="separate"/>
            </w:r>
            <w:r w:rsidR="00FC1305">
              <w:rPr>
                <w:noProof/>
                <w:webHidden/>
              </w:rPr>
              <w:t>61</w:t>
            </w:r>
            <w:r>
              <w:rPr>
                <w:noProof/>
                <w:webHidden/>
              </w:rPr>
              <w:fldChar w:fldCharType="end"/>
            </w:r>
          </w:hyperlink>
        </w:p>
        <w:p w14:paraId="55175379" w14:textId="079E904A" w:rsidR="00C56C0F" w:rsidRDefault="00C56C0F">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7425427" w:history="1">
            <w:r w:rsidRPr="00C21E6C">
              <w:rPr>
                <w:rStyle w:val="Hyperlink"/>
                <w:noProof/>
              </w:rPr>
              <w:t>5.2</w:t>
            </w:r>
            <w:r>
              <w:rPr>
                <w:rFonts w:asciiTheme="minorHAnsi" w:eastAsiaTheme="minorEastAsia" w:hAnsiTheme="minorHAnsi" w:cstheme="minorBidi"/>
                <w:noProof/>
                <w:szCs w:val="22"/>
                <w:lang w:val="en-US" w:eastAsia="en-US"/>
              </w:rPr>
              <w:tab/>
            </w:r>
            <w:r w:rsidRPr="00C21E6C">
              <w:rPr>
                <w:rStyle w:val="Hyperlink"/>
                <w:noProof/>
              </w:rPr>
              <w:t>CZC submission</w:t>
            </w:r>
            <w:r>
              <w:rPr>
                <w:noProof/>
                <w:webHidden/>
              </w:rPr>
              <w:tab/>
            </w:r>
            <w:r>
              <w:rPr>
                <w:noProof/>
                <w:webHidden/>
              </w:rPr>
              <w:fldChar w:fldCharType="begin"/>
            </w:r>
            <w:r>
              <w:rPr>
                <w:noProof/>
                <w:webHidden/>
              </w:rPr>
              <w:instrText xml:space="preserve"> PAGEREF _Toc507425427 \h </w:instrText>
            </w:r>
            <w:r>
              <w:rPr>
                <w:noProof/>
                <w:webHidden/>
              </w:rPr>
            </w:r>
            <w:r>
              <w:rPr>
                <w:noProof/>
                <w:webHidden/>
              </w:rPr>
              <w:fldChar w:fldCharType="separate"/>
            </w:r>
            <w:r w:rsidR="00FC1305">
              <w:rPr>
                <w:noProof/>
                <w:webHidden/>
              </w:rPr>
              <w:t>62</w:t>
            </w:r>
            <w:r>
              <w:rPr>
                <w:noProof/>
                <w:webHidden/>
              </w:rPr>
              <w:fldChar w:fldCharType="end"/>
            </w:r>
          </w:hyperlink>
        </w:p>
        <w:p w14:paraId="7AEA3945" w14:textId="7664AEC6" w:rsidR="00C56C0F" w:rsidRDefault="00C56C0F">
          <w:pPr>
            <w:pStyle w:val="TOC3"/>
            <w:tabs>
              <w:tab w:val="left" w:pos="1320"/>
              <w:tab w:val="right" w:leader="dot" w:pos="9465"/>
            </w:tabs>
            <w:rPr>
              <w:rFonts w:asciiTheme="minorHAnsi" w:eastAsiaTheme="minorEastAsia" w:hAnsiTheme="minorHAnsi" w:cstheme="minorBidi"/>
              <w:noProof/>
              <w:szCs w:val="22"/>
              <w:lang w:val="en-US" w:eastAsia="en-US"/>
            </w:rPr>
          </w:pPr>
          <w:hyperlink w:anchor="_Toc507425428" w:history="1">
            <w:r w:rsidRPr="00C21E6C">
              <w:rPr>
                <w:rStyle w:val="Hyperlink"/>
                <w:noProof/>
              </w:rPr>
              <w:t>5.2.1</w:t>
            </w:r>
            <w:r>
              <w:rPr>
                <w:rFonts w:asciiTheme="minorHAnsi" w:eastAsiaTheme="minorEastAsia" w:hAnsiTheme="minorHAnsi" w:cstheme="minorBidi"/>
                <w:noProof/>
                <w:szCs w:val="22"/>
                <w:lang w:val="en-US" w:eastAsia="en-US"/>
              </w:rPr>
              <w:tab/>
            </w:r>
            <w:r w:rsidRPr="00C21E6C">
              <w:rPr>
                <w:rStyle w:val="Hyperlink"/>
                <w:noProof/>
              </w:rPr>
              <w:t>Cross-check modes</w:t>
            </w:r>
            <w:r>
              <w:rPr>
                <w:noProof/>
                <w:webHidden/>
              </w:rPr>
              <w:tab/>
            </w:r>
            <w:r>
              <w:rPr>
                <w:noProof/>
                <w:webHidden/>
              </w:rPr>
              <w:fldChar w:fldCharType="begin"/>
            </w:r>
            <w:r>
              <w:rPr>
                <w:noProof/>
                <w:webHidden/>
              </w:rPr>
              <w:instrText xml:space="preserve"> PAGEREF _Toc507425428 \h </w:instrText>
            </w:r>
            <w:r>
              <w:rPr>
                <w:noProof/>
                <w:webHidden/>
              </w:rPr>
            </w:r>
            <w:r>
              <w:rPr>
                <w:noProof/>
                <w:webHidden/>
              </w:rPr>
              <w:fldChar w:fldCharType="separate"/>
            </w:r>
            <w:r w:rsidR="00FC1305">
              <w:rPr>
                <w:noProof/>
                <w:webHidden/>
              </w:rPr>
              <w:t>62</w:t>
            </w:r>
            <w:r>
              <w:rPr>
                <w:noProof/>
                <w:webHidden/>
              </w:rPr>
              <w:fldChar w:fldCharType="end"/>
            </w:r>
          </w:hyperlink>
        </w:p>
        <w:p w14:paraId="06A416FD" w14:textId="67138CC2" w:rsidR="00C56C0F" w:rsidRDefault="00C56C0F">
          <w:pPr>
            <w:pStyle w:val="TOC3"/>
            <w:tabs>
              <w:tab w:val="left" w:pos="1320"/>
              <w:tab w:val="right" w:leader="dot" w:pos="9465"/>
            </w:tabs>
            <w:rPr>
              <w:rFonts w:asciiTheme="minorHAnsi" w:eastAsiaTheme="minorEastAsia" w:hAnsiTheme="minorHAnsi" w:cstheme="minorBidi"/>
              <w:noProof/>
              <w:szCs w:val="22"/>
              <w:lang w:val="en-US" w:eastAsia="en-US"/>
            </w:rPr>
          </w:pPr>
          <w:hyperlink w:anchor="_Toc507425429" w:history="1">
            <w:r w:rsidRPr="00C21E6C">
              <w:rPr>
                <w:rStyle w:val="Hyperlink"/>
                <w:noProof/>
              </w:rPr>
              <w:t>5.2.2</w:t>
            </w:r>
            <w:r>
              <w:rPr>
                <w:rFonts w:asciiTheme="minorHAnsi" w:eastAsiaTheme="minorEastAsia" w:hAnsiTheme="minorHAnsi" w:cstheme="minorBidi"/>
                <w:noProof/>
                <w:szCs w:val="22"/>
                <w:lang w:val="en-US" w:eastAsia="en-US"/>
              </w:rPr>
              <w:tab/>
            </w:r>
            <w:r w:rsidRPr="00C21E6C">
              <w:rPr>
                <w:rStyle w:val="Hyperlink"/>
                <w:noProof/>
              </w:rPr>
              <w:t>Network data validation GUI</w:t>
            </w:r>
            <w:r>
              <w:rPr>
                <w:noProof/>
                <w:webHidden/>
              </w:rPr>
              <w:tab/>
            </w:r>
            <w:r>
              <w:rPr>
                <w:noProof/>
                <w:webHidden/>
              </w:rPr>
              <w:fldChar w:fldCharType="begin"/>
            </w:r>
            <w:r>
              <w:rPr>
                <w:noProof/>
                <w:webHidden/>
              </w:rPr>
              <w:instrText xml:space="preserve"> PAGEREF _Toc507425429 \h </w:instrText>
            </w:r>
            <w:r>
              <w:rPr>
                <w:noProof/>
                <w:webHidden/>
              </w:rPr>
            </w:r>
            <w:r>
              <w:rPr>
                <w:noProof/>
                <w:webHidden/>
              </w:rPr>
              <w:fldChar w:fldCharType="separate"/>
            </w:r>
            <w:r w:rsidR="00FC1305">
              <w:rPr>
                <w:noProof/>
                <w:webHidden/>
              </w:rPr>
              <w:t>64</w:t>
            </w:r>
            <w:r>
              <w:rPr>
                <w:noProof/>
                <w:webHidden/>
              </w:rPr>
              <w:fldChar w:fldCharType="end"/>
            </w:r>
          </w:hyperlink>
        </w:p>
        <w:p w14:paraId="60129265" w14:textId="07D08666" w:rsidR="00C56C0F" w:rsidRDefault="00C56C0F">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7425430" w:history="1">
            <w:r w:rsidRPr="00C21E6C">
              <w:rPr>
                <w:rStyle w:val="Hyperlink"/>
                <w:noProof/>
              </w:rPr>
              <w:t>5.3</w:t>
            </w:r>
            <w:r>
              <w:rPr>
                <w:rFonts w:asciiTheme="minorHAnsi" w:eastAsiaTheme="minorEastAsia" w:hAnsiTheme="minorHAnsi" w:cstheme="minorBidi"/>
                <w:noProof/>
                <w:szCs w:val="22"/>
                <w:lang w:val="en-US" w:eastAsia="en-US"/>
              </w:rPr>
              <w:tab/>
            </w:r>
            <w:r w:rsidRPr="00C21E6C">
              <w:rPr>
                <w:rStyle w:val="Hyperlink"/>
                <w:noProof/>
              </w:rPr>
              <w:t>Order data submission</w:t>
            </w:r>
            <w:r>
              <w:rPr>
                <w:noProof/>
                <w:webHidden/>
              </w:rPr>
              <w:tab/>
            </w:r>
            <w:r>
              <w:rPr>
                <w:noProof/>
                <w:webHidden/>
              </w:rPr>
              <w:fldChar w:fldCharType="begin"/>
            </w:r>
            <w:r>
              <w:rPr>
                <w:noProof/>
                <w:webHidden/>
              </w:rPr>
              <w:instrText xml:space="preserve"> PAGEREF _Toc507425430 \h </w:instrText>
            </w:r>
            <w:r>
              <w:rPr>
                <w:noProof/>
                <w:webHidden/>
              </w:rPr>
            </w:r>
            <w:r>
              <w:rPr>
                <w:noProof/>
                <w:webHidden/>
              </w:rPr>
              <w:fldChar w:fldCharType="separate"/>
            </w:r>
            <w:r w:rsidR="00FC1305">
              <w:rPr>
                <w:noProof/>
                <w:webHidden/>
              </w:rPr>
              <w:t>64</w:t>
            </w:r>
            <w:r>
              <w:rPr>
                <w:noProof/>
                <w:webHidden/>
              </w:rPr>
              <w:fldChar w:fldCharType="end"/>
            </w:r>
          </w:hyperlink>
        </w:p>
        <w:p w14:paraId="43870628" w14:textId="28C5D2D3" w:rsidR="00C56C0F" w:rsidRDefault="00C56C0F">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7425431" w:history="1">
            <w:r w:rsidRPr="00C21E6C">
              <w:rPr>
                <w:rStyle w:val="Hyperlink"/>
                <w:noProof/>
              </w:rPr>
              <w:t>5.4</w:t>
            </w:r>
            <w:r>
              <w:rPr>
                <w:rFonts w:asciiTheme="minorHAnsi" w:eastAsiaTheme="minorEastAsia" w:hAnsiTheme="minorHAnsi" w:cstheme="minorBidi"/>
                <w:noProof/>
                <w:szCs w:val="22"/>
                <w:lang w:val="en-US" w:eastAsia="en-US"/>
              </w:rPr>
              <w:tab/>
            </w:r>
            <w:r w:rsidRPr="00C21E6C">
              <w:rPr>
                <w:rStyle w:val="Hyperlink"/>
                <w:noProof/>
              </w:rPr>
              <w:t>Interface changes towards algorithm</w:t>
            </w:r>
            <w:r>
              <w:rPr>
                <w:noProof/>
                <w:webHidden/>
              </w:rPr>
              <w:tab/>
            </w:r>
            <w:r>
              <w:rPr>
                <w:noProof/>
                <w:webHidden/>
              </w:rPr>
              <w:fldChar w:fldCharType="begin"/>
            </w:r>
            <w:r>
              <w:rPr>
                <w:noProof/>
                <w:webHidden/>
              </w:rPr>
              <w:instrText xml:space="preserve"> PAGEREF _Toc507425431 \h </w:instrText>
            </w:r>
            <w:r>
              <w:rPr>
                <w:noProof/>
                <w:webHidden/>
              </w:rPr>
            </w:r>
            <w:r>
              <w:rPr>
                <w:noProof/>
                <w:webHidden/>
              </w:rPr>
              <w:fldChar w:fldCharType="separate"/>
            </w:r>
            <w:r w:rsidR="00FC1305">
              <w:rPr>
                <w:noProof/>
                <w:webHidden/>
              </w:rPr>
              <w:t>65</w:t>
            </w:r>
            <w:r>
              <w:rPr>
                <w:noProof/>
                <w:webHidden/>
              </w:rPr>
              <w:fldChar w:fldCharType="end"/>
            </w:r>
          </w:hyperlink>
        </w:p>
        <w:p w14:paraId="2E0401BA" w14:textId="4FB2C19F" w:rsidR="00C56C0F" w:rsidRDefault="00C56C0F">
          <w:pPr>
            <w:pStyle w:val="TOC3"/>
            <w:tabs>
              <w:tab w:val="left" w:pos="1320"/>
              <w:tab w:val="right" w:leader="dot" w:pos="9465"/>
            </w:tabs>
            <w:rPr>
              <w:rFonts w:asciiTheme="minorHAnsi" w:eastAsiaTheme="minorEastAsia" w:hAnsiTheme="minorHAnsi" w:cstheme="minorBidi"/>
              <w:noProof/>
              <w:szCs w:val="22"/>
              <w:lang w:val="en-US" w:eastAsia="en-US"/>
            </w:rPr>
          </w:pPr>
          <w:hyperlink w:anchor="_Toc507425432" w:history="1">
            <w:r w:rsidRPr="00C21E6C">
              <w:rPr>
                <w:rStyle w:val="Hyperlink"/>
                <w:noProof/>
                <w:lang w:eastAsia="fr-FR"/>
              </w:rPr>
              <w:t>5.4.1</w:t>
            </w:r>
            <w:r>
              <w:rPr>
                <w:rFonts w:asciiTheme="minorHAnsi" w:eastAsiaTheme="minorEastAsia" w:hAnsiTheme="minorHAnsi" w:cstheme="minorBidi"/>
                <w:noProof/>
                <w:szCs w:val="22"/>
                <w:lang w:val="en-US" w:eastAsia="en-US"/>
              </w:rPr>
              <w:tab/>
            </w:r>
            <w:r w:rsidRPr="00C21E6C">
              <w:rPr>
                <w:rStyle w:val="Hyperlink"/>
                <w:noProof/>
                <w:lang w:eastAsia="fr-FR"/>
              </w:rPr>
              <w:t xml:space="preserve">Order </w:t>
            </w:r>
            <w:r w:rsidRPr="00C21E6C">
              <w:rPr>
                <w:rStyle w:val="Hyperlink"/>
                <w:noProof/>
              </w:rPr>
              <w:t>Data</w:t>
            </w:r>
            <w:r>
              <w:rPr>
                <w:noProof/>
                <w:webHidden/>
              </w:rPr>
              <w:tab/>
            </w:r>
            <w:r>
              <w:rPr>
                <w:noProof/>
                <w:webHidden/>
              </w:rPr>
              <w:fldChar w:fldCharType="begin"/>
            </w:r>
            <w:r>
              <w:rPr>
                <w:noProof/>
                <w:webHidden/>
              </w:rPr>
              <w:instrText xml:space="preserve"> PAGEREF _Toc507425432 \h </w:instrText>
            </w:r>
            <w:r>
              <w:rPr>
                <w:noProof/>
                <w:webHidden/>
              </w:rPr>
            </w:r>
            <w:r>
              <w:rPr>
                <w:noProof/>
                <w:webHidden/>
              </w:rPr>
              <w:fldChar w:fldCharType="separate"/>
            </w:r>
            <w:r w:rsidR="00FC1305">
              <w:rPr>
                <w:noProof/>
                <w:webHidden/>
              </w:rPr>
              <w:t>65</w:t>
            </w:r>
            <w:r>
              <w:rPr>
                <w:noProof/>
                <w:webHidden/>
              </w:rPr>
              <w:fldChar w:fldCharType="end"/>
            </w:r>
          </w:hyperlink>
        </w:p>
        <w:p w14:paraId="6AC30433" w14:textId="7285986D" w:rsidR="00C56C0F" w:rsidRDefault="00C56C0F">
          <w:pPr>
            <w:pStyle w:val="TOC3"/>
            <w:tabs>
              <w:tab w:val="left" w:pos="1320"/>
              <w:tab w:val="right" w:leader="dot" w:pos="9465"/>
            </w:tabs>
            <w:rPr>
              <w:rFonts w:asciiTheme="minorHAnsi" w:eastAsiaTheme="minorEastAsia" w:hAnsiTheme="minorHAnsi" w:cstheme="minorBidi"/>
              <w:noProof/>
              <w:szCs w:val="22"/>
              <w:lang w:val="en-US" w:eastAsia="en-US"/>
            </w:rPr>
          </w:pPr>
          <w:hyperlink w:anchor="_Toc507425433" w:history="1">
            <w:r w:rsidRPr="00C21E6C">
              <w:rPr>
                <w:rStyle w:val="Hyperlink"/>
                <w:noProof/>
                <w:lang w:eastAsia="fr-FR"/>
              </w:rPr>
              <w:t>5.4.2</w:t>
            </w:r>
            <w:r>
              <w:rPr>
                <w:rFonts w:asciiTheme="minorHAnsi" w:eastAsiaTheme="minorEastAsia" w:hAnsiTheme="minorHAnsi" w:cstheme="minorBidi"/>
                <w:noProof/>
                <w:szCs w:val="22"/>
                <w:lang w:val="en-US" w:eastAsia="en-US"/>
              </w:rPr>
              <w:tab/>
            </w:r>
            <w:r w:rsidRPr="00C21E6C">
              <w:rPr>
                <w:rStyle w:val="Hyperlink"/>
                <w:noProof/>
                <w:lang w:eastAsia="fr-FR"/>
              </w:rPr>
              <w:t>Results</w:t>
            </w:r>
            <w:r>
              <w:rPr>
                <w:noProof/>
                <w:webHidden/>
              </w:rPr>
              <w:tab/>
            </w:r>
            <w:r>
              <w:rPr>
                <w:noProof/>
                <w:webHidden/>
              </w:rPr>
              <w:fldChar w:fldCharType="begin"/>
            </w:r>
            <w:r>
              <w:rPr>
                <w:noProof/>
                <w:webHidden/>
              </w:rPr>
              <w:instrText xml:space="preserve"> PAGEREF _Toc507425433 \h </w:instrText>
            </w:r>
            <w:r>
              <w:rPr>
                <w:noProof/>
                <w:webHidden/>
              </w:rPr>
            </w:r>
            <w:r>
              <w:rPr>
                <w:noProof/>
                <w:webHidden/>
              </w:rPr>
              <w:fldChar w:fldCharType="separate"/>
            </w:r>
            <w:r w:rsidR="00FC1305">
              <w:rPr>
                <w:noProof/>
                <w:webHidden/>
              </w:rPr>
              <w:t>65</w:t>
            </w:r>
            <w:r>
              <w:rPr>
                <w:noProof/>
                <w:webHidden/>
              </w:rPr>
              <w:fldChar w:fldCharType="end"/>
            </w:r>
          </w:hyperlink>
        </w:p>
        <w:p w14:paraId="56850B3E" w14:textId="4348C653" w:rsidR="00C56C0F" w:rsidRDefault="00C56C0F">
          <w:pPr>
            <w:pStyle w:val="TOC3"/>
            <w:tabs>
              <w:tab w:val="left" w:pos="1320"/>
              <w:tab w:val="right" w:leader="dot" w:pos="9465"/>
            </w:tabs>
            <w:rPr>
              <w:rFonts w:asciiTheme="minorHAnsi" w:eastAsiaTheme="minorEastAsia" w:hAnsiTheme="minorHAnsi" w:cstheme="minorBidi"/>
              <w:noProof/>
              <w:szCs w:val="22"/>
              <w:lang w:val="en-US" w:eastAsia="en-US"/>
            </w:rPr>
          </w:pPr>
          <w:hyperlink w:anchor="_Toc507425434" w:history="1">
            <w:r w:rsidRPr="00C21E6C">
              <w:rPr>
                <w:rStyle w:val="Hyperlink"/>
                <w:noProof/>
                <w:lang w:eastAsia="fr-FR"/>
              </w:rPr>
              <w:t>5.4.3</w:t>
            </w:r>
            <w:r>
              <w:rPr>
                <w:rFonts w:asciiTheme="minorHAnsi" w:eastAsiaTheme="minorEastAsia" w:hAnsiTheme="minorHAnsi" w:cstheme="minorBidi"/>
                <w:noProof/>
                <w:szCs w:val="22"/>
                <w:lang w:val="en-US" w:eastAsia="en-US"/>
              </w:rPr>
              <w:tab/>
            </w:r>
            <w:r w:rsidRPr="00C21E6C">
              <w:rPr>
                <w:rStyle w:val="Hyperlink"/>
                <w:noProof/>
                <w:lang w:eastAsia="fr-FR"/>
              </w:rPr>
              <w:t>Tie break rules between blocks</w:t>
            </w:r>
            <w:r>
              <w:rPr>
                <w:noProof/>
                <w:webHidden/>
              </w:rPr>
              <w:tab/>
            </w:r>
            <w:r>
              <w:rPr>
                <w:noProof/>
                <w:webHidden/>
              </w:rPr>
              <w:fldChar w:fldCharType="begin"/>
            </w:r>
            <w:r>
              <w:rPr>
                <w:noProof/>
                <w:webHidden/>
              </w:rPr>
              <w:instrText xml:space="preserve"> PAGEREF _Toc507425434 \h </w:instrText>
            </w:r>
            <w:r>
              <w:rPr>
                <w:noProof/>
                <w:webHidden/>
              </w:rPr>
            </w:r>
            <w:r>
              <w:rPr>
                <w:noProof/>
                <w:webHidden/>
              </w:rPr>
              <w:fldChar w:fldCharType="separate"/>
            </w:r>
            <w:r w:rsidR="00FC1305">
              <w:rPr>
                <w:noProof/>
                <w:webHidden/>
              </w:rPr>
              <w:t>65</w:t>
            </w:r>
            <w:r>
              <w:rPr>
                <w:noProof/>
                <w:webHidden/>
              </w:rPr>
              <w:fldChar w:fldCharType="end"/>
            </w:r>
          </w:hyperlink>
        </w:p>
        <w:p w14:paraId="490D26E2" w14:textId="7B170DA0" w:rsidR="00C56C0F" w:rsidRDefault="00C56C0F">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7425435" w:history="1">
            <w:r w:rsidRPr="00C21E6C">
              <w:rPr>
                <w:rStyle w:val="Hyperlink"/>
                <w:noProof/>
              </w:rPr>
              <w:t>5.5</w:t>
            </w:r>
            <w:r>
              <w:rPr>
                <w:rFonts w:asciiTheme="minorHAnsi" w:eastAsiaTheme="minorEastAsia" w:hAnsiTheme="minorHAnsi" w:cstheme="minorBidi"/>
                <w:noProof/>
                <w:szCs w:val="22"/>
                <w:lang w:val="en-US" w:eastAsia="en-US"/>
              </w:rPr>
              <w:tab/>
            </w:r>
            <w:r w:rsidRPr="00C21E6C">
              <w:rPr>
                <w:rStyle w:val="Hyperlink"/>
                <w:noProof/>
              </w:rPr>
              <w:t>Show Results GUI</w:t>
            </w:r>
            <w:r>
              <w:rPr>
                <w:noProof/>
                <w:webHidden/>
              </w:rPr>
              <w:tab/>
            </w:r>
            <w:r>
              <w:rPr>
                <w:noProof/>
                <w:webHidden/>
              </w:rPr>
              <w:fldChar w:fldCharType="begin"/>
            </w:r>
            <w:r>
              <w:rPr>
                <w:noProof/>
                <w:webHidden/>
              </w:rPr>
              <w:instrText xml:space="preserve"> PAGEREF _Toc507425435 \h </w:instrText>
            </w:r>
            <w:r>
              <w:rPr>
                <w:noProof/>
                <w:webHidden/>
              </w:rPr>
            </w:r>
            <w:r>
              <w:rPr>
                <w:noProof/>
                <w:webHidden/>
              </w:rPr>
              <w:fldChar w:fldCharType="separate"/>
            </w:r>
            <w:r w:rsidR="00FC1305">
              <w:rPr>
                <w:noProof/>
                <w:webHidden/>
              </w:rPr>
              <w:t>65</w:t>
            </w:r>
            <w:r>
              <w:rPr>
                <w:noProof/>
                <w:webHidden/>
              </w:rPr>
              <w:fldChar w:fldCharType="end"/>
            </w:r>
          </w:hyperlink>
        </w:p>
        <w:p w14:paraId="18999262" w14:textId="50735967" w:rsidR="00C56C0F" w:rsidRDefault="00C56C0F">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7425438" w:history="1">
            <w:r w:rsidRPr="00C21E6C">
              <w:rPr>
                <w:rStyle w:val="Hyperlink"/>
                <w:noProof/>
                <w:lang w:eastAsia="fr-FR"/>
              </w:rPr>
              <w:t>5.6</w:t>
            </w:r>
            <w:r>
              <w:rPr>
                <w:rFonts w:asciiTheme="minorHAnsi" w:eastAsiaTheme="minorEastAsia" w:hAnsiTheme="minorHAnsi" w:cstheme="minorBidi"/>
                <w:noProof/>
                <w:szCs w:val="22"/>
                <w:lang w:val="en-US" w:eastAsia="en-US"/>
              </w:rPr>
              <w:tab/>
            </w:r>
            <w:r w:rsidRPr="00C21E6C">
              <w:rPr>
                <w:rStyle w:val="Hyperlink"/>
                <w:noProof/>
                <w:lang w:eastAsia="fr-FR"/>
              </w:rPr>
              <w:t>Results document</w:t>
            </w:r>
            <w:r>
              <w:rPr>
                <w:noProof/>
                <w:webHidden/>
              </w:rPr>
              <w:tab/>
            </w:r>
            <w:r>
              <w:rPr>
                <w:noProof/>
                <w:webHidden/>
              </w:rPr>
              <w:fldChar w:fldCharType="begin"/>
            </w:r>
            <w:r>
              <w:rPr>
                <w:noProof/>
                <w:webHidden/>
              </w:rPr>
              <w:instrText xml:space="preserve"> PAGEREF _Toc507425438 \h </w:instrText>
            </w:r>
            <w:r>
              <w:rPr>
                <w:noProof/>
                <w:webHidden/>
              </w:rPr>
            </w:r>
            <w:r>
              <w:rPr>
                <w:noProof/>
                <w:webHidden/>
              </w:rPr>
              <w:fldChar w:fldCharType="separate"/>
            </w:r>
            <w:r w:rsidR="00FC1305">
              <w:rPr>
                <w:noProof/>
                <w:webHidden/>
              </w:rPr>
              <w:t>65</w:t>
            </w:r>
            <w:r>
              <w:rPr>
                <w:noProof/>
                <w:webHidden/>
              </w:rPr>
              <w:fldChar w:fldCharType="end"/>
            </w:r>
          </w:hyperlink>
        </w:p>
        <w:p w14:paraId="56916AC1" w14:textId="64339C38" w:rsidR="00C56C0F" w:rsidRDefault="00C56C0F">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7425439" w:history="1">
            <w:r w:rsidRPr="00C21E6C">
              <w:rPr>
                <w:rStyle w:val="Hyperlink"/>
                <w:noProof/>
              </w:rPr>
              <w:t>5.7</w:t>
            </w:r>
            <w:r>
              <w:rPr>
                <w:rFonts w:asciiTheme="minorHAnsi" w:eastAsiaTheme="minorEastAsia" w:hAnsiTheme="minorHAnsi" w:cstheme="minorBidi"/>
                <w:noProof/>
                <w:szCs w:val="22"/>
                <w:lang w:val="en-US" w:eastAsia="en-US"/>
              </w:rPr>
              <w:tab/>
            </w:r>
            <w:r w:rsidRPr="00C21E6C">
              <w:rPr>
                <w:rStyle w:val="Hyperlink"/>
                <w:noProof/>
              </w:rPr>
              <w:t>Identification codes of BZ, SA, NH and Tie lines</w:t>
            </w:r>
            <w:r>
              <w:rPr>
                <w:noProof/>
                <w:webHidden/>
              </w:rPr>
              <w:tab/>
            </w:r>
            <w:r>
              <w:rPr>
                <w:noProof/>
                <w:webHidden/>
              </w:rPr>
              <w:fldChar w:fldCharType="begin"/>
            </w:r>
            <w:r>
              <w:rPr>
                <w:noProof/>
                <w:webHidden/>
              </w:rPr>
              <w:instrText xml:space="preserve"> PAGEREF _Toc507425439 \h </w:instrText>
            </w:r>
            <w:r>
              <w:rPr>
                <w:noProof/>
                <w:webHidden/>
              </w:rPr>
            </w:r>
            <w:r>
              <w:rPr>
                <w:noProof/>
                <w:webHidden/>
              </w:rPr>
              <w:fldChar w:fldCharType="separate"/>
            </w:r>
            <w:r w:rsidR="00FC1305">
              <w:rPr>
                <w:noProof/>
                <w:webHidden/>
              </w:rPr>
              <w:t>65</w:t>
            </w:r>
            <w:r>
              <w:rPr>
                <w:noProof/>
                <w:webHidden/>
              </w:rPr>
              <w:fldChar w:fldCharType="end"/>
            </w:r>
          </w:hyperlink>
        </w:p>
        <w:p w14:paraId="23B94DF3" w14:textId="48C9E408" w:rsidR="00C56C0F" w:rsidRDefault="00C56C0F">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7425440" w:history="1">
            <w:r w:rsidRPr="00C21E6C">
              <w:rPr>
                <w:rStyle w:val="Hyperlink"/>
                <w:noProof/>
              </w:rPr>
              <w:t>5.8</w:t>
            </w:r>
            <w:r>
              <w:rPr>
                <w:rFonts w:asciiTheme="minorHAnsi" w:eastAsiaTheme="minorEastAsia" w:hAnsiTheme="minorHAnsi" w:cstheme="minorBidi"/>
                <w:noProof/>
                <w:szCs w:val="22"/>
                <w:lang w:val="en-US" w:eastAsia="en-US"/>
              </w:rPr>
              <w:tab/>
            </w:r>
            <w:r w:rsidRPr="00C21E6C">
              <w:rPr>
                <w:rStyle w:val="Hyperlink"/>
                <w:noProof/>
              </w:rPr>
              <w:t>Changes in PBM due to decoupling</w:t>
            </w:r>
            <w:r>
              <w:rPr>
                <w:noProof/>
                <w:webHidden/>
              </w:rPr>
              <w:tab/>
            </w:r>
            <w:r>
              <w:rPr>
                <w:noProof/>
                <w:webHidden/>
              </w:rPr>
              <w:fldChar w:fldCharType="begin"/>
            </w:r>
            <w:r>
              <w:rPr>
                <w:noProof/>
                <w:webHidden/>
              </w:rPr>
              <w:instrText xml:space="preserve"> PAGEREF _Toc507425440 \h </w:instrText>
            </w:r>
            <w:r>
              <w:rPr>
                <w:noProof/>
                <w:webHidden/>
              </w:rPr>
            </w:r>
            <w:r>
              <w:rPr>
                <w:noProof/>
                <w:webHidden/>
              </w:rPr>
              <w:fldChar w:fldCharType="separate"/>
            </w:r>
            <w:r w:rsidR="00FC1305">
              <w:rPr>
                <w:noProof/>
                <w:webHidden/>
              </w:rPr>
              <w:t>66</w:t>
            </w:r>
            <w:r>
              <w:rPr>
                <w:noProof/>
                <w:webHidden/>
              </w:rPr>
              <w:fldChar w:fldCharType="end"/>
            </w:r>
          </w:hyperlink>
        </w:p>
        <w:p w14:paraId="16F022F8" w14:textId="5625C293" w:rsidR="00C56C0F" w:rsidRDefault="00C56C0F">
          <w:pPr>
            <w:pStyle w:val="TOC1"/>
            <w:tabs>
              <w:tab w:val="right" w:leader="dot" w:pos="9465"/>
            </w:tabs>
            <w:rPr>
              <w:rFonts w:asciiTheme="minorHAnsi" w:eastAsiaTheme="minorEastAsia" w:hAnsiTheme="minorHAnsi" w:cstheme="minorBidi"/>
              <w:noProof/>
              <w:szCs w:val="22"/>
              <w:lang w:val="en-US" w:eastAsia="en-US"/>
            </w:rPr>
          </w:pPr>
          <w:hyperlink w:anchor="_Toc507425441" w:history="1">
            <w:r w:rsidRPr="00C21E6C">
              <w:rPr>
                <w:rStyle w:val="Hyperlink"/>
                <w:rFonts w:cs="Arial"/>
                <w:noProof/>
              </w:rPr>
              <w:t>ANNEX 3 - List of comments received</w:t>
            </w:r>
            <w:r>
              <w:rPr>
                <w:noProof/>
                <w:webHidden/>
              </w:rPr>
              <w:tab/>
            </w:r>
            <w:r>
              <w:rPr>
                <w:noProof/>
                <w:webHidden/>
              </w:rPr>
              <w:fldChar w:fldCharType="begin"/>
            </w:r>
            <w:r>
              <w:rPr>
                <w:noProof/>
                <w:webHidden/>
              </w:rPr>
              <w:instrText xml:space="preserve"> PAGEREF _Toc507425441 \h </w:instrText>
            </w:r>
            <w:r>
              <w:rPr>
                <w:noProof/>
                <w:webHidden/>
              </w:rPr>
            </w:r>
            <w:r>
              <w:rPr>
                <w:noProof/>
                <w:webHidden/>
              </w:rPr>
              <w:fldChar w:fldCharType="separate"/>
            </w:r>
            <w:r w:rsidR="00FC1305">
              <w:rPr>
                <w:noProof/>
                <w:webHidden/>
              </w:rPr>
              <w:t>67</w:t>
            </w:r>
            <w:r>
              <w:rPr>
                <w:noProof/>
                <w:webHidden/>
              </w:rPr>
              <w:fldChar w:fldCharType="end"/>
            </w:r>
          </w:hyperlink>
        </w:p>
        <w:p w14:paraId="0E87B362" w14:textId="53941826" w:rsidR="0094097A" w:rsidRPr="00EF3ECB" w:rsidRDefault="0094097A" w:rsidP="00C9634E">
          <w:pPr>
            <w:spacing w:line="276" w:lineRule="auto"/>
            <w:jc w:val="both"/>
            <w:rPr>
              <w:rFonts w:cs="Arial"/>
              <w:lang w:val="en-GB"/>
            </w:rPr>
          </w:pPr>
          <w:r w:rsidRPr="00EF3ECB">
            <w:rPr>
              <w:rFonts w:cs="Arial"/>
              <w:b/>
              <w:bCs/>
              <w:noProof/>
              <w:lang w:val="en-GB"/>
            </w:rPr>
            <w:fldChar w:fldCharType="end"/>
          </w:r>
        </w:p>
      </w:sdtContent>
    </w:sdt>
    <w:p w14:paraId="7F8BF7E7" w14:textId="3898640E" w:rsidR="00D3724A" w:rsidRPr="00EF3ECB" w:rsidRDefault="00D3724A" w:rsidP="00C9634E">
      <w:pPr>
        <w:spacing w:after="160" w:line="276" w:lineRule="auto"/>
        <w:jc w:val="both"/>
        <w:rPr>
          <w:rFonts w:eastAsiaTheme="majorEastAsia" w:cs="Arial"/>
          <w:color w:val="2E74B5" w:themeColor="accent1" w:themeShade="BF"/>
          <w:sz w:val="32"/>
          <w:szCs w:val="32"/>
          <w:lang w:val="en-GB" w:eastAsia="en-US"/>
        </w:rPr>
      </w:pPr>
    </w:p>
    <w:p w14:paraId="235D5300" w14:textId="6421CB95" w:rsidR="00031540" w:rsidRPr="00EF3ECB" w:rsidRDefault="00031540" w:rsidP="00C9634E">
      <w:pPr>
        <w:pStyle w:val="TOCHeading"/>
        <w:spacing w:before="0" w:line="276" w:lineRule="auto"/>
        <w:jc w:val="both"/>
        <w:rPr>
          <w:rFonts w:ascii="Arial" w:hAnsi="Arial" w:cs="Arial"/>
          <w:lang w:val="en-GB"/>
        </w:rPr>
      </w:pPr>
      <w:r w:rsidRPr="00EF3ECB">
        <w:rPr>
          <w:rFonts w:ascii="Arial" w:hAnsi="Arial" w:cs="Arial"/>
          <w:lang w:val="en-GB"/>
        </w:rPr>
        <w:t>Table of Figures</w:t>
      </w:r>
    </w:p>
    <w:p w14:paraId="4D8DCA21" w14:textId="6285A6A4" w:rsidR="007B0832" w:rsidRDefault="00031540">
      <w:pPr>
        <w:pStyle w:val="TableofFigures"/>
        <w:tabs>
          <w:tab w:val="right" w:leader="dot" w:pos="9465"/>
        </w:tabs>
        <w:rPr>
          <w:rFonts w:asciiTheme="minorHAnsi" w:eastAsiaTheme="minorEastAsia" w:hAnsiTheme="minorHAnsi" w:cstheme="minorBidi"/>
          <w:noProof/>
          <w:szCs w:val="22"/>
          <w:lang w:val="en-GB" w:eastAsia="en-GB"/>
        </w:rPr>
      </w:pPr>
      <w:r w:rsidRPr="00EF3ECB">
        <w:rPr>
          <w:rFonts w:cs="Arial"/>
          <w:b/>
          <w:bCs/>
          <w:color w:val="23236E"/>
          <w:sz w:val="40"/>
          <w:lang w:val="en-GB"/>
        </w:rPr>
        <w:fldChar w:fldCharType="begin"/>
      </w:r>
      <w:r w:rsidRPr="00EF3ECB">
        <w:rPr>
          <w:rFonts w:cs="Arial"/>
          <w:b/>
          <w:bCs/>
          <w:color w:val="23236E"/>
          <w:sz w:val="40"/>
          <w:lang w:val="en-GB"/>
        </w:rPr>
        <w:instrText xml:space="preserve"> TOC \h \z \c "Figure" </w:instrText>
      </w:r>
      <w:r w:rsidRPr="00EF3ECB">
        <w:rPr>
          <w:rFonts w:cs="Arial"/>
          <w:b/>
          <w:bCs/>
          <w:color w:val="23236E"/>
          <w:sz w:val="40"/>
          <w:lang w:val="en-GB"/>
        </w:rPr>
        <w:fldChar w:fldCharType="separate"/>
      </w:r>
      <w:hyperlink w:anchor="_Toc505860277" w:history="1">
        <w:r w:rsidR="007B0832" w:rsidRPr="001C010C">
          <w:rPr>
            <w:rStyle w:val="Hyperlink"/>
            <w:noProof/>
            <w:lang w:val="en-GB"/>
          </w:rPr>
          <w:t>Figure 1: Current situation</w:t>
        </w:r>
        <w:r w:rsidR="007B0832">
          <w:rPr>
            <w:noProof/>
            <w:webHidden/>
          </w:rPr>
          <w:tab/>
        </w:r>
        <w:r w:rsidR="007B0832">
          <w:rPr>
            <w:noProof/>
            <w:webHidden/>
          </w:rPr>
          <w:fldChar w:fldCharType="begin"/>
        </w:r>
        <w:r w:rsidR="007B0832">
          <w:rPr>
            <w:noProof/>
            <w:webHidden/>
          </w:rPr>
          <w:instrText xml:space="preserve"> PAGEREF _Toc505860277 \h </w:instrText>
        </w:r>
        <w:r w:rsidR="007B0832">
          <w:rPr>
            <w:noProof/>
            <w:webHidden/>
          </w:rPr>
        </w:r>
        <w:r w:rsidR="007B0832">
          <w:rPr>
            <w:noProof/>
            <w:webHidden/>
          </w:rPr>
          <w:fldChar w:fldCharType="separate"/>
        </w:r>
        <w:r w:rsidR="00FC1305">
          <w:rPr>
            <w:noProof/>
            <w:webHidden/>
          </w:rPr>
          <w:t>6</w:t>
        </w:r>
        <w:r w:rsidR="007B0832">
          <w:rPr>
            <w:noProof/>
            <w:webHidden/>
          </w:rPr>
          <w:fldChar w:fldCharType="end"/>
        </w:r>
      </w:hyperlink>
    </w:p>
    <w:p w14:paraId="5390376B" w14:textId="66EC333B" w:rsidR="007B0832" w:rsidRDefault="00FC1305">
      <w:pPr>
        <w:pStyle w:val="TableofFigures"/>
        <w:tabs>
          <w:tab w:val="right" w:leader="dot" w:pos="9465"/>
        </w:tabs>
        <w:rPr>
          <w:rFonts w:asciiTheme="minorHAnsi" w:eastAsiaTheme="minorEastAsia" w:hAnsiTheme="minorHAnsi" w:cstheme="minorBidi"/>
          <w:noProof/>
          <w:szCs w:val="22"/>
          <w:lang w:val="en-GB" w:eastAsia="en-GB"/>
        </w:rPr>
      </w:pPr>
      <w:hyperlink w:anchor="_Toc505860278" w:history="1">
        <w:r w:rsidR="007B0832" w:rsidRPr="001C010C">
          <w:rPr>
            <w:rStyle w:val="Hyperlink"/>
            <w:rFonts w:cs="Arial"/>
            <w:noProof/>
            <w:lang w:val="en-GB"/>
          </w:rPr>
          <w:t>Figure 2: Downstream Uses for Scheduled Exchanges</w:t>
        </w:r>
        <w:r w:rsidR="007B0832">
          <w:rPr>
            <w:noProof/>
            <w:webHidden/>
          </w:rPr>
          <w:tab/>
        </w:r>
        <w:r w:rsidR="007B0832">
          <w:rPr>
            <w:noProof/>
            <w:webHidden/>
          </w:rPr>
          <w:fldChar w:fldCharType="begin"/>
        </w:r>
        <w:r w:rsidR="007B0832">
          <w:rPr>
            <w:noProof/>
            <w:webHidden/>
          </w:rPr>
          <w:instrText xml:space="preserve"> PAGEREF _Toc505860278 \h </w:instrText>
        </w:r>
        <w:r w:rsidR="007B0832">
          <w:rPr>
            <w:noProof/>
            <w:webHidden/>
          </w:rPr>
        </w:r>
        <w:r w:rsidR="007B0832">
          <w:rPr>
            <w:noProof/>
            <w:webHidden/>
          </w:rPr>
          <w:fldChar w:fldCharType="separate"/>
        </w:r>
        <w:r>
          <w:rPr>
            <w:noProof/>
            <w:webHidden/>
          </w:rPr>
          <w:t>9</w:t>
        </w:r>
        <w:r w:rsidR="007B0832">
          <w:rPr>
            <w:noProof/>
            <w:webHidden/>
          </w:rPr>
          <w:fldChar w:fldCharType="end"/>
        </w:r>
      </w:hyperlink>
    </w:p>
    <w:p w14:paraId="5EAADF22" w14:textId="6C4D7994" w:rsidR="007B0832" w:rsidRDefault="00FC1305">
      <w:pPr>
        <w:pStyle w:val="TableofFigures"/>
        <w:tabs>
          <w:tab w:val="right" w:leader="dot" w:pos="9465"/>
        </w:tabs>
        <w:rPr>
          <w:rFonts w:asciiTheme="minorHAnsi" w:eastAsiaTheme="minorEastAsia" w:hAnsiTheme="minorHAnsi" w:cstheme="minorBidi"/>
          <w:noProof/>
          <w:szCs w:val="22"/>
          <w:lang w:val="en-GB" w:eastAsia="en-GB"/>
        </w:rPr>
      </w:pPr>
      <w:hyperlink w:anchor="_Toc505860279" w:history="1">
        <w:r w:rsidR="007B0832" w:rsidRPr="001C010C">
          <w:rPr>
            <w:rStyle w:val="Hyperlink"/>
            <w:rFonts w:cs="Arial"/>
            <w:noProof/>
            <w:lang w:val="en-GB"/>
          </w:rPr>
          <w:t>Figure 3: Exchanges of Schedules,</w:t>
        </w:r>
        <w:r w:rsidR="007B0832">
          <w:rPr>
            <w:noProof/>
            <w:webHidden/>
          </w:rPr>
          <w:tab/>
        </w:r>
        <w:r w:rsidR="007B0832">
          <w:rPr>
            <w:noProof/>
            <w:webHidden/>
          </w:rPr>
          <w:fldChar w:fldCharType="begin"/>
        </w:r>
        <w:r w:rsidR="007B0832">
          <w:rPr>
            <w:noProof/>
            <w:webHidden/>
          </w:rPr>
          <w:instrText xml:space="preserve"> PAGEREF _Toc505860279 \h </w:instrText>
        </w:r>
        <w:r w:rsidR="007B0832">
          <w:rPr>
            <w:noProof/>
            <w:webHidden/>
          </w:rPr>
        </w:r>
        <w:r w:rsidR="007B0832">
          <w:rPr>
            <w:noProof/>
            <w:webHidden/>
          </w:rPr>
          <w:fldChar w:fldCharType="separate"/>
        </w:r>
        <w:r>
          <w:rPr>
            <w:noProof/>
            <w:webHidden/>
          </w:rPr>
          <w:t>10</w:t>
        </w:r>
        <w:r w:rsidR="007B0832">
          <w:rPr>
            <w:noProof/>
            <w:webHidden/>
          </w:rPr>
          <w:fldChar w:fldCharType="end"/>
        </w:r>
      </w:hyperlink>
    </w:p>
    <w:p w14:paraId="5C3EFE55" w14:textId="2D134C6B" w:rsidR="007B0832" w:rsidRDefault="00FC1305">
      <w:pPr>
        <w:pStyle w:val="TableofFigures"/>
        <w:tabs>
          <w:tab w:val="right" w:leader="dot" w:pos="9465"/>
        </w:tabs>
        <w:rPr>
          <w:rFonts w:asciiTheme="minorHAnsi" w:eastAsiaTheme="minorEastAsia" w:hAnsiTheme="minorHAnsi" w:cstheme="minorBidi"/>
          <w:noProof/>
          <w:szCs w:val="22"/>
          <w:lang w:val="en-GB" w:eastAsia="en-GB"/>
        </w:rPr>
      </w:pPr>
      <w:hyperlink w:anchor="_Toc505860280" w:history="1">
        <w:r w:rsidR="007B0832" w:rsidRPr="001C010C">
          <w:rPr>
            <w:rStyle w:val="Hyperlink"/>
            <w:noProof/>
            <w:lang w:val="en-GB"/>
          </w:rPr>
          <w:t>Figure 4: Proposed process by PCR</w:t>
        </w:r>
        <w:r w:rsidR="007B0832">
          <w:rPr>
            <w:noProof/>
            <w:webHidden/>
          </w:rPr>
          <w:tab/>
        </w:r>
        <w:r w:rsidR="007B0832">
          <w:rPr>
            <w:noProof/>
            <w:webHidden/>
          </w:rPr>
          <w:fldChar w:fldCharType="begin"/>
        </w:r>
        <w:r w:rsidR="007B0832">
          <w:rPr>
            <w:noProof/>
            <w:webHidden/>
          </w:rPr>
          <w:instrText xml:space="preserve"> PAGEREF _Toc505860280 \h </w:instrText>
        </w:r>
        <w:r w:rsidR="007B0832">
          <w:rPr>
            <w:noProof/>
            <w:webHidden/>
          </w:rPr>
        </w:r>
        <w:r w:rsidR="007B0832">
          <w:rPr>
            <w:noProof/>
            <w:webHidden/>
          </w:rPr>
          <w:fldChar w:fldCharType="separate"/>
        </w:r>
        <w:r>
          <w:rPr>
            <w:noProof/>
            <w:webHidden/>
          </w:rPr>
          <w:t>12</w:t>
        </w:r>
        <w:r w:rsidR="007B0832">
          <w:rPr>
            <w:noProof/>
            <w:webHidden/>
          </w:rPr>
          <w:fldChar w:fldCharType="end"/>
        </w:r>
      </w:hyperlink>
    </w:p>
    <w:p w14:paraId="77AFDAB1" w14:textId="129ABEA4" w:rsidR="007B0832" w:rsidRDefault="00FC1305">
      <w:pPr>
        <w:pStyle w:val="TableofFigures"/>
        <w:tabs>
          <w:tab w:val="right" w:leader="dot" w:pos="9465"/>
        </w:tabs>
        <w:rPr>
          <w:rFonts w:asciiTheme="minorHAnsi" w:eastAsiaTheme="minorEastAsia" w:hAnsiTheme="minorHAnsi" w:cstheme="minorBidi"/>
          <w:noProof/>
          <w:szCs w:val="22"/>
          <w:lang w:val="en-GB" w:eastAsia="en-GB"/>
        </w:rPr>
      </w:pPr>
      <w:hyperlink w:anchor="_Toc505860281" w:history="1">
        <w:r w:rsidR="007B0832" w:rsidRPr="001C010C">
          <w:rPr>
            <w:rStyle w:val="Hyperlink"/>
            <w:noProof/>
            <w:lang w:val="en-GB"/>
          </w:rPr>
          <w:t>Figure 5: Stepwise approach for the calculation of schedules</w:t>
        </w:r>
        <w:r w:rsidR="007B0832">
          <w:rPr>
            <w:noProof/>
            <w:webHidden/>
          </w:rPr>
          <w:tab/>
        </w:r>
        <w:r w:rsidR="007B0832">
          <w:rPr>
            <w:noProof/>
            <w:webHidden/>
          </w:rPr>
          <w:fldChar w:fldCharType="begin"/>
        </w:r>
        <w:r w:rsidR="007B0832">
          <w:rPr>
            <w:noProof/>
            <w:webHidden/>
          </w:rPr>
          <w:instrText xml:space="preserve"> PAGEREF _Toc505860281 \h </w:instrText>
        </w:r>
        <w:r w:rsidR="007B0832">
          <w:rPr>
            <w:noProof/>
            <w:webHidden/>
          </w:rPr>
        </w:r>
        <w:r w:rsidR="007B0832">
          <w:rPr>
            <w:noProof/>
            <w:webHidden/>
          </w:rPr>
          <w:fldChar w:fldCharType="separate"/>
        </w:r>
        <w:r>
          <w:rPr>
            <w:noProof/>
            <w:webHidden/>
          </w:rPr>
          <w:t>14</w:t>
        </w:r>
        <w:r w:rsidR="007B0832">
          <w:rPr>
            <w:noProof/>
            <w:webHidden/>
          </w:rPr>
          <w:fldChar w:fldCharType="end"/>
        </w:r>
      </w:hyperlink>
    </w:p>
    <w:p w14:paraId="06F97372" w14:textId="14F08CB2" w:rsidR="0094097A" w:rsidRPr="00EF3ECB" w:rsidRDefault="00031540" w:rsidP="00C9634E">
      <w:pPr>
        <w:spacing w:line="276" w:lineRule="auto"/>
        <w:jc w:val="both"/>
        <w:rPr>
          <w:rFonts w:cs="Arial"/>
          <w:b/>
          <w:bCs/>
          <w:color w:val="23236E"/>
          <w:sz w:val="40"/>
          <w:lang w:val="en-GB"/>
        </w:rPr>
      </w:pPr>
      <w:r w:rsidRPr="00EF3ECB">
        <w:rPr>
          <w:rFonts w:cs="Arial"/>
          <w:b/>
          <w:bCs/>
          <w:color w:val="23236E"/>
          <w:sz w:val="40"/>
          <w:lang w:val="en-GB"/>
        </w:rPr>
        <w:fldChar w:fldCharType="end"/>
      </w:r>
    </w:p>
    <w:p w14:paraId="140822DA" w14:textId="77777777" w:rsidR="00DE3024" w:rsidRPr="00EF3ECB" w:rsidRDefault="00DE3024" w:rsidP="00C9634E">
      <w:pPr>
        <w:spacing w:line="276" w:lineRule="auto"/>
        <w:jc w:val="both"/>
        <w:rPr>
          <w:rFonts w:cs="Arial"/>
          <w:b/>
          <w:bCs/>
          <w:color w:val="23236E"/>
          <w:sz w:val="40"/>
          <w:lang w:val="en-GB"/>
        </w:rPr>
      </w:pPr>
    </w:p>
    <w:p w14:paraId="5ADDDBC5" w14:textId="4D80462D" w:rsidR="00031540" w:rsidRPr="00EF3ECB" w:rsidRDefault="00031540" w:rsidP="00C9634E">
      <w:pPr>
        <w:pStyle w:val="TOCHeading"/>
        <w:spacing w:before="0" w:line="276" w:lineRule="auto"/>
        <w:jc w:val="both"/>
        <w:rPr>
          <w:rFonts w:ascii="Arial" w:hAnsi="Arial" w:cs="Arial"/>
          <w:lang w:val="en-GB"/>
        </w:rPr>
      </w:pPr>
      <w:r w:rsidRPr="00EF3ECB">
        <w:rPr>
          <w:rFonts w:ascii="Arial" w:hAnsi="Arial" w:cs="Arial"/>
          <w:lang w:val="en-GB"/>
        </w:rPr>
        <w:t>Table of Equations</w:t>
      </w:r>
    </w:p>
    <w:p w14:paraId="2239168F" w14:textId="1D7B51A8" w:rsidR="007B0832" w:rsidRDefault="00031540">
      <w:pPr>
        <w:pStyle w:val="TableofFigures"/>
        <w:tabs>
          <w:tab w:val="right" w:leader="dot" w:pos="9465"/>
        </w:tabs>
        <w:rPr>
          <w:rFonts w:asciiTheme="minorHAnsi" w:eastAsiaTheme="minorEastAsia" w:hAnsiTheme="minorHAnsi" w:cstheme="minorBidi"/>
          <w:noProof/>
          <w:szCs w:val="22"/>
          <w:lang w:val="en-GB" w:eastAsia="en-GB"/>
        </w:rPr>
      </w:pPr>
      <w:r w:rsidRPr="00EF3ECB">
        <w:rPr>
          <w:rFonts w:cs="Arial"/>
          <w:b/>
          <w:bCs/>
          <w:color w:val="23236E"/>
          <w:sz w:val="40"/>
          <w:lang w:val="en-GB"/>
        </w:rPr>
        <w:fldChar w:fldCharType="begin"/>
      </w:r>
      <w:r w:rsidRPr="00EF3ECB">
        <w:rPr>
          <w:rFonts w:cs="Arial"/>
          <w:b/>
          <w:bCs/>
          <w:color w:val="23236E"/>
          <w:sz w:val="40"/>
          <w:lang w:val="en-GB"/>
        </w:rPr>
        <w:instrText xml:space="preserve"> TOC \h \z \c "Equation" </w:instrText>
      </w:r>
      <w:r w:rsidRPr="00EF3ECB">
        <w:rPr>
          <w:rFonts w:cs="Arial"/>
          <w:b/>
          <w:bCs/>
          <w:color w:val="23236E"/>
          <w:sz w:val="40"/>
          <w:lang w:val="en-GB"/>
        </w:rPr>
        <w:fldChar w:fldCharType="separate"/>
      </w:r>
      <w:hyperlink w:anchor="_Toc505860283" w:history="1">
        <w:r w:rsidR="007B0832" w:rsidRPr="00AA0705">
          <w:rPr>
            <w:rStyle w:val="Hyperlink"/>
            <w:noProof/>
            <w:lang w:val="en-GB"/>
          </w:rPr>
          <w:t>Equation 1</w:t>
        </w:r>
        <w:r w:rsidR="007B0832">
          <w:rPr>
            <w:noProof/>
            <w:webHidden/>
          </w:rPr>
          <w:tab/>
        </w:r>
        <w:r w:rsidR="007B0832">
          <w:rPr>
            <w:noProof/>
            <w:webHidden/>
          </w:rPr>
          <w:fldChar w:fldCharType="begin"/>
        </w:r>
        <w:r w:rsidR="007B0832">
          <w:rPr>
            <w:noProof/>
            <w:webHidden/>
          </w:rPr>
          <w:instrText xml:space="preserve"> PAGEREF _Toc505860283 \h </w:instrText>
        </w:r>
        <w:r w:rsidR="007B0832">
          <w:rPr>
            <w:noProof/>
            <w:webHidden/>
          </w:rPr>
        </w:r>
        <w:r w:rsidR="007B0832">
          <w:rPr>
            <w:noProof/>
            <w:webHidden/>
          </w:rPr>
          <w:fldChar w:fldCharType="separate"/>
        </w:r>
        <w:r w:rsidR="00FC1305">
          <w:rPr>
            <w:noProof/>
            <w:webHidden/>
          </w:rPr>
          <w:t>15</w:t>
        </w:r>
        <w:r w:rsidR="007B0832">
          <w:rPr>
            <w:noProof/>
            <w:webHidden/>
          </w:rPr>
          <w:fldChar w:fldCharType="end"/>
        </w:r>
      </w:hyperlink>
    </w:p>
    <w:p w14:paraId="032337A1" w14:textId="36778943" w:rsidR="007B0832" w:rsidRDefault="00FC1305">
      <w:pPr>
        <w:pStyle w:val="TableofFigures"/>
        <w:tabs>
          <w:tab w:val="right" w:leader="dot" w:pos="9465"/>
        </w:tabs>
        <w:rPr>
          <w:rFonts w:asciiTheme="minorHAnsi" w:eastAsiaTheme="minorEastAsia" w:hAnsiTheme="minorHAnsi" w:cstheme="minorBidi"/>
          <w:noProof/>
          <w:szCs w:val="22"/>
          <w:lang w:val="en-GB" w:eastAsia="en-GB"/>
        </w:rPr>
      </w:pPr>
      <w:hyperlink w:anchor="_Toc505860284" w:history="1">
        <w:r w:rsidR="007B0832" w:rsidRPr="00AA0705">
          <w:rPr>
            <w:rStyle w:val="Hyperlink"/>
            <w:noProof/>
            <w:lang w:val="en-GB"/>
          </w:rPr>
          <w:t>Equation 2</w:t>
        </w:r>
        <w:r w:rsidR="007B0832">
          <w:rPr>
            <w:noProof/>
            <w:webHidden/>
          </w:rPr>
          <w:tab/>
        </w:r>
        <w:r w:rsidR="007B0832">
          <w:rPr>
            <w:noProof/>
            <w:webHidden/>
          </w:rPr>
          <w:fldChar w:fldCharType="begin"/>
        </w:r>
        <w:r w:rsidR="007B0832">
          <w:rPr>
            <w:noProof/>
            <w:webHidden/>
          </w:rPr>
          <w:instrText xml:space="preserve"> PAGEREF _Toc505860284 \h </w:instrText>
        </w:r>
        <w:r w:rsidR="007B0832">
          <w:rPr>
            <w:noProof/>
            <w:webHidden/>
          </w:rPr>
        </w:r>
        <w:r w:rsidR="007B0832">
          <w:rPr>
            <w:noProof/>
            <w:webHidden/>
          </w:rPr>
          <w:fldChar w:fldCharType="separate"/>
        </w:r>
        <w:r>
          <w:rPr>
            <w:noProof/>
            <w:webHidden/>
          </w:rPr>
          <w:t>18</w:t>
        </w:r>
        <w:r w:rsidR="007B0832">
          <w:rPr>
            <w:noProof/>
            <w:webHidden/>
          </w:rPr>
          <w:fldChar w:fldCharType="end"/>
        </w:r>
      </w:hyperlink>
    </w:p>
    <w:p w14:paraId="4111D7DE" w14:textId="714A187D" w:rsidR="0094097A" w:rsidRPr="00EF3ECB" w:rsidRDefault="00031540" w:rsidP="00C9634E">
      <w:pPr>
        <w:spacing w:line="276" w:lineRule="auto"/>
        <w:jc w:val="both"/>
        <w:rPr>
          <w:rFonts w:cs="Arial"/>
          <w:b/>
          <w:bCs/>
          <w:color w:val="23236E"/>
          <w:sz w:val="40"/>
          <w:lang w:val="en-GB"/>
        </w:rPr>
      </w:pPr>
      <w:r w:rsidRPr="00EF3ECB">
        <w:rPr>
          <w:rFonts w:cs="Arial"/>
          <w:b/>
          <w:bCs/>
          <w:color w:val="23236E"/>
          <w:sz w:val="40"/>
          <w:lang w:val="en-GB"/>
        </w:rPr>
        <w:fldChar w:fldCharType="end"/>
      </w:r>
    </w:p>
    <w:p w14:paraId="1786685E" w14:textId="77777777" w:rsidR="00DE3024" w:rsidRPr="00EF3ECB" w:rsidRDefault="00DE3024" w:rsidP="00C9634E">
      <w:pPr>
        <w:spacing w:line="276" w:lineRule="auto"/>
        <w:jc w:val="both"/>
        <w:rPr>
          <w:rFonts w:cs="Arial"/>
          <w:b/>
          <w:bCs/>
          <w:color w:val="23236E"/>
          <w:sz w:val="40"/>
          <w:lang w:val="en-GB"/>
        </w:rPr>
      </w:pPr>
    </w:p>
    <w:p w14:paraId="7F8E8FCF" w14:textId="77777777" w:rsidR="00DE3024" w:rsidRPr="00EF3ECB" w:rsidRDefault="00DE3024" w:rsidP="00C9634E">
      <w:pPr>
        <w:spacing w:line="276" w:lineRule="auto"/>
        <w:jc w:val="both"/>
        <w:rPr>
          <w:rFonts w:cs="Arial"/>
          <w:b/>
          <w:bCs/>
          <w:color w:val="23236E"/>
          <w:sz w:val="40"/>
          <w:lang w:val="en-GB"/>
        </w:rPr>
      </w:pPr>
    </w:p>
    <w:p w14:paraId="37FC90DA" w14:textId="16B610B6" w:rsidR="0094097A" w:rsidRPr="00EF3ECB" w:rsidRDefault="0094097A" w:rsidP="00F8788D">
      <w:pPr>
        <w:pStyle w:val="Heading1"/>
        <w:numPr>
          <w:ilvl w:val="0"/>
          <w:numId w:val="1"/>
        </w:numPr>
        <w:spacing w:before="0" w:line="276" w:lineRule="auto"/>
        <w:ind w:left="0" w:firstLine="0"/>
        <w:jc w:val="both"/>
        <w:rPr>
          <w:rFonts w:ascii="Arial" w:hAnsi="Arial" w:cs="Arial"/>
          <w:lang w:val="en-GB"/>
        </w:rPr>
      </w:pPr>
      <w:bookmarkStart w:id="1" w:name="_Toc507425366"/>
      <w:r w:rsidRPr="00EF3ECB">
        <w:rPr>
          <w:rFonts w:ascii="Arial" w:hAnsi="Arial" w:cs="Arial"/>
          <w:lang w:val="en-GB"/>
        </w:rPr>
        <w:t>Introduction</w:t>
      </w:r>
      <w:bookmarkEnd w:id="1"/>
    </w:p>
    <w:p w14:paraId="6F4DD15C" w14:textId="77777777" w:rsidR="0094097A" w:rsidRPr="00EF3ECB" w:rsidRDefault="0094097A" w:rsidP="00C9634E">
      <w:pPr>
        <w:spacing w:line="276" w:lineRule="auto"/>
        <w:jc w:val="both"/>
        <w:rPr>
          <w:rFonts w:cs="Arial"/>
          <w:lang w:val="en-GB"/>
        </w:rPr>
      </w:pPr>
    </w:p>
    <w:p w14:paraId="1765B248" w14:textId="77777777" w:rsidR="0094097A" w:rsidRPr="00EF3ECB" w:rsidRDefault="0094097A" w:rsidP="00F8788D">
      <w:pPr>
        <w:pStyle w:val="Heading2"/>
        <w:numPr>
          <w:ilvl w:val="1"/>
          <w:numId w:val="1"/>
        </w:numPr>
        <w:spacing w:before="0" w:line="276" w:lineRule="auto"/>
        <w:ind w:left="0" w:firstLine="0"/>
        <w:jc w:val="both"/>
        <w:rPr>
          <w:rFonts w:ascii="Arial" w:hAnsi="Arial" w:cs="Arial"/>
          <w:lang w:val="en-GB"/>
        </w:rPr>
      </w:pPr>
      <w:bookmarkStart w:id="2" w:name="_Toc507425367"/>
      <w:r w:rsidRPr="00EF3ECB">
        <w:rPr>
          <w:rFonts w:ascii="Arial" w:hAnsi="Arial" w:cs="Arial"/>
          <w:lang w:val="en-GB"/>
        </w:rPr>
        <w:t>Purpose and Structure of the Methodology</w:t>
      </w:r>
      <w:bookmarkEnd w:id="2"/>
    </w:p>
    <w:p w14:paraId="03B39501" w14:textId="77777777" w:rsidR="00031540" w:rsidRPr="00EF3ECB" w:rsidRDefault="00031540" w:rsidP="00C9634E">
      <w:pPr>
        <w:spacing w:line="276" w:lineRule="auto"/>
        <w:jc w:val="both"/>
        <w:rPr>
          <w:lang w:val="en-GB"/>
        </w:rPr>
      </w:pPr>
    </w:p>
    <w:p w14:paraId="039B32B3" w14:textId="5D65B809" w:rsidR="00DE3024" w:rsidRPr="00EF3ECB" w:rsidRDefault="00DE3024" w:rsidP="00C9634E">
      <w:pPr>
        <w:spacing w:line="276" w:lineRule="auto"/>
        <w:jc w:val="both"/>
        <w:rPr>
          <w:rFonts w:cs="Arial"/>
          <w:szCs w:val="22"/>
          <w:lang w:val="en-GB" w:eastAsia="en-GB"/>
        </w:rPr>
      </w:pPr>
      <w:r w:rsidRPr="00EF3ECB">
        <w:rPr>
          <w:rFonts w:cs="Arial"/>
          <w:szCs w:val="22"/>
          <w:lang w:val="en-GB" w:eastAsia="en-GB"/>
        </w:rPr>
        <w:t>Article 43(1) of the Commission Regulation 2015/1222 establishing a Guideline on Capacity Allocation and Congestion Management (hereinafter referred to as ‘</w:t>
      </w:r>
      <w:r w:rsidR="0076722D" w:rsidRPr="00EF3ECB">
        <w:rPr>
          <w:rFonts w:cs="Arial"/>
          <w:szCs w:val="22"/>
          <w:lang w:val="en-GB" w:eastAsia="en-GB"/>
        </w:rPr>
        <w:t>CACM Regulation</w:t>
      </w:r>
      <w:r w:rsidRPr="00EF3ECB">
        <w:rPr>
          <w:rFonts w:cs="Arial"/>
          <w:szCs w:val="22"/>
          <w:lang w:val="en-GB" w:eastAsia="en-GB"/>
        </w:rPr>
        <w:t xml:space="preserve">’) requires that, by 16 months after the entry into force of </w:t>
      </w:r>
      <w:r w:rsidR="0076722D" w:rsidRPr="00EF3ECB">
        <w:rPr>
          <w:rFonts w:cs="Arial"/>
          <w:szCs w:val="22"/>
          <w:lang w:val="en-GB" w:eastAsia="en-GB"/>
        </w:rPr>
        <w:t>CACM Regulation</w:t>
      </w:r>
      <w:r w:rsidRPr="00EF3ECB">
        <w:rPr>
          <w:rFonts w:cs="Arial"/>
          <w:szCs w:val="22"/>
          <w:lang w:val="en-GB" w:eastAsia="en-GB"/>
        </w:rPr>
        <w:t xml:space="preserve">, all Transmission System Operators (“TSOs”) which intend to calculate </w:t>
      </w:r>
      <w:r w:rsidR="00543D26" w:rsidRPr="00EF3ECB">
        <w:rPr>
          <w:rFonts w:cs="Arial"/>
          <w:szCs w:val="22"/>
          <w:lang w:val="en-GB" w:eastAsia="en-GB"/>
        </w:rPr>
        <w:t>Scheduled Exchanges</w:t>
      </w:r>
      <w:r w:rsidRPr="00EF3ECB">
        <w:rPr>
          <w:rFonts w:cs="Arial"/>
          <w:szCs w:val="22"/>
          <w:lang w:val="en-GB" w:eastAsia="en-GB"/>
        </w:rPr>
        <w:t xml:space="preserve"> resulting from single day-ahead coupling shall develop a proposal for a common met</w:t>
      </w:r>
      <w:r w:rsidR="00F0280E">
        <w:rPr>
          <w:rFonts w:cs="Arial"/>
          <w:szCs w:val="22"/>
          <w:lang w:val="en-GB" w:eastAsia="en-GB"/>
        </w:rPr>
        <w:t xml:space="preserve">hodology for this calculation. </w:t>
      </w:r>
    </w:p>
    <w:p w14:paraId="73F4A99B" w14:textId="77777777" w:rsidR="00DE3024" w:rsidRPr="00EF3ECB" w:rsidRDefault="00DE3024" w:rsidP="00C9634E">
      <w:pPr>
        <w:spacing w:line="276" w:lineRule="auto"/>
        <w:jc w:val="both"/>
        <w:rPr>
          <w:rFonts w:cs="Arial"/>
          <w:szCs w:val="22"/>
          <w:lang w:val="en-GB" w:eastAsia="en-GB"/>
        </w:rPr>
      </w:pPr>
    </w:p>
    <w:p w14:paraId="0C1BA270" w14:textId="6F49239F" w:rsidR="00DE3024" w:rsidRPr="00EF3ECB" w:rsidRDefault="00DE3024" w:rsidP="00C9634E">
      <w:pPr>
        <w:spacing w:line="276" w:lineRule="auto"/>
        <w:jc w:val="both"/>
        <w:rPr>
          <w:rFonts w:cs="Arial"/>
          <w:szCs w:val="22"/>
          <w:lang w:val="en-GB" w:eastAsia="en-GB"/>
        </w:rPr>
      </w:pPr>
      <w:r w:rsidRPr="00EF3ECB">
        <w:rPr>
          <w:rFonts w:cs="Arial"/>
          <w:szCs w:val="22"/>
          <w:lang w:val="en-GB" w:eastAsia="en-GB"/>
        </w:rPr>
        <w:t>The common calculation methodolo</w:t>
      </w:r>
      <w:r w:rsidR="00203B83" w:rsidRPr="00EF3ECB">
        <w:rPr>
          <w:rFonts w:cs="Arial"/>
          <w:szCs w:val="22"/>
          <w:lang w:val="en-GB" w:eastAsia="en-GB"/>
        </w:rPr>
        <w:t>gy (hereinafter referred to as “</w:t>
      </w:r>
      <w:r w:rsidR="00543D26" w:rsidRPr="00EF3ECB">
        <w:rPr>
          <w:rFonts w:cs="Arial"/>
          <w:szCs w:val="22"/>
          <w:lang w:val="en-GB" w:eastAsia="en-GB"/>
        </w:rPr>
        <w:t xml:space="preserve">DA </w:t>
      </w:r>
      <w:r w:rsidR="0076722D" w:rsidRPr="00EF3ECB">
        <w:rPr>
          <w:rFonts w:cs="Arial"/>
          <w:szCs w:val="22"/>
          <w:lang w:val="en-GB" w:eastAsia="en-GB"/>
        </w:rPr>
        <w:t>SEC</w:t>
      </w:r>
      <w:r w:rsidRPr="00EF3ECB">
        <w:rPr>
          <w:rFonts w:cs="Arial"/>
          <w:szCs w:val="22"/>
          <w:lang w:val="en-GB" w:eastAsia="en-GB"/>
        </w:rPr>
        <w:t xml:space="preserve"> Methodology”) shall be subject to approval by all </w:t>
      </w:r>
      <w:r w:rsidR="0063695B" w:rsidRPr="00EF3ECB">
        <w:rPr>
          <w:rFonts w:cs="Arial"/>
          <w:szCs w:val="22"/>
          <w:lang w:val="en-GB" w:eastAsia="en-GB"/>
        </w:rPr>
        <w:t xml:space="preserve">National Regulatory Authorities (“NRAs”) </w:t>
      </w:r>
      <w:r w:rsidRPr="00EF3ECB">
        <w:rPr>
          <w:rFonts w:cs="Arial"/>
          <w:szCs w:val="22"/>
          <w:lang w:val="en-GB" w:eastAsia="en-GB"/>
        </w:rPr>
        <w:t xml:space="preserve">as per Article </w:t>
      </w:r>
      <w:r w:rsidR="001862E8" w:rsidRPr="00EF3ECB">
        <w:rPr>
          <w:rFonts w:cs="Arial"/>
          <w:szCs w:val="22"/>
          <w:lang w:val="en-GB" w:eastAsia="en-GB"/>
        </w:rPr>
        <w:t>9.</w:t>
      </w:r>
      <w:r w:rsidRPr="00EF3ECB">
        <w:rPr>
          <w:rFonts w:cs="Arial"/>
          <w:szCs w:val="22"/>
          <w:lang w:val="en-GB" w:eastAsia="en-GB"/>
        </w:rPr>
        <w:t xml:space="preserve">7(d) of the </w:t>
      </w:r>
      <w:r w:rsidR="0076722D" w:rsidRPr="00EF3ECB">
        <w:rPr>
          <w:rFonts w:cs="Arial"/>
          <w:szCs w:val="22"/>
          <w:lang w:val="en-GB" w:eastAsia="en-GB"/>
        </w:rPr>
        <w:t>CACM Regulation</w:t>
      </w:r>
      <w:r w:rsidRPr="00EF3ECB">
        <w:rPr>
          <w:rFonts w:cs="Arial"/>
          <w:szCs w:val="22"/>
          <w:lang w:val="en-GB" w:eastAsia="en-GB"/>
        </w:rPr>
        <w:t>. According to Article 9</w:t>
      </w:r>
      <w:r w:rsidR="00771C1B" w:rsidRPr="00EF3ECB">
        <w:rPr>
          <w:rFonts w:cs="Arial"/>
          <w:szCs w:val="22"/>
          <w:lang w:val="en-GB" w:eastAsia="en-GB"/>
        </w:rPr>
        <w:t>(9)</w:t>
      </w:r>
      <w:r w:rsidRPr="00EF3ECB">
        <w:rPr>
          <w:rFonts w:cs="Arial"/>
          <w:szCs w:val="22"/>
          <w:lang w:val="en-GB" w:eastAsia="en-GB"/>
        </w:rPr>
        <w:t xml:space="preserve"> of the </w:t>
      </w:r>
      <w:r w:rsidR="0076722D" w:rsidRPr="00EF3ECB">
        <w:rPr>
          <w:rFonts w:cs="Arial"/>
          <w:szCs w:val="22"/>
          <w:lang w:val="en-GB" w:eastAsia="en-GB"/>
        </w:rPr>
        <w:t>CACM Regulation</w:t>
      </w:r>
      <w:r w:rsidRPr="00EF3ECB">
        <w:rPr>
          <w:rFonts w:cs="Arial"/>
          <w:szCs w:val="22"/>
          <w:lang w:val="en-GB" w:eastAsia="en-GB"/>
        </w:rPr>
        <w:t xml:space="preserve">, the </w:t>
      </w:r>
      <w:r w:rsidR="0076722D" w:rsidRPr="00EF3ECB">
        <w:rPr>
          <w:rFonts w:cs="Arial"/>
          <w:szCs w:val="22"/>
          <w:lang w:val="en-GB" w:eastAsia="en-GB"/>
        </w:rPr>
        <w:t>DA SEC Methodology</w:t>
      </w:r>
      <w:r w:rsidRPr="00EF3ECB">
        <w:rPr>
          <w:rFonts w:cs="Arial"/>
          <w:szCs w:val="22"/>
          <w:lang w:val="en-GB" w:eastAsia="en-GB"/>
        </w:rPr>
        <w:t xml:space="preserve"> proposal shall be submitted to ACER in parallel with the submission to all </w:t>
      </w:r>
      <w:r w:rsidR="00D530AF" w:rsidRPr="00EF3ECB">
        <w:rPr>
          <w:rFonts w:cs="Arial"/>
          <w:szCs w:val="22"/>
          <w:lang w:val="en-GB" w:eastAsia="en-GB"/>
        </w:rPr>
        <w:t>NRAs</w:t>
      </w:r>
      <w:r w:rsidR="00212307" w:rsidRPr="00EF3ECB">
        <w:rPr>
          <w:rFonts w:cs="Arial"/>
          <w:szCs w:val="22"/>
          <w:lang w:val="en-GB" w:eastAsia="en-GB"/>
        </w:rPr>
        <w:t>.</w:t>
      </w:r>
      <w:r w:rsidRPr="00EF3ECB">
        <w:rPr>
          <w:rFonts w:cs="Arial"/>
          <w:szCs w:val="22"/>
          <w:lang w:val="en-GB" w:eastAsia="en-GB"/>
        </w:rPr>
        <w:t xml:space="preserve"> ACER may issue an opinion on the </w:t>
      </w:r>
      <w:r w:rsidR="0076722D" w:rsidRPr="00EF3ECB">
        <w:rPr>
          <w:rFonts w:cs="Arial"/>
          <w:szCs w:val="22"/>
          <w:lang w:val="en-GB" w:eastAsia="en-GB"/>
        </w:rPr>
        <w:t>DA SEC Methodology</w:t>
      </w:r>
      <w:r w:rsidRPr="00EF3ECB">
        <w:rPr>
          <w:rFonts w:cs="Arial"/>
          <w:szCs w:val="22"/>
          <w:lang w:val="en-GB" w:eastAsia="en-GB"/>
        </w:rPr>
        <w:t xml:space="preserve"> only if requested by the NRAs.</w:t>
      </w:r>
    </w:p>
    <w:p w14:paraId="1B33515F" w14:textId="77777777" w:rsidR="00DE3024" w:rsidRPr="00EF3ECB" w:rsidRDefault="00DE3024" w:rsidP="00C9634E">
      <w:pPr>
        <w:spacing w:line="276" w:lineRule="auto"/>
        <w:jc w:val="both"/>
        <w:rPr>
          <w:rFonts w:cs="Arial"/>
          <w:szCs w:val="22"/>
          <w:lang w:val="en-GB" w:eastAsia="en-GB"/>
        </w:rPr>
      </w:pPr>
    </w:p>
    <w:p w14:paraId="1AC56336" w14:textId="531C9619" w:rsidR="00DE3024" w:rsidRPr="00EF3ECB" w:rsidRDefault="00DE3024" w:rsidP="00C9634E">
      <w:pPr>
        <w:spacing w:line="276" w:lineRule="auto"/>
        <w:jc w:val="both"/>
        <w:rPr>
          <w:rFonts w:cs="Arial"/>
          <w:szCs w:val="22"/>
          <w:lang w:val="en-GB" w:eastAsia="en-GB"/>
        </w:rPr>
      </w:pPr>
      <w:r w:rsidRPr="00EF3ECB">
        <w:rPr>
          <w:rFonts w:cs="Arial"/>
          <w:szCs w:val="22"/>
          <w:lang w:val="en-GB" w:eastAsia="en-GB"/>
        </w:rPr>
        <w:t xml:space="preserve">This document is an explanatory note accompanying the </w:t>
      </w:r>
      <w:r w:rsidR="0076722D" w:rsidRPr="00EF3ECB">
        <w:rPr>
          <w:rFonts w:cs="Arial"/>
          <w:szCs w:val="22"/>
          <w:lang w:val="en-GB" w:eastAsia="en-GB"/>
        </w:rPr>
        <w:t>DA SEC Methodology</w:t>
      </w:r>
      <w:r w:rsidR="002A1352" w:rsidRPr="00EF3ECB">
        <w:rPr>
          <w:rFonts w:cs="Arial"/>
          <w:szCs w:val="22"/>
          <w:lang w:val="en-GB" w:eastAsia="en-GB"/>
        </w:rPr>
        <w:t>,</w:t>
      </w:r>
      <w:r w:rsidRPr="00EF3ECB">
        <w:rPr>
          <w:rFonts w:cs="Arial"/>
          <w:szCs w:val="22"/>
          <w:lang w:val="en-GB" w:eastAsia="en-GB"/>
        </w:rPr>
        <w:t xml:space="preserve"> describing the technical background which forms the basis for the </w:t>
      </w:r>
      <w:r w:rsidR="002A1352" w:rsidRPr="00EF3ECB">
        <w:rPr>
          <w:rFonts w:cs="Arial"/>
          <w:szCs w:val="22"/>
          <w:lang w:val="en-GB" w:eastAsia="en-GB"/>
        </w:rPr>
        <w:t>methodology</w:t>
      </w:r>
      <w:r w:rsidRPr="00EF3ECB">
        <w:rPr>
          <w:rFonts w:cs="Arial"/>
          <w:szCs w:val="22"/>
          <w:lang w:val="en-GB" w:eastAsia="en-GB"/>
        </w:rPr>
        <w:t xml:space="preserve">. The document is structured as follows. The legal requirements for the </w:t>
      </w:r>
      <w:r w:rsidR="0076722D" w:rsidRPr="00EF3ECB">
        <w:rPr>
          <w:rFonts w:cs="Arial"/>
          <w:szCs w:val="22"/>
          <w:lang w:val="en-GB" w:eastAsia="en-GB"/>
        </w:rPr>
        <w:t>DA SEC Methodology</w:t>
      </w:r>
      <w:r w:rsidRPr="00EF3ECB">
        <w:rPr>
          <w:rFonts w:cs="Arial"/>
          <w:szCs w:val="22"/>
          <w:lang w:val="en-GB" w:eastAsia="en-GB"/>
        </w:rPr>
        <w:t xml:space="preserve"> and their implicatio</w:t>
      </w:r>
      <w:r w:rsidR="00F0280E">
        <w:rPr>
          <w:rFonts w:cs="Arial"/>
          <w:szCs w:val="22"/>
          <w:lang w:val="en-GB" w:eastAsia="en-GB"/>
        </w:rPr>
        <w:t xml:space="preserve">ns are presented in Chapter 2. </w:t>
      </w:r>
      <w:r w:rsidRPr="00EF3ECB">
        <w:rPr>
          <w:rFonts w:cs="Arial"/>
          <w:szCs w:val="22"/>
          <w:lang w:val="en-GB" w:eastAsia="en-GB"/>
        </w:rPr>
        <w:t xml:space="preserve">Chapter 3 provides the list of information required from the relevant NEMOs. In Chapter 4 the uses of </w:t>
      </w:r>
      <w:r w:rsidR="00543D26" w:rsidRPr="00EF3ECB">
        <w:rPr>
          <w:rFonts w:cs="Arial"/>
          <w:szCs w:val="22"/>
          <w:lang w:val="en-GB" w:eastAsia="en-GB"/>
        </w:rPr>
        <w:t>Scheduled Exchanges</w:t>
      </w:r>
      <w:r w:rsidRPr="00EF3ECB">
        <w:rPr>
          <w:rFonts w:cs="Arial"/>
          <w:szCs w:val="22"/>
          <w:lang w:val="en-GB" w:eastAsia="en-GB"/>
        </w:rPr>
        <w:t xml:space="preserve"> are described and Chapter 5 introduces the establishment of the Scheduled Exchange Calculator. The calculation methodology is explained within Chapter 6. Finally</w:t>
      </w:r>
      <w:r w:rsidR="001331BF" w:rsidRPr="00EF3ECB">
        <w:rPr>
          <w:rFonts w:cs="Arial"/>
          <w:szCs w:val="22"/>
          <w:lang w:val="en-GB" w:eastAsia="en-GB"/>
        </w:rPr>
        <w:t>,</w:t>
      </w:r>
      <w:r w:rsidRPr="00EF3ECB">
        <w:rPr>
          <w:rFonts w:cs="Arial"/>
          <w:szCs w:val="22"/>
          <w:lang w:val="en-GB" w:eastAsia="en-GB"/>
        </w:rPr>
        <w:t xml:space="preserve"> Chapter 7 describes the plan for implementation</w:t>
      </w:r>
      <w:r w:rsidR="0063695B" w:rsidRPr="00EF3ECB">
        <w:rPr>
          <w:rFonts w:cs="Arial"/>
          <w:szCs w:val="22"/>
          <w:lang w:val="en-GB" w:eastAsia="en-GB"/>
        </w:rPr>
        <w:t xml:space="preserve"> of the DA SEC Methodology</w:t>
      </w:r>
      <w:r w:rsidRPr="00EF3ECB">
        <w:rPr>
          <w:rFonts w:cs="Arial"/>
          <w:szCs w:val="22"/>
          <w:lang w:val="en-GB" w:eastAsia="en-GB"/>
        </w:rPr>
        <w:t>.</w:t>
      </w:r>
      <w:r w:rsidR="00F0280E">
        <w:rPr>
          <w:rFonts w:cs="Arial"/>
          <w:szCs w:val="22"/>
          <w:lang w:val="en-GB" w:eastAsia="en-GB"/>
        </w:rPr>
        <w:t xml:space="preserve"> </w:t>
      </w:r>
      <w:r w:rsidR="0044255B">
        <w:rPr>
          <w:rFonts w:cs="Arial"/>
          <w:szCs w:val="22"/>
          <w:lang w:val="en-GB" w:eastAsia="en-GB"/>
        </w:rPr>
        <w:t>In annexes 1 and 2 are the functioning principles of the Single Day Ahead Coupling under Multi-NEMO Arangements.</w:t>
      </w:r>
    </w:p>
    <w:p w14:paraId="217BBCDA" w14:textId="77777777" w:rsidR="00DE3024" w:rsidRPr="00EF3ECB" w:rsidRDefault="00DE3024" w:rsidP="00C9634E">
      <w:pPr>
        <w:spacing w:line="276" w:lineRule="auto"/>
        <w:jc w:val="both"/>
        <w:rPr>
          <w:rFonts w:cs="Arial"/>
          <w:szCs w:val="22"/>
          <w:lang w:val="en-GB" w:eastAsia="en-GB"/>
        </w:rPr>
      </w:pPr>
    </w:p>
    <w:p w14:paraId="2308AD72" w14:textId="57DA2F86" w:rsidR="00DE3024" w:rsidRDefault="00DE3024" w:rsidP="00C9634E">
      <w:pPr>
        <w:spacing w:line="276" w:lineRule="auto"/>
        <w:jc w:val="both"/>
        <w:rPr>
          <w:rFonts w:cs="Arial"/>
          <w:szCs w:val="22"/>
          <w:lang w:val="en-GB" w:eastAsia="en-GB"/>
        </w:rPr>
      </w:pPr>
      <w:r w:rsidRPr="00EF3ECB">
        <w:rPr>
          <w:rFonts w:cs="Arial"/>
          <w:szCs w:val="22"/>
          <w:lang w:val="en-GB" w:eastAsia="en-GB"/>
        </w:rPr>
        <w:t xml:space="preserve">Capitalised terms used in this document are understood as defined </w:t>
      </w:r>
      <w:r w:rsidR="00F93D51" w:rsidRPr="00EF3ECB">
        <w:rPr>
          <w:rFonts w:cs="Arial"/>
          <w:szCs w:val="22"/>
          <w:lang w:val="en-GB" w:eastAsia="en-GB"/>
        </w:rPr>
        <w:t xml:space="preserve">in </w:t>
      </w:r>
      <w:r w:rsidR="0076722D" w:rsidRPr="00EF3ECB">
        <w:rPr>
          <w:rFonts w:cs="Arial"/>
          <w:szCs w:val="22"/>
          <w:lang w:val="en-GB" w:eastAsia="en-GB"/>
        </w:rPr>
        <w:t>CACM Regulation</w:t>
      </w:r>
      <w:r w:rsidRPr="00EF3ECB">
        <w:rPr>
          <w:rFonts w:cs="Arial"/>
          <w:szCs w:val="22"/>
          <w:lang w:val="en-GB" w:eastAsia="en-GB"/>
        </w:rPr>
        <w:t>, Regulation (EC) No 714/2009 of the European Parliament and of the Council of 13 July 2009 on conditions for access to the network for cross-border exchanges in electricity (hereafter referred to as “Regulation (EC) No 714/2009”), Commission Regulation (EU) 543/2013</w:t>
      </w:r>
      <w:r w:rsidR="002E0420" w:rsidRPr="00EF3ECB">
        <w:rPr>
          <w:rFonts w:cs="Arial"/>
          <w:szCs w:val="22"/>
          <w:lang w:val="en-GB" w:eastAsia="en-GB"/>
        </w:rPr>
        <w:t>,</w:t>
      </w:r>
      <w:r w:rsidR="002E0420" w:rsidRPr="00EF3ECB">
        <w:rPr>
          <w:lang w:val="en-GB"/>
        </w:rPr>
        <w:t xml:space="preserve"> </w:t>
      </w:r>
      <w:r w:rsidR="002E0420" w:rsidRPr="00EF3ECB">
        <w:rPr>
          <w:rFonts w:cs="Arial"/>
          <w:szCs w:val="22"/>
          <w:lang w:val="en-GB" w:eastAsia="en-GB"/>
        </w:rPr>
        <w:t>Article 3 of Regulation (EU) 2017/1485</w:t>
      </w:r>
      <w:r w:rsidRPr="00EF3ECB">
        <w:rPr>
          <w:rFonts w:cs="Arial"/>
          <w:szCs w:val="22"/>
          <w:lang w:val="en-GB" w:eastAsia="en-GB"/>
        </w:rPr>
        <w:t xml:space="preserve"> and the </w:t>
      </w:r>
      <w:r w:rsidR="0076722D" w:rsidRPr="00EF3ECB">
        <w:rPr>
          <w:rFonts w:cs="Arial"/>
          <w:szCs w:val="22"/>
          <w:lang w:val="en-GB" w:eastAsia="en-GB"/>
        </w:rPr>
        <w:t xml:space="preserve">DA SEC </w:t>
      </w:r>
      <w:r w:rsidR="001331BF" w:rsidRPr="00EF3ECB">
        <w:rPr>
          <w:rFonts w:cs="Arial"/>
          <w:szCs w:val="22"/>
          <w:lang w:val="en-GB" w:eastAsia="en-GB"/>
        </w:rPr>
        <w:t>P</w:t>
      </w:r>
      <w:r w:rsidRPr="00EF3ECB">
        <w:rPr>
          <w:rFonts w:cs="Arial"/>
          <w:szCs w:val="22"/>
          <w:lang w:val="en-GB" w:eastAsia="en-GB"/>
        </w:rPr>
        <w:t>roposal.</w:t>
      </w:r>
    </w:p>
    <w:p w14:paraId="685E1107" w14:textId="77777777" w:rsidR="00F0280E" w:rsidRDefault="00F0280E" w:rsidP="00C9634E">
      <w:pPr>
        <w:spacing w:line="276" w:lineRule="auto"/>
        <w:jc w:val="both"/>
        <w:rPr>
          <w:rFonts w:cs="Arial"/>
          <w:szCs w:val="22"/>
          <w:lang w:val="en-GB" w:eastAsia="en-GB"/>
        </w:rPr>
      </w:pPr>
    </w:p>
    <w:p w14:paraId="07AB1C9D" w14:textId="51EFA96C" w:rsidR="00AE32BA" w:rsidRPr="00F0280E" w:rsidRDefault="00AE32BA" w:rsidP="00F8788D">
      <w:pPr>
        <w:pStyle w:val="Heading2"/>
        <w:numPr>
          <w:ilvl w:val="1"/>
          <w:numId w:val="1"/>
        </w:numPr>
        <w:spacing w:before="0" w:line="276" w:lineRule="auto"/>
        <w:ind w:left="0" w:firstLine="0"/>
        <w:jc w:val="both"/>
        <w:rPr>
          <w:rFonts w:ascii="Arial" w:hAnsi="Arial" w:cs="Arial"/>
          <w:lang w:val="en-GB"/>
        </w:rPr>
      </w:pPr>
      <w:bookmarkStart w:id="3" w:name="_Toc507425368"/>
      <w:r w:rsidRPr="00F0280E">
        <w:rPr>
          <w:rFonts w:ascii="Arial" w:hAnsi="Arial" w:cs="Arial"/>
          <w:lang w:val="en-GB"/>
        </w:rPr>
        <w:t>Development of the Methodology</w:t>
      </w:r>
      <w:bookmarkEnd w:id="3"/>
    </w:p>
    <w:p w14:paraId="1BFA7144" w14:textId="77777777" w:rsidR="001E3979" w:rsidRDefault="001E3979" w:rsidP="001E3979">
      <w:pPr>
        <w:rPr>
          <w:lang w:val="en-GB"/>
        </w:rPr>
      </w:pPr>
    </w:p>
    <w:p w14:paraId="2AFDFCD2" w14:textId="3A6B057B" w:rsidR="00AE32BA" w:rsidRPr="00AE32BA" w:rsidRDefault="00AE32BA" w:rsidP="00AE32BA">
      <w:pPr>
        <w:spacing w:line="276" w:lineRule="auto"/>
        <w:jc w:val="both"/>
        <w:rPr>
          <w:rFonts w:cs="Arial"/>
          <w:szCs w:val="22"/>
          <w:lang w:val="en-GB" w:eastAsia="en-GB"/>
        </w:rPr>
      </w:pPr>
      <w:r w:rsidRPr="00AE32BA">
        <w:rPr>
          <w:rFonts w:cs="Arial"/>
          <w:szCs w:val="22"/>
          <w:lang w:val="en-GB" w:eastAsia="en-GB"/>
        </w:rPr>
        <w:t>The Interim NEMO Committee has created a MNA task force under PCR to analyse the scope and define the requirements of the new version of the DA algorithm (Euphemia release 10.</w:t>
      </w:r>
      <w:r w:rsidR="003E57AC">
        <w:rPr>
          <w:rFonts w:cs="Arial"/>
          <w:szCs w:val="22"/>
          <w:lang w:val="en-GB" w:eastAsia="en-GB"/>
        </w:rPr>
        <w:t>3</w:t>
      </w:r>
      <w:r w:rsidRPr="00AE32BA">
        <w:rPr>
          <w:rFonts w:cs="Arial"/>
          <w:szCs w:val="22"/>
          <w:lang w:val="en-GB" w:eastAsia="en-GB"/>
        </w:rPr>
        <w:t xml:space="preserve">) to develop the Multi NEMO Arrangements (MNA) functionalities, especially calculation of Net Positions per NEMO </w:t>
      </w:r>
      <w:r w:rsidR="008F14A5">
        <w:rPr>
          <w:rFonts w:cs="Arial"/>
          <w:szCs w:val="22"/>
          <w:lang w:val="en-GB" w:eastAsia="en-GB"/>
        </w:rPr>
        <w:t xml:space="preserve">Trading </w:t>
      </w:r>
      <w:r w:rsidRPr="00AE32BA">
        <w:rPr>
          <w:rFonts w:cs="Arial"/>
          <w:szCs w:val="22"/>
          <w:lang w:val="en-GB" w:eastAsia="en-GB"/>
        </w:rPr>
        <w:t>hub and determin</w:t>
      </w:r>
      <w:r w:rsidR="00F0280E">
        <w:rPr>
          <w:rFonts w:cs="Arial"/>
          <w:szCs w:val="22"/>
          <w:lang w:val="en-GB" w:eastAsia="en-GB"/>
        </w:rPr>
        <w:t>ation of</w:t>
      </w:r>
      <w:r w:rsidRPr="00AE32BA">
        <w:rPr>
          <w:rFonts w:cs="Arial"/>
          <w:szCs w:val="22"/>
          <w:lang w:val="en-GB" w:eastAsia="en-GB"/>
        </w:rPr>
        <w:t xml:space="preserve"> flows between NEMO </w:t>
      </w:r>
      <w:r w:rsidR="008F14A5">
        <w:rPr>
          <w:rFonts w:cs="Arial"/>
          <w:szCs w:val="22"/>
          <w:lang w:val="en-GB" w:eastAsia="en-GB"/>
        </w:rPr>
        <w:t xml:space="preserve">Trading </w:t>
      </w:r>
      <w:r w:rsidRPr="00AE32BA">
        <w:rPr>
          <w:rFonts w:cs="Arial"/>
          <w:szCs w:val="22"/>
          <w:lang w:val="en-GB" w:eastAsia="en-GB"/>
        </w:rPr>
        <w:t xml:space="preserve">hubs (so called NEMO </w:t>
      </w:r>
      <w:r w:rsidR="008F14A5">
        <w:rPr>
          <w:rFonts w:cs="Arial"/>
          <w:szCs w:val="22"/>
          <w:lang w:val="en-GB" w:eastAsia="en-GB"/>
        </w:rPr>
        <w:t xml:space="preserve">Trading </w:t>
      </w:r>
      <w:r w:rsidRPr="00AE32BA">
        <w:rPr>
          <w:rFonts w:cs="Arial"/>
          <w:szCs w:val="22"/>
          <w:lang w:val="en-GB" w:eastAsia="en-GB"/>
        </w:rPr>
        <w:t xml:space="preserve">Hub flows). </w:t>
      </w:r>
    </w:p>
    <w:p w14:paraId="6CD8BEE1" w14:textId="77777777" w:rsidR="00AE32BA" w:rsidRPr="00AE32BA" w:rsidRDefault="00AE32BA" w:rsidP="00AE32BA">
      <w:pPr>
        <w:spacing w:line="276" w:lineRule="auto"/>
        <w:jc w:val="both"/>
        <w:rPr>
          <w:rFonts w:cs="Arial"/>
          <w:szCs w:val="22"/>
          <w:lang w:val="en-GB" w:eastAsia="en-GB"/>
        </w:rPr>
      </w:pPr>
      <w:r w:rsidRPr="00AE32BA">
        <w:rPr>
          <w:rFonts w:cs="Arial"/>
          <w:szCs w:val="22"/>
          <w:lang w:val="en-GB" w:eastAsia="en-GB"/>
        </w:rPr>
        <w:t xml:space="preserve"> </w:t>
      </w:r>
    </w:p>
    <w:p w14:paraId="521FBF97" w14:textId="264324E5" w:rsidR="00AE32BA" w:rsidRPr="00AE32BA" w:rsidRDefault="00AE32BA" w:rsidP="00AE32BA">
      <w:pPr>
        <w:spacing w:line="276" w:lineRule="auto"/>
        <w:jc w:val="both"/>
        <w:rPr>
          <w:rFonts w:cs="Arial"/>
          <w:szCs w:val="22"/>
          <w:lang w:val="en-GB" w:eastAsia="en-GB"/>
        </w:rPr>
      </w:pPr>
      <w:r w:rsidRPr="00AE32BA">
        <w:rPr>
          <w:rFonts w:cs="Arial"/>
          <w:szCs w:val="22"/>
          <w:lang w:val="en-GB" w:eastAsia="en-GB"/>
        </w:rPr>
        <w:t xml:space="preserve">Following the All TSOs ‘decision of the 25 August 2017, only one Scheduled Exchanges </w:t>
      </w:r>
      <w:r w:rsidR="008F14A5">
        <w:rPr>
          <w:rFonts w:cs="Arial"/>
          <w:szCs w:val="22"/>
          <w:lang w:val="en-GB" w:eastAsia="en-GB"/>
        </w:rPr>
        <w:t>Calculator</w:t>
      </w:r>
      <w:r w:rsidRPr="00AE32BA">
        <w:rPr>
          <w:rFonts w:cs="Arial"/>
          <w:szCs w:val="22"/>
          <w:lang w:val="en-GB" w:eastAsia="en-GB"/>
        </w:rPr>
        <w:t xml:space="preserve"> will be established and this Scheduled Exchanges </w:t>
      </w:r>
      <w:r w:rsidR="008F14A5">
        <w:rPr>
          <w:rFonts w:cs="Arial"/>
          <w:szCs w:val="22"/>
          <w:lang w:val="en-GB" w:eastAsia="en-GB"/>
        </w:rPr>
        <w:t>Calculator</w:t>
      </w:r>
      <w:r w:rsidR="00F0280E">
        <w:rPr>
          <w:rFonts w:cs="Arial"/>
          <w:szCs w:val="22"/>
          <w:lang w:val="en-GB" w:eastAsia="en-GB"/>
        </w:rPr>
        <w:t xml:space="preserve"> will be developed within PCR.</w:t>
      </w:r>
      <w:r w:rsidRPr="00AE32BA">
        <w:rPr>
          <w:rFonts w:cs="Arial"/>
          <w:szCs w:val="22"/>
          <w:lang w:val="en-GB" w:eastAsia="en-GB"/>
        </w:rPr>
        <w:t xml:space="preserve"> This is also part of the MNA </w:t>
      </w:r>
      <w:r w:rsidR="008F14A5">
        <w:rPr>
          <w:rFonts w:cs="Arial"/>
          <w:szCs w:val="22"/>
          <w:lang w:val="en-GB" w:eastAsia="en-GB"/>
        </w:rPr>
        <w:t>implementation</w:t>
      </w:r>
      <w:r w:rsidR="00CC4636">
        <w:rPr>
          <w:rFonts w:cs="Arial"/>
          <w:szCs w:val="22"/>
          <w:lang w:val="en-GB" w:eastAsia="en-GB"/>
        </w:rPr>
        <w:t xml:space="preserve"> work</w:t>
      </w:r>
      <w:r w:rsidRPr="00AE32BA">
        <w:rPr>
          <w:rFonts w:cs="Arial"/>
          <w:szCs w:val="22"/>
          <w:lang w:val="en-GB" w:eastAsia="en-GB"/>
        </w:rPr>
        <w:t xml:space="preserve">. </w:t>
      </w:r>
    </w:p>
    <w:p w14:paraId="2705D574" w14:textId="77777777" w:rsidR="00AE32BA" w:rsidRPr="00AE32BA" w:rsidRDefault="00AE32BA" w:rsidP="00AE32BA">
      <w:pPr>
        <w:spacing w:line="276" w:lineRule="auto"/>
        <w:jc w:val="both"/>
        <w:rPr>
          <w:rFonts w:cs="Arial"/>
          <w:szCs w:val="22"/>
          <w:lang w:val="en-GB" w:eastAsia="en-GB"/>
        </w:rPr>
      </w:pPr>
      <w:r w:rsidRPr="00AE32BA">
        <w:rPr>
          <w:rFonts w:cs="Arial"/>
          <w:szCs w:val="22"/>
          <w:lang w:val="en-GB" w:eastAsia="en-GB"/>
        </w:rPr>
        <w:t xml:space="preserve"> </w:t>
      </w:r>
    </w:p>
    <w:p w14:paraId="73DF9669" w14:textId="5FEB2AD4" w:rsidR="00AE32BA" w:rsidRDefault="00AE32BA" w:rsidP="00AE32BA">
      <w:pPr>
        <w:spacing w:line="276" w:lineRule="auto"/>
        <w:jc w:val="both"/>
        <w:rPr>
          <w:rFonts w:cs="Arial"/>
          <w:szCs w:val="22"/>
          <w:lang w:val="en-GB" w:eastAsia="en-GB"/>
        </w:rPr>
      </w:pPr>
      <w:r w:rsidRPr="00AE32BA">
        <w:rPr>
          <w:rFonts w:cs="Arial"/>
          <w:szCs w:val="22"/>
          <w:lang w:val="en-GB" w:eastAsia="en-GB"/>
        </w:rPr>
        <w:t>TSOs and NEMOs have worked together in order to elaborate the functioning principles on which the development of the solution will be based</w:t>
      </w:r>
      <w:r w:rsidR="0006677C">
        <w:rPr>
          <w:rFonts w:cs="Arial"/>
          <w:szCs w:val="22"/>
          <w:lang w:val="en-GB" w:eastAsia="en-GB"/>
        </w:rPr>
        <w:t xml:space="preserve">. </w:t>
      </w:r>
      <w:r w:rsidR="009214E8">
        <w:rPr>
          <w:rFonts w:cs="Arial"/>
          <w:szCs w:val="22"/>
          <w:lang w:val="en-GB" w:eastAsia="en-GB"/>
        </w:rPr>
        <w:t>The collaboration ensures consistency between all levels of the calculation</w:t>
      </w:r>
      <w:r w:rsidR="00BD7709">
        <w:rPr>
          <w:rFonts w:cs="Arial"/>
          <w:szCs w:val="22"/>
          <w:lang w:val="en-GB" w:eastAsia="en-GB"/>
        </w:rPr>
        <w:t>s</w:t>
      </w:r>
      <w:r w:rsidR="009214E8">
        <w:rPr>
          <w:rFonts w:cs="Arial"/>
          <w:szCs w:val="22"/>
          <w:lang w:val="en-GB" w:eastAsia="en-GB"/>
        </w:rPr>
        <w:t xml:space="preserve"> (bidding zone border, scheduling area border and exchanges between NEMO Trading Hubs). </w:t>
      </w:r>
      <w:r w:rsidR="00A2214A">
        <w:rPr>
          <w:rFonts w:cs="Arial"/>
          <w:szCs w:val="22"/>
          <w:lang w:val="en-GB" w:eastAsia="en-GB"/>
        </w:rPr>
        <w:t>The calculation of the Scheduled Exchanges between bidding zone</w:t>
      </w:r>
      <w:r w:rsidR="00D82FAC">
        <w:rPr>
          <w:rFonts w:cs="Arial"/>
          <w:szCs w:val="22"/>
          <w:lang w:val="en-GB" w:eastAsia="en-GB"/>
        </w:rPr>
        <w:t>s</w:t>
      </w:r>
      <w:r w:rsidR="00A2214A">
        <w:rPr>
          <w:rFonts w:cs="Arial"/>
          <w:szCs w:val="22"/>
          <w:lang w:val="en-GB" w:eastAsia="en-GB"/>
        </w:rPr>
        <w:t xml:space="preserve"> and scheduling areas described in this Methodology reflects the principles agreed by all TSOs and </w:t>
      </w:r>
      <w:r w:rsidR="008F14A5">
        <w:rPr>
          <w:rFonts w:cs="Arial"/>
          <w:szCs w:val="22"/>
          <w:lang w:val="en-GB" w:eastAsia="en-GB"/>
        </w:rPr>
        <w:t xml:space="preserve">all </w:t>
      </w:r>
      <w:r w:rsidR="00A2214A">
        <w:rPr>
          <w:rFonts w:cs="Arial"/>
          <w:szCs w:val="22"/>
          <w:lang w:val="en-GB" w:eastAsia="en-GB"/>
        </w:rPr>
        <w:t>NEMOs</w:t>
      </w:r>
      <w:r w:rsidR="00035471">
        <w:rPr>
          <w:rFonts w:cs="Arial"/>
          <w:szCs w:val="22"/>
          <w:lang w:val="en-GB" w:eastAsia="en-GB"/>
        </w:rPr>
        <w:t>.</w:t>
      </w:r>
    </w:p>
    <w:p w14:paraId="7A309D56" w14:textId="67431078" w:rsidR="00BB3645" w:rsidRPr="0003741D" w:rsidRDefault="00F0280E" w:rsidP="0003741D">
      <w:pPr>
        <w:spacing w:before="100" w:beforeAutospacing="1" w:after="100" w:afterAutospacing="1" w:line="276" w:lineRule="auto"/>
        <w:jc w:val="both"/>
        <w:rPr>
          <w:lang w:val="en-GB"/>
        </w:rPr>
      </w:pPr>
      <w:r>
        <w:rPr>
          <w:lang w:val="en-GB"/>
        </w:rPr>
        <w:t>Following the public consultation in November 2017</w:t>
      </w:r>
      <w:r w:rsidR="002B3299">
        <w:rPr>
          <w:lang w:val="en-GB"/>
        </w:rPr>
        <w:t>, the DA SEC methodology has been significantly reworked with regards</w:t>
      </w:r>
      <w:r w:rsidR="008F14A5">
        <w:rPr>
          <w:lang w:val="en-GB"/>
        </w:rPr>
        <w:t xml:space="preserve"> to</w:t>
      </w:r>
      <w:r w:rsidR="002B3299">
        <w:rPr>
          <w:lang w:val="en-GB"/>
        </w:rPr>
        <w:t xml:space="preserve"> structure and content</w:t>
      </w:r>
      <w:r w:rsidR="008F14A5">
        <w:rPr>
          <w:lang w:val="en-GB"/>
        </w:rPr>
        <w:t>,</w:t>
      </w:r>
      <w:r w:rsidR="0003741D">
        <w:rPr>
          <w:lang w:val="en-GB"/>
        </w:rPr>
        <w:t xml:space="preserve"> addressing most of the comments raised</w:t>
      </w:r>
      <w:r w:rsidR="002B3299">
        <w:rPr>
          <w:lang w:val="en-GB"/>
        </w:rPr>
        <w:t xml:space="preserve">. </w:t>
      </w:r>
      <w:r w:rsidR="0003741D">
        <w:rPr>
          <w:lang w:val="en-GB"/>
        </w:rPr>
        <w:t xml:space="preserve">The concept of Scheduled Exchanges between NEMO Trading Hubs was </w:t>
      </w:r>
      <w:r w:rsidR="00A109C7">
        <w:rPr>
          <w:lang w:val="en-GB"/>
        </w:rPr>
        <w:t xml:space="preserve">not elaborated </w:t>
      </w:r>
      <w:r w:rsidR="00BD7709">
        <w:rPr>
          <w:lang w:val="en-GB"/>
        </w:rPr>
        <w:t>despite</w:t>
      </w:r>
      <w:r w:rsidR="00A109C7">
        <w:rPr>
          <w:lang w:val="en-GB"/>
        </w:rPr>
        <w:t xml:space="preserve"> </w:t>
      </w:r>
      <w:r>
        <w:rPr>
          <w:lang w:val="en-GB"/>
        </w:rPr>
        <w:t>in this DA SEC Methodology</w:t>
      </w:r>
      <w:r w:rsidR="00A109C7">
        <w:rPr>
          <w:lang w:val="en-GB"/>
        </w:rPr>
        <w:t>. This action is justified in section 1.</w:t>
      </w:r>
      <w:r>
        <w:rPr>
          <w:lang w:val="en-GB"/>
        </w:rPr>
        <w:t>3</w:t>
      </w:r>
      <w:r w:rsidR="00A109C7">
        <w:rPr>
          <w:lang w:val="en-GB"/>
        </w:rPr>
        <w:t>.</w:t>
      </w:r>
    </w:p>
    <w:p w14:paraId="696E2ED2" w14:textId="77777777" w:rsidR="002B3299" w:rsidRPr="00AE32BA" w:rsidRDefault="002B3299" w:rsidP="00AE32BA">
      <w:pPr>
        <w:spacing w:line="276" w:lineRule="auto"/>
        <w:jc w:val="both"/>
        <w:rPr>
          <w:rFonts w:cs="Arial"/>
          <w:szCs w:val="22"/>
          <w:lang w:val="en-GB" w:eastAsia="en-GB"/>
        </w:rPr>
      </w:pPr>
    </w:p>
    <w:p w14:paraId="1A912EE2" w14:textId="5A096B50" w:rsidR="00031540" w:rsidRDefault="00031540" w:rsidP="00C9634E">
      <w:pPr>
        <w:spacing w:line="276" w:lineRule="auto"/>
        <w:jc w:val="both"/>
        <w:rPr>
          <w:rFonts w:cs="Arial"/>
          <w:szCs w:val="22"/>
          <w:lang w:val="en-GB" w:eastAsia="en-GB"/>
        </w:rPr>
      </w:pPr>
    </w:p>
    <w:p w14:paraId="0D6EB3B4" w14:textId="10355996" w:rsidR="009F1E65" w:rsidRPr="00EF3ECB" w:rsidRDefault="00BF53D7" w:rsidP="00F8788D">
      <w:pPr>
        <w:pStyle w:val="Heading2"/>
        <w:numPr>
          <w:ilvl w:val="1"/>
          <w:numId w:val="1"/>
        </w:numPr>
        <w:spacing w:before="0" w:line="276" w:lineRule="auto"/>
        <w:ind w:left="0" w:firstLine="0"/>
        <w:jc w:val="both"/>
        <w:rPr>
          <w:rFonts w:ascii="Arial" w:hAnsi="Arial" w:cs="Arial"/>
          <w:lang w:val="en-GB"/>
        </w:rPr>
      </w:pPr>
      <w:bookmarkStart w:id="4" w:name="_Toc507425369"/>
      <w:r>
        <w:rPr>
          <w:rFonts w:ascii="Arial" w:hAnsi="Arial" w:cs="Arial"/>
          <w:lang w:val="en-GB"/>
        </w:rPr>
        <w:t xml:space="preserve">TSOs interpretation about the </w:t>
      </w:r>
      <w:r w:rsidR="008E5321">
        <w:rPr>
          <w:rFonts w:ascii="Arial" w:hAnsi="Arial" w:cs="Arial"/>
          <w:lang w:val="en-GB"/>
        </w:rPr>
        <w:t xml:space="preserve">exchanges between </w:t>
      </w:r>
      <w:r>
        <w:rPr>
          <w:rFonts w:ascii="Arial" w:hAnsi="Arial" w:cs="Arial"/>
          <w:lang w:val="en-GB"/>
        </w:rPr>
        <w:t>NEMO Trading Hubs</w:t>
      </w:r>
      <w:bookmarkEnd w:id="4"/>
    </w:p>
    <w:p w14:paraId="6AF0AF25" w14:textId="77777777" w:rsidR="009F1E65" w:rsidRPr="00EF3ECB" w:rsidRDefault="009F1E65" w:rsidP="009F1E65">
      <w:pPr>
        <w:spacing w:line="276" w:lineRule="auto"/>
        <w:jc w:val="both"/>
        <w:rPr>
          <w:lang w:val="en-GB"/>
        </w:rPr>
      </w:pPr>
    </w:p>
    <w:p w14:paraId="2D3D60FA" w14:textId="262C80C2" w:rsidR="00BF53D7" w:rsidRDefault="00BF53D7" w:rsidP="00BF53D7">
      <w:pPr>
        <w:spacing w:line="276" w:lineRule="auto"/>
        <w:jc w:val="both"/>
        <w:rPr>
          <w:rFonts w:cs="Arial"/>
          <w:szCs w:val="22"/>
          <w:lang w:val="en-GB" w:eastAsia="en-GB"/>
        </w:rPr>
      </w:pPr>
      <w:r>
        <w:rPr>
          <w:rFonts w:cs="Arial"/>
          <w:szCs w:val="22"/>
          <w:lang w:val="en-GB" w:eastAsia="en-GB"/>
        </w:rPr>
        <w:t>To ensure a proper functioning of M</w:t>
      </w:r>
      <w:r w:rsidR="008E5321">
        <w:rPr>
          <w:rFonts w:cs="Arial"/>
          <w:szCs w:val="22"/>
          <w:lang w:val="en-GB" w:eastAsia="en-GB"/>
        </w:rPr>
        <w:t>ulti-</w:t>
      </w:r>
      <w:r>
        <w:rPr>
          <w:rFonts w:cs="Arial"/>
          <w:szCs w:val="22"/>
          <w:lang w:val="en-GB" w:eastAsia="en-GB"/>
        </w:rPr>
        <w:t>N</w:t>
      </w:r>
      <w:r w:rsidR="008E5321">
        <w:rPr>
          <w:rFonts w:cs="Arial"/>
          <w:szCs w:val="22"/>
          <w:lang w:val="en-GB" w:eastAsia="en-GB"/>
        </w:rPr>
        <w:t xml:space="preserve">EMO </w:t>
      </w:r>
      <w:r>
        <w:rPr>
          <w:rFonts w:cs="Arial"/>
          <w:szCs w:val="22"/>
          <w:lang w:val="en-GB" w:eastAsia="en-GB"/>
        </w:rPr>
        <w:t>A</w:t>
      </w:r>
      <w:r w:rsidR="008E5321">
        <w:rPr>
          <w:rFonts w:cs="Arial"/>
          <w:szCs w:val="22"/>
          <w:lang w:val="en-GB" w:eastAsia="en-GB"/>
        </w:rPr>
        <w:t>rrangement</w:t>
      </w:r>
      <w:r w:rsidR="0078555E" w:rsidRPr="0078555E">
        <w:rPr>
          <w:rFonts w:cstheme="minorHAnsi"/>
          <w:lang w:val="en-GB"/>
        </w:rPr>
        <w:t xml:space="preserve"> </w:t>
      </w:r>
      <w:r w:rsidR="0078555E" w:rsidRPr="004034CF">
        <w:rPr>
          <w:rFonts w:cstheme="minorHAnsi"/>
          <w:lang w:val="en-GB"/>
        </w:rPr>
        <w:t xml:space="preserve">in line with Article 45 of </w:t>
      </w:r>
      <w:r w:rsidR="008E7442">
        <w:rPr>
          <w:rFonts w:cstheme="minorHAnsi"/>
          <w:lang w:val="en-GB"/>
        </w:rPr>
        <w:t xml:space="preserve">the </w:t>
      </w:r>
      <w:r w:rsidR="0078555E" w:rsidRPr="004034CF">
        <w:rPr>
          <w:rFonts w:cstheme="minorHAnsi"/>
          <w:lang w:val="en-GB"/>
        </w:rPr>
        <w:t>CACM Regulation</w:t>
      </w:r>
      <w:r>
        <w:rPr>
          <w:rFonts w:cs="Arial"/>
          <w:szCs w:val="22"/>
          <w:lang w:val="en-GB" w:eastAsia="en-GB"/>
        </w:rPr>
        <w:t xml:space="preserve">, TSOs agree that </w:t>
      </w:r>
      <w:r w:rsidR="0078555E">
        <w:rPr>
          <w:rFonts w:cs="Arial"/>
          <w:szCs w:val="22"/>
          <w:lang w:val="en-GB" w:eastAsia="en-GB"/>
        </w:rPr>
        <w:t>the</w:t>
      </w:r>
      <w:r>
        <w:rPr>
          <w:rFonts w:cs="Arial"/>
          <w:szCs w:val="22"/>
          <w:lang w:val="en-GB" w:eastAsia="en-GB"/>
        </w:rPr>
        <w:t xml:space="preserve"> </w:t>
      </w:r>
      <w:r w:rsidR="008E5321">
        <w:rPr>
          <w:rFonts w:cs="Arial"/>
          <w:szCs w:val="22"/>
          <w:lang w:val="en-GB" w:eastAsia="en-GB"/>
        </w:rPr>
        <w:t>concept</w:t>
      </w:r>
      <w:r w:rsidR="0078555E">
        <w:rPr>
          <w:rFonts w:cs="Arial"/>
          <w:szCs w:val="22"/>
          <w:lang w:val="en-GB" w:eastAsia="en-GB"/>
        </w:rPr>
        <w:t xml:space="preserve"> of NEMO Trading Hub</w:t>
      </w:r>
      <w:r w:rsidR="008E5321">
        <w:rPr>
          <w:rFonts w:cs="Arial"/>
          <w:szCs w:val="22"/>
          <w:lang w:val="en-GB" w:eastAsia="en-GB"/>
        </w:rPr>
        <w:t xml:space="preserve"> is</w:t>
      </w:r>
      <w:r>
        <w:rPr>
          <w:rFonts w:cs="Arial"/>
          <w:szCs w:val="22"/>
          <w:lang w:val="en-GB" w:eastAsia="en-GB"/>
        </w:rPr>
        <w:t xml:space="preserve"> needed</w:t>
      </w:r>
      <w:r w:rsidR="0078555E">
        <w:rPr>
          <w:rFonts w:cs="Arial"/>
          <w:szCs w:val="22"/>
          <w:lang w:val="en-GB" w:eastAsia="en-GB"/>
        </w:rPr>
        <w:t>,</w:t>
      </w:r>
      <w:r>
        <w:rPr>
          <w:rFonts w:cs="Arial"/>
          <w:szCs w:val="22"/>
          <w:lang w:val="en-GB" w:eastAsia="en-GB"/>
        </w:rPr>
        <w:t xml:space="preserve"> and </w:t>
      </w:r>
      <w:r w:rsidR="008E5321">
        <w:rPr>
          <w:rFonts w:cs="Arial"/>
          <w:szCs w:val="22"/>
          <w:lang w:val="en-GB" w:eastAsia="en-GB"/>
        </w:rPr>
        <w:t xml:space="preserve">that it is needed to define </w:t>
      </w:r>
      <w:r w:rsidR="00D82FAC">
        <w:rPr>
          <w:rFonts w:cs="Arial"/>
          <w:szCs w:val="22"/>
          <w:lang w:val="en-GB" w:eastAsia="en-GB"/>
        </w:rPr>
        <w:t>flows</w:t>
      </w:r>
      <w:r>
        <w:rPr>
          <w:rFonts w:cs="Arial"/>
          <w:szCs w:val="22"/>
          <w:lang w:val="en-GB" w:eastAsia="en-GB"/>
        </w:rPr>
        <w:t xml:space="preserve"> between </w:t>
      </w:r>
      <w:r w:rsidR="0078555E">
        <w:rPr>
          <w:rFonts w:cs="Arial"/>
          <w:szCs w:val="22"/>
          <w:lang w:val="en-GB" w:eastAsia="en-GB"/>
        </w:rPr>
        <w:t>NEMO Trading Hub</w:t>
      </w:r>
      <w:r w:rsidR="00D82FAC">
        <w:rPr>
          <w:rFonts w:cs="Arial"/>
          <w:szCs w:val="22"/>
          <w:lang w:val="en-GB" w:eastAsia="en-GB"/>
        </w:rPr>
        <w:t>s</w:t>
      </w:r>
      <w:r>
        <w:rPr>
          <w:rFonts w:cs="Arial"/>
          <w:szCs w:val="22"/>
          <w:lang w:val="en-GB" w:eastAsia="en-GB"/>
        </w:rPr>
        <w:t>.</w:t>
      </w:r>
    </w:p>
    <w:p w14:paraId="5E868F66" w14:textId="77777777" w:rsidR="00FE57CA" w:rsidRDefault="00FE57CA" w:rsidP="00BF53D7">
      <w:pPr>
        <w:spacing w:line="276" w:lineRule="auto"/>
        <w:jc w:val="both"/>
        <w:rPr>
          <w:rFonts w:cs="Arial"/>
          <w:szCs w:val="22"/>
          <w:lang w:val="en-GB" w:eastAsia="en-GB"/>
        </w:rPr>
      </w:pPr>
    </w:p>
    <w:p w14:paraId="446636EA" w14:textId="6B38269A" w:rsidR="0078555E" w:rsidRDefault="00BF53D7" w:rsidP="00BF53D7">
      <w:pPr>
        <w:spacing w:line="276" w:lineRule="auto"/>
        <w:jc w:val="both"/>
        <w:rPr>
          <w:rFonts w:cs="Arial"/>
          <w:szCs w:val="22"/>
          <w:lang w:val="en-GB" w:eastAsia="en-GB"/>
        </w:rPr>
      </w:pPr>
      <w:r>
        <w:rPr>
          <w:rFonts w:cs="Arial"/>
          <w:szCs w:val="22"/>
          <w:lang w:val="en-GB" w:eastAsia="en-GB"/>
        </w:rPr>
        <w:t>TSOs believe that it should be NEMOs’ responsibility to calculate</w:t>
      </w:r>
      <w:r w:rsidR="00A04C3C">
        <w:rPr>
          <w:rFonts w:cs="Arial"/>
          <w:szCs w:val="22"/>
          <w:lang w:val="en-GB" w:eastAsia="en-GB"/>
        </w:rPr>
        <w:t xml:space="preserve"> exchanges between</w:t>
      </w:r>
      <w:r>
        <w:rPr>
          <w:rFonts w:cs="Arial"/>
          <w:szCs w:val="22"/>
          <w:lang w:val="en-GB" w:eastAsia="en-GB"/>
        </w:rPr>
        <w:t xml:space="preserve"> </w:t>
      </w:r>
      <w:r w:rsidR="0078555E">
        <w:rPr>
          <w:rFonts w:cs="Arial"/>
          <w:szCs w:val="22"/>
          <w:lang w:val="en-GB" w:eastAsia="en-GB"/>
        </w:rPr>
        <w:t>NEMO Trading Hub</w:t>
      </w:r>
      <w:r w:rsidR="00FE57CA">
        <w:rPr>
          <w:rFonts w:cs="Arial"/>
          <w:szCs w:val="22"/>
          <w:lang w:val="en-GB" w:eastAsia="en-GB"/>
        </w:rPr>
        <w:t>s</w:t>
      </w:r>
      <w:r>
        <w:rPr>
          <w:rFonts w:cs="Arial"/>
          <w:szCs w:val="22"/>
          <w:lang w:val="en-GB" w:eastAsia="en-GB"/>
        </w:rPr>
        <w:t>.</w:t>
      </w:r>
      <w:r w:rsidR="008E5321">
        <w:rPr>
          <w:rFonts w:cs="Arial"/>
          <w:szCs w:val="22"/>
          <w:lang w:val="en-GB" w:eastAsia="en-GB"/>
        </w:rPr>
        <w:t xml:space="preserve"> In the feedback from the public consultation</w:t>
      </w:r>
      <w:r w:rsidR="0078555E">
        <w:rPr>
          <w:rFonts w:cs="Arial"/>
          <w:szCs w:val="22"/>
          <w:lang w:val="en-GB" w:eastAsia="en-GB"/>
        </w:rPr>
        <w:t xml:space="preserve"> in November 2017,</w:t>
      </w:r>
      <w:r w:rsidR="008E5321">
        <w:rPr>
          <w:rFonts w:cs="Arial"/>
          <w:szCs w:val="22"/>
          <w:lang w:val="en-GB" w:eastAsia="en-GB"/>
        </w:rPr>
        <w:t xml:space="preserve"> NEMOs confirmed the same understanding</w:t>
      </w:r>
      <w:r w:rsidR="0078555E">
        <w:rPr>
          <w:rFonts w:cs="Arial"/>
          <w:szCs w:val="22"/>
          <w:lang w:val="en-GB" w:eastAsia="en-GB"/>
        </w:rPr>
        <w:t xml:space="preserve"> that exchanges between NEMO Trading Hub should be NEMOs’ responsibilities. Therefore, NEMOs</w:t>
      </w:r>
      <w:r w:rsidR="008E5321">
        <w:rPr>
          <w:rFonts w:cs="Arial"/>
          <w:szCs w:val="22"/>
          <w:lang w:val="en-GB" w:eastAsia="en-GB"/>
        </w:rPr>
        <w:t xml:space="preserve"> requested TSOs to remove all the part</w:t>
      </w:r>
      <w:r w:rsidR="0078555E">
        <w:rPr>
          <w:rFonts w:cs="Arial"/>
          <w:szCs w:val="22"/>
          <w:lang w:val="en-GB" w:eastAsia="en-GB"/>
        </w:rPr>
        <w:t xml:space="preserve">s from the </w:t>
      </w:r>
      <w:r w:rsidR="0078555E" w:rsidRPr="00EF3ECB">
        <w:rPr>
          <w:rFonts w:cs="Arial"/>
          <w:szCs w:val="22"/>
          <w:lang w:val="en-GB" w:eastAsia="en-GB"/>
        </w:rPr>
        <w:t>DA SEC Methodology</w:t>
      </w:r>
      <w:r w:rsidR="008E5321">
        <w:rPr>
          <w:rFonts w:cs="Arial"/>
          <w:szCs w:val="22"/>
          <w:lang w:val="en-GB" w:eastAsia="en-GB"/>
        </w:rPr>
        <w:t xml:space="preserve"> mentioning </w:t>
      </w:r>
      <w:r w:rsidR="0078555E">
        <w:rPr>
          <w:rFonts w:cs="Arial"/>
          <w:szCs w:val="22"/>
          <w:lang w:val="en-GB" w:eastAsia="en-GB"/>
        </w:rPr>
        <w:t>NEMO Trading Hub</w:t>
      </w:r>
      <w:r w:rsidR="008E5321">
        <w:rPr>
          <w:rFonts w:cs="Arial"/>
          <w:szCs w:val="22"/>
          <w:lang w:val="en-GB" w:eastAsia="en-GB"/>
        </w:rPr>
        <w:t xml:space="preserve">. </w:t>
      </w:r>
    </w:p>
    <w:p w14:paraId="4DCC73BF" w14:textId="3CEFEEE5" w:rsidR="00BF53D7" w:rsidRDefault="008E5321" w:rsidP="00BF53D7">
      <w:pPr>
        <w:spacing w:line="276" w:lineRule="auto"/>
        <w:jc w:val="both"/>
        <w:rPr>
          <w:rFonts w:cs="Arial"/>
          <w:szCs w:val="22"/>
          <w:lang w:eastAsia="en-GB"/>
        </w:rPr>
      </w:pPr>
      <w:r>
        <w:rPr>
          <w:rFonts w:cs="Arial"/>
          <w:szCs w:val="22"/>
          <w:lang w:val="en-GB" w:eastAsia="en-GB"/>
        </w:rPr>
        <w:t xml:space="preserve">According to TSOs, one option would be to include the requirement of exchanges between </w:t>
      </w:r>
      <w:r w:rsidR="0078555E">
        <w:rPr>
          <w:rFonts w:cs="Arial"/>
          <w:szCs w:val="22"/>
          <w:lang w:val="en-GB" w:eastAsia="en-GB"/>
        </w:rPr>
        <w:t>NEMO Trading Hub</w:t>
      </w:r>
      <w:r>
        <w:rPr>
          <w:rFonts w:cs="Arial"/>
          <w:szCs w:val="22"/>
          <w:lang w:val="en-GB" w:eastAsia="en-GB"/>
        </w:rPr>
        <w:t xml:space="preserve"> in the scope of </w:t>
      </w:r>
      <w:r w:rsidR="008E7442">
        <w:rPr>
          <w:rFonts w:cs="Arial"/>
          <w:szCs w:val="22"/>
          <w:lang w:eastAsia="en-GB"/>
        </w:rPr>
        <w:t>A</w:t>
      </w:r>
      <w:r w:rsidRPr="00BF53D7">
        <w:rPr>
          <w:rFonts w:cs="Arial"/>
          <w:szCs w:val="22"/>
          <w:lang w:eastAsia="en-GB"/>
        </w:rPr>
        <w:t>rticle 77</w:t>
      </w:r>
      <w:r>
        <w:rPr>
          <w:rFonts w:cs="Arial"/>
          <w:szCs w:val="22"/>
          <w:lang w:eastAsia="en-GB"/>
        </w:rPr>
        <w:t xml:space="preserve"> of </w:t>
      </w:r>
      <w:r w:rsidR="008E7442">
        <w:rPr>
          <w:rFonts w:cs="Arial"/>
          <w:szCs w:val="22"/>
          <w:lang w:eastAsia="en-GB"/>
        </w:rPr>
        <w:t xml:space="preserve">the </w:t>
      </w:r>
      <w:r>
        <w:rPr>
          <w:rFonts w:cs="Arial"/>
          <w:szCs w:val="22"/>
          <w:lang w:eastAsia="en-GB"/>
        </w:rPr>
        <w:t>CACM regulation</w:t>
      </w:r>
      <w:r w:rsidRPr="00BF53D7">
        <w:rPr>
          <w:rFonts w:cs="Arial"/>
          <w:szCs w:val="22"/>
          <w:lang w:eastAsia="en-GB"/>
        </w:rPr>
        <w:t xml:space="preserve"> </w:t>
      </w:r>
      <w:r w:rsidR="0078555E">
        <w:rPr>
          <w:rFonts w:cs="Arial"/>
          <w:szCs w:val="22"/>
          <w:lang w:eastAsia="en-GB"/>
        </w:rPr>
        <w:t>about the clearing and settlement costs</w:t>
      </w:r>
      <w:r w:rsidR="00A04C3C">
        <w:rPr>
          <w:rFonts w:cs="Arial"/>
          <w:szCs w:val="22"/>
          <w:lang w:eastAsia="en-GB"/>
        </w:rPr>
        <w:t>.</w:t>
      </w:r>
    </w:p>
    <w:p w14:paraId="5B3952E3" w14:textId="7A2C73B3" w:rsidR="00BF53D7" w:rsidRDefault="00BF53D7" w:rsidP="00BF53D7">
      <w:pPr>
        <w:spacing w:line="276" w:lineRule="auto"/>
        <w:jc w:val="both"/>
        <w:rPr>
          <w:rFonts w:cs="Arial"/>
          <w:szCs w:val="22"/>
          <w:lang w:eastAsia="en-GB"/>
        </w:rPr>
      </w:pPr>
    </w:p>
    <w:p w14:paraId="090805C1" w14:textId="0C1403B8" w:rsidR="0078555E" w:rsidRDefault="0078555E" w:rsidP="00BF53D7">
      <w:pPr>
        <w:spacing w:line="276" w:lineRule="auto"/>
        <w:jc w:val="both"/>
        <w:rPr>
          <w:rFonts w:cs="Arial"/>
          <w:szCs w:val="22"/>
          <w:lang w:val="en-GB" w:eastAsia="en-GB"/>
        </w:rPr>
      </w:pPr>
      <w:r>
        <w:rPr>
          <w:rFonts w:cs="Arial"/>
          <w:szCs w:val="22"/>
          <w:lang w:val="en-GB" w:eastAsia="en-GB"/>
        </w:rPr>
        <w:t xml:space="preserve">In the CACM regulation, </w:t>
      </w:r>
      <w:r w:rsidR="008E5321">
        <w:rPr>
          <w:rFonts w:cs="Arial"/>
          <w:szCs w:val="22"/>
          <w:lang w:val="en-GB" w:eastAsia="en-GB"/>
        </w:rPr>
        <w:t xml:space="preserve">“Scheduled Exchange” </w:t>
      </w:r>
      <w:r w:rsidRPr="0078555E">
        <w:rPr>
          <w:rFonts w:cs="Arial"/>
          <w:szCs w:val="22"/>
          <w:lang w:val="en-GB" w:eastAsia="en-GB"/>
        </w:rPr>
        <w:t>means an electricity transfer scheduled between geographic areas, for each market time</w:t>
      </w:r>
      <w:r>
        <w:rPr>
          <w:rFonts w:cs="Arial"/>
          <w:szCs w:val="22"/>
          <w:lang w:val="en-GB" w:eastAsia="en-GB"/>
        </w:rPr>
        <w:t xml:space="preserve"> unit and for a given direction</w:t>
      </w:r>
      <w:r w:rsidR="008E5321">
        <w:rPr>
          <w:rFonts w:cs="Arial"/>
          <w:szCs w:val="22"/>
          <w:lang w:val="en-GB" w:eastAsia="en-GB"/>
        </w:rPr>
        <w:t xml:space="preserve">. </w:t>
      </w:r>
    </w:p>
    <w:p w14:paraId="642DC706" w14:textId="77777777" w:rsidR="00FE57CA" w:rsidRDefault="00FE57CA" w:rsidP="00BF53D7">
      <w:pPr>
        <w:spacing w:line="276" w:lineRule="auto"/>
        <w:jc w:val="both"/>
        <w:rPr>
          <w:rFonts w:cs="Arial"/>
          <w:szCs w:val="22"/>
          <w:lang w:val="en-GB" w:eastAsia="en-GB"/>
        </w:rPr>
      </w:pPr>
    </w:p>
    <w:p w14:paraId="738B6A47" w14:textId="5EF51F32" w:rsidR="0078555E" w:rsidRDefault="0078555E" w:rsidP="00BF53D7">
      <w:pPr>
        <w:spacing w:line="276" w:lineRule="auto"/>
        <w:jc w:val="both"/>
        <w:rPr>
          <w:rFonts w:cstheme="minorHAnsi"/>
          <w:color w:val="000000" w:themeColor="text1"/>
          <w:lang w:val="en-GB"/>
        </w:rPr>
      </w:pPr>
      <w:r>
        <w:rPr>
          <w:rFonts w:cstheme="minorHAnsi"/>
          <w:color w:val="000000" w:themeColor="text1"/>
          <w:lang w:val="en-GB"/>
        </w:rPr>
        <w:t>T</w:t>
      </w:r>
      <w:r w:rsidRPr="003B4745">
        <w:rPr>
          <w:rFonts w:cstheme="minorHAnsi"/>
          <w:color w:val="000000" w:themeColor="text1"/>
          <w:lang w:val="en-GB"/>
        </w:rPr>
        <w:t>he NEMO Trading Hub is not equal to a geographic area</w:t>
      </w:r>
      <w:r w:rsidR="001E0DFD">
        <w:rPr>
          <w:rFonts w:cstheme="minorHAnsi"/>
          <w:color w:val="000000" w:themeColor="text1"/>
          <w:lang w:val="en-GB"/>
        </w:rPr>
        <w:t>.</w:t>
      </w:r>
      <w:r w:rsidRPr="003B4745">
        <w:rPr>
          <w:rFonts w:cstheme="minorHAnsi"/>
          <w:color w:val="000000" w:themeColor="text1"/>
          <w:lang w:val="en-GB"/>
        </w:rPr>
        <w:t xml:space="preserve"> </w:t>
      </w:r>
      <w:r w:rsidR="001E0DFD">
        <w:rPr>
          <w:rFonts w:cstheme="minorHAnsi"/>
          <w:color w:val="000000" w:themeColor="text1"/>
          <w:lang w:val="en-GB"/>
        </w:rPr>
        <w:t>T</w:t>
      </w:r>
      <w:r>
        <w:rPr>
          <w:rFonts w:cstheme="minorHAnsi"/>
          <w:color w:val="000000" w:themeColor="text1"/>
          <w:lang w:val="en-GB"/>
        </w:rPr>
        <w:t xml:space="preserve">herefore, </w:t>
      </w:r>
      <w:r w:rsidR="008F14A5">
        <w:rPr>
          <w:rFonts w:cstheme="minorHAnsi"/>
          <w:color w:val="000000" w:themeColor="text1"/>
          <w:lang w:val="en-GB"/>
        </w:rPr>
        <w:t xml:space="preserve">the </w:t>
      </w:r>
      <w:r>
        <w:rPr>
          <w:rFonts w:cstheme="minorHAnsi"/>
          <w:color w:val="000000" w:themeColor="text1"/>
          <w:lang w:val="en-GB"/>
        </w:rPr>
        <w:t>Scheduled Exchange</w:t>
      </w:r>
      <w:r w:rsidR="008F14A5">
        <w:rPr>
          <w:rFonts w:cstheme="minorHAnsi"/>
          <w:color w:val="000000" w:themeColor="text1"/>
          <w:lang w:val="en-GB"/>
        </w:rPr>
        <w:t>s</w:t>
      </w:r>
      <w:r w:rsidR="001E0DFD">
        <w:rPr>
          <w:rFonts w:cstheme="minorHAnsi"/>
          <w:color w:val="000000" w:themeColor="text1"/>
          <w:lang w:val="en-GB"/>
        </w:rPr>
        <w:t xml:space="preserve"> Methodology required by Article 43 of </w:t>
      </w:r>
      <w:r w:rsidR="008E7442">
        <w:rPr>
          <w:rFonts w:cstheme="minorHAnsi"/>
          <w:color w:val="000000" w:themeColor="text1"/>
          <w:lang w:val="en-GB"/>
        </w:rPr>
        <w:t xml:space="preserve">the </w:t>
      </w:r>
      <w:r w:rsidR="001E0DFD">
        <w:rPr>
          <w:rFonts w:cstheme="minorHAnsi"/>
          <w:color w:val="000000" w:themeColor="text1"/>
          <w:lang w:val="en-GB"/>
        </w:rPr>
        <w:t>CACM Regulation</w:t>
      </w:r>
      <w:r>
        <w:rPr>
          <w:rFonts w:cstheme="minorHAnsi"/>
          <w:color w:val="000000" w:themeColor="text1"/>
          <w:lang w:val="en-GB"/>
        </w:rPr>
        <w:t xml:space="preserve"> do</w:t>
      </w:r>
      <w:r w:rsidR="008F14A5">
        <w:rPr>
          <w:rFonts w:cstheme="minorHAnsi"/>
          <w:color w:val="000000" w:themeColor="text1"/>
          <w:lang w:val="en-GB"/>
        </w:rPr>
        <w:t>es</w:t>
      </w:r>
      <w:r>
        <w:rPr>
          <w:rFonts w:cstheme="minorHAnsi"/>
          <w:color w:val="000000" w:themeColor="text1"/>
          <w:lang w:val="en-GB"/>
        </w:rPr>
        <w:t xml:space="preserve"> not concern </w:t>
      </w:r>
      <w:r w:rsidRPr="003B4745">
        <w:rPr>
          <w:rFonts w:cstheme="minorHAnsi"/>
          <w:color w:val="000000" w:themeColor="text1"/>
          <w:lang w:val="en-GB"/>
        </w:rPr>
        <w:t>NEMO Trading Hub</w:t>
      </w:r>
      <w:r w:rsidR="008F14A5">
        <w:rPr>
          <w:rFonts w:cstheme="minorHAnsi"/>
          <w:color w:val="000000" w:themeColor="text1"/>
          <w:lang w:val="en-GB"/>
        </w:rPr>
        <w:t>s</w:t>
      </w:r>
      <w:r>
        <w:rPr>
          <w:rFonts w:cstheme="minorHAnsi"/>
          <w:color w:val="000000" w:themeColor="text1"/>
          <w:lang w:val="en-GB"/>
        </w:rPr>
        <w:t>.</w:t>
      </w:r>
    </w:p>
    <w:p w14:paraId="118CBDED" w14:textId="4CDD86DD" w:rsidR="001E0DFD" w:rsidRDefault="001E0DFD" w:rsidP="00BF53D7">
      <w:pPr>
        <w:spacing w:line="276" w:lineRule="auto"/>
        <w:jc w:val="both"/>
        <w:rPr>
          <w:rFonts w:cs="Arial"/>
          <w:szCs w:val="22"/>
          <w:lang w:val="en-GB" w:eastAsia="en-GB"/>
        </w:rPr>
      </w:pPr>
      <w:r>
        <w:rPr>
          <w:rFonts w:cstheme="minorHAnsi"/>
          <w:color w:val="000000" w:themeColor="text1"/>
          <w:lang w:val="en-GB"/>
        </w:rPr>
        <w:t xml:space="preserve">The DA SEC Proposal </w:t>
      </w:r>
      <w:r w:rsidR="008F14A5">
        <w:rPr>
          <w:rFonts w:cstheme="minorHAnsi"/>
          <w:color w:val="000000" w:themeColor="text1"/>
          <w:lang w:val="en-GB"/>
        </w:rPr>
        <w:t xml:space="preserve">is thus in line with </w:t>
      </w:r>
      <w:r>
        <w:rPr>
          <w:rFonts w:cstheme="minorHAnsi"/>
          <w:color w:val="000000" w:themeColor="text1"/>
          <w:lang w:val="en-GB"/>
        </w:rPr>
        <w:t xml:space="preserve">the CACM regulation and </w:t>
      </w:r>
      <w:r>
        <w:rPr>
          <w:color w:val="000000"/>
          <w:lang w:val="en-GB"/>
        </w:rPr>
        <w:t>does not</w:t>
      </w:r>
      <w:r w:rsidRPr="004034CF">
        <w:rPr>
          <w:color w:val="000000"/>
          <w:lang w:val="en-GB"/>
        </w:rPr>
        <w:t xml:space="preserve"> provide for the calculation of </w:t>
      </w:r>
      <w:r>
        <w:rPr>
          <w:color w:val="000000"/>
          <w:lang w:val="en-GB"/>
        </w:rPr>
        <w:t>exchanges</w:t>
      </w:r>
      <w:r w:rsidRPr="004034CF">
        <w:rPr>
          <w:color w:val="000000"/>
          <w:lang w:val="en-GB"/>
        </w:rPr>
        <w:t xml:space="preserve"> per NEMO Trading Hub</w:t>
      </w:r>
      <w:r>
        <w:rPr>
          <w:color w:val="000000"/>
          <w:lang w:val="en-GB"/>
        </w:rPr>
        <w:t xml:space="preserve"> as NEMO Trading Hub</w:t>
      </w:r>
      <w:r w:rsidR="008F14A5">
        <w:rPr>
          <w:color w:val="000000"/>
          <w:lang w:val="en-GB"/>
        </w:rPr>
        <w:t>s</w:t>
      </w:r>
      <w:r>
        <w:rPr>
          <w:color w:val="000000"/>
          <w:lang w:val="en-GB"/>
        </w:rPr>
        <w:t xml:space="preserve"> are not geographic area</w:t>
      </w:r>
      <w:r w:rsidR="008F14A5">
        <w:rPr>
          <w:color w:val="000000"/>
          <w:lang w:val="en-GB"/>
        </w:rPr>
        <w:t>s</w:t>
      </w:r>
      <w:r>
        <w:rPr>
          <w:color w:val="000000"/>
          <w:lang w:val="en-GB"/>
        </w:rPr>
        <w:t>.</w:t>
      </w:r>
    </w:p>
    <w:p w14:paraId="4593CDCB" w14:textId="15C46890" w:rsidR="00E36D78" w:rsidRDefault="00D82FAC" w:rsidP="006D3097">
      <w:pPr>
        <w:spacing w:before="100" w:beforeAutospacing="1" w:after="100" w:afterAutospacing="1" w:line="276" w:lineRule="auto"/>
        <w:jc w:val="both"/>
        <w:rPr>
          <w:color w:val="000000"/>
          <w:lang w:val="en-GB"/>
        </w:rPr>
      </w:pPr>
      <w:r>
        <w:rPr>
          <w:color w:val="000000"/>
          <w:lang w:val="en-GB"/>
        </w:rPr>
        <w:t>Nevertheless, i</w:t>
      </w:r>
      <w:r w:rsidR="006D3097">
        <w:rPr>
          <w:color w:val="000000"/>
          <w:lang w:val="en-GB"/>
        </w:rPr>
        <w:t>t is essential th</w:t>
      </w:r>
      <w:r w:rsidR="001E0DFD">
        <w:rPr>
          <w:color w:val="000000"/>
          <w:lang w:val="en-GB"/>
        </w:rPr>
        <w:t>at</w:t>
      </w:r>
      <w:r w:rsidR="006D3097">
        <w:rPr>
          <w:color w:val="000000"/>
          <w:lang w:val="en-GB"/>
        </w:rPr>
        <w:t xml:space="preserve"> th</w:t>
      </w:r>
      <w:r w:rsidR="006D3097" w:rsidRPr="006D3097">
        <w:rPr>
          <w:color w:val="000000"/>
          <w:lang w:val="en-GB"/>
        </w:rPr>
        <w:t xml:space="preserve">e exchanges between NEMO Trading Hubs </w:t>
      </w:r>
      <w:r w:rsidR="006D3097">
        <w:rPr>
          <w:color w:val="000000"/>
          <w:lang w:val="en-GB"/>
        </w:rPr>
        <w:t>are</w:t>
      </w:r>
      <w:r w:rsidR="006D3097" w:rsidRPr="006D3097">
        <w:rPr>
          <w:color w:val="000000"/>
          <w:lang w:val="en-GB"/>
        </w:rPr>
        <w:t xml:space="preserve"> </w:t>
      </w:r>
      <w:r w:rsidR="008F14A5">
        <w:rPr>
          <w:color w:val="000000"/>
          <w:lang w:val="en-GB"/>
        </w:rPr>
        <w:t xml:space="preserve">consistent with </w:t>
      </w:r>
      <w:r w:rsidR="006D3097" w:rsidRPr="006D3097">
        <w:rPr>
          <w:color w:val="000000"/>
          <w:lang w:val="en-GB"/>
        </w:rPr>
        <w:t>the Scheduled Exchanges</w:t>
      </w:r>
      <w:r w:rsidR="00E36D78">
        <w:rPr>
          <w:color w:val="000000"/>
          <w:lang w:val="en-GB"/>
        </w:rPr>
        <w:t xml:space="preserve"> </w:t>
      </w:r>
      <w:r w:rsidR="008F14A5">
        <w:rPr>
          <w:color w:val="000000"/>
          <w:lang w:val="en-GB"/>
        </w:rPr>
        <w:t xml:space="preserve">between </w:t>
      </w:r>
      <w:r w:rsidR="00E36D78">
        <w:rPr>
          <w:color w:val="000000"/>
          <w:lang w:val="en-GB"/>
        </w:rPr>
        <w:t xml:space="preserve">bidding zones and </w:t>
      </w:r>
      <w:r w:rsidR="00E36D78" w:rsidRPr="004034CF">
        <w:rPr>
          <w:rFonts w:cstheme="minorHAnsi"/>
          <w:color w:val="000000" w:themeColor="text1"/>
          <w:lang w:val="en-GB"/>
        </w:rPr>
        <w:t>Scheduled Exchanges between scheduling areas</w:t>
      </w:r>
      <w:r w:rsidR="006D3097" w:rsidRPr="006D3097">
        <w:rPr>
          <w:color w:val="000000"/>
          <w:lang w:val="en-GB"/>
        </w:rPr>
        <w:t xml:space="preserve"> </w:t>
      </w:r>
      <w:r w:rsidR="00E36D78">
        <w:rPr>
          <w:color w:val="000000"/>
          <w:lang w:val="en-GB"/>
        </w:rPr>
        <w:t>calculated by Scheduled Exchange Calculator and described in DA SEC Methodology.</w:t>
      </w:r>
      <w:r w:rsidR="00E36D78" w:rsidRPr="00E36D78">
        <w:rPr>
          <w:color w:val="000000"/>
          <w:lang w:val="en-GB"/>
        </w:rPr>
        <w:t xml:space="preserve"> </w:t>
      </w:r>
      <w:r w:rsidR="00E36D78">
        <w:rPr>
          <w:color w:val="000000"/>
          <w:lang w:val="en-GB"/>
        </w:rPr>
        <w:t xml:space="preserve">This consistency is already ensured </w:t>
      </w:r>
      <w:r w:rsidR="008F14A5">
        <w:rPr>
          <w:color w:val="000000"/>
          <w:lang w:val="en-GB"/>
        </w:rPr>
        <w:t xml:space="preserve">in the functioning principles for the SDAC under MNA (Euphemia Release 10.3), approved by all NEMOs and all TSOs. </w:t>
      </w:r>
    </w:p>
    <w:p w14:paraId="59EC73D1" w14:textId="032A8788" w:rsidR="003B4309" w:rsidRPr="003B4309" w:rsidRDefault="00E36D78" w:rsidP="008F14A5">
      <w:pPr>
        <w:spacing w:before="100" w:beforeAutospacing="1" w:after="100" w:afterAutospacing="1" w:line="276" w:lineRule="auto"/>
        <w:jc w:val="both"/>
        <w:rPr>
          <w:color w:val="000000"/>
          <w:lang w:val="en-GB"/>
        </w:rPr>
      </w:pPr>
      <w:r>
        <w:rPr>
          <w:color w:val="000000"/>
          <w:lang w:val="en-GB"/>
        </w:rPr>
        <w:t>F</w:t>
      </w:r>
      <w:r w:rsidR="006D3097" w:rsidRPr="006D3097">
        <w:rPr>
          <w:color w:val="000000"/>
          <w:lang w:val="en-GB"/>
        </w:rPr>
        <w:t>urthermore, the calculation of exchanges between Nemo Trading Hubs shall be compliant with the local Multi Nemo Arrangements</w:t>
      </w:r>
      <w:r w:rsidRPr="00E36D78">
        <w:rPr>
          <w:color w:val="000000"/>
          <w:lang w:val="en-GB"/>
        </w:rPr>
        <w:t xml:space="preserve"> </w:t>
      </w:r>
      <w:r>
        <w:rPr>
          <w:color w:val="000000"/>
          <w:lang w:val="en-GB"/>
        </w:rPr>
        <w:t xml:space="preserve">in accordance to Article 45 of </w:t>
      </w:r>
      <w:r w:rsidR="008E7442">
        <w:rPr>
          <w:color w:val="000000"/>
          <w:lang w:val="en-GB"/>
        </w:rPr>
        <w:t xml:space="preserve">the </w:t>
      </w:r>
      <w:r>
        <w:rPr>
          <w:color w:val="000000"/>
          <w:lang w:val="en-GB"/>
        </w:rPr>
        <w:t>CACM Regulation</w:t>
      </w:r>
      <w:r w:rsidR="006D3097" w:rsidRPr="006D3097">
        <w:rPr>
          <w:color w:val="000000"/>
          <w:lang w:val="en-GB"/>
        </w:rPr>
        <w:t>.</w:t>
      </w:r>
      <w:r w:rsidR="006D3097">
        <w:rPr>
          <w:color w:val="000000"/>
          <w:lang w:val="en-GB"/>
        </w:rPr>
        <w:t xml:space="preserve"> </w:t>
      </w:r>
      <w:r>
        <w:rPr>
          <w:color w:val="000000"/>
          <w:lang w:val="en-GB"/>
        </w:rPr>
        <w:t xml:space="preserve">This consistency is also already ensured </w:t>
      </w:r>
      <w:r w:rsidR="008F14A5">
        <w:rPr>
          <w:color w:val="000000"/>
          <w:lang w:val="en-GB"/>
        </w:rPr>
        <w:t xml:space="preserve">in the functioning principles for the SDAC under MNA (Euphemia Release 10.3), approved by all NEMOs and all TSOs. </w:t>
      </w:r>
    </w:p>
    <w:p w14:paraId="5754C03F" w14:textId="77777777" w:rsidR="00B07C09" w:rsidRDefault="00B07C09" w:rsidP="00BF53D7">
      <w:pPr>
        <w:spacing w:line="276" w:lineRule="auto"/>
        <w:jc w:val="both"/>
        <w:rPr>
          <w:rFonts w:cs="Arial"/>
          <w:szCs w:val="22"/>
          <w:lang w:val="en-GB" w:eastAsia="en-GB"/>
        </w:rPr>
      </w:pPr>
    </w:p>
    <w:p w14:paraId="2F78DDC2" w14:textId="77777777" w:rsidR="009F1E65" w:rsidRPr="00EF3ECB" w:rsidRDefault="009F1E65" w:rsidP="00C9634E">
      <w:pPr>
        <w:spacing w:line="276" w:lineRule="auto"/>
        <w:jc w:val="both"/>
        <w:rPr>
          <w:rFonts w:cs="Arial"/>
          <w:szCs w:val="22"/>
          <w:lang w:val="en-GB" w:eastAsia="en-GB"/>
        </w:rPr>
      </w:pPr>
    </w:p>
    <w:p w14:paraId="18D93614" w14:textId="77777777" w:rsidR="00EC5761" w:rsidRPr="00EF3ECB" w:rsidRDefault="004E032D" w:rsidP="00F8788D">
      <w:pPr>
        <w:pStyle w:val="Heading2"/>
        <w:numPr>
          <w:ilvl w:val="1"/>
          <w:numId w:val="1"/>
        </w:numPr>
        <w:spacing w:before="0" w:line="276" w:lineRule="auto"/>
        <w:ind w:left="0" w:firstLine="0"/>
        <w:jc w:val="both"/>
        <w:rPr>
          <w:rFonts w:ascii="Arial" w:hAnsi="Arial" w:cs="Arial"/>
          <w:lang w:val="en-GB"/>
        </w:rPr>
      </w:pPr>
      <w:bookmarkStart w:id="5" w:name="_Toc507425370"/>
      <w:r w:rsidRPr="00EF3ECB">
        <w:rPr>
          <w:rFonts w:ascii="Arial" w:hAnsi="Arial" w:cs="Arial"/>
          <w:lang w:val="en-GB"/>
        </w:rPr>
        <w:t>Current Situation</w:t>
      </w:r>
      <w:bookmarkEnd w:id="5"/>
    </w:p>
    <w:p w14:paraId="1B67EA95" w14:textId="77777777" w:rsidR="00031540" w:rsidRPr="00EF3ECB" w:rsidRDefault="00031540" w:rsidP="00C9634E">
      <w:pPr>
        <w:spacing w:line="276" w:lineRule="auto"/>
        <w:jc w:val="both"/>
        <w:rPr>
          <w:lang w:val="en-GB"/>
        </w:rPr>
      </w:pPr>
    </w:p>
    <w:p w14:paraId="73A390BF" w14:textId="242177B6" w:rsidR="00DE3024" w:rsidRPr="00EF3ECB" w:rsidRDefault="00DE3024" w:rsidP="00C9634E">
      <w:pPr>
        <w:spacing w:line="276" w:lineRule="auto"/>
        <w:jc w:val="both"/>
        <w:rPr>
          <w:rFonts w:cs="Arial"/>
          <w:szCs w:val="22"/>
          <w:lang w:val="en-GB" w:eastAsia="en-GB"/>
        </w:rPr>
      </w:pPr>
      <w:r w:rsidRPr="00EF3ECB">
        <w:rPr>
          <w:rFonts w:cs="Arial"/>
          <w:szCs w:val="22"/>
          <w:lang w:val="en-GB" w:eastAsia="en-GB"/>
        </w:rPr>
        <w:t>In order to create a clear</w:t>
      </w:r>
      <w:r w:rsidR="0063695B" w:rsidRPr="00EF3ECB">
        <w:rPr>
          <w:rFonts w:cs="Arial"/>
          <w:szCs w:val="22"/>
          <w:lang w:val="en-GB" w:eastAsia="en-GB"/>
        </w:rPr>
        <w:t xml:space="preserve"> and compreh</w:t>
      </w:r>
      <w:r w:rsidR="002A1352" w:rsidRPr="00EF3ECB">
        <w:rPr>
          <w:rFonts w:cs="Arial"/>
          <w:szCs w:val="22"/>
          <w:lang w:val="en-GB" w:eastAsia="en-GB"/>
        </w:rPr>
        <w:t>e</w:t>
      </w:r>
      <w:r w:rsidR="0063695B" w:rsidRPr="00EF3ECB">
        <w:rPr>
          <w:rFonts w:cs="Arial"/>
          <w:szCs w:val="22"/>
          <w:lang w:val="en-GB" w:eastAsia="en-GB"/>
        </w:rPr>
        <w:t>nsive</w:t>
      </w:r>
      <w:r w:rsidRPr="00EF3ECB">
        <w:rPr>
          <w:rFonts w:cs="Arial"/>
          <w:szCs w:val="22"/>
          <w:lang w:val="en-GB" w:eastAsia="en-GB"/>
        </w:rPr>
        <w:t xml:space="preserve"> understanding of the requirements laid out in Article 43 of </w:t>
      </w:r>
      <w:r w:rsidR="008E7442">
        <w:rPr>
          <w:rFonts w:cs="Arial"/>
          <w:szCs w:val="22"/>
          <w:lang w:val="en-GB" w:eastAsia="en-GB"/>
        </w:rPr>
        <w:t xml:space="preserve">the </w:t>
      </w:r>
      <w:r w:rsidR="0076722D" w:rsidRPr="00EF3ECB">
        <w:rPr>
          <w:rFonts w:cs="Arial"/>
          <w:szCs w:val="22"/>
          <w:lang w:val="en-GB" w:eastAsia="en-GB"/>
        </w:rPr>
        <w:t>CACM Regulation</w:t>
      </w:r>
      <w:r w:rsidRPr="00EF3ECB">
        <w:rPr>
          <w:rFonts w:cs="Arial"/>
          <w:szCs w:val="22"/>
          <w:lang w:val="en-GB" w:eastAsia="en-GB"/>
        </w:rPr>
        <w:t>,</w:t>
      </w:r>
      <w:r w:rsidR="0063695B" w:rsidRPr="00EF3ECB">
        <w:rPr>
          <w:rFonts w:cs="Arial"/>
          <w:szCs w:val="22"/>
          <w:lang w:val="en-GB" w:eastAsia="en-GB"/>
        </w:rPr>
        <w:t xml:space="preserve"> the document provides description of </w:t>
      </w:r>
      <w:r w:rsidRPr="00EF3ECB">
        <w:rPr>
          <w:rFonts w:cs="Arial"/>
          <w:szCs w:val="22"/>
          <w:lang w:val="en-GB" w:eastAsia="en-GB"/>
        </w:rPr>
        <w:t>current situation across Europe.</w:t>
      </w:r>
    </w:p>
    <w:p w14:paraId="64F4E23E" w14:textId="77777777" w:rsidR="00DE3024" w:rsidRPr="00EF3ECB" w:rsidRDefault="00DE3024" w:rsidP="00C9634E">
      <w:pPr>
        <w:spacing w:line="276" w:lineRule="auto"/>
        <w:jc w:val="both"/>
        <w:rPr>
          <w:rFonts w:cs="Arial"/>
          <w:szCs w:val="22"/>
          <w:lang w:val="en-GB" w:eastAsia="en-GB"/>
        </w:rPr>
      </w:pPr>
    </w:p>
    <w:p w14:paraId="145377F1" w14:textId="44A444C8" w:rsidR="00DE6CC3" w:rsidRPr="00EF3ECB" w:rsidRDefault="00DE6CC3" w:rsidP="00C9634E">
      <w:pPr>
        <w:spacing w:line="276" w:lineRule="auto"/>
        <w:jc w:val="both"/>
        <w:rPr>
          <w:rFonts w:cs="Arial"/>
          <w:szCs w:val="22"/>
          <w:lang w:val="en-GB" w:eastAsia="en-GB"/>
        </w:rPr>
      </w:pPr>
      <w:r w:rsidRPr="00EF3ECB">
        <w:rPr>
          <w:rFonts w:cs="Arial"/>
          <w:szCs w:val="22"/>
          <w:lang w:val="en-GB" w:eastAsia="en-GB"/>
        </w:rPr>
        <w:t>The majority of TSOs across Europe</w:t>
      </w:r>
      <w:r w:rsidR="002A5BA8" w:rsidRPr="00EF3ECB">
        <w:rPr>
          <w:rFonts w:cs="Arial"/>
          <w:szCs w:val="22"/>
          <w:lang w:val="en-GB" w:eastAsia="en-GB"/>
        </w:rPr>
        <w:t xml:space="preserve"> applying the Coordinated Net Transmission Capacity approach, currently</w:t>
      </w:r>
      <w:r w:rsidRPr="00EF3ECB">
        <w:rPr>
          <w:rFonts w:cs="Arial"/>
          <w:szCs w:val="22"/>
          <w:lang w:val="en-GB" w:eastAsia="en-GB"/>
        </w:rPr>
        <w:t xml:space="preserve"> use the </w:t>
      </w:r>
      <w:r w:rsidR="002A5BA8" w:rsidRPr="00EF3ECB">
        <w:rPr>
          <w:rFonts w:cs="Arial"/>
          <w:szCs w:val="22"/>
          <w:lang w:val="en-GB" w:eastAsia="en-GB"/>
        </w:rPr>
        <w:t>allocated capacities</w:t>
      </w:r>
      <w:r w:rsidRPr="00EF3ECB">
        <w:rPr>
          <w:rFonts w:cs="Arial"/>
          <w:szCs w:val="22"/>
          <w:lang w:val="en-GB" w:eastAsia="en-GB"/>
        </w:rPr>
        <w:t xml:space="preserve"> </w:t>
      </w:r>
      <w:r w:rsidR="00CC5FCA" w:rsidRPr="00EF3ECB">
        <w:rPr>
          <w:rFonts w:cs="Arial"/>
          <w:szCs w:val="22"/>
          <w:lang w:val="en-GB" w:eastAsia="en-GB"/>
        </w:rPr>
        <w:t>in the form of scheduled flows</w:t>
      </w:r>
      <w:r w:rsidR="00CC5FCA" w:rsidRPr="00EF3ECB" w:rsidDel="002A5BA8">
        <w:rPr>
          <w:rFonts w:cs="Arial"/>
          <w:szCs w:val="22"/>
          <w:lang w:val="en-GB" w:eastAsia="en-GB"/>
        </w:rPr>
        <w:t xml:space="preserve"> </w:t>
      </w:r>
      <w:r w:rsidR="002A5BA8" w:rsidRPr="00EF3ECB">
        <w:rPr>
          <w:rFonts w:cs="Arial"/>
          <w:szCs w:val="22"/>
          <w:lang w:val="en-GB" w:eastAsia="en-GB"/>
        </w:rPr>
        <w:t>resulting from</w:t>
      </w:r>
      <w:r w:rsidR="00CC5FCA" w:rsidRPr="00EF3ECB">
        <w:rPr>
          <w:rFonts w:cs="Arial"/>
          <w:szCs w:val="22"/>
          <w:lang w:val="en-GB" w:eastAsia="en-GB"/>
        </w:rPr>
        <w:t xml:space="preserve"> </w:t>
      </w:r>
      <w:r w:rsidR="009D30F7" w:rsidRPr="00EF3ECB">
        <w:rPr>
          <w:rFonts w:cs="Arial"/>
          <w:szCs w:val="22"/>
          <w:lang w:val="en-GB" w:eastAsia="en-GB"/>
        </w:rPr>
        <w:t xml:space="preserve">the </w:t>
      </w:r>
      <w:r w:rsidR="002A5BA8" w:rsidRPr="00EF3ECB">
        <w:rPr>
          <w:rFonts w:cs="Arial"/>
          <w:szCs w:val="22"/>
          <w:lang w:val="en-GB" w:eastAsia="en-GB"/>
        </w:rPr>
        <w:t xml:space="preserve">day-ahead </w:t>
      </w:r>
      <w:r w:rsidRPr="00EF3ECB">
        <w:rPr>
          <w:rFonts w:cs="Arial"/>
          <w:szCs w:val="22"/>
          <w:lang w:val="en-GB" w:eastAsia="en-GB"/>
        </w:rPr>
        <w:t xml:space="preserve">market coupling algorithm. </w:t>
      </w:r>
      <w:r w:rsidR="00163C75" w:rsidRPr="00EF3ECB">
        <w:rPr>
          <w:rFonts w:cs="Arial"/>
          <w:szCs w:val="22"/>
          <w:lang w:val="en-GB" w:eastAsia="en-GB"/>
        </w:rPr>
        <w:t>These scheduled flows</w:t>
      </w:r>
      <w:r w:rsidR="002A5BA8" w:rsidRPr="00EF3ECB">
        <w:rPr>
          <w:rFonts w:cs="Arial"/>
          <w:szCs w:val="22"/>
          <w:lang w:val="en-GB" w:eastAsia="en-GB"/>
        </w:rPr>
        <w:t xml:space="preserve"> </w:t>
      </w:r>
      <w:r w:rsidR="00CC5FCA" w:rsidRPr="00EF3ECB">
        <w:rPr>
          <w:rFonts w:cs="Arial"/>
          <w:szCs w:val="22"/>
          <w:lang w:val="en-GB" w:eastAsia="en-GB"/>
        </w:rPr>
        <w:t xml:space="preserve">are </w:t>
      </w:r>
      <w:r w:rsidRPr="00EF3ECB">
        <w:rPr>
          <w:rFonts w:cs="Arial"/>
          <w:szCs w:val="22"/>
          <w:lang w:val="en-GB" w:eastAsia="en-GB"/>
        </w:rPr>
        <w:t xml:space="preserve">used as </w:t>
      </w:r>
      <w:r w:rsidR="00543D26" w:rsidRPr="00EF3ECB">
        <w:rPr>
          <w:rFonts w:cs="Arial"/>
          <w:szCs w:val="22"/>
          <w:lang w:val="en-GB" w:eastAsia="en-GB"/>
        </w:rPr>
        <w:t>Scheduled Exchanges</w:t>
      </w:r>
      <w:r w:rsidRPr="00EF3ECB">
        <w:rPr>
          <w:rFonts w:cs="Arial"/>
          <w:szCs w:val="22"/>
          <w:lang w:val="en-GB" w:eastAsia="en-GB"/>
        </w:rPr>
        <w:t xml:space="preserve"> between bidding zones to feed into the shipping</w:t>
      </w:r>
      <w:r w:rsidR="00430FEC" w:rsidRPr="00EF3ECB">
        <w:rPr>
          <w:rFonts w:cs="Arial"/>
          <w:szCs w:val="22"/>
          <w:lang w:val="en-GB" w:eastAsia="en-GB"/>
        </w:rPr>
        <w:t>,</w:t>
      </w:r>
      <w:r w:rsidRPr="00EF3ECB">
        <w:rPr>
          <w:rFonts w:cs="Arial"/>
          <w:szCs w:val="22"/>
          <w:lang w:val="en-GB" w:eastAsia="en-GB"/>
        </w:rPr>
        <w:t xml:space="preserve"> scheduling</w:t>
      </w:r>
      <w:r w:rsidR="0063695B" w:rsidRPr="00EF3ECB">
        <w:rPr>
          <w:rFonts w:cs="Arial"/>
          <w:szCs w:val="22"/>
          <w:lang w:val="en-GB" w:eastAsia="en-GB"/>
        </w:rPr>
        <w:t xml:space="preserve"> </w:t>
      </w:r>
      <w:r w:rsidRPr="00EF3ECB">
        <w:rPr>
          <w:rFonts w:cs="Arial"/>
          <w:szCs w:val="22"/>
          <w:lang w:val="en-GB" w:eastAsia="en-GB"/>
        </w:rPr>
        <w:t>and congestion income distribution processes.</w:t>
      </w:r>
    </w:p>
    <w:p w14:paraId="68F38393" w14:textId="21F2CF2B" w:rsidR="00DE3024" w:rsidRPr="00EF3ECB" w:rsidRDefault="00DE3024" w:rsidP="00C9634E">
      <w:pPr>
        <w:spacing w:line="276" w:lineRule="auto"/>
        <w:jc w:val="both"/>
        <w:rPr>
          <w:rFonts w:cs="Arial"/>
          <w:szCs w:val="22"/>
          <w:lang w:val="en-GB" w:eastAsia="en-GB"/>
        </w:rPr>
      </w:pPr>
    </w:p>
    <w:p w14:paraId="610B959D" w14:textId="6924388B" w:rsidR="00DE3024" w:rsidRPr="00EF3ECB" w:rsidRDefault="002A5BA8" w:rsidP="00C9634E">
      <w:pPr>
        <w:spacing w:line="276" w:lineRule="auto"/>
        <w:jc w:val="both"/>
        <w:rPr>
          <w:rFonts w:cs="Arial"/>
          <w:szCs w:val="22"/>
          <w:lang w:val="en-GB" w:eastAsia="en-GB"/>
        </w:rPr>
      </w:pPr>
      <w:r w:rsidRPr="00EF3ECB">
        <w:rPr>
          <w:rFonts w:cs="Arial"/>
          <w:szCs w:val="22"/>
          <w:lang w:val="en-GB" w:eastAsia="en-GB"/>
        </w:rPr>
        <w:t>A</w:t>
      </w:r>
      <w:r w:rsidR="00DE6CC3" w:rsidRPr="00EF3ECB">
        <w:rPr>
          <w:rFonts w:cs="Arial"/>
          <w:szCs w:val="22"/>
          <w:lang w:val="en-GB" w:eastAsia="en-GB"/>
        </w:rPr>
        <w:t xml:space="preserve"> subset of the TSOs of the ‘CORE’ region </w:t>
      </w:r>
      <w:r w:rsidRPr="00EF3ECB">
        <w:rPr>
          <w:rFonts w:cs="Arial"/>
          <w:szCs w:val="22"/>
          <w:lang w:val="en-GB" w:eastAsia="en-GB"/>
        </w:rPr>
        <w:t xml:space="preserve">applying the flow based approach </w:t>
      </w:r>
      <w:r w:rsidR="00602F0F" w:rsidRPr="00EF3ECB">
        <w:rPr>
          <w:rFonts w:cs="Arial"/>
          <w:szCs w:val="22"/>
          <w:lang w:val="en-GB" w:eastAsia="en-GB"/>
        </w:rPr>
        <w:t xml:space="preserve">(former CWE region) </w:t>
      </w:r>
      <w:r w:rsidR="00DE6CC3" w:rsidRPr="00EF3ECB">
        <w:rPr>
          <w:rFonts w:cs="Arial"/>
          <w:szCs w:val="22"/>
          <w:lang w:val="en-GB" w:eastAsia="en-GB"/>
        </w:rPr>
        <w:t xml:space="preserve">perform a separate calculation of </w:t>
      </w:r>
      <w:r w:rsidR="00543D26" w:rsidRPr="00EF3ECB">
        <w:rPr>
          <w:rFonts w:cs="Arial"/>
          <w:szCs w:val="22"/>
          <w:lang w:val="en-GB" w:eastAsia="en-GB"/>
        </w:rPr>
        <w:t>Scheduled Exchanges</w:t>
      </w:r>
      <w:r w:rsidR="00DE6CC3" w:rsidRPr="00EF3ECB">
        <w:rPr>
          <w:rFonts w:cs="Arial"/>
          <w:szCs w:val="22"/>
          <w:lang w:val="en-GB" w:eastAsia="en-GB"/>
        </w:rPr>
        <w:t xml:space="preserve">, using the </w:t>
      </w:r>
      <w:r w:rsidRPr="00EF3ECB">
        <w:rPr>
          <w:rFonts w:cs="Arial"/>
          <w:szCs w:val="22"/>
          <w:lang w:val="en-GB" w:eastAsia="en-GB"/>
        </w:rPr>
        <w:t xml:space="preserve">net positions resulting </w:t>
      </w:r>
      <w:r w:rsidR="00DE6CC3" w:rsidRPr="00EF3ECB">
        <w:rPr>
          <w:rFonts w:cs="Arial"/>
          <w:szCs w:val="22"/>
          <w:lang w:val="en-GB" w:eastAsia="en-GB"/>
        </w:rPr>
        <w:t xml:space="preserve">from </w:t>
      </w:r>
      <w:r w:rsidR="009D30F7" w:rsidRPr="00EF3ECB">
        <w:rPr>
          <w:rFonts w:cs="Arial"/>
          <w:szCs w:val="22"/>
          <w:lang w:val="en-GB" w:eastAsia="en-GB"/>
        </w:rPr>
        <w:t>the market coupling algorithm</w:t>
      </w:r>
      <w:r w:rsidR="00DE6CC3" w:rsidRPr="00EF3ECB">
        <w:rPr>
          <w:rFonts w:cs="Arial"/>
          <w:szCs w:val="22"/>
          <w:lang w:val="en-GB" w:eastAsia="en-GB"/>
        </w:rPr>
        <w:t xml:space="preserve"> as a</w:t>
      </w:r>
      <w:r w:rsidRPr="00EF3ECB">
        <w:rPr>
          <w:rFonts w:cs="Arial"/>
          <w:szCs w:val="22"/>
          <w:lang w:val="en-GB" w:eastAsia="en-GB"/>
        </w:rPr>
        <w:t>n input for the scheduled exchange calculation</w:t>
      </w:r>
      <w:r w:rsidR="00DE6CC3" w:rsidRPr="00EF3ECB">
        <w:rPr>
          <w:rFonts w:cs="Arial"/>
          <w:szCs w:val="22"/>
          <w:lang w:val="en-GB" w:eastAsia="en-GB"/>
        </w:rPr>
        <w:t xml:space="preserve">, in order to introduce </w:t>
      </w:r>
      <w:r w:rsidR="006101E1" w:rsidRPr="00EF3ECB">
        <w:rPr>
          <w:rFonts w:cs="Arial"/>
          <w:szCs w:val="22"/>
          <w:lang w:val="en-GB" w:eastAsia="en-GB"/>
        </w:rPr>
        <w:t>Scheduling Restrictions</w:t>
      </w:r>
      <w:r w:rsidR="00DE6CC3" w:rsidRPr="00EF3ECB">
        <w:rPr>
          <w:rFonts w:cs="Arial"/>
          <w:szCs w:val="22"/>
          <w:lang w:val="en-GB" w:eastAsia="en-GB"/>
        </w:rPr>
        <w:t xml:space="preserve">, namely intuitiveness, which is required to ensure that </w:t>
      </w:r>
      <w:r w:rsidR="00543D26" w:rsidRPr="00EF3ECB">
        <w:rPr>
          <w:rFonts w:cs="Arial"/>
          <w:szCs w:val="22"/>
          <w:lang w:val="en-GB" w:eastAsia="en-GB"/>
        </w:rPr>
        <w:t>Scheduled Exchanges</w:t>
      </w:r>
      <w:r w:rsidR="00DE6CC3" w:rsidRPr="00EF3ECB">
        <w:rPr>
          <w:rFonts w:cs="Arial"/>
          <w:szCs w:val="22"/>
          <w:lang w:val="en-GB" w:eastAsia="en-GB"/>
        </w:rPr>
        <w:t xml:space="preserve"> are defined from low price to high price areas.</w:t>
      </w:r>
      <w:r w:rsidR="00BD064F" w:rsidRPr="00EF3ECB">
        <w:rPr>
          <w:rFonts w:cs="Arial"/>
          <w:szCs w:val="22"/>
          <w:lang w:val="en-GB" w:eastAsia="en-GB"/>
        </w:rPr>
        <w:t xml:space="preserve"> </w:t>
      </w:r>
    </w:p>
    <w:p w14:paraId="14778181" w14:textId="50860D50" w:rsidR="00DE3024" w:rsidRPr="00EF3ECB" w:rsidRDefault="00DE3024" w:rsidP="00C9634E">
      <w:pPr>
        <w:spacing w:line="276" w:lineRule="auto"/>
        <w:jc w:val="both"/>
        <w:rPr>
          <w:rFonts w:cs="Arial"/>
          <w:szCs w:val="22"/>
          <w:lang w:val="en-GB" w:eastAsia="en-GB"/>
        </w:rPr>
      </w:pPr>
    </w:p>
    <w:p w14:paraId="09CA2909" w14:textId="1DD76CA4" w:rsidR="00CC5FCA" w:rsidRPr="00EF3ECB" w:rsidRDefault="00CC5FCA" w:rsidP="00C9634E">
      <w:pPr>
        <w:spacing w:line="276" w:lineRule="auto"/>
        <w:jc w:val="both"/>
        <w:rPr>
          <w:rFonts w:ascii="Calibri" w:hAnsi="Calibri"/>
          <w:szCs w:val="22"/>
          <w:lang w:val="en-GB" w:eastAsia="en-GB"/>
        </w:rPr>
      </w:pPr>
      <w:r w:rsidRPr="00EF3ECB">
        <w:rPr>
          <w:lang w:val="en-GB"/>
        </w:rPr>
        <w:t xml:space="preserve">As Figure 1. shows, PCR is currently fulfilling the flow calculation on behalf of all non-CWE TSOs, while CWE is fulfilling its own </w:t>
      </w:r>
      <w:r w:rsidR="001331BF" w:rsidRPr="00EF3ECB">
        <w:rPr>
          <w:lang w:val="en-GB"/>
        </w:rPr>
        <w:t>scheduled</w:t>
      </w:r>
      <w:r w:rsidRPr="00EF3ECB">
        <w:rPr>
          <w:lang w:val="en-GB"/>
        </w:rPr>
        <w:t xml:space="preserve"> exchange calculation. </w:t>
      </w:r>
    </w:p>
    <w:p w14:paraId="2B94F1BF" w14:textId="77777777" w:rsidR="00CC5FCA" w:rsidRPr="00EF3ECB" w:rsidRDefault="00CC5FCA" w:rsidP="00C9634E">
      <w:pPr>
        <w:spacing w:line="276" w:lineRule="auto"/>
        <w:jc w:val="both"/>
        <w:rPr>
          <w:rFonts w:cs="Arial"/>
          <w:szCs w:val="22"/>
          <w:lang w:val="en-GB"/>
        </w:rPr>
      </w:pPr>
    </w:p>
    <w:p w14:paraId="0C0AFE10" w14:textId="77777777" w:rsidR="00CC5FCA" w:rsidRPr="00EF3ECB" w:rsidRDefault="00CC5FCA" w:rsidP="00C9634E">
      <w:pPr>
        <w:spacing w:line="276" w:lineRule="auto"/>
        <w:jc w:val="both"/>
        <w:rPr>
          <w:rFonts w:cs="Arial"/>
          <w:szCs w:val="22"/>
          <w:lang w:val="en-GB"/>
        </w:rPr>
      </w:pPr>
    </w:p>
    <w:p w14:paraId="4EA27872" w14:textId="77777777" w:rsidR="002A074C" w:rsidRPr="00EF3ECB" w:rsidRDefault="00CC5FCA" w:rsidP="00C9634E">
      <w:pPr>
        <w:keepNext/>
        <w:spacing w:line="276" w:lineRule="auto"/>
        <w:jc w:val="both"/>
        <w:rPr>
          <w:lang w:val="en-GB"/>
        </w:rPr>
      </w:pPr>
      <w:r w:rsidRPr="00EF3ECB">
        <w:rPr>
          <w:noProof/>
          <w:lang w:val="de-AT" w:eastAsia="de-AT"/>
        </w:rPr>
        <w:drawing>
          <wp:inline distT="0" distB="0" distL="0" distR="0" wp14:anchorId="41602C55" wp14:editId="219184A2">
            <wp:extent cx="5270500" cy="2206625"/>
            <wp:effectExtent l="0" t="0" r="6350" b="3175"/>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a:stretch>
                      <a:fillRect/>
                    </a:stretch>
                  </pic:blipFill>
                  <pic:spPr>
                    <a:xfrm>
                      <a:off x="0" y="0"/>
                      <a:ext cx="5270500" cy="2206625"/>
                    </a:xfrm>
                    <a:prstGeom prst="rect">
                      <a:avLst/>
                    </a:prstGeom>
                  </pic:spPr>
                </pic:pic>
              </a:graphicData>
            </a:graphic>
          </wp:inline>
        </w:drawing>
      </w:r>
    </w:p>
    <w:p w14:paraId="1CC15ED7" w14:textId="382062CA" w:rsidR="00CC5FCA" w:rsidRPr="00EF3ECB" w:rsidRDefault="002A074C" w:rsidP="00C9634E">
      <w:pPr>
        <w:pStyle w:val="Caption"/>
        <w:spacing w:line="276" w:lineRule="auto"/>
        <w:jc w:val="both"/>
        <w:rPr>
          <w:rFonts w:cs="Arial"/>
          <w:szCs w:val="22"/>
          <w:lang w:val="en-GB"/>
        </w:rPr>
      </w:pPr>
      <w:bookmarkStart w:id="6" w:name="_Toc505860277"/>
      <w:r w:rsidRPr="00EF3ECB">
        <w:rPr>
          <w:lang w:val="en-GB"/>
        </w:rPr>
        <w:t xml:space="preserve">Figure </w:t>
      </w:r>
      <w:r w:rsidRPr="00EF3ECB">
        <w:rPr>
          <w:lang w:val="en-GB"/>
        </w:rPr>
        <w:fldChar w:fldCharType="begin"/>
      </w:r>
      <w:r w:rsidRPr="00EF3ECB">
        <w:rPr>
          <w:lang w:val="en-GB"/>
        </w:rPr>
        <w:instrText xml:space="preserve"> SEQ Figure \* ARABIC </w:instrText>
      </w:r>
      <w:r w:rsidRPr="00EF3ECB">
        <w:rPr>
          <w:lang w:val="en-GB"/>
        </w:rPr>
        <w:fldChar w:fldCharType="separate"/>
      </w:r>
      <w:r w:rsidR="00FC1305">
        <w:rPr>
          <w:noProof/>
          <w:lang w:val="en-GB"/>
        </w:rPr>
        <w:t>1</w:t>
      </w:r>
      <w:r w:rsidRPr="00EF3ECB">
        <w:rPr>
          <w:lang w:val="en-GB"/>
        </w:rPr>
        <w:fldChar w:fldCharType="end"/>
      </w:r>
      <w:r w:rsidRPr="00EF3ECB">
        <w:rPr>
          <w:lang w:val="en-GB"/>
        </w:rPr>
        <w:t>: Current situation</w:t>
      </w:r>
      <w:bookmarkEnd w:id="6"/>
    </w:p>
    <w:p w14:paraId="0B3E0893" w14:textId="40FC13F6" w:rsidR="00CC5FCA" w:rsidRPr="00EF3ECB" w:rsidRDefault="00994013" w:rsidP="00C9634E">
      <w:pPr>
        <w:spacing w:line="276" w:lineRule="auto"/>
        <w:jc w:val="both"/>
        <w:rPr>
          <w:rFonts w:cs="Arial"/>
          <w:szCs w:val="22"/>
          <w:lang w:val="en-GB" w:eastAsia="en-GB"/>
        </w:rPr>
      </w:pPr>
      <w:r w:rsidRPr="00EF3ECB">
        <w:rPr>
          <w:rFonts w:cs="Arial"/>
          <w:szCs w:val="22"/>
          <w:lang w:val="en-GB" w:eastAsia="en-GB"/>
        </w:rPr>
        <w:t xml:space="preserve">From the implementation of the </w:t>
      </w:r>
      <w:r w:rsidR="00212307" w:rsidRPr="00EF3ECB">
        <w:rPr>
          <w:rFonts w:cs="Arial"/>
          <w:lang w:val="en-GB"/>
        </w:rPr>
        <w:t>Multiple NEMO Arrangement (</w:t>
      </w:r>
      <w:r w:rsidRPr="00EF3ECB">
        <w:rPr>
          <w:rFonts w:cs="Arial"/>
          <w:szCs w:val="22"/>
          <w:lang w:val="en-GB" w:eastAsia="en-GB"/>
        </w:rPr>
        <w:t>MNA</w:t>
      </w:r>
      <w:r w:rsidR="00212307" w:rsidRPr="00EF3ECB">
        <w:rPr>
          <w:rFonts w:cs="Arial"/>
          <w:szCs w:val="22"/>
          <w:lang w:val="en-GB" w:eastAsia="en-GB"/>
        </w:rPr>
        <w:t>)</w:t>
      </w:r>
      <w:r w:rsidRPr="00EF3ECB">
        <w:rPr>
          <w:rFonts w:cs="Arial"/>
          <w:szCs w:val="22"/>
          <w:lang w:val="en-GB" w:eastAsia="en-GB"/>
        </w:rPr>
        <w:t xml:space="preserve"> onwards, CWE TSOs shall no longer calculate Scheduled Exchanges. The flow calculation for CWE will be fulfilled by PCR (see </w:t>
      </w:r>
      <w:r w:rsidR="00BE5690">
        <w:rPr>
          <w:rFonts w:cs="Arial"/>
          <w:szCs w:val="22"/>
          <w:lang w:val="en-GB" w:eastAsia="en-GB"/>
        </w:rPr>
        <w:t>1.2</w:t>
      </w:r>
      <w:r w:rsidR="00361162">
        <w:rPr>
          <w:rFonts w:cs="Arial"/>
          <w:szCs w:val="22"/>
          <w:lang w:val="en-GB" w:eastAsia="en-GB"/>
        </w:rPr>
        <w:t xml:space="preserve"> and 5.1</w:t>
      </w:r>
      <w:r w:rsidRPr="00EF3ECB">
        <w:rPr>
          <w:rFonts w:cs="Arial"/>
          <w:szCs w:val="22"/>
          <w:lang w:val="en-GB" w:eastAsia="en-GB"/>
        </w:rPr>
        <w:t>)</w:t>
      </w:r>
    </w:p>
    <w:p w14:paraId="13EEFD88" w14:textId="77777777" w:rsidR="00B55F99" w:rsidRPr="00EF3ECB" w:rsidRDefault="00B55F99" w:rsidP="00C9634E">
      <w:pPr>
        <w:spacing w:line="276" w:lineRule="auto"/>
        <w:jc w:val="both"/>
        <w:rPr>
          <w:rFonts w:cs="Arial"/>
          <w:szCs w:val="22"/>
          <w:lang w:val="en-GB" w:eastAsia="en-GB"/>
        </w:rPr>
      </w:pPr>
    </w:p>
    <w:p w14:paraId="6EACBAC6" w14:textId="56ADB9FF" w:rsidR="0094097A" w:rsidRPr="00EF3ECB" w:rsidRDefault="0094097A" w:rsidP="00F8788D">
      <w:pPr>
        <w:pStyle w:val="Heading1"/>
        <w:numPr>
          <w:ilvl w:val="0"/>
          <w:numId w:val="1"/>
        </w:numPr>
        <w:spacing w:before="0" w:line="276" w:lineRule="auto"/>
        <w:ind w:left="0" w:firstLine="0"/>
        <w:jc w:val="both"/>
        <w:rPr>
          <w:rFonts w:ascii="Arial" w:hAnsi="Arial" w:cs="Arial"/>
          <w:lang w:val="en-GB"/>
        </w:rPr>
      </w:pPr>
      <w:bookmarkStart w:id="7" w:name="_Toc507425371"/>
      <w:r w:rsidRPr="00EF3ECB">
        <w:rPr>
          <w:rFonts w:ascii="Arial" w:hAnsi="Arial" w:cs="Arial"/>
          <w:lang w:val="en-GB"/>
        </w:rPr>
        <w:t xml:space="preserve">Common Criteria for </w:t>
      </w:r>
      <w:r w:rsidR="00543D26" w:rsidRPr="00EF3ECB">
        <w:rPr>
          <w:rFonts w:ascii="Arial" w:hAnsi="Arial" w:cs="Arial"/>
          <w:lang w:val="en-GB"/>
        </w:rPr>
        <w:t>Scheduled Exchanges</w:t>
      </w:r>
      <w:r w:rsidRPr="00EF3ECB">
        <w:rPr>
          <w:rFonts w:ascii="Arial" w:hAnsi="Arial" w:cs="Arial"/>
          <w:lang w:val="en-GB"/>
        </w:rPr>
        <w:t xml:space="preserve"> Calculation</w:t>
      </w:r>
      <w:bookmarkEnd w:id="7"/>
    </w:p>
    <w:p w14:paraId="73862BEC" w14:textId="77777777" w:rsidR="0094097A" w:rsidRPr="00EF3ECB" w:rsidRDefault="0094097A" w:rsidP="00C9634E">
      <w:pPr>
        <w:spacing w:line="276" w:lineRule="auto"/>
        <w:jc w:val="both"/>
        <w:rPr>
          <w:rFonts w:cs="Arial"/>
          <w:lang w:val="en-GB"/>
        </w:rPr>
      </w:pPr>
    </w:p>
    <w:p w14:paraId="424132EF" w14:textId="08A135E4" w:rsidR="00436DD8" w:rsidRPr="00EF3ECB" w:rsidRDefault="00436DD8" w:rsidP="00C9634E">
      <w:pPr>
        <w:spacing w:line="276" w:lineRule="auto"/>
        <w:jc w:val="both"/>
        <w:rPr>
          <w:rFonts w:cs="Arial"/>
          <w:szCs w:val="22"/>
          <w:lang w:val="en-GB"/>
        </w:rPr>
      </w:pPr>
      <w:r w:rsidRPr="00EF3ECB">
        <w:rPr>
          <w:rFonts w:cs="Arial"/>
          <w:szCs w:val="22"/>
          <w:lang w:val="en-GB"/>
        </w:rPr>
        <w:t xml:space="preserve">Article 43(1) of </w:t>
      </w:r>
      <w:r w:rsidR="008E7442">
        <w:rPr>
          <w:rFonts w:cs="Arial"/>
          <w:szCs w:val="22"/>
          <w:lang w:val="en-GB"/>
        </w:rPr>
        <w:t xml:space="preserve">the </w:t>
      </w:r>
      <w:r w:rsidRPr="00EF3ECB">
        <w:rPr>
          <w:rFonts w:cs="Arial"/>
          <w:szCs w:val="22"/>
          <w:lang w:val="en-GB"/>
        </w:rPr>
        <w:t xml:space="preserve">CACM Regulation makes a reference to "TSOs which intend to calculate scheduled exchanges” to submit the DA SEC Proposal. However, </w:t>
      </w:r>
      <w:r w:rsidR="00015C07" w:rsidRPr="00EF3ECB">
        <w:rPr>
          <w:rFonts w:cs="Arial"/>
          <w:szCs w:val="22"/>
          <w:lang w:val="en-GB"/>
        </w:rPr>
        <w:t xml:space="preserve">pursuant to the </w:t>
      </w:r>
      <w:r w:rsidRPr="00EF3ECB">
        <w:rPr>
          <w:rFonts w:cs="Arial"/>
          <w:szCs w:val="22"/>
          <w:lang w:val="en-GB"/>
        </w:rPr>
        <w:t>request of the national regulatory authorities, a</w:t>
      </w:r>
      <w:r w:rsidRPr="00EF3ECB">
        <w:rPr>
          <w:rFonts w:cstheme="minorHAnsi"/>
          <w:color w:val="000000" w:themeColor="text1"/>
          <w:lang w:val="en-GB"/>
        </w:rPr>
        <w:t>ll TSOs have joined the DA SEC Proposal for the requirements to calculate Scheduled Exchanges resulting from single day-ahead coupling, the information required from all NEMOs for the calculation, the setup of the Scheduled Exchange Calculator, the calculation process, methodology and description of the required equations.</w:t>
      </w:r>
    </w:p>
    <w:p w14:paraId="2705F2F3" w14:textId="77777777" w:rsidR="00436DD8" w:rsidRPr="00EF3ECB" w:rsidRDefault="00436DD8" w:rsidP="00C9634E">
      <w:pPr>
        <w:spacing w:line="276" w:lineRule="auto"/>
        <w:jc w:val="both"/>
        <w:rPr>
          <w:rFonts w:cs="Arial"/>
          <w:szCs w:val="22"/>
          <w:lang w:val="en-GB"/>
        </w:rPr>
      </w:pPr>
    </w:p>
    <w:p w14:paraId="24EFC0F1" w14:textId="2366E6A3" w:rsidR="0094097A" w:rsidRPr="00EF3ECB" w:rsidRDefault="00EC5761" w:rsidP="00C9634E">
      <w:pPr>
        <w:spacing w:line="276" w:lineRule="auto"/>
        <w:jc w:val="both"/>
        <w:rPr>
          <w:rFonts w:cs="Arial"/>
          <w:szCs w:val="22"/>
          <w:lang w:val="en-GB"/>
        </w:rPr>
      </w:pPr>
      <w:r w:rsidRPr="00EF3ECB">
        <w:rPr>
          <w:rFonts w:cs="Arial"/>
          <w:szCs w:val="22"/>
          <w:lang w:val="en-GB"/>
        </w:rPr>
        <w:t xml:space="preserve">To achieve the targets set in the </w:t>
      </w:r>
      <w:r w:rsidR="0076722D" w:rsidRPr="00EF3ECB">
        <w:rPr>
          <w:rFonts w:cs="Arial"/>
          <w:szCs w:val="22"/>
          <w:lang w:val="en-GB"/>
        </w:rPr>
        <w:t>CACM Regulation</w:t>
      </w:r>
      <w:r w:rsidRPr="00EF3ECB">
        <w:rPr>
          <w:rFonts w:cs="Arial"/>
          <w:szCs w:val="22"/>
          <w:lang w:val="en-GB"/>
        </w:rPr>
        <w:t xml:space="preserve"> to promote the completion and efficient functioning of the internal market and ensure the optimal management, coordinated operation and sound technical development of the electricity transmission system in Europe, EC, TSOs and ENTSO-E acknowledge the importance of involving non-EU TSO members of ENTSO-E, especially the ones responsible for electricity systems physically connected to EU Member States, in the development of this proposal. This was ensured by providing the opportunity for non-EU TSO members of ENTSO-E to participate in th</w:t>
      </w:r>
      <w:r w:rsidR="00345A66" w:rsidRPr="00EF3ECB">
        <w:rPr>
          <w:rFonts w:cs="Arial"/>
          <w:szCs w:val="22"/>
          <w:lang w:val="en-GB"/>
        </w:rPr>
        <w:t xml:space="preserve">e development of the proposal. </w:t>
      </w:r>
    </w:p>
    <w:p w14:paraId="3DAAB9EE" w14:textId="3ADA90EF" w:rsidR="00203B83" w:rsidRPr="00EF3ECB" w:rsidRDefault="00203B83" w:rsidP="00C9634E">
      <w:pPr>
        <w:spacing w:line="276" w:lineRule="auto"/>
        <w:jc w:val="both"/>
        <w:rPr>
          <w:rFonts w:cs="Arial"/>
          <w:szCs w:val="22"/>
          <w:lang w:val="en-GB"/>
        </w:rPr>
      </w:pPr>
    </w:p>
    <w:p w14:paraId="5AA58FEC" w14:textId="2BBE1969" w:rsidR="00203B83" w:rsidRPr="00EF3ECB" w:rsidRDefault="00203B83" w:rsidP="00F8788D">
      <w:pPr>
        <w:pStyle w:val="Heading1"/>
        <w:numPr>
          <w:ilvl w:val="0"/>
          <w:numId w:val="1"/>
        </w:numPr>
        <w:spacing w:before="0" w:line="276" w:lineRule="auto"/>
        <w:ind w:left="0" w:firstLine="0"/>
        <w:jc w:val="both"/>
        <w:rPr>
          <w:rFonts w:ascii="Arial" w:hAnsi="Arial" w:cs="Arial"/>
          <w:lang w:val="en-GB"/>
        </w:rPr>
      </w:pPr>
      <w:bookmarkStart w:id="8" w:name="_Toc507425372"/>
      <w:r w:rsidRPr="00EF3ECB">
        <w:rPr>
          <w:rFonts w:ascii="Arial" w:hAnsi="Arial" w:cs="Arial"/>
          <w:lang w:val="en-GB"/>
        </w:rPr>
        <w:t xml:space="preserve">Requirements </w:t>
      </w:r>
      <w:r w:rsidR="00C06721" w:rsidRPr="00EF3ECB">
        <w:rPr>
          <w:rFonts w:ascii="Arial" w:hAnsi="Arial" w:cs="Arial"/>
          <w:lang w:val="en-GB"/>
        </w:rPr>
        <w:t>for Scheduled Exchanges Calculation</w:t>
      </w:r>
      <w:bookmarkEnd w:id="8"/>
    </w:p>
    <w:p w14:paraId="6DF700A8" w14:textId="77777777" w:rsidR="00203B83" w:rsidRPr="00EF3ECB" w:rsidRDefault="00203B83" w:rsidP="00C9634E">
      <w:pPr>
        <w:spacing w:line="276" w:lineRule="auto"/>
        <w:jc w:val="both"/>
        <w:rPr>
          <w:rFonts w:cs="Arial"/>
          <w:szCs w:val="22"/>
          <w:lang w:val="en-GB"/>
        </w:rPr>
      </w:pPr>
    </w:p>
    <w:p w14:paraId="0995E580" w14:textId="4235CB19" w:rsidR="00907CD2" w:rsidRPr="00EF3ECB" w:rsidRDefault="00907CD2" w:rsidP="00C9634E">
      <w:pPr>
        <w:spacing w:line="276" w:lineRule="auto"/>
        <w:jc w:val="both"/>
        <w:rPr>
          <w:rFonts w:cs="Arial"/>
          <w:szCs w:val="22"/>
          <w:lang w:val="en-GB" w:eastAsia="en-GB"/>
        </w:rPr>
      </w:pPr>
      <w:r w:rsidRPr="00EF3ECB">
        <w:rPr>
          <w:rFonts w:cs="Arial"/>
          <w:szCs w:val="22"/>
          <w:lang w:val="en-GB" w:eastAsia="en-GB"/>
        </w:rPr>
        <w:t xml:space="preserve">Articles 3 of the </w:t>
      </w:r>
      <w:r w:rsidR="0076722D" w:rsidRPr="00EF3ECB">
        <w:rPr>
          <w:rFonts w:cs="Arial"/>
          <w:szCs w:val="22"/>
          <w:lang w:val="en-GB" w:eastAsia="en-GB"/>
        </w:rPr>
        <w:t xml:space="preserve">DA SEC </w:t>
      </w:r>
      <w:r w:rsidR="008E7442">
        <w:rPr>
          <w:rFonts w:cs="Arial"/>
          <w:szCs w:val="22"/>
          <w:lang w:val="en-GB" w:eastAsia="en-GB"/>
        </w:rPr>
        <w:t>Proposal</w:t>
      </w:r>
      <w:r w:rsidRPr="00EF3ECB">
        <w:rPr>
          <w:rFonts w:cs="Arial"/>
          <w:szCs w:val="22"/>
          <w:lang w:val="en-GB" w:eastAsia="en-GB"/>
        </w:rPr>
        <w:t xml:space="preserve"> introduce a list of information which shall be </w:t>
      </w:r>
      <w:r w:rsidR="00F0280E">
        <w:rPr>
          <w:rFonts w:cs="Arial"/>
          <w:szCs w:val="22"/>
          <w:lang w:val="en-GB" w:eastAsia="en-GB"/>
        </w:rPr>
        <w:t>provided by the relevant NEMOs.</w:t>
      </w:r>
      <w:r w:rsidRPr="00EF3ECB">
        <w:rPr>
          <w:rFonts w:cs="Arial"/>
          <w:szCs w:val="22"/>
          <w:lang w:val="en-GB" w:eastAsia="en-GB"/>
        </w:rPr>
        <w:t xml:space="preserve"> </w:t>
      </w:r>
    </w:p>
    <w:p w14:paraId="77666778" w14:textId="77777777" w:rsidR="00031540" w:rsidRPr="00EF3ECB" w:rsidRDefault="00031540" w:rsidP="00C9634E">
      <w:pPr>
        <w:spacing w:line="276" w:lineRule="auto"/>
        <w:jc w:val="both"/>
        <w:rPr>
          <w:lang w:val="en-GB"/>
        </w:rPr>
      </w:pPr>
      <w:bookmarkStart w:id="9" w:name="_Toc466711666"/>
      <w:bookmarkStart w:id="10" w:name="_Toc466734157"/>
      <w:bookmarkStart w:id="11" w:name="_Toc466734244"/>
      <w:bookmarkStart w:id="12" w:name="_Toc466739866"/>
      <w:bookmarkStart w:id="13" w:name="_Toc466741657"/>
      <w:bookmarkStart w:id="14" w:name="_Toc466743350"/>
      <w:bookmarkStart w:id="15" w:name="_Toc467054364"/>
      <w:bookmarkStart w:id="16" w:name="_Toc467782358"/>
      <w:bookmarkStart w:id="17" w:name="_Toc469070592"/>
      <w:bookmarkEnd w:id="9"/>
      <w:bookmarkEnd w:id="10"/>
      <w:bookmarkEnd w:id="11"/>
      <w:bookmarkEnd w:id="12"/>
      <w:bookmarkEnd w:id="13"/>
      <w:bookmarkEnd w:id="14"/>
      <w:bookmarkEnd w:id="15"/>
      <w:bookmarkEnd w:id="16"/>
      <w:bookmarkEnd w:id="17"/>
    </w:p>
    <w:p w14:paraId="7AE15C44" w14:textId="3F8A6EC6" w:rsidR="00597120" w:rsidRPr="00EF3ECB" w:rsidRDefault="009708C9" w:rsidP="00C9634E">
      <w:pPr>
        <w:spacing w:line="276" w:lineRule="auto"/>
        <w:jc w:val="both"/>
        <w:rPr>
          <w:rFonts w:cs="Arial"/>
          <w:lang w:val="en-GB"/>
        </w:rPr>
      </w:pPr>
      <w:bookmarkStart w:id="18" w:name="_Toc453271824"/>
      <w:r w:rsidRPr="00EF3ECB">
        <w:rPr>
          <w:rFonts w:cs="Arial"/>
          <w:lang w:val="en-GB"/>
        </w:rPr>
        <w:t>Article 43(2) of the CACM Regulation stipulates that the DA SEC Methodology proposal shall ‘list the information which shall be provided by the relevant NEMOs to the Scheduled Exchange Calculator’.</w:t>
      </w:r>
      <w:r w:rsidR="002A1352" w:rsidRPr="00EF3ECB">
        <w:rPr>
          <w:rFonts w:cs="Arial"/>
          <w:lang w:val="en-GB"/>
        </w:rPr>
        <w:t xml:space="preserve"> </w:t>
      </w:r>
      <w:r w:rsidR="00597120" w:rsidRPr="00EF3ECB">
        <w:rPr>
          <w:rFonts w:cs="Arial"/>
          <w:lang w:val="en-GB"/>
        </w:rPr>
        <w:t xml:space="preserve">As per Article 43(3) of the </w:t>
      </w:r>
      <w:r w:rsidR="0076722D" w:rsidRPr="00EF3ECB">
        <w:rPr>
          <w:rFonts w:cs="Arial"/>
          <w:lang w:val="en-GB"/>
        </w:rPr>
        <w:t>CACM Regulation</w:t>
      </w:r>
      <w:r w:rsidR="00597120" w:rsidRPr="00EF3ECB">
        <w:rPr>
          <w:rFonts w:cs="Arial"/>
          <w:lang w:val="en-GB"/>
        </w:rPr>
        <w:t xml:space="preserve">, the </w:t>
      </w:r>
      <w:r w:rsidR="009219FE" w:rsidRPr="00EF3ECB">
        <w:rPr>
          <w:rFonts w:cs="Arial"/>
          <w:lang w:val="en-GB"/>
        </w:rPr>
        <w:t>Scheduled Exchange</w:t>
      </w:r>
      <w:r w:rsidR="00597120" w:rsidRPr="00EF3ECB">
        <w:rPr>
          <w:rFonts w:cs="Arial"/>
          <w:lang w:val="en-GB"/>
        </w:rPr>
        <w:t xml:space="preserve"> calculation shall be based on net positions for each market time unit.</w:t>
      </w:r>
      <w:r w:rsidR="002A1352" w:rsidRPr="00EF3ECB">
        <w:rPr>
          <w:rFonts w:cs="Arial"/>
          <w:lang w:val="en-GB"/>
        </w:rPr>
        <w:t xml:space="preserve"> </w:t>
      </w:r>
      <w:r w:rsidR="00597120" w:rsidRPr="00EF3ECB">
        <w:rPr>
          <w:rFonts w:cs="Arial"/>
          <w:lang w:val="en-GB"/>
        </w:rPr>
        <w:t>According to Article 48(1)(a)</w:t>
      </w:r>
      <w:r w:rsidR="008E7442">
        <w:rPr>
          <w:rFonts w:cs="Arial"/>
          <w:lang w:val="en-GB"/>
        </w:rPr>
        <w:t xml:space="preserve"> of the CACM Regulation</w:t>
      </w:r>
      <w:r w:rsidR="00597120" w:rsidRPr="00EF3ECB">
        <w:rPr>
          <w:rFonts w:cs="Arial"/>
          <w:lang w:val="en-GB"/>
        </w:rPr>
        <w:t>, all NEMOs performing MCO functions shall deliver the single day-ahead coupling results to all TSOs, all coordinated capacity calculators and all NEMOs. At least these results should be:</w:t>
      </w:r>
    </w:p>
    <w:p w14:paraId="329D9CE8" w14:textId="3CCA4EB4" w:rsidR="00597120" w:rsidRPr="00EF3ECB" w:rsidRDefault="00597120" w:rsidP="00F8788D">
      <w:pPr>
        <w:pStyle w:val="ListParagraph"/>
        <w:numPr>
          <w:ilvl w:val="0"/>
          <w:numId w:val="2"/>
        </w:numPr>
        <w:spacing w:line="276" w:lineRule="auto"/>
        <w:ind w:left="426" w:firstLine="0"/>
        <w:jc w:val="both"/>
        <w:rPr>
          <w:rFonts w:eastAsiaTheme="minorHAnsi" w:cs="Arial"/>
          <w:color w:val="000000" w:themeColor="text1"/>
          <w:szCs w:val="22"/>
          <w:lang w:val="en-GB" w:eastAsia="en-US"/>
        </w:rPr>
      </w:pPr>
      <w:r w:rsidRPr="00EF3ECB">
        <w:rPr>
          <w:rFonts w:cs="Arial"/>
          <w:lang w:val="en-GB"/>
        </w:rPr>
        <w:t xml:space="preserve">A single </w:t>
      </w:r>
      <w:r w:rsidRPr="00EF3ECB">
        <w:rPr>
          <w:rFonts w:eastAsiaTheme="minorHAnsi" w:cs="Arial"/>
          <w:color w:val="000000" w:themeColor="text1"/>
          <w:szCs w:val="22"/>
          <w:lang w:val="en-GB" w:eastAsia="en-US"/>
        </w:rPr>
        <w:t xml:space="preserve">clearing price for each </w:t>
      </w:r>
      <w:r w:rsidR="00B86CEB" w:rsidRPr="00EF3ECB">
        <w:rPr>
          <w:rFonts w:eastAsiaTheme="minorHAnsi" w:cs="Arial"/>
          <w:color w:val="000000" w:themeColor="text1"/>
          <w:szCs w:val="22"/>
          <w:lang w:val="en-GB" w:eastAsia="en-US"/>
        </w:rPr>
        <w:t>Bidding Zone</w:t>
      </w:r>
      <w:r w:rsidRPr="00EF3ECB">
        <w:rPr>
          <w:rFonts w:eastAsiaTheme="minorHAnsi" w:cs="Arial"/>
          <w:color w:val="000000" w:themeColor="text1"/>
          <w:szCs w:val="22"/>
          <w:lang w:val="en-GB" w:eastAsia="en-US"/>
        </w:rPr>
        <w:t xml:space="preserve"> and market time unit in EUR/MWh</w:t>
      </w:r>
    </w:p>
    <w:p w14:paraId="63994207" w14:textId="28C5AD8F" w:rsidR="00597120" w:rsidRPr="00EF3ECB" w:rsidRDefault="00597120" w:rsidP="00F8788D">
      <w:pPr>
        <w:pStyle w:val="ListParagraph"/>
        <w:numPr>
          <w:ilvl w:val="0"/>
          <w:numId w:val="2"/>
        </w:numPr>
        <w:spacing w:line="276" w:lineRule="auto"/>
        <w:ind w:left="426" w:firstLine="0"/>
        <w:jc w:val="both"/>
        <w:rPr>
          <w:rFonts w:cs="Arial"/>
          <w:lang w:val="en-GB"/>
        </w:rPr>
      </w:pPr>
      <w:r w:rsidRPr="00EF3ECB">
        <w:rPr>
          <w:rFonts w:eastAsiaTheme="minorHAnsi" w:cs="Arial"/>
          <w:color w:val="000000" w:themeColor="text1"/>
          <w:szCs w:val="22"/>
          <w:lang w:val="en-GB" w:eastAsia="en-US"/>
        </w:rPr>
        <w:t>A single net position for each</w:t>
      </w:r>
      <w:r w:rsidRPr="00EF3ECB">
        <w:rPr>
          <w:rFonts w:cs="Arial"/>
          <w:lang w:val="en-GB"/>
        </w:rPr>
        <w:t xml:space="preserve"> </w:t>
      </w:r>
      <w:r w:rsidR="00B86CEB" w:rsidRPr="00EF3ECB">
        <w:rPr>
          <w:rFonts w:cs="Arial"/>
          <w:lang w:val="en-GB"/>
        </w:rPr>
        <w:t>Bidding Zone</w:t>
      </w:r>
      <w:r w:rsidRPr="00EF3ECB">
        <w:rPr>
          <w:rFonts w:cs="Arial"/>
          <w:lang w:val="en-GB"/>
        </w:rPr>
        <w:t xml:space="preserve"> and each market time unit</w:t>
      </w:r>
    </w:p>
    <w:p w14:paraId="2E9C6FB7" w14:textId="3B5E8B23" w:rsidR="00031540" w:rsidRPr="00EF3ECB" w:rsidRDefault="00031540" w:rsidP="00C9634E">
      <w:pPr>
        <w:pStyle w:val="ListParagraph"/>
        <w:tabs>
          <w:tab w:val="left" w:pos="1080"/>
        </w:tabs>
        <w:spacing w:line="276" w:lineRule="auto"/>
        <w:ind w:left="0"/>
        <w:jc w:val="both"/>
        <w:rPr>
          <w:rFonts w:cs="Arial"/>
          <w:lang w:val="en-GB"/>
        </w:rPr>
      </w:pPr>
    </w:p>
    <w:p w14:paraId="4B082C50" w14:textId="2634F143" w:rsidR="0049058F" w:rsidRPr="00EF3ECB" w:rsidRDefault="0049058F" w:rsidP="00C9634E">
      <w:pPr>
        <w:pStyle w:val="ListParagraph"/>
        <w:tabs>
          <w:tab w:val="left" w:pos="1080"/>
        </w:tabs>
        <w:spacing w:line="276" w:lineRule="auto"/>
        <w:ind w:left="0"/>
        <w:jc w:val="both"/>
        <w:rPr>
          <w:rFonts w:cs="Arial"/>
          <w:szCs w:val="22"/>
          <w:lang w:val="en-GB"/>
        </w:rPr>
      </w:pPr>
    </w:p>
    <w:p w14:paraId="316F104F" w14:textId="40D18474" w:rsidR="00345E14" w:rsidRPr="00EF3ECB" w:rsidRDefault="009708C9" w:rsidP="00C9634E">
      <w:pPr>
        <w:pStyle w:val="textregular"/>
        <w:spacing w:after="0" w:line="276" w:lineRule="auto"/>
        <w:jc w:val="both"/>
        <w:rPr>
          <w:rFonts w:ascii="Arial" w:hAnsi="Arial" w:cs="Arial"/>
          <w:color w:val="000000" w:themeColor="text1"/>
        </w:rPr>
      </w:pPr>
      <w:r w:rsidRPr="00EF3ECB">
        <w:rPr>
          <w:rFonts w:ascii="Arial" w:hAnsi="Arial" w:cs="Arial"/>
          <w:color w:val="000000" w:themeColor="text1"/>
        </w:rPr>
        <w:t>Therefore, all NEMOs</w:t>
      </w:r>
      <w:r w:rsidR="00345E14" w:rsidRPr="00EF3ECB">
        <w:rPr>
          <w:rFonts w:ascii="Arial" w:hAnsi="Arial" w:cs="Arial"/>
          <w:color w:val="000000" w:themeColor="text1"/>
        </w:rPr>
        <w:t xml:space="preserve"> shall provide the following information, resulting from the single day-ahead </w:t>
      </w:r>
      <w:r w:rsidR="00AD3173" w:rsidRPr="00EF3ECB">
        <w:rPr>
          <w:rFonts w:ascii="Arial" w:hAnsi="Arial" w:cs="Arial"/>
          <w:color w:val="000000" w:themeColor="text1"/>
        </w:rPr>
        <w:t>coupling</w:t>
      </w:r>
      <w:r w:rsidR="00345E14" w:rsidRPr="00EF3ECB">
        <w:rPr>
          <w:rFonts w:ascii="Arial" w:hAnsi="Arial" w:cs="Arial"/>
          <w:color w:val="000000" w:themeColor="text1"/>
        </w:rPr>
        <w:t xml:space="preserve"> to the </w:t>
      </w:r>
      <w:r w:rsidR="009219FE" w:rsidRPr="00EF3ECB">
        <w:rPr>
          <w:rFonts w:ascii="Arial" w:hAnsi="Arial" w:cs="Arial"/>
          <w:color w:val="000000" w:themeColor="text1"/>
        </w:rPr>
        <w:t>Scheduled Exchange</w:t>
      </w:r>
      <w:r w:rsidR="00345E14" w:rsidRPr="00EF3ECB">
        <w:rPr>
          <w:rFonts w:ascii="Arial" w:hAnsi="Arial" w:cs="Arial"/>
          <w:color w:val="000000" w:themeColor="text1"/>
        </w:rPr>
        <w:t xml:space="preserve"> Calculator and all TSOs, for each market time unit, in order</w:t>
      </w:r>
      <w:r w:rsidR="00597120" w:rsidRPr="00EF3ECB">
        <w:rPr>
          <w:rFonts w:ascii="Arial" w:hAnsi="Arial" w:cs="Arial"/>
          <w:color w:val="000000" w:themeColor="text1"/>
        </w:rPr>
        <w:t xml:space="preserve"> for the </w:t>
      </w:r>
      <w:r w:rsidR="009219FE" w:rsidRPr="00EF3ECB">
        <w:rPr>
          <w:rFonts w:ascii="Arial" w:hAnsi="Arial" w:cs="Arial"/>
          <w:color w:val="000000" w:themeColor="text1"/>
        </w:rPr>
        <w:t>Scheduled Exchange</w:t>
      </w:r>
      <w:r w:rsidR="00597120" w:rsidRPr="00EF3ECB">
        <w:rPr>
          <w:rFonts w:ascii="Arial" w:hAnsi="Arial" w:cs="Arial"/>
          <w:color w:val="000000" w:themeColor="text1"/>
        </w:rPr>
        <w:t xml:space="preserve"> Calculator</w:t>
      </w:r>
      <w:r w:rsidR="00345E14" w:rsidRPr="00EF3ECB">
        <w:rPr>
          <w:rFonts w:ascii="Arial" w:hAnsi="Arial" w:cs="Arial"/>
          <w:color w:val="000000" w:themeColor="text1"/>
        </w:rPr>
        <w:t xml:space="preserve"> to perform the </w:t>
      </w:r>
      <w:r w:rsidR="00543D26" w:rsidRPr="00EF3ECB">
        <w:rPr>
          <w:rFonts w:ascii="Arial" w:hAnsi="Arial" w:cs="Arial"/>
        </w:rPr>
        <w:t>DA Scheduled Exchanges Calculation</w:t>
      </w:r>
      <w:r w:rsidR="00345E14" w:rsidRPr="00EF3ECB">
        <w:rPr>
          <w:rFonts w:ascii="Arial" w:hAnsi="Arial" w:cs="Arial"/>
          <w:color w:val="000000" w:themeColor="text1"/>
        </w:rPr>
        <w:t>:</w:t>
      </w:r>
      <w:bookmarkEnd w:id="18"/>
    </w:p>
    <w:p w14:paraId="0CD16F29" w14:textId="18AAD490" w:rsidR="00345E14" w:rsidRPr="00EF3ECB" w:rsidRDefault="006F2FA9" w:rsidP="00F8788D">
      <w:pPr>
        <w:pStyle w:val="ListParagraph"/>
        <w:numPr>
          <w:ilvl w:val="0"/>
          <w:numId w:val="2"/>
        </w:numPr>
        <w:spacing w:line="276" w:lineRule="auto"/>
        <w:ind w:left="426" w:firstLine="0"/>
        <w:jc w:val="both"/>
        <w:rPr>
          <w:rFonts w:eastAsiaTheme="minorHAnsi" w:cs="Arial"/>
          <w:color w:val="000000" w:themeColor="text1"/>
          <w:szCs w:val="22"/>
          <w:lang w:val="en-GB" w:eastAsia="en-US"/>
        </w:rPr>
      </w:pPr>
      <w:r w:rsidRPr="00EF3ECB">
        <w:rPr>
          <w:rFonts w:eastAsiaTheme="minorHAnsi" w:cs="Arial"/>
          <w:color w:val="000000" w:themeColor="text1"/>
          <w:szCs w:val="22"/>
          <w:lang w:val="en-GB" w:eastAsia="en-US"/>
        </w:rPr>
        <w:t>U</w:t>
      </w:r>
      <w:r w:rsidR="00345E14" w:rsidRPr="00EF3ECB">
        <w:rPr>
          <w:rFonts w:eastAsiaTheme="minorHAnsi" w:cs="Arial"/>
          <w:color w:val="000000" w:themeColor="text1"/>
          <w:szCs w:val="22"/>
          <w:lang w:val="en-GB" w:eastAsia="en-US"/>
        </w:rPr>
        <w:t>nrounded net position per Scheduling Area;</w:t>
      </w:r>
    </w:p>
    <w:p w14:paraId="59A21DCF" w14:textId="7FEE2F36" w:rsidR="00345E14" w:rsidRPr="00EF3ECB" w:rsidRDefault="006F2FA9" w:rsidP="00F8788D">
      <w:pPr>
        <w:pStyle w:val="ListParagraph"/>
        <w:numPr>
          <w:ilvl w:val="0"/>
          <w:numId w:val="2"/>
        </w:numPr>
        <w:spacing w:line="276" w:lineRule="auto"/>
        <w:ind w:left="426" w:firstLine="0"/>
        <w:jc w:val="both"/>
        <w:rPr>
          <w:rFonts w:eastAsiaTheme="minorHAnsi" w:cs="Arial"/>
          <w:color w:val="000000" w:themeColor="text1"/>
          <w:szCs w:val="22"/>
          <w:lang w:val="en-GB" w:eastAsia="en-US"/>
        </w:rPr>
      </w:pPr>
      <w:r w:rsidRPr="00EF3ECB">
        <w:rPr>
          <w:rFonts w:eastAsiaTheme="minorHAnsi" w:cs="Arial"/>
          <w:color w:val="000000" w:themeColor="text1"/>
          <w:szCs w:val="22"/>
          <w:lang w:val="en-GB" w:eastAsia="en-US"/>
        </w:rPr>
        <w:t xml:space="preserve">Unrounded </w:t>
      </w:r>
      <w:r w:rsidR="00345E14" w:rsidRPr="00EF3ECB">
        <w:rPr>
          <w:rFonts w:eastAsiaTheme="minorHAnsi" w:cs="Arial"/>
          <w:color w:val="000000" w:themeColor="text1"/>
          <w:szCs w:val="22"/>
          <w:lang w:val="en-GB" w:eastAsia="en-US"/>
        </w:rPr>
        <w:t xml:space="preserve">net position per </w:t>
      </w:r>
      <w:r w:rsidR="00B86CEB" w:rsidRPr="00EF3ECB">
        <w:rPr>
          <w:rFonts w:eastAsiaTheme="minorHAnsi" w:cs="Arial"/>
          <w:color w:val="000000" w:themeColor="text1"/>
          <w:szCs w:val="22"/>
          <w:lang w:val="en-GB" w:eastAsia="en-US"/>
        </w:rPr>
        <w:t>Bidding Zone</w:t>
      </w:r>
      <w:r w:rsidR="00345E14" w:rsidRPr="00EF3ECB">
        <w:rPr>
          <w:rFonts w:eastAsiaTheme="minorHAnsi" w:cs="Arial"/>
          <w:color w:val="000000" w:themeColor="text1"/>
          <w:szCs w:val="22"/>
          <w:lang w:val="en-GB" w:eastAsia="en-US"/>
        </w:rPr>
        <w:t xml:space="preserve">; </w:t>
      </w:r>
    </w:p>
    <w:p w14:paraId="48CB1128" w14:textId="77777777" w:rsidR="00771C1B" w:rsidRPr="00EF3ECB" w:rsidRDefault="00E84A97" w:rsidP="00F8788D">
      <w:pPr>
        <w:pStyle w:val="ListParagraph"/>
        <w:numPr>
          <w:ilvl w:val="0"/>
          <w:numId w:val="2"/>
        </w:numPr>
        <w:spacing w:before="100" w:beforeAutospacing="1" w:after="100" w:afterAutospacing="1" w:line="276" w:lineRule="auto"/>
        <w:ind w:left="720" w:hanging="294"/>
        <w:jc w:val="both"/>
        <w:rPr>
          <w:rFonts w:cstheme="minorHAnsi"/>
          <w:color w:val="000000" w:themeColor="text1"/>
          <w:lang w:val="en-GB"/>
        </w:rPr>
      </w:pPr>
      <w:r w:rsidRPr="00EF3ECB">
        <w:rPr>
          <w:rFonts w:cstheme="minorHAnsi"/>
          <w:color w:val="000000" w:themeColor="text1"/>
          <w:lang w:val="en-GB"/>
        </w:rPr>
        <w:t>A single clearing price for each Bidding Zone and market time unit in EUR/MWh</w:t>
      </w:r>
      <w:r w:rsidR="00771C1B" w:rsidRPr="00EF3ECB">
        <w:rPr>
          <w:rFonts w:cstheme="minorHAnsi"/>
          <w:color w:val="000000" w:themeColor="text1"/>
          <w:lang w:val="en-GB"/>
        </w:rPr>
        <w:t xml:space="preserve"> </w:t>
      </w:r>
    </w:p>
    <w:p w14:paraId="37C0F8AC" w14:textId="0317F2D2" w:rsidR="00771C1B" w:rsidRPr="00EF3ECB" w:rsidRDefault="00771C1B" w:rsidP="00F8788D">
      <w:pPr>
        <w:pStyle w:val="ListParagraph"/>
        <w:numPr>
          <w:ilvl w:val="0"/>
          <w:numId w:val="2"/>
        </w:numPr>
        <w:spacing w:before="100" w:beforeAutospacing="1" w:after="100" w:afterAutospacing="1" w:line="276" w:lineRule="auto"/>
        <w:ind w:left="720" w:hanging="294"/>
        <w:jc w:val="both"/>
        <w:rPr>
          <w:rFonts w:cstheme="minorHAnsi"/>
          <w:color w:val="000000" w:themeColor="text1"/>
          <w:lang w:val="en-GB"/>
        </w:rPr>
      </w:pPr>
      <w:r w:rsidRPr="00EF3ECB">
        <w:rPr>
          <w:rFonts w:cstheme="minorHAnsi"/>
          <w:color w:val="000000" w:themeColor="text1"/>
          <w:lang w:val="en-GB"/>
        </w:rPr>
        <w:t>Allocated capacities in form of Scheduled Flows for each bidding zone border</w:t>
      </w:r>
    </w:p>
    <w:p w14:paraId="593FE7DC" w14:textId="77777777" w:rsidR="00771C1B" w:rsidRPr="00EF3ECB" w:rsidRDefault="00771C1B" w:rsidP="00771C1B">
      <w:pPr>
        <w:pStyle w:val="ListParagraph"/>
        <w:spacing w:before="100" w:beforeAutospacing="1" w:after="100" w:afterAutospacing="1" w:line="276" w:lineRule="auto"/>
        <w:jc w:val="both"/>
        <w:rPr>
          <w:rFonts w:cstheme="minorHAnsi"/>
          <w:color w:val="000000" w:themeColor="text1"/>
          <w:lang w:val="en-GB"/>
        </w:rPr>
      </w:pPr>
    </w:p>
    <w:p w14:paraId="6651CAF0" w14:textId="46EA6C17" w:rsidR="00C848E1" w:rsidRPr="00EF3ECB" w:rsidRDefault="00AD3173" w:rsidP="00C9634E">
      <w:pPr>
        <w:spacing w:line="276" w:lineRule="auto"/>
        <w:jc w:val="both"/>
        <w:rPr>
          <w:rFonts w:eastAsiaTheme="minorHAnsi" w:cs="Arial"/>
          <w:color w:val="000000" w:themeColor="text1"/>
          <w:szCs w:val="22"/>
          <w:lang w:val="en-GB" w:eastAsia="en-US"/>
        </w:rPr>
      </w:pPr>
      <w:r w:rsidRPr="00EF3ECB">
        <w:rPr>
          <w:rFonts w:eastAsiaTheme="minorHAnsi" w:cs="Arial"/>
          <w:color w:val="000000" w:themeColor="text1"/>
          <w:szCs w:val="22"/>
          <w:lang w:val="en-GB" w:eastAsia="en-US"/>
        </w:rPr>
        <w:t>The information requirements listed above are essential for both</w:t>
      </w:r>
      <w:r w:rsidR="00C848E1" w:rsidRPr="00EF3ECB">
        <w:rPr>
          <w:rFonts w:eastAsiaTheme="minorHAnsi" w:cs="Arial"/>
          <w:color w:val="000000" w:themeColor="text1"/>
          <w:szCs w:val="22"/>
          <w:lang w:val="en-GB" w:eastAsia="en-US"/>
        </w:rPr>
        <w:t>,</w:t>
      </w:r>
      <w:r w:rsidRPr="00EF3ECB">
        <w:rPr>
          <w:rFonts w:eastAsiaTheme="minorHAnsi" w:cs="Arial"/>
          <w:color w:val="000000" w:themeColor="text1"/>
          <w:szCs w:val="22"/>
          <w:lang w:val="en-GB" w:eastAsia="en-US"/>
        </w:rPr>
        <w:t xml:space="preserve"> the calculation of </w:t>
      </w:r>
      <w:r w:rsidR="00543D26" w:rsidRPr="00EF3ECB">
        <w:rPr>
          <w:rFonts w:eastAsiaTheme="minorHAnsi" w:cs="Arial"/>
          <w:color w:val="000000" w:themeColor="text1"/>
          <w:szCs w:val="22"/>
          <w:lang w:val="en-GB" w:eastAsia="en-US"/>
        </w:rPr>
        <w:t>Scheduled Exchanges</w:t>
      </w:r>
      <w:r w:rsidRPr="00EF3ECB">
        <w:rPr>
          <w:rFonts w:eastAsiaTheme="minorHAnsi" w:cs="Arial"/>
          <w:color w:val="000000" w:themeColor="text1"/>
          <w:szCs w:val="22"/>
          <w:lang w:val="en-GB" w:eastAsia="en-US"/>
        </w:rPr>
        <w:t xml:space="preserve"> by the </w:t>
      </w:r>
      <w:r w:rsidR="009219FE" w:rsidRPr="00EF3ECB">
        <w:rPr>
          <w:rFonts w:eastAsiaTheme="minorHAnsi" w:cs="Arial"/>
          <w:color w:val="000000" w:themeColor="text1"/>
          <w:szCs w:val="22"/>
          <w:lang w:val="en-GB" w:eastAsia="en-US"/>
        </w:rPr>
        <w:t>Scheduled Exchange</w:t>
      </w:r>
      <w:r w:rsidRPr="00EF3ECB">
        <w:rPr>
          <w:rFonts w:eastAsiaTheme="minorHAnsi" w:cs="Arial"/>
          <w:color w:val="000000" w:themeColor="text1"/>
          <w:szCs w:val="22"/>
          <w:lang w:val="en-GB" w:eastAsia="en-US"/>
        </w:rPr>
        <w:t xml:space="preserve"> Calculator and the post calculation verification tasks</w:t>
      </w:r>
      <w:r w:rsidR="00C848E1" w:rsidRPr="00EF3ECB">
        <w:rPr>
          <w:rFonts w:eastAsiaTheme="minorHAnsi" w:cs="Arial"/>
          <w:color w:val="000000" w:themeColor="text1"/>
          <w:szCs w:val="22"/>
          <w:lang w:val="en-GB" w:eastAsia="en-US"/>
        </w:rPr>
        <w:t>,</w:t>
      </w:r>
      <w:r w:rsidRPr="00EF3ECB">
        <w:rPr>
          <w:rFonts w:eastAsiaTheme="minorHAnsi" w:cs="Arial"/>
          <w:color w:val="000000" w:themeColor="text1"/>
          <w:szCs w:val="22"/>
          <w:lang w:val="en-GB" w:eastAsia="en-US"/>
        </w:rPr>
        <w:t xml:space="preserve"> to ensure</w:t>
      </w:r>
      <w:r w:rsidR="00C848E1" w:rsidRPr="00EF3ECB">
        <w:rPr>
          <w:rFonts w:eastAsiaTheme="minorHAnsi" w:cs="Arial"/>
          <w:color w:val="000000" w:themeColor="text1"/>
          <w:szCs w:val="22"/>
          <w:lang w:val="en-GB" w:eastAsia="en-US"/>
        </w:rPr>
        <w:t>,</w:t>
      </w:r>
      <w:r w:rsidRPr="00EF3ECB">
        <w:rPr>
          <w:rFonts w:eastAsiaTheme="minorHAnsi" w:cs="Arial"/>
          <w:color w:val="000000" w:themeColor="text1"/>
          <w:szCs w:val="22"/>
          <w:lang w:val="en-GB" w:eastAsia="en-US"/>
        </w:rPr>
        <w:t xml:space="preserve"> that the aggregated sum of all </w:t>
      </w:r>
      <w:r w:rsidR="00543D26" w:rsidRPr="00EF3ECB">
        <w:rPr>
          <w:rFonts w:eastAsiaTheme="minorHAnsi" w:cs="Arial"/>
          <w:color w:val="000000" w:themeColor="text1"/>
          <w:szCs w:val="22"/>
          <w:lang w:val="en-GB" w:eastAsia="en-US"/>
        </w:rPr>
        <w:t>Scheduled Exchanges</w:t>
      </w:r>
      <w:r w:rsidRPr="00EF3ECB">
        <w:rPr>
          <w:rFonts w:eastAsiaTheme="minorHAnsi" w:cs="Arial"/>
          <w:color w:val="000000" w:themeColor="text1"/>
          <w:szCs w:val="22"/>
          <w:lang w:val="en-GB" w:eastAsia="en-US"/>
        </w:rPr>
        <w:t xml:space="preserve"> per </w:t>
      </w:r>
      <w:r w:rsidR="006101E1" w:rsidRPr="00EF3ECB">
        <w:rPr>
          <w:rFonts w:eastAsiaTheme="minorHAnsi" w:cs="Arial"/>
          <w:color w:val="000000" w:themeColor="text1"/>
          <w:szCs w:val="22"/>
          <w:lang w:val="en-GB" w:eastAsia="en-US"/>
        </w:rPr>
        <w:t>Bidding Zone</w:t>
      </w:r>
      <w:r w:rsidR="006F2FA9" w:rsidRPr="00EF3ECB">
        <w:rPr>
          <w:rFonts w:eastAsiaTheme="minorHAnsi" w:cs="Arial"/>
          <w:color w:val="000000" w:themeColor="text1"/>
          <w:szCs w:val="22"/>
          <w:lang w:val="en-GB" w:eastAsia="en-US"/>
        </w:rPr>
        <w:t xml:space="preserve"> or </w:t>
      </w:r>
      <w:r w:rsidR="006101E1" w:rsidRPr="00EF3ECB">
        <w:rPr>
          <w:rFonts w:eastAsiaTheme="minorHAnsi" w:cs="Arial"/>
          <w:color w:val="000000" w:themeColor="text1"/>
          <w:szCs w:val="22"/>
          <w:lang w:val="en-GB" w:eastAsia="en-US"/>
        </w:rPr>
        <w:t>Scheduling Area</w:t>
      </w:r>
      <w:r w:rsidRPr="00EF3ECB">
        <w:rPr>
          <w:rFonts w:eastAsiaTheme="minorHAnsi" w:cs="Arial"/>
          <w:color w:val="000000" w:themeColor="text1"/>
          <w:szCs w:val="22"/>
          <w:lang w:val="en-GB" w:eastAsia="en-US"/>
        </w:rPr>
        <w:t xml:space="preserve"> border is equal to the net position of that </w:t>
      </w:r>
      <w:r w:rsidR="006101E1" w:rsidRPr="00EF3ECB">
        <w:rPr>
          <w:rFonts w:eastAsiaTheme="minorHAnsi" w:cs="Arial"/>
          <w:color w:val="000000" w:themeColor="text1"/>
          <w:szCs w:val="22"/>
          <w:lang w:val="en-GB" w:eastAsia="en-US"/>
        </w:rPr>
        <w:t>Bidding Zone</w:t>
      </w:r>
      <w:r w:rsidR="006F2FA9" w:rsidRPr="00EF3ECB">
        <w:rPr>
          <w:rFonts w:eastAsiaTheme="minorHAnsi" w:cs="Arial"/>
          <w:color w:val="000000" w:themeColor="text1"/>
          <w:szCs w:val="22"/>
          <w:lang w:val="en-GB" w:eastAsia="en-US"/>
        </w:rPr>
        <w:t xml:space="preserve"> or </w:t>
      </w:r>
      <w:r w:rsidR="006101E1" w:rsidRPr="00EF3ECB">
        <w:rPr>
          <w:rFonts w:eastAsiaTheme="minorHAnsi" w:cs="Arial"/>
          <w:color w:val="000000" w:themeColor="text1"/>
          <w:szCs w:val="22"/>
          <w:lang w:val="en-GB" w:eastAsia="en-US"/>
        </w:rPr>
        <w:t>Scheduling Area</w:t>
      </w:r>
      <w:r w:rsidRPr="00EF3ECB">
        <w:rPr>
          <w:rFonts w:eastAsiaTheme="minorHAnsi" w:cs="Arial"/>
          <w:color w:val="000000" w:themeColor="text1"/>
          <w:szCs w:val="22"/>
          <w:lang w:val="en-GB" w:eastAsia="en-US"/>
        </w:rPr>
        <w:t xml:space="preserve">. </w:t>
      </w:r>
    </w:p>
    <w:p w14:paraId="6CFB5803" w14:textId="716A12DF" w:rsidR="00AD3173" w:rsidRPr="00EF3ECB" w:rsidRDefault="00AD3173" w:rsidP="00C9634E">
      <w:pPr>
        <w:spacing w:line="276" w:lineRule="auto"/>
        <w:jc w:val="both"/>
        <w:rPr>
          <w:rFonts w:eastAsiaTheme="minorHAnsi" w:cs="Arial"/>
          <w:color w:val="000000" w:themeColor="text1"/>
          <w:szCs w:val="22"/>
          <w:lang w:val="en-GB" w:eastAsia="en-US"/>
        </w:rPr>
      </w:pPr>
      <w:r w:rsidRPr="00EF3ECB">
        <w:rPr>
          <w:rFonts w:eastAsiaTheme="minorHAnsi" w:cs="Arial"/>
          <w:color w:val="000000" w:themeColor="text1"/>
          <w:szCs w:val="22"/>
          <w:lang w:val="en-GB" w:eastAsia="en-US"/>
        </w:rPr>
        <w:t xml:space="preserve">These information requirements are also in line with </w:t>
      </w:r>
      <w:r w:rsidR="00C848E1" w:rsidRPr="00EF3ECB">
        <w:rPr>
          <w:rFonts w:eastAsiaTheme="minorHAnsi" w:cs="Arial"/>
          <w:color w:val="000000" w:themeColor="text1"/>
          <w:szCs w:val="22"/>
          <w:lang w:val="en-GB" w:eastAsia="en-US"/>
        </w:rPr>
        <w:t>the All NEMOs’ proposal for the price coupling algori</w:t>
      </w:r>
      <w:r w:rsidR="00F0280E">
        <w:rPr>
          <w:rFonts w:eastAsiaTheme="minorHAnsi" w:cs="Arial"/>
          <w:color w:val="000000" w:themeColor="text1"/>
          <w:szCs w:val="22"/>
          <w:lang w:val="en-GB" w:eastAsia="en-US"/>
        </w:rPr>
        <w:t>thm in accordance with Article</w:t>
      </w:r>
      <w:r w:rsidR="00C848E1" w:rsidRPr="00EF3ECB">
        <w:rPr>
          <w:rFonts w:eastAsiaTheme="minorHAnsi" w:cs="Arial"/>
          <w:color w:val="000000" w:themeColor="text1"/>
          <w:szCs w:val="22"/>
          <w:lang w:val="en-GB" w:eastAsia="en-US"/>
        </w:rPr>
        <w:t xml:space="preserve"> 37 (5)</w:t>
      </w:r>
      <w:r w:rsidR="008E7442">
        <w:rPr>
          <w:rFonts w:eastAsiaTheme="minorHAnsi" w:cs="Arial"/>
          <w:color w:val="000000" w:themeColor="text1"/>
          <w:szCs w:val="22"/>
          <w:lang w:val="en-GB" w:eastAsia="en-US"/>
        </w:rPr>
        <w:t xml:space="preserve"> of the CACM Regulation</w:t>
      </w:r>
      <w:r w:rsidR="00C848E1" w:rsidRPr="00EF3ECB">
        <w:rPr>
          <w:rFonts w:eastAsiaTheme="minorHAnsi" w:cs="Arial"/>
          <w:color w:val="000000" w:themeColor="text1"/>
          <w:szCs w:val="22"/>
          <w:lang w:val="en-GB" w:eastAsia="en-US"/>
        </w:rPr>
        <w:t xml:space="preserve">. </w:t>
      </w:r>
    </w:p>
    <w:p w14:paraId="472315B4" w14:textId="5EB67AC2" w:rsidR="00E84A97" w:rsidRPr="00EF3ECB" w:rsidRDefault="00E84A97" w:rsidP="00C9634E">
      <w:pPr>
        <w:spacing w:line="276" w:lineRule="auto"/>
        <w:jc w:val="both"/>
        <w:rPr>
          <w:rFonts w:eastAsiaTheme="minorHAnsi" w:cs="Arial"/>
          <w:color w:val="000000" w:themeColor="text1"/>
          <w:szCs w:val="22"/>
          <w:lang w:val="en-GB" w:eastAsia="en-US"/>
        </w:rPr>
      </w:pPr>
    </w:p>
    <w:p w14:paraId="73BCA634" w14:textId="2FCD6B66" w:rsidR="00E84A97" w:rsidRPr="00EF3ECB" w:rsidRDefault="00E84A97" w:rsidP="00C9634E">
      <w:pPr>
        <w:spacing w:line="276" w:lineRule="auto"/>
        <w:jc w:val="both"/>
        <w:rPr>
          <w:rFonts w:eastAsiaTheme="minorHAnsi" w:cs="Arial"/>
          <w:color w:val="000000" w:themeColor="text1"/>
          <w:szCs w:val="22"/>
          <w:lang w:val="en-GB" w:eastAsia="en-US"/>
        </w:rPr>
      </w:pPr>
      <w:r w:rsidRPr="00EF3ECB">
        <w:rPr>
          <w:rFonts w:eastAsiaTheme="minorHAnsi" w:cs="Arial"/>
          <w:color w:val="000000" w:themeColor="text1"/>
          <w:szCs w:val="22"/>
          <w:lang w:val="en-GB" w:eastAsia="en-US"/>
        </w:rPr>
        <w:t xml:space="preserve">In general, DC </w:t>
      </w:r>
      <w:r w:rsidR="00543D26" w:rsidRPr="00EF3ECB">
        <w:rPr>
          <w:rFonts w:eastAsiaTheme="minorHAnsi" w:cs="Arial"/>
          <w:color w:val="000000" w:themeColor="text1"/>
          <w:szCs w:val="22"/>
          <w:lang w:val="en-GB" w:eastAsia="en-US"/>
        </w:rPr>
        <w:t>network elements</w:t>
      </w:r>
      <w:r w:rsidRPr="00EF3ECB">
        <w:rPr>
          <w:rFonts w:eastAsiaTheme="minorHAnsi" w:cs="Arial"/>
          <w:color w:val="000000" w:themeColor="text1"/>
          <w:szCs w:val="22"/>
          <w:lang w:val="en-GB" w:eastAsia="en-US"/>
        </w:rPr>
        <w:t xml:space="preserve"> shall use the output of the Day Ahead coupling processes (allocated capacities, in the form of </w:t>
      </w:r>
      <w:r w:rsidR="002E0420" w:rsidRPr="00EF3ECB">
        <w:rPr>
          <w:rFonts w:eastAsiaTheme="minorHAnsi" w:cs="Arial"/>
          <w:color w:val="000000" w:themeColor="text1"/>
          <w:szCs w:val="22"/>
          <w:lang w:val="en-GB" w:eastAsia="en-US"/>
        </w:rPr>
        <w:t>Scheduled Flow</w:t>
      </w:r>
      <w:r w:rsidRPr="00EF3ECB">
        <w:rPr>
          <w:rFonts w:eastAsiaTheme="minorHAnsi" w:cs="Arial"/>
          <w:color w:val="000000" w:themeColor="text1"/>
          <w:szCs w:val="22"/>
          <w:lang w:val="en-GB" w:eastAsia="en-US"/>
        </w:rPr>
        <w:t xml:space="preserve"> into and out of individual relevant DC network elements (difference in flows in/out reflecting losses where applicable)) rather than a separate Scheduled Exchange Calculation Methodology. For example, this is the implementation planned for the SEM-GB</w:t>
      </w:r>
      <w:r w:rsidRPr="00EF3ECB">
        <w:rPr>
          <w:rStyle w:val="FootnoteReference"/>
          <w:rFonts w:eastAsiaTheme="minorHAnsi" w:cs="Arial"/>
          <w:color w:val="000000" w:themeColor="text1"/>
          <w:szCs w:val="22"/>
          <w:lang w:val="en-GB" w:eastAsia="en-US"/>
        </w:rPr>
        <w:footnoteReference w:id="2"/>
      </w:r>
      <w:r w:rsidRPr="00EF3ECB">
        <w:rPr>
          <w:rFonts w:eastAsiaTheme="minorHAnsi" w:cs="Arial"/>
          <w:color w:val="000000" w:themeColor="text1"/>
          <w:szCs w:val="22"/>
          <w:lang w:val="en-GB" w:eastAsia="en-US"/>
        </w:rPr>
        <w:t xml:space="preserve"> border where there are two DC </w:t>
      </w:r>
      <w:r w:rsidR="00543D26" w:rsidRPr="00EF3ECB">
        <w:rPr>
          <w:rFonts w:eastAsiaTheme="minorHAnsi" w:cs="Arial"/>
          <w:color w:val="000000" w:themeColor="text1"/>
          <w:szCs w:val="22"/>
          <w:lang w:val="en-GB" w:eastAsia="en-US"/>
        </w:rPr>
        <w:t>network elements</w:t>
      </w:r>
      <w:r w:rsidRPr="00EF3ECB">
        <w:rPr>
          <w:rFonts w:eastAsiaTheme="minorHAnsi" w:cs="Arial"/>
          <w:color w:val="000000" w:themeColor="text1"/>
          <w:szCs w:val="22"/>
          <w:lang w:val="en-GB" w:eastAsia="en-US"/>
        </w:rPr>
        <w:t xml:space="preserve"> on the same bidding zone border. The relevant NEMO(s) will provide an output from Day Ahead algorithm post-processing reflecting the flows on each DC </w:t>
      </w:r>
      <w:r w:rsidR="00543D26" w:rsidRPr="00EF3ECB">
        <w:rPr>
          <w:rFonts w:eastAsiaTheme="minorHAnsi" w:cs="Arial"/>
          <w:color w:val="000000" w:themeColor="text1"/>
          <w:szCs w:val="22"/>
          <w:lang w:val="en-GB" w:eastAsia="en-US"/>
        </w:rPr>
        <w:t>network element</w:t>
      </w:r>
      <w:r w:rsidRPr="00EF3ECB">
        <w:rPr>
          <w:rFonts w:eastAsiaTheme="minorHAnsi" w:cs="Arial"/>
          <w:color w:val="000000" w:themeColor="text1"/>
          <w:szCs w:val="22"/>
          <w:lang w:val="en-GB" w:eastAsia="en-US"/>
        </w:rPr>
        <w:t xml:space="preserve"> relative to each bidding zone. The difference between the bidding zone values will reflect the different loss factors on each DC </w:t>
      </w:r>
      <w:r w:rsidR="00543D26" w:rsidRPr="00EF3ECB">
        <w:rPr>
          <w:rFonts w:eastAsiaTheme="minorHAnsi" w:cs="Arial"/>
          <w:color w:val="000000" w:themeColor="text1"/>
          <w:szCs w:val="22"/>
          <w:lang w:val="en-GB" w:eastAsia="en-US"/>
        </w:rPr>
        <w:t>network element</w:t>
      </w:r>
      <w:r w:rsidRPr="00EF3ECB">
        <w:rPr>
          <w:rFonts w:eastAsiaTheme="minorHAnsi" w:cs="Arial"/>
          <w:color w:val="000000" w:themeColor="text1"/>
          <w:szCs w:val="22"/>
          <w:lang w:val="en-GB" w:eastAsia="en-US"/>
        </w:rPr>
        <w:t>. The implementation also ensures validation of the data through related processes such as results verification.</w:t>
      </w:r>
    </w:p>
    <w:p w14:paraId="1BD80991" w14:textId="77777777" w:rsidR="00CB4C37" w:rsidRPr="00EF3ECB" w:rsidRDefault="00CB4C37" w:rsidP="00C9634E">
      <w:pPr>
        <w:spacing w:line="276" w:lineRule="auto"/>
        <w:jc w:val="both"/>
        <w:rPr>
          <w:rFonts w:eastAsiaTheme="minorHAnsi" w:cs="Arial"/>
          <w:color w:val="000000" w:themeColor="text1"/>
          <w:szCs w:val="22"/>
          <w:lang w:val="en-GB" w:eastAsia="en-US"/>
        </w:rPr>
      </w:pPr>
    </w:p>
    <w:p w14:paraId="49F3CF19" w14:textId="4CEDC2BE" w:rsidR="00CB4C37" w:rsidRPr="00EF3ECB" w:rsidRDefault="00CB4C37" w:rsidP="00C9634E">
      <w:pPr>
        <w:spacing w:line="276" w:lineRule="auto"/>
        <w:jc w:val="both"/>
        <w:rPr>
          <w:rFonts w:eastAsiaTheme="minorHAnsi" w:cs="Arial"/>
          <w:color w:val="000000" w:themeColor="text1"/>
          <w:szCs w:val="22"/>
          <w:lang w:val="en-GB" w:eastAsia="en-US"/>
        </w:rPr>
      </w:pPr>
      <w:r w:rsidRPr="00EF3ECB">
        <w:rPr>
          <w:rFonts w:eastAsiaTheme="minorHAnsi" w:cs="Arial"/>
          <w:color w:val="000000" w:themeColor="text1"/>
          <w:szCs w:val="22"/>
          <w:lang w:val="en-GB" w:eastAsia="en-US"/>
        </w:rPr>
        <w:t>For cross border DC interconnectors within an area applying flow based and where the impact of an exchange over the DC Interconnector is considered during flow based allocation, the Scheduled Exchanges over the respective bidding zone border may differ from the Scheduled Flow over the interconnector. This allows, if configured as such, a calculation based only on net positions of the scheduling area</w:t>
      </w:r>
      <w:r w:rsidR="006F2FA9" w:rsidRPr="00EF3ECB">
        <w:rPr>
          <w:rFonts w:eastAsiaTheme="minorHAnsi" w:cs="Arial"/>
          <w:color w:val="000000" w:themeColor="text1"/>
          <w:szCs w:val="22"/>
          <w:lang w:val="en-GB" w:eastAsia="en-US"/>
        </w:rPr>
        <w:t xml:space="preserve"> and </w:t>
      </w:r>
      <w:r w:rsidRPr="00EF3ECB">
        <w:rPr>
          <w:rFonts w:eastAsiaTheme="minorHAnsi" w:cs="Arial"/>
          <w:color w:val="000000" w:themeColor="text1"/>
          <w:szCs w:val="22"/>
          <w:lang w:val="en-GB" w:eastAsia="en-US"/>
        </w:rPr>
        <w:t>bidding zone, a set of constraints and allocated capacities in the form of Scheduled Flows on relevant bidding zone borders (as for other AC interconnectors).</w:t>
      </w:r>
    </w:p>
    <w:p w14:paraId="1C46AF0E" w14:textId="77777777" w:rsidR="00E84A97" w:rsidRPr="00EF3ECB" w:rsidRDefault="00E84A97" w:rsidP="00C9634E">
      <w:pPr>
        <w:spacing w:line="276" w:lineRule="auto"/>
        <w:jc w:val="both"/>
        <w:rPr>
          <w:rFonts w:eastAsiaTheme="minorHAnsi" w:cs="Arial"/>
          <w:color w:val="000000" w:themeColor="text1"/>
          <w:szCs w:val="22"/>
          <w:lang w:val="en-GB" w:eastAsia="en-US"/>
        </w:rPr>
      </w:pPr>
    </w:p>
    <w:p w14:paraId="016C53C5" w14:textId="7E6FD675" w:rsidR="00DB6F26" w:rsidRPr="00EF3ECB" w:rsidRDefault="00DB6F26" w:rsidP="00F8788D">
      <w:pPr>
        <w:pStyle w:val="Heading1"/>
        <w:numPr>
          <w:ilvl w:val="0"/>
          <w:numId w:val="1"/>
        </w:numPr>
        <w:spacing w:before="0" w:line="276" w:lineRule="auto"/>
        <w:ind w:left="0" w:firstLine="0"/>
        <w:jc w:val="both"/>
        <w:rPr>
          <w:rFonts w:ascii="Arial" w:hAnsi="Arial" w:cs="Arial"/>
          <w:lang w:val="en-GB"/>
        </w:rPr>
      </w:pPr>
      <w:bookmarkStart w:id="19" w:name="_Toc507425373"/>
      <w:r w:rsidRPr="00EF3ECB">
        <w:rPr>
          <w:rFonts w:ascii="Arial" w:hAnsi="Arial" w:cs="Arial"/>
          <w:lang w:val="en-GB"/>
        </w:rPr>
        <w:t xml:space="preserve">Downstream Uses for </w:t>
      </w:r>
      <w:r w:rsidR="00543D26" w:rsidRPr="00EF3ECB">
        <w:rPr>
          <w:rFonts w:ascii="Arial" w:hAnsi="Arial" w:cs="Arial"/>
          <w:lang w:val="en-GB"/>
        </w:rPr>
        <w:t>Scheduled Exchanges</w:t>
      </w:r>
      <w:bookmarkEnd w:id="19"/>
    </w:p>
    <w:p w14:paraId="6D2CB98A" w14:textId="77777777" w:rsidR="00031540" w:rsidRPr="00EF3ECB" w:rsidRDefault="00031540" w:rsidP="00C9634E">
      <w:pPr>
        <w:spacing w:line="276" w:lineRule="auto"/>
        <w:jc w:val="both"/>
        <w:rPr>
          <w:lang w:val="en-GB"/>
        </w:rPr>
      </w:pPr>
    </w:p>
    <w:p w14:paraId="33D6569A" w14:textId="1161E1EF" w:rsidR="00AE4485" w:rsidRPr="00EF3ECB" w:rsidRDefault="00AE4485" w:rsidP="00C9634E">
      <w:pPr>
        <w:spacing w:line="276" w:lineRule="auto"/>
        <w:jc w:val="both"/>
        <w:rPr>
          <w:rFonts w:cs="Arial"/>
          <w:lang w:val="en-GB"/>
        </w:rPr>
      </w:pPr>
      <w:r w:rsidRPr="00EF3ECB">
        <w:rPr>
          <w:rFonts w:cs="Arial"/>
          <w:lang w:val="en-GB"/>
        </w:rPr>
        <w:t xml:space="preserve">There are three identified uses for </w:t>
      </w:r>
      <w:r w:rsidR="00543D26" w:rsidRPr="00EF3ECB">
        <w:rPr>
          <w:rFonts w:cs="Arial"/>
          <w:lang w:val="en-GB"/>
        </w:rPr>
        <w:t>Scheduled Exchanges</w:t>
      </w:r>
      <w:r w:rsidRPr="00EF3ECB">
        <w:rPr>
          <w:rFonts w:cs="Arial"/>
          <w:lang w:val="en-GB"/>
        </w:rPr>
        <w:t xml:space="preserve"> (resulting from either single day-ahead or intraday coupling) as shown in </w:t>
      </w:r>
      <w:r w:rsidR="00345A66" w:rsidRPr="00EF3ECB">
        <w:rPr>
          <w:rFonts w:cs="Arial"/>
          <w:highlight w:val="yellow"/>
          <w:lang w:val="en-GB"/>
        </w:rPr>
        <w:fldChar w:fldCharType="begin"/>
      </w:r>
      <w:r w:rsidR="00345A66" w:rsidRPr="00EF3ECB">
        <w:rPr>
          <w:rFonts w:cs="Arial"/>
          <w:highlight w:val="yellow"/>
          <w:lang w:val="en-GB"/>
        </w:rPr>
        <w:instrText xml:space="preserve"> REF _Ref466731456 \h </w:instrText>
      </w:r>
      <w:r w:rsidR="00031540" w:rsidRPr="00EF3ECB">
        <w:rPr>
          <w:rFonts w:cs="Arial"/>
          <w:highlight w:val="yellow"/>
          <w:lang w:val="en-GB"/>
        </w:rPr>
        <w:instrText xml:space="preserve"> \* MERGEFORMAT </w:instrText>
      </w:r>
      <w:r w:rsidR="00345A66" w:rsidRPr="00EF3ECB">
        <w:rPr>
          <w:rFonts w:cs="Arial"/>
          <w:highlight w:val="yellow"/>
          <w:lang w:val="en-GB"/>
        </w:rPr>
      </w:r>
      <w:r w:rsidR="00345A66" w:rsidRPr="00EF3ECB">
        <w:rPr>
          <w:rFonts w:cs="Arial"/>
          <w:highlight w:val="yellow"/>
          <w:lang w:val="en-GB"/>
        </w:rPr>
        <w:fldChar w:fldCharType="separate"/>
      </w:r>
      <w:r w:rsidR="00FC1305" w:rsidRPr="00EF3ECB">
        <w:rPr>
          <w:rFonts w:cs="Arial"/>
          <w:lang w:val="en-GB"/>
        </w:rPr>
        <w:t xml:space="preserve">Figure </w:t>
      </w:r>
      <w:r w:rsidR="00FC1305">
        <w:rPr>
          <w:rFonts w:cs="Arial"/>
          <w:noProof/>
          <w:lang w:val="en-GB"/>
        </w:rPr>
        <w:t>2</w:t>
      </w:r>
      <w:r w:rsidR="00345A66" w:rsidRPr="00EF3ECB">
        <w:rPr>
          <w:rFonts w:cs="Arial"/>
          <w:highlight w:val="yellow"/>
          <w:lang w:val="en-GB"/>
        </w:rPr>
        <w:fldChar w:fldCharType="end"/>
      </w:r>
      <w:r w:rsidR="00345A66" w:rsidRPr="00EF3ECB">
        <w:rPr>
          <w:rFonts w:cs="Arial"/>
          <w:lang w:val="en-GB"/>
        </w:rPr>
        <w:t xml:space="preserve"> </w:t>
      </w:r>
      <w:r w:rsidRPr="00EF3ECB">
        <w:rPr>
          <w:rFonts w:cs="Arial"/>
          <w:lang w:val="en-GB"/>
        </w:rPr>
        <w:t>below.</w:t>
      </w:r>
    </w:p>
    <w:p w14:paraId="40C527F7" w14:textId="77777777" w:rsidR="00AE4485" w:rsidRPr="00EF3ECB" w:rsidRDefault="00AE4485" w:rsidP="00C9634E">
      <w:pPr>
        <w:spacing w:line="276" w:lineRule="auto"/>
        <w:jc w:val="both"/>
        <w:rPr>
          <w:rFonts w:cs="Arial"/>
          <w:lang w:val="en-GB"/>
        </w:rPr>
      </w:pPr>
    </w:p>
    <w:p w14:paraId="669B01C9" w14:textId="77777777" w:rsidR="00345A66" w:rsidRPr="00EF3ECB" w:rsidRDefault="00AE4485" w:rsidP="00C9634E">
      <w:pPr>
        <w:keepNext/>
        <w:spacing w:line="276" w:lineRule="auto"/>
        <w:jc w:val="both"/>
        <w:rPr>
          <w:rFonts w:cs="Arial"/>
          <w:lang w:val="en-GB"/>
        </w:rPr>
      </w:pPr>
      <w:r w:rsidRPr="00EF3ECB">
        <w:rPr>
          <w:rFonts w:cs="Arial"/>
          <w:noProof/>
          <w:lang w:val="de-AT" w:eastAsia="de-AT"/>
        </w:rPr>
        <w:drawing>
          <wp:inline distT="0" distB="0" distL="0" distR="0" wp14:anchorId="2BF107E8" wp14:editId="58C9147A">
            <wp:extent cx="3746500" cy="2643634"/>
            <wp:effectExtent l="0" t="0" r="6350" b="444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48813" cy="2645266"/>
                    </a:xfrm>
                    <a:prstGeom prst="rect">
                      <a:avLst/>
                    </a:prstGeom>
                  </pic:spPr>
                </pic:pic>
              </a:graphicData>
            </a:graphic>
          </wp:inline>
        </w:drawing>
      </w:r>
    </w:p>
    <w:p w14:paraId="63A07673" w14:textId="036A13A1" w:rsidR="00AE4485" w:rsidRPr="00EF3ECB" w:rsidRDefault="00345A66" w:rsidP="00C9634E">
      <w:pPr>
        <w:pStyle w:val="Caption"/>
        <w:spacing w:after="0" w:line="276" w:lineRule="auto"/>
        <w:jc w:val="both"/>
        <w:rPr>
          <w:rFonts w:cs="Arial"/>
          <w:lang w:val="en-GB"/>
        </w:rPr>
      </w:pPr>
      <w:bookmarkStart w:id="20" w:name="_Ref466731456"/>
      <w:bookmarkStart w:id="21" w:name="_Ref466731450"/>
      <w:bookmarkStart w:id="22" w:name="_Toc505860278"/>
      <w:r w:rsidRPr="00EF3ECB">
        <w:rPr>
          <w:rFonts w:cs="Arial"/>
          <w:lang w:val="en-GB"/>
        </w:rPr>
        <w:t xml:space="preserve">Figure </w:t>
      </w:r>
      <w:r w:rsidRPr="00EF3ECB">
        <w:rPr>
          <w:rFonts w:cs="Arial"/>
          <w:lang w:val="en-GB"/>
        </w:rPr>
        <w:fldChar w:fldCharType="begin"/>
      </w:r>
      <w:r w:rsidRPr="00EF3ECB">
        <w:rPr>
          <w:rFonts w:cs="Arial"/>
          <w:lang w:val="en-GB"/>
        </w:rPr>
        <w:instrText xml:space="preserve"> SEQ Figure \* ARABIC </w:instrText>
      </w:r>
      <w:r w:rsidRPr="00EF3ECB">
        <w:rPr>
          <w:rFonts w:cs="Arial"/>
          <w:lang w:val="en-GB"/>
        </w:rPr>
        <w:fldChar w:fldCharType="separate"/>
      </w:r>
      <w:r w:rsidR="00FC1305">
        <w:rPr>
          <w:rFonts w:cs="Arial"/>
          <w:noProof/>
          <w:lang w:val="en-GB"/>
        </w:rPr>
        <w:t>2</w:t>
      </w:r>
      <w:r w:rsidRPr="00EF3ECB">
        <w:rPr>
          <w:rFonts w:cs="Arial"/>
          <w:lang w:val="en-GB"/>
        </w:rPr>
        <w:fldChar w:fldCharType="end"/>
      </w:r>
      <w:bookmarkEnd w:id="20"/>
      <w:r w:rsidR="00DD3059" w:rsidRPr="00EF3ECB">
        <w:rPr>
          <w:rFonts w:cs="Arial"/>
          <w:lang w:val="en-GB"/>
        </w:rPr>
        <w:t>:</w:t>
      </w:r>
      <w:r w:rsidRPr="00EF3ECB">
        <w:rPr>
          <w:rFonts w:cs="Arial"/>
          <w:lang w:val="en-GB"/>
        </w:rPr>
        <w:t xml:space="preserve"> Downstream Uses for </w:t>
      </w:r>
      <w:bookmarkEnd w:id="21"/>
      <w:r w:rsidR="00543D26" w:rsidRPr="00EF3ECB">
        <w:rPr>
          <w:rFonts w:cs="Arial"/>
          <w:lang w:val="en-GB"/>
        </w:rPr>
        <w:t>Scheduled Exchanges</w:t>
      </w:r>
      <w:bookmarkEnd w:id="22"/>
    </w:p>
    <w:p w14:paraId="1DED1257" w14:textId="77777777" w:rsidR="00AE4485" w:rsidRPr="00EF3ECB" w:rsidRDefault="00AE4485" w:rsidP="00C9634E">
      <w:pPr>
        <w:spacing w:line="276" w:lineRule="auto"/>
        <w:jc w:val="both"/>
        <w:rPr>
          <w:rFonts w:cs="Arial"/>
          <w:lang w:val="en-GB"/>
        </w:rPr>
      </w:pPr>
    </w:p>
    <w:p w14:paraId="2AE5510C" w14:textId="5A9C029B" w:rsidR="00AE4485" w:rsidRPr="00EF3ECB" w:rsidRDefault="00AE4485" w:rsidP="00F8788D">
      <w:pPr>
        <w:pStyle w:val="Heading2"/>
        <w:numPr>
          <w:ilvl w:val="1"/>
          <w:numId w:val="1"/>
        </w:numPr>
        <w:spacing w:before="0" w:line="276" w:lineRule="auto"/>
        <w:ind w:left="0" w:firstLine="0"/>
        <w:jc w:val="both"/>
        <w:rPr>
          <w:rFonts w:ascii="Arial" w:hAnsi="Arial" w:cs="Arial"/>
          <w:lang w:val="en-GB"/>
        </w:rPr>
      </w:pPr>
      <w:bookmarkStart w:id="23" w:name="_Toc466631174"/>
      <w:bookmarkStart w:id="24" w:name="_Toc507425374"/>
      <w:r w:rsidRPr="00EF3ECB">
        <w:rPr>
          <w:rFonts w:ascii="Arial" w:hAnsi="Arial" w:cs="Arial"/>
          <w:lang w:val="en-GB"/>
        </w:rPr>
        <w:t>Shipping &amp; Scheduling</w:t>
      </w:r>
      <w:bookmarkEnd w:id="23"/>
      <w:bookmarkEnd w:id="24"/>
    </w:p>
    <w:p w14:paraId="67D6D7CB" w14:textId="77777777" w:rsidR="00031540" w:rsidRPr="00EF3ECB" w:rsidRDefault="00031540" w:rsidP="00C9634E">
      <w:pPr>
        <w:spacing w:line="276" w:lineRule="auto"/>
        <w:jc w:val="both"/>
        <w:rPr>
          <w:lang w:val="en-GB"/>
        </w:rPr>
      </w:pPr>
    </w:p>
    <w:p w14:paraId="3A63111A" w14:textId="7C933369" w:rsidR="00AE4485" w:rsidRPr="00EF3ECB" w:rsidRDefault="00543D26" w:rsidP="00C9634E">
      <w:pPr>
        <w:spacing w:line="276" w:lineRule="auto"/>
        <w:jc w:val="both"/>
        <w:rPr>
          <w:rFonts w:cs="Arial"/>
          <w:lang w:val="en-GB"/>
        </w:rPr>
      </w:pPr>
      <w:r w:rsidRPr="00EF3ECB">
        <w:rPr>
          <w:rFonts w:cs="Arial"/>
          <w:lang w:val="en-GB"/>
        </w:rPr>
        <w:t>Scheduled Exchanges</w:t>
      </w:r>
      <w:r w:rsidR="00AE4485" w:rsidRPr="00EF3ECB">
        <w:rPr>
          <w:rFonts w:cs="Arial"/>
          <w:lang w:val="en-GB"/>
        </w:rPr>
        <w:t xml:space="preserve"> serve as a basis for the shipping process, in which financial (commercial) and physical exchanges take place on the respective </w:t>
      </w:r>
      <w:r w:rsidR="00B86CEB" w:rsidRPr="00EF3ECB">
        <w:rPr>
          <w:rFonts w:cs="Arial"/>
          <w:lang w:val="en-GB"/>
        </w:rPr>
        <w:t>Bidding Zone</w:t>
      </w:r>
      <w:r w:rsidR="00AE4485" w:rsidRPr="00EF3ECB">
        <w:rPr>
          <w:rFonts w:cs="Arial"/>
          <w:lang w:val="en-GB"/>
        </w:rPr>
        <w:t xml:space="preserve"> or Scheduling Area border. Tasks related to cross-border physical and financial shipping could be performed together or separately by any legal entity, which could be different entities on each border, i.e. by CCPs or Scheduling Agents (of a Shipping Agent).</w:t>
      </w:r>
    </w:p>
    <w:p w14:paraId="38217FE8" w14:textId="77777777" w:rsidR="00031540" w:rsidRPr="00EF3ECB" w:rsidRDefault="00031540" w:rsidP="00C9634E">
      <w:pPr>
        <w:spacing w:line="276" w:lineRule="auto"/>
        <w:jc w:val="both"/>
        <w:rPr>
          <w:rFonts w:cs="Arial"/>
          <w:lang w:val="en-GB"/>
        </w:rPr>
      </w:pPr>
    </w:p>
    <w:p w14:paraId="0593E0D3" w14:textId="114A6BFE" w:rsidR="00AE4485" w:rsidRPr="00EF3ECB" w:rsidRDefault="00AE4485" w:rsidP="00F8788D">
      <w:pPr>
        <w:pStyle w:val="ListParagraph"/>
        <w:numPr>
          <w:ilvl w:val="0"/>
          <w:numId w:val="2"/>
        </w:numPr>
        <w:spacing w:line="276" w:lineRule="auto"/>
        <w:ind w:left="426" w:firstLine="0"/>
        <w:jc w:val="both"/>
        <w:rPr>
          <w:rFonts w:cs="Arial"/>
          <w:lang w:val="en-GB"/>
        </w:rPr>
      </w:pPr>
      <w:r w:rsidRPr="00EF3ECB">
        <w:rPr>
          <w:rFonts w:cs="Arial"/>
          <w:lang w:val="en-GB"/>
        </w:rPr>
        <w:t xml:space="preserve">Physical shipping in general means the task of transferring net positions between different Central Counter Parties in different scheduling areas in a form of </w:t>
      </w:r>
      <w:r w:rsidR="009219FE" w:rsidRPr="00EF3ECB">
        <w:rPr>
          <w:rFonts w:cs="Arial"/>
          <w:lang w:val="en-GB"/>
        </w:rPr>
        <w:t>Scheduled Exchange</w:t>
      </w:r>
      <w:r w:rsidRPr="00EF3ECB">
        <w:rPr>
          <w:rFonts w:cs="Arial"/>
          <w:lang w:val="en-GB"/>
        </w:rPr>
        <w:t xml:space="preserve">. The </w:t>
      </w:r>
      <w:r w:rsidR="009219FE" w:rsidRPr="00EF3ECB">
        <w:rPr>
          <w:rFonts w:cs="Arial"/>
          <w:lang w:val="en-GB"/>
        </w:rPr>
        <w:t>Scheduled Exchange</w:t>
      </w:r>
      <w:r w:rsidRPr="00EF3ECB">
        <w:rPr>
          <w:rFonts w:cs="Arial"/>
          <w:lang w:val="en-GB"/>
        </w:rPr>
        <w:t xml:space="preserve"> is equal to the net position as long as no other additional bilateral exchanges (in AC and/or DC) for this scheduling area and for this market coupling process occur</w:t>
      </w:r>
      <w:r w:rsidR="00F0280E">
        <w:rPr>
          <w:rFonts w:cs="Arial"/>
          <w:lang w:val="en-GB"/>
        </w:rPr>
        <w:t xml:space="preserve">. </w:t>
      </w:r>
      <w:r w:rsidRPr="00EF3ECB">
        <w:rPr>
          <w:rFonts w:cs="Arial"/>
          <w:lang w:val="en-GB"/>
        </w:rPr>
        <w:t>The Shipping process may consist of local (internal) and cross-border (external) shipping phase.</w:t>
      </w:r>
    </w:p>
    <w:p w14:paraId="1524B1FB" w14:textId="6C5A0587" w:rsidR="00AE4485" w:rsidRPr="00EF3ECB" w:rsidRDefault="00AE4485" w:rsidP="00F8788D">
      <w:pPr>
        <w:pStyle w:val="ListParagraph"/>
        <w:numPr>
          <w:ilvl w:val="0"/>
          <w:numId w:val="2"/>
        </w:numPr>
        <w:spacing w:line="276" w:lineRule="auto"/>
        <w:ind w:left="426" w:firstLine="0"/>
        <w:jc w:val="both"/>
        <w:rPr>
          <w:rFonts w:cs="Arial"/>
          <w:lang w:val="en-GB"/>
        </w:rPr>
      </w:pPr>
      <w:r w:rsidRPr="00EF3ECB">
        <w:rPr>
          <w:rFonts w:cs="Arial"/>
          <w:lang w:val="en-GB"/>
        </w:rPr>
        <w:t xml:space="preserve">Financial shipping means all activities related to the financial clearing and settlement of </w:t>
      </w:r>
      <w:r w:rsidR="00543D26" w:rsidRPr="00EF3ECB">
        <w:rPr>
          <w:rFonts w:cs="Arial"/>
          <w:lang w:val="en-GB"/>
        </w:rPr>
        <w:t>Scheduled Exchanges</w:t>
      </w:r>
      <w:r w:rsidRPr="00EF3ECB">
        <w:rPr>
          <w:rFonts w:cs="Arial"/>
          <w:lang w:val="en-GB"/>
        </w:rPr>
        <w:t xml:space="preserve"> between two different Central Counter Parties. Shipping fees and congestion income are based on this shipping information. </w:t>
      </w:r>
    </w:p>
    <w:p w14:paraId="5F7922C8" w14:textId="77777777" w:rsidR="00FA6F29" w:rsidRPr="00EF3ECB" w:rsidRDefault="00FA6F29" w:rsidP="0037730C">
      <w:pPr>
        <w:keepNext/>
        <w:spacing w:line="276" w:lineRule="auto"/>
        <w:jc w:val="both"/>
        <w:rPr>
          <w:rFonts w:cs="Arial"/>
          <w:lang w:val="en-GB"/>
        </w:rPr>
      </w:pPr>
    </w:p>
    <w:p w14:paraId="49B432A2" w14:textId="04972E34" w:rsidR="00AE4485" w:rsidRPr="00EF3ECB" w:rsidRDefault="00AE4485" w:rsidP="0037730C">
      <w:pPr>
        <w:spacing w:line="276" w:lineRule="auto"/>
        <w:jc w:val="both"/>
        <w:rPr>
          <w:rFonts w:cs="Arial"/>
          <w:lang w:val="en-GB"/>
        </w:rPr>
      </w:pPr>
      <w:r w:rsidRPr="00EF3ECB">
        <w:rPr>
          <w:rFonts w:cs="Arial"/>
          <w:lang w:val="en-GB"/>
        </w:rPr>
        <w:t>According to Article 8(2g)</w:t>
      </w:r>
      <w:r w:rsidR="008E7442">
        <w:rPr>
          <w:rFonts w:cs="Arial"/>
          <w:lang w:val="en-GB"/>
        </w:rPr>
        <w:t xml:space="preserve"> of the CACM Regulation</w:t>
      </w:r>
      <w:r w:rsidRPr="00EF3ECB">
        <w:rPr>
          <w:rFonts w:cs="Arial"/>
          <w:lang w:val="en-GB"/>
        </w:rPr>
        <w:t xml:space="preserve">, the TSOs shall establish </w:t>
      </w:r>
      <w:r w:rsidR="00543D26" w:rsidRPr="00EF3ECB">
        <w:rPr>
          <w:rFonts w:cs="Arial"/>
          <w:lang w:val="en-GB"/>
        </w:rPr>
        <w:t>S</w:t>
      </w:r>
      <w:r w:rsidRPr="00EF3ECB">
        <w:rPr>
          <w:rFonts w:cs="Arial"/>
          <w:lang w:val="en-GB"/>
        </w:rPr>
        <w:t xml:space="preserve">chedule </w:t>
      </w:r>
      <w:r w:rsidR="00543D26" w:rsidRPr="00EF3ECB">
        <w:rPr>
          <w:rFonts w:cs="Arial"/>
          <w:lang w:val="en-GB"/>
        </w:rPr>
        <w:t>E</w:t>
      </w:r>
      <w:r w:rsidRPr="00EF3ECB">
        <w:rPr>
          <w:rFonts w:cs="Arial"/>
          <w:lang w:val="en-GB"/>
        </w:rPr>
        <w:t xml:space="preserve">xchange </w:t>
      </w:r>
      <w:r w:rsidR="00543D26" w:rsidRPr="00EF3ECB">
        <w:rPr>
          <w:rFonts w:cs="Arial"/>
          <w:lang w:val="en-GB"/>
        </w:rPr>
        <w:t>C</w:t>
      </w:r>
      <w:r w:rsidRPr="00EF3ECB">
        <w:rPr>
          <w:rFonts w:cs="Arial"/>
          <w:lang w:val="en-GB"/>
        </w:rPr>
        <w:t xml:space="preserve">alculators for calculating and publishing </w:t>
      </w:r>
      <w:r w:rsidR="00543D26" w:rsidRPr="00EF3ECB">
        <w:rPr>
          <w:rFonts w:cs="Arial"/>
          <w:lang w:val="en-GB"/>
        </w:rPr>
        <w:t>Scheduled Exchanges</w:t>
      </w:r>
      <w:r w:rsidRPr="00EF3ECB">
        <w:rPr>
          <w:rFonts w:cs="Arial"/>
          <w:lang w:val="en-GB"/>
        </w:rPr>
        <w:t xml:space="preserve"> on borders between </w:t>
      </w:r>
      <w:r w:rsidR="00B86CEB" w:rsidRPr="00EF3ECB">
        <w:rPr>
          <w:rFonts w:cs="Arial"/>
          <w:lang w:val="en-GB"/>
        </w:rPr>
        <w:t>Bidding Zone</w:t>
      </w:r>
      <w:r w:rsidR="00F0280E">
        <w:rPr>
          <w:rFonts w:cs="Arial"/>
          <w:lang w:val="en-GB"/>
        </w:rPr>
        <w:t>s.</w:t>
      </w:r>
      <w:r w:rsidRPr="00EF3ECB">
        <w:rPr>
          <w:rFonts w:cs="Arial"/>
          <w:lang w:val="en-GB"/>
        </w:rPr>
        <w:t xml:space="preserve"> Upon completion of the </w:t>
      </w:r>
      <w:r w:rsidR="00543D26" w:rsidRPr="00EF3ECB">
        <w:rPr>
          <w:rFonts w:cs="Arial"/>
          <w:lang w:val="en-GB"/>
        </w:rPr>
        <w:t>Scheduled Exchanges</w:t>
      </w:r>
      <w:r w:rsidRPr="00EF3ECB">
        <w:rPr>
          <w:rFonts w:cs="Arial"/>
          <w:lang w:val="en-GB"/>
        </w:rPr>
        <w:t xml:space="preserve"> calculation, the </w:t>
      </w:r>
      <w:r w:rsidR="009219FE" w:rsidRPr="00EF3ECB">
        <w:rPr>
          <w:rFonts w:cs="Arial"/>
          <w:lang w:val="en-GB"/>
        </w:rPr>
        <w:t>Scheduled Exchange</w:t>
      </w:r>
      <w:r w:rsidRPr="00EF3ECB">
        <w:rPr>
          <w:rFonts w:cs="Arial"/>
          <w:lang w:val="en-GB"/>
        </w:rPr>
        <w:t xml:space="preserve"> </w:t>
      </w:r>
      <w:r w:rsidR="00543D26" w:rsidRPr="00EF3ECB">
        <w:rPr>
          <w:rFonts w:cs="Arial"/>
          <w:lang w:val="en-GB"/>
        </w:rPr>
        <w:t>C</w:t>
      </w:r>
      <w:r w:rsidRPr="00EF3ECB">
        <w:rPr>
          <w:rFonts w:cs="Arial"/>
          <w:lang w:val="en-GB"/>
        </w:rPr>
        <w:t>alculator, in line with Articles 8, 49 and 61</w:t>
      </w:r>
      <w:r w:rsidR="008E7442">
        <w:rPr>
          <w:rFonts w:cs="Arial"/>
          <w:lang w:val="en-GB"/>
        </w:rPr>
        <w:t xml:space="preserve"> of the CACM Regulation</w:t>
      </w:r>
      <w:r w:rsidRPr="00EF3ECB">
        <w:rPr>
          <w:rFonts w:cs="Arial"/>
          <w:lang w:val="en-GB"/>
        </w:rPr>
        <w:t xml:space="preserve">, shall notify relevant NEMOs, central counter parties, shipping agents and TSOs of the agreed </w:t>
      </w:r>
      <w:r w:rsidR="00543D26" w:rsidRPr="00EF3ECB">
        <w:rPr>
          <w:rFonts w:cs="Arial"/>
          <w:lang w:val="en-GB"/>
        </w:rPr>
        <w:t>Scheduled Exchanges</w:t>
      </w:r>
      <w:r w:rsidR="00F0280E">
        <w:rPr>
          <w:rFonts w:cs="Arial"/>
          <w:lang w:val="en-GB"/>
        </w:rPr>
        <w:t xml:space="preserve">. </w:t>
      </w:r>
    </w:p>
    <w:p w14:paraId="21074825" w14:textId="77777777" w:rsidR="00AE4485" w:rsidRPr="00EF3ECB" w:rsidRDefault="00AE4485" w:rsidP="0037730C">
      <w:pPr>
        <w:spacing w:line="276" w:lineRule="auto"/>
        <w:jc w:val="both"/>
        <w:rPr>
          <w:rFonts w:cs="Arial"/>
          <w:lang w:val="en-GB"/>
        </w:rPr>
      </w:pPr>
    </w:p>
    <w:p w14:paraId="536C9E47" w14:textId="7DCA8C76" w:rsidR="00AE4485" w:rsidRPr="00EF3ECB" w:rsidRDefault="00AE4485" w:rsidP="0037730C">
      <w:pPr>
        <w:spacing w:line="276" w:lineRule="auto"/>
        <w:jc w:val="both"/>
        <w:rPr>
          <w:rFonts w:cs="Arial"/>
          <w:lang w:val="en-GB"/>
        </w:rPr>
      </w:pPr>
      <w:r w:rsidRPr="00EF3ECB">
        <w:rPr>
          <w:rFonts w:cs="Arial"/>
          <w:lang w:val="en-GB"/>
        </w:rPr>
        <w:t xml:space="preserve">According to Article 2(43) of the </w:t>
      </w:r>
      <w:r w:rsidR="0076722D" w:rsidRPr="00EF3ECB">
        <w:rPr>
          <w:rFonts w:cs="Arial"/>
          <w:lang w:val="en-GB"/>
        </w:rPr>
        <w:t>CACM Regulation</w:t>
      </w:r>
      <w:r w:rsidRPr="00EF3ECB">
        <w:rPr>
          <w:rFonts w:cs="Arial"/>
          <w:lang w:val="en-GB"/>
        </w:rPr>
        <w:t>, the shipping agent</w:t>
      </w:r>
      <w:r w:rsidR="008B4317" w:rsidRPr="00EF3ECB">
        <w:rPr>
          <w:rFonts w:cs="Arial"/>
          <w:lang w:val="en-GB"/>
        </w:rPr>
        <w:t>’s role is to</w:t>
      </w:r>
      <w:r w:rsidRPr="00EF3ECB">
        <w:rPr>
          <w:rFonts w:cs="Arial"/>
          <w:lang w:val="en-GB"/>
        </w:rPr>
        <w:t xml:space="preserve"> transfer the net position(s) between dif</w:t>
      </w:r>
      <w:r w:rsidR="00F0280E">
        <w:rPr>
          <w:rFonts w:cs="Arial"/>
          <w:lang w:val="en-GB"/>
        </w:rPr>
        <w:t>ferent central counter parties.</w:t>
      </w:r>
      <w:r w:rsidRPr="00EF3ECB">
        <w:rPr>
          <w:rFonts w:cs="Arial"/>
          <w:lang w:val="en-GB"/>
        </w:rPr>
        <w:t xml:space="preserve"> </w:t>
      </w:r>
    </w:p>
    <w:p w14:paraId="0900F58B" w14:textId="77777777" w:rsidR="00AE4485" w:rsidRPr="00EF3ECB" w:rsidRDefault="00AE4485" w:rsidP="0037730C">
      <w:pPr>
        <w:spacing w:line="276" w:lineRule="auto"/>
        <w:jc w:val="both"/>
        <w:rPr>
          <w:rFonts w:cs="Arial"/>
          <w:lang w:val="en-GB"/>
        </w:rPr>
      </w:pPr>
    </w:p>
    <w:p w14:paraId="04D8909E" w14:textId="62A0AF76" w:rsidR="00AE4485" w:rsidRPr="00EF3ECB" w:rsidRDefault="00AE4485" w:rsidP="0037730C">
      <w:pPr>
        <w:spacing w:line="276" w:lineRule="auto"/>
        <w:jc w:val="both"/>
        <w:rPr>
          <w:rFonts w:cs="Arial"/>
          <w:lang w:val="en-GB"/>
        </w:rPr>
      </w:pPr>
      <w:r w:rsidRPr="00EF3ECB">
        <w:rPr>
          <w:rFonts w:cs="Arial"/>
          <w:lang w:val="en-GB"/>
        </w:rPr>
        <w:t>A separate role ‘Scheduling agent’ is required to notify (or nominate) schedules to TSOs. This creates a link between the market operation and the system operation</w:t>
      </w:r>
      <w:r w:rsidR="00F0280E">
        <w:rPr>
          <w:rFonts w:cs="Arial"/>
          <w:lang w:val="en-GB"/>
        </w:rPr>
        <w:t>.</w:t>
      </w:r>
      <w:r w:rsidR="00FE0803" w:rsidRPr="00EF3ECB">
        <w:rPr>
          <w:rFonts w:cs="Arial"/>
          <w:lang w:val="en-GB"/>
        </w:rPr>
        <w:t xml:space="preserve"> </w:t>
      </w:r>
      <w:r w:rsidR="00FE0803" w:rsidRPr="00EF3ECB">
        <w:rPr>
          <w:rFonts w:cs="Arial"/>
          <w:lang w:val="en-GB"/>
        </w:rPr>
        <w:fldChar w:fldCharType="begin"/>
      </w:r>
      <w:r w:rsidR="00FE0803" w:rsidRPr="00EF3ECB">
        <w:rPr>
          <w:rFonts w:cs="Arial"/>
          <w:lang w:val="en-GB"/>
        </w:rPr>
        <w:instrText xml:space="preserve"> REF _Ref466734081 \h </w:instrText>
      </w:r>
      <w:r w:rsidR="00031540" w:rsidRPr="00EF3ECB">
        <w:rPr>
          <w:rFonts w:cs="Arial"/>
          <w:lang w:val="en-GB"/>
        </w:rPr>
        <w:instrText xml:space="preserve"> \* MERGEFORMAT </w:instrText>
      </w:r>
      <w:r w:rsidR="00FE0803" w:rsidRPr="00EF3ECB">
        <w:rPr>
          <w:rFonts w:cs="Arial"/>
          <w:lang w:val="en-GB"/>
        </w:rPr>
      </w:r>
      <w:r w:rsidR="00FE0803" w:rsidRPr="00EF3ECB">
        <w:rPr>
          <w:rFonts w:cs="Arial"/>
          <w:lang w:val="en-GB"/>
        </w:rPr>
        <w:fldChar w:fldCharType="separate"/>
      </w:r>
      <w:r w:rsidR="00FC1305" w:rsidRPr="00EF3ECB">
        <w:rPr>
          <w:rFonts w:cs="Arial"/>
          <w:lang w:val="en-GB"/>
        </w:rPr>
        <w:t xml:space="preserve">Figure </w:t>
      </w:r>
      <w:r w:rsidR="00FC1305">
        <w:rPr>
          <w:rFonts w:cs="Arial"/>
          <w:noProof/>
          <w:lang w:val="en-GB"/>
        </w:rPr>
        <w:t>3</w:t>
      </w:r>
      <w:r w:rsidR="00FE0803" w:rsidRPr="00EF3ECB">
        <w:rPr>
          <w:rFonts w:cs="Arial"/>
          <w:lang w:val="en-GB"/>
        </w:rPr>
        <w:fldChar w:fldCharType="end"/>
      </w:r>
      <w:r w:rsidR="00FE0803" w:rsidRPr="00EF3ECB">
        <w:rPr>
          <w:rFonts w:cs="Arial"/>
          <w:lang w:val="en-GB"/>
        </w:rPr>
        <w:t xml:space="preserve"> </w:t>
      </w:r>
      <w:r w:rsidRPr="00EF3ECB">
        <w:rPr>
          <w:rFonts w:cs="Arial"/>
          <w:lang w:val="en-GB"/>
        </w:rPr>
        <w:t>below illustrates the role of the scheduling agent in relation to the CCPs and the shipping agents.</w:t>
      </w:r>
    </w:p>
    <w:p w14:paraId="0330BCF1" w14:textId="77777777" w:rsidR="00AE4485" w:rsidRPr="00EF3ECB" w:rsidRDefault="00AE4485" w:rsidP="0037730C">
      <w:pPr>
        <w:spacing w:line="276" w:lineRule="auto"/>
        <w:jc w:val="both"/>
        <w:rPr>
          <w:rFonts w:cs="Arial"/>
          <w:lang w:val="en-GB"/>
        </w:rPr>
      </w:pPr>
    </w:p>
    <w:p w14:paraId="7FCD1E39" w14:textId="6348AC67" w:rsidR="00AE4485" w:rsidRPr="00EF3ECB" w:rsidRDefault="00AE4485" w:rsidP="0037730C">
      <w:pPr>
        <w:spacing w:line="276" w:lineRule="auto"/>
        <w:jc w:val="both"/>
        <w:rPr>
          <w:rFonts w:cs="Arial"/>
          <w:lang w:val="en-GB"/>
        </w:rPr>
      </w:pPr>
      <w:r w:rsidRPr="00EF3ECB">
        <w:rPr>
          <w:rFonts w:cs="Arial"/>
          <w:lang w:val="en-GB"/>
        </w:rPr>
        <w:t>Both the internal commercial trade schedules between shipping agents and CCPs and the internal commercial trade schedules between shipping agents and other shipping agents are nominated to the TSOs responsible for operating the scheduling area. In addition, the external commercial trade schedules are nominated to the TSOs operating the scheduling area, by the scheduling agents of the shipping agents, as</w:t>
      </w:r>
      <w:r w:rsidR="00E5246F" w:rsidRPr="00EF3ECB">
        <w:rPr>
          <w:rFonts w:cs="Arial"/>
          <w:lang w:val="en-GB"/>
        </w:rPr>
        <w:t xml:space="preserve"> </w:t>
      </w:r>
      <w:r w:rsidR="00BB1B2D" w:rsidRPr="00EF3ECB">
        <w:rPr>
          <w:rFonts w:cs="Arial"/>
          <w:lang w:val="en-GB"/>
        </w:rPr>
        <w:t>Scheduled</w:t>
      </w:r>
      <w:r w:rsidR="00E5246F" w:rsidRPr="00EF3ECB">
        <w:rPr>
          <w:rFonts w:cs="Arial"/>
          <w:lang w:val="en-GB"/>
        </w:rPr>
        <w:t xml:space="preserve"> </w:t>
      </w:r>
      <w:r w:rsidR="00BB1B2D" w:rsidRPr="00EF3ECB">
        <w:rPr>
          <w:rFonts w:cs="Arial"/>
          <w:lang w:val="en-GB"/>
        </w:rPr>
        <w:t>E</w:t>
      </w:r>
      <w:r w:rsidR="00E5246F" w:rsidRPr="00EF3ECB">
        <w:rPr>
          <w:rFonts w:cs="Arial"/>
          <w:lang w:val="en-GB"/>
        </w:rPr>
        <w:t>xchanges between the scheduling area and another scheduling area;</w:t>
      </w:r>
    </w:p>
    <w:p w14:paraId="0CDBA03A" w14:textId="0138ED4F" w:rsidR="00AE4485" w:rsidRPr="00EF3ECB" w:rsidRDefault="00AE4485" w:rsidP="0037730C">
      <w:pPr>
        <w:spacing w:line="276" w:lineRule="auto"/>
        <w:jc w:val="both"/>
        <w:rPr>
          <w:rFonts w:cs="Arial"/>
          <w:lang w:val="en-GB"/>
        </w:rPr>
      </w:pPr>
    </w:p>
    <w:p w14:paraId="3DCE0F55" w14:textId="3E447115" w:rsidR="00AE4485" w:rsidRPr="00EF3ECB" w:rsidRDefault="00543D26" w:rsidP="0037730C">
      <w:pPr>
        <w:spacing w:line="276" w:lineRule="auto"/>
        <w:jc w:val="both"/>
        <w:rPr>
          <w:rFonts w:cs="Arial"/>
          <w:lang w:val="en-GB"/>
        </w:rPr>
      </w:pPr>
      <w:r w:rsidRPr="00EF3ECB">
        <w:rPr>
          <w:rFonts w:cs="Arial"/>
          <w:lang w:val="en-GB"/>
        </w:rPr>
        <w:t>Scheduled Exchanges</w:t>
      </w:r>
      <w:r w:rsidR="00AE4485" w:rsidRPr="00EF3ECB">
        <w:rPr>
          <w:rFonts w:cs="Arial"/>
          <w:lang w:val="en-GB"/>
        </w:rPr>
        <w:t xml:space="preserve"> determine the volumes to be settled between NEMOs both physic</w:t>
      </w:r>
      <w:r w:rsidR="00F0280E">
        <w:rPr>
          <w:rFonts w:cs="Arial"/>
          <w:lang w:val="en-GB"/>
        </w:rPr>
        <w:t xml:space="preserve">ally and financially. </w:t>
      </w:r>
      <w:r w:rsidR="00AE4485" w:rsidRPr="00EF3ECB">
        <w:rPr>
          <w:rFonts w:cs="Arial"/>
          <w:lang w:val="en-GB"/>
        </w:rPr>
        <w:t xml:space="preserve">This means that </w:t>
      </w:r>
      <w:r w:rsidRPr="00EF3ECB">
        <w:rPr>
          <w:rFonts w:cs="Arial"/>
          <w:lang w:val="en-GB"/>
        </w:rPr>
        <w:t>Scheduled Exchanges</w:t>
      </w:r>
      <w:r w:rsidR="00AE4485" w:rsidRPr="00EF3ECB">
        <w:rPr>
          <w:rFonts w:cs="Arial"/>
          <w:lang w:val="en-GB"/>
        </w:rPr>
        <w:t xml:space="preserve"> determine the </w:t>
      </w:r>
      <w:r w:rsidR="00BB1B2D" w:rsidRPr="00EF3ECB">
        <w:rPr>
          <w:rFonts w:cs="Arial"/>
          <w:lang w:val="en-GB"/>
        </w:rPr>
        <w:t>cross-border</w:t>
      </w:r>
      <w:r w:rsidR="00AE4485" w:rsidRPr="00EF3ECB">
        <w:rPr>
          <w:rFonts w:cs="Arial"/>
          <w:lang w:val="en-GB"/>
        </w:rPr>
        <w:t xml:space="preserve"> nominations to be taken into account by TSOs.</w:t>
      </w:r>
    </w:p>
    <w:p w14:paraId="55ABFAEE" w14:textId="3EE5010E" w:rsidR="00FE0803" w:rsidRPr="00EF3ECB" w:rsidRDefault="00AE4485" w:rsidP="0037730C">
      <w:pPr>
        <w:keepNext/>
        <w:spacing w:line="276" w:lineRule="auto"/>
        <w:jc w:val="both"/>
        <w:rPr>
          <w:rFonts w:cs="Arial"/>
          <w:lang w:val="en-GB"/>
        </w:rPr>
      </w:pPr>
      <w:r w:rsidRPr="00EF3ECB">
        <w:rPr>
          <w:rFonts w:cs="Arial"/>
          <w:noProof/>
          <w:lang w:val="de-AT" w:eastAsia="de-AT"/>
        </w:rPr>
        <w:drawing>
          <wp:inline distT="0" distB="0" distL="0" distR="0" wp14:anchorId="494EADD1" wp14:editId="726639AB">
            <wp:extent cx="6013094" cy="3429998"/>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11953" cy="3429347"/>
                    </a:xfrm>
                    <a:prstGeom prst="rect">
                      <a:avLst/>
                    </a:prstGeom>
                    <a:noFill/>
                  </pic:spPr>
                </pic:pic>
              </a:graphicData>
            </a:graphic>
          </wp:inline>
        </w:drawing>
      </w:r>
    </w:p>
    <w:p w14:paraId="3222BD13" w14:textId="044FA224" w:rsidR="00AE4485" w:rsidRPr="00EF3ECB" w:rsidRDefault="00FE0803" w:rsidP="0037730C">
      <w:pPr>
        <w:pStyle w:val="Caption"/>
        <w:spacing w:after="0" w:line="276" w:lineRule="auto"/>
        <w:jc w:val="both"/>
        <w:rPr>
          <w:rFonts w:cs="Arial"/>
          <w:lang w:val="en-GB"/>
        </w:rPr>
      </w:pPr>
      <w:bookmarkStart w:id="25" w:name="_Ref466734081"/>
      <w:bookmarkStart w:id="26" w:name="_Toc505860279"/>
      <w:r w:rsidRPr="00EF3ECB">
        <w:rPr>
          <w:rFonts w:cs="Arial"/>
          <w:lang w:val="en-GB"/>
        </w:rPr>
        <w:t xml:space="preserve">Figure </w:t>
      </w:r>
      <w:r w:rsidRPr="00EF3ECB">
        <w:rPr>
          <w:rFonts w:cs="Arial"/>
          <w:lang w:val="en-GB"/>
        </w:rPr>
        <w:fldChar w:fldCharType="begin"/>
      </w:r>
      <w:r w:rsidRPr="00EF3ECB">
        <w:rPr>
          <w:rFonts w:cs="Arial"/>
          <w:lang w:val="en-GB"/>
        </w:rPr>
        <w:instrText xml:space="preserve"> SEQ Figure \* ARABIC </w:instrText>
      </w:r>
      <w:r w:rsidRPr="00EF3ECB">
        <w:rPr>
          <w:rFonts w:cs="Arial"/>
          <w:lang w:val="en-GB"/>
        </w:rPr>
        <w:fldChar w:fldCharType="separate"/>
      </w:r>
      <w:r w:rsidR="00FC1305">
        <w:rPr>
          <w:rFonts w:cs="Arial"/>
          <w:noProof/>
          <w:lang w:val="en-GB"/>
        </w:rPr>
        <w:t>3</w:t>
      </w:r>
      <w:r w:rsidRPr="00EF3ECB">
        <w:rPr>
          <w:rFonts w:cs="Arial"/>
          <w:lang w:val="en-GB"/>
        </w:rPr>
        <w:fldChar w:fldCharType="end"/>
      </w:r>
      <w:bookmarkEnd w:id="25"/>
      <w:r w:rsidR="00DD3059" w:rsidRPr="00EF3ECB">
        <w:rPr>
          <w:rFonts w:cs="Arial"/>
          <w:lang w:val="en-GB"/>
        </w:rPr>
        <w:t>:</w:t>
      </w:r>
      <w:r w:rsidRPr="00EF3ECB">
        <w:rPr>
          <w:rFonts w:cs="Arial"/>
          <w:lang w:val="en-GB"/>
        </w:rPr>
        <w:t xml:space="preserve"> Exchanges of Schedules</w:t>
      </w:r>
      <w:r w:rsidRPr="00EF3ECB">
        <w:rPr>
          <w:rStyle w:val="FootnoteReference"/>
          <w:rFonts w:cs="Arial"/>
          <w:lang w:val="en-GB"/>
        </w:rPr>
        <w:footnoteReference w:id="3"/>
      </w:r>
      <w:r w:rsidR="00C86CCD" w:rsidRPr="00EF3ECB">
        <w:rPr>
          <w:rFonts w:cs="Arial"/>
          <w:lang w:val="en-GB"/>
        </w:rPr>
        <w:t>,</w:t>
      </w:r>
      <w:r w:rsidRPr="00EF3ECB">
        <w:rPr>
          <w:rStyle w:val="FootnoteReference"/>
          <w:rFonts w:cs="Arial"/>
          <w:lang w:val="en-GB"/>
        </w:rPr>
        <w:footnoteReference w:id="4"/>
      </w:r>
      <w:bookmarkEnd w:id="26"/>
    </w:p>
    <w:p w14:paraId="2A2C07BA" w14:textId="77777777" w:rsidR="00031540" w:rsidRPr="00EF3ECB" w:rsidRDefault="00031540" w:rsidP="0037730C">
      <w:pPr>
        <w:spacing w:line="276" w:lineRule="auto"/>
        <w:jc w:val="both"/>
        <w:rPr>
          <w:lang w:val="en-GB"/>
        </w:rPr>
      </w:pPr>
    </w:p>
    <w:p w14:paraId="79BC3D2B" w14:textId="1071DE7D" w:rsidR="00AE4485" w:rsidRPr="00EF3ECB" w:rsidRDefault="00AE4485" w:rsidP="00F8788D">
      <w:pPr>
        <w:pStyle w:val="Heading2"/>
        <w:numPr>
          <w:ilvl w:val="1"/>
          <w:numId w:val="1"/>
        </w:numPr>
        <w:spacing w:before="0" w:line="276" w:lineRule="auto"/>
        <w:ind w:left="0" w:firstLine="0"/>
        <w:jc w:val="both"/>
        <w:rPr>
          <w:rFonts w:ascii="Arial" w:hAnsi="Arial" w:cs="Arial"/>
          <w:lang w:val="en-GB"/>
        </w:rPr>
      </w:pPr>
      <w:bookmarkStart w:id="27" w:name="_Toc466631175"/>
      <w:bookmarkStart w:id="28" w:name="_Toc507425375"/>
      <w:r w:rsidRPr="00EF3ECB">
        <w:rPr>
          <w:rFonts w:ascii="Arial" w:hAnsi="Arial" w:cs="Arial"/>
          <w:lang w:val="en-GB"/>
        </w:rPr>
        <w:t>Congestion Income Distribution</w:t>
      </w:r>
      <w:bookmarkEnd w:id="27"/>
      <w:bookmarkEnd w:id="28"/>
    </w:p>
    <w:p w14:paraId="62FD17D0" w14:textId="72F96416" w:rsidR="00AE4485" w:rsidRPr="00EF3ECB" w:rsidRDefault="0053435F" w:rsidP="0037730C">
      <w:pPr>
        <w:spacing w:line="276" w:lineRule="auto"/>
        <w:jc w:val="both"/>
        <w:rPr>
          <w:rFonts w:cs="Arial"/>
          <w:lang w:val="en-GB"/>
        </w:rPr>
      </w:pPr>
      <w:r w:rsidRPr="00EF3ECB">
        <w:rPr>
          <w:rFonts w:cs="Arial"/>
          <w:lang w:val="en-GB"/>
        </w:rPr>
        <w:t xml:space="preserve">In </w:t>
      </w:r>
      <w:r w:rsidR="0076722D" w:rsidRPr="00EF3ECB">
        <w:rPr>
          <w:rFonts w:cs="Arial"/>
          <w:lang w:val="en-GB"/>
        </w:rPr>
        <w:t>CACM Regulation</w:t>
      </w:r>
      <w:r w:rsidR="00AE4485" w:rsidRPr="00EF3ECB">
        <w:rPr>
          <w:rFonts w:cs="Arial"/>
          <w:lang w:val="en-GB"/>
        </w:rPr>
        <w:t>, Congestion Income is defined as “the revenues received as a r</w:t>
      </w:r>
      <w:r w:rsidR="00F0280E">
        <w:rPr>
          <w:rFonts w:cs="Arial"/>
          <w:lang w:val="en-GB"/>
        </w:rPr>
        <w:t xml:space="preserve">esult of capacity allocation”. </w:t>
      </w:r>
      <w:r w:rsidR="00AE4485" w:rsidRPr="00EF3ECB">
        <w:rPr>
          <w:rFonts w:cs="Arial"/>
          <w:lang w:val="en-GB"/>
        </w:rPr>
        <w:t xml:space="preserve">Congestion Income originates in the situation where transmission capacity between </w:t>
      </w:r>
      <w:r w:rsidR="00B86CEB" w:rsidRPr="00EF3ECB">
        <w:rPr>
          <w:rFonts w:cs="Arial"/>
          <w:lang w:val="en-GB"/>
        </w:rPr>
        <w:t>Bidding Zone</w:t>
      </w:r>
      <w:r w:rsidR="00AE4485" w:rsidRPr="00EF3ECB">
        <w:rPr>
          <w:rFonts w:cs="Arial"/>
          <w:lang w:val="en-GB"/>
        </w:rPr>
        <w:t xml:space="preserve">s or on Critical Network Elements is not sufficient enough to fulfil the demand. </w:t>
      </w:r>
    </w:p>
    <w:p w14:paraId="22876353" w14:textId="77777777" w:rsidR="00AE4485" w:rsidRPr="00EF3ECB" w:rsidRDefault="00AE4485" w:rsidP="0037730C">
      <w:pPr>
        <w:spacing w:line="276" w:lineRule="auto"/>
        <w:jc w:val="both"/>
        <w:rPr>
          <w:rFonts w:cs="Arial"/>
          <w:lang w:val="en-GB"/>
        </w:rPr>
      </w:pPr>
    </w:p>
    <w:p w14:paraId="0FA7CD86" w14:textId="33BEA2FD" w:rsidR="00AE4485" w:rsidRPr="00EF3ECB" w:rsidRDefault="00AE4485" w:rsidP="0037730C">
      <w:pPr>
        <w:spacing w:line="276" w:lineRule="auto"/>
        <w:jc w:val="both"/>
        <w:rPr>
          <w:rFonts w:cs="Arial"/>
          <w:lang w:val="en-GB"/>
        </w:rPr>
      </w:pPr>
      <w:r w:rsidRPr="00EF3ECB">
        <w:rPr>
          <w:rFonts w:cs="Arial"/>
          <w:lang w:val="en-GB"/>
        </w:rPr>
        <w:t xml:space="preserve">For the day-ahead and intraday market timeframes according to the </w:t>
      </w:r>
      <w:r w:rsidR="0076722D" w:rsidRPr="00EF3ECB">
        <w:rPr>
          <w:rFonts w:cs="Arial"/>
          <w:lang w:val="en-GB"/>
        </w:rPr>
        <w:t>CACM Regulation</w:t>
      </w:r>
      <w:r w:rsidRPr="00EF3ECB">
        <w:rPr>
          <w:rFonts w:cs="Arial"/>
          <w:lang w:val="en-GB"/>
        </w:rPr>
        <w:t xml:space="preserve"> (Article 68(8)), Congestion Income will be collected by Central Counter Parties or Shipping Agents (in case of implicit allocation) or by allocation platforms (in case of explicit allocation where applicable). </w:t>
      </w:r>
    </w:p>
    <w:p w14:paraId="3D6A8625" w14:textId="77777777" w:rsidR="00031540" w:rsidRPr="00EF3ECB" w:rsidRDefault="00031540" w:rsidP="0037730C">
      <w:pPr>
        <w:spacing w:line="276" w:lineRule="auto"/>
        <w:jc w:val="both"/>
        <w:rPr>
          <w:rFonts w:cs="Arial"/>
          <w:lang w:val="en-GB"/>
        </w:rPr>
      </w:pPr>
    </w:p>
    <w:p w14:paraId="3384432E" w14:textId="0D49FE41" w:rsidR="00AE4485" w:rsidRPr="00EF3ECB" w:rsidRDefault="00AE4485" w:rsidP="0037730C">
      <w:pPr>
        <w:spacing w:line="276" w:lineRule="auto"/>
        <w:jc w:val="both"/>
        <w:rPr>
          <w:rFonts w:cs="Arial"/>
          <w:lang w:val="en-GB"/>
        </w:rPr>
      </w:pPr>
      <w:r w:rsidRPr="00EF3ECB">
        <w:rPr>
          <w:rFonts w:cs="Arial"/>
          <w:lang w:val="en-GB"/>
        </w:rPr>
        <w:t xml:space="preserve">After the collection by the </w:t>
      </w:r>
      <w:r w:rsidR="00203B83" w:rsidRPr="00EF3ECB">
        <w:rPr>
          <w:rFonts w:cs="Arial"/>
          <w:lang w:val="en-GB"/>
        </w:rPr>
        <w:t>above-mentioned</w:t>
      </w:r>
      <w:r w:rsidRPr="00EF3ECB">
        <w:rPr>
          <w:rFonts w:cs="Arial"/>
          <w:lang w:val="en-GB"/>
        </w:rPr>
        <w:t xml:space="preserve"> entities, based on the rules described in the CID Methodology, the Congestion Income is assigned to each </w:t>
      </w:r>
      <w:r w:rsidR="00B86CEB" w:rsidRPr="00EF3ECB">
        <w:rPr>
          <w:rFonts w:cs="Arial"/>
          <w:lang w:val="en-GB"/>
        </w:rPr>
        <w:t>Bidding Zone</w:t>
      </w:r>
      <w:r w:rsidRPr="00EF3ECB">
        <w:rPr>
          <w:rFonts w:cs="Arial"/>
          <w:lang w:val="en-GB"/>
        </w:rPr>
        <w:t xml:space="preserve"> border and then, it is distributed to the TSOs on each side of a </w:t>
      </w:r>
      <w:r w:rsidR="00B86CEB" w:rsidRPr="00EF3ECB">
        <w:rPr>
          <w:rFonts w:cs="Arial"/>
          <w:lang w:val="en-GB"/>
        </w:rPr>
        <w:t>Bidding Zone</w:t>
      </w:r>
      <w:r w:rsidRPr="00EF3ECB">
        <w:rPr>
          <w:rFonts w:cs="Arial"/>
          <w:lang w:val="en-GB"/>
        </w:rPr>
        <w:t xml:space="preserve"> border or, via the relevant TSOs, to third party asset owners.</w:t>
      </w:r>
    </w:p>
    <w:p w14:paraId="262FD1DB" w14:textId="1CA898A5" w:rsidR="003F5A00" w:rsidRPr="00EF3ECB" w:rsidRDefault="003F5A00" w:rsidP="0037730C">
      <w:pPr>
        <w:spacing w:line="276" w:lineRule="auto"/>
        <w:jc w:val="both"/>
        <w:rPr>
          <w:rFonts w:cs="Arial"/>
          <w:lang w:val="en-GB"/>
        </w:rPr>
      </w:pPr>
    </w:p>
    <w:p w14:paraId="4BEC9336" w14:textId="4794E810" w:rsidR="00AE4485" w:rsidRPr="00EF3ECB" w:rsidRDefault="00AE4485" w:rsidP="0037730C">
      <w:pPr>
        <w:spacing w:line="276" w:lineRule="auto"/>
        <w:jc w:val="both"/>
        <w:rPr>
          <w:rFonts w:cs="Arial"/>
          <w:lang w:val="en-GB"/>
        </w:rPr>
      </w:pPr>
      <w:bookmarkStart w:id="29" w:name="_Ref466734459"/>
      <w:bookmarkEnd w:id="29"/>
      <w:r w:rsidRPr="00EF3ECB">
        <w:rPr>
          <w:rFonts w:cs="Arial"/>
          <w:lang w:val="en-GB"/>
        </w:rPr>
        <w:t xml:space="preserve">The Commercial Flow is introduced in order to calculate the Congestion Income per </w:t>
      </w:r>
      <w:r w:rsidR="00B86CEB" w:rsidRPr="00EF3ECB">
        <w:rPr>
          <w:rFonts w:cs="Arial"/>
          <w:lang w:val="en-GB"/>
        </w:rPr>
        <w:t>Bidding Zone</w:t>
      </w:r>
      <w:r w:rsidRPr="00EF3ECB">
        <w:rPr>
          <w:rFonts w:cs="Arial"/>
          <w:lang w:val="en-GB"/>
        </w:rPr>
        <w:t xml:space="preserve"> border. “Commercial Flow” means the flow over a </w:t>
      </w:r>
      <w:r w:rsidR="00B86CEB" w:rsidRPr="00EF3ECB">
        <w:rPr>
          <w:rFonts w:cs="Arial"/>
          <w:lang w:val="en-GB"/>
        </w:rPr>
        <w:t>Bidding Zone</w:t>
      </w:r>
      <w:r w:rsidRPr="00EF3ECB">
        <w:rPr>
          <w:rFonts w:cs="Arial"/>
          <w:lang w:val="en-GB"/>
        </w:rPr>
        <w:t xml:space="preserve"> border resulting from single day-ahead coupling or single intraday coupling where it is distinguished as follows:</w:t>
      </w:r>
    </w:p>
    <w:p w14:paraId="4DD86AD0" w14:textId="77777777" w:rsidR="00AE4485" w:rsidRPr="00EF3ECB" w:rsidRDefault="00AE4485" w:rsidP="0037730C">
      <w:pPr>
        <w:spacing w:line="276" w:lineRule="auto"/>
        <w:jc w:val="both"/>
        <w:rPr>
          <w:rFonts w:cs="Arial"/>
          <w:lang w:val="en-GB"/>
        </w:rPr>
      </w:pPr>
    </w:p>
    <w:p w14:paraId="0284C101" w14:textId="304FDCC8" w:rsidR="007D5EED" w:rsidRPr="00EF3ECB" w:rsidRDefault="007D5EED" w:rsidP="00F8788D">
      <w:pPr>
        <w:pStyle w:val="ListParagraph"/>
        <w:numPr>
          <w:ilvl w:val="0"/>
          <w:numId w:val="12"/>
        </w:numPr>
        <w:spacing w:line="276" w:lineRule="auto"/>
        <w:jc w:val="both"/>
        <w:rPr>
          <w:rFonts w:cs="Arial"/>
          <w:lang w:val="en-GB"/>
        </w:rPr>
      </w:pPr>
      <w:r w:rsidRPr="00EF3ECB">
        <w:rPr>
          <w:rFonts w:cs="Arial"/>
          <w:lang w:val="en-GB"/>
        </w:rPr>
        <w:t>for CCRs applying the FB approach it is the additional aggregated flow (AAF) and if applicable the external flow as specified in Article 3</w:t>
      </w:r>
      <w:r w:rsidR="00771C1B" w:rsidRPr="00EF3ECB">
        <w:rPr>
          <w:rFonts w:cs="Arial"/>
          <w:lang w:val="en-GB"/>
        </w:rPr>
        <w:t xml:space="preserve"> of CID methodology</w:t>
      </w:r>
      <w:r w:rsidRPr="00EF3ECB">
        <w:rPr>
          <w:rFonts w:cs="Arial"/>
          <w:lang w:val="en-GB"/>
        </w:rPr>
        <w:t>; and</w:t>
      </w:r>
    </w:p>
    <w:p w14:paraId="36A851CF" w14:textId="77777777" w:rsidR="007D5EED" w:rsidRPr="00EF3ECB" w:rsidRDefault="007D5EED" w:rsidP="0037730C">
      <w:pPr>
        <w:spacing w:line="276" w:lineRule="auto"/>
        <w:jc w:val="both"/>
        <w:rPr>
          <w:rFonts w:cs="Arial"/>
          <w:lang w:val="en-GB"/>
        </w:rPr>
      </w:pPr>
    </w:p>
    <w:p w14:paraId="772F158F" w14:textId="745CF71E" w:rsidR="00430C4D" w:rsidRPr="00EF3ECB" w:rsidRDefault="00533EA0" w:rsidP="00F8788D">
      <w:pPr>
        <w:pStyle w:val="ListParagraph"/>
        <w:numPr>
          <w:ilvl w:val="0"/>
          <w:numId w:val="12"/>
        </w:numPr>
        <w:spacing w:line="276" w:lineRule="auto"/>
        <w:jc w:val="both"/>
        <w:rPr>
          <w:rFonts w:cs="Arial"/>
          <w:lang w:val="en-GB"/>
        </w:rPr>
      </w:pPr>
      <w:r w:rsidRPr="00EF3ECB">
        <w:rPr>
          <w:rFonts w:cs="Arial"/>
          <w:lang w:val="en-GB"/>
        </w:rPr>
        <w:t>For</w:t>
      </w:r>
      <w:r w:rsidR="007D5EED" w:rsidRPr="00EF3ECB">
        <w:rPr>
          <w:rFonts w:cs="Arial"/>
          <w:lang w:val="en-GB"/>
        </w:rPr>
        <w:t xml:space="preserve"> CCRs applying coordinated NTC approach it means the allocated capacities on the bidding zone border.</w:t>
      </w:r>
    </w:p>
    <w:p w14:paraId="717245C5" w14:textId="2B54C96E" w:rsidR="00AE4485" w:rsidRPr="00EF3ECB" w:rsidRDefault="00AE4485" w:rsidP="0037730C">
      <w:pPr>
        <w:spacing w:line="276" w:lineRule="auto"/>
        <w:jc w:val="both"/>
        <w:rPr>
          <w:rFonts w:cs="Arial"/>
          <w:lang w:val="en-GB"/>
        </w:rPr>
      </w:pPr>
    </w:p>
    <w:p w14:paraId="0B406457" w14:textId="16417AE6" w:rsidR="00DB3850" w:rsidRPr="00EF3ECB" w:rsidRDefault="00BD4ED4" w:rsidP="0037730C">
      <w:pPr>
        <w:spacing w:line="276" w:lineRule="auto"/>
        <w:jc w:val="both"/>
        <w:rPr>
          <w:rFonts w:cs="Arial"/>
          <w:lang w:val="en-GB"/>
        </w:rPr>
      </w:pPr>
      <w:r w:rsidRPr="00EF3ECB">
        <w:rPr>
          <w:rFonts w:cs="Arial"/>
          <w:lang w:val="en-GB"/>
        </w:rPr>
        <w:t>In relation to CNTC</w:t>
      </w:r>
      <w:r w:rsidR="00BC7C48" w:rsidRPr="00EF3ECB">
        <w:rPr>
          <w:rFonts w:cs="Arial"/>
          <w:lang w:val="en-GB"/>
        </w:rPr>
        <w:t xml:space="preserve">, </w:t>
      </w:r>
      <w:r w:rsidR="005D6456" w:rsidRPr="00EF3ECB">
        <w:rPr>
          <w:rFonts w:cs="Arial"/>
          <w:lang w:val="en-GB"/>
        </w:rPr>
        <w:t xml:space="preserve">the Scheduled Flow shall be equal to the allocated capacities (taking into account all allocation constraints). </w:t>
      </w:r>
      <w:r w:rsidR="0037730C" w:rsidRPr="00EF3ECB">
        <w:rPr>
          <w:rFonts w:cs="Arial"/>
          <w:lang w:val="en-GB"/>
        </w:rPr>
        <w:t>I</w:t>
      </w:r>
      <w:r w:rsidRPr="00EF3ECB">
        <w:rPr>
          <w:rFonts w:cs="Arial"/>
          <w:lang w:val="en-GB"/>
        </w:rPr>
        <w:t xml:space="preserve">f price differences arise, due to exhausted bilateral Available Transmission Capacity (ATC), the </w:t>
      </w:r>
      <w:r w:rsidR="00543D26" w:rsidRPr="00EF3ECB">
        <w:rPr>
          <w:rFonts w:cs="Arial"/>
          <w:lang w:val="en-GB"/>
        </w:rPr>
        <w:t>Scheduled Exchanges</w:t>
      </w:r>
      <w:r w:rsidRPr="00EF3ECB">
        <w:rPr>
          <w:rFonts w:cs="Arial"/>
          <w:lang w:val="en-GB"/>
        </w:rPr>
        <w:t xml:space="preserve"> will be equal to the ATC (as the ATC is fully used). If another allocation constraint is limiting exchanges over a Bidding Zone Border (e.g. ramping constraints of an HVDC interconnector), then </w:t>
      </w:r>
      <w:r w:rsidR="00C61C52" w:rsidRPr="00EF3ECB">
        <w:rPr>
          <w:rFonts w:cs="Arial"/>
          <w:lang w:val="en-GB"/>
        </w:rPr>
        <w:t xml:space="preserve">a price difference may arise even if not all available capacity is used. However, in such case the </w:t>
      </w:r>
      <w:r w:rsidR="00543D26" w:rsidRPr="00EF3ECB">
        <w:rPr>
          <w:rFonts w:cs="Arial"/>
          <w:lang w:val="en-GB"/>
        </w:rPr>
        <w:t>Scheduled Exchanges</w:t>
      </w:r>
      <w:r w:rsidR="00C61C52" w:rsidRPr="00EF3ECB">
        <w:rPr>
          <w:rFonts w:cs="Arial"/>
          <w:lang w:val="en-GB"/>
        </w:rPr>
        <w:t xml:space="preserve"> shall be equal to the allocated capacity on the Bidding Zone Border. </w:t>
      </w:r>
    </w:p>
    <w:p w14:paraId="410DE1F9" w14:textId="77777777" w:rsidR="00DB3850" w:rsidRPr="00EF3ECB" w:rsidRDefault="00DB3850" w:rsidP="0037730C">
      <w:pPr>
        <w:spacing w:line="276" w:lineRule="auto"/>
        <w:jc w:val="both"/>
        <w:rPr>
          <w:rFonts w:cs="Arial"/>
          <w:lang w:val="en-GB"/>
        </w:rPr>
      </w:pPr>
    </w:p>
    <w:p w14:paraId="7BCAC4F2" w14:textId="1E0A6CA7" w:rsidR="00AE4485" w:rsidRPr="00EF3ECB" w:rsidRDefault="00AE4485" w:rsidP="0037730C">
      <w:pPr>
        <w:spacing w:line="276" w:lineRule="auto"/>
        <w:jc w:val="both"/>
        <w:rPr>
          <w:rFonts w:cs="Arial"/>
          <w:lang w:val="en-GB"/>
        </w:rPr>
      </w:pPr>
      <w:r w:rsidRPr="00EF3ECB">
        <w:rPr>
          <w:rFonts w:cs="Arial"/>
          <w:lang w:val="en-GB"/>
        </w:rPr>
        <w:t xml:space="preserve">In relation to Flow Based: Congestion Income arises when </w:t>
      </w:r>
      <w:r w:rsidR="008E2556" w:rsidRPr="00EF3ECB">
        <w:rPr>
          <w:rFonts w:cs="Arial"/>
          <w:lang w:val="en-GB"/>
        </w:rPr>
        <w:t xml:space="preserve">there is a price difference between the different hubs applying </w:t>
      </w:r>
      <w:r w:rsidR="00BF672A" w:rsidRPr="00EF3ECB">
        <w:rPr>
          <w:rFonts w:cs="Arial"/>
          <w:lang w:val="en-GB"/>
        </w:rPr>
        <w:t>a flow based approach</w:t>
      </w:r>
      <w:r w:rsidR="008E2556" w:rsidRPr="00EF3ECB">
        <w:rPr>
          <w:rFonts w:cs="Arial"/>
          <w:lang w:val="en-GB"/>
        </w:rPr>
        <w:t>. If there is a price difference, this means that at least one Critical Branch (or the intuitiveness constraint) is limiting exchanges. The congestion income resulting from the congestion is then assigned per Bidding Zone Border. The C</w:t>
      </w:r>
      <w:r w:rsidR="00BF672A" w:rsidRPr="00EF3ECB">
        <w:rPr>
          <w:rFonts w:cs="Arial"/>
          <w:lang w:val="en-GB"/>
        </w:rPr>
        <w:t xml:space="preserve">ongestion </w:t>
      </w:r>
      <w:r w:rsidR="008E2556" w:rsidRPr="00EF3ECB">
        <w:rPr>
          <w:rFonts w:cs="Arial"/>
          <w:lang w:val="en-GB"/>
        </w:rPr>
        <w:t>I</w:t>
      </w:r>
      <w:r w:rsidR="00BF672A" w:rsidRPr="00EF3ECB">
        <w:rPr>
          <w:rFonts w:cs="Arial"/>
          <w:lang w:val="en-GB"/>
        </w:rPr>
        <w:t xml:space="preserve">ncome </w:t>
      </w:r>
      <w:r w:rsidR="008E2556" w:rsidRPr="00EF3ECB">
        <w:rPr>
          <w:rFonts w:cs="Arial"/>
          <w:lang w:val="en-GB"/>
        </w:rPr>
        <w:t>D</w:t>
      </w:r>
      <w:r w:rsidR="00BF672A" w:rsidRPr="00EF3ECB">
        <w:rPr>
          <w:rFonts w:cs="Arial"/>
          <w:lang w:val="en-GB"/>
        </w:rPr>
        <w:t>istribution</w:t>
      </w:r>
      <w:r w:rsidR="008E2556" w:rsidRPr="00EF3ECB">
        <w:rPr>
          <w:rFonts w:cs="Arial"/>
          <w:lang w:val="en-GB"/>
        </w:rPr>
        <w:t xml:space="preserve"> </w:t>
      </w:r>
      <w:r w:rsidR="00DE7303" w:rsidRPr="00EF3ECB">
        <w:rPr>
          <w:rFonts w:cs="Arial"/>
          <w:lang w:val="en-GB"/>
        </w:rPr>
        <w:t>uses the AAF to allocate congestion income to each Bidding Zone Border</w:t>
      </w:r>
    </w:p>
    <w:p w14:paraId="2CF2780B" w14:textId="77777777" w:rsidR="00AE4485" w:rsidRPr="00EF3ECB" w:rsidRDefault="00AE4485" w:rsidP="0037730C">
      <w:pPr>
        <w:spacing w:line="276" w:lineRule="auto"/>
        <w:jc w:val="both"/>
        <w:rPr>
          <w:rFonts w:cs="Arial"/>
          <w:lang w:val="en-GB"/>
        </w:rPr>
      </w:pPr>
    </w:p>
    <w:p w14:paraId="6CF408D9" w14:textId="685DB1A9" w:rsidR="00AE4485" w:rsidRPr="00EF3ECB" w:rsidRDefault="00543D26" w:rsidP="0037730C">
      <w:pPr>
        <w:spacing w:line="276" w:lineRule="auto"/>
        <w:jc w:val="both"/>
        <w:rPr>
          <w:rFonts w:cs="Arial"/>
          <w:lang w:val="en-GB"/>
        </w:rPr>
      </w:pPr>
      <w:r w:rsidRPr="00EF3ECB">
        <w:rPr>
          <w:rFonts w:cs="Arial"/>
          <w:lang w:val="en-GB"/>
        </w:rPr>
        <w:t>Scheduled Exchanges</w:t>
      </w:r>
      <w:r w:rsidR="00533EA0" w:rsidRPr="00EF3ECB">
        <w:rPr>
          <w:rFonts w:cs="Arial"/>
          <w:lang w:val="en-GB"/>
        </w:rPr>
        <w:t>, which equal the allocated capacities,</w:t>
      </w:r>
      <w:r w:rsidR="00AE4485" w:rsidRPr="00EF3ECB">
        <w:rPr>
          <w:rFonts w:cs="Arial"/>
          <w:lang w:val="en-GB"/>
        </w:rPr>
        <w:t xml:space="preserve"> are therefore relevant for the calculation of Congestion Income under the CNTC Approach.</w:t>
      </w:r>
      <w:r w:rsidR="00DE7303" w:rsidRPr="00EF3ECB">
        <w:rPr>
          <w:rFonts w:cs="Arial"/>
          <w:lang w:val="en-GB"/>
        </w:rPr>
        <w:t xml:space="preserve"> </w:t>
      </w:r>
    </w:p>
    <w:p w14:paraId="6DD77063" w14:textId="28E07292" w:rsidR="00DB6F26" w:rsidRPr="00EF3ECB" w:rsidRDefault="00DB6F26" w:rsidP="0037730C">
      <w:pPr>
        <w:spacing w:line="276" w:lineRule="auto"/>
        <w:jc w:val="both"/>
        <w:rPr>
          <w:rFonts w:cs="Arial"/>
          <w:lang w:val="en-GB"/>
        </w:rPr>
      </w:pPr>
    </w:p>
    <w:p w14:paraId="7CFF893C" w14:textId="571A557E" w:rsidR="0094097A" w:rsidRPr="00EF3ECB" w:rsidRDefault="009219FE" w:rsidP="00F8788D">
      <w:pPr>
        <w:pStyle w:val="Heading1"/>
        <w:numPr>
          <w:ilvl w:val="0"/>
          <w:numId w:val="1"/>
        </w:numPr>
        <w:spacing w:before="0" w:line="276" w:lineRule="auto"/>
        <w:ind w:left="0" w:firstLine="0"/>
        <w:jc w:val="both"/>
        <w:rPr>
          <w:rFonts w:ascii="Arial" w:hAnsi="Arial" w:cs="Arial"/>
          <w:lang w:val="en-GB"/>
        </w:rPr>
      </w:pPr>
      <w:bookmarkStart w:id="30" w:name="_Toc507425376"/>
      <w:r w:rsidRPr="00EF3ECB">
        <w:rPr>
          <w:rFonts w:ascii="Arial" w:hAnsi="Arial" w:cs="Arial"/>
          <w:lang w:val="en-GB"/>
        </w:rPr>
        <w:t>Scheduled Exchange</w:t>
      </w:r>
      <w:r w:rsidR="00442F7A" w:rsidRPr="00EF3ECB">
        <w:rPr>
          <w:rFonts w:ascii="Arial" w:hAnsi="Arial" w:cs="Arial"/>
          <w:lang w:val="en-GB"/>
        </w:rPr>
        <w:t xml:space="preserve"> Calculator</w:t>
      </w:r>
      <w:bookmarkEnd w:id="30"/>
    </w:p>
    <w:p w14:paraId="31D06D60" w14:textId="77777777" w:rsidR="00442F7A" w:rsidRPr="00EF3ECB" w:rsidRDefault="00442F7A" w:rsidP="0037730C">
      <w:pPr>
        <w:spacing w:line="276" w:lineRule="auto"/>
        <w:jc w:val="both"/>
        <w:rPr>
          <w:rFonts w:cs="Arial"/>
          <w:lang w:val="en-GB"/>
        </w:rPr>
      </w:pPr>
    </w:p>
    <w:p w14:paraId="3D6F7AF1" w14:textId="4C95FF22" w:rsidR="00DB19F3" w:rsidRPr="00EF3ECB" w:rsidRDefault="00DB19F3" w:rsidP="00F8788D">
      <w:pPr>
        <w:pStyle w:val="Heading2"/>
        <w:numPr>
          <w:ilvl w:val="1"/>
          <w:numId w:val="1"/>
        </w:numPr>
        <w:spacing w:before="0" w:line="276" w:lineRule="auto"/>
        <w:ind w:left="0" w:firstLine="0"/>
        <w:jc w:val="both"/>
        <w:rPr>
          <w:rFonts w:cs="Arial"/>
          <w:szCs w:val="22"/>
          <w:lang w:val="en-GB"/>
        </w:rPr>
      </w:pPr>
      <w:bookmarkStart w:id="31" w:name="_Toc507425377"/>
      <w:r w:rsidRPr="00EF3ECB">
        <w:rPr>
          <w:rFonts w:ascii="Arial" w:hAnsi="Arial" w:cs="Arial"/>
          <w:lang w:val="en-GB"/>
        </w:rPr>
        <w:t>Calculatio</w:t>
      </w:r>
      <w:r w:rsidR="003237F8" w:rsidRPr="00EF3ECB">
        <w:rPr>
          <w:rFonts w:ascii="Arial" w:hAnsi="Arial" w:cs="Arial"/>
          <w:lang w:val="en-GB"/>
        </w:rPr>
        <w:t>n process</w:t>
      </w:r>
      <w:bookmarkEnd w:id="31"/>
    </w:p>
    <w:p w14:paraId="714194F1" w14:textId="7B6A546C" w:rsidR="00DB19F3" w:rsidRPr="00EF3ECB" w:rsidRDefault="00DB19F3" w:rsidP="0037730C">
      <w:pPr>
        <w:spacing w:line="276" w:lineRule="auto"/>
        <w:jc w:val="both"/>
        <w:rPr>
          <w:rFonts w:cs="Arial"/>
          <w:szCs w:val="22"/>
          <w:lang w:val="en-GB"/>
        </w:rPr>
      </w:pPr>
    </w:p>
    <w:p w14:paraId="41CEA5FF" w14:textId="27B9D9E9" w:rsidR="00614298" w:rsidRPr="00EF3ECB" w:rsidRDefault="00614298" w:rsidP="0037730C">
      <w:pPr>
        <w:spacing w:line="276" w:lineRule="auto"/>
        <w:jc w:val="both"/>
        <w:rPr>
          <w:rFonts w:cs="Arial"/>
          <w:szCs w:val="22"/>
          <w:lang w:val="en-GB"/>
        </w:rPr>
      </w:pPr>
      <w:r w:rsidRPr="00EF3ECB">
        <w:rPr>
          <w:rFonts w:cs="Arial"/>
          <w:szCs w:val="22"/>
          <w:lang w:val="en-GB"/>
        </w:rPr>
        <w:t>According to Article 8(</w:t>
      </w:r>
      <w:r w:rsidR="00EB350E">
        <w:rPr>
          <w:rFonts w:cs="Arial"/>
          <w:szCs w:val="22"/>
          <w:lang w:val="en-GB"/>
        </w:rPr>
        <w:t>2</w:t>
      </w:r>
      <w:r w:rsidRPr="00EF3ECB">
        <w:rPr>
          <w:rFonts w:cs="Arial"/>
          <w:szCs w:val="22"/>
          <w:lang w:val="en-GB"/>
        </w:rPr>
        <w:t>g)</w:t>
      </w:r>
      <w:r w:rsidR="008E7442">
        <w:rPr>
          <w:rFonts w:cs="Arial"/>
          <w:szCs w:val="22"/>
          <w:lang w:val="en-GB"/>
        </w:rPr>
        <w:t xml:space="preserve"> of the CACM Regulation</w:t>
      </w:r>
      <w:r w:rsidRPr="00EF3ECB">
        <w:rPr>
          <w:rFonts w:cs="Arial"/>
          <w:szCs w:val="22"/>
          <w:lang w:val="en-GB"/>
        </w:rPr>
        <w:t>, the TSOs shall, where required, establish</w:t>
      </w:r>
      <w:r w:rsidR="00C260E6" w:rsidRPr="00EF3ECB">
        <w:rPr>
          <w:rFonts w:cs="Arial"/>
          <w:szCs w:val="22"/>
          <w:lang w:val="en-GB"/>
        </w:rPr>
        <w:t xml:space="preserve"> a</w:t>
      </w:r>
      <w:r w:rsidRPr="00EF3ECB">
        <w:rPr>
          <w:rFonts w:cs="Arial"/>
          <w:szCs w:val="22"/>
          <w:lang w:val="en-GB"/>
        </w:rPr>
        <w:t xml:space="preserve"> Scheduled Exchange </w:t>
      </w:r>
      <w:r w:rsidR="00C260E6" w:rsidRPr="00EF3ECB">
        <w:rPr>
          <w:rFonts w:cs="Arial"/>
          <w:szCs w:val="22"/>
          <w:lang w:val="en-GB"/>
        </w:rPr>
        <w:t>C</w:t>
      </w:r>
      <w:r w:rsidRPr="00EF3ECB">
        <w:rPr>
          <w:rFonts w:cs="Arial"/>
          <w:szCs w:val="22"/>
          <w:lang w:val="en-GB"/>
        </w:rPr>
        <w:t xml:space="preserve">alculator </w:t>
      </w:r>
      <w:r w:rsidR="00B27942" w:rsidRPr="00EF3ECB">
        <w:rPr>
          <w:rFonts w:cs="Arial"/>
          <w:szCs w:val="22"/>
          <w:lang w:val="en-GB"/>
        </w:rPr>
        <w:t xml:space="preserve">(SEC) </w:t>
      </w:r>
      <w:r w:rsidRPr="00EF3ECB">
        <w:rPr>
          <w:rFonts w:cs="Arial"/>
          <w:szCs w:val="22"/>
          <w:lang w:val="en-GB"/>
        </w:rPr>
        <w:t xml:space="preserve">for calculating and publishing </w:t>
      </w:r>
      <w:r w:rsidR="00543D26" w:rsidRPr="00EF3ECB">
        <w:rPr>
          <w:rFonts w:cs="Arial"/>
          <w:szCs w:val="22"/>
          <w:lang w:val="en-GB"/>
        </w:rPr>
        <w:t>Scheduled Exchanges</w:t>
      </w:r>
      <w:r w:rsidRPr="00EF3ECB">
        <w:rPr>
          <w:rFonts w:cs="Arial"/>
          <w:szCs w:val="22"/>
          <w:lang w:val="en-GB"/>
        </w:rPr>
        <w:t xml:space="preserve"> on </w:t>
      </w:r>
      <w:r w:rsidR="00F0280E">
        <w:rPr>
          <w:rFonts w:cs="Arial"/>
          <w:szCs w:val="22"/>
          <w:lang w:val="en-GB"/>
        </w:rPr>
        <w:t xml:space="preserve">borders between Bidding Zones. </w:t>
      </w:r>
    </w:p>
    <w:p w14:paraId="21949FB5" w14:textId="77777777" w:rsidR="001B1D2A" w:rsidRPr="00EF3ECB" w:rsidRDefault="001B1D2A" w:rsidP="0037730C">
      <w:pPr>
        <w:spacing w:line="276" w:lineRule="auto"/>
        <w:jc w:val="both"/>
        <w:rPr>
          <w:rFonts w:cs="Arial"/>
          <w:szCs w:val="22"/>
          <w:lang w:val="en-GB"/>
        </w:rPr>
      </w:pPr>
    </w:p>
    <w:p w14:paraId="1E3DA246" w14:textId="087AAFDC" w:rsidR="00C41F2A" w:rsidRPr="00EF3ECB" w:rsidRDefault="00C41F2A" w:rsidP="0037730C">
      <w:pPr>
        <w:spacing w:line="276" w:lineRule="auto"/>
        <w:jc w:val="both"/>
        <w:rPr>
          <w:rFonts w:ascii="Calibri" w:hAnsi="Calibri"/>
          <w:szCs w:val="22"/>
          <w:lang w:val="en-GB" w:eastAsia="en-GB"/>
        </w:rPr>
      </w:pPr>
      <w:r w:rsidRPr="00EF3ECB">
        <w:rPr>
          <w:rFonts w:cs="Arial"/>
          <w:szCs w:val="22"/>
          <w:lang w:val="en-GB"/>
        </w:rPr>
        <w:t>As described above, c</w:t>
      </w:r>
      <w:r w:rsidRPr="00EF3ECB">
        <w:rPr>
          <w:lang w:val="en-GB"/>
        </w:rPr>
        <w:t xml:space="preserve">urrently only the former CWE Region has a regionally installed scheduled exchanges calculation </w:t>
      </w:r>
      <w:r w:rsidR="00994013" w:rsidRPr="00EF3ECB">
        <w:rPr>
          <w:lang w:val="en-GB"/>
        </w:rPr>
        <w:t>process</w:t>
      </w:r>
      <w:r w:rsidRPr="00EF3ECB">
        <w:rPr>
          <w:lang w:val="en-GB"/>
        </w:rPr>
        <w:t xml:space="preserve">. For other TSOs, the Market coupling algorithm, more precisely the PCR system, is currently fulfilling the function of scheduled flow calculation across Bidding Zones, which are then used as scheduled exchanges. </w:t>
      </w:r>
    </w:p>
    <w:p w14:paraId="07986592" w14:textId="6CDF1BF3" w:rsidR="001B1D2A" w:rsidRPr="00EF3ECB" w:rsidRDefault="001B1D2A" w:rsidP="0037730C">
      <w:pPr>
        <w:spacing w:line="276" w:lineRule="auto"/>
        <w:jc w:val="both"/>
        <w:rPr>
          <w:rFonts w:cs="Arial"/>
          <w:szCs w:val="22"/>
          <w:lang w:val="en-GB"/>
        </w:rPr>
      </w:pPr>
    </w:p>
    <w:p w14:paraId="1DF7ED49" w14:textId="3BA62A5A" w:rsidR="00C41F2A" w:rsidRPr="00EF3ECB" w:rsidRDefault="00C41F2A" w:rsidP="0037730C">
      <w:pPr>
        <w:spacing w:line="276" w:lineRule="auto"/>
        <w:jc w:val="both"/>
        <w:rPr>
          <w:b/>
          <w:lang w:val="en-GB"/>
        </w:rPr>
      </w:pPr>
      <w:r w:rsidRPr="00EF3ECB">
        <w:rPr>
          <w:rFonts w:cs="Arial"/>
          <w:szCs w:val="22"/>
          <w:lang w:val="en-GB"/>
        </w:rPr>
        <w:t>In line with current developments in order to implement the Single Day Ahead Coupling (SDAC</w:t>
      </w:r>
      <w:r w:rsidR="00CC5FCA" w:rsidRPr="00EF3ECB">
        <w:rPr>
          <w:rFonts w:cs="Arial"/>
          <w:szCs w:val="22"/>
          <w:lang w:val="en-GB"/>
        </w:rPr>
        <w:t>), which</w:t>
      </w:r>
      <w:r w:rsidR="008B3C07" w:rsidRPr="00EF3ECB">
        <w:rPr>
          <w:rFonts w:cs="Arial"/>
          <w:szCs w:val="22"/>
          <w:lang w:val="en-GB"/>
        </w:rPr>
        <w:t xml:space="preserve"> will be able to accommodate multiple NEMOs in a bidding zone</w:t>
      </w:r>
      <w:r w:rsidRPr="00EF3ECB">
        <w:rPr>
          <w:rFonts w:cs="Arial"/>
          <w:szCs w:val="22"/>
          <w:lang w:val="en-GB"/>
        </w:rPr>
        <w:t xml:space="preserve">, the scheduled exchange calculation function will be unified in one system for all TSOs, while adding </w:t>
      </w:r>
      <w:r w:rsidR="00B27942" w:rsidRPr="00EF3ECB">
        <w:rPr>
          <w:rFonts w:cs="Arial"/>
          <w:szCs w:val="22"/>
          <w:lang w:val="en-GB"/>
        </w:rPr>
        <w:t xml:space="preserve">the additional flow calculations for scheduling areas. By using only one Pan-European SEC, no coordination among different SECs will be necessary in the future. </w:t>
      </w:r>
      <w:r w:rsidR="00B06589" w:rsidRPr="00EF3ECB">
        <w:rPr>
          <w:lang w:val="en-GB"/>
        </w:rPr>
        <w:t xml:space="preserve">A unified SEC function simplifies the global NEMO-TSO system for SDAC and avoids </w:t>
      </w:r>
      <w:r w:rsidR="00994013" w:rsidRPr="00EF3ECB">
        <w:rPr>
          <w:lang w:val="en-GB"/>
        </w:rPr>
        <w:t>time-consuming</w:t>
      </w:r>
      <w:r w:rsidR="00B06589" w:rsidRPr="00EF3ECB">
        <w:rPr>
          <w:lang w:val="en-GB"/>
        </w:rPr>
        <w:t xml:space="preserve"> </w:t>
      </w:r>
      <w:r w:rsidR="00994013" w:rsidRPr="00EF3ECB">
        <w:rPr>
          <w:lang w:val="en-GB"/>
        </w:rPr>
        <w:t>crosschecks</w:t>
      </w:r>
      <w:r w:rsidR="00B06589" w:rsidRPr="00EF3ECB">
        <w:rPr>
          <w:lang w:val="en-GB"/>
        </w:rPr>
        <w:t xml:space="preserve"> across different SEC functions in different regions</w:t>
      </w:r>
      <w:r w:rsidR="00B06589" w:rsidRPr="00EF3ECB">
        <w:rPr>
          <w:b/>
          <w:lang w:val="en-GB"/>
        </w:rPr>
        <w:t>.</w:t>
      </w:r>
    </w:p>
    <w:p w14:paraId="4C8D071A" w14:textId="77777777" w:rsidR="00B06589" w:rsidRPr="00EF3ECB" w:rsidRDefault="00B06589" w:rsidP="0037730C">
      <w:pPr>
        <w:spacing w:line="276" w:lineRule="auto"/>
        <w:jc w:val="both"/>
        <w:rPr>
          <w:rFonts w:cs="Arial"/>
          <w:szCs w:val="22"/>
          <w:lang w:val="en-GB"/>
        </w:rPr>
      </w:pPr>
    </w:p>
    <w:p w14:paraId="2D7F4181" w14:textId="5407A54A" w:rsidR="00CC5FCA" w:rsidRPr="00EF3ECB" w:rsidRDefault="00CC5FCA" w:rsidP="0037730C">
      <w:pPr>
        <w:spacing w:line="276" w:lineRule="auto"/>
        <w:jc w:val="both"/>
        <w:rPr>
          <w:rFonts w:cs="Arial"/>
          <w:szCs w:val="22"/>
          <w:lang w:val="en-GB"/>
        </w:rPr>
      </w:pPr>
    </w:p>
    <w:p w14:paraId="734F1CCE" w14:textId="77777777" w:rsidR="005B6158" w:rsidRPr="00EF3ECB" w:rsidRDefault="00226350" w:rsidP="0037730C">
      <w:pPr>
        <w:keepNext/>
        <w:spacing w:line="276" w:lineRule="auto"/>
        <w:jc w:val="both"/>
        <w:rPr>
          <w:lang w:val="en-GB"/>
        </w:rPr>
      </w:pPr>
      <w:r w:rsidRPr="00EF3ECB">
        <w:rPr>
          <w:noProof/>
          <w:lang w:val="de-AT" w:eastAsia="de-AT"/>
        </w:rPr>
        <w:drawing>
          <wp:inline distT="0" distB="0" distL="0" distR="0" wp14:anchorId="2C3AF596" wp14:editId="6CEC4AFD">
            <wp:extent cx="5270500" cy="2964180"/>
            <wp:effectExtent l="0" t="0" r="6350" b="7620"/>
            <wp:docPr id="2"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4"/>
                    <a:stretch>
                      <a:fillRect/>
                    </a:stretch>
                  </pic:blipFill>
                  <pic:spPr>
                    <a:xfrm>
                      <a:off x="0" y="0"/>
                      <a:ext cx="5270500" cy="2964180"/>
                    </a:xfrm>
                    <a:prstGeom prst="rect">
                      <a:avLst/>
                    </a:prstGeom>
                  </pic:spPr>
                </pic:pic>
              </a:graphicData>
            </a:graphic>
          </wp:inline>
        </w:drawing>
      </w:r>
    </w:p>
    <w:p w14:paraId="34B6CA18" w14:textId="6D5C253A" w:rsidR="00CC5FCA" w:rsidRPr="00EF3ECB" w:rsidRDefault="005B6158" w:rsidP="0037730C">
      <w:pPr>
        <w:pStyle w:val="Caption"/>
        <w:spacing w:line="276" w:lineRule="auto"/>
        <w:jc w:val="both"/>
        <w:rPr>
          <w:rFonts w:cs="Arial"/>
          <w:szCs w:val="22"/>
          <w:lang w:val="en-GB"/>
        </w:rPr>
      </w:pPr>
      <w:bookmarkStart w:id="32" w:name="_Toc505860280"/>
      <w:r w:rsidRPr="00EF3ECB">
        <w:rPr>
          <w:lang w:val="en-GB"/>
        </w:rPr>
        <w:t xml:space="preserve">Figure </w:t>
      </w:r>
      <w:r w:rsidRPr="00EF3ECB">
        <w:rPr>
          <w:lang w:val="en-GB"/>
        </w:rPr>
        <w:fldChar w:fldCharType="begin"/>
      </w:r>
      <w:r w:rsidRPr="00EF3ECB">
        <w:rPr>
          <w:lang w:val="en-GB"/>
        </w:rPr>
        <w:instrText xml:space="preserve"> SEQ Figure \* ARABIC </w:instrText>
      </w:r>
      <w:r w:rsidRPr="00EF3ECB">
        <w:rPr>
          <w:lang w:val="en-GB"/>
        </w:rPr>
        <w:fldChar w:fldCharType="separate"/>
      </w:r>
      <w:r w:rsidR="00FC1305">
        <w:rPr>
          <w:noProof/>
          <w:lang w:val="en-GB"/>
        </w:rPr>
        <w:t>4</w:t>
      </w:r>
      <w:r w:rsidRPr="00EF3ECB">
        <w:rPr>
          <w:lang w:val="en-GB"/>
        </w:rPr>
        <w:fldChar w:fldCharType="end"/>
      </w:r>
      <w:r w:rsidRPr="00EF3ECB">
        <w:rPr>
          <w:lang w:val="en-GB"/>
        </w:rPr>
        <w:t>: Proposed process by PCR</w:t>
      </w:r>
      <w:bookmarkEnd w:id="32"/>
    </w:p>
    <w:p w14:paraId="3CA71DF6" w14:textId="77777777" w:rsidR="00B06589" w:rsidRPr="00EF3ECB" w:rsidRDefault="00B06589" w:rsidP="0037730C">
      <w:pPr>
        <w:spacing w:line="276" w:lineRule="auto"/>
        <w:jc w:val="both"/>
        <w:rPr>
          <w:lang w:val="en-GB"/>
        </w:rPr>
      </w:pPr>
    </w:p>
    <w:p w14:paraId="7B133BFB" w14:textId="24583876" w:rsidR="008B3C07" w:rsidRPr="00EF3ECB" w:rsidRDefault="00226350" w:rsidP="0037730C">
      <w:pPr>
        <w:spacing w:line="276" w:lineRule="auto"/>
        <w:jc w:val="both"/>
        <w:rPr>
          <w:rFonts w:cs="Arial"/>
          <w:szCs w:val="22"/>
          <w:lang w:val="en-GB"/>
        </w:rPr>
      </w:pPr>
      <w:r w:rsidRPr="00EF3ECB">
        <w:rPr>
          <w:rFonts w:cstheme="minorHAnsi"/>
          <w:color w:val="000000" w:themeColor="text1"/>
          <w:lang w:val="en-GB"/>
        </w:rPr>
        <w:t>T</w:t>
      </w:r>
      <w:r w:rsidR="008B3C07" w:rsidRPr="00EF3ECB">
        <w:rPr>
          <w:rFonts w:cstheme="minorHAnsi"/>
          <w:color w:val="000000" w:themeColor="text1"/>
          <w:lang w:val="en-GB"/>
        </w:rPr>
        <w:t xml:space="preserve">SOs will develop governance functionalities for the Scheduled Exchange Calculator in coordination with all NEMOs in line with the SDAC. </w:t>
      </w:r>
    </w:p>
    <w:p w14:paraId="2536CCC5" w14:textId="77777777" w:rsidR="001B1D2A" w:rsidRPr="00EF3ECB" w:rsidRDefault="001B1D2A" w:rsidP="0037730C">
      <w:pPr>
        <w:spacing w:line="276" w:lineRule="auto"/>
        <w:jc w:val="both"/>
        <w:rPr>
          <w:rFonts w:cs="Arial"/>
          <w:szCs w:val="22"/>
          <w:lang w:val="en-GB"/>
        </w:rPr>
      </w:pPr>
    </w:p>
    <w:p w14:paraId="32749509" w14:textId="78ADC474" w:rsidR="0053435F" w:rsidRPr="00EF3ECB" w:rsidRDefault="0053435F" w:rsidP="00F8788D">
      <w:pPr>
        <w:pStyle w:val="Heading2"/>
        <w:numPr>
          <w:ilvl w:val="1"/>
          <w:numId w:val="1"/>
        </w:numPr>
        <w:spacing w:before="0" w:line="276" w:lineRule="auto"/>
        <w:ind w:left="0" w:firstLine="0"/>
        <w:jc w:val="both"/>
        <w:rPr>
          <w:rFonts w:ascii="Arial" w:hAnsi="Arial" w:cs="Arial"/>
          <w:lang w:val="en-GB"/>
        </w:rPr>
      </w:pPr>
      <w:bookmarkStart w:id="33" w:name="_Toc503250161"/>
      <w:bookmarkStart w:id="34" w:name="_Toc503250162"/>
      <w:bookmarkStart w:id="35" w:name="_Toc503250163"/>
      <w:bookmarkStart w:id="36" w:name="_Toc507425378"/>
      <w:bookmarkEnd w:id="33"/>
      <w:bookmarkEnd w:id="34"/>
      <w:bookmarkEnd w:id="35"/>
      <w:r w:rsidRPr="00EF3ECB">
        <w:rPr>
          <w:rFonts w:ascii="Arial" w:hAnsi="Arial" w:cs="Arial"/>
          <w:lang w:val="en-GB"/>
        </w:rPr>
        <w:t>Time Limits for Delivery of Information</w:t>
      </w:r>
      <w:bookmarkEnd w:id="36"/>
      <w:r w:rsidRPr="00EF3ECB">
        <w:rPr>
          <w:rFonts w:ascii="Arial" w:hAnsi="Arial" w:cs="Arial"/>
          <w:lang w:val="en-GB"/>
        </w:rPr>
        <w:t xml:space="preserve"> </w:t>
      </w:r>
    </w:p>
    <w:p w14:paraId="200A5E3F" w14:textId="140EE236" w:rsidR="00797EF8" w:rsidRPr="00EF3ECB" w:rsidRDefault="00797EF8" w:rsidP="0037730C">
      <w:pPr>
        <w:spacing w:line="276" w:lineRule="auto"/>
        <w:jc w:val="both"/>
        <w:rPr>
          <w:rFonts w:cs="Arial"/>
          <w:lang w:val="en-GB"/>
        </w:rPr>
      </w:pPr>
    </w:p>
    <w:p w14:paraId="4C856640" w14:textId="16A00B16" w:rsidR="00797EF8" w:rsidRPr="00EF3ECB" w:rsidRDefault="00797EF8" w:rsidP="0037730C">
      <w:pPr>
        <w:spacing w:line="276" w:lineRule="auto"/>
        <w:jc w:val="both"/>
        <w:rPr>
          <w:lang w:val="en-GB"/>
        </w:rPr>
      </w:pPr>
      <w:r w:rsidRPr="00EF3ECB">
        <w:rPr>
          <w:lang w:val="en-GB"/>
        </w:rPr>
        <w:t>In the current Market Coupling Session process, the Calculation step is set to 12 minutes: 10 minutes of Euphemia calculation + 2 minutes for reading input data and writing output data. The target time for this step is 12:22.</w:t>
      </w:r>
      <w:r w:rsidR="0012198D" w:rsidRPr="00EF3ECB">
        <w:rPr>
          <w:lang w:val="en-GB"/>
        </w:rPr>
        <w:t xml:space="preserve"> </w:t>
      </w:r>
      <w:r w:rsidRPr="00EF3ECB">
        <w:rPr>
          <w:lang w:val="en-GB"/>
        </w:rPr>
        <w:t xml:space="preserve">The Results Sharing step takes 2 minutes and </w:t>
      </w:r>
      <w:r w:rsidR="0012198D" w:rsidRPr="00EF3ECB">
        <w:rPr>
          <w:lang w:val="en-GB"/>
        </w:rPr>
        <w:t xml:space="preserve">the </w:t>
      </w:r>
      <w:r w:rsidRPr="00EF3ECB">
        <w:rPr>
          <w:lang w:val="en-GB"/>
        </w:rPr>
        <w:t>Prelimina</w:t>
      </w:r>
      <w:r w:rsidR="0012198D" w:rsidRPr="00EF3ECB">
        <w:rPr>
          <w:lang w:val="en-GB"/>
        </w:rPr>
        <w:t>ry Confirmation of the Results takes 12 minutes.</w:t>
      </w:r>
      <w:r w:rsidRPr="00EF3ECB">
        <w:rPr>
          <w:lang w:val="en-GB"/>
        </w:rPr>
        <w:t xml:space="preserve"> The target time for this step is 12:36. The regular publication time is 12:42</w:t>
      </w:r>
      <w:r w:rsidR="0012198D" w:rsidRPr="00EF3ECB">
        <w:rPr>
          <w:lang w:val="en-GB"/>
        </w:rPr>
        <w:t xml:space="preserve">, so </w:t>
      </w:r>
      <w:r w:rsidRPr="00EF3ECB">
        <w:rPr>
          <w:lang w:val="en-GB"/>
        </w:rPr>
        <w:t xml:space="preserve">the margin between the end of the Preliminary Confirmation and the publication time is 6 minutes. </w:t>
      </w:r>
    </w:p>
    <w:p w14:paraId="6AC1AFCA" w14:textId="48C39940" w:rsidR="00400EC1" w:rsidRPr="00EF3ECB" w:rsidRDefault="00400EC1" w:rsidP="0037730C">
      <w:pPr>
        <w:spacing w:line="276" w:lineRule="auto"/>
        <w:jc w:val="both"/>
        <w:rPr>
          <w:rFonts w:cs="Arial"/>
          <w:lang w:val="en-GB"/>
        </w:rPr>
      </w:pPr>
    </w:p>
    <w:p w14:paraId="2A45C19D" w14:textId="5CD4505B" w:rsidR="00400EC1" w:rsidRPr="00EF3ECB" w:rsidRDefault="0012198D" w:rsidP="0037730C">
      <w:pPr>
        <w:spacing w:line="276" w:lineRule="auto"/>
        <w:jc w:val="both"/>
        <w:rPr>
          <w:lang w:val="en-GB"/>
        </w:rPr>
      </w:pPr>
      <w:r w:rsidRPr="00EF3ECB">
        <w:rPr>
          <w:lang w:val="en-GB"/>
        </w:rPr>
        <w:t xml:space="preserve">For the MNA implementation, the Euphemia calculation will be extended </w:t>
      </w:r>
      <w:r w:rsidR="006E39E2" w:rsidRPr="00EF3ECB">
        <w:rPr>
          <w:lang w:val="en-GB"/>
        </w:rPr>
        <w:t xml:space="preserve">by </w:t>
      </w:r>
      <w:r w:rsidRPr="00EF3ECB">
        <w:rPr>
          <w:lang w:val="en-GB"/>
        </w:rPr>
        <w:t>2 minutes</w:t>
      </w:r>
      <w:r w:rsidRPr="00EF3ECB">
        <w:rPr>
          <w:rStyle w:val="FootnoteReference"/>
          <w:lang w:val="en-GB"/>
        </w:rPr>
        <w:footnoteReference w:id="5"/>
      </w:r>
      <w:r w:rsidRPr="00EF3ECB">
        <w:rPr>
          <w:lang w:val="en-GB"/>
        </w:rPr>
        <w:t xml:space="preserve"> to host the Scheduling area level flow calculations in the main Calculation run. The whole Calculation step will take 14 minutes. Consequently, the target time for the Results Sharing and the Preliminary Results Confirmation steps will be delayed </w:t>
      </w:r>
      <w:r w:rsidR="006E39E2" w:rsidRPr="00EF3ECB">
        <w:rPr>
          <w:lang w:val="en-GB"/>
        </w:rPr>
        <w:t xml:space="preserve">by </w:t>
      </w:r>
      <w:r w:rsidRPr="00EF3ECB">
        <w:rPr>
          <w:lang w:val="en-GB"/>
        </w:rPr>
        <w:t>2 minutes (to 12:26 and 12:38 respectively).</w:t>
      </w:r>
      <w:r w:rsidR="006E39E2" w:rsidRPr="00EF3ECB">
        <w:rPr>
          <w:lang w:val="en-GB"/>
        </w:rPr>
        <w:t xml:space="preserve"> </w:t>
      </w:r>
      <w:r w:rsidRPr="00EF3ECB">
        <w:rPr>
          <w:lang w:val="en-GB"/>
        </w:rPr>
        <w:t>The margin between the end of the Preliminary Results Confirmation and the regular publication time will be reduced from 6 to 4 minutes. The regular publication time will remain 12:42.</w:t>
      </w:r>
      <w:r w:rsidRPr="00EF3ECB">
        <w:rPr>
          <w:rFonts w:ascii="Times New Roman" w:eastAsiaTheme="minorEastAsia" w:hAnsi="Times New Roman"/>
          <w:sz w:val="24"/>
          <w:lang w:val="en-GB" w:eastAsia="de-AT"/>
        </w:rPr>
        <w:t xml:space="preserve"> </w:t>
      </w:r>
      <w:r w:rsidRPr="00EF3ECB">
        <w:rPr>
          <w:lang w:val="en-GB"/>
        </w:rPr>
        <w:t>As the regular publication time will not be affected, neither will the Final Confirmation times.</w:t>
      </w:r>
    </w:p>
    <w:p w14:paraId="2D3A0511" w14:textId="77777777" w:rsidR="005B6158" w:rsidRPr="00EF3ECB" w:rsidRDefault="005B6158" w:rsidP="0037730C">
      <w:pPr>
        <w:spacing w:line="276" w:lineRule="auto"/>
        <w:jc w:val="both"/>
        <w:rPr>
          <w:rFonts w:ascii="Times New Roman" w:eastAsiaTheme="minorEastAsia" w:hAnsi="Times New Roman"/>
          <w:sz w:val="24"/>
          <w:lang w:val="en-GB" w:eastAsia="de-AT"/>
        </w:rPr>
      </w:pPr>
    </w:p>
    <w:p w14:paraId="60856CF0" w14:textId="407037CA" w:rsidR="00400EC1" w:rsidRPr="00EF3ECB" w:rsidRDefault="00203B83" w:rsidP="0037730C">
      <w:pPr>
        <w:spacing w:line="276" w:lineRule="auto"/>
        <w:jc w:val="both"/>
        <w:rPr>
          <w:rFonts w:cs="Arial"/>
          <w:lang w:val="en-GB"/>
        </w:rPr>
      </w:pPr>
      <w:r w:rsidRPr="00EF3ECB">
        <w:rPr>
          <w:rFonts w:cs="Arial"/>
          <w:lang w:val="en-GB"/>
        </w:rPr>
        <w:t>Therefore</w:t>
      </w:r>
      <w:r w:rsidR="00BC7C48" w:rsidRPr="00EF3ECB">
        <w:rPr>
          <w:rFonts w:cs="Arial"/>
          <w:lang w:val="en-GB"/>
        </w:rPr>
        <w:t xml:space="preserve">, </w:t>
      </w:r>
      <w:r w:rsidR="00BC7C48" w:rsidRPr="00EF3ECB">
        <w:rPr>
          <w:rFonts w:cstheme="minorHAnsi"/>
          <w:color w:val="000000" w:themeColor="text1"/>
          <w:lang w:val="en-GB"/>
        </w:rPr>
        <w:t>the methodology requires the delivery of the Scheduled Exchanges so that the day-ahead post-coupling processes can be completed in a timely manner.</w:t>
      </w:r>
    </w:p>
    <w:p w14:paraId="2BEDC4BB" w14:textId="2CD5DB04" w:rsidR="00614298" w:rsidRPr="00EF3ECB" w:rsidRDefault="00614298" w:rsidP="0037730C">
      <w:pPr>
        <w:spacing w:line="276" w:lineRule="auto"/>
        <w:jc w:val="both"/>
        <w:rPr>
          <w:rFonts w:cs="Arial"/>
          <w:lang w:val="en-GB"/>
        </w:rPr>
      </w:pPr>
    </w:p>
    <w:p w14:paraId="4D3F0832" w14:textId="2B329E48" w:rsidR="0053435F" w:rsidRPr="00EF3ECB" w:rsidRDefault="0053435F" w:rsidP="0037730C">
      <w:pPr>
        <w:spacing w:line="276" w:lineRule="auto"/>
        <w:jc w:val="both"/>
        <w:rPr>
          <w:rFonts w:cs="Arial"/>
          <w:lang w:val="en-GB"/>
        </w:rPr>
      </w:pPr>
    </w:p>
    <w:p w14:paraId="7577E515" w14:textId="77777777" w:rsidR="00442F7A" w:rsidRPr="00EF3ECB" w:rsidRDefault="00442F7A" w:rsidP="00F8788D">
      <w:pPr>
        <w:pStyle w:val="Heading1"/>
        <w:numPr>
          <w:ilvl w:val="0"/>
          <w:numId w:val="1"/>
        </w:numPr>
        <w:spacing w:before="0" w:line="276" w:lineRule="auto"/>
        <w:ind w:left="0" w:firstLine="0"/>
        <w:jc w:val="both"/>
        <w:rPr>
          <w:rFonts w:ascii="Arial" w:hAnsi="Arial" w:cs="Arial"/>
          <w:lang w:val="en-GB"/>
        </w:rPr>
      </w:pPr>
      <w:bookmarkStart w:id="37" w:name="_Toc507425379"/>
      <w:r w:rsidRPr="00EF3ECB">
        <w:rPr>
          <w:rFonts w:ascii="Arial" w:hAnsi="Arial" w:cs="Arial"/>
          <w:lang w:val="en-GB"/>
        </w:rPr>
        <w:t>Calculation Methodology</w:t>
      </w:r>
      <w:bookmarkEnd w:id="37"/>
    </w:p>
    <w:p w14:paraId="7B35C17C" w14:textId="77777777" w:rsidR="00B337B9" w:rsidRPr="00EF3ECB" w:rsidRDefault="00B337B9" w:rsidP="0037730C">
      <w:pPr>
        <w:spacing w:line="276" w:lineRule="auto"/>
        <w:jc w:val="both"/>
        <w:rPr>
          <w:rFonts w:cs="Arial"/>
          <w:lang w:val="en-GB"/>
        </w:rPr>
      </w:pPr>
    </w:p>
    <w:p w14:paraId="679B9AB7" w14:textId="6EA7AB31" w:rsidR="00050695" w:rsidRPr="00EF3ECB" w:rsidRDefault="00050695" w:rsidP="0037730C">
      <w:pPr>
        <w:spacing w:line="276" w:lineRule="auto"/>
        <w:jc w:val="both"/>
        <w:rPr>
          <w:rFonts w:cs="Arial"/>
          <w:lang w:val="en-GB"/>
        </w:rPr>
      </w:pPr>
      <w:r w:rsidRPr="00EF3ECB">
        <w:rPr>
          <w:rFonts w:cs="Arial"/>
          <w:lang w:val="en-GB"/>
        </w:rPr>
        <w:t>The Calculation Methodology shall be framed by the following principles:</w:t>
      </w:r>
    </w:p>
    <w:p w14:paraId="578B583D" w14:textId="6EDA2A3D" w:rsidR="00050695" w:rsidRPr="00EF3ECB" w:rsidRDefault="00050695" w:rsidP="0037730C">
      <w:pPr>
        <w:spacing w:line="276" w:lineRule="auto"/>
        <w:jc w:val="both"/>
        <w:rPr>
          <w:rFonts w:cs="Arial"/>
          <w:lang w:val="en-GB"/>
        </w:rPr>
      </w:pPr>
    </w:p>
    <w:p w14:paraId="240B160B" w14:textId="147F2BFC" w:rsidR="00212307" w:rsidRPr="00EF3ECB" w:rsidRDefault="00212307" w:rsidP="00F8788D">
      <w:pPr>
        <w:pStyle w:val="Heading2"/>
        <w:numPr>
          <w:ilvl w:val="1"/>
          <w:numId w:val="1"/>
        </w:numPr>
        <w:spacing w:before="0" w:line="276" w:lineRule="auto"/>
        <w:ind w:left="0" w:firstLine="0"/>
        <w:jc w:val="both"/>
        <w:rPr>
          <w:rFonts w:ascii="Arial" w:hAnsi="Arial" w:cs="Arial"/>
          <w:lang w:val="en-GB"/>
        </w:rPr>
      </w:pPr>
      <w:bookmarkStart w:id="38" w:name="_Toc507425380"/>
      <w:r w:rsidRPr="00EF3ECB">
        <w:rPr>
          <w:rFonts w:ascii="Arial" w:hAnsi="Arial" w:cs="Arial"/>
          <w:lang w:val="en-GB"/>
        </w:rPr>
        <w:t>General Principles</w:t>
      </w:r>
      <w:bookmarkEnd w:id="38"/>
      <w:r w:rsidRPr="00EF3ECB">
        <w:rPr>
          <w:rFonts w:ascii="Arial" w:hAnsi="Arial" w:cs="Arial"/>
          <w:lang w:val="en-GB"/>
        </w:rPr>
        <w:t xml:space="preserve"> </w:t>
      </w:r>
    </w:p>
    <w:p w14:paraId="09927478" w14:textId="360FFC58" w:rsidR="00DD3059" w:rsidRPr="00EF3ECB" w:rsidRDefault="00DD3059" w:rsidP="0037730C">
      <w:pPr>
        <w:spacing w:line="276" w:lineRule="auto"/>
        <w:jc w:val="both"/>
        <w:rPr>
          <w:lang w:val="en-GB"/>
        </w:rPr>
      </w:pPr>
    </w:p>
    <w:p w14:paraId="09EB834C" w14:textId="20E37ECC" w:rsidR="00226350" w:rsidRPr="00EF3ECB" w:rsidRDefault="00226350" w:rsidP="0037730C">
      <w:pPr>
        <w:spacing w:line="276" w:lineRule="auto"/>
        <w:jc w:val="both"/>
        <w:rPr>
          <w:lang w:val="en-GB"/>
        </w:rPr>
      </w:pPr>
      <w:r w:rsidRPr="00EF3ECB">
        <w:rPr>
          <w:lang w:val="en-GB"/>
        </w:rPr>
        <w:t>The calculation methodology for scheduled exchanges shall be based on Net Positions per bidding zone</w:t>
      </w:r>
      <w:r w:rsidR="006F2FA9" w:rsidRPr="00EF3ECB">
        <w:rPr>
          <w:lang w:val="en-GB"/>
        </w:rPr>
        <w:t xml:space="preserve"> and</w:t>
      </w:r>
      <w:r w:rsidRPr="00EF3ECB">
        <w:rPr>
          <w:lang w:val="en-GB"/>
        </w:rPr>
        <w:t xml:space="preserve"> scheduling area. </w:t>
      </w:r>
    </w:p>
    <w:p w14:paraId="14D7DD69" w14:textId="77777777" w:rsidR="00226350" w:rsidRPr="00EF3ECB" w:rsidRDefault="00226350" w:rsidP="0037730C">
      <w:pPr>
        <w:spacing w:line="276" w:lineRule="auto"/>
        <w:jc w:val="both"/>
        <w:rPr>
          <w:lang w:val="en-GB"/>
        </w:rPr>
      </w:pPr>
    </w:p>
    <w:p w14:paraId="4F499980" w14:textId="70B4D9BB" w:rsidR="00226350" w:rsidRPr="00EF3ECB" w:rsidRDefault="00226350" w:rsidP="0037730C">
      <w:pPr>
        <w:spacing w:line="276" w:lineRule="auto"/>
        <w:jc w:val="both"/>
        <w:rPr>
          <w:lang w:val="en-GB"/>
        </w:rPr>
      </w:pPr>
      <w:r w:rsidRPr="00EF3ECB">
        <w:rPr>
          <w:rFonts w:cs="Arial"/>
          <w:lang w:val="en-GB"/>
        </w:rPr>
        <w:t>Article 6 of the DA SEC Methodology describes a step-wise approach for the calculation of the Scheduled Exchanges per Bidding Zone</w:t>
      </w:r>
      <w:r w:rsidR="006F2FA9" w:rsidRPr="00EF3ECB">
        <w:rPr>
          <w:rFonts w:cs="Arial"/>
          <w:lang w:val="en-GB"/>
        </w:rPr>
        <w:t xml:space="preserve"> and </w:t>
      </w:r>
      <w:r w:rsidRPr="00EF3ECB">
        <w:rPr>
          <w:rFonts w:cs="Arial"/>
          <w:lang w:val="en-GB"/>
        </w:rPr>
        <w:t xml:space="preserve">Scheduling Area by the Scheduled Exchange Calculator. </w:t>
      </w:r>
    </w:p>
    <w:p w14:paraId="32FF141C" w14:textId="77777777" w:rsidR="00226350" w:rsidRPr="00EF3ECB" w:rsidRDefault="00226350" w:rsidP="00F8788D">
      <w:pPr>
        <w:pStyle w:val="ListParagraph"/>
        <w:numPr>
          <w:ilvl w:val="0"/>
          <w:numId w:val="6"/>
        </w:numPr>
        <w:spacing w:line="276" w:lineRule="auto"/>
        <w:jc w:val="both"/>
        <w:rPr>
          <w:lang w:val="en-GB"/>
        </w:rPr>
      </w:pPr>
      <w:r w:rsidRPr="00EF3ECB">
        <w:rPr>
          <w:lang w:val="en-GB"/>
        </w:rPr>
        <w:t>Bidding zone (BZ) flow calculation;</w:t>
      </w:r>
    </w:p>
    <w:p w14:paraId="7EB33868" w14:textId="77777777" w:rsidR="00226350" w:rsidRPr="00EF3ECB" w:rsidRDefault="00226350" w:rsidP="00F8788D">
      <w:pPr>
        <w:pStyle w:val="ListParagraph"/>
        <w:numPr>
          <w:ilvl w:val="0"/>
          <w:numId w:val="6"/>
        </w:numPr>
        <w:spacing w:line="276" w:lineRule="auto"/>
        <w:jc w:val="both"/>
        <w:rPr>
          <w:lang w:val="en-GB"/>
        </w:rPr>
      </w:pPr>
      <w:r w:rsidRPr="00EF3ECB">
        <w:rPr>
          <w:lang w:val="en-GB"/>
        </w:rPr>
        <w:t>Scheduling area (SA) flow calculation;</w:t>
      </w:r>
    </w:p>
    <w:p w14:paraId="3EC0F88F" w14:textId="7AB88C98" w:rsidR="0091622E" w:rsidRPr="00EF3ECB" w:rsidRDefault="006F2FA9" w:rsidP="0037730C">
      <w:pPr>
        <w:spacing w:line="276" w:lineRule="auto"/>
        <w:jc w:val="both"/>
        <w:rPr>
          <w:lang w:val="en-GB"/>
        </w:rPr>
      </w:pPr>
      <w:r w:rsidRPr="00EF3ECB">
        <w:rPr>
          <w:lang w:val="en-GB"/>
        </w:rPr>
        <w:t>The intra scheduling inter NEMO line is out of scope of this document.</w:t>
      </w:r>
    </w:p>
    <w:p w14:paraId="02C5D100" w14:textId="6B1F9C8A" w:rsidR="0091622E" w:rsidRPr="00EF3ECB" w:rsidRDefault="0091622E" w:rsidP="0037730C">
      <w:pPr>
        <w:spacing w:line="276" w:lineRule="auto"/>
        <w:jc w:val="both"/>
        <w:rPr>
          <w:lang w:val="en-GB"/>
        </w:rPr>
      </w:pPr>
    </w:p>
    <w:p w14:paraId="2117D599" w14:textId="77777777" w:rsidR="001C636E" w:rsidRPr="00EF3ECB" w:rsidRDefault="0091622E" w:rsidP="0037730C">
      <w:pPr>
        <w:keepNext/>
        <w:spacing w:line="276" w:lineRule="auto"/>
        <w:jc w:val="both"/>
        <w:rPr>
          <w:lang w:val="en-GB"/>
        </w:rPr>
      </w:pPr>
      <w:r w:rsidRPr="00EF3ECB">
        <w:rPr>
          <w:noProof/>
          <w:lang w:val="de-AT" w:eastAsia="de-AT"/>
        </w:rPr>
        <w:drawing>
          <wp:inline distT="0" distB="0" distL="0" distR="0" wp14:anchorId="5545A4E8" wp14:editId="6BD44B25">
            <wp:extent cx="5270500" cy="3545840"/>
            <wp:effectExtent l="0" t="0" r="6350" b="0"/>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70500" cy="3545840"/>
                    </a:xfrm>
                    <a:prstGeom prst="rect">
                      <a:avLst/>
                    </a:prstGeom>
                    <a:noFill/>
                    <a:ln>
                      <a:noFill/>
                    </a:ln>
                  </pic:spPr>
                </pic:pic>
              </a:graphicData>
            </a:graphic>
          </wp:inline>
        </w:drawing>
      </w:r>
    </w:p>
    <w:p w14:paraId="36C5480E" w14:textId="3F7F3857" w:rsidR="0091622E" w:rsidRPr="00EF3ECB" w:rsidRDefault="001C636E" w:rsidP="0037730C">
      <w:pPr>
        <w:pStyle w:val="Caption"/>
        <w:spacing w:line="276" w:lineRule="auto"/>
        <w:jc w:val="both"/>
        <w:rPr>
          <w:lang w:val="en-GB"/>
        </w:rPr>
      </w:pPr>
      <w:bookmarkStart w:id="39" w:name="_Toc505860281"/>
      <w:r w:rsidRPr="00EF3ECB">
        <w:rPr>
          <w:lang w:val="en-GB"/>
        </w:rPr>
        <w:t xml:space="preserve">Figure </w:t>
      </w:r>
      <w:r w:rsidRPr="00EF3ECB">
        <w:rPr>
          <w:lang w:val="en-GB"/>
        </w:rPr>
        <w:fldChar w:fldCharType="begin"/>
      </w:r>
      <w:r w:rsidRPr="00EF3ECB">
        <w:rPr>
          <w:lang w:val="en-GB"/>
        </w:rPr>
        <w:instrText xml:space="preserve"> SEQ Figure \* ARABIC </w:instrText>
      </w:r>
      <w:r w:rsidRPr="00EF3ECB">
        <w:rPr>
          <w:lang w:val="en-GB"/>
        </w:rPr>
        <w:fldChar w:fldCharType="separate"/>
      </w:r>
      <w:r w:rsidR="00FC1305">
        <w:rPr>
          <w:noProof/>
          <w:lang w:val="en-GB"/>
        </w:rPr>
        <w:t>5</w:t>
      </w:r>
      <w:r w:rsidRPr="00EF3ECB">
        <w:rPr>
          <w:lang w:val="en-GB"/>
        </w:rPr>
        <w:fldChar w:fldCharType="end"/>
      </w:r>
      <w:r w:rsidRPr="00EF3ECB">
        <w:rPr>
          <w:lang w:val="en-GB"/>
        </w:rPr>
        <w:t>: Stepwise approach for the calculation of schedules</w:t>
      </w:r>
      <w:bookmarkEnd w:id="39"/>
    </w:p>
    <w:p w14:paraId="371234A8" w14:textId="587177CA" w:rsidR="0091622E" w:rsidRPr="00EF3ECB" w:rsidRDefault="0091622E" w:rsidP="0037730C">
      <w:pPr>
        <w:spacing w:line="276" w:lineRule="auto"/>
        <w:jc w:val="both"/>
        <w:rPr>
          <w:lang w:val="en-GB"/>
        </w:rPr>
      </w:pPr>
    </w:p>
    <w:p w14:paraId="140D7340" w14:textId="19F0BC67" w:rsidR="0091622E" w:rsidRPr="00EF3ECB" w:rsidRDefault="00DA192F" w:rsidP="0037730C">
      <w:pPr>
        <w:spacing w:line="276" w:lineRule="auto"/>
        <w:jc w:val="both"/>
        <w:rPr>
          <w:lang w:val="en-GB"/>
        </w:rPr>
      </w:pPr>
      <w:r w:rsidRPr="00EF3ECB">
        <w:rPr>
          <w:lang w:val="en-GB"/>
        </w:rPr>
        <w:t xml:space="preserve">Each subsequent step takes as a constraint the output from the step before. The different models each consider their respective topologies. </w:t>
      </w:r>
    </w:p>
    <w:p w14:paraId="27DB55BF" w14:textId="77777777" w:rsidR="0091622E" w:rsidRPr="00EF3ECB" w:rsidRDefault="0091622E" w:rsidP="0037730C">
      <w:pPr>
        <w:spacing w:line="276" w:lineRule="auto"/>
        <w:jc w:val="both"/>
        <w:rPr>
          <w:lang w:val="en-GB"/>
        </w:rPr>
      </w:pPr>
    </w:p>
    <w:p w14:paraId="77240AA1" w14:textId="5B508689" w:rsidR="00226350" w:rsidRPr="00EF3ECB" w:rsidRDefault="00226350" w:rsidP="0037730C">
      <w:pPr>
        <w:spacing w:line="276" w:lineRule="auto"/>
        <w:jc w:val="both"/>
        <w:rPr>
          <w:rFonts w:ascii="Calibri" w:hAnsi="Calibri"/>
          <w:szCs w:val="22"/>
          <w:lang w:val="en-GB" w:eastAsia="en-GB"/>
        </w:rPr>
      </w:pPr>
      <w:r w:rsidRPr="00EF3ECB">
        <w:rPr>
          <w:lang w:val="en-GB"/>
        </w:rPr>
        <w:t xml:space="preserve">Overall consistency will be guaranteed among all TSOs and NEMOs across the </w:t>
      </w:r>
      <w:r w:rsidR="006F2FA9" w:rsidRPr="00EF3ECB">
        <w:rPr>
          <w:lang w:val="en-GB"/>
        </w:rPr>
        <w:t xml:space="preserve">two </w:t>
      </w:r>
      <w:r w:rsidRPr="00EF3ECB">
        <w:rPr>
          <w:lang w:val="en-GB"/>
        </w:rPr>
        <w:t>levels of flow calculation:</w:t>
      </w:r>
    </w:p>
    <w:p w14:paraId="377C87D5" w14:textId="77777777" w:rsidR="002776F7" w:rsidRPr="00EF3ECB" w:rsidRDefault="00226350" w:rsidP="00F8788D">
      <w:pPr>
        <w:pStyle w:val="ListParagraph"/>
        <w:numPr>
          <w:ilvl w:val="2"/>
          <w:numId w:val="5"/>
        </w:numPr>
        <w:spacing w:line="276" w:lineRule="auto"/>
        <w:jc w:val="both"/>
        <w:rPr>
          <w:lang w:val="en-GB"/>
        </w:rPr>
      </w:pPr>
      <w:r w:rsidRPr="00EF3ECB">
        <w:rPr>
          <w:lang w:val="en-GB"/>
        </w:rPr>
        <w:t xml:space="preserve">The sum of net positions of the Scheduling Areas in one Bidding Zone must be equal to the net position of the Bidding Zone. </w:t>
      </w:r>
    </w:p>
    <w:p w14:paraId="3E429CCF" w14:textId="77777777" w:rsidR="002776F7" w:rsidRPr="00EF3ECB" w:rsidRDefault="002776F7" w:rsidP="0037730C">
      <w:pPr>
        <w:spacing w:line="276" w:lineRule="auto"/>
        <w:jc w:val="both"/>
        <w:rPr>
          <w:lang w:val="en-GB"/>
        </w:rPr>
      </w:pPr>
    </w:p>
    <w:p w14:paraId="42BD5A43" w14:textId="3BEB331C" w:rsidR="00226350" w:rsidRPr="00EF3ECB" w:rsidRDefault="00226350" w:rsidP="0037730C">
      <w:pPr>
        <w:spacing w:line="276" w:lineRule="auto"/>
        <w:jc w:val="both"/>
        <w:rPr>
          <w:lang w:val="en-GB"/>
        </w:rPr>
      </w:pPr>
      <w:r w:rsidRPr="00EF3ECB">
        <w:rPr>
          <w:lang w:val="en-GB"/>
        </w:rPr>
        <w:t xml:space="preserve">For different Scheduling Areas touching the same BZ border, the sum and direction of the flows on Scheduling Area level shall match the total flow across the BZ border. Each result of the </w:t>
      </w:r>
      <w:r w:rsidR="006F2FA9" w:rsidRPr="00EF3ECB">
        <w:rPr>
          <w:lang w:val="en-GB"/>
        </w:rPr>
        <w:t xml:space="preserve">two </w:t>
      </w:r>
      <w:r w:rsidRPr="00EF3ECB">
        <w:rPr>
          <w:lang w:val="en-GB"/>
        </w:rPr>
        <w:t>flow calculation steps would be made available as input for the post-coupling process.</w:t>
      </w:r>
    </w:p>
    <w:p w14:paraId="4AEF7CCD" w14:textId="6E43F512" w:rsidR="002776F7" w:rsidRPr="00EF3ECB" w:rsidRDefault="002776F7" w:rsidP="0037730C">
      <w:pPr>
        <w:spacing w:line="276" w:lineRule="auto"/>
        <w:jc w:val="both"/>
        <w:rPr>
          <w:rFonts w:cstheme="minorHAnsi"/>
          <w:color w:val="000000" w:themeColor="text1"/>
          <w:lang w:val="en-GB"/>
        </w:rPr>
      </w:pPr>
    </w:p>
    <w:p w14:paraId="401DA7C1" w14:textId="35F11DB6" w:rsidR="00DA192F" w:rsidRPr="00EF3ECB" w:rsidRDefault="00DA192F" w:rsidP="0037730C">
      <w:pPr>
        <w:spacing w:line="276" w:lineRule="auto"/>
        <w:jc w:val="both"/>
        <w:rPr>
          <w:rFonts w:cstheme="minorHAnsi"/>
          <w:color w:val="000000" w:themeColor="text1"/>
          <w:lang w:val="en-GB"/>
        </w:rPr>
      </w:pPr>
      <w:r w:rsidRPr="00EF3ECB">
        <w:rPr>
          <w:lang w:val="en-GB"/>
        </w:rPr>
        <w:t>The calculation process described in this explanatory note for the SEC Methodology is aligned with the All NEMOs Algorith</w:t>
      </w:r>
      <w:r w:rsidR="008E7442">
        <w:rPr>
          <w:lang w:val="en-GB"/>
        </w:rPr>
        <w:t>m Proposal according to Article</w:t>
      </w:r>
      <w:r w:rsidRPr="00EF3ECB">
        <w:rPr>
          <w:lang w:val="en-GB"/>
        </w:rPr>
        <w:t xml:space="preserve"> 37 of </w:t>
      </w:r>
      <w:r w:rsidR="008E7442">
        <w:rPr>
          <w:lang w:val="en-GB"/>
        </w:rPr>
        <w:t xml:space="preserve">the </w:t>
      </w:r>
      <w:r w:rsidRPr="00EF3ECB">
        <w:rPr>
          <w:lang w:val="en-GB"/>
        </w:rPr>
        <w:t xml:space="preserve">CACM Regulation. </w:t>
      </w:r>
    </w:p>
    <w:p w14:paraId="7BE6DC41" w14:textId="77777777" w:rsidR="00DA192F" w:rsidRPr="00EF3ECB" w:rsidRDefault="00DA192F" w:rsidP="0037730C">
      <w:pPr>
        <w:spacing w:line="276" w:lineRule="auto"/>
        <w:jc w:val="both"/>
        <w:rPr>
          <w:rFonts w:cstheme="minorHAnsi"/>
          <w:color w:val="000000" w:themeColor="text1"/>
          <w:lang w:val="en-GB"/>
        </w:rPr>
      </w:pPr>
    </w:p>
    <w:p w14:paraId="7B1284AD" w14:textId="3B17C1E6" w:rsidR="00050695" w:rsidRPr="00EF3ECB" w:rsidRDefault="00050695" w:rsidP="0037730C">
      <w:pPr>
        <w:pStyle w:val="textregular"/>
        <w:spacing w:line="276" w:lineRule="auto"/>
        <w:jc w:val="both"/>
        <w:rPr>
          <w:rFonts w:ascii="Arial" w:eastAsia="Times New Roman" w:hAnsi="Arial" w:cs="Arial"/>
          <w:szCs w:val="24"/>
          <w:lang w:eastAsia="de-DE"/>
        </w:rPr>
      </w:pPr>
      <w:r w:rsidRPr="00EF3ECB">
        <w:rPr>
          <w:rFonts w:ascii="Arial" w:eastAsia="Times New Roman" w:hAnsi="Arial" w:cs="Arial"/>
          <w:szCs w:val="24"/>
          <w:lang w:eastAsia="de-DE"/>
        </w:rPr>
        <w:t xml:space="preserve">All constraints described in the </w:t>
      </w:r>
      <w:r w:rsidR="0076722D" w:rsidRPr="00EF3ECB">
        <w:rPr>
          <w:rFonts w:ascii="Arial" w:eastAsia="Times New Roman" w:hAnsi="Arial" w:cs="Arial"/>
          <w:szCs w:val="24"/>
          <w:lang w:eastAsia="de-DE"/>
        </w:rPr>
        <w:t>DA SEC Methodology</w:t>
      </w:r>
      <w:r w:rsidRPr="00EF3ECB">
        <w:rPr>
          <w:rFonts w:ascii="Arial" w:eastAsia="Times New Roman" w:hAnsi="Arial" w:cs="Arial"/>
          <w:szCs w:val="24"/>
          <w:lang w:eastAsia="de-DE"/>
        </w:rPr>
        <w:t xml:space="preserve"> shall be respected. Outputs of the DA market coupling operato</w:t>
      </w:r>
      <w:r w:rsidR="00F0280E">
        <w:rPr>
          <w:rFonts w:ascii="Arial" w:eastAsia="Times New Roman" w:hAnsi="Arial" w:cs="Arial"/>
          <w:szCs w:val="24"/>
          <w:lang w:eastAsia="de-DE"/>
        </w:rPr>
        <w:t xml:space="preserve">r function shall be respected. </w:t>
      </w:r>
      <w:r w:rsidR="006101E1" w:rsidRPr="00EF3ECB">
        <w:rPr>
          <w:rFonts w:ascii="Arial" w:eastAsia="Times New Roman" w:hAnsi="Arial" w:cs="Arial"/>
          <w:szCs w:val="24"/>
          <w:lang w:eastAsia="de-DE"/>
        </w:rPr>
        <w:t>Scheduling Restrictions</w:t>
      </w:r>
      <w:r w:rsidRPr="00EF3ECB">
        <w:rPr>
          <w:rFonts w:ascii="Arial" w:eastAsia="Times New Roman" w:hAnsi="Arial" w:cs="Arial"/>
          <w:szCs w:val="24"/>
          <w:lang w:eastAsia="de-DE"/>
        </w:rPr>
        <w:t xml:space="preserve">, namely the Intuitiveness Principle (applied to ensure that prices flow from areas of low prices to areas of high prices), have been described in the </w:t>
      </w:r>
      <w:r w:rsidR="0076722D" w:rsidRPr="00EF3ECB">
        <w:rPr>
          <w:rFonts w:ascii="Arial" w:eastAsia="Times New Roman" w:hAnsi="Arial" w:cs="Arial"/>
          <w:szCs w:val="24"/>
          <w:lang w:eastAsia="de-DE"/>
        </w:rPr>
        <w:t>DA SEC Methodology</w:t>
      </w:r>
      <w:r w:rsidRPr="00EF3ECB">
        <w:rPr>
          <w:rFonts w:ascii="Arial" w:eastAsia="Times New Roman" w:hAnsi="Arial" w:cs="Arial"/>
          <w:szCs w:val="24"/>
          <w:lang w:eastAsia="de-DE"/>
        </w:rPr>
        <w:t xml:space="preserve">. </w:t>
      </w:r>
    </w:p>
    <w:p w14:paraId="1078DB95" w14:textId="39BE941D" w:rsidR="00050695" w:rsidRPr="00EF3ECB" w:rsidRDefault="00050695" w:rsidP="0037730C">
      <w:pPr>
        <w:pStyle w:val="textregular"/>
        <w:spacing w:line="276" w:lineRule="auto"/>
        <w:jc w:val="both"/>
        <w:rPr>
          <w:rFonts w:ascii="Arial" w:eastAsia="Times New Roman" w:hAnsi="Arial" w:cs="Arial"/>
          <w:szCs w:val="24"/>
          <w:lang w:eastAsia="de-DE"/>
        </w:rPr>
      </w:pPr>
      <w:r w:rsidRPr="00EF3ECB">
        <w:rPr>
          <w:rFonts w:ascii="Arial" w:eastAsia="Times New Roman" w:hAnsi="Arial" w:cs="Arial"/>
          <w:szCs w:val="24"/>
          <w:lang w:eastAsia="de-DE"/>
        </w:rPr>
        <w:t>There are situations where there are multiple Scheduling Areas with</w:t>
      </w:r>
      <w:r w:rsidR="006101E1" w:rsidRPr="00EF3ECB">
        <w:rPr>
          <w:rFonts w:ascii="Arial" w:eastAsia="Times New Roman" w:hAnsi="Arial" w:cs="Arial"/>
          <w:szCs w:val="24"/>
          <w:lang w:eastAsia="de-DE"/>
        </w:rPr>
        <w:t>in</w:t>
      </w:r>
      <w:r w:rsidR="00F0280E">
        <w:rPr>
          <w:rFonts w:ascii="Arial" w:eastAsia="Times New Roman" w:hAnsi="Arial" w:cs="Arial"/>
          <w:szCs w:val="24"/>
          <w:lang w:eastAsia="de-DE"/>
        </w:rPr>
        <w:t xml:space="preserve"> a Bidding Zone. </w:t>
      </w:r>
      <w:r w:rsidRPr="00EF3ECB">
        <w:rPr>
          <w:rFonts w:ascii="Arial" w:eastAsia="Times New Roman" w:hAnsi="Arial" w:cs="Arial"/>
          <w:szCs w:val="24"/>
          <w:lang w:eastAsia="de-DE"/>
        </w:rPr>
        <w:t>This can result in situations where there are multiple Scheduling Area</w:t>
      </w:r>
      <w:r w:rsidR="006101E1" w:rsidRPr="00EF3ECB">
        <w:rPr>
          <w:rFonts w:ascii="Arial" w:eastAsia="Times New Roman" w:hAnsi="Arial" w:cs="Arial"/>
          <w:szCs w:val="24"/>
          <w:lang w:eastAsia="de-DE"/>
        </w:rPr>
        <w:t>s</w:t>
      </w:r>
      <w:r w:rsidRPr="00EF3ECB">
        <w:rPr>
          <w:rFonts w:ascii="Arial" w:eastAsia="Times New Roman" w:hAnsi="Arial" w:cs="Arial"/>
          <w:szCs w:val="24"/>
          <w:lang w:eastAsia="de-DE"/>
        </w:rPr>
        <w:t xml:space="preserve"> on one side of a border and a single Bidding Zone on the other side of the border. In these situations, the aggregated netted sum of the </w:t>
      </w:r>
      <w:r w:rsidR="00543D26" w:rsidRPr="00EF3ECB">
        <w:rPr>
          <w:rFonts w:ascii="Arial" w:eastAsia="Times New Roman" w:hAnsi="Arial" w:cs="Arial"/>
          <w:szCs w:val="24"/>
          <w:lang w:eastAsia="de-DE"/>
        </w:rPr>
        <w:t>Scheduled Exchanges</w:t>
      </w:r>
      <w:r w:rsidRPr="00EF3ECB">
        <w:rPr>
          <w:rFonts w:ascii="Arial" w:eastAsia="Times New Roman" w:hAnsi="Arial" w:cs="Arial"/>
          <w:szCs w:val="24"/>
          <w:lang w:eastAsia="de-DE"/>
        </w:rPr>
        <w:t xml:space="preserve"> for the multiple Scheduling Areas shall equal the </w:t>
      </w:r>
      <w:r w:rsidR="00543D26" w:rsidRPr="00EF3ECB">
        <w:rPr>
          <w:rFonts w:ascii="Arial" w:eastAsia="Times New Roman" w:hAnsi="Arial" w:cs="Arial"/>
          <w:szCs w:val="24"/>
          <w:lang w:eastAsia="de-DE"/>
        </w:rPr>
        <w:t>Scheduled Exchanges</w:t>
      </w:r>
      <w:r w:rsidRPr="00EF3ECB">
        <w:rPr>
          <w:rFonts w:ascii="Arial" w:eastAsia="Times New Roman" w:hAnsi="Arial" w:cs="Arial"/>
          <w:szCs w:val="24"/>
          <w:lang w:eastAsia="de-DE"/>
        </w:rPr>
        <w:t xml:space="preserve"> calculate</w:t>
      </w:r>
      <w:r w:rsidR="00F0280E">
        <w:rPr>
          <w:rFonts w:ascii="Arial" w:eastAsia="Times New Roman" w:hAnsi="Arial" w:cs="Arial"/>
          <w:szCs w:val="24"/>
          <w:lang w:eastAsia="de-DE"/>
        </w:rPr>
        <w:t xml:space="preserve">d for the Bidding Zone border. </w:t>
      </w:r>
    </w:p>
    <w:p w14:paraId="078CAAFD" w14:textId="77777777" w:rsidR="00050695" w:rsidRPr="00EF3ECB" w:rsidRDefault="00050695" w:rsidP="0037730C">
      <w:pPr>
        <w:spacing w:line="276" w:lineRule="auto"/>
        <w:jc w:val="both"/>
        <w:rPr>
          <w:rFonts w:cs="Arial"/>
          <w:lang w:val="en-GB"/>
        </w:rPr>
      </w:pPr>
      <w:r w:rsidRPr="00EF3ECB">
        <w:rPr>
          <w:rFonts w:cs="Arial"/>
          <w:lang w:val="en-GB"/>
        </w:rPr>
        <w:t>It is relevant to note that a Net Position and a Scheduled Exchange could be either positive or negative reflecting the import or the export of the electricity transfer.</w:t>
      </w:r>
    </w:p>
    <w:p w14:paraId="32F47343" w14:textId="2A9F97B8" w:rsidR="000B5887" w:rsidRPr="00EF3ECB" w:rsidRDefault="000B5887" w:rsidP="0037730C">
      <w:pPr>
        <w:spacing w:before="100" w:beforeAutospacing="1" w:after="100" w:afterAutospacing="1" w:line="276" w:lineRule="auto"/>
        <w:jc w:val="both"/>
        <w:rPr>
          <w:rFonts w:cs="Arial"/>
          <w:lang w:val="en-GB"/>
        </w:rPr>
      </w:pPr>
      <w:r w:rsidRPr="00EF3ECB">
        <w:rPr>
          <w:rFonts w:cs="Arial"/>
          <w:lang w:val="en-GB"/>
        </w:rPr>
        <w:t xml:space="preserve">When considering the CNTC Approach, where a price difference exists between two bidding zones </w:t>
      </w:r>
      <w:r w:rsidRPr="00EF3ECB">
        <w:rPr>
          <w:rStyle w:val="textregularZchn"/>
        </w:rPr>
        <w:t>either the available capacity has been fully used or another allocation constraint (e.g. ramping constraint) was active. Hence, if there is a price difference between two bidding zones, within a CCR</w:t>
      </w:r>
      <w:r w:rsidRPr="00EF3ECB">
        <w:rPr>
          <w:rFonts w:cs="Arial"/>
          <w:lang w:val="en-GB"/>
        </w:rPr>
        <w:t xml:space="preserve"> applying CNTC, the Scheduled Exchange </w:t>
      </w:r>
      <w:r w:rsidR="00015C07" w:rsidRPr="00EF3ECB">
        <w:rPr>
          <w:rFonts w:cs="Arial"/>
          <w:lang w:val="en-GB"/>
        </w:rPr>
        <w:t xml:space="preserve">between these two bidding zones </w:t>
      </w:r>
      <w:r w:rsidRPr="00EF3ECB">
        <w:rPr>
          <w:rFonts w:cs="Arial"/>
          <w:lang w:val="en-GB"/>
        </w:rPr>
        <w:t xml:space="preserve">shall be equal to the Scheduled Flows </w:t>
      </w:r>
      <w:r w:rsidR="00015C07" w:rsidRPr="00EF3ECB">
        <w:rPr>
          <w:rFonts w:cs="Arial"/>
          <w:lang w:val="en-GB"/>
        </w:rPr>
        <w:t>between these two bidding zones</w:t>
      </w:r>
      <w:r w:rsidRPr="00EF3ECB">
        <w:rPr>
          <w:rFonts w:cs="Arial"/>
          <w:lang w:val="en-GB"/>
        </w:rPr>
        <w:t xml:space="preserve">. </w:t>
      </w:r>
    </w:p>
    <w:p w14:paraId="66F6B298" w14:textId="486BE20D" w:rsidR="000B5887" w:rsidRPr="00EF3ECB" w:rsidRDefault="000B5887" w:rsidP="00D91B58">
      <w:pPr>
        <w:spacing w:before="100" w:beforeAutospacing="1" w:after="100" w:afterAutospacing="1" w:line="276" w:lineRule="auto"/>
        <w:jc w:val="both"/>
        <w:rPr>
          <w:lang w:val="en-GB"/>
        </w:rPr>
      </w:pPr>
      <w:r w:rsidRPr="00EF3ECB">
        <w:rPr>
          <w:rFonts w:cs="Arial"/>
          <w:lang w:val="en-GB"/>
        </w:rPr>
        <w:t>Based on bidding zone net positions, or in case of indeterminacies</w:t>
      </w:r>
      <w:r w:rsidRPr="00EF3ECB">
        <w:rPr>
          <w:rFonts w:cs="Arial"/>
          <w:lang w:val="en-GB"/>
        </w:rPr>
        <w:footnoteReference w:id="6"/>
      </w:r>
      <w:r w:rsidRPr="00EF3ECB">
        <w:rPr>
          <w:rFonts w:cs="Arial"/>
          <w:lang w:val="en-GB"/>
        </w:rPr>
        <w:t>, se</w:t>
      </w:r>
      <w:r w:rsidR="00271044" w:rsidRPr="00EF3ECB">
        <w:rPr>
          <w:rFonts w:cs="Arial"/>
          <w:lang w:val="en-GB"/>
        </w:rPr>
        <w:t xml:space="preserve">veral routes could be possible. </w:t>
      </w:r>
      <w:r w:rsidRPr="00EF3ECB">
        <w:rPr>
          <w:rFonts w:cs="Arial"/>
          <w:lang w:val="en-GB"/>
        </w:rPr>
        <w:t>The optimisation of the Scheduled Exchanges shall therefore aim to minimise the Scheduled Exchanges between the involved bidding zones. For this minimisation, the Scheduled Exchanges between</w:t>
      </w:r>
      <w:r w:rsidRPr="00EF3ECB">
        <w:rPr>
          <w:lang w:val="en-GB"/>
        </w:rPr>
        <w:t xml:space="preserve"> involved bidding zones shall be used as a set of variables to minimise the target function following: </w:t>
      </w:r>
    </w:p>
    <w:p w14:paraId="2FA1463E" w14:textId="6EF5A345" w:rsidR="000E408D" w:rsidRPr="00EF3ECB" w:rsidRDefault="000E408D" w:rsidP="0037730C">
      <w:pPr>
        <w:pStyle w:val="Caption"/>
        <w:keepNext/>
        <w:spacing w:line="276" w:lineRule="auto"/>
        <w:jc w:val="both"/>
        <w:rPr>
          <w:lang w:val="en-GB"/>
        </w:rPr>
      </w:pPr>
      <w:bookmarkStart w:id="40" w:name="_Toc505860283"/>
      <w:r w:rsidRPr="00EF3ECB">
        <w:rPr>
          <w:lang w:val="en-GB"/>
        </w:rPr>
        <w:t xml:space="preserve">Equation </w:t>
      </w:r>
      <w:r w:rsidRPr="00EF3ECB">
        <w:rPr>
          <w:lang w:val="en-GB"/>
        </w:rPr>
        <w:fldChar w:fldCharType="begin"/>
      </w:r>
      <w:r w:rsidRPr="00EF3ECB">
        <w:rPr>
          <w:lang w:val="en-GB"/>
        </w:rPr>
        <w:instrText xml:space="preserve"> SEQ Equation \* ARABIC </w:instrText>
      </w:r>
      <w:r w:rsidRPr="00EF3ECB">
        <w:rPr>
          <w:lang w:val="en-GB"/>
        </w:rPr>
        <w:fldChar w:fldCharType="separate"/>
      </w:r>
      <w:r w:rsidR="00FC1305">
        <w:rPr>
          <w:noProof/>
          <w:lang w:val="en-GB"/>
        </w:rPr>
        <w:t>1</w:t>
      </w:r>
      <w:bookmarkEnd w:id="40"/>
      <w:r w:rsidRPr="00EF3ECB">
        <w:rPr>
          <w:lang w:val="en-GB"/>
        </w:rPr>
        <w:fldChar w:fldCharType="end"/>
      </w:r>
    </w:p>
    <w:p w14:paraId="212E6895" w14:textId="77777777" w:rsidR="000B5887" w:rsidRPr="00EF3ECB" w:rsidRDefault="000B5887" w:rsidP="0037730C">
      <w:pPr>
        <w:pStyle w:val="ListParagraph"/>
        <w:spacing w:line="276" w:lineRule="auto"/>
        <w:ind w:left="1080"/>
        <w:jc w:val="both"/>
        <w:rPr>
          <w:lang w:val="en-GB"/>
        </w:rPr>
      </w:pPr>
    </w:p>
    <w:p w14:paraId="0C6EDD2C" w14:textId="77777777" w:rsidR="000B5887" w:rsidRPr="00EF3ECB" w:rsidRDefault="00FC1305" w:rsidP="0037730C">
      <w:pPr>
        <w:pStyle w:val="ListParagraph"/>
        <w:spacing w:line="276" w:lineRule="auto"/>
        <w:ind w:left="1080"/>
        <w:jc w:val="both"/>
        <w:rPr>
          <w:rFonts w:eastAsiaTheme="minorEastAsia"/>
          <w:b/>
          <w:bCs/>
          <w:iCs/>
          <w:lang w:val="en-GB"/>
        </w:rPr>
      </w:pPr>
      <m:oMathPara>
        <m:oMath>
          <m:func>
            <m:funcPr>
              <m:ctrlPr>
                <w:rPr>
                  <w:rFonts w:ascii="Cambria Math" w:hAnsi="Cambria Math"/>
                  <w:b/>
                  <w:bCs/>
                  <w:i/>
                  <w:iCs/>
                  <w:lang w:val="en-GB"/>
                </w:rPr>
              </m:ctrlPr>
            </m:funcPr>
            <m:fName>
              <m:r>
                <m:rPr>
                  <m:sty m:val="b"/>
                </m:rPr>
                <w:rPr>
                  <w:rFonts w:ascii="Cambria Math" w:hAnsi="Cambria Math"/>
                  <w:lang w:val="en-GB"/>
                </w:rPr>
                <m:t>min</m:t>
              </m:r>
            </m:fName>
            <m:e>
              <m:d>
                <m:dPr>
                  <m:ctrlPr>
                    <w:rPr>
                      <w:rFonts w:ascii="Cambria Math" w:hAnsi="Cambria Math"/>
                      <w:b/>
                      <w:bCs/>
                      <w:i/>
                      <w:iCs/>
                      <w:lang w:val="en-GB"/>
                    </w:rPr>
                  </m:ctrlPr>
                </m:dPr>
                <m:e>
                  <m:nary>
                    <m:naryPr>
                      <m:chr m:val="∑"/>
                      <m:subHide m:val="1"/>
                      <m:supHide m:val="1"/>
                      <m:ctrlPr>
                        <w:rPr>
                          <w:rFonts w:ascii="Cambria Math" w:hAnsi="Cambria Math"/>
                          <w:b/>
                          <w:bCs/>
                          <w:i/>
                          <w:iCs/>
                          <w:lang w:val="en-GB"/>
                        </w:rPr>
                      </m:ctrlPr>
                    </m:naryPr>
                    <m:sub/>
                    <m:sup/>
                    <m:e>
                      <m:sSub>
                        <m:sSubPr>
                          <m:ctrlPr>
                            <w:rPr>
                              <w:rFonts w:ascii="Cambria Math" w:hAnsi="Cambria Math"/>
                              <w:b/>
                              <w:bCs/>
                              <w:i/>
                              <w:iCs/>
                              <w:lang w:val="en-GB"/>
                            </w:rPr>
                          </m:ctrlPr>
                        </m:sSubPr>
                        <m:e>
                          <m:r>
                            <m:rPr>
                              <m:sty m:val="bi"/>
                            </m:rPr>
                            <w:rPr>
                              <w:rFonts w:ascii="Cambria Math" w:hAnsi="Cambria Math"/>
                              <w:lang w:val="en-GB"/>
                            </w:rPr>
                            <m:t>lc</m:t>
                          </m:r>
                        </m:e>
                        <m:sub>
                          <m:r>
                            <m:rPr>
                              <m:sty m:val="bi"/>
                            </m:rPr>
                            <w:rPr>
                              <w:rFonts w:ascii="Cambria Math" w:hAnsi="Cambria Math"/>
                              <w:lang w:val="en-GB"/>
                            </w:rPr>
                            <m:t>i,h</m:t>
                          </m:r>
                        </m:sub>
                      </m:sSub>
                      <m:sSub>
                        <m:sSubPr>
                          <m:ctrlPr>
                            <w:rPr>
                              <w:rFonts w:ascii="Cambria Math" w:hAnsi="Cambria Math"/>
                              <w:b/>
                              <w:bCs/>
                              <w:i/>
                              <w:iCs/>
                              <w:lang w:val="en-GB"/>
                            </w:rPr>
                          </m:ctrlPr>
                        </m:sSubPr>
                        <m:e>
                          <m:r>
                            <m:rPr>
                              <m:sty m:val="bi"/>
                            </m:rPr>
                            <w:rPr>
                              <w:rFonts w:ascii="Cambria Math" w:hAnsi="Cambria Math"/>
                              <w:lang w:val="en-GB"/>
                            </w:rPr>
                            <m:t>φ</m:t>
                          </m:r>
                        </m:e>
                        <m:sub>
                          <m:r>
                            <m:rPr>
                              <m:sty m:val="bi"/>
                            </m:rPr>
                            <w:rPr>
                              <w:rFonts w:ascii="Cambria Math" w:hAnsi="Cambria Math"/>
                              <w:lang w:val="en-GB"/>
                            </w:rPr>
                            <m:t>i,h</m:t>
                          </m:r>
                        </m:sub>
                      </m:sSub>
                      <m:r>
                        <m:rPr>
                          <m:sty m:val="bi"/>
                        </m:rPr>
                        <w:rPr>
                          <w:rFonts w:ascii="Cambria Math" w:hAnsi="Cambria Math"/>
                          <w:lang w:val="en-GB"/>
                        </w:rPr>
                        <m:t>+</m:t>
                      </m:r>
                    </m:e>
                  </m:nary>
                  <m:nary>
                    <m:naryPr>
                      <m:chr m:val="∑"/>
                      <m:subHide m:val="1"/>
                      <m:supHide m:val="1"/>
                      <m:ctrlPr>
                        <w:rPr>
                          <w:rFonts w:ascii="Cambria Math" w:hAnsi="Cambria Math"/>
                          <w:b/>
                          <w:bCs/>
                          <w:i/>
                          <w:iCs/>
                          <w:lang w:val="en-GB"/>
                        </w:rPr>
                      </m:ctrlPr>
                    </m:naryPr>
                    <m:sub/>
                    <m:sup/>
                    <m:e>
                      <m:sSub>
                        <m:sSubPr>
                          <m:ctrlPr>
                            <w:rPr>
                              <w:rFonts w:ascii="Cambria Math" w:hAnsi="Cambria Math"/>
                              <w:b/>
                              <w:bCs/>
                              <w:i/>
                              <w:iCs/>
                              <w:lang w:val="en-GB"/>
                            </w:rPr>
                          </m:ctrlPr>
                        </m:sSubPr>
                        <m:e>
                          <m:r>
                            <m:rPr>
                              <m:sty m:val="bi"/>
                            </m:rPr>
                            <w:rPr>
                              <w:rFonts w:ascii="Cambria Math" w:hAnsi="Cambria Math"/>
                              <w:lang w:val="en-GB"/>
                            </w:rPr>
                            <m:t>qc</m:t>
                          </m:r>
                        </m:e>
                        <m:sub>
                          <m:r>
                            <m:rPr>
                              <m:sty m:val="bi"/>
                            </m:rPr>
                            <w:rPr>
                              <w:rFonts w:ascii="Cambria Math" w:hAnsi="Cambria Math"/>
                              <w:lang w:val="en-GB"/>
                            </w:rPr>
                            <m:t>i,h</m:t>
                          </m:r>
                        </m:sub>
                      </m:sSub>
                      <m:sSubSup>
                        <m:sSubSupPr>
                          <m:ctrlPr>
                            <w:rPr>
                              <w:rFonts w:ascii="Cambria Math" w:hAnsi="Cambria Math"/>
                              <w:b/>
                              <w:bCs/>
                              <w:i/>
                              <w:iCs/>
                              <w:lang w:val="en-GB"/>
                            </w:rPr>
                          </m:ctrlPr>
                        </m:sSubSupPr>
                        <m:e>
                          <m:r>
                            <m:rPr>
                              <m:sty m:val="bi"/>
                            </m:rPr>
                            <w:rPr>
                              <w:rFonts w:ascii="Cambria Math" w:hAnsi="Cambria Math"/>
                              <w:lang w:val="en-GB"/>
                            </w:rPr>
                            <m:t>φ</m:t>
                          </m:r>
                        </m:e>
                        <m:sub>
                          <m:r>
                            <m:rPr>
                              <m:sty m:val="bi"/>
                            </m:rPr>
                            <w:rPr>
                              <w:rFonts w:ascii="Cambria Math" w:hAnsi="Cambria Math"/>
                              <w:lang w:val="en-GB"/>
                            </w:rPr>
                            <m:t>i,h</m:t>
                          </m:r>
                        </m:sub>
                        <m:sup>
                          <m:r>
                            <m:rPr>
                              <m:sty m:val="bi"/>
                            </m:rPr>
                            <w:rPr>
                              <w:rFonts w:ascii="Cambria Math" w:hAnsi="Cambria Math"/>
                              <w:lang w:val="en-GB"/>
                            </w:rPr>
                            <m:t>2</m:t>
                          </m:r>
                        </m:sup>
                      </m:sSubSup>
                    </m:e>
                  </m:nary>
                </m:e>
              </m:d>
            </m:e>
          </m:func>
        </m:oMath>
      </m:oMathPara>
    </w:p>
    <w:p w14:paraId="14278793" w14:textId="77777777" w:rsidR="000B5887" w:rsidRPr="00EF3ECB" w:rsidRDefault="000B5887" w:rsidP="0037730C">
      <w:pPr>
        <w:pStyle w:val="ListParagraph"/>
        <w:spacing w:line="276" w:lineRule="auto"/>
        <w:ind w:left="1080"/>
        <w:jc w:val="both"/>
        <w:rPr>
          <w:lang w:val="en-GB"/>
        </w:rPr>
      </w:pPr>
    </w:p>
    <w:p w14:paraId="4B88DAC8" w14:textId="77777777" w:rsidR="000B5887" w:rsidRPr="00EF3ECB" w:rsidRDefault="000B5887" w:rsidP="0037730C">
      <w:pPr>
        <w:pStyle w:val="ListParagraph"/>
        <w:spacing w:line="276" w:lineRule="auto"/>
        <w:ind w:left="1080"/>
        <w:jc w:val="both"/>
        <w:rPr>
          <w:lang w:val="en-GB"/>
        </w:rPr>
      </w:pPr>
      <w:r w:rsidRPr="00EF3ECB">
        <w:rPr>
          <w:lang w:val="en-GB"/>
        </w:rPr>
        <w:t>With:</w:t>
      </w:r>
    </w:p>
    <w:p w14:paraId="5C3E1654" w14:textId="77777777" w:rsidR="000B5887" w:rsidRPr="00EF3ECB" w:rsidRDefault="00FC1305" w:rsidP="00F8788D">
      <w:pPr>
        <w:pStyle w:val="ListParagraph"/>
        <w:numPr>
          <w:ilvl w:val="2"/>
          <w:numId w:val="8"/>
        </w:numPr>
        <w:spacing w:line="276" w:lineRule="auto"/>
        <w:jc w:val="both"/>
        <w:rPr>
          <w:lang w:val="en-GB"/>
        </w:rPr>
      </w:pPr>
      <m:oMath>
        <m:sSub>
          <m:sSubPr>
            <m:ctrlPr>
              <w:rPr>
                <w:rFonts w:ascii="Cambria Math" w:hAnsi="Cambria Math"/>
                <w:i/>
                <w:iCs/>
                <w:lang w:val="en-GB"/>
              </w:rPr>
            </m:ctrlPr>
          </m:sSubPr>
          <m:e>
            <m:r>
              <w:rPr>
                <w:rFonts w:ascii="Cambria Math" w:hAnsi="Cambria Math"/>
                <w:lang w:val="en-GB"/>
              </w:rPr>
              <m:t>lc</m:t>
            </m:r>
          </m:e>
          <m:sub>
            <m:r>
              <w:rPr>
                <w:rFonts w:ascii="Cambria Math" w:hAnsi="Cambria Math"/>
                <w:lang w:val="en-GB"/>
              </w:rPr>
              <m:t>i,h</m:t>
            </m:r>
          </m:sub>
        </m:sSub>
      </m:oMath>
      <w:r w:rsidR="000B5887" w:rsidRPr="00EF3ECB">
        <w:rPr>
          <w:lang w:val="en-GB"/>
        </w:rPr>
        <w:t>= linear cost associated to line i for period h</w:t>
      </w:r>
    </w:p>
    <w:p w14:paraId="54EB6F07" w14:textId="77777777" w:rsidR="000B5887" w:rsidRPr="00EF3ECB" w:rsidRDefault="00FC1305" w:rsidP="00F8788D">
      <w:pPr>
        <w:pStyle w:val="ListParagraph"/>
        <w:numPr>
          <w:ilvl w:val="2"/>
          <w:numId w:val="8"/>
        </w:numPr>
        <w:spacing w:line="276" w:lineRule="auto"/>
        <w:jc w:val="both"/>
        <w:rPr>
          <w:lang w:val="en-GB"/>
        </w:rPr>
      </w:pPr>
      <m:oMath>
        <m:sSub>
          <m:sSubPr>
            <m:ctrlPr>
              <w:rPr>
                <w:rFonts w:ascii="Cambria Math" w:hAnsi="Cambria Math"/>
                <w:i/>
                <w:iCs/>
                <w:lang w:val="en-GB"/>
              </w:rPr>
            </m:ctrlPr>
          </m:sSubPr>
          <m:e>
            <m:r>
              <w:rPr>
                <w:rFonts w:ascii="Cambria Math" w:hAnsi="Cambria Math"/>
                <w:lang w:val="en-GB"/>
              </w:rPr>
              <m:t>qc</m:t>
            </m:r>
          </m:e>
          <m:sub>
            <m:r>
              <w:rPr>
                <w:rFonts w:ascii="Cambria Math" w:hAnsi="Cambria Math"/>
                <w:lang w:val="en-GB"/>
              </w:rPr>
              <m:t>i,h</m:t>
            </m:r>
          </m:sub>
        </m:sSub>
      </m:oMath>
      <w:r w:rsidR="000B5887" w:rsidRPr="00EF3ECB">
        <w:rPr>
          <w:lang w:val="en-GB"/>
        </w:rPr>
        <w:t xml:space="preserve"> = quadratic cost associated to line i for period h</w:t>
      </w:r>
    </w:p>
    <w:p w14:paraId="670F4990" w14:textId="77777777" w:rsidR="000B5887" w:rsidRPr="00EF3ECB" w:rsidRDefault="00FC1305" w:rsidP="00F8788D">
      <w:pPr>
        <w:pStyle w:val="ListParagraph"/>
        <w:numPr>
          <w:ilvl w:val="2"/>
          <w:numId w:val="8"/>
        </w:numPr>
        <w:spacing w:line="276" w:lineRule="auto"/>
        <w:jc w:val="both"/>
        <w:rPr>
          <w:lang w:val="en-GB"/>
        </w:rPr>
      </w:pPr>
      <m:oMath>
        <m:sSub>
          <m:sSubPr>
            <m:ctrlPr>
              <w:rPr>
                <w:rFonts w:ascii="Cambria Math" w:hAnsi="Cambria Math"/>
                <w:i/>
                <w:iCs/>
                <w:lang w:val="en-GB"/>
              </w:rPr>
            </m:ctrlPr>
          </m:sSubPr>
          <m:e>
            <m:r>
              <w:rPr>
                <w:rFonts w:ascii="Cambria Math" w:hAnsi="Cambria Math"/>
                <w:lang w:val="en-GB"/>
              </w:rPr>
              <m:t>φ</m:t>
            </m:r>
          </m:e>
          <m:sub>
            <m:r>
              <w:rPr>
                <w:rFonts w:ascii="Cambria Math" w:hAnsi="Cambria Math"/>
                <w:lang w:val="en-GB"/>
              </w:rPr>
              <m:t>i,h</m:t>
            </m:r>
          </m:sub>
        </m:sSub>
        <m:r>
          <m:rPr>
            <m:nor/>
          </m:rPr>
          <w:rPr>
            <w:lang w:val="en-GB"/>
          </w:rPr>
          <m:t>= flow on line i for period h</m:t>
        </m:r>
      </m:oMath>
    </w:p>
    <w:p w14:paraId="50861A57" w14:textId="77777777" w:rsidR="000B5887" w:rsidRPr="00EF3ECB" w:rsidRDefault="000B5887" w:rsidP="0037730C">
      <w:pPr>
        <w:pStyle w:val="textregular"/>
        <w:spacing w:line="276" w:lineRule="auto"/>
        <w:jc w:val="both"/>
      </w:pPr>
    </w:p>
    <w:p w14:paraId="43AD4D34" w14:textId="4223D2BC" w:rsidR="000B5887" w:rsidRPr="00EF3ECB" w:rsidRDefault="00F2206D" w:rsidP="0037730C">
      <w:pPr>
        <w:spacing w:before="100" w:beforeAutospacing="1" w:after="100" w:afterAutospacing="1" w:line="276" w:lineRule="auto"/>
        <w:jc w:val="both"/>
        <w:rPr>
          <w:lang w:val="en-GB"/>
        </w:rPr>
      </w:pPr>
      <w:r w:rsidRPr="00EF3ECB">
        <w:rPr>
          <w:lang w:val="en-GB"/>
        </w:rPr>
        <w:t xml:space="preserve">The </w:t>
      </w:r>
      <w:r w:rsidR="001F1E85" w:rsidRPr="00EF3ECB">
        <w:rPr>
          <w:lang w:val="en-GB"/>
        </w:rPr>
        <w:t>general optimisation</w:t>
      </w:r>
      <w:r w:rsidRPr="00EF3ECB">
        <w:rPr>
          <w:lang w:val="en-GB"/>
        </w:rPr>
        <w:t xml:space="preserve"> function described above allows for the definition of </w:t>
      </w:r>
      <w:r w:rsidR="001F1E85" w:rsidRPr="00EF3ECB">
        <w:rPr>
          <w:lang w:val="en-GB"/>
        </w:rPr>
        <w:t xml:space="preserve">cost coefficients to obtain a certain objective. </w:t>
      </w:r>
      <w:r w:rsidR="000B5887" w:rsidRPr="00EF3ECB">
        <w:rPr>
          <w:lang w:val="en-GB"/>
        </w:rPr>
        <w:t>The costs coefficients (both linear and quadratic) associated to each bidding zone border are provided as an input by TSOs and NEMOs. The cost coefficients are determined in such a way that following objectives are met:</w:t>
      </w:r>
    </w:p>
    <w:p w14:paraId="6A77964F" w14:textId="60BF5D4F" w:rsidR="000B5887" w:rsidRPr="00EF3ECB" w:rsidRDefault="000B5887" w:rsidP="00F8788D">
      <w:pPr>
        <w:pStyle w:val="ListParagraph"/>
        <w:numPr>
          <w:ilvl w:val="0"/>
          <w:numId w:val="13"/>
        </w:numPr>
        <w:spacing w:before="100" w:beforeAutospacing="1" w:after="100" w:afterAutospacing="1" w:line="276" w:lineRule="auto"/>
        <w:jc w:val="both"/>
        <w:rPr>
          <w:lang w:val="en-GB"/>
        </w:rPr>
      </w:pPr>
      <w:r w:rsidRPr="00EF3ECB">
        <w:rPr>
          <w:lang w:val="en-GB"/>
        </w:rPr>
        <w:t>Uniqueness by introducing a quadratic cost coefficient</w:t>
      </w:r>
      <w:r w:rsidR="001F1E85" w:rsidRPr="00EF3ECB">
        <w:rPr>
          <w:lang w:val="en-GB"/>
        </w:rPr>
        <w:t xml:space="preserve">. </w:t>
      </w:r>
      <w:r w:rsidR="003108B6" w:rsidRPr="00EF3ECB">
        <w:rPr>
          <w:lang w:val="en-GB"/>
        </w:rPr>
        <w:t>When several routes exist with the same length (i.e. an equal number of interconnectors to cross in between) the flow is split equally between these routes: no prioritization between routes with same length if the same quadratic cost coefficient is used.</w:t>
      </w:r>
    </w:p>
    <w:p w14:paraId="08CE4D6A" w14:textId="4CEABDE4" w:rsidR="000B5887" w:rsidRPr="00EF3ECB" w:rsidRDefault="000B5887" w:rsidP="00F8788D">
      <w:pPr>
        <w:pStyle w:val="ListParagraph"/>
        <w:numPr>
          <w:ilvl w:val="0"/>
          <w:numId w:val="13"/>
        </w:numPr>
        <w:spacing w:before="100" w:beforeAutospacing="1" w:after="100" w:afterAutospacing="1" w:line="276" w:lineRule="auto"/>
        <w:jc w:val="both"/>
        <w:rPr>
          <w:lang w:val="en-GB"/>
        </w:rPr>
      </w:pPr>
      <w:r w:rsidRPr="00EF3ECB">
        <w:rPr>
          <w:lang w:val="en-GB"/>
        </w:rPr>
        <w:t xml:space="preserve">Shortest path rule to avoid loops and to ensure a minimization of transits between regions by setting of the </w:t>
      </w:r>
      <w:r w:rsidR="00525055" w:rsidRPr="00EF3ECB">
        <w:rPr>
          <w:lang w:val="en-GB"/>
        </w:rPr>
        <w:t>linear</w:t>
      </w:r>
      <w:r w:rsidRPr="00EF3ECB">
        <w:rPr>
          <w:lang w:val="en-GB"/>
        </w:rPr>
        <w:t xml:space="preserve"> cost </w:t>
      </w:r>
      <w:r w:rsidR="00525055" w:rsidRPr="00EF3ECB">
        <w:rPr>
          <w:lang w:val="en-GB"/>
        </w:rPr>
        <w:t>coefficient</w:t>
      </w:r>
    </w:p>
    <w:p w14:paraId="6D7C8085" w14:textId="031C3481" w:rsidR="000B5887" w:rsidRPr="00EF3ECB" w:rsidRDefault="000B5887" w:rsidP="00F8788D">
      <w:pPr>
        <w:pStyle w:val="ListParagraph"/>
        <w:numPr>
          <w:ilvl w:val="0"/>
          <w:numId w:val="13"/>
        </w:numPr>
        <w:spacing w:before="100" w:beforeAutospacing="1" w:after="100" w:afterAutospacing="1" w:line="276" w:lineRule="auto"/>
        <w:jc w:val="both"/>
        <w:rPr>
          <w:lang w:val="en-GB"/>
        </w:rPr>
      </w:pPr>
      <w:r w:rsidRPr="00EF3ECB">
        <w:rPr>
          <w:lang w:val="en-GB"/>
        </w:rPr>
        <w:t>Priori</w:t>
      </w:r>
      <w:r w:rsidR="00015C07" w:rsidRPr="00EF3ECB">
        <w:rPr>
          <w:lang w:val="en-GB"/>
        </w:rPr>
        <w:t>tiz</w:t>
      </w:r>
      <w:r w:rsidRPr="00EF3ECB">
        <w:rPr>
          <w:lang w:val="en-GB"/>
        </w:rPr>
        <w:t>ation rule to prioritise the use of certain interconnectors</w:t>
      </w:r>
      <w:r w:rsidR="000D7727" w:rsidRPr="00EF3ECB">
        <w:rPr>
          <w:lang w:val="en-GB"/>
        </w:rPr>
        <w:t xml:space="preserve"> by setting a higher, or lower, linear cost coefficient on certain interconnectors. </w:t>
      </w:r>
    </w:p>
    <w:p w14:paraId="391F07E9" w14:textId="77777777" w:rsidR="000B5887" w:rsidRPr="00EF3ECB" w:rsidRDefault="000B5887" w:rsidP="0037730C">
      <w:pPr>
        <w:spacing w:before="100" w:beforeAutospacing="1" w:after="100" w:afterAutospacing="1" w:line="276" w:lineRule="auto"/>
        <w:jc w:val="both"/>
        <w:rPr>
          <w:lang w:val="en-GB"/>
        </w:rPr>
      </w:pPr>
      <w:r w:rsidRPr="00EF3ECB">
        <w:rPr>
          <w:lang w:val="en-GB"/>
        </w:rPr>
        <w:t xml:space="preserve">The cost coefficients are determined in such a way that the general behaviour of the optimisation is balanced and respect the objectives. Hence, the ratio between the different cost coefficients on each bidding zone border is more important than the exact value. </w:t>
      </w:r>
    </w:p>
    <w:p w14:paraId="62184E8F" w14:textId="346B15DA" w:rsidR="00A904BA" w:rsidRPr="00EF3ECB" w:rsidRDefault="00480363" w:rsidP="0037730C">
      <w:pPr>
        <w:spacing w:before="100" w:beforeAutospacing="1" w:after="100" w:afterAutospacing="1" w:line="276" w:lineRule="auto"/>
        <w:jc w:val="both"/>
        <w:rPr>
          <w:lang w:val="en-GB"/>
        </w:rPr>
      </w:pPr>
      <w:r w:rsidRPr="00EF3ECB">
        <w:rPr>
          <w:lang w:val="en-GB"/>
        </w:rPr>
        <w:t xml:space="preserve">The current cost </w:t>
      </w:r>
      <w:r w:rsidR="00EF3ECB">
        <w:rPr>
          <w:lang w:val="en-GB"/>
        </w:rPr>
        <w:t>co</w:t>
      </w:r>
      <w:r w:rsidR="00EF3ECB" w:rsidRPr="00EF3ECB">
        <w:rPr>
          <w:lang w:val="en-GB"/>
        </w:rPr>
        <w:t>efficients</w:t>
      </w:r>
      <w:r w:rsidRPr="00EF3ECB">
        <w:rPr>
          <w:lang w:val="en-GB"/>
        </w:rPr>
        <w:t xml:space="preserve"> applied in the DA MC algorithm (MRC)</w:t>
      </w:r>
      <w:r w:rsidR="00067B7D" w:rsidRPr="00EF3ECB">
        <w:rPr>
          <w:lang w:val="en-GB"/>
        </w:rPr>
        <w:t xml:space="preserve"> are the result</w:t>
      </w:r>
      <w:r w:rsidR="00D34C79" w:rsidRPr="00EF3ECB">
        <w:rPr>
          <w:lang w:val="en-GB"/>
        </w:rPr>
        <w:t xml:space="preserve"> </w:t>
      </w:r>
      <w:r w:rsidR="00B74B0B" w:rsidRPr="00EF3ECB">
        <w:rPr>
          <w:lang w:val="en-GB"/>
        </w:rPr>
        <w:t xml:space="preserve">of a common NEMO-TSO work. When a </w:t>
      </w:r>
      <w:r w:rsidR="00A904BA" w:rsidRPr="00EF3ECB">
        <w:rPr>
          <w:lang w:val="en-GB"/>
        </w:rPr>
        <w:t>change in the</w:t>
      </w:r>
      <w:r w:rsidR="00B74B0B" w:rsidRPr="00EF3ECB">
        <w:rPr>
          <w:lang w:val="en-GB"/>
        </w:rPr>
        <w:t xml:space="preserve"> market topology is introduced (i.e. the addition of a new bidding zone border), then a common task force will evaluate and determine the cost coefficients to be used </w:t>
      </w:r>
      <w:r w:rsidR="006A714C" w:rsidRPr="00EF3ECB">
        <w:rPr>
          <w:lang w:val="en-GB"/>
        </w:rPr>
        <w:t xml:space="preserve">for the calculation of the exchanges. These cost coefficients are determined such that the objectives described above are met and such that they do not interfere with previous implemented rules. For example, </w:t>
      </w:r>
      <w:r w:rsidR="00A904BA" w:rsidRPr="00EF3ECB">
        <w:rPr>
          <w:lang w:val="en-GB"/>
        </w:rPr>
        <w:t xml:space="preserve">a previously agreed prioritization path shall not be impacted by the creation of a new bidding zone border. The assessment is done based on expert knowledge and specific studies to validate the </w:t>
      </w:r>
      <w:r w:rsidR="00EF3ECB" w:rsidRPr="00EF3ECB">
        <w:rPr>
          <w:lang w:val="en-GB"/>
        </w:rPr>
        <w:t>chosen</w:t>
      </w:r>
      <w:r w:rsidR="00A904BA" w:rsidRPr="00EF3ECB">
        <w:rPr>
          <w:lang w:val="en-GB"/>
        </w:rPr>
        <w:t xml:space="preserve"> cost coefficients.</w:t>
      </w:r>
    </w:p>
    <w:p w14:paraId="5D1E2732" w14:textId="56161E4B" w:rsidR="00247CA7" w:rsidRPr="00EF3ECB" w:rsidRDefault="00EF3ECB" w:rsidP="0037730C">
      <w:pPr>
        <w:spacing w:before="100" w:beforeAutospacing="1" w:after="100" w:afterAutospacing="1" w:line="276" w:lineRule="auto"/>
        <w:jc w:val="both"/>
        <w:rPr>
          <w:lang w:val="en-GB"/>
        </w:rPr>
      </w:pPr>
      <w:r w:rsidRPr="00EF3ECB">
        <w:rPr>
          <w:lang w:val="en-GB"/>
        </w:rPr>
        <w:t xml:space="preserve">When considering the example below, which illustrates the addition of a new bidding zone border (in red) to the existing market topology, the determination of the linear cost coefficients should be such that the shortest path rule is respected (i.e. no </w:t>
      </w:r>
      <w:r>
        <w:rPr>
          <w:lang w:val="en-GB"/>
        </w:rPr>
        <w:t xml:space="preserve">unnecessary </w:t>
      </w:r>
      <w:r w:rsidRPr="00EF3ECB">
        <w:rPr>
          <w:lang w:val="en-GB"/>
        </w:rPr>
        <w:t>transits will happen).</w:t>
      </w:r>
    </w:p>
    <w:p w14:paraId="6FD30534" w14:textId="77777777" w:rsidR="00247CA7" w:rsidRPr="00EF3ECB" w:rsidRDefault="00247CA7" w:rsidP="0037730C">
      <w:pPr>
        <w:spacing w:before="100" w:beforeAutospacing="1" w:after="100" w:afterAutospacing="1" w:line="276" w:lineRule="auto"/>
        <w:jc w:val="both"/>
        <w:rPr>
          <w:lang w:val="en-GB"/>
        </w:rPr>
      </w:pPr>
    </w:p>
    <w:p w14:paraId="2B1850DE" w14:textId="15D15874" w:rsidR="00480363" w:rsidRPr="00EF3ECB" w:rsidRDefault="00247CA7" w:rsidP="0037730C">
      <w:pPr>
        <w:spacing w:before="100" w:beforeAutospacing="1" w:after="100" w:afterAutospacing="1" w:line="276" w:lineRule="auto"/>
        <w:jc w:val="both"/>
        <w:rPr>
          <w:lang w:val="en-GB"/>
        </w:rPr>
      </w:pPr>
      <w:r w:rsidRPr="00EF3ECB">
        <w:rPr>
          <w:noProof/>
          <w:lang w:val="de-AT" w:eastAsia="de-AT"/>
        </w:rPr>
        <w:drawing>
          <wp:inline distT="0" distB="0" distL="0" distR="0" wp14:anchorId="1B3B12A4" wp14:editId="4446CF68">
            <wp:extent cx="3457575" cy="30575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457575" cy="3057525"/>
                    </a:xfrm>
                    <a:prstGeom prst="rect">
                      <a:avLst/>
                    </a:prstGeom>
                  </pic:spPr>
                </pic:pic>
              </a:graphicData>
            </a:graphic>
          </wp:inline>
        </w:drawing>
      </w:r>
      <w:r w:rsidR="006A714C" w:rsidRPr="00EF3ECB">
        <w:rPr>
          <w:lang w:val="en-GB"/>
        </w:rPr>
        <w:t xml:space="preserve"> </w:t>
      </w:r>
    </w:p>
    <w:p w14:paraId="000A9AA3" w14:textId="77901D3E" w:rsidR="00B8384E" w:rsidRPr="00EF3ECB" w:rsidRDefault="00B8384E" w:rsidP="0037730C">
      <w:pPr>
        <w:spacing w:before="100" w:beforeAutospacing="1" w:after="100" w:afterAutospacing="1" w:line="276" w:lineRule="auto"/>
        <w:jc w:val="both"/>
        <w:rPr>
          <w:lang w:val="en-GB"/>
        </w:rPr>
      </w:pPr>
      <w:r w:rsidRPr="00EF3ECB">
        <w:rPr>
          <w:lang w:val="en-GB"/>
        </w:rPr>
        <w:t>In the before mentioned example, the cost coefficients are given in the table below.</w:t>
      </w:r>
    </w:p>
    <w:p w14:paraId="42175C7C" w14:textId="77777777" w:rsidR="0033137C" w:rsidRPr="00EF3ECB" w:rsidRDefault="0033137C" w:rsidP="0037730C">
      <w:pPr>
        <w:spacing w:before="100" w:beforeAutospacing="1" w:after="100" w:afterAutospacing="1" w:line="276" w:lineRule="auto"/>
        <w:jc w:val="both"/>
        <w:rPr>
          <w:lang w:val="en-GB"/>
        </w:rPr>
      </w:pPr>
    </w:p>
    <w:p w14:paraId="1543CF5A" w14:textId="72BF40A0" w:rsidR="0033137C" w:rsidRPr="00EF3ECB" w:rsidRDefault="0033137C" w:rsidP="0037730C">
      <w:pPr>
        <w:spacing w:before="100" w:beforeAutospacing="1" w:after="100" w:afterAutospacing="1" w:line="276" w:lineRule="auto"/>
        <w:jc w:val="both"/>
        <w:rPr>
          <w:lang w:val="en-GB"/>
        </w:rPr>
      </w:pPr>
      <w:r w:rsidRPr="00EF3ECB">
        <w:rPr>
          <w:noProof/>
          <w:lang w:val="de-AT" w:eastAsia="de-AT"/>
        </w:rPr>
        <w:drawing>
          <wp:inline distT="0" distB="0" distL="0" distR="0" wp14:anchorId="2E1F28DF" wp14:editId="7C6FB851">
            <wp:extent cx="3543300" cy="1809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543300" cy="1809750"/>
                    </a:xfrm>
                    <a:prstGeom prst="rect">
                      <a:avLst/>
                    </a:prstGeom>
                  </pic:spPr>
                </pic:pic>
              </a:graphicData>
            </a:graphic>
          </wp:inline>
        </w:drawing>
      </w:r>
    </w:p>
    <w:p w14:paraId="64FEFC4D" w14:textId="02372B81" w:rsidR="0033137C" w:rsidRPr="00EF3ECB" w:rsidRDefault="001205DE" w:rsidP="0037730C">
      <w:pPr>
        <w:spacing w:before="100" w:beforeAutospacing="1" w:after="100" w:afterAutospacing="1" w:line="276" w:lineRule="auto"/>
        <w:jc w:val="both"/>
        <w:rPr>
          <w:lang w:val="en-GB"/>
        </w:rPr>
      </w:pPr>
      <w:r w:rsidRPr="00EF3ECB">
        <w:rPr>
          <w:lang w:val="en-GB"/>
        </w:rPr>
        <w:t>The calibration of the cost coefficients for the new interconnector BZ C – BZ A should be such that there is no transit of the interconnector from exchanges between BZ B and BZ A</w:t>
      </w:r>
      <w:r w:rsidR="00905F7B" w:rsidRPr="00EF3ECB">
        <w:rPr>
          <w:lang w:val="en-GB"/>
        </w:rPr>
        <w:t xml:space="preserve"> and vice versa. </w:t>
      </w:r>
    </w:p>
    <w:p w14:paraId="440DC581" w14:textId="2994FA8A" w:rsidR="00905F7B" w:rsidRPr="00EF3ECB" w:rsidRDefault="00905F7B" w:rsidP="0037730C">
      <w:pPr>
        <w:spacing w:before="100" w:beforeAutospacing="1" w:after="100" w:afterAutospacing="1" w:line="276" w:lineRule="auto"/>
        <w:jc w:val="both"/>
        <w:rPr>
          <w:lang w:val="en-GB"/>
        </w:rPr>
      </w:pPr>
      <w:r w:rsidRPr="00EF3ECB">
        <w:rPr>
          <w:lang w:val="en-GB"/>
        </w:rPr>
        <w:t>Clearly, if the linear cost coefficient for the bidding zone border CA is put to a very high value (e.g. 1000)</w:t>
      </w:r>
      <w:r w:rsidR="00EF3ECB">
        <w:rPr>
          <w:lang w:val="en-GB"/>
        </w:rPr>
        <w:t>,</w:t>
      </w:r>
      <w:r w:rsidRPr="00EF3ECB">
        <w:rPr>
          <w:lang w:val="en-GB"/>
        </w:rPr>
        <w:t xml:space="preserve"> then any exchange between BZ C and BZ A will not be scheduled over the </w:t>
      </w:r>
      <w:r w:rsidR="007E3C38" w:rsidRPr="00EF3ECB">
        <w:rPr>
          <w:lang w:val="en-GB"/>
        </w:rPr>
        <w:t>new bidding zone border. If the linear cost coefficient is set to 0, then any exchange between BZ B and BZ A can either be scheduled over BZB BA or BZB CA for the same ‘cost’. This behaviour is to be avoided.</w:t>
      </w:r>
      <w:r w:rsidR="00441838" w:rsidRPr="00EF3ECB">
        <w:rPr>
          <w:lang w:val="en-GB"/>
        </w:rPr>
        <w:t xml:space="preserve"> For this case, the optimal solution is to apply the same linear cost coefficient for all bidding zone borders within this region.</w:t>
      </w:r>
    </w:p>
    <w:p w14:paraId="55B2CDF5" w14:textId="55779777" w:rsidR="00441838" w:rsidRDefault="00441838" w:rsidP="0037730C">
      <w:pPr>
        <w:spacing w:before="100" w:beforeAutospacing="1" w:after="100" w:afterAutospacing="1" w:line="276" w:lineRule="auto"/>
        <w:jc w:val="both"/>
        <w:rPr>
          <w:lang w:val="en-GB"/>
        </w:rPr>
      </w:pPr>
      <w:r w:rsidRPr="00EF3ECB">
        <w:rPr>
          <w:lang w:val="en-GB"/>
        </w:rPr>
        <w:t>The example below illustrated the need for a prioritization path. In this example</w:t>
      </w:r>
      <w:r w:rsidR="006314D8" w:rsidRPr="00EF3ECB">
        <w:rPr>
          <w:lang w:val="en-GB"/>
        </w:rPr>
        <w:t xml:space="preserve"> we consider a situation where there are multiple smaller bidding zones</w:t>
      </w:r>
      <w:r w:rsidR="00EF3ECB" w:rsidRPr="00EF3ECB">
        <w:rPr>
          <w:lang w:val="en-GB"/>
        </w:rPr>
        <w:t xml:space="preserve"> each </w:t>
      </w:r>
      <w:r w:rsidR="00EF3ECB">
        <w:rPr>
          <w:lang w:val="en-GB"/>
        </w:rPr>
        <w:t>geographically</w:t>
      </w:r>
      <w:r w:rsidR="00EF3ECB" w:rsidRPr="00EF3ECB">
        <w:rPr>
          <w:lang w:val="en-GB"/>
        </w:rPr>
        <w:t xml:space="preserve"> located close to each other</w:t>
      </w:r>
      <w:r w:rsidR="00B475A1">
        <w:rPr>
          <w:lang w:val="en-GB"/>
        </w:rPr>
        <w:t xml:space="preserve"> (BZ B to BZ E) and one large bidding zone (BZ A) which spans, again geographically, the before mentioned bidding zones. </w:t>
      </w:r>
    </w:p>
    <w:p w14:paraId="5AE5D987" w14:textId="2A8E08B7" w:rsidR="00B475A1" w:rsidRDefault="00F91255" w:rsidP="0037730C">
      <w:pPr>
        <w:spacing w:before="100" w:beforeAutospacing="1" w:after="100" w:afterAutospacing="1" w:line="276" w:lineRule="auto"/>
        <w:jc w:val="both"/>
        <w:rPr>
          <w:lang w:val="en-GB"/>
        </w:rPr>
      </w:pPr>
      <w:r>
        <w:rPr>
          <w:noProof/>
          <w:lang w:val="de-AT" w:eastAsia="de-AT"/>
        </w:rPr>
        <w:drawing>
          <wp:inline distT="0" distB="0" distL="0" distR="0" wp14:anchorId="25F12A46" wp14:editId="2FEF9872">
            <wp:extent cx="4676775" cy="26860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676775" cy="2686050"/>
                    </a:xfrm>
                    <a:prstGeom prst="rect">
                      <a:avLst/>
                    </a:prstGeom>
                  </pic:spPr>
                </pic:pic>
              </a:graphicData>
            </a:graphic>
          </wp:inline>
        </w:drawing>
      </w:r>
    </w:p>
    <w:p w14:paraId="3ED6F546" w14:textId="160651DB" w:rsidR="00B475A1" w:rsidRDefault="00B475A1" w:rsidP="0037730C">
      <w:pPr>
        <w:spacing w:before="100" w:beforeAutospacing="1" w:after="100" w:afterAutospacing="1" w:line="276" w:lineRule="auto"/>
        <w:jc w:val="both"/>
        <w:rPr>
          <w:lang w:val="en-GB"/>
        </w:rPr>
      </w:pPr>
    </w:p>
    <w:p w14:paraId="07E2C977" w14:textId="208F7EC5" w:rsidR="00F91255" w:rsidRDefault="00F91255" w:rsidP="0037730C">
      <w:pPr>
        <w:spacing w:before="100" w:beforeAutospacing="1" w:after="100" w:afterAutospacing="1" w:line="276" w:lineRule="auto"/>
        <w:jc w:val="both"/>
        <w:rPr>
          <w:lang w:val="en-GB"/>
        </w:rPr>
      </w:pPr>
      <w:r>
        <w:rPr>
          <w:lang w:val="en-GB"/>
        </w:rPr>
        <w:t xml:space="preserve">Scheduling an exchange between BZ B and BZ E can be done </w:t>
      </w:r>
      <w:r w:rsidR="00914B0C">
        <w:rPr>
          <w:lang w:val="en-GB"/>
        </w:rPr>
        <w:t xml:space="preserve">via BZ A or via BZ C and D.In case of equal cost coefficients, the path via BZ A would be selected. However, a more accurate representation </w:t>
      </w:r>
      <w:r w:rsidR="00D53BEF">
        <w:rPr>
          <w:lang w:val="en-GB"/>
        </w:rPr>
        <w:t>of the flow pattern and physical capacities would to schedule the exchange via BZ C and D. In s</w:t>
      </w:r>
      <w:r w:rsidR="00E275F5">
        <w:rPr>
          <w:lang w:val="en-GB"/>
        </w:rPr>
        <w:t>uch a case</w:t>
      </w:r>
      <w:r w:rsidR="0075292F">
        <w:rPr>
          <w:lang w:val="en-GB"/>
        </w:rPr>
        <w:t xml:space="preserve"> it would make sense to </w:t>
      </w:r>
      <w:r w:rsidR="00791808">
        <w:rPr>
          <w:lang w:val="en-GB"/>
        </w:rPr>
        <w:t xml:space="preserve">increase the cost coefficients on BZB AE and BZB BA. </w:t>
      </w:r>
      <w:r w:rsidR="00122679">
        <w:rPr>
          <w:lang w:val="en-GB"/>
        </w:rPr>
        <w:t>The increase of the cost coefficients should then be tested so that an exchange between BZ B and BZ A show</w:t>
      </w:r>
      <w:r w:rsidR="00155169">
        <w:rPr>
          <w:lang w:val="en-GB"/>
        </w:rPr>
        <w:t>s</w:t>
      </w:r>
      <w:r w:rsidR="00122679">
        <w:rPr>
          <w:lang w:val="en-GB"/>
        </w:rPr>
        <w:t xml:space="preserve"> the correct behaviour.</w:t>
      </w:r>
    </w:p>
    <w:p w14:paraId="4162B0F8" w14:textId="18997471" w:rsidR="00155169" w:rsidRPr="00EF3ECB" w:rsidRDefault="00155169" w:rsidP="0037730C">
      <w:pPr>
        <w:spacing w:before="100" w:beforeAutospacing="1" w:after="100" w:afterAutospacing="1" w:line="276" w:lineRule="auto"/>
        <w:jc w:val="both"/>
        <w:rPr>
          <w:lang w:val="en-GB"/>
        </w:rPr>
      </w:pPr>
      <w:r>
        <w:rPr>
          <w:lang w:val="en-GB"/>
        </w:rPr>
        <w:t xml:space="preserve">From the examples above, it is clear that setting cost coefficients on </w:t>
      </w:r>
      <w:r w:rsidR="0061495F">
        <w:rPr>
          <w:lang w:val="en-GB"/>
        </w:rPr>
        <w:t xml:space="preserve">bidding zone borders is an exercise in finding the right balance between the objectives defined for the market topology. </w:t>
      </w:r>
    </w:p>
    <w:p w14:paraId="545A3FF7" w14:textId="2B3C3857" w:rsidR="00DE3024" w:rsidRPr="00EF3ECB" w:rsidRDefault="000B5887" w:rsidP="00D91B58">
      <w:pPr>
        <w:spacing w:before="100" w:beforeAutospacing="1" w:after="100" w:afterAutospacing="1" w:line="276" w:lineRule="auto"/>
        <w:jc w:val="both"/>
        <w:rPr>
          <w:rFonts w:cs="Arial"/>
          <w:lang w:val="en-GB"/>
        </w:rPr>
      </w:pPr>
      <w:r w:rsidRPr="00EF3ECB">
        <w:rPr>
          <w:lang w:val="en-GB"/>
        </w:rPr>
        <w:t xml:space="preserve">Furthermore, where relevant, it needs to be ensured that Schedules Exchanges are defined from low price to high price areas. Therefore, an intuitiveness scheduling restriction between bidding zones is applied. The intuitiveness scheduling restriction between bidding zone A and bidding zone B is described as follows: </w:t>
      </w:r>
    </w:p>
    <w:p w14:paraId="143CC682" w14:textId="1E3F1A67" w:rsidR="00DE3024" w:rsidRPr="00EF3ECB" w:rsidRDefault="00DE3024" w:rsidP="0037730C">
      <w:pPr>
        <w:pStyle w:val="Caption"/>
        <w:keepNext/>
        <w:spacing w:line="276" w:lineRule="auto"/>
        <w:jc w:val="both"/>
        <w:rPr>
          <w:lang w:val="en-GB"/>
        </w:rPr>
      </w:pPr>
      <w:bookmarkStart w:id="41" w:name="_Toc505860284"/>
      <w:r w:rsidRPr="00EF3ECB">
        <w:rPr>
          <w:lang w:val="en-GB"/>
        </w:rPr>
        <w:t xml:space="preserve">Equation </w:t>
      </w:r>
      <w:r w:rsidRPr="00EF3ECB">
        <w:rPr>
          <w:lang w:val="en-GB"/>
        </w:rPr>
        <w:fldChar w:fldCharType="begin"/>
      </w:r>
      <w:r w:rsidRPr="00EF3ECB">
        <w:rPr>
          <w:lang w:val="en-GB"/>
        </w:rPr>
        <w:instrText xml:space="preserve"> SEQ Equation \* ARABIC </w:instrText>
      </w:r>
      <w:r w:rsidRPr="00EF3ECB">
        <w:rPr>
          <w:lang w:val="en-GB"/>
        </w:rPr>
        <w:fldChar w:fldCharType="separate"/>
      </w:r>
      <w:r w:rsidR="00FC1305">
        <w:rPr>
          <w:noProof/>
          <w:lang w:val="en-GB"/>
        </w:rPr>
        <w:t>2</w:t>
      </w:r>
      <w:bookmarkEnd w:id="41"/>
      <w:r w:rsidRPr="00EF3ECB">
        <w:rPr>
          <w:lang w:val="en-GB"/>
        </w:rPr>
        <w:fldChar w:fldCharType="end"/>
      </w:r>
    </w:p>
    <w:p w14:paraId="3F189401" w14:textId="77777777" w:rsidR="00FE5A69" w:rsidRPr="00EF3ECB" w:rsidRDefault="00FC1305" w:rsidP="0037730C">
      <w:pPr>
        <w:pStyle w:val="textregular"/>
        <w:spacing w:line="276" w:lineRule="auto"/>
        <w:jc w:val="both"/>
        <w:rPr>
          <w:rFonts w:eastAsiaTheme="minorEastAsia"/>
        </w:rPr>
      </w:pPr>
      <m:oMathPara>
        <m:oMath>
          <m:sSub>
            <m:sSubPr>
              <m:ctrlPr>
                <w:rPr>
                  <w:rFonts w:ascii="Cambria Math" w:hAnsi="Cambria Math"/>
                  <w:i/>
                </w:rPr>
              </m:ctrlPr>
            </m:sSubPr>
            <m:e>
              <m:r>
                <w:rPr>
                  <w:rFonts w:ascii="Cambria Math" w:hAnsi="Cambria Math"/>
                </w:rPr>
                <m:t>(Price</m:t>
              </m:r>
            </m:e>
            <m:sub>
              <m:r>
                <w:rPr>
                  <w:rFonts w:ascii="Cambria Math" w:hAnsi="Cambria Math"/>
                </w:rPr>
                <m:t>BZ B</m:t>
              </m:r>
            </m:sub>
          </m:sSub>
          <m:r>
            <w:rPr>
              <w:rFonts w:ascii="Cambria Math" w:hAnsi="Cambria Math"/>
            </w:rPr>
            <m:t xml:space="preserve">- </m:t>
          </m:r>
          <m:sSub>
            <m:sSubPr>
              <m:ctrlPr>
                <w:rPr>
                  <w:rFonts w:ascii="Cambria Math" w:hAnsi="Cambria Math"/>
                  <w:i/>
                </w:rPr>
              </m:ctrlPr>
            </m:sSubPr>
            <m:e>
              <m:r>
                <w:rPr>
                  <w:rFonts w:ascii="Cambria Math" w:hAnsi="Cambria Math"/>
                </w:rPr>
                <m:t>Price</m:t>
              </m:r>
            </m:e>
            <m:sub>
              <m:r>
                <w:rPr>
                  <w:rFonts w:ascii="Cambria Math" w:hAnsi="Cambria Math"/>
                </w:rPr>
                <m:t>BZ A</m:t>
              </m:r>
            </m:sub>
          </m:sSub>
          <m:r>
            <w:rPr>
              <w:rFonts w:ascii="Cambria Math" w:hAnsi="Cambria Math"/>
            </w:rPr>
            <m:t>)*</m:t>
          </m:r>
          <m:sSub>
            <m:sSubPr>
              <m:ctrlPr>
                <w:rPr>
                  <w:rFonts w:ascii="Cambria Math" w:hAnsi="Cambria Math"/>
                  <w:i/>
                </w:rPr>
              </m:ctrlPr>
            </m:sSubPr>
            <m:e>
              <m:r>
                <w:rPr>
                  <w:rFonts w:ascii="Cambria Math" w:hAnsi="Cambria Math"/>
                </w:rPr>
                <m:t>Bilateral Exchange</m:t>
              </m:r>
            </m:e>
            <m:sub>
              <m:r>
                <w:rPr>
                  <w:rFonts w:ascii="Cambria Math" w:hAnsi="Cambria Math"/>
                </w:rPr>
                <m:t>A→B</m:t>
              </m:r>
            </m:sub>
          </m:sSub>
          <m:r>
            <w:rPr>
              <w:rFonts w:ascii="Cambria Math" w:hAnsi="Cambria Math"/>
            </w:rPr>
            <m:t xml:space="preserve"> ≥0</m:t>
          </m:r>
        </m:oMath>
      </m:oMathPara>
    </w:p>
    <w:p w14:paraId="2CF2B418" w14:textId="45BB2384" w:rsidR="00FE5A69" w:rsidRPr="00EF3ECB" w:rsidRDefault="00FE5A69" w:rsidP="0037730C">
      <w:pPr>
        <w:pStyle w:val="textregular"/>
        <w:spacing w:line="276" w:lineRule="auto"/>
        <w:jc w:val="both"/>
        <w:rPr>
          <w:rFonts w:eastAsiaTheme="minorEastAsia"/>
        </w:rPr>
      </w:pPr>
    </w:p>
    <w:p w14:paraId="6832B3FD" w14:textId="36C84907" w:rsidR="009D5ED9" w:rsidRPr="00EF3ECB" w:rsidRDefault="00212307" w:rsidP="00F8788D">
      <w:pPr>
        <w:pStyle w:val="Heading2"/>
        <w:numPr>
          <w:ilvl w:val="1"/>
          <w:numId w:val="1"/>
        </w:numPr>
        <w:spacing w:before="0" w:line="276" w:lineRule="auto"/>
        <w:ind w:left="0" w:firstLine="0"/>
        <w:jc w:val="both"/>
        <w:rPr>
          <w:lang w:val="en-GB" w:eastAsia="en-GB"/>
        </w:rPr>
      </w:pPr>
      <w:bookmarkStart w:id="42" w:name="_Toc507425381"/>
      <w:r w:rsidRPr="00EF3ECB">
        <w:rPr>
          <w:rFonts w:cs="Arial"/>
          <w:lang w:val="en-GB"/>
        </w:rPr>
        <w:t>Flow calc</w:t>
      </w:r>
      <w:r w:rsidR="00203B83" w:rsidRPr="00EF3ECB">
        <w:rPr>
          <w:rFonts w:cs="Arial"/>
          <w:lang w:val="en-GB"/>
        </w:rPr>
        <w:t>ulation between Bidding Zones (</w:t>
      </w:r>
      <w:r w:rsidRPr="00EF3ECB">
        <w:rPr>
          <w:rFonts w:cs="Arial"/>
          <w:lang w:val="en-GB"/>
        </w:rPr>
        <w:t>BZ)</w:t>
      </w:r>
      <w:bookmarkEnd w:id="42"/>
      <w:r w:rsidRPr="00EF3ECB">
        <w:rPr>
          <w:rFonts w:cs="Arial"/>
          <w:lang w:val="en-GB"/>
        </w:rPr>
        <w:t xml:space="preserve"> </w:t>
      </w:r>
      <w:bookmarkStart w:id="43" w:name="_Toc500961046"/>
      <w:bookmarkStart w:id="44" w:name="_Toc500406828"/>
      <w:bookmarkEnd w:id="43"/>
      <w:bookmarkEnd w:id="44"/>
    </w:p>
    <w:p w14:paraId="535938B4" w14:textId="3461632E" w:rsidR="009D5ED9" w:rsidRPr="00EF3ECB" w:rsidRDefault="009D5ED9" w:rsidP="0037730C">
      <w:pPr>
        <w:spacing w:line="276" w:lineRule="auto"/>
        <w:ind w:firstLine="360"/>
        <w:jc w:val="both"/>
        <w:rPr>
          <w:lang w:val="en-GB"/>
        </w:rPr>
      </w:pPr>
    </w:p>
    <w:p w14:paraId="20E1240A" w14:textId="77777777" w:rsidR="009D5ED9" w:rsidRPr="00EF3ECB" w:rsidRDefault="009D5ED9" w:rsidP="0037730C">
      <w:pPr>
        <w:spacing w:line="276" w:lineRule="auto"/>
        <w:jc w:val="both"/>
        <w:rPr>
          <w:lang w:val="en-GB"/>
        </w:rPr>
      </w:pPr>
      <w:r w:rsidRPr="00EF3ECB">
        <w:rPr>
          <w:lang w:val="en-GB"/>
        </w:rPr>
        <w:t>Actual methodology applied by Euphemia foresees:</w:t>
      </w:r>
    </w:p>
    <w:p w14:paraId="78305485" w14:textId="77777777" w:rsidR="009D5ED9" w:rsidRPr="00EF3ECB" w:rsidRDefault="009D5ED9" w:rsidP="0037730C">
      <w:pPr>
        <w:spacing w:line="276" w:lineRule="auto"/>
        <w:ind w:firstLine="360"/>
        <w:jc w:val="both"/>
        <w:rPr>
          <w:lang w:val="en-GB"/>
        </w:rPr>
      </w:pPr>
    </w:p>
    <w:p w14:paraId="712757B1" w14:textId="77777777" w:rsidR="009D5ED9" w:rsidRPr="00EF3ECB" w:rsidRDefault="009D5ED9" w:rsidP="00F8788D">
      <w:pPr>
        <w:pStyle w:val="ListParagraph"/>
        <w:numPr>
          <w:ilvl w:val="0"/>
          <w:numId w:val="7"/>
        </w:numPr>
        <w:spacing w:line="276" w:lineRule="auto"/>
        <w:jc w:val="both"/>
        <w:rPr>
          <w:i/>
          <w:lang w:val="en-GB"/>
        </w:rPr>
      </w:pPr>
      <w:r w:rsidRPr="00EF3ECB">
        <w:rPr>
          <w:i/>
          <w:lang w:val="en-GB"/>
        </w:rPr>
        <w:t>Flow calculation between Bidding Zones connected by ATC lines</w:t>
      </w:r>
    </w:p>
    <w:p w14:paraId="211F7364" w14:textId="73C2E9A8" w:rsidR="009D5ED9" w:rsidRPr="00EF3ECB" w:rsidRDefault="009D5ED9" w:rsidP="0037730C">
      <w:pPr>
        <w:pStyle w:val="ListParagraph"/>
        <w:spacing w:line="276" w:lineRule="auto"/>
        <w:ind w:left="1080"/>
        <w:jc w:val="both"/>
        <w:rPr>
          <w:lang w:val="en-GB"/>
        </w:rPr>
      </w:pPr>
      <w:r w:rsidRPr="00EF3ECB">
        <w:rPr>
          <w:lang w:val="en-GB"/>
        </w:rPr>
        <w:t>Given bidding zones net position, several routes could be</w:t>
      </w:r>
      <w:r w:rsidR="00015C07" w:rsidRPr="00EF3ECB">
        <w:rPr>
          <w:lang w:val="en-GB"/>
        </w:rPr>
        <w:t xml:space="preserve"> </w:t>
      </w:r>
      <w:r w:rsidRPr="00EF3ECB">
        <w:rPr>
          <w:lang w:val="en-GB"/>
        </w:rPr>
        <w:t xml:space="preserve">possible. In order to define a unique solution, flows calculation is based on a minimization of the costs associated to ATC lines. </w:t>
      </w:r>
    </w:p>
    <w:p w14:paraId="75F3CC5D" w14:textId="60E2DFC0" w:rsidR="00FE5A69" w:rsidRPr="00EF3ECB" w:rsidRDefault="009D5ED9" w:rsidP="0037730C">
      <w:pPr>
        <w:pStyle w:val="ListParagraph"/>
        <w:spacing w:line="276" w:lineRule="auto"/>
        <w:ind w:left="1080"/>
        <w:jc w:val="both"/>
        <w:rPr>
          <w:lang w:val="en-GB"/>
        </w:rPr>
      </w:pPr>
      <w:r w:rsidRPr="00EF3ECB">
        <w:rPr>
          <w:lang w:val="en-GB"/>
        </w:rPr>
        <w:t>Formula to calculate flows is the following:</w:t>
      </w:r>
    </w:p>
    <w:p w14:paraId="7AAEBA30" w14:textId="33F0EFDC" w:rsidR="009D5ED9" w:rsidRPr="00EF3ECB" w:rsidRDefault="009D5ED9" w:rsidP="0037730C">
      <w:pPr>
        <w:pStyle w:val="ListParagraph"/>
        <w:spacing w:line="276" w:lineRule="auto"/>
        <w:ind w:left="1080"/>
        <w:jc w:val="both"/>
        <w:rPr>
          <w:lang w:val="en-GB"/>
        </w:rPr>
      </w:pPr>
    </w:p>
    <w:p w14:paraId="3D2EA729" w14:textId="37043432" w:rsidR="009D5ED9" w:rsidRPr="00EF3ECB" w:rsidRDefault="00FC1305" w:rsidP="0037730C">
      <w:pPr>
        <w:pStyle w:val="ListParagraph"/>
        <w:spacing w:line="276" w:lineRule="auto"/>
        <w:ind w:left="1080"/>
        <w:jc w:val="both"/>
        <w:rPr>
          <w:lang w:val="en-GB"/>
        </w:rPr>
      </w:pPr>
      <m:oMathPara>
        <m:oMath>
          <m:func>
            <m:funcPr>
              <m:ctrlPr>
                <w:rPr>
                  <w:rFonts w:ascii="Cambria Math" w:hAnsi="Cambria Math"/>
                  <w:b/>
                  <w:bCs/>
                  <w:i/>
                  <w:iCs/>
                  <w:lang w:val="en-GB"/>
                </w:rPr>
              </m:ctrlPr>
            </m:funcPr>
            <m:fName>
              <m:r>
                <m:rPr>
                  <m:sty m:val="b"/>
                </m:rPr>
                <w:rPr>
                  <w:rFonts w:ascii="Cambria Math" w:hAnsi="Cambria Math"/>
                  <w:lang w:val="en-GB"/>
                </w:rPr>
                <m:t>min</m:t>
              </m:r>
            </m:fName>
            <m:e>
              <m:d>
                <m:dPr>
                  <m:ctrlPr>
                    <w:rPr>
                      <w:rFonts w:ascii="Cambria Math" w:hAnsi="Cambria Math"/>
                      <w:b/>
                      <w:bCs/>
                      <w:i/>
                      <w:iCs/>
                      <w:lang w:val="en-GB"/>
                    </w:rPr>
                  </m:ctrlPr>
                </m:dPr>
                <m:e>
                  <m:nary>
                    <m:naryPr>
                      <m:chr m:val="∑"/>
                      <m:subHide m:val="1"/>
                      <m:supHide m:val="1"/>
                      <m:ctrlPr>
                        <w:rPr>
                          <w:rFonts w:ascii="Cambria Math" w:hAnsi="Cambria Math"/>
                          <w:b/>
                          <w:bCs/>
                          <w:i/>
                          <w:iCs/>
                          <w:lang w:val="en-GB"/>
                        </w:rPr>
                      </m:ctrlPr>
                    </m:naryPr>
                    <m:sub/>
                    <m:sup/>
                    <m:e>
                      <m:sSub>
                        <m:sSubPr>
                          <m:ctrlPr>
                            <w:rPr>
                              <w:rFonts w:ascii="Cambria Math" w:hAnsi="Cambria Math"/>
                              <w:b/>
                              <w:bCs/>
                              <w:i/>
                              <w:iCs/>
                              <w:lang w:val="en-GB"/>
                            </w:rPr>
                          </m:ctrlPr>
                        </m:sSubPr>
                        <m:e>
                          <m:r>
                            <m:rPr>
                              <m:sty m:val="bi"/>
                            </m:rPr>
                            <w:rPr>
                              <w:rFonts w:ascii="Cambria Math" w:hAnsi="Cambria Math"/>
                              <w:lang w:val="en-GB"/>
                            </w:rPr>
                            <m:t>lc</m:t>
                          </m:r>
                        </m:e>
                        <m:sub>
                          <m:r>
                            <m:rPr>
                              <m:sty m:val="bi"/>
                            </m:rPr>
                            <w:rPr>
                              <w:rFonts w:ascii="Cambria Math" w:hAnsi="Cambria Math"/>
                              <w:lang w:val="en-GB"/>
                            </w:rPr>
                            <m:t>i,h</m:t>
                          </m:r>
                        </m:sub>
                      </m:sSub>
                      <m:sSub>
                        <m:sSubPr>
                          <m:ctrlPr>
                            <w:rPr>
                              <w:rFonts w:ascii="Cambria Math" w:hAnsi="Cambria Math"/>
                              <w:b/>
                              <w:bCs/>
                              <w:i/>
                              <w:iCs/>
                              <w:lang w:val="en-GB"/>
                            </w:rPr>
                          </m:ctrlPr>
                        </m:sSubPr>
                        <m:e>
                          <m:r>
                            <m:rPr>
                              <m:sty m:val="bi"/>
                            </m:rPr>
                            <w:rPr>
                              <w:rFonts w:ascii="Cambria Math" w:hAnsi="Cambria Math"/>
                              <w:lang w:val="en-GB"/>
                            </w:rPr>
                            <m:t>φ</m:t>
                          </m:r>
                        </m:e>
                        <m:sub>
                          <m:r>
                            <m:rPr>
                              <m:sty m:val="bi"/>
                            </m:rPr>
                            <w:rPr>
                              <w:rFonts w:ascii="Cambria Math" w:hAnsi="Cambria Math"/>
                              <w:lang w:val="en-GB"/>
                            </w:rPr>
                            <m:t>i,h</m:t>
                          </m:r>
                        </m:sub>
                      </m:sSub>
                      <m:r>
                        <m:rPr>
                          <m:sty m:val="bi"/>
                        </m:rPr>
                        <w:rPr>
                          <w:rFonts w:ascii="Cambria Math" w:hAnsi="Cambria Math"/>
                          <w:lang w:val="en-GB"/>
                        </w:rPr>
                        <m:t>+</m:t>
                      </m:r>
                    </m:e>
                  </m:nary>
                  <m:nary>
                    <m:naryPr>
                      <m:chr m:val="∑"/>
                      <m:subHide m:val="1"/>
                      <m:supHide m:val="1"/>
                      <m:ctrlPr>
                        <w:rPr>
                          <w:rFonts w:ascii="Cambria Math" w:hAnsi="Cambria Math"/>
                          <w:b/>
                          <w:bCs/>
                          <w:i/>
                          <w:iCs/>
                          <w:lang w:val="en-GB"/>
                        </w:rPr>
                      </m:ctrlPr>
                    </m:naryPr>
                    <m:sub/>
                    <m:sup/>
                    <m:e>
                      <m:sSub>
                        <m:sSubPr>
                          <m:ctrlPr>
                            <w:rPr>
                              <w:rFonts w:ascii="Cambria Math" w:hAnsi="Cambria Math"/>
                              <w:b/>
                              <w:bCs/>
                              <w:i/>
                              <w:iCs/>
                              <w:lang w:val="en-GB"/>
                            </w:rPr>
                          </m:ctrlPr>
                        </m:sSubPr>
                        <m:e>
                          <m:r>
                            <m:rPr>
                              <m:sty m:val="bi"/>
                            </m:rPr>
                            <w:rPr>
                              <w:rFonts w:ascii="Cambria Math" w:hAnsi="Cambria Math"/>
                              <w:lang w:val="en-GB"/>
                            </w:rPr>
                            <m:t>qc</m:t>
                          </m:r>
                        </m:e>
                        <m:sub>
                          <m:r>
                            <m:rPr>
                              <m:sty m:val="bi"/>
                            </m:rPr>
                            <w:rPr>
                              <w:rFonts w:ascii="Cambria Math" w:hAnsi="Cambria Math"/>
                              <w:lang w:val="en-GB"/>
                            </w:rPr>
                            <m:t>i,h</m:t>
                          </m:r>
                        </m:sub>
                      </m:sSub>
                      <m:sSubSup>
                        <m:sSubSupPr>
                          <m:ctrlPr>
                            <w:rPr>
                              <w:rFonts w:ascii="Cambria Math" w:hAnsi="Cambria Math"/>
                              <w:b/>
                              <w:bCs/>
                              <w:i/>
                              <w:iCs/>
                              <w:lang w:val="en-GB"/>
                            </w:rPr>
                          </m:ctrlPr>
                        </m:sSubSupPr>
                        <m:e>
                          <m:r>
                            <m:rPr>
                              <m:sty m:val="bi"/>
                            </m:rPr>
                            <w:rPr>
                              <w:rFonts w:ascii="Cambria Math" w:hAnsi="Cambria Math"/>
                              <w:lang w:val="en-GB"/>
                            </w:rPr>
                            <m:t>φ</m:t>
                          </m:r>
                        </m:e>
                        <m:sub>
                          <m:r>
                            <m:rPr>
                              <m:sty m:val="bi"/>
                            </m:rPr>
                            <w:rPr>
                              <w:rFonts w:ascii="Cambria Math" w:hAnsi="Cambria Math"/>
                              <w:lang w:val="en-GB"/>
                            </w:rPr>
                            <m:t>i,h</m:t>
                          </m:r>
                        </m:sub>
                        <m:sup>
                          <m:r>
                            <m:rPr>
                              <m:sty m:val="bi"/>
                            </m:rPr>
                            <w:rPr>
                              <w:rFonts w:ascii="Cambria Math" w:hAnsi="Cambria Math"/>
                              <w:lang w:val="en-GB"/>
                            </w:rPr>
                            <m:t>2</m:t>
                          </m:r>
                        </m:sup>
                      </m:sSubSup>
                    </m:e>
                  </m:nary>
                </m:e>
              </m:d>
            </m:e>
          </m:func>
        </m:oMath>
      </m:oMathPara>
    </w:p>
    <w:p w14:paraId="40E5D036" w14:textId="3FDF5C7D" w:rsidR="009D5ED9" w:rsidRPr="00EF3ECB" w:rsidRDefault="009D5ED9" w:rsidP="0037730C">
      <w:pPr>
        <w:pStyle w:val="ListParagraph"/>
        <w:spacing w:line="276" w:lineRule="auto"/>
        <w:ind w:left="1080"/>
        <w:jc w:val="both"/>
        <w:rPr>
          <w:lang w:val="en-GB"/>
        </w:rPr>
      </w:pPr>
    </w:p>
    <w:p w14:paraId="557F6676" w14:textId="77777777" w:rsidR="009D5ED9" w:rsidRPr="00EF3ECB" w:rsidRDefault="009D5ED9" w:rsidP="0037730C">
      <w:pPr>
        <w:pStyle w:val="ListParagraph"/>
        <w:spacing w:line="276" w:lineRule="auto"/>
        <w:ind w:left="1080"/>
        <w:jc w:val="both"/>
        <w:rPr>
          <w:lang w:val="en-GB"/>
        </w:rPr>
      </w:pPr>
      <w:r w:rsidRPr="00EF3ECB">
        <w:rPr>
          <w:lang w:val="en-GB"/>
        </w:rPr>
        <w:t>With:</w:t>
      </w:r>
    </w:p>
    <w:p w14:paraId="138A9642" w14:textId="77777777" w:rsidR="009D5ED9" w:rsidRPr="00EF3ECB" w:rsidRDefault="00FC1305" w:rsidP="00F8788D">
      <w:pPr>
        <w:pStyle w:val="ListParagraph"/>
        <w:numPr>
          <w:ilvl w:val="2"/>
          <w:numId w:val="8"/>
        </w:numPr>
        <w:spacing w:line="276" w:lineRule="auto"/>
        <w:jc w:val="both"/>
        <w:rPr>
          <w:lang w:val="en-GB"/>
        </w:rPr>
      </w:pPr>
      <m:oMath>
        <m:sSub>
          <m:sSubPr>
            <m:ctrlPr>
              <w:rPr>
                <w:rFonts w:ascii="Cambria Math" w:hAnsi="Cambria Math"/>
                <w:i/>
                <w:iCs/>
                <w:lang w:val="en-GB"/>
              </w:rPr>
            </m:ctrlPr>
          </m:sSubPr>
          <m:e>
            <m:r>
              <w:rPr>
                <w:rFonts w:ascii="Cambria Math" w:hAnsi="Cambria Math"/>
                <w:lang w:val="en-GB"/>
              </w:rPr>
              <m:t>lc</m:t>
            </m:r>
          </m:e>
          <m:sub>
            <m:r>
              <w:rPr>
                <w:rFonts w:ascii="Cambria Math" w:hAnsi="Cambria Math"/>
                <w:lang w:val="en-GB"/>
              </w:rPr>
              <m:t>i,h</m:t>
            </m:r>
          </m:sub>
        </m:sSub>
      </m:oMath>
      <w:r w:rsidR="009D5ED9" w:rsidRPr="00EF3ECB">
        <w:rPr>
          <w:lang w:val="en-GB"/>
        </w:rPr>
        <w:t>= linear cost associated to line i for period h</w:t>
      </w:r>
    </w:p>
    <w:p w14:paraId="46B33034" w14:textId="77777777" w:rsidR="009D5ED9" w:rsidRPr="00EF3ECB" w:rsidRDefault="00FC1305" w:rsidP="00F8788D">
      <w:pPr>
        <w:pStyle w:val="ListParagraph"/>
        <w:numPr>
          <w:ilvl w:val="2"/>
          <w:numId w:val="8"/>
        </w:numPr>
        <w:spacing w:line="276" w:lineRule="auto"/>
        <w:jc w:val="both"/>
        <w:rPr>
          <w:lang w:val="en-GB"/>
        </w:rPr>
      </w:pPr>
      <m:oMath>
        <m:sSub>
          <m:sSubPr>
            <m:ctrlPr>
              <w:rPr>
                <w:rFonts w:ascii="Cambria Math" w:hAnsi="Cambria Math"/>
                <w:i/>
                <w:iCs/>
                <w:lang w:val="en-GB"/>
              </w:rPr>
            </m:ctrlPr>
          </m:sSubPr>
          <m:e>
            <m:r>
              <w:rPr>
                <w:rFonts w:ascii="Cambria Math" w:hAnsi="Cambria Math"/>
                <w:lang w:val="en-GB"/>
              </w:rPr>
              <m:t>qc</m:t>
            </m:r>
          </m:e>
          <m:sub>
            <m:r>
              <w:rPr>
                <w:rFonts w:ascii="Cambria Math" w:hAnsi="Cambria Math"/>
                <w:lang w:val="en-GB"/>
              </w:rPr>
              <m:t>i,h</m:t>
            </m:r>
          </m:sub>
        </m:sSub>
      </m:oMath>
      <w:r w:rsidR="009D5ED9" w:rsidRPr="00EF3ECB">
        <w:rPr>
          <w:lang w:val="en-GB"/>
        </w:rPr>
        <w:t xml:space="preserve"> = quadratic cost associated to line i for period h</w:t>
      </w:r>
    </w:p>
    <w:p w14:paraId="634D06A4" w14:textId="77777777" w:rsidR="009D5ED9" w:rsidRPr="00EF3ECB" w:rsidRDefault="00FC1305" w:rsidP="00F8788D">
      <w:pPr>
        <w:pStyle w:val="ListParagraph"/>
        <w:numPr>
          <w:ilvl w:val="2"/>
          <w:numId w:val="8"/>
        </w:numPr>
        <w:spacing w:line="276" w:lineRule="auto"/>
        <w:jc w:val="both"/>
        <w:rPr>
          <w:lang w:val="en-GB"/>
        </w:rPr>
      </w:pPr>
      <m:oMath>
        <m:sSub>
          <m:sSubPr>
            <m:ctrlPr>
              <w:rPr>
                <w:rFonts w:ascii="Cambria Math" w:hAnsi="Cambria Math"/>
                <w:i/>
                <w:iCs/>
                <w:lang w:val="en-GB"/>
              </w:rPr>
            </m:ctrlPr>
          </m:sSubPr>
          <m:e>
            <m:r>
              <w:rPr>
                <w:rFonts w:ascii="Cambria Math" w:hAnsi="Cambria Math"/>
                <w:lang w:val="en-GB"/>
              </w:rPr>
              <m:t>φ</m:t>
            </m:r>
          </m:e>
          <m:sub>
            <m:r>
              <w:rPr>
                <w:rFonts w:ascii="Cambria Math" w:hAnsi="Cambria Math"/>
                <w:lang w:val="en-GB"/>
              </w:rPr>
              <m:t>i,h</m:t>
            </m:r>
          </m:sub>
        </m:sSub>
        <m:r>
          <m:rPr>
            <m:nor/>
          </m:rPr>
          <w:rPr>
            <w:lang w:val="en-GB"/>
          </w:rPr>
          <m:t>= flow on line i for period h</m:t>
        </m:r>
      </m:oMath>
    </w:p>
    <w:p w14:paraId="76EBEF6A" w14:textId="0090B199" w:rsidR="009D5ED9" w:rsidRPr="00EF3ECB" w:rsidRDefault="009D5ED9" w:rsidP="0037730C">
      <w:pPr>
        <w:pStyle w:val="ListParagraph"/>
        <w:spacing w:line="276" w:lineRule="auto"/>
        <w:ind w:left="1080"/>
        <w:jc w:val="both"/>
        <w:rPr>
          <w:lang w:val="en-GB"/>
        </w:rPr>
      </w:pPr>
    </w:p>
    <w:p w14:paraId="49F9DA20" w14:textId="2C5F2F3A" w:rsidR="009D5ED9" w:rsidRPr="00EF3ECB" w:rsidRDefault="009D5ED9" w:rsidP="0037730C">
      <w:pPr>
        <w:pStyle w:val="ListParagraph"/>
        <w:spacing w:line="276" w:lineRule="auto"/>
        <w:ind w:left="1080"/>
        <w:jc w:val="both"/>
        <w:rPr>
          <w:lang w:val="en-GB"/>
        </w:rPr>
      </w:pPr>
      <w:r w:rsidRPr="00EF3ECB">
        <w:rPr>
          <w:lang w:val="en-GB"/>
        </w:rPr>
        <w:t xml:space="preserve">As an example: </w:t>
      </w:r>
    </w:p>
    <w:p w14:paraId="4A7D3310" w14:textId="77777777" w:rsidR="009D5ED9" w:rsidRPr="00EF3ECB" w:rsidRDefault="009D5ED9" w:rsidP="0037730C">
      <w:pPr>
        <w:pStyle w:val="ListParagraph"/>
        <w:spacing w:line="276" w:lineRule="auto"/>
        <w:ind w:left="1080"/>
        <w:jc w:val="both"/>
        <w:rPr>
          <w:lang w:val="en-GB"/>
        </w:rPr>
      </w:pPr>
    </w:p>
    <w:p w14:paraId="0535E2EA" w14:textId="114A8E21" w:rsidR="009D5ED9" w:rsidRPr="00EF3ECB" w:rsidRDefault="009D5ED9" w:rsidP="0037730C">
      <w:pPr>
        <w:pStyle w:val="ListParagraph"/>
        <w:spacing w:line="276" w:lineRule="auto"/>
        <w:ind w:left="1080"/>
        <w:jc w:val="both"/>
        <w:rPr>
          <w:lang w:val="en-GB"/>
        </w:rPr>
      </w:pPr>
      <w:r w:rsidRPr="00EF3ECB">
        <w:rPr>
          <w:noProof/>
          <w:lang w:val="de-AT" w:eastAsia="de-AT"/>
        </w:rPr>
        <w:drawing>
          <wp:inline distT="0" distB="0" distL="0" distR="0" wp14:anchorId="743B42F4" wp14:editId="208488F9">
            <wp:extent cx="2781300" cy="1962785"/>
            <wp:effectExtent l="0" t="0" r="0" b="0"/>
            <wp:docPr id="9" name="Immagine 9"/>
            <wp:cNvGraphicFramePr/>
            <a:graphic xmlns:a="http://schemas.openxmlformats.org/drawingml/2006/main">
              <a:graphicData uri="http://schemas.openxmlformats.org/drawingml/2006/picture">
                <pic:pic xmlns:pic="http://schemas.openxmlformats.org/drawingml/2006/picture">
                  <pic:nvPicPr>
                    <pic:cNvPr id="9" name="Immagine 9"/>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81300" cy="1962785"/>
                    </a:xfrm>
                    <a:prstGeom prst="rect">
                      <a:avLst/>
                    </a:prstGeom>
                    <a:noFill/>
                    <a:ln>
                      <a:noFill/>
                    </a:ln>
                  </pic:spPr>
                </pic:pic>
              </a:graphicData>
            </a:graphic>
          </wp:inline>
        </w:drawing>
      </w:r>
    </w:p>
    <w:p w14:paraId="2862CC9F" w14:textId="43393BA6" w:rsidR="009D5ED9" w:rsidRPr="00EF3ECB" w:rsidRDefault="009D5ED9" w:rsidP="0037730C">
      <w:pPr>
        <w:pStyle w:val="ListParagraph"/>
        <w:spacing w:line="276" w:lineRule="auto"/>
        <w:ind w:left="1080"/>
        <w:jc w:val="both"/>
        <w:rPr>
          <w:lang w:val="en-GB"/>
        </w:rPr>
      </w:pPr>
    </w:p>
    <w:p w14:paraId="45BC0E1A" w14:textId="76DE4E67" w:rsidR="009D5ED9" w:rsidRPr="00EF3ECB" w:rsidRDefault="009D5ED9" w:rsidP="0037730C">
      <w:pPr>
        <w:spacing w:line="276" w:lineRule="auto"/>
        <w:ind w:left="1080"/>
        <w:jc w:val="both"/>
        <w:rPr>
          <w:rFonts w:ascii="Calibri" w:hAnsi="Calibri"/>
          <w:szCs w:val="22"/>
          <w:lang w:val="en-GB" w:eastAsia="en-GB"/>
        </w:rPr>
      </w:pPr>
      <w:r w:rsidRPr="00EF3ECB">
        <w:rPr>
          <w:lang w:val="en-GB"/>
        </w:rPr>
        <w:t>Being NP the net position of Bidding Zone</w:t>
      </w:r>
      <w:r w:rsidR="00015C07" w:rsidRPr="00EF3ECB">
        <w:rPr>
          <w:lang w:val="en-GB"/>
        </w:rPr>
        <w:t>s</w:t>
      </w:r>
      <w:r w:rsidRPr="00EF3ECB">
        <w:rPr>
          <w:lang w:val="en-GB"/>
        </w:rPr>
        <w:t xml:space="preserve"> A, B, C and D, the flows will be the following:</w:t>
      </w:r>
    </w:p>
    <w:p w14:paraId="5A75D92E" w14:textId="77777777" w:rsidR="009D5ED9" w:rsidRPr="00EF3ECB" w:rsidRDefault="009D5ED9" w:rsidP="00F8788D">
      <w:pPr>
        <w:pStyle w:val="ListParagraph"/>
        <w:numPr>
          <w:ilvl w:val="2"/>
          <w:numId w:val="9"/>
        </w:numPr>
        <w:spacing w:line="276" w:lineRule="auto"/>
        <w:jc w:val="both"/>
        <w:rPr>
          <w:lang w:val="en-GB"/>
        </w:rPr>
      </w:pPr>
      <w:r w:rsidRPr="00EF3ECB">
        <w:rPr>
          <w:lang w:val="en-GB"/>
        </w:rPr>
        <w:t>φ</w:t>
      </w:r>
      <w:r w:rsidRPr="00EF3ECB">
        <w:rPr>
          <w:vertAlign w:val="subscript"/>
          <w:lang w:val="en-GB"/>
        </w:rPr>
        <w:t>B→C</w:t>
      </w:r>
      <w:r w:rsidRPr="00EF3ECB">
        <w:rPr>
          <w:lang w:val="en-GB"/>
        </w:rPr>
        <w:t>= 12 MWh</w:t>
      </w:r>
    </w:p>
    <w:p w14:paraId="76199C77" w14:textId="77777777" w:rsidR="009D5ED9" w:rsidRPr="00EF3ECB" w:rsidRDefault="009D5ED9" w:rsidP="00F8788D">
      <w:pPr>
        <w:pStyle w:val="ListParagraph"/>
        <w:numPr>
          <w:ilvl w:val="2"/>
          <w:numId w:val="9"/>
        </w:numPr>
        <w:spacing w:line="276" w:lineRule="auto"/>
        <w:jc w:val="both"/>
        <w:rPr>
          <w:lang w:val="en-GB"/>
        </w:rPr>
      </w:pPr>
      <w:r w:rsidRPr="00EF3ECB">
        <w:rPr>
          <w:lang w:val="en-GB"/>
        </w:rPr>
        <w:t>φ</w:t>
      </w:r>
      <w:r w:rsidRPr="00EF3ECB">
        <w:rPr>
          <w:vertAlign w:val="subscript"/>
          <w:lang w:val="en-GB"/>
        </w:rPr>
        <w:t>C→D</w:t>
      </w:r>
      <w:r w:rsidRPr="00EF3ECB">
        <w:rPr>
          <w:lang w:val="en-GB"/>
        </w:rPr>
        <w:t>= 12 MWh</w:t>
      </w:r>
    </w:p>
    <w:p w14:paraId="4F946A81" w14:textId="77777777" w:rsidR="009D5ED9" w:rsidRPr="00EF3ECB" w:rsidRDefault="009D5ED9" w:rsidP="00F8788D">
      <w:pPr>
        <w:pStyle w:val="ListParagraph"/>
        <w:numPr>
          <w:ilvl w:val="2"/>
          <w:numId w:val="9"/>
        </w:numPr>
        <w:spacing w:line="276" w:lineRule="auto"/>
        <w:jc w:val="both"/>
        <w:rPr>
          <w:lang w:val="en-GB"/>
        </w:rPr>
      </w:pPr>
      <w:r w:rsidRPr="00EF3ECB">
        <w:rPr>
          <w:lang w:val="en-GB"/>
        </w:rPr>
        <w:t>φ</w:t>
      </w:r>
      <w:r w:rsidRPr="00EF3ECB">
        <w:rPr>
          <w:vertAlign w:val="subscript"/>
          <w:lang w:val="en-GB"/>
        </w:rPr>
        <w:t>B→A</w:t>
      </w:r>
      <w:r w:rsidRPr="00EF3ECB">
        <w:rPr>
          <w:lang w:val="en-GB"/>
        </w:rPr>
        <w:t>= 3 MWh</w:t>
      </w:r>
    </w:p>
    <w:p w14:paraId="0BC6B8A6" w14:textId="77777777" w:rsidR="009D5ED9" w:rsidRPr="00EF3ECB" w:rsidRDefault="009D5ED9" w:rsidP="00F8788D">
      <w:pPr>
        <w:pStyle w:val="ListParagraph"/>
        <w:numPr>
          <w:ilvl w:val="2"/>
          <w:numId w:val="9"/>
        </w:numPr>
        <w:spacing w:line="276" w:lineRule="auto"/>
        <w:jc w:val="both"/>
        <w:rPr>
          <w:lang w:val="en-GB"/>
        </w:rPr>
      </w:pPr>
      <w:r w:rsidRPr="00EF3ECB">
        <w:rPr>
          <w:lang w:val="en-GB"/>
        </w:rPr>
        <w:t>φ</w:t>
      </w:r>
      <w:r w:rsidRPr="00EF3ECB">
        <w:rPr>
          <w:vertAlign w:val="subscript"/>
          <w:lang w:val="en-GB"/>
        </w:rPr>
        <w:t>A→D</w:t>
      </w:r>
      <w:r w:rsidRPr="00EF3ECB">
        <w:rPr>
          <w:lang w:val="en-GB"/>
        </w:rPr>
        <w:t>= 3 MWh</w:t>
      </w:r>
    </w:p>
    <w:p w14:paraId="05B22062" w14:textId="3A40BDD8" w:rsidR="009D5ED9" w:rsidRPr="00EF3ECB" w:rsidRDefault="009D5ED9" w:rsidP="0037730C">
      <w:pPr>
        <w:pStyle w:val="ListParagraph"/>
        <w:spacing w:line="276" w:lineRule="auto"/>
        <w:ind w:left="1080"/>
        <w:jc w:val="both"/>
        <w:rPr>
          <w:lang w:val="en-GB"/>
        </w:rPr>
      </w:pPr>
    </w:p>
    <w:p w14:paraId="60BFCD86" w14:textId="702B0304" w:rsidR="009D5ED9" w:rsidRPr="00EF3ECB" w:rsidRDefault="009D5ED9" w:rsidP="0037730C">
      <w:pPr>
        <w:pStyle w:val="ListParagraph"/>
        <w:spacing w:line="276" w:lineRule="auto"/>
        <w:ind w:left="1080"/>
        <w:jc w:val="both"/>
        <w:rPr>
          <w:lang w:val="en-GB"/>
        </w:rPr>
      </w:pPr>
    </w:p>
    <w:p w14:paraId="5FFA5F93" w14:textId="77777777" w:rsidR="009D5ED9" w:rsidRPr="00EF3ECB" w:rsidRDefault="009D5ED9" w:rsidP="00F8788D">
      <w:pPr>
        <w:pStyle w:val="ListParagraph"/>
        <w:numPr>
          <w:ilvl w:val="0"/>
          <w:numId w:val="7"/>
        </w:numPr>
        <w:spacing w:line="276" w:lineRule="auto"/>
        <w:jc w:val="both"/>
        <w:rPr>
          <w:rFonts w:ascii="Calibri" w:hAnsi="Calibri"/>
          <w:i/>
          <w:szCs w:val="22"/>
          <w:lang w:val="en-GB" w:eastAsia="en-GB"/>
        </w:rPr>
      </w:pPr>
      <w:r w:rsidRPr="00EF3ECB">
        <w:rPr>
          <w:i/>
          <w:lang w:val="en-GB"/>
        </w:rPr>
        <w:t>Flow calculation between Bidding Zones belonging to a flow based (FB) grid</w:t>
      </w:r>
    </w:p>
    <w:p w14:paraId="2331642B" w14:textId="4DF02F0E" w:rsidR="009D5ED9" w:rsidRPr="00EF3ECB" w:rsidRDefault="009D5ED9" w:rsidP="0037730C">
      <w:pPr>
        <w:pStyle w:val="ListParagraph"/>
        <w:spacing w:line="276" w:lineRule="auto"/>
        <w:ind w:left="1080"/>
        <w:jc w:val="both"/>
        <w:rPr>
          <w:lang w:val="en-GB"/>
        </w:rPr>
      </w:pPr>
      <w:r w:rsidRPr="00EF3ECB">
        <w:rPr>
          <w:lang w:val="en-GB"/>
        </w:rPr>
        <w:t>Flow based constraints allow TSOs to reflect network constraint by providing a Power Transfer Distribution Factor (PTDF) matrix and constraining their usage. Note that the flow based constraints do not naturally result in (commercial) bilateral exchanges. Instead to retrieve them, Euphemia considers a bilateral topology, for which it shall compute a decomposition of the net positions.</w:t>
      </w:r>
      <w:r w:rsidR="00115143" w:rsidRPr="00EF3ECB">
        <w:rPr>
          <w:lang w:val="en-GB"/>
        </w:rPr>
        <w:t xml:space="preserve"> </w:t>
      </w:r>
    </w:p>
    <w:p w14:paraId="3D1F971B" w14:textId="68975B74" w:rsidR="009D5ED9" w:rsidRPr="00EF3ECB" w:rsidRDefault="009D5ED9" w:rsidP="0037730C">
      <w:pPr>
        <w:pStyle w:val="ListParagraph"/>
        <w:spacing w:line="276" w:lineRule="auto"/>
        <w:ind w:left="1080"/>
        <w:jc w:val="both"/>
        <w:rPr>
          <w:lang w:val="en-GB"/>
        </w:rPr>
      </w:pPr>
    </w:p>
    <w:p w14:paraId="119C64AF" w14:textId="11E96A62" w:rsidR="009D5ED9" w:rsidRPr="00EF3ECB" w:rsidRDefault="00115143" w:rsidP="0037730C">
      <w:pPr>
        <w:pStyle w:val="ListParagraph"/>
        <w:spacing w:line="276" w:lineRule="auto"/>
        <w:ind w:left="1080"/>
        <w:jc w:val="both"/>
        <w:rPr>
          <w:lang w:val="en-GB"/>
        </w:rPr>
      </w:pPr>
      <w:r w:rsidRPr="00EF3ECB">
        <w:rPr>
          <w:lang w:val="en-GB"/>
        </w:rPr>
        <w:t xml:space="preserve">Example: </w:t>
      </w:r>
    </w:p>
    <w:p w14:paraId="25E822A9" w14:textId="047F5169" w:rsidR="00115143" w:rsidRPr="00EF3ECB" w:rsidRDefault="00115143" w:rsidP="0037730C">
      <w:pPr>
        <w:spacing w:line="276" w:lineRule="auto"/>
        <w:jc w:val="both"/>
        <w:rPr>
          <w:rFonts w:ascii="Calibri" w:hAnsi="Calibri"/>
          <w:szCs w:val="22"/>
          <w:lang w:val="en-GB" w:eastAsia="en-GB"/>
        </w:rPr>
      </w:pPr>
      <w:r w:rsidRPr="00EF3ECB">
        <w:rPr>
          <w:lang w:val="en-GB"/>
        </w:rPr>
        <w:t>Consider below simple topology: bidding zones z</w:t>
      </w:r>
      <w:r w:rsidRPr="00EF3ECB">
        <w:rPr>
          <w:vertAlign w:val="subscript"/>
          <w:lang w:val="en-GB"/>
        </w:rPr>
        <w:t>1</w:t>
      </w:r>
      <w:r w:rsidRPr="00EF3ECB">
        <w:rPr>
          <w:lang w:val="en-GB"/>
        </w:rPr>
        <w:t>, z</w:t>
      </w:r>
      <w:r w:rsidRPr="00EF3ECB">
        <w:rPr>
          <w:vertAlign w:val="subscript"/>
          <w:lang w:val="en-GB"/>
        </w:rPr>
        <w:t>2</w:t>
      </w:r>
      <w:r w:rsidRPr="00EF3ECB">
        <w:rPr>
          <w:lang w:val="en-GB"/>
        </w:rPr>
        <w:t>, z</w:t>
      </w:r>
      <w:r w:rsidRPr="00EF3ECB">
        <w:rPr>
          <w:vertAlign w:val="subscript"/>
          <w:lang w:val="en-GB"/>
        </w:rPr>
        <w:t>3</w:t>
      </w:r>
      <w:r w:rsidRPr="00EF3ECB">
        <w:rPr>
          <w:lang w:val="en-GB"/>
        </w:rPr>
        <w:t xml:space="preserve"> are part of a FB region. Whereas z</w:t>
      </w:r>
      <w:r w:rsidRPr="00EF3ECB">
        <w:rPr>
          <w:vertAlign w:val="subscript"/>
          <w:lang w:val="en-GB"/>
        </w:rPr>
        <w:t>4</w:t>
      </w:r>
      <w:r w:rsidRPr="00EF3ECB">
        <w:rPr>
          <w:lang w:val="en-GB"/>
        </w:rPr>
        <w:t>,z</w:t>
      </w:r>
      <w:r w:rsidRPr="00EF3ECB">
        <w:rPr>
          <w:vertAlign w:val="subscript"/>
          <w:lang w:val="en-GB"/>
        </w:rPr>
        <w:t>5</w:t>
      </w:r>
      <w:r w:rsidRPr="00EF3ECB">
        <w:rPr>
          <w:lang w:val="en-GB"/>
        </w:rPr>
        <w:t xml:space="preserve"> and z</w:t>
      </w:r>
      <w:r w:rsidRPr="00EF3ECB">
        <w:rPr>
          <w:vertAlign w:val="subscript"/>
          <w:lang w:val="en-GB"/>
        </w:rPr>
        <w:t>6</w:t>
      </w:r>
      <w:r w:rsidRPr="00EF3ECB">
        <w:rPr>
          <w:lang w:val="en-GB"/>
        </w:rPr>
        <w:t xml:space="preserve"> are coupled via ATC lines. The two region</w:t>
      </w:r>
      <w:r w:rsidR="00203B83" w:rsidRPr="00EF3ECB">
        <w:rPr>
          <w:lang w:val="en-GB"/>
        </w:rPr>
        <w:t>s</w:t>
      </w:r>
      <w:r w:rsidRPr="00EF3ECB">
        <w:rPr>
          <w:lang w:val="en-GB"/>
        </w:rPr>
        <w:t xml:space="preserve"> are linked through ATCs between (z</w:t>
      </w:r>
      <w:r w:rsidRPr="00EF3ECB">
        <w:rPr>
          <w:vertAlign w:val="subscript"/>
          <w:lang w:val="en-GB"/>
        </w:rPr>
        <w:t>2</w:t>
      </w:r>
      <w:r w:rsidRPr="00EF3ECB">
        <w:rPr>
          <w:lang w:val="en-GB"/>
        </w:rPr>
        <w:t>,z</w:t>
      </w:r>
      <w:r w:rsidRPr="00EF3ECB">
        <w:rPr>
          <w:vertAlign w:val="subscript"/>
          <w:lang w:val="en-GB"/>
        </w:rPr>
        <w:t>4</w:t>
      </w:r>
      <w:r w:rsidRPr="00EF3ECB">
        <w:rPr>
          <w:lang w:val="en-GB"/>
        </w:rPr>
        <w:t>) and (z</w:t>
      </w:r>
      <w:r w:rsidRPr="00EF3ECB">
        <w:rPr>
          <w:vertAlign w:val="subscript"/>
          <w:lang w:val="en-GB"/>
        </w:rPr>
        <w:t>3</w:t>
      </w:r>
      <w:r w:rsidRPr="00EF3ECB">
        <w:rPr>
          <w:lang w:val="en-GB"/>
        </w:rPr>
        <w:t>,z</w:t>
      </w:r>
      <w:r w:rsidRPr="00EF3ECB">
        <w:rPr>
          <w:vertAlign w:val="subscript"/>
          <w:lang w:val="en-GB"/>
        </w:rPr>
        <w:t>5</w:t>
      </w:r>
      <w:r w:rsidRPr="00EF3ECB">
        <w:rPr>
          <w:lang w:val="en-GB"/>
        </w:rPr>
        <w:t>). Finally note the indicated topol</w:t>
      </w:r>
      <w:r w:rsidR="00FB4E23" w:rsidRPr="00EF3ECB">
        <w:rPr>
          <w:lang w:val="en-GB"/>
        </w:rPr>
        <w:t>o</w:t>
      </w:r>
      <w:r w:rsidRPr="00EF3ECB">
        <w:rPr>
          <w:lang w:val="en-GB"/>
        </w:rPr>
        <w:t>gy between the FB region: these are not used for the main welfare optimization phase of Euphemia, but are the dedicated topology for which Euphemia needs to identify bilateral exchanges that decompose the FB net positions.</w:t>
      </w:r>
    </w:p>
    <w:p w14:paraId="42A2DC16" w14:textId="4465D4FE" w:rsidR="00115143" w:rsidRPr="00EF3ECB" w:rsidRDefault="00115143" w:rsidP="0037730C">
      <w:pPr>
        <w:pStyle w:val="ListParagraph"/>
        <w:spacing w:line="276" w:lineRule="auto"/>
        <w:ind w:left="1080"/>
        <w:jc w:val="both"/>
        <w:rPr>
          <w:lang w:val="en-GB"/>
        </w:rPr>
      </w:pPr>
      <w:r w:rsidRPr="00EF3ECB">
        <w:rPr>
          <w:noProof/>
          <w:lang w:val="de-AT" w:eastAsia="de-AT"/>
        </w:rPr>
        <w:drawing>
          <wp:inline distT="0" distB="0" distL="0" distR="0" wp14:anchorId="11A8E2BA" wp14:editId="170EB3DE">
            <wp:extent cx="2254250" cy="1084580"/>
            <wp:effectExtent l="0" t="0" r="0" b="1270"/>
            <wp:docPr id="32" name="Picture 32"/>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54250" cy="1084580"/>
                    </a:xfrm>
                    <a:prstGeom prst="rect">
                      <a:avLst/>
                    </a:prstGeom>
                    <a:noFill/>
                    <a:ln>
                      <a:noFill/>
                    </a:ln>
                  </pic:spPr>
                </pic:pic>
              </a:graphicData>
            </a:graphic>
          </wp:inline>
        </w:drawing>
      </w:r>
    </w:p>
    <w:p w14:paraId="2CD8A90F" w14:textId="77777777" w:rsidR="00115143" w:rsidRPr="00EF3ECB" w:rsidRDefault="00115143" w:rsidP="0037730C">
      <w:pPr>
        <w:pStyle w:val="ListParagraph"/>
        <w:spacing w:line="276" w:lineRule="auto"/>
        <w:ind w:left="1080"/>
        <w:jc w:val="both"/>
        <w:rPr>
          <w:lang w:val="en-GB"/>
        </w:rPr>
      </w:pPr>
    </w:p>
    <w:p w14:paraId="7B5498EF" w14:textId="2687AB8A" w:rsidR="009D5ED9" w:rsidRPr="00EF3ECB" w:rsidRDefault="00115143" w:rsidP="0037730C">
      <w:pPr>
        <w:pStyle w:val="ListParagraph"/>
        <w:spacing w:line="276" w:lineRule="auto"/>
        <w:ind w:left="1080"/>
        <w:jc w:val="both"/>
        <w:rPr>
          <w:lang w:val="en-GB"/>
        </w:rPr>
      </w:pPr>
      <w:r w:rsidRPr="00EF3ECB">
        <w:rPr>
          <w:noProof/>
          <w:lang w:val="de-AT" w:eastAsia="de-AT"/>
        </w:rPr>
        <w:drawing>
          <wp:inline distT="0" distB="0" distL="0" distR="0" wp14:anchorId="3DCC9943" wp14:editId="6D2067CB">
            <wp:extent cx="2392680" cy="817880"/>
            <wp:effectExtent l="0" t="0" r="7620" b="1270"/>
            <wp:docPr id="33" name="Picture 33"/>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rotWithShape="1">
                    <a:blip r:embed="rId21" cstate="print">
                      <a:extLst>
                        <a:ext uri="{28A0092B-C50C-407E-A947-70E740481C1C}">
                          <a14:useLocalDpi xmlns:a14="http://schemas.microsoft.com/office/drawing/2010/main" val="0"/>
                        </a:ext>
                      </a:extLst>
                    </a:blip>
                    <a:srcRect t="19422" b="-733"/>
                    <a:stretch/>
                  </pic:blipFill>
                  <pic:spPr bwMode="auto">
                    <a:xfrm>
                      <a:off x="0" y="0"/>
                      <a:ext cx="2392680" cy="817880"/>
                    </a:xfrm>
                    <a:prstGeom prst="rect">
                      <a:avLst/>
                    </a:prstGeom>
                    <a:noFill/>
                    <a:ln>
                      <a:noFill/>
                    </a:ln>
                    <a:extLst>
                      <a:ext uri="{53640926-AAD7-44D8-BBD7-CCE9431645EC}">
                        <a14:shadowObscured xmlns:a14="http://schemas.microsoft.com/office/drawing/2010/main"/>
                      </a:ext>
                    </a:extLst>
                  </pic:spPr>
                </pic:pic>
              </a:graphicData>
            </a:graphic>
          </wp:inline>
        </w:drawing>
      </w:r>
    </w:p>
    <w:p w14:paraId="5ED30925" w14:textId="77777777" w:rsidR="009D5ED9" w:rsidRPr="00EF3ECB" w:rsidRDefault="009D5ED9" w:rsidP="0037730C">
      <w:pPr>
        <w:pStyle w:val="ListParagraph"/>
        <w:spacing w:line="276" w:lineRule="auto"/>
        <w:ind w:left="1080"/>
        <w:jc w:val="both"/>
        <w:rPr>
          <w:lang w:val="en-GB"/>
        </w:rPr>
      </w:pPr>
    </w:p>
    <w:p w14:paraId="6FD7CD21" w14:textId="77777777" w:rsidR="00115143" w:rsidRPr="00EF3ECB" w:rsidRDefault="00115143" w:rsidP="0037730C">
      <w:pPr>
        <w:spacing w:line="276" w:lineRule="auto"/>
        <w:jc w:val="both"/>
        <w:rPr>
          <w:rFonts w:ascii="Calibri" w:hAnsi="Calibri"/>
          <w:szCs w:val="22"/>
          <w:lang w:val="en-GB" w:eastAsia="en-GB"/>
        </w:rPr>
      </w:pPr>
      <w:r w:rsidRPr="00EF3ECB">
        <w:rPr>
          <w:lang w:val="en-GB"/>
        </w:rPr>
        <w:t>Imagine that Euphemia identifies the optimal solution as:</w:t>
      </w:r>
    </w:p>
    <w:p w14:paraId="18D4EC7E" w14:textId="2B00B510" w:rsidR="009D5ED9" w:rsidRPr="00EF3ECB" w:rsidRDefault="009D5ED9" w:rsidP="0037730C">
      <w:pPr>
        <w:pStyle w:val="ListParagraph"/>
        <w:spacing w:line="276" w:lineRule="auto"/>
        <w:ind w:left="1080"/>
        <w:jc w:val="both"/>
        <w:rPr>
          <w:lang w:val="en-GB"/>
        </w:rPr>
      </w:pPr>
    </w:p>
    <w:p w14:paraId="552EF4E3" w14:textId="42E814DB" w:rsidR="00115143" w:rsidRPr="00EF3ECB" w:rsidRDefault="00115143" w:rsidP="0037730C">
      <w:pPr>
        <w:pStyle w:val="ListParagraph"/>
        <w:spacing w:line="276" w:lineRule="auto"/>
        <w:ind w:left="1080"/>
        <w:jc w:val="both"/>
        <w:rPr>
          <w:lang w:val="en-GB"/>
        </w:rPr>
      </w:pPr>
      <w:r w:rsidRPr="00EF3ECB">
        <w:rPr>
          <w:noProof/>
          <w:lang w:val="de-AT" w:eastAsia="de-AT"/>
        </w:rPr>
        <w:drawing>
          <wp:inline distT="0" distB="0" distL="0" distR="0" wp14:anchorId="2E883EC9" wp14:editId="3BDD7006">
            <wp:extent cx="3213100" cy="2146300"/>
            <wp:effectExtent l="0" t="0" r="0" b="0"/>
            <wp:docPr id="39" name="Picture 39"/>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13100" cy="2146300"/>
                    </a:xfrm>
                    <a:prstGeom prst="rect">
                      <a:avLst/>
                    </a:prstGeom>
                    <a:noFill/>
                    <a:ln>
                      <a:noFill/>
                    </a:ln>
                  </pic:spPr>
                </pic:pic>
              </a:graphicData>
            </a:graphic>
          </wp:inline>
        </w:drawing>
      </w:r>
      <w:r w:rsidRPr="00EF3ECB">
        <w:rPr>
          <w:noProof/>
          <w:lang w:val="en-GB" w:eastAsia="de-AT"/>
        </w:rPr>
        <w:t xml:space="preserve"> </w:t>
      </w:r>
      <w:r w:rsidRPr="00EF3ECB">
        <w:rPr>
          <w:noProof/>
          <w:lang w:val="de-AT" w:eastAsia="de-AT"/>
        </w:rPr>
        <w:drawing>
          <wp:inline distT="0" distB="0" distL="0" distR="0" wp14:anchorId="7C95BA0C" wp14:editId="170F5978">
            <wp:extent cx="1065530" cy="954405"/>
            <wp:effectExtent l="0" t="0" r="1270" b="0"/>
            <wp:docPr id="35" name="Picture 35"/>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65530" cy="954405"/>
                    </a:xfrm>
                    <a:prstGeom prst="rect">
                      <a:avLst/>
                    </a:prstGeom>
                    <a:noFill/>
                    <a:ln>
                      <a:noFill/>
                    </a:ln>
                  </pic:spPr>
                </pic:pic>
              </a:graphicData>
            </a:graphic>
          </wp:inline>
        </w:drawing>
      </w:r>
    </w:p>
    <w:p w14:paraId="2B3D2732" w14:textId="5037EAD0" w:rsidR="00115143" w:rsidRPr="00EF3ECB" w:rsidRDefault="00115143" w:rsidP="0037730C">
      <w:pPr>
        <w:pStyle w:val="ListParagraph"/>
        <w:spacing w:line="276" w:lineRule="auto"/>
        <w:ind w:left="1080"/>
        <w:jc w:val="both"/>
        <w:rPr>
          <w:lang w:val="en-GB"/>
        </w:rPr>
      </w:pPr>
    </w:p>
    <w:p w14:paraId="0C3801A3" w14:textId="7E471DBB" w:rsidR="00115143" w:rsidRPr="00EF3ECB" w:rsidRDefault="00115143" w:rsidP="0037730C">
      <w:pPr>
        <w:pStyle w:val="ListParagraph"/>
        <w:spacing w:line="276" w:lineRule="auto"/>
        <w:ind w:left="1080"/>
        <w:jc w:val="both"/>
        <w:rPr>
          <w:lang w:val="en-GB"/>
        </w:rPr>
      </w:pPr>
    </w:p>
    <w:p w14:paraId="67955A17" w14:textId="49970310" w:rsidR="00115143" w:rsidRPr="00EF3ECB" w:rsidRDefault="00115143" w:rsidP="0037730C">
      <w:pPr>
        <w:spacing w:line="276" w:lineRule="auto"/>
        <w:jc w:val="both"/>
        <w:rPr>
          <w:rFonts w:eastAsiaTheme="minorEastAsia"/>
          <w:lang w:val="en-GB"/>
        </w:rPr>
      </w:pPr>
      <w:r w:rsidRPr="00EF3ECB">
        <w:rPr>
          <w:lang w:val="en-GB"/>
        </w:rPr>
        <w:t xml:space="preserve">In the example the flows on the ATC lines are already uniquely determined (as there are no uncongested loops). For the flow based flow calculation we consider the FB net </w:t>
      </w:r>
      <w:r w:rsidR="00D72EC1" w:rsidRPr="00EF3ECB">
        <w:rPr>
          <w:lang w:val="en-GB"/>
        </w:rPr>
        <w:t>positions</w:t>
      </w:r>
      <w:r w:rsidRPr="00EF3ECB">
        <w:rPr>
          <w:lang w:val="en-GB"/>
        </w:rPr>
        <w:t xml:space="preserve"> (the ones indicated in purple): these are the net positions for the FB bidding zones, corrected for the flows already scheduled on ATC lines. The flow calculation model will be an extended version of the ATC one, where </w:t>
      </w:r>
      <m:oMath>
        <m:sSub>
          <m:sSubPr>
            <m:ctrlPr>
              <w:rPr>
                <w:rFonts w:ascii="Cambria Math" w:hAnsi="Cambria Math"/>
                <w:i/>
                <w:iCs/>
                <w:lang w:val="en-GB"/>
              </w:rPr>
            </m:ctrlPr>
          </m:sSubPr>
          <m:e>
            <m:r>
              <w:rPr>
                <w:rFonts w:ascii="Cambria Math" w:hAnsi="Cambria Math"/>
                <w:lang w:val="en-GB"/>
              </w:rPr>
              <m:t>φ</m:t>
            </m:r>
          </m:e>
          <m:sub>
            <m:r>
              <w:rPr>
                <w:rFonts w:ascii="Cambria Math" w:hAnsi="Cambria Math"/>
                <w:lang w:val="en-GB"/>
              </w:rPr>
              <m:t>i,h</m:t>
            </m:r>
          </m:sub>
        </m:sSub>
      </m:oMath>
      <w:r w:rsidRPr="00EF3ECB">
        <w:rPr>
          <w:rFonts w:eastAsiaTheme="minorEastAsia"/>
          <w:lang w:val="en-GB"/>
        </w:rPr>
        <w:t xml:space="preserve"> shall now be understood to either correspond to the ATC line flows, or to lines making up the FB bilateral topology, allowing us to combine flow calculation in either ATC or FB regions in a single model.</w:t>
      </w:r>
    </w:p>
    <w:p w14:paraId="415D4CB0" w14:textId="7794AB4F" w:rsidR="00212307" w:rsidRPr="00EF3ECB" w:rsidRDefault="00212307" w:rsidP="0037730C">
      <w:pPr>
        <w:spacing w:line="276" w:lineRule="auto"/>
        <w:jc w:val="both"/>
        <w:rPr>
          <w:rFonts w:eastAsiaTheme="minorEastAsia"/>
          <w:lang w:val="en-GB"/>
        </w:rPr>
      </w:pPr>
    </w:p>
    <w:p w14:paraId="2D085ACF" w14:textId="77777777" w:rsidR="00212307" w:rsidRPr="00EF3ECB" w:rsidRDefault="00212307" w:rsidP="0037730C">
      <w:pPr>
        <w:spacing w:line="276" w:lineRule="auto"/>
        <w:jc w:val="both"/>
        <w:rPr>
          <w:rFonts w:cs="Arial"/>
          <w:lang w:val="en-GB"/>
        </w:rPr>
      </w:pPr>
    </w:p>
    <w:p w14:paraId="34908FB1" w14:textId="06640D60" w:rsidR="00212307" w:rsidRPr="00EF3ECB" w:rsidRDefault="00212307" w:rsidP="00F8788D">
      <w:pPr>
        <w:pStyle w:val="Heading2"/>
        <w:numPr>
          <w:ilvl w:val="1"/>
          <w:numId w:val="1"/>
        </w:numPr>
        <w:spacing w:before="0" w:line="276" w:lineRule="auto"/>
        <w:ind w:left="0" w:firstLine="0"/>
        <w:jc w:val="both"/>
        <w:rPr>
          <w:rFonts w:ascii="Arial" w:hAnsi="Arial" w:cs="Arial"/>
          <w:lang w:val="en-GB"/>
        </w:rPr>
      </w:pPr>
      <w:bookmarkStart w:id="45" w:name="_Toc507425382"/>
      <w:r w:rsidRPr="00EF3ECB">
        <w:rPr>
          <w:rFonts w:ascii="Arial" w:hAnsi="Arial" w:cs="Arial"/>
          <w:lang w:val="en-GB"/>
        </w:rPr>
        <w:t>Calculation of Scheduled Exchanges per Scheduling Area border</w:t>
      </w:r>
      <w:bookmarkEnd w:id="45"/>
      <w:r w:rsidRPr="00EF3ECB">
        <w:rPr>
          <w:rFonts w:ascii="Arial" w:hAnsi="Arial" w:cs="Arial"/>
          <w:lang w:val="en-GB"/>
        </w:rPr>
        <w:t xml:space="preserve"> </w:t>
      </w:r>
    </w:p>
    <w:p w14:paraId="6EE8488E" w14:textId="77777777" w:rsidR="00FE5A69" w:rsidRPr="00EF3ECB" w:rsidRDefault="00FE5A69" w:rsidP="0037730C">
      <w:pPr>
        <w:spacing w:line="276" w:lineRule="auto"/>
        <w:jc w:val="both"/>
        <w:rPr>
          <w:lang w:val="en-GB"/>
        </w:rPr>
      </w:pPr>
    </w:p>
    <w:p w14:paraId="60346C0A" w14:textId="77777777" w:rsidR="00FE5A69" w:rsidRPr="00EF3ECB" w:rsidRDefault="00FE5A69" w:rsidP="00C9634E">
      <w:pPr>
        <w:pStyle w:val="textregular"/>
        <w:spacing w:line="276" w:lineRule="auto"/>
        <w:jc w:val="both"/>
        <w:rPr>
          <w:rFonts w:ascii="Arial" w:hAnsi="Arial" w:cs="Arial"/>
        </w:rPr>
      </w:pPr>
      <w:r w:rsidRPr="00EF3ECB">
        <w:rPr>
          <w:rFonts w:ascii="Arial" w:hAnsi="Arial" w:cs="Arial"/>
        </w:rPr>
        <w:t>Where the Scheduling Area equals the Bidding Zone, the results from Section 6.2.1 shall apply.</w:t>
      </w:r>
    </w:p>
    <w:p w14:paraId="5621B098" w14:textId="77777777" w:rsidR="00FE5A69" w:rsidRPr="00EF3ECB" w:rsidRDefault="00FE5A69" w:rsidP="00C9634E">
      <w:pPr>
        <w:pStyle w:val="textregular"/>
        <w:spacing w:line="276" w:lineRule="auto"/>
        <w:jc w:val="both"/>
        <w:rPr>
          <w:rFonts w:ascii="Arial" w:hAnsi="Arial" w:cs="Arial"/>
        </w:rPr>
      </w:pPr>
      <w:r w:rsidRPr="00EF3ECB">
        <w:rPr>
          <w:rFonts w:ascii="Arial" w:hAnsi="Arial" w:cs="Arial"/>
        </w:rPr>
        <w:t>If there is more than one Scheduling Area within a Bidding Zone then:</w:t>
      </w:r>
    </w:p>
    <w:p w14:paraId="3289A6B2" w14:textId="77777777" w:rsidR="002C6354" w:rsidRPr="00EF3ECB" w:rsidRDefault="002C6354" w:rsidP="00F8788D">
      <w:pPr>
        <w:pStyle w:val="textregular"/>
        <w:numPr>
          <w:ilvl w:val="1"/>
          <w:numId w:val="3"/>
        </w:numPr>
        <w:spacing w:line="276" w:lineRule="auto"/>
        <w:jc w:val="both"/>
        <w:rPr>
          <w:rFonts w:ascii="Arial" w:hAnsi="Arial" w:cs="Arial"/>
        </w:rPr>
      </w:pPr>
      <w:r w:rsidRPr="00EF3ECB">
        <w:rPr>
          <w:rFonts w:ascii="Arial" w:hAnsi="Arial" w:cs="Arial"/>
        </w:rPr>
        <w:t>The Scheduled Exchange Calculator shall calculate the Scheduled Exchanges between the scheduling areas using the Net Positions per scheduling area.</w:t>
      </w:r>
    </w:p>
    <w:p w14:paraId="1738D9C0" w14:textId="222367AD" w:rsidR="00FE5A69" w:rsidRPr="00EF3ECB" w:rsidRDefault="002C6354" w:rsidP="00F8788D">
      <w:pPr>
        <w:pStyle w:val="textregular"/>
        <w:numPr>
          <w:ilvl w:val="1"/>
          <w:numId w:val="3"/>
        </w:numPr>
        <w:spacing w:line="276" w:lineRule="auto"/>
        <w:jc w:val="both"/>
        <w:rPr>
          <w:rFonts w:ascii="Arial" w:eastAsia="Times New Roman" w:hAnsi="Arial" w:cstheme="minorHAnsi"/>
          <w:szCs w:val="24"/>
          <w:lang w:eastAsia="de-DE"/>
        </w:rPr>
      </w:pPr>
      <w:r w:rsidRPr="00EF3ECB">
        <w:rPr>
          <w:rFonts w:ascii="Arial" w:hAnsi="Arial" w:cs="Arial"/>
        </w:rPr>
        <w:t>For the calculation of Scheduled Exchanges between scheduling areas the same optimisation approach shall be applied as for the Scheduled Exchanges between bidding zones</w:t>
      </w:r>
      <w:r w:rsidR="00FE5A69" w:rsidRPr="00EF3ECB">
        <w:rPr>
          <w:rFonts w:ascii="Arial" w:eastAsia="Times New Roman" w:hAnsi="Arial" w:cstheme="minorHAnsi"/>
          <w:szCs w:val="24"/>
          <w:lang w:eastAsia="de-DE"/>
        </w:rPr>
        <w:t>.</w:t>
      </w:r>
    </w:p>
    <w:p w14:paraId="1365FA4D" w14:textId="41943759" w:rsidR="00FE5A69" w:rsidRPr="00EF3ECB" w:rsidRDefault="00FE5A69" w:rsidP="00F8788D">
      <w:pPr>
        <w:pStyle w:val="textregular"/>
        <w:numPr>
          <w:ilvl w:val="1"/>
          <w:numId w:val="3"/>
        </w:numPr>
        <w:spacing w:line="276" w:lineRule="auto"/>
        <w:jc w:val="both"/>
        <w:rPr>
          <w:rFonts w:ascii="Arial" w:hAnsi="Arial" w:cs="Arial"/>
        </w:rPr>
      </w:pPr>
      <w:r w:rsidRPr="00EF3ECB">
        <w:rPr>
          <w:rFonts w:ascii="Arial" w:hAnsi="Arial" w:cs="Arial"/>
        </w:rPr>
        <w:t xml:space="preserve">If there are multiple Scheduling Areas on one (or both) side(s) of the Bidding Zone Border, then the </w:t>
      </w:r>
      <w:r w:rsidR="00543D26" w:rsidRPr="00EF3ECB">
        <w:rPr>
          <w:rFonts w:ascii="Arial" w:hAnsi="Arial" w:cs="Arial"/>
        </w:rPr>
        <w:t>Scheduled Exchanges</w:t>
      </w:r>
      <w:r w:rsidRPr="00EF3ECB">
        <w:rPr>
          <w:rFonts w:ascii="Arial" w:hAnsi="Arial" w:cs="Arial"/>
        </w:rPr>
        <w:t xml:space="preserve"> between the Scheduling Areas, over the Bidding Zone Border, shall be attributed to each Scheduling Area Border proportionally to the installed thermal capacity of the interconnections.</w:t>
      </w:r>
    </w:p>
    <w:p w14:paraId="4A40185D" w14:textId="36A7885F" w:rsidR="00FE5A69" w:rsidRPr="00EF3ECB" w:rsidRDefault="00FE5A69" w:rsidP="00C9634E">
      <w:pPr>
        <w:spacing w:line="276" w:lineRule="auto"/>
        <w:jc w:val="both"/>
        <w:rPr>
          <w:lang w:val="en-GB"/>
        </w:rPr>
      </w:pPr>
    </w:p>
    <w:p w14:paraId="37F00501" w14:textId="2F99EAEB" w:rsidR="009749E9" w:rsidRPr="00EF3ECB" w:rsidRDefault="009749E9" w:rsidP="00C9634E">
      <w:pPr>
        <w:spacing w:line="276" w:lineRule="auto"/>
        <w:jc w:val="both"/>
        <w:rPr>
          <w:lang w:val="en-GB"/>
        </w:rPr>
      </w:pPr>
      <w:r w:rsidRPr="00EF3ECB">
        <w:rPr>
          <w:lang w:val="en-GB"/>
        </w:rPr>
        <w:t xml:space="preserve">Since internal scheduling areas subdivide the bidding zone, and there exist no capacity constraints within the bidding zone, it follows that there exist no capacity constraints between internal scheduling areas. For cross border scheduling areas, capacity constraints can exist. </w:t>
      </w:r>
      <w:r w:rsidR="00203B83" w:rsidRPr="00EF3ECB">
        <w:rPr>
          <w:lang w:val="en-GB"/>
        </w:rPr>
        <w:t>However,</w:t>
      </w:r>
      <w:r w:rsidRPr="00EF3ECB">
        <w:rPr>
          <w:lang w:val="en-GB"/>
        </w:rPr>
        <w:t xml:space="preserve"> the previous zonal flow calculation step already determined the cross zonal flows, and these flows are imposed as constraints into the scheduling area flow calculation. </w:t>
      </w:r>
      <w:r w:rsidR="00203B83" w:rsidRPr="00EF3ECB">
        <w:rPr>
          <w:lang w:val="en-GB"/>
        </w:rPr>
        <w:t>Furthermore,</w:t>
      </w:r>
      <w:r w:rsidRPr="00EF3ECB">
        <w:rPr>
          <w:lang w:val="en-GB"/>
        </w:rPr>
        <w:t xml:space="preserve"> the </w:t>
      </w:r>
      <w:r w:rsidR="00203B83" w:rsidRPr="00EF3ECB">
        <w:rPr>
          <w:lang w:val="en-GB"/>
        </w:rPr>
        <w:t>cross-border</w:t>
      </w:r>
      <w:r w:rsidRPr="00EF3ECB">
        <w:rPr>
          <w:lang w:val="en-GB"/>
        </w:rPr>
        <w:t xml:space="preserve"> scheduling areas flows will be pro-rated according to installed thermal capacities:</w:t>
      </w:r>
    </w:p>
    <w:p w14:paraId="0DFCD04E" w14:textId="77777777" w:rsidR="009749E9" w:rsidRPr="00EF3ECB" w:rsidRDefault="009749E9" w:rsidP="00F8788D">
      <w:pPr>
        <w:pStyle w:val="ListParagraph"/>
        <w:numPr>
          <w:ilvl w:val="0"/>
          <w:numId w:val="10"/>
        </w:numPr>
        <w:spacing w:line="276" w:lineRule="auto"/>
        <w:jc w:val="both"/>
        <w:rPr>
          <w:lang w:val="en-GB"/>
        </w:rPr>
      </w:pPr>
      <w:r w:rsidRPr="00EF3ECB">
        <w:rPr>
          <w:lang w:val="en-GB"/>
        </w:rPr>
        <w:t>The installed thermal capacities will only be used to agree a priori how the zonal flow will be split between the different scheduling areas;</w:t>
      </w:r>
    </w:p>
    <w:p w14:paraId="36D00B1E" w14:textId="1DD4D532" w:rsidR="009749E9" w:rsidRPr="00EF3ECB" w:rsidRDefault="009749E9" w:rsidP="00F8788D">
      <w:pPr>
        <w:pStyle w:val="ListParagraph"/>
        <w:numPr>
          <w:ilvl w:val="0"/>
          <w:numId w:val="10"/>
        </w:numPr>
        <w:spacing w:line="276" w:lineRule="auto"/>
        <w:jc w:val="both"/>
        <w:rPr>
          <w:lang w:val="en-GB"/>
        </w:rPr>
      </w:pPr>
      <w:r w:rsidRPr="00EF3ECB">
        <w:rPr>
          <w:lang w:val="en-GB"/>
        </w:rPr>
        <w:t>It is important to understand these “installed thermal capacities” do not reflect capacity available to the SDAM</w:t>
      </w:r>
    </w:p>
    <w:p w14:paraId="0903A141" w14:textId="77777777" w:rsidR="007D38A2" w:rsidRPr="00EF3ECB" w:rsidRDefault="007D38A2" w:rsidP="00C9634E">
      <w:pPr>
        <w:spacing w:line="276" w:lineRule="auto"/>
        <w:ind w:left="360"/>
        <w:jc w:val="both"/>
        <w:rPr>
          <w:lang w:val="en-GB"/>
        </w:rPr>
      </w:pPr>
    </w:p>
    <w:p w14:paraId="7A7DD44C" w14:textId="77777777" w:rsidR="007D38A2" w:rsidRPr="00EF3ECB" w:rsidRDefault="009749E9" w:rsidP="00C9634E">
      <w:pPr>
        <w:spacing w:line="276" w:lineRule="auto"/>
        <w:ind w:left="360"/>
        <w:jc w:val="both"/>
        <w:rPr>
          <w:lang w:val="en-GB"/>
        </w:rPr>
      </w:pPr>
      <w:r w:rsidRPr="00EF3ECB">
        <w:rPr>
          <w:i/>
          <w:lang w:val="en-GB"/>
        </w:rPr>
        <w:t>Example</w:t>
      </w:r>
      <w:r w:rsidRPr="00EF3ECB">
        <w:rPr>
          <w:lang w:val="en-GB"/>
        </w:rPr>
        <w:t xml:space="preserve">: </w:t>
      </w:r>
    </w:p>
    <w:p w14:paraId="66473C03" w14:textId="34F08273" w:rsidR="009749E9" w:rsidRPr="00EF3ECB" w:rsidRDefault="007D38A2" w:rsidP="00C9634E">
      <w:pPr>
        <w:spacing w:line="276" w:lineRule="auto"/>
        <w:ind w:left="360"/>
        <w:jc w:val="both"/>
        <w:rPr>
          <w:lang w:val="en-GB"/>
        </w:rPr>
      </w:pPr>
      <w:r w:rsidRPr="00EF3ECB">
        <w:rPr>
          <w:lang w:val="en-GB"/>
        </w:rPr>
        <w:t>I</w:t>
      </w:r>
      <w:r w:rsidR="009749E9" w:rsidRPr="00EF3ECB">
        <w:rPr>
          <w:lang w:val="en-GB"/>
        </w:rPr>
        <w:t>magine a flow from DE/AT → FR of 1200MW is computed by Euphemia. It needs to be split between:</w:t>
      </w:r>
    </w:p>
    <w:p w14:paraId="55D62F2E" w14:textId="77777777" w:rsidR="009749E9" w:rsidRPr="00EF3ECB" w:rsidRDefault="009749E9" w:rsidP="00F8788D">
      <w:pPr>
        <w:pStyle w:val="ListParagraph"/>
        <w:numPr>
          <w:ilvl w:val="1"/>
          <w:numId w:val="10"/>
        </w:numPr>
        <w:spacing w:line="276" w:lineRule="auto"/>
        <w:jc w:val="both"/>
        <w:rPr>
          <w:lang w:val="en-GB"/>
        </w:rPr>
      </w:pPr>
      <w:r w:rsidRPr="00EF3ECB">
        <w:rPr>
          <w:lang w:val="en-GB"/>
        </w:rPr>
        <w:t>Amprion → Rte (</w:t>
      </w:r>
      <w:r w:rsidRPr="00EF3ECB">
        <w:rPr>
          <w:i/>
          <w:lang w:val="en-GB"/>
        </w:rPr>
        <w:t>example</w:t>
      </w:r>
      <w:r w:rsidRPr="00EF3ECB">
        <w:rPr>
          <w:lang w:val="en-GB"/>
        </w:rPr>
        <w:t>: installed thermal capacity = 30MW);</w:t>
      </w:r>
    </w:p>
    <w:p w14:paraId="14DCEDBA" w14:textId="77777777" w:rsidR="009749E9" w:rsidRPr="00EF3ECB" w:rsidRDefault="009749E9" w:rsidP="00F8788D">
      <w:pPr>
        <w:pStyle w:val="ListParagraph"/>
        <w:numPr>
          <w:ilvl w:val="1"/>
          <w:numId w:val="10"/>
        </w:numPr>
        <w:spacing w:line="276" w:lineRule="auto"/>
        <w:jc w:val="both"/>
        <w:rPr>
          <w:lang w:val="en-GB"/>
        </w:rPr>
      </w:pPr>
      <w:r w:rsidRPr="00EF3ECB">
        <w:rPr>
          <w:lang w:val="en-GB"/>
        </w:rPr>
        <w:t>Transnet → Rte; (</w:t>
      </w:r>
      <w:r w:rsidRPr="00EF3ECB">
        <w:rPr>
          <w:i/>
          <w:lang w:val="en-GB"/>
        </w:rPr>
        <w:t>example</w:t>
      </w:r>
      <w:r w:rsidRPr="00EF3ECB">
        <w:rPr>
          <w:lang w:val="en-GB"/>
        </w:rPr>
        <w:t>: installed thermal capacity = 70MW);</w:t>
      </w:r>
    </w:p>
    <w:p w14:paraId="7A98AF44" w14:textId="77777777" w:rsidR="009749E9" w:rsidRPr="00EF3ECB" w:rsidRDefault="009749E9" w:rsidP="00F8788D">
      <w:pPr>
        <w:pStyle w:val="ListParagraph"/>
        <w:numPr>
          <w:ilvl w:val="1"/>
          <w:numId w:val="10"/>
        </w:numPr>
        <w:spacing w:line="276" w:lineRule="auto"/>
        <w:jc w:val="both"/>
        <w:rPr>
          <w:lang w:val="en-GB"/>
        </w:rPr>
      </w:pPr>
      <w:r w:rsidRPr="00EF3ECB">
        <w:rPr>
          <w:lang w:val="en-GB"/>
        </w:rPr>
        <w:t>Split:</w:t>
      </w:r>
    </w:p>
    <w:p w14:paraId="4E88B478" w14:textId="77777777" w:rsidR="009749E9" w:rsidRPr="00EF3ECB" w:rsidRDefault="009749E9" w:rsidP="00F8788D">
      <w:pPr>
        <w:pStyle w:val="ListParagraph"/>
        <w:numPr>
          <w:ilvl w:val="2"/>
          <w:numId w:val="10"/>
        </w:numPr>
        <w:spacing w:line="276" w:lineRule="auto"/>
        <w:jc w:val="both"/>
        <w:rPr>
          <w:lang w:val="en-GB"/>
        </w:rPr>
      </w:pPr>
      <w:r w:rsidRPr="00EF3ECB">
        <w:rPr>
          <w:lang w:val="en-GB"/>
        </w:rPr>
        <w:t>Amprion → Rte: 30/(30+70)* 1200 = 360MW;</w:t>
      </w:r>
    </w:p>
    <w:p w14:paraId="6D8047AB" w14:textId="17D49D2E" w:rsidR="009749E9" w:rsidRPr="00EF3ECB" w:rsidRDefault="009749E9" w:rsidP="00F8788D">
      <w:pPr>
        <w:pStyle w:val="ListParagraph"/>
        <w:numPr>
          <w:ilvl w:val="2"/>
          <w:numId w:val="10"/>
        </w:numPr>
        <w:spacing w:line="276" w:lineRule="auto"/>
        <w:jc w:val="both"/>
        <w:rPr>
          <w:lang w:val="en-GB"/>
        </w:rPr>
      </w:pPr>
      <w:r w:rsidRPr="00EF3ECB">
        <w:rPr>
          <w:lang w:val="en-GB"/>
        </w:rPr>
        <w:t>Trans</w:t>
      </w:r>
      <w:r w:rsidR="00EC36B6" w:rsidRPr="00EF3ECB">
        <w:rPr>
          <w:lang w:val="en-GB"/>
        </w:rPr>
        <w:t>n</w:t>
      </w:r>
      <w:r w:rsidRPr="00EF3ECB">
        <w:rPr>
          <w:lang w:val="en-GB"/>
        </w:rPr>
        <w:t>et → Rte: 70/(30+70)*1200 = 840MW;</w:t>
      </w:r>
    </w:p>
    <w:p w14:paraId="6D4A506C" w14:textId="77777777" w:rsidR="009749E9" w:rsidRPr="00EF3ECB" w:rsidRDefault="009749E9" w:rsidP="00F8788D">
      <w:pPr>
        <w:pStyle w:val="ListParagraph"/>
        <w:numPr>
          <w:ilvl w:val="1"/>
          <w:numId w:val="10"/>
        </w:numPr>
        <w:spacing w:line="276" w:lineRule="auto"/>
        <w:jc w:val="both"/>
        <w:rPr>
          <w:lang w:val="en-GB"/>
        </w:rPr>
      </w:pPr>
      <w:r w:rsidRPr="00EF3ECB">
        <w:rPr>
          <w:lang w:val="en-GB"/>
        </w:rPr>
        <w:t>Note: we intentionally used silly values for the installed thermal capacities to make clear they are not to be confused with DA cross zonal capacities;</w:t>
      </w:r>
    </w:p>
    <w:p w14:paraId="54277236" w14:textId="56FC2F40" w:rsidR="009749E9" w:rsidRPr="00EF3ECB" w:rsidRDefault="009749E9" w:rsidP="00C9634E">
      <w:pPr>
        <w:spacing w:line="276" w:lineRule="auto"/>
        <w:jc w:val="both"/>
        <w:rPr>
          <w:lang w:val="en-GB"/>
        </w:rPr>
      </w:pPr>
      <w:r w:rsidRPr="00EF3ECB">
        <w:rPr>
          <w:lang w:val="en-GB"/>
        </w:rPr>
        <w:t>Note: equivalently we could say that 30% shall be scheduled over Amprion → Rte, and 70% over Transnet → Rte;</w:t>
      </w:r>
    </w:p>
    <w:p w14:paraId="67B72AAE" w14:textId="7F398E55" w:rsidR="009749E9" w:rsidRPr="00EF3ECB" w:rsidRDefault="009749E9" w:rsidP="00C9634E">
      <w:pPr>
        <w:spacing w:line="276" w:lineRule="auto"/>
        <w:jc w:val="both"/>
        <w:rPr>
          <w:lang w:val="en-GB"/>
        </w:rPr>
      </w:pPr>
    </w:p>
    <w:p w14:paraId="284CF2D9" w14:textId="77777777" w:rsidR="00212307" w:rsidRPr="00EF3ECB" w:rsidRDefault="00212307" w:rsidP="00C9634E">
      <w:pPr>
        <w:spacing w:line="276" w:lineRule="auto"/>
        <w:jc w:val="both"/>
        <w:rPr>
          <w:rFonts w:cs="Arial"/>
          <w:lang w:val="en-GB"/>
        </w:rPr>
      </w:pPr>
    </w:p>
    <w:p w14:paraId="7DC1A8F9" w14:textId="77777777" w:rsidR="00FE5A69" w:rsidRPr="00EF3ECB" w:rsidRDefault="00FE5A69" w:rsidP="00C9634E">
      <w:pPr>
        <w:spacing w:line="276" w:lineRule="auto"/>
        <w:jc w:val="both"/>
        <w:rPr>
          <w:rFonts w:cs="Arial"/>
          <w:lang w:val="en-GB"/>
        </w:rPr>
      </w:pPr>
    </w:p>
    <w:p w14:paraId="525156DE" w14:textId="22A5D7A9" w:rsidR="00B86CEB" w:rsidRPr="00EF3ECB" w:rsidRDefault="00B86CEB" w:rsidP="0037730C">
      <w:pPr>
        <w:spacing w:line="276" w:lineRule="auto"/>
        <w:jc w:val="both"/>
        <w:rPr>
          <w:rFonts w:cs="Arial"/>
          <w:lang w:val="en-GB"/>
        </w:rPr>
      </w:pPr>
    </w:p>
    <w:p w14:paraId="081123E5" w14:textId="0FA57AB8" w:rsidR="005B3904" w:rsidRPr="00EF3ECB" w:rsidRDefault="005B3904" w:rsidP="00F8788D">
      <w:pPr>
        <w:pStyle w:val="Heading1"/>
        <w:numPr>
          <w:ilvl w:val="0"/>
          <w:numId w:val="1"/>
        </w:numPr>
        <w:spacing w:before="0" w:line="276" w:lineRule="auto"/>
        <w:ind w:left="0" w:firstLine="0"/>
        <w:jc w:val="both"/>
        <w:rPr>
          <w:rFonts w:ascii="Arial" w:hAnsi="Arial" w:cs="Arial"/>
          <w:lang w:val="en-GB"/>
        </w:rPr>
      </w:pPr>
      <w:bookmarkStart w:id="46" w:name="_Toc507425383"/>
      <w:r w:rsidRPr="00EF3ECB">
        <w:rPr>
          <w:rFonts w:ascii="Arial" w:hAnsi="Arial" w:cs="Arial"/>
          <w:lang w:val="en-GB"/>
        </w:rPr>
        <w:t>Implementation</w:t>
      </w:r>
      <w:bookmarkEnd w:id="46"/>
    </w:p>
    <w:p w14:paraId="27085B99" w14:textId="77777777" w:rsidR="00DA0BAB" w:rsidRPr="00EF3ECB" w:rsidRDefault="00DA0BAB" w:rsidP="0037730C">
      <w:pPr>
        <w:spacing w:line="276" w:lineRule="auto"/>
        <w:jc w:val="both"/>
        <w:rPr>
          <w:lang w:val="en-GB"/>
        </w:rPr>
      </w:pPr>
    </w:p>
    <w:p w14:paraId="3E49DC2E" w14:textId="233C59CB" w:rsidR="00FE5A69" w:rsidRPr="00EF3ECB" w:rsidRDefault="00FE5A69" w:rsidP="00C9634E">
      <w:pPr>
        <w:pStyle w:val="ListParagraph"/>
        <w:spacing w:line="276" w:lineRule="auto"/>
        <w:ind w:left="0"/>
        <w:jc w:val="both"/>
        <w:rPr>
          <w:rFonts w:cs="Arial"/>
          <w:lang w:val="en-GB"/>
        </w:rPr>
      </w:pPr>
      <w:r w:rsidRPr="00EF3ECB">
        <w:rPr>
          <w:rFonts w:cs="Arial"/>
          <w:lang w:val="en-GB"/>
        </w:rPr>
        <w:t xml:space="preserve">The </w:t>
      </w:r>
      <w:r w:rsidR="0076722D" w:rsidRPr="00EF3ECB">
        <w:rPr>
          <w:rFonts w:cs="Arial"/>
          <w:lang w:val="en-GB"/>
        </w:rPr>
        <w:t>DA SEC Methodology</w:t>
      </w:r>
      <w:r w:rsidRPr="00EF3ECB">
        <w:rPr>
          <w:rFonts w:cs="Arial"/>
          <w:lang w:val="en-GB"/>
        </w:rPr>
        <w:t xml:space="preserve"> </w:t>
      </w:r>
      <w:r w:rsidR="00362AD9" w:rsidRPr="00EF3ECB">
        <w:rPr>
          <w:rFonts w:cs="Arial"/>
          <w:lang w:val="en-GB"/>
        </w:rPr>
        <w:t>has been</w:t>
      </w:r>
      <w:r w:rsidRPr="00EF3ECB">
        <w:rPr>
          <w:rFonts w:cs="Arial"/>
          <w:lang w:val="en-GB"/>
        </w:rPr>
        <w:t xml:space="preserve"> aligned with the </w:t>
      </w:r>
      <w:r w:rsidR="00995212" w:rsidRPr="00EF3ECB">
        <w:rPr>
          <w:rFonts w:cs="Arial"/>
          <w:lang w:val="en-GB"/>
        </w:rPr>
        <w:t xml:space="preserve">All NEMOs’ Proposal </w:t>
      </w:r>
      <w:r w:rsidRPr="00EF3ECB">
        <w:rPr>
          <w:rFonts w:cs="Arial"/>
          <w:lang w:val="en-GB"/>
        </w:rPr>
        <w:t xml:space="preserve">for the price coupling algorithm, incorporating a common set of requirements for the price coupling algorithm in accordance with Article 37(4) of </w:t>
      </w:r>
      <w:r w:rsidR="008E7442">
        <w:rPr>
          <w:rFonts w:cs="Arial"/>
          <w:lang w:val="en-GB"/>
        </w:rPr>
        <w:t xml:space="preserve">the </w:t>
      </w:r>
      <w:r w:rsidR="0076722D" w:rsidRPr="00EF3ECB">
        <w:rPr>
          <w:rFonts w:cs="Arial"/>
          <w:lang w:val="en-GB"/>
        </w:rPr>
        <w:t>CACM Regulation</w:t>
      </w:r>
      <w:r w:rsidRPr="00EF3ECB">
        <w:rPr>
          <w:rFonts w:cs="Arial"/>
          <w:lang w:val="en-GB"/>
        </w:rPr>
        <w:t>.</w:t>
      </w:r>
      <w:r w:rsidR="00EF2C5D" w:rsidRPr="00EF3ECB">
        <w:rPr>
          <w:rFonts w:cs="Arial"/>
          <w:lang w:val="en-GB"/>
        </w:rPr>
        <w:t xml:space="preserve"> All TSOs highlight that there is a risk associated with the difference in time frames between the deadline for submission of the </w:t>
      </w:r>
      <w:r w:rsidR="0076722D" w:rsidRPr="00EF3ECB">
        <w:rPr>
          <w:rFonts w:cs="Arial"/>
          <w:lang w:val="en-GB"/>
        </w:rPr>
        <w:t>DA SEC Methodology</w:t>
      </w:r>
      <w:r w:rsidR="00EF2C5D" w:rsidRPr="00EF3ECB">
        <w:rPr>
          <w:rFonts w:cs="Arial"/>
          <w:lang w:val="en-GB"/>
        </w:rPr>
        <w:t xml:space="preserve"> and the All NEMOs Proposal for the price coupling algorithm. The List of Information Required from Relevant NEMOs as provided in Article 3 of the </w:t>
      </w:r>
      <w:r w:rsidR="0076722D" w:rsidRPr="00EF3ECB">
        <w:rPr>
          <w:rFonts w:cs="Arial"/>
          <w:lang w:val="en-GB"/>
        </w:rPr>
        <w:t>DA SEC Methodology</w:t>
      </w:r>
      <w:r w:rsidR="00EF2C5D" w:rsidRPr="00EF3ECB">
        <w:rPr>
          <w:rFonts w:cs="Arial"/>
          <w:lang w:val="en-GB"/>
        </w:rPr>
        <w:t xml:space="preserve"> is essential for the </w:t>
      </w:r>
      <w:r w:rsidR="0076722D" w:rsidRPr="00EF3ECB">
        <w:rPr>
          <w:rFonts w:cs="Arial"/>
          <w:lang w:val="en-GB"/>
        </w:rPr>
        <w:t>DA SEC Methodology</w:t>
      </w:r>
      <w:r w:rsidR="00F0280E">
        <w:rPr>
          <w:rFonts w:cs="Arial"/>
          <w:lang w:val="en-GB"/>
        </w:rPr>
        <w:t xml:space="preserve">. </w:t>
      </w:r>
      <w:r w:rsidR="00EF2C5D" w:rsidRPr="00EF3ECB">
        <w:rPr>
          <w:rFonts w:cs="Arial"/>
          <w:lang w:val="en-GB"/>
        </w:rPr>
        <w:t xml:space="preserve">This risk </w:t>
      </w:r>
      <w:r w:rsidR="00362AD9" w:rsidRPr="00EF3ECB">
        <w:rPr>
          <w:rFonts w:cs="Arial"/>
          <w:lang w:val="en-GB"/>
        </w:rPr>
        <w:t xml:space="preserve">has been </w:t>
      </w:r>
      <w:r w:rsidR="00EF2C5D" w:rsidRPr="00EF3ECB">
        <w:rPr>
          <w:rFonts w:cs="Arial"/>
          <w:lang w:val="en-GB"/>
        </w:rPr>
        <w:t xml:space="preserve">mitigated by ensuring that the All NEMOs Proposal </w:t>
      </w:r>
      <w:r w:rsidR="00362AD9" w:rsidRPr="00EF3ECB">
        <w:rPr>
          <w:rFonts w:cs="Arial"/>
          <w:lang w:val="en-GB"/>
        </w:rPr>
        <w:t xml:space="preserve">as submitted to NRAs </w:t>
      </w:r>
      <w:r w:rsidR="00EF2C5D" w:rsidRPr="00EF3ECB">
        <w:rPr>
          <w:rFonts w:cs="Arial"/>
          <w:lang w:val="en-GB"/>
        </w:rPr>
        <w:t>includes th</w:t>
      </w:r>
      <w:r w:rsidR="00904863" w:rsidRPr="00EF3ECB">
        <w:rPr>
          <w:rFonts w:cs="Arial"/>
          <w:lang w:val="en-GB"/>
        </w:rPr>
        <w:t>e</w:t>
      </w:r>
      <w:r w:rsidR="00EF2C5D" w:rsidRPr="00EF3ECB">
        <w:rPr>
          <w:rFonts w:cs="Arial"/>
          <w:lang w:val="en-GB"/>
        </w:rPr>
        <w:t xml:space="preserve"> List of Information Required from Relevant NEMOs</w:t>
      </w:r>
      <w:r w:rsidR="00904863" w:rsidRPr="00EF3ECB">
        <w:rPr>
          <w:rFonts w:cs="Arial"/>
          <w:lang w:val="en-GB"/>
        </w:rPr>
        <w:t xml:space="preserve"> as outlined in Article 3 of the </w:t>
      </w:r>
      <w:r w:rsidR="0076722D" w:rsidRPr="00EF3ECB">
        <w:rPr>
          <w:rFonts w:cs="Arial"/>
          <w:lang w:val="en-GB"/>
        </w:rPr>
        <w:t>DA SEC Methodology</w:t>
      </w:r>
      <w:r w:rsidR="004F718C" w:rsidRPr="00EF3ECB">
        <w:rPr>
          <w:rFonts w:cs="Arial"/>
          <w:lang w:val="en-GB"/>
        </w:rPr>
        <w:t>.</w:t>
      </w:r>
    </w:p>
    <w:p w14:paraId="25FC316F" w14:textId="117BBE3C" w:rsidR="00EF2C5D" w:rsidRPr="00EF3ECB" w:rsidRDefault="00EF2C5D" w:rsidP="0037730C">
      <w:pPr>
        <w:pStyle w:val="ListParagraph"/>
        <w:spacing w:line="276" w:lineRule="auto"/>
        <w:ind w:left="0"/>
        <w:jc w:val="both"/>
        <w:rPr>
          <w:rFonts w:cs="Arial"/>
          <w:lang w:val="en-GB"/>
        </w:rPr>
      </w:pPr>
    </w:p>
    <w:p w14:paraId="7520B566" w14:textId="538E8ABA" w:rsidR="00904863" w:rsidRPr="00EF3ECB" w:rsidRDefault="00EF2C5D" w:rsidP="00C9634E">
      <w:pPr>
        <w:pStyle w:val="ListParagraph"/>
        <w:spacing w:line="276" w:lineRule="auto"/>
        <w:ind w:left="0"/>
        <w:jc w:val="both"/>
        <w:rPr>
          <w:rFonts w:cs="Arial"/>
          <w:lang w:val="en-GB"/>
        </w:rPr>
      </w:pPr>
      <w:r w:rsidRPr="00EF3ECB">
        <w:rPr>
          <w:rFonts w:cs="Arial"/>
          <w:lang w:val="en-GB"/>
        </w:rPr>
        <w:t xml:space="preserve">The </w:t>
      </w:r>
      <w:r w:rsidR="0076722D" w:rsidRPr="00EF3ECB">
        <w:rPr>
          <w:rFonts w:cs="Arial"/>
          <w:lang w:val="en-GB"/>
        </w:rPr>
        <w:t>DA SEC Methodology</w:t>
      </w:r>
      <w:r w:rsidRPr="00EF3ECB">
        <w:rPr>
          <w:rFonts w:cs="Arial"/>
          <w:lang w:val="en-GB"/>
        </w:rPr>
        <w:t xml:space="preserve"> is currently implemented by a subset of TSOs as described in Section 1.2 above. Amendments may be required to this </w:t>
      </w:r>
      <w:r w:rsidR="0076722D" w:rsidRPr="00EF3ECB">
        <w:rPr>
          <w:rFonts w:cs="Arial"/>
          <w:lang w:val="en-GB"/>
        </w:rPr>
        <w:t>DA SEC Methodology</w:t>
      </w:r>
      <w:r w:rsidRPr="00EF3ECB">
        <w:rPr>
          <w:rFonts w:cs="Arial"/>
          <w:lang w:val="en-GB"/>
        </w:rPr>
        <w:t xml:space="preserve"> based on</w:t>
      </w:r>
      <w:r w:rsidR="00904863" w:rsidRPr="00EF3ECB">
        <w:rPr>
          <w:rFonts w:cs="Arial"/>
          <w:lang w:val="en-GB"/>
        </w:rPr>
        <w:t>, but not limited to, the following list:</w:t>
      </w:r>
    </w:p>
    <w:p w14:paraId="78BE2142" w14:textId="3E8E53D0" w:rsidR="00904863" w:rsidRPr="00EF3ECB" w:rsidRDefault="00EF2C5D" w:rsidP="00F8788D">
      <w:pPr>
        <w:pStyle w:val="ListParagraph"/>
        <w:numPr>
          <w:ilvl w:val="0"/>
          <w:numId w:val="4"/>
        </w:numPr>
        <w:spacing w:line="276" w:lineRule="auto"/>
        <w:jc w:val="both"/>
        <w:rPr>
          <w:rFonts w:cs="Arial"/>
          <w:lang w:val="en-GB"/>
        </w:rPr>
      </w:pPr>
      <w:r w:rsidRPr="00EF3ECB">
        <w:rPr>
          <w:rFonts w:cs="Arial"/>
          <w:lang w:val="en-GB"/>
        </w:rPr>
        <w:t xml:space="preserve">capacity calculation methodology developments and obligations in accordance with Article 20 of the </w:t>
      </w:r>
      <w:r w:rsidR="0076722D" w:rsidRPr="00EF3ECB">
        <w:rPr>
          <w:rFonts w:cs="Arial"/>
          <w:lang w:val="en-GB"/>
        </w:rPr>
        <w:t>CACM Regulation</w:t>
      </w:r>
      <w:r w:rsidR="00904863" w:rsidRPr="00EF3ECB">
        <w:rPr>
          <w:rFonts w:cs="Arial"/>
          <w:lang w:val="en-GB"/>
        </w:rPr>
        <w:t>;</w:t>
      </w:r>
    </w:p>
    <w:p w14:paraId="2123E76E" w14:textId="672CE870" w:rsidR="00904863" w:rsidRPr="00EF3ECB" w:rsidRDefault="00EF2C5D" w:rsidP="00F8788D">
      <w:pPr>
        <w:pStyle w:val="ListParagraph"/>
        <w:numPr>
          <w:ilvl w:val="0"/>
          <w:numId w:val="4"/>
        </w:numPr>
        <w:spacing w:line="276" w:lineRule="auto"/>
        <w:jc w:val="both"/>
        <w:rPr>
          <w:rFonts w:cs="Arial"/>
          <w:lang w:val="en-GB"/>
        </w:rPr>
      </w:pPr>
      <w:r w:rsidRPr="00EF3ECB">
        <w:rPr>
          <w:rFonts w:cs="Arial"/>
          <w:lang w:val="en-GB"/>
        </w:rPr>
        <w:t xml:space="preserve">the Multi-NEMO Arrangements in accordance with Article 45 of the </w:t>
      </w:r>
      <w:r w:rsidR="0076722D" w:rsidRPr="00EF3ECB">
        <w:rPr>
          <w:rFonts w:cs="Arial"/>
          <w:lang w:val="en-GB"/>
        </w:rPr>
        <w:t>CACM Regulation</w:t>
      </w:r>
      <w:r w:rsidR="00904863" w:rsidRPr="00EF3ECB">
        <w:rPr>
          <w:rFonts w:cs="Arial"/>
          <w:lang w:val="en-GB"/>
        </w:rPr>
        <w:t>;</w:t>
      </w:r>
    </w:p>
    <w:p w14:paraId="57E10D6E" w14:textId="250AC671" w:rsidR="00904863" w:rsidRPr="00EF3ECB" w:rsidRDefault="00EF2C5D" w:rsidP="00F8788D">
      <w:pPr>
        <w:pStyle w:val="ListParagraph"/>
        <w:numPr>
          <w:ilvl w:val="0"/>
          <w:numId w:val="4"/>
        </w:numPr>
        <w:spacing w:line="276" w:lineRule="auto"/>
        <w:jc w:val="both"/>
        <w:rPr>
          <w:rFonts w:cs="Arial"/>
          <w:lang w:val="en-GB"/>
        </w:rPr>
      </w:pPr>
      <w:r w:rsidRPr="00EF3ECB">
        <w:rPr>
          <w:rFonts w:cs="Arial"/>
          <w:lang w:val="en-GB"/>
        </w:rPr>
        <w:t xml:space="preserve">the All NEMOs’ Proposal for the price coupling algorithm in accordance with Article 37(5) of the </w:t>
      </w:r>
      <w:r w:rsidR="0076722D" w:rsidRPr="00EF3ECB">
        <w:rPr>
          <w:rFonts w:cs="Arial"/>
          <w:lang w:val="en-GB"/>
        </w:rPr>
        <w:t>CACM Regulation</w:t>
      </w:r>
      <w:r w:rsidR="00904863" w:rsidRPr="00EF3ECB">
        <w:rPr>
          <w:rFonts w:cs="Arial"/>
          <w:lang w:val="en-GB"/>
        </w:rPr>
        <w:t>;</w:t>
      </w:r>
      <w:r w:rsidRPr="00EF3ECB">
        <w:rPr>
          <w:rFonts w:cs="Arial"/>
          <w:lang w:val="en-GB"/>
        </w:rPr>
        <w:t xml:space="preserve"> and </w:t>
      </w:r>
    </w:p>
    <w:p w14:paraId="2872E382" w14:textId="22BCDF7F" w:rsidR="00904863" w:rsidRPr="00EF3ECB" w:rsidRDefault="00EF2C5D" w:rsidP="00F8788D">
      <w:pPr>
        <w:pStyle w:val="ListParagraph"/>
        <w:numPr>
          <w:ilvl w:val="0"/>
          <w:numId w:val="4"/>
        </w:numPr>
        <w:spacing w:line="276" w:lineRule="auto"/>
        <w:jc w:val="both"/>
        <w:rPr>
          <w:rFonts w:cs="Arial"/>
          <w:lang w:val="en-GB"/>
        </w:rPr>
      </w:pPr>
      <w:r w:rsidRPr="00EF3ECB">
        <w:rPr>
          <w:rFonts w:cs="Arial"/>
          <w:lang w:val="en-GB"/>
        </w:rPr>
        <w:t xml:space="preserve">developments to the day-ahead market coupling operator function in accordance with Article 7(3) of the </w:t>
      </w:r>
      <w:r w:rsidR="0076722D" w:rsidRPr="00EF3ECB">
        <w:rPr>
          <w:rFonts w:cs="Arial"/>
          <w:lang w:val="en-GB"/>
        </w:rPr>
        <w:t>CACM Regulation</w:t>
      </w:r>
      <w:r w:rsidR="00F0280E">
        <w:rPr>
          <w:rFonts w:cs="Arial"/>
          <w:lang w:val="en-GB"/>
        </w:rPr>
        <w:t xml:space="preserve">. </w:t>
      </w:r>
    </w:p>
    <w:p w14:paraId="61AE508F" w14:textId="77777777" w:rsidR="00904863" w:rsidRPr="00EF3ECB" w:rsidRDefault="00904863">
      <w:pPr>
        <w:spacing w:line="276" w:lineRule="auto"/>
        <w:jc w:val="both"/>
        <w:rPr>
          <w:rFonts w:cs="Arial"/>
          <w:lang w:val="en-GB"/>
        </w:rPr>
      </w:pPr>
    </w:p>
    <w:p w14:paraId="7240CBFD" w14:textId="75E93FE1" w:rsidR="00C64452" w:rsidRPr="00EF3ECB" w:rsidRDefault="00EF2C5D" w:rsidP="00D50501">
      <w:pPr>
        <w:pStyle w:val="ListParagraph"/>
        <w:spacing w:line="276" w:lineRule="auto"/>
        <w:ind w:left="0"/>
        <w:jc w:val="both"/>
        <w:rPr>
          <w:rFonts w:cs="Arial"/>
          <w:lang w:val="en-GB"/>
        </w:rPr>
      </w:pPr>
      <w:r w:rsidRPr="00EF3ECB">
        <w:rPr>
          <w:rFonts w:cs="Arial"/>
          <w:lang w:val="en-GB"/>
        </w:rPr>
        <w:t xml:space="preserve">Additionally, </w:t>
      </w:r>
      <w:r w:rsidR="00904863" w:rsidRPr="00EF3ECB">
        <w:rPr>
          <w:rFonts w:cs="Arial"/>
          <w:lang w:val="en-GB"/>
        </w:rPr>
        <w:t xml:space="preserve">as per Article 43 of </w:t>
      </w:r>
      <w:r w:rsidR="008E7442">
        <w:rPr>
          <w:rFonts w:cs="Arial"/>
          <w:lang w:val="en-GB"/>
        </w:rPr>
        <w:t xml:space="preserve">the </w:t>
      </w:r>
      <w:r w:rsidR="0076722D" w:rsidRPr="00EF3ECB">
        <w:rPr>
          <w:rFonts w:cs="Arial"/>
          <w:lang w:val="en-GB"/>
        </w:rPr>
        <w:t>CACM Regulation</w:t>
      </w:r>
      <w:r w:rsidR="00904863" w:rsidRPr="00EF3ECB">
        <w:rPr>
          <w:rFonts w:cs="Arial"/>
          <w:lang w:val="en-GB"/>
        </w:rPr>
        <w:t xml:space="preserve"> </w:t>
      </w:r>
      <w:r w:rsidRPr="00EF3ECB">
        <w:rPr>
          <w:rFonts w:cs="Arial"/>
          <w:lang w:val="en-GB"/>
        </w:rPr>
        <w:t xml:space="preserve">no later than two years after the approval by the regulatory authorities of the concerned region of the </w:t>
      </w:r>
      <w:r w:rsidR="0076722D" w:rsidRPr="00EF3ECB">
        <w:rPr>
          <w:rFonts w:cs="Arial"/>
          <w:lang w:val="en-GB"/>
        </w:rPr>
        <w:t>DA SEC Methodology</w:t>
      </w:r>
      <w:r w:rsidR="004F718C" w:rsidRPr="00EF3ECB">
        <w:rPr>
          <w:rFonts w:cs="Arial"/>
          <w:lang w:val="en-GB"/>
        </w:rPr>
        <w:t xml:space="preserve">, TSOs applying </w:t>
      </w:r>
      <w:r w:rsidR="00543D26" w:rsidRPr="00EF3ECB">
        <w:rPr>
          <w:rFonts w:cs="Arial"/>
          <w:lang w:val="en-GB"/>
        </w:rPr>
        <w:t>Scheduled Exchanges</w:t>
      </w:r>
      <w:r w:rsidR="004F718C" w:rsidRPr="00EF3ECB">
        <w:rPr>
          <w:rFonts w:cs="Arial"/>
          <w:lang w:val="en-GB"/>
        </w:rPr>
        <w:t xml:space="preserve"> shall review the methodology.</w:t>
      </w:r>
      <w:r w:rsidR="00F0280E">
        <w:rPr>
          <w:rFonts w:cs="Arial"/>
          <w:lang w:val="en-GB"/>
        </w:rPr>
        <w:t xml:space="preserve"> </w:t>
      </w:r>
      <w:r w:rsidR="00904863" w:rsidRPr="00EF3ECB">
        <w:rPr>
          <w:rFonts w:cs="Arial"/>
          <w:lang w:val="en-GB"/>
        </w:rPr>
        <w:t xml:space="preserve">All TSOs shall </w:t>
      </w:r>
      <w:r w:rsidR="00276323">
        <w:rPr>
          <w:rFonts w:cs="Arial"/>
          <w:lang w:val="en-GB"/>
        </w:rPr>
        <w:t>take part</w:t>
      </w:r>
      <w:r w:rsidR="00276323" w:rsidRPr="00EF3ECB">
        <w:rPr>
          <w:rFonts w:cs="Arial"/>
          <w:lang w:val="en-GB"/>
        </w:rPr>
        <w:t xml:space="preserve"> </w:t>
      </w:r>
      <w:r w:rsidR="00904863" w:rsidRPr="00EF3ECB">
        <w:rPr>
          <w:rFonts w:cs="Arial"/>
          <w:lang w:val="en-GB"/>
        </w:rPr>
        <w:t>in this review.</w:t>
      </w:r>
    </w:p>
    <w:p w14:paraId="79DD5B98" w14:textId="06976824" w:rsidR="0056041B" w:rsidRPr="00EF3ECB" w:rsidRDefault="0056041B" w:rsidP="00D50501">
      <w:pPr>
        <w:pStyle w:val="ListParagraph"/>
        <w:spacing w:line="276" w:lineRule="auto"/>
        <w:ind w:left="0"/>
        <w:jc w:val="both"/>
        <w:rPr>
          <w:rFonts w:cs="Arial"/>
          <w:lang w:val="en-GB"/>
        </w:rPr>
      </w:pPr>
    </w:p>
    <w:p w14:paraId="7982F096" w14:textId="2C6E0E85" w:rsidR="0056041B" w:rsidRPr="00EF3ECB" w:rsidRDefault="0056041B" w:rsidP="00D50501">
      <w:pPr>
        <w:pStyle w:val="ListParagraph"/>
        <w:spacing w:line="276" w:lineRule="auto"/>
        <w:ind w:left="0"/>
        <w:jc w:val="both"/>
        <w:rPr>
          <w:rFonts w:cs="Arial"/>
          <w:lang w:val="en-GB"/>
        </w:rPr>
      </w:pPr>
    </w:p>
    <w:p w14:paraId="53471ABC" w14:textId="77777777" w:rsidR="00F8788D" w:rsidRPr="00904863" w:rsidRDefault="00F8788D" w:rsidP="00F8788D">
      <w:pPr>
        <w:spacing w:line="276" w:lineRule="auto"/>
        <w:rPr>
          <w:rFonts w:cs="Arial"/>
          <w:lang w:val="en-GB"/>
        </w:rPr>
      </w:pPr>
      <w:r w:rsidRPr="00904863">
        <w:rPr>
          <w:rFonts w:cs="Arial"/>
          <w:lang w:val="en-GB"/>
        </w:rPr>
        <w:t>authorities of the concerned region of the DA Scheduled Exchanges Calculation Methodology, TSOs applying Scheduled Exchanges shall review the methodology.</w:t>
      </w:r>
      <w:r>
        <w:rPr>
          <w:rFonts w:cs="Arial"/>
          <w:lang w:val="en-GB"/>
        </w:rPr>
        <w:t xml:space="preserve">  All TSOs shall partake in this review.</w:t>
      </w:r>
    </w:p>
    <w:p w14:paraId="69D991C2" w14:textId="77777777" w:rsidR="00F8788D" w:rsidRDefault="00F8788D" w:rsidP="00F8788D">
      <w:pPr>
        <w:pStyle w:val="ListParagraph"/>
        <w:ind w:left="0"/>
        <w:rPr>
          <w:rFonts w:cs="Arial"/>
          <w:lang w:val="en-GB"/>
        </w:rPr>
      </w:pPr>
    </w:p>
    <w:p w14:paraId="5AB9BC28" w14:textId="77777777" w:rsidR="00F8788D" w:rsidRDefault="00F8788D" w:rsidP="00F8788D">
      <w:pPr>
        <w:pStyle w:val="ListParagraph"/>
        <w:ind w:left="0"/>
        <w:rPr>
          <w:rFonts w:cs="Arial"/>
          <w:lang w:val="en-GB"/>
        </w:rPr>
      </w:pPr>
    </w:p>
    <w:p w14:paraId="22742DF7" w14:textId="77777777" w:rsidR="00F8788D" w:rsidRDefault="00F8788D" w:rsidP="00F8788D">
      <w:pPr>
        <w:pStyle w:val="ListParagraph"/>
        <w:ind w:left="0"/>
        <w:rPr>
          <w:rFonts w:cs="Arial"/>
          <w:lang w:val="en-GB"/>
        </w:rPr>
        <w:sectPr w:rsidR="00F8788D" w:rsidSect="00A07500">
          <w:footerReference w:type="default" r:id="rId24"/>
          <w:pgSz w:w="12240" w:h="15840"/>
          <w:pgMar w:top="1440" w:right="1325" w:bottom="1440" w:left="1440" w:header="708" w:footer="708" w:gutter="0"/>
          <w:cols w:space="708"/>
          <w:docGrid w:linePitch="360"/>
        </w:sectPr>
      </w:pPr>
    </w:p>
    <w:p w14:paraId="5E1411A1" w14:textId="55908636" w:rsidR="00F8788D" w:rsidRPr="00647376" w:rsidRDefault="00F8788D" w:rsidP="00F8788D">
      <w:pPr>
        <w:pStyle w:val="Heading1"/>
        <w:jc w:val="center"/>
        <w:rPr>
          <w:rFonts w:ascii="Arial" w:hAnsi="Arial" w:cs="Arial"/>
        </w:rPr>
      </w:pPr>
      <w:bookmarkStart w:id="47" w:name="_Toc469070611"/>
      <w:bookmarkStart w:id="48" w:name="_Toc507425384"/>
      <w:r w:rsidRPr="00647376">
        <w:rPr>
          <w:rFonts w:ascii="Arial" w:hAnsi="Arial" w:cs="Arial"/>
        </w:rPr>
        <w:t xml:space="preserve">ANNEX 1 - </w:t>
      </w:r>
      <w:bookmarkEnd w:id="47"/>
      <w:r w:rsidR="00F629D2" w:rsidRPr="00F629D2">
        <w:rPr>
          <w:rFonts w:ascii="Arial" w:hAnsi="Arial" w:cs="Arial"/>
        </w:rPr>
        <w:t>Functioning principles of the SDAC under MNA</w:t>
      </w:r>
      <w:r w:rsidR="00F629D2">
        <w:rPr>
          <w:rFonts w:ascii="Arial" w:hAnsi="Arial" w:cs="Arial"/>
        </w:rPr>
        <w:t xml:space="preserve">, </w:t>
      </w:r>
      <w:r w:rsidR="00F629D2" w:rsidRPr="00F629D2">
        <w:rPr>
          <w:rFonts w:ascii="Arial" w:hAnsi="Arial" w:cs="Arial"/>
        </w:rPr>
        <w:t>Description of the Inter-NEMO Flow Calculation</w:t>
      </w:r>
      <w:bookmarkEnd w:id="48"/>
    </w:p>
    <w:p w14:paraId="42F53078" w14:textId="77777777" w:rsidR="00F8788D" w:rsidRPr="00647376" w:rsidRDefault="00F8788D" w:rsidP="00F8788D">
      <w:pPr>
        <w:jc w:val="center"/>
        <w:rPr>
          <w:rFonts w:eastAsiaTheme="majorEastAsia" w:cs="Arial"/>
          <w:color w:val="2E74B5" w:themeColor="accent1" w:themeShade="BF"/>
          <w:sz w:val="32"/>
          <w:szCs w:val="32"/>
        </w:rPr>
      </w:pPr>
    </w:p>
    <w:p w14:paraId="1F5B060A" w14:textId="77777777" w:rsidR="00F8788D" w:rsidRDefault="00F8788D" w:rsidP="00F8788D"/>
    <w:p w14:paraId="020382FB" w14:textId="77777777" w:rsidR="00F8788D" w:rsidRDefault="00F8788D" w:rsidP="00F8788D">
      <w:pPr>
        <w:pStyle w:val="ListParagraph"/>
        <w:ind w:left="0"/>
        <w:rPr>
          <w:rFonts w:cs="Arial"/>
          <w:lang w:val="en-GB"/>
        </w:rPr>
      </w:pPr>
    </w:p>
    <w:p w14:paraId="0A0DD2C6" w14:textId="77777777" w:rsidR="00F8788D" w:rsidRPr="00A426FC" w:rsidRDefault="00F8788D" w:rsidP="002414BB">
      <w:pPr>
        <w:jc w:val="both"/>
        <w:rPr>
          <w:rFonts w:cs="Arial"/>
        </w:rPr>
      </w:pPr>
    </w:p>
    <w:p w14:paraId="4F5B9D7E" w14:textId="77777777" w:rsidR="00F8788D" w:rsidRPr="00A426FC" w:rsidRDefault="00F8788D" w:rsidP="002414BB">
      <w:pPr>
        <w:jc w:val="both"/>
        <w:rPr>
          <w:rFonts w:cs="Arial"/>
        </w:rPr>
      </w:pPr>
    </w:p>
    <w:tbl>
      <w:tblPr>
        <w:tblW w:w="8625" w:type="dxa"/>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625"/>
      </w:tblGrid>
      <w:tr w:rsidR="00F8788D" w:rsidRPr="00A426FC" w14:paraId="3ACC9C2A" w14:textId="77777777" w:rsidTr="002414BB">
        <w:trPr>
          <w:cantSplit/>
          <w:trHeight w:val="503"/>
        </w:trPr>
        <w:tc>
          <w:tcPr>
            <w:tcW w:w="8625" w:type="dxa"/>
            <w:tcBorders>
              <w:top w:val="single" w:sz="4" w:space="0" w:color="auto"/>
              <w:left w:val="single" w:sz="4" w:space="0" w:color="auto"/>
              <w:bottom w:val="single" w:sz="4" w:space="0" w:color="auto"/>
              <w:right w:val="single" w:sz="4" w:space="0" w:color="auto"/>
            </w:tcBorders>
            <w:vAlign w:val="center"/>
            <w:hideMark/>
          </w:tcPr>
          <w:p w14:paraId="08B5C105" w14:textId="77777777" w:rsidR="00F8788D" w:rsidRDefault="00F8788D" w:rsidP="002414BB">
            <w:pPr>
              <w:pStyle w:val="DocType"/>
              <w:jc w:val="center"/>
              <w:rPr>
                <w:rFonts w:ascii="Arial" w:hAnsi="Arial" w:cs="Arial"/>
                <w:color w:val="auto"/>
                <w:sz w:val="20"/>
              </w:rPr>
            </w:pPr>
            <w:r>
              <w:rPr>
                <w:rFonts w:ascii="Arial" w:hAnsi="Arial" w:cs="Arial"/>
                <w:color w:val="auto"/>
                <w:sz w:val="20"/>
              </w:rPr>
              <w:t>Functioning principles of the SDAC under MNA</w:t>
            </w:r>
          </w:p>
          <w:p w14:paraId="3FBA92EA" w14:textId="77777777" w:rsidR="00F8788D" w:rsidRDefault="00F8788D" w:rsidP="002414BB">
            <w:pPr>
              <w:pStyle w:val="DocType"/>
              <w:jc w:val="center"/>
              <w:rPr>
                <w:rFonts w:ascii="Arial" w:hAnsi="Arial" w:cs="Arial"/>
                <w:color w:val="auto"/>
                <w:sz w:val="20"/>
              </w:rPr>
            </w:pPr>
            <w:r>
              <w:rPr>
                <w:rFonts w:ascii="Arial" w:hAnsi="Arial" w:cs="Arial"/>
                <w:color w:val="auto"/>
                <w:sz w:val="20"/>
              </w:rPr>
              <w:t>Euphemia Release 10.3 / PMB 10.1</w:t>
            </w:r>
          </w:p>
          <w:p w14:paraId="73A2FA64" w14:textId="77777777" w:rsidR="00F8788D" w:rsidRDefault="00F8788D" w:rsidP="002414BB">
            <w:pPr>
              <w:pStyle w:val="DocType"/>
              <w:jc w:val="center"/>
              <w:rPr>
                <w:rFonts w:ascii="Arial" w:hAnsi="Arial" w:cs="Arial"/>
                <w:color w:val="auto"/>
                <w:sz w:val="20"/>
              </w:rPr>
            </w:pPr>
            <w:r>
              <w:rPr>
                <w:rFonts w:ascii="Arial" w:hAnsi="Arial" w:cs="Arial"/>
                <w:color w:val="auto"/>
                <w:sz w:val="20"/>
              </w:rPr>
              <w:t>Coupling Part</w:t>
            </w:r>
          </w:p>
          <w:p w14:paraId="4E6CB0EF" w14:textId="77777777" w:rsidR="00F8788D" w:rsidRPr="00A426FC" w:rsidRDefault="00F8788D" w:rsidP="002414BB">
            <w:pPr>
              <w:pStyle w:val="DocType"/>
              <w:jc w:val="center"/>
              <w:rPr>
                <w:rFonts w:ascii="Arial" w:hAnsi="Arial" w:cs="Arial"/>
                <w:color w:val="auto"/>
                <w:sz w:val="20"/>
              </w:rPr>
            </w:pPr>
            <w:r>
              <w:rPr>
                <w:rFonts w:ascii="Arial" w:hAnsi="Arial" w:cs="Arial"/>
                <w:color w:val="auto"/>
                <w:sz w:val="20"/>
              </w:rPr>
              <w:t>Description of the Inter-NEMO Flow Calculation (INFC)</w:t>
            </w:r>
          </w:p>
        </w:tc>
      </w:tr>
      <w:tr w:rsidR="00F8788D" w:rsidRPr="00A426FC" w14:paraId="62FFC429" w14:textId="77777777" w:rsidTr="002414BB">
        <w:trPr>
          <w:cantSplit/>
          <w:trHeight w:val="500"/>
        </w:trPr>
        <w:tc>
          <w:tcPr>
            <w:tcW w:w="8625" w:type="dxa"/>
            <w:tcBorders>
              <w:top w:val="single" w:sz="4" w:space="0" w:color="auto"/>
              <w:left w:val="single" w:sz="4" w:space="0" w:color="auto"/>
              <w:bottom w:val="single" w:sz="4" w:space="0" w:color="auto"/>
              <w:right w:val="single" w:sz="4" w:space="0" w:color="auto"/>
            </w:tcBorders>
            <w:vAlign w:val="center"/>
            <w:hideMark/>
          </w:tcPr>
          <w:p w14:paraId="568FBAD8" w14:textId="77777777" w:rsidR="00F8788D" w:rsidRPr="00A426FC" w:rsidRDefault="00F8788D" w:rsidP="002414BB">
            <w:pPr>
              <w:pStyle w:val="Department"/>
              <w:spacing w:before="120" w:after="120"/>
              <w:jc w:val="center"/>
              <w:rPr>
                <w:rFonts w:ascii="Arial" w:hAnsi="Arial" w:cs="Arial"/>
                <w:color w:val="auto"/>
                <w:sz w:val="20"/>
              </w:rPr>
            </w:pPr>
            <w:r>
              <w:rPr>
                <w:rFonts w:ascii="Arial" w:hAnsi="Arial" w:cs="Arial"/>
                <w:color w:val="auto"/>
                <w:sz w:val="20"/>
              </w:rPr>
              <w:t xml:space="preserve">Version– Shared for Information with TSOs </w:t>
            </w:r>
          </w:p>
        </w:tc>
      </w:tr>
    </w:tbl>
    <w:p w14:paraId="091554FB" w14:textId="77777777" w:rsidR="00F8788D" w:rsidRPr="00A426FC" w:rsidRDefault="00F8788D" w:rsidP="002414BB">
      <w:pPr>
        <w:jc w:val="both"/>
        <w:rPr>
          <w:rFonts w:cs="Arial"/>
        </w:rPr>
      </w:pPr>
      <w:r w:rsidRPr="00A426FC">
        <w:rPr>
          <w:rFonts w:cs="Arial"/>
        </w:rPr>
        <w:t xml:space="preserve">  </w:t>
      </w:r>
    </w:p>
    <w:p w14:paraId="1269CCDF" w14:textId="77777777" w:rsidR="00F8788D" w:rsidRDefault="00F8788D" w:rsidP="002414BB">
      <w:pPr>
        <w:jc w:val="both"/>
        <w:rPr>
          <w:rFonts w:cs="Arial"/>
        </w:rPr>
      </w:pPr>
    </w:p>
    <w:p w14:paraId="7FE53683" w14:textId="77777777" w:rsidR="00F8788D" w:rsidRPr="00A426FC" w:rsidRDefault="00F8788D" w:rsidP="002414BB">
      <w:pPr>
        <w:jc w:val="both"/>
        <w:rPr>
          <w:rFonts w:cs="Arial"/>
        </w:rPr>
      </w:pPr>
    </w:p>
    <w:tbl>
      <w:tblPr>
        <w:tblStyle w:val="TableGrid"/>
        <w:tblW w:w="0" w:type="auto"/>
        <w:tblLook w:val="04A0" w:firstRow="1" w:lastRow="0" w:firstColumn="1" w:lastColumn="0" w:noHBand="0" w:noVBand="1"/>
      </w:tblPr>
      <w:tblGrid>
        <w:gridCol w:w="1226"/>
        <w:gridCol w:w="1688"/>
        <w:gridCol w:w="3318"/>
        <w:gridCol w:w="2058"/>
      </w:tblGrid>
      <w:tr w:rsidR="00F8788D" w14:paraId="1F9D5CE4" w14:textId="77777777" w:rsidTr="002414BB">
        <w:tc>
          <w:tcPr>
            <w:tcW w:w="1226" w:type="dxa"/>
            <w:shd w:val="clear" w:color="auto" w:fill="D9D9D9" w:themeFill="background1" w:themeFillShade="D9"/>
          </w:tcPr>
          <w:p w14:paraId="176945F0" w14:textId="77777777" w:rsidR="00F8788D" w:rsidRDefault="00F8788D" w:rsidP="002414BB">
            <w:pPr>
              <w:jc w:val="center"/>
            </w:pPr>
            <w:r>
              <w:t>Version</w:t>
            </w:r>
          </w:p>
        </w:tc>
        <w:tc>
          <w:tcPr>
            <w:tcW w:w="1688" w:type="dxa"/>
            <w:shd w:val="clear" w:color="auto" w:fill="D9D9D9" w:themeFill="background1" w:themeFillShade="D9"/>
          </w:tcPr>
          <w:p w14:paraId="3CACD5E3" w14:textId="77777777" w:rsidR="00F8788D" w:rsidRDefault="00F8788D" w:rsidP="002414BB">
            <w:pPr>
              <w:jc w:val="center"/>
            </w:pPr>
            <w:r>
              <w:t>Date</w:t>
            </w:r>
          </w:p>
        </w:tc>
        <w:tc>
          <w:tcPr>
            <w:tcW w:w="3318" w:type="dxa"/>
            <w:shd w:val="clear" w:color="auto" w:fill="D9D9D9" w:themeFill="background1" w:themeFillShade="D9"/>
          </w:tcPr>
          <w:p w14:paraId="4D964D2A" w14:textId="77777777" w:rsidR="00F8788D" w:rsidRDefault="00F8788D" w:rsidP="002414BB">
            <w:pPr>
              <w:jc w:val="center"/>
            </w:pPr>
            <w:r>
              <w:t>Description on change</w:t>
            </w:r>
          </w:p>
        </w:tc>
        <w:tc>
          <w:tcPr>
            <w:tcW w:w="2058" w:type="dxa"/>
            <w:shd w:val="clear" w:color="auto" w:fill="D9D9D9" w:themeFill="background1" w:themeFillShade="D9"/>
          </w:tcPr>
          <w:p w14:paraId="1A1B2D16" w14:textId="77777777" w:rsidR="00F8788D" w:rsidRDefault="00F8788D" w:rsidP="002414BB">
            <w:pPr>
              <w:jc w:val="center"/>
            </w:pPr>
            <w:r>
              <w:t>Author</w:t>
            </w:r>
          </w:p>
        </w:tc>
      </w:tr>
      <w:tr w:rsidR="00F8788D" w14:paraId="78206793" w14:textId="77777777" w:rsidTr="002414BB">
        <w:tc>
          <w:tcPr>
            <w:tcW w:w="1226" w:type="dxa"/>
          </w:tcPr>
          <w:p w14:paraId="73015DA2" w14:textId="77777777" w:rsidR="00F8788D" w:rsidRDefault="00F8788D" w:rsidP="002414BB">
            <w:pPr>
              <w:jc w:val="center"/>
            </w:pPr>
            <w:r>
              <w:t>1.0</w:t>
            </w:r>
          </w:p>
        </w:tc>
        <w:tc>
          <w:tcPr>
            <w:tcW w:w="1688" w:type="dxa"/>
          </w:tcPr>
          <w:p w14:paraId="167202A5" w14:textId="77777777" w:rsidR="00F8788D" w:rsidRDefault="00F8788D" w:rsidP="002414BB">
            <w:pPr>
              <w:jc w:val="center"/>
            </w:pPr>
            <w:r>
              <w:t>15/01/2018</w:t>
            </w:r>
          </w:p>
        </w:tc>
        <w:tc>
          <w:tcPr>
            <w:tcW w:w="3318" w:type="dxa"/>
          </w:tcPr>
          <w:p w14:paraId="2EDC31E9" w14:textId="77777777" w:rsidR="00F8788D" w:rsidRDefault="00F8788D" w:rsidP="002414BB">
            <w:pPr>
              <w:jc w:val="center"/>
            </w:pPr>
            <w:r>
              <w:t>Version approved by INC on 15/01/2018</w:t>
            </w:r>
          </w:p>
        </w:tc>
        <w:tc>
          <w:tcPr>
            <w:tcW w:w="2058" w:type="dxa"/>
          </w:tcPr>
          <w:p w14:paraId="50737370" w14:textId="77777777" w:rsidR="00F8788D" w:rsidRDefault="00F8788D" w:rsidP="00F8788D">
            <w:pPr>
              <w:pStyle w:val="ListParagraph"/>
              <w:numPr>
                <w:ilvl w:val="0"/>
                <w:numId w:val="18"/>
              </w:numPr>
            </w:pPr>
            <w:r>
              <w:t>Viaene</w:t>
            </w:r>
          </w:p>
        </w:tc>
      </w:tr>
      <w:tr w:rsidR="00F8788D" w14:paraId="073BFF7F" w14:textId="77777777" w:rsidTr="002414BB">
        <w:tc>
          <w:tcPr>
            <w:tcW w:w="1226" w:type="dxa"/>
          </w:tcPr>
          <w:p w14:paraId="0E327515" w14:textId="77777777" w:rsidR="00F8788D" w:rsidRDefault="00F8788D" w:rsidP="002414BB"/>
        </w:tc>
        <w:tc>
          <w:tcPr>
            <w:tcW w:w="1688" w:type="dxa"/>
          </w:tcPr>
          <w:p w14:paraId="40C251B7" w14:textId="77777777" w:rsidR="00F8788D" w:rsidRDefault="00F8788D" w:rsidP="002414BB"/>
        </w:tc>
        <w:tc>
          <w:tcPr>
            <w:tcW w:w="3318" w:type="dxa"/>
          </w:tcPr>
          <w:p w14:paraId="79C59DF6" w14:textId="77777777" w:rsidR="00F8788D" w:rsidRDefault="00F8788D" w:rsidP="002414BB"/>
        </w:tc>
        <w:tc>
          <w:tcPr>
            <w:tcW w:w="2058" w:type="dxa"/>
          </w:tcPr>
          <w:p w14:paraId="2D49E752" w14:textId="77777777" w:rsidR="00F8788D" w:rsidRDefault="00F8788D" w:rsidP="002414BB"/>
        </w:tc>
      </w:tr>
      <w:tr w:rsidR="00F8788D" w14:paraId="5C70F0F4" w14:textId="77777777" w:rsidTr="002414BB">
        <w:tc>
          <w:tcPr>
            <w:tcW w:w="1226" w:type="dxa"/>
          </w:tcPr>
          <w:p w14:paraId="23C56249" w14:textId="77777777" w:rsidR="00F8788D" w:rsidRDefault="00F8788D" w:rsidP="002414BB"/>
        </w:tc>
        <w:tc>
          <w:tcPr>
            <w:tcW w:w="1688" w:type="dxa"/>
          </w:tcPr>
          <w:p w14:paraId="6658585E" w14:textId="77777777" w:rsidR="00F8788D" w:rsidRDefault="00F8788D" w:rsidP="002414BB"/>
        </w:tc>
        <w:tc>
          <w:tcPr>
            <w:tcW w:w="3318" w:type="dxa"/>
          </w:tcPr>
          <w:p w14:paraId="664303C9" w14:textId="77777777" w:rsidR="00F8788D" w:rsidRDefault="00F8788D" w:rsidP="002414BB"/>
        </w:tc>
        <w:tc>
          <w:tcPr>
            <w:tcW w:w="2058" w:type="dxa"/>
          </w:tcPr>
          <w:p w14:paraId="33F5169A" w14:textId="77777777" w:rsidR="00F8788D" w:rsidRDefault="00F8788D" w:rsidP="002414BB"/>
        </w:tc>
      </w:tr>
      <w:tr w:rsidR="00F8788D" w14:paraId="0AC8B66B" w14:textId="77777777" w:rsidTr="002414BB">
        <w:tc>
          <w:tcPr>
            <w:tcW w:w="1226" w:type="dxa"/>
          </w:tcPr>
          <w:p w14:paraId="73D8A6C4" w14:textId="77777777" w:rsidR="00F8788D" w:rsidRDefault="00F8788D" w:rsidP="002414BB"/>
        </w:tc>
        <w:tc>
          <w:tcPr>
            <w:tcW w:w="1688" w:type="dxa"/>
          </w:tcPr>
          <w:p w14:paraId="59829D25" w14:textId="77777777" w:rsidR="00F8788D" w:rsidRDefault="00F8788D" w:rsidP="002414BB"/>
        </w:tc>
        <w:tc>
          <w:tcPr>
            <w:tcW w:w="3318" w:type="dxa"/>
          </w:tcPr>
          <w:p w14:paraId="02D37CAC" w14:textId="77777777" w:rsidR="00F8788D" w:rsidRDefault="00F8788D" w:rsidP="002414BB"/>
        </w:tc>
        <w:tc>
          <w:tcPr>
            <w:tcW w:w="2058" w:type="dxa"/>
          </w:tcPr>
          <w:p w14:paraId="06627900" w14:textId="77777777" w:rsidR="00F8788D" w:rsidRDefault="00F8788D" w:rsidP="002414BB"/>
        </w:tc>
      </w:tr>
      <w:tr w:rsidR="00F8788D" w14:paraId="6BE91B38" w14:textId="77777777" w:rsidTr="002414BB">
        <w:tc>
          <w:tcPr>
            <w:tcW w:w="1226" w:type="dxa"/>
          </w:tcPr>
          <w:p w14:paraId="510AE0EE" w14:textId="77777777" w:rsidR="00F8788D" w:rsidRDefault="00F8788D" w:rsidP="002414BB"/>
        </w:tc>
        <w:tc>
          <w:tcPr>
            <w:tcW w:w="1688" w:type="dxa"/>
          </w:tcPr>
          <w:p w14:paraId="2963F2A4" w14:textId="77777777" w:rsidR="00F8788D" w:rsidRDefault="00F8788D" w:rsidP="002414BB"/>
        </w:tc>
        <w:tc>
          <w:tcPr>
            <w:tcW w:w="3318" w:type="dxa"/>
          </w:tcPr>
          <w:p w14:paraId="7A604AE7" w14:textId="77777777" w:rsidR="00F8788D" w:rsidRDefault="00F8788D" w:rsidP="002414BB"/>
        </w:tc>
        <w:tc>
          <w:tcPr>
            <w:tcW w:w="2058" w:type="dxa"/>
          </w:tcPr>
          <w:p w14:paraId="5B266B24" w14:textId="77777777" w:rsidR="00F8788D" w:rsidRDefault="00F8788D" w:rsidP="002414BB"/>
        </w:tc>
      </w:tr>
      <w:tr w:rsidR="00F8788D" w14:paraId="4F167356" w14:textId="77777777" w:rsidTr="002414BB">
        <w:tc>
          <w:tcPr>
            <w:tcW w:w="1226" w:type="dxa"/>
          </w:tcPr>
          <w:p w14:paraId="68C616B2" w14:textId="77777777" w:rsidR="00F8788D" w:rsidRDefault="00F8788D" w:rsidP="002414BB"/>
        </w:tc>
        <w:tc>
          <w:tcPr>
            <w:tcW w:w="1688" w:type="dxa"/>
          </w:tcPr>
          <w:p w14:paraId="1261A57A" w14:textId="77777777" w:rsidR="00F8788D" w:rsidRDefault="00F8788D" w:rsidP="002414BB"/>
        </w:tc>
        <w:tc>
          <w:tcPr>
            <w:tcW w:w="3318" w:type="dxa"/>
          </w:tcPr>
          <w:p w14:paraId="4715E1A2" w14:textId="77777777" w:rsidR="00F8788D" w:rsidRDefault="00F8788D" w:rsidP="002414BB"/>
        </w:tc>
        <w:tc>
          <w:tcPr>
            <w:tcW w:w="2058" w:type="dxa"/>
          </w:tcPr>
          <w:p w14:paraId="2D7DD30D" w14:textId="77777777" w:rsidR="00F8788D" w:rsidRDefault="00F8788D" w:rsidP="002414BB"/>
        </w:tc>
      </w:tr>
      <w:tr w:rsidR="00F8788D" w14:paraId="54AFE899" w14:textId="77777777" w:rsidTr="002414BB">
        <w:tc>
          <w:tcPr>
            <w:tcW w:w="1226" w:type="dxa"/>
          </w:tcPr>
          <w:p w14:paraId="2B538D60" w14:textId="77777777" w:rsidR="00F8788D" w:rsidRDefault="00F8788D" w:rsidP="002414BB"/>
        </w:tc>
        <w:tc>
          <w:tcPr>
            <w:tcW w:w="1688" w:type="dxa"/>
          </w:tcPr>
          <w:p w14:paraId="3F635B44" w14:textId="77777777" w:rsidR="00F8788D" w:rsidRDefault="00F8788D" w:rsidP="002414BB"/>
        </w:tc>
        <w:tc>
          <w:tcPr>
            <w:tcW w:w="3318" w:type="dxa"/>
          </w:tcPr>
          <w:p w14:paraId="61B10CCD" w14:textId="77777777" w:rsidR="00F8788D" w:rsidRDefault="00F8788D" w:rsidP="002414BB"/>
        </w:tc>
        <w:tc>
          <w:tcPr>
            <w:tcW w:w="2058" w:type="dxa"/>
          </w:tcPr>
          <w:p w14:paraId="60451127" w14:textId="77777777" w:rsidR="00F8788D" w:rsidRDefault="00F8788D" w:rsidP="002414BB"/>
        </w:tc>
      </w:tr>
      <w:tr w:rsidR="00F8788D" w14:paraId="22B6BFC6" w14:textId="77777777" w:rsidTr="002414BB">
        <w:tc>
          <w:tcPr>
            <w:tcW w:w="1226" w:type="dxa"/>
          </w:tcPr>
          <w:p w14:paraId="7B7B10D7" w14:textId="77777777" w:rsidR="00F8788D" w:rsidRDefault="00F8788D" w:rsidP="002414BB"/>
        </w:tc>
        <w:tc>
          <w:tcPr>
            <w:tcW w:w="1688" w:type="dxa"/>
          </w:tcPr>
          <w:p w14:paraId="3B421173" w14:textId="77777777" w:rsidR="00F8788D" w:rsidRDefault="00F8788D" w:rsidP="002414BB"/>
        </w:tc>
        <w:tc>
          <w:tcPr>
            <w:tcW w:w="3318" w:type="dxa"/>
          </w:tcPr>
          <w:p w14:paraId="70A440AA" w14:textId="77777777" w:rsidR="00F8788D" w:rsidRDefault="00F8788D" w:rsidP="002414BB"/>
        </w:tc>
        <w:tc>
          <w:tcPr>
            <w:tcW w:w="2058" w:type="dxa"/>
          </w:tcPr>
          <w:p w14:paraId="6851BC6E" w14:textId="77777777" w:rsidR="00F8788D" w:rsidRDefault="00F8788D" w:rsidP="002414BB"/>
        </w:tc>
      </w:tr>
      <w:tr w:rsidR="00F8788D" w14:paraId="4560D65E" w14:textId="77777777" w:rsidTr="002414BB">
        <w:tc>
          <w:tcPr>
            <w:tcW w:w="1226" w:type="dxa"/>
          </w:tcPr>
          <w:p w14:paraId="57E7D36A" w14:textId="77777777" w:rsidR="00F8788D" w:rsidRDefault="00F8788D" w:rsidP="002414BB"/>
        </w:tc>
        <w:tc>
          <w:tcPr>
            <w:tcW w:w="1688" w:type="dxa"/>
          </w:tcPr>
          <w:p w14:paraId="73A66418" w14:textId="77777777" w:rsidR="00F8788D" w:rsidRDefault="00F8788D" w:rsidP="002414BB"/>
        </w:tc>
        <w:tc>
          <w:tcPr>
            <w:tcW w:w="3318" w:type="dxa"/>
          </w:tcPr>
          <w:p w14:paraId="515ADDB6" w14:textId="77777777" w:rsidR="00F8788D" w:rsidRDefault="00F8788D" w:rsidP="002414BB"/>
        </w:tc>
        <w:tc>
          <w:tcPr>
            <w:tcW w:w="2058" w:type="dxa"/>
          </w:tcPr>
          <w:p w14:paraId="25F865A9" w14:textId="77777777" w:rsidR="00F8788D" w:rsidRDefault="00F8788D" w:rsidP="002414BB"/>
        </w:tc>
      </w:tr>
      <w:tr w:rsidR="00F8788D" w14:paraId="52145186" w14:textId="77777777" w:rsidTr="002414BB">
        <w:tc>
          <w:tcPr>
            <w:tcW w:w="1226" w:type="dxa"/>
          </w:tcPr>
          <w:p w14:paraId="2F0CA30D" w14:textId="77777777" w:rsidR="00F8788D" w:rsidRDefault="00F8788D" w:rsidP="002414BB"/>
        </w:tc>
        <w:tc>
          <w:tcPr>
            <w:tcW w:w="1688" w:type="dxa"/>
          </w:tcPr>
          <w:p w14:paraId="12D7E777" w14:textId="77777777" w:rsidR="00F8788D" w:rsidRDefault="00F8788D" w:rsidP="002414BB"/>
        </w:tc>
        <w:tc>
          <w:tcPr>
            <w:tcW w:w="3318" w:type="dxa"/>
          </w:tcPr>
          <w:p w14:paraId="7FD78D7A" w14:textId="77777777" w:rsidR="00F8788D" w:rsidRDefault="00F8788D" w:rsidP="002414BB"/>
        </w:tc>
        <w:tc>
          <w:tcPr>
            <w:tcW w:w="2058" w:type="dxa"/>
          </w:tcPr>
          <w:p w14:paraId="0B5B8BF1" w14:textId="77777777" w:rsidR="00F8788D" w:rsidRDefault="00F8788D" w:rsidP="002414BB"/>
        </w:tc>
      </w:tr>
      <w:tr w:rsidR="00F8788D" w14:paraId="06F4D382" w14:textId="77777777" w:rsidTr="002414BB">
        <w:tc>
          <w:tcPr>
            <w:tcW w:w="1226" w:type="dxa"/>
          </w:tcPr>
          <w:p w14:paraId="70886BA0" w14:textId="77777777" w:rsidR="00F8788D" w:rsidRDefault="00F8788D" w:rsidP="002414BB"/>
        </w:tc>
        <w:tc>
          <w:tcPr>
            <w:tcW w:w="1688" w:type="dxa"/>
          </w:tcPr>
          <w:p w14:paraId="3C95D32F" w14:textId="77777777" w:rsidR="00F8788D" w:rsidRDefault="00F8788D" w:rsidP="002414BB"/>
        </w:tc>
        <w:tc>
          <w:tcPr>
            <w:tcW w:w="3318" w:type="dxa"/>
          </w:tcPr>
          <w:p w14:paraId="5AD387DE" w14:textId="77777777" w:rsidR="00F8788D" w:rsidRDefault="00F8788D" w:rsidP="002414BB"/>
        </w:tc>
        <w:tc>
          <w:tcPr>
            <w:tcW w:w="2058" w:type="dxa"/>
          </w:tcPr>
          <w:p w14:paraId="001028AB" w14:textId="77777777" w:rsidR="00F8788D" w:rsidRDefault="00F8788D" w:rsidP="002414BB"/>
        </w:tc>
      </w:tr>
      <w:tr w:rsidR="00F8788D" w14:paraId="6938B604" w14:textId="77777777" w:rsidTr="002414BB">
        <w:tc>
          <w:tcPr>
            <w:tcW w:w="1226" w:type="dxa"/>
          </w:tcPr>
          <w:p w14:paraId="7962DC38" w14:textId="77777777" w:rsidR="00F8788D" w:rsidRDefault="00F8788D" w:rsidP="002414BB"/>
        </w:tc>
        <w:tc>
          <w:tcPr>
            <w:tcW w:w="1688" w:type="dxa"/>
          </w:tcPr>
          <w:p w14:paraId="60A74E77" w14:textId="77777777" w:rsidR="00F8788D" w:rsidRDefault="00F8788D" w:rsidP="002414BB"/>
        </w:tc>
        <w:tc>
          <w:tcPr>
            <w:tcW w:w="3318" w:type="dxa"/>
          </w:tcPr>
          <w:p w14:paraId="0D7A1841" w14:textId="77777777" w:rsidR="00F8788D" w:rsidRDefault="00F8788D" w:rsidP="002414BB"/>
        </w:tc>
        <w:tc>
          <w:tcPr>
            <w:tcW w:w="2058" w:type="dxa"/>
          </w:tcPr>
          <w:p w14:paraId="2001341B" w14:textId="77777777" w:rsidR="00F8788D" w:rsidRDefault="00F8788D" w:rsidP="002414BB"/>
        </w:tc>
      </w:tr>
      <w:tr w:rsidR="00F8788D" w14:paraId="17301233" w14:textId="77777777" w:rsidTr="002414BB">
        <w:tc>
          <w:tcPr>
            <w:tcW w:w="1226" w:type="dxa"/>
          </w:tcPr>
          <w:p w14:paraId="3FAB98DC" w14:textId="77777777" w:rsidR="00F8788D" w:rsidRDefault="00F8788D" w:rsidP="002414BB"/>
        </w:tc>
        <w:tc>
          <w:tcPr>
            <w:tcW w:w="1688" w:type="dxa"/>
          </w:tcPr>
          <w:p w14:paraId="35140EDB" w14:textId="77777777" w:rsidR="00F8788D" w:rsidRDefault="00F8788D" w:rsidP="002414BB"/>
        </w:tc>
        <w:tc>
          <w:tcPr>
            <w:tcW w:w="3318" w:type="dxa"/>
          </w:tcPr>
          <w:p w14:paraId="5D8AC6B7" w14:textId="77777777" w:rsidR="00F8788D" w:rsidRDefault="00F8788D" w:rsidP="002414BB"/>
        </w:tc>
        <w:tc>
          <w:tcPr>
            <w:tcW w:w="2058" w:type="dxa"/>
          </w:tcPr>
          <w:p w14:paraId="2FF64E8C" w14:textId="77777777" w:rsidR="00F8788D" w:rsidRDefault="00F8788D" w:rsidP="002414BB"/>
        </w:tc>
      </w:tr>
      <w:tr w:rsidR="00F8788D" w14:paraId="32597A51" w14:textId="77777777" w:rsidTr="002414BB">
        <w:tc>
          <w:tcPr>
            <w:tcW w:w="1226" w:type="dxa"/>
          </w:tcPr>
          <w:p w14:paraId="2A36F0FE" w14:textId="77777777" w:rsidR="00F8788D" w:rsidRDefault="00F8788D" w:rsidP="002414BB"/>
        </w:tc>
        <w:tc>
          <w:tcPr>
            <w:tcW w:w="1688" w:type="dxa"/>
          </w:tcPr>
          <w:p w14:paraId="18C7F82C" w14:textId="77777777" w:rsidR="00F8788D" w:rsidRDefault="00F8788D" w:rsidP="002414BB"/>
        </w:tc>
        <w:tc>
          <w:tcPr>
            <w:tcW w:w="3318" w:type="dxa"/>
          </w:tcPr>
          <w:p w14:paraId="4A8876CB" w14:textId="77777777" w:rsidR="00F8788D" w:rsidRDefault="00F8788D" w:rsidP="002414BB"/>
        </w:tc>
        <w:tc>
          <w:tcPr>
            <w:tcW w:w="2058" w:type="dxa"/>
          </w:tcPr>
          <w:p w14:paraId="7042162C" w14:textId="77777777" w:rsidR="00F8788D" w:rsidRDefault="00F8788D" w:rsidP="002414BB"/>
        </w:tc>
      </w:tr>
      <w:tr w:rsidR="00F8788D" w14:paraId="5B3EDD9D" w14:textId="77777777" w:rsidTr="002414BB">
        <w:tc>
          <w:tcPr>
            <w:tcW w:w="1226" w:type="dxa"/>
          </w:tcPr>
          <w:p w14:paraId="2DB6314C" w14:textId="77777777" w:rsidR="00F8788D" w:rsidRDefault="00F8788D" w:rsidP="002414BB"/>
        </w:tc>
        <w:tc>
          <w:tcPr>
            <w:tcW w:w="1688" w:type="dxa"/>
          </w:tcPr>
          <w:p w14:paraId="418DE91B" w14:textId="77777777" w:rsidR="00F8788D" w:rsidRDefault="00F8788D" w:rsidP="002414BB"/>
        </w:tc>
        <w:tc>
          <w:tcPr>
            <w:tcW w:w="3318" w:type="dxa"/>
          </w:tcPr>
          <w:p w14:paraId="7C3488FF" w14:textId="77777777" w:rsidR="00F8788D" w:rsidRDefault="00F8788D" w:rsidP="002414BB"/>
        </w:tc>
        <w:tc>
          <w:tcPr>
            <w:tcW w:w="2058" w:type="dxa"/>
          </w:tcPr>
          <w:p w14:paraId="067896D3" w14:textId="77777777" w:rsidR="00F8788D" w:rsidRDefault="00F8788D" w:rsidP="002414BB"/>
        </w:tc>
      </w:tr>
      <w:tr w:rsidR="00F8788D" w14:paraId="36AFEAB7" w14:textId="77777777" w:rsidTr="002414BB">
        <w:tc>
          <w:tcPr>
            <w:tcW w:w="1226" w:type="dxa"/>
          </w:tcPr>
          <w:p w14:paraId="15C8BC62" w14:textId="77777777" w:rsidR="00F8788D" w:rsidRDefault="00F8788D" w:rsidP="002414BB"/>
        </w:tc>
        <w:tc>
          <w:tcPr>
            <w:tcW w:w="1688" w:type="dxa"/>
          </w:tcPr>
          <w:p w14:paraId="50EFC81A" w14:textId="77777777" w:rsidR="00F8788D" w:rsidRDefault="00F8788D" w:rsidP="002414BB"/>
        </w:tc>
        <w:tc>
          <w:tcPr>
            <w:tcW w:w="3318" w:type="dxa"/>
          </w:tcPr>
          <w:p w14:paraId="19DC78BF" w14:textId="77777777" w:rsidR="00F8788D" w:rsidRDefault="00F8788D" w:rsidP="002414BB"/>
        </w:tc>
        <w:tc>
          <w:tcPr>
            <w:tcW w:w="2058" w:type="dxa"/>
          </w:tcPr>
          <w:p w14:paraId="3A10EF0F" w14:textId="77777777" w:rsidR="00F8788D" w:rsidRDefault="00F8788D" w:rsidP="002414BB"/>
        </w:tc>
      </w:tr>
    </w:tbl>
    <w:p w14:paraId="15CC4746" w14:textId="77777777" w:rsidR="00F8788D" w:rsidRDefault="00F8788D" w:rsidP="002414BB">
      <w:pPr>
        <w:jc w:val="both"/>
        <w:rPr>
          <w:rFonts w:cs="Arial"/>
        </w:rPr>
      </w:pPr>
      <w:bookmarkStart w:id="49" w:name="_Toc498521567"/>
      <w:bookmarkStart w:id="50" w:name="_Toc500406830"/>
      <w:bookmarkStart w:id="51" w:name="_Ref500429465"/>
      <w:bookmarkStart w:id="52" w:name="_Toc502851217"/>
    </w:p>
    <w:p w14:paraId="58D70545" w14:textId="77777777" w:rsidR="00F8788D" w:rsidRDefault="00F8788D">
      <w:pPr>
        <w:rPr>
          <w:rFonts w:cs="Arial"/>
        </w:rPr>
      </w:pPr>
      <w:r>
        <w:rPr>
          <w:rFonts w:cs="Arial"/>
        </w:rPr>
        <w:br w:type="page"/>
      </w:r>
    </w:p>
    <w:p w14:paraId="4BF214C9" w14:textId="77777777" w:rsidR="00F8788D" w:rsidRPr="00A426FC" w:rsidRDefault="00F8788D" w:rsidP="002414BB">
      <w:pPr>
        <w:jc w:val="both"/>
        <w:rPr>
          <w:rFonts w:cs="Arial"/>
        </w:rPr>
      </w:pPr>
    </w:p>
    <w:p w14:paraId="2114525D" w14:textId="77777777" w:rsidR="00F8788D" w:rsidRDefault="00F8788D" w:rsidP="002414BB">
      <w:pPr>
        <w:pStyle w:val="Heading3"/>
        <w:ind w:left="720" w:hanging="720"/>
      </w:pPr>
      <w:bookmarkStart w:id="53" w:name="_Toc507425385"/>
      <w:r>
        <w:t xml:space="preserve">Description </w:t>
      </w:r>
      <w:r w:rsidRPr="00066DE9">
        <w:t>Flow Calculation</w:t>
      </w:r>
      <w:r>
        <w:t xml:space="preserve"> between NEMO Trading Hubs (NTHs)</w:t>
      </w:r>
      <w:bookmarkEnd w:id="49"/>
      <w:bookmarkEnd w:id="50"/>
      <w:bookmarkEnd w:id="51"/>
      <w:bookmarkEnd w:id="52"/>
      <w:bookmarkEnd w:id="53"/>
    </w:p>
    <w:p w14:paraId="23A8907B" w14:textId="77777777" w:rsidR="00F8788D" w:rsidRDefault="00F8788D" w:rsidP="002414BB"/>
    <w:p w14:paraId="14BB783B" w14:textId="77777777" w:rsidR="00F8788D" w:rsidRDefault="00F8788D" w:rsidP="002414BB">
      <w:pPr>
        <w:jc w:val="both"/>
      </w:pPr>
      <w:r>
        <w:t xml:space="preserve">The Flow Calculation between NTHs, also called INFC (for </w:t>
      </w:r>
      <w:r w:rsidRPr="008614C9">
        <w:rPr>
          <w:i/>
        </w:rPr>
        <w:t>Inter-NEMO Flow Calculation</w:t>
      </w:r>
      <w:r>
        <w:t>), aims at determining the proper quantities to be exchanged between NEMO trading hubs. It is required for:</w:t>
      </w:r>
    </w:p>
    <w:p w14:paraId="77003617" w14:textId="77777777" w:rsidR="00F8788D" w:rsidRDefault="00F8788D" w:rsidP="00F8788D">
      <w:pPr>
        <w:pStyle w:val="ListParagraph"/>
        <w:numPr>
          <w:ilvl w:val="0"/>
          <w:numId w:val="14"/>
        </w:numPr>
      </w:pPr>
      <w:r>
        <w:t>Physical shipping as it shall equilibrate with cross-border exchanges</w:t>
      </w:r>
    </w:p>
    <w:p w14:paraId="5E27F535" w14:textId="77777777" w:rsidR="00F8788D" w:rsidRDefault="00F8788D" w:rsidP="00F8788D">
      <w:pPr>
        <w:pStyle w:val="ListParagraph"/>
        <w:numPr>
          <w:ilvl w:val="0"/>
          <w:numId w:val="14"/>
        </w:numPr>
      </w:pPr>
      <w:r>
        <w:t>The determination of cross-clearing exchanges at financial settlement stage</w:t>
      </w:r>
    </w:p>
    <w:p w14:paraId="3DF6DEFA" w14:textId="77777777" w:rsidR="00F8788D" w:rsidRDefault="00F8788D" w:rsidP="002414BB">
      <w:pPr>
        <w:jc w:val="both"/>
      </w:pPr>
    </w:p>
    <w:p w14:paraId="42D4E5CD" w14:textId="77777777" w:rsidR="00F8788D" w:rsidRDefault="00F8788D" w:rsidP="002414BB">
      <w:pPr>
        <w:jc w:val="both"/>
      </w:pPr>
      <w:r>
        <w:t>The INFC model takes into account several types of input data:</w:t>
      </w:r>
    </w:p>
    <w:p w14:paraId="7C80C029" w14:textId="77777777" w:rsidR="00F8788D" w:rsidRDefault="00F8788D" w:rsidP="00F8788D">
      <w:pPr>
        <w:pStyle w:val="ListParagraph"/>
        <w:numPr>
          <w:ilvl w:val="0"/>
          <w:numId w:val="14"/>
        </w:numPr>
        <w:jc w:val="both"/>
      </w:pPr>
      <w:r>
        <w:t>The set of NTH net position values, already computed</w:t>
      </w:r>
    </w:p>
    <w:p w14:paraId="7258EB2A" w14:textId="77777777" w:rsidR="00F8788D" w:rsidRDefault="00F8788D" w:rsidP="00F8788D">
      <w:pPr>
        <w:pStyle w:val="ListParagraph"/>
        <w:numPr>
          <w:ilvl w:val="0"/>
          <w:numId w:val="14"/>
        </w:numPr>
        <w:jc w:val="both"/>
      </w:pPr>
      <w:r>
        <w:t>The zonal clearing prices, already computed</w:t>
      </w:r>
    </w:p>
    <w:p w14:paraId="58429747" w14:textId="77777777" w:rsidR="00F8788D" w:rsidRDefault="00F8788D" w:rsidP="00F8788D">
      <w:pPr>
        <w:pStyle w:val="ListParagraph"/>
        <w:numPr>
          <w:ilvl w:val="0"/>
          <w:numId w:val="14"/>
        </w:numPr>
        <w:jc w:val="both"/>
      </w:pPr>
      <w:r>
        <w:t>The set of scheduling area flow values, already computed</w:t>
      </w:r>
    </w:p>
    <w:p w14:paraId="0DB263BA" w14:textId="77777777" w:rsidR="00F8788D" w:rsidRDefault="00F8788D" w:rsidP="00F8788D">
      <w:pPr>
        <w:pStyle w:val="ListParagraph"/>
        <w:numPr>
          <w:ilvl w:val="0"/>
          <w:numId w:val="14"/>
        </w:numPr>
        <w:jc w:val="both"/>
      </w:pPr>
      <w:r>
        <w:t>The topology connecting NTHs together, i.e. the set of inter-NTH lines and their associated properties (cost coefficients), provided as input data</w:t>
      </w:r>
    </w:p>
    <w:p w14:paraId="0FA87D63" w14:textId="77777777" w:rsidR="00F8788D" w:rsidRDefault="00F8788D" w:rsidP="002414BB"/>
    <w:p w14:paraId="4DDEF5E3" w14:textId="77777777" w:rsidR="00F8788D" w:rsidRPr="00B4474A" w:rsidRDefault="00F8788D" w:rsidP="002414BB">
      <w:pPr>
        <w:jc w:val="both"/>
        <w:rPr>
          <w:b/>
        </w:rPr>
      </w:pPr>
      <w:r w:rsidRPr="00B4474A">
        <w:rPr>
          <w:b/>
        </w:rPr>
        <w:t xml:space="preserve">Optimization principle </w:t>
      </w:r>
    </w:p>
    <w:p w14:paraId="7D8BE4C5" w14:textId="77777777" w:rsidR="00F8788D" w:rsidRDefault="00F8788D" w:rsidP="002414BB">
      <w:pPr>
        <w:jc w:val="both"/>
      </w:pPr>
    </w:p>
    <w:p w14:paraId="7AD45B90" w14:textId="77777777" w:rsidR="00F8788D" w:rsidRDefault="00F8788D" w:rsidP="002414BB">
      <w:pPr>
        <w:jc w:val="both"/>
      </w:pPr>
      <w:r>
        <w:t xml:space="preserve">The INFC aims at determining the optimal flows between NTHs. To do so, it considers a criterion called </w:t>
      </w:r>
      <w:r w:rsidRPr="003A419E">
        <w:rPr>
          <w:i/>
        </w:rPr>
        <w:t>financial exposure</w:t>
      </w:r>
      <w:r>
        <w:t xml:space="preserve"> between NEMOs (or more precisely between their associated central counterparty clearing houses</w:t>
      </w:r>
      <w:r>
        <w:rPr>
          <w:rStyle w:val="FootnoteReference"/>
        </w:rPr>
        <w:footnoteReference w:id="7"/>
      </w:r>
      <w:r>
        <w:t>, or CCPs), which tries to be minimized equally among NEMOs. The exposure minimization approach aims at securing the day-ahead market coupling by limiting the effective financial exchanges between distinct CCPs, in order to prevent the collateral limits to be breached in exceptional cases.</w:t>
      </w:r>
    </w:p>
    <w:p w14:paraId="3FC9A936" w14:textId="77777777" w:rsidR="00F8788D" w:rsidRDefault="00F8788D" w:rsidP="002414BB"/>
    <w:p w14:paraId="366D46DF" w14:textId="77777777" w:rsidR="00F8788D" w:rsidRDefault="00F8788D" w:rsidP="002414BB">
      <w:r>
        <w:t xml:space="preserve">First, the </w:t>
      </w:r>
      <w:r w:rsidRPr="003A419E">
        <w:rPr>
          <w:i/>
        </w:rPr>
        <w:t>net exposure</w:t>
      </w:r>
      <w:r>
        <w:t xml:space="preserve"> term </w:t>
      </w:r>
      <m:oMath>
        <m:r>
          <w:rPr>
            <w:rFonts w:ascii="Cambria Math" w:hAnsi="Cambria Math"/>
          </w:rPr>
          <m:t>NE</m:t>
        </m:r>
      </m:oMath>
      <w:r>
        <w:t xml:space="preserve"> between each pair of CCPs </w:t>
      </w:r>
      <m:oMath>
        <m:r>
          <w:rPr>
            <w:rFonts w:ascii="Cambria Math" w:hAnsi="Cambria Math"/>
          </w:rPr>
          <m:t>(A,B)</m:t>
        </m:r>
      </m:oMath>
      <w:r>
        <w:t xml:space="preserve"> is expressed as follows:</w:t>
      </w:r>
    </w:p>
    <w:p w14:paraId="1944B314" w14:textId="77777777" w:rsidR="00F8788D" w:rsidRPr="00330D46" w:rsidRDefault="00FC1305" w:rsidP="002414BB">
      <w:pPr>
        <w:rPr>
          <w:rFonts w:ascii="Cambria Math" w:hAnsi="Cambria Math"/>
          <w:i/>
        </w:rPr>
      </w:pPr>
      <m:oMathPara>
        <m:oMathParaPr>
          <m:jc m:val="centerGroup"/>
        </m:oMathParaPr>
        <m:oMath>
          <m:sSub>
            <m:sSubPr>
              <m:ctrlPr>
                <w:rPr>
                  <w:rFonts w:ascii="Cambria Math" w:hAnsi="Cambria Math"/>
                  <w:i/>
                  <w:iCs/>
                  <w:lang w:val="fr-FR"/>
                </w:rPr>
              </m:ctrlPr>
            </m:sSubPr>
            <m:e>
              <m:r>
                <w:rPr>
                  <w:rFonts w:ascii="Cambria Math" w:hAnsi="Cambria Math"/>
                  <w:lang w:val="fr-FR"/>
                </w:rPr>
                <m:t>NE</m:t>
              </m:r>
            </m:e>
            <m:sub>
              <m:r>
                <w:rPr>
                  <w:rFonts w:ascii="Cambria Math" w:hAnsi="Cambria Math"/>
                  <w:lang w:val="fr-FR"/>
                </w:rPr>
                <m:t>A|B</m:t>
              </m:r>
            </m:sub>
          </m:sSub>
          <m:r>
            <w:rPr>
              <w:rFonts w:ascii="Cambria Math" w:hAnsi="Cambria Math"/>
              <w:lang w:val="fr-FR"/>
            </w:rPr>
            <m:t>=</m:t>
          </m:r>
          <m:nary>
            <m:naryPr>
              <m:chr m:val="∑"/>
              <m:supHide m:val="1"/>
              <m:ctrlPr>
                <w:rPr>
                  <w:rFonts w:ascii="Cambria Math" w:hAnsi="Cambria Math"/>
                  <w:i/>
                  <w:iCs/>
                  <w:lang w:val="fr-FR"/>
                </w:rPr>
              </m:ctrlPr>
            </m:naryPr>
            <m:sub>
              <m:r>
                <w:rPr>
                  <w:rFonts w:ascii="Cambria Math" w:hAnsi="Cambria Math"/>
                  <w:lang w:val="fr-FR"/>
                </w:rPr>
                <m:t>h ∈ H</m:t>
              </m:r>
            </m:sub>
            <m:sup/>
            <m:e>
              <m:r>
                <w:rPr>
                  <w:rFonts w:ascii="Cambria Math" w:hAnsi="Cambria Math"/>
                  <w:lang w:val="fr-FR"/>
                </w:rPr>
                <m:t>  </m:t>
              </m:r>
              <m:nary>
                <m:naryPr>
                  <m:chr m:val="∑"/>
                  <m:supHide m:val="1"/>
                  <m:ctrlPr>
                    <w:rPr>
                      <w:rFonts w:ascii="Cambria Math" w:hAnsi="Cambria Math"/>
                      <w:i/>
                      <w:iCs/>
                      <w:lang w:val="fr-FR"/>
                    </w:rPr>
                  </m:ctrlPr>
                </m:naryPr>
                <m:sub>
                  <m:r>
                    <w:rPr>
                      <w:rFonts w:ascii="Cambria Math" w:hAnsi="Cambria Math"/>
                      <w:lang w:val="fr-FR"/>
                    </w:rPr>
                    <m:t>l=</m:t>
                  </m:r>
                  <m:d>
                    <m:dPr>
                      <m:ctrlPr>
                        <w:rPr>
                          <w:rFonts w:ascii="Cambria Math" w:hAnsi="Cambria Math"/>
                          <w:i/>
                          <w:iCs/>
                          <w:lang w:val="fr-FR"/>
                        </w:rPr>
                      </m:ctrlPr>
                    </m:dPr>
                    <m:e>
                      <m:sSub>
                        <m:sSubPr>
                          <m:ctrlPr>
                            <w:rPr>
                              <w:rFonts w:ascii="Cambria Math" w:hAnsi="Cambria Math"/>
                              <w:i/>
                              <w:iCs/>
                              <w:lang w:val="fr-FR"/>
                            </w:rPr>
                          </m:ctrlPr>
                        </m:sSubPr>
                        <m:e>
                          <m:r>
                            <w:rPr>
                              <w:rFonts w:ascii="Cambria Math" w:hAnsi="Cambria Math"/>
                              <w:lang w:val="fr-FR"/>
                            </w:rPr>
                            <m:t>n</m:t>
                          </m:r>
                        </m:e>
                        <m:sub>
                          <m:r>
                            <w:rPr>
                              <w:rFonts w:ascii="Cambria Math" w:hAnsi="Cambria Math"/>
                              <w:lang w:val="fr-FR"/>
                            </w:rPr>
                            <m:t>1</m:t>
                          </m:r>
                        </m:sub>
                      </m:sSub>
                      <m:r>
                        <w:rPr>
                          <w:rFonts w:ascii="Cambria Math" w:hAnsi="Cambria Math"/>
                          <w:lang w:val="fr-FR"/>
                        </w:rPr>
                        <m:t>,</m:t>
                      </m:r>
                      <m:sSub>
                        <m:sSubPr>
                          <m:ctrlPr>
                            <w:rPr>
                              <w:rFonts w:ascii="Cambria Math" w:hAnsi="Cambria Math"/>
                              <w:i/>
                              <w:iCs/>
                              <w:lang w:val="fr-FR"/>
                            </w:rPr>
                          </m:ctrlPr>
                        </m:sSubPr>
                        <m:e>
                          <m:r>
                            <w:rPr>
                              <w:rFonts w:ascii="Cambria Math" w:hAnsi="Cambria Math"/>
                              <w:lang w:val="fr-FR"/>
                            </w:rPr>
                            <m:t>n</m:t>
                          </m:r>
                        </m:e>
                        <m:sub>
                          <m:r>
                            <w:rPr>
                              <w:rFonts w:ascii="Cambria Math" w:hAnsi="Cambria Math"/>
                              <w:lang w:val="fr-FR"/>
                            </w:rPr>
                            <m:t>2</m:t>
                          </m:r>
                        </m:sub>
                      </m:sSub>
                    </m:e>
                  </m:d>
                  <m:r>
                    <w:rPr>
                      <w:rFonts w:ascii="Cambria Math" w:hAnsi="Cambria Math"/>
                      <w:lang w:val="fr-FR"/>
                    </w:rPr>
                    <m:t> ∈ </m:t>
                  </m:r>
                  <m:sSub>
                    <m:sSubPr>
                      <m:ctrlPr>
                        <w:rPr>
                          <w:rFonts w:ascii="Cambria Math" w:hAnsi="Cambria Math"/>
                          <w:i/>
                          <w:iCs/>
                          <w:lang w:val="fr-FR"/>
                        </w:rPr>
                      </m:ctrlPr>
                    </m:sSubPr>
                    <m:e>
                      <m:r>
                        <w:rPr>
                          <w:rFonts w:ascii="Cambria Math" w:hAnsi="Cambria Math"/>
                          <w:lang w:val="fr-FR"/>
                        </w:rPr>
                        <m:t>L</m:t>
                      </m:r>
                    </m:e>
                    <m:sub>
                      <m:r>
                        <w:rPr>
                          <w:rFonts w:ascii="Cambria Math" w:hAnsi="Cambria Math"/>
                          <w:lang w:val="fr-FR"/>
                        </w:rPr>
                        <m:t>A,B</m:t>
                      </m:r>
                    </m:sub>
                  </m:sSub>
                </m:sub>
                <m:sup/>
                <m:e>
                  <m:sSubSup>
                    <m:sSubSupPr>
                      <m:ctrlPr>
                        <w:rPr>
                          <w:rFonts w:ascii="Cambria Math" w:hAnsi="Cambria Math"/>
                          <w:i/>
                          <w:iCs/>
                          <w:lang w:val="fr-FR"/>
                        </w:rPr>
                      </m:ctrlPr>
                    </m:sSubSupPr>
                    <m:e>
                      <m:r>
                        <w:rPr>
                          <w:rFonts w:ascii="Cambria Math" w:hAnsi="Cambria Math"/>
                          <w:lang w:val="fr-FR"/>
                        </w:rPr>
                        <m:t>P</m:t>
                      </m:r>
                    </m:e>
                    <m:sub>
                      <m:sSub>
                        <m:sSubPr>
                          <m:ctrlPr>
                            <w:rPr>
                              <w:rFonts w:ascii="Cambria Math" w:hAnsi="Cambria Math"/>
                              <w:i/>
                              <w:iCs/>
                              <w:lang w:val="fr-FR"/>
                            </w:rPr>
                          </m:ctrlPr>
                        </m:sSubPr>
                        <m:e>
                          <m:r>
                            <w:rPr>
                              <w:rFonts w:ascii="Cambria Math" w:hAnsi="Cambria Math"/>
                              <w:lang w:val="fr-FR"/>
                            </w:rPr>
                            <m:t>n</m:t>
                          </m:r>
                        </m:e>
                        <m:sub>
                          <m:r>
                            <w:rPr>
                              <w:rFonts w:ascii="Cambria Math" w:hAnsi="Cambria Math"/>
                              <w:lang w:val="fr-FR"/>
                            </w:rPr>
                            <m:t>2</m:t>
                          </m:r>
                        </m:sub>
                      </m:sSub>
                    </m:sub>
                    <m:sup>
                      <m:r>
                        <w:rPr>
                          <w:rFonts w:ascii="Cambria Math" w:hAnsi="Cambria Math"/>
                          <w:lang w:val="fr-FR"/>
                        </w:rPr>
                        <m:t>h</m:t>
                      </m:r>
                    </m:sup>
                  </m:sSubSup>
                  <m:r>
                    <w:rPr>
                      <w:rFonts w:ascii="Cambria Math" w:hAnsi="Cambria Math"/>
                      <w:lang w:val="fr-FR"/>
                    </w:rPr>
                    <m:t>*</m:t>
                  </m:r>
                  <m:sSubSup>
                    <m:sSubSupPr>
                      <m:ctrlPr>
                        <w:rPr>
                          <w:rFonts w:ascii="Cambria Math" w:hAnsi="Cambria Math"/>
                          <w:i/>
                          <w:iCs/>
                          <w:lang w:val="fr-FR"/>
                        </w:rPr>
                      </m:ctrlPr>
                    </m:sSubSupPr>
                    <m:e>
                      <m:r>
                        <w:rPr>
                          <w:rFonts w:ascii="Cambria Math" w:hAnsi="Cambria Math"/>
                          <w:lang w:val="fr-FR"/>
                        </w:rPr>
                        <m:t>flow</m:t>
                      </m:r>
                    </m:e>
                    <m:sub>
                      <m:sSub>
                        <m:sSubPr>
                          <m:ctrlPr>
                            <w:rPr>
                              <w:rFonts w:ascii="Cambria Math" w:hAnsi="Cambria Math"/>
                              <w:i/>
                              <w:iCs/>
                              <w:lang w:val="fr-FR"/>
                            </w:rPr>
                          </m:ctrlPr>
                        </m:sSubPr>
                        <m:e>
                          <m:r>
                            <w:rPr>
                              <w:rFonts w:ascii="Cambria Math" w:hAnsi="Cambria Math"/>
                              <w:lang w:val="fr-FR"/>
                            </w:rPr>
                            <m:t>n</m:t>
                          </m:r>
                        </m:e>
                        <m:sub>
                          <m:r>
                            <w:rPr>
                              <w:rFonts w:ascii="Cambria Math" w:hAnsi="Cambria Math"/>
                              <w:lang w:val="fr-FR"/>
                            </w:rPr>
                            <m:t>1</m:t>
                          </m:r>
                        </m:sub>
                      </m:sSub>
                      <m:r>
                        <w:rPr>
                          <w:rFonts w:ascii="Cambria Math" w:hAnsi="Cambria Math"/>
                          <w:lang w:val="fr-FR"/>
                        </w:rPr>
                        <m:t>,</m:t>
                      </m:r>
                      <m:sSub>
                        <m:sSubPr>
                          <m:ctrlPr>
                            <w:rPr>
                              <w:rFonts w:ascii="Cambria Math" w:hAnsi="Cambria Math"/>
                              <w:i/>
                              <w:iCs/>
                              <w:lang w:val="fr-FR"/>
                            </w:rPr>
                          </m:ctrlPr>
                        </m:sSubPr>
                        <m:e>
                          <m:r>
                            <w:rPr>
                              <w:rFonts w:ascii="Cambria Math" w:hAnsi="Cambria Math"/>
                              <w:lang w:val="fr-FR"/>
                            </w:rPr>
                            <m:t>n</m:t>
                          </m:r>
                        </m:e>
                        <m:sub>
                          <m:r>
                            <w:rPr>
                              <w:rFonts w:ascii="Cambria Math" w:hAnsi="Cambria Math"/>
                              <w:lang w:val="fr-FR"/>
                            </w:rPr>
                            <m:t>2</m:t>
                          </m:r>
                        </m:sub>
                      </m:sSub>
                    </m:sub>
                    <m:sup>
                      <m:r>
                        <w:rPr>
                          <w:rFonts w:ascii="Cambria Math" w:hAnsi="Cambria Math"/>
                          <w:lang w:val="fr-FR"/>
                        </w:rPr>
                        <m:t>h</m:t>
                      </m:r>
                    </m:sup>
                  </m:sSubSup>
                  <m:r>
                    <w:rPr>
                      <w:rFonts w:ascii="Cambria Math" w:hAnsi="Cambria Math"/>
                      <w:lang w:val="fr-FR"/>
                    </w:rPr>
                    <m:t>-</m:t>
                  </m:r>
                  <m:sSubSup>
                    <m:sSubSupPr>
                      <m:ctrlPr>
                        <w:rPr>
                          <w:rFonts w:ascii="Cambria Math" w:hAnsi="Cambria Math"/>
                          <w:i/>
                          <w:iCs/>
                          <w:lang w:val="fr-FR"/>
                        </w:rPr>
                      </m:ctrlPr>
                    </m:sSubSupPr>
                    <m:e>
                      <m:r>
                        <w:rPr>
                          <w:rFonts w:ascii="Cambria Math" w:hAnsi="Cambria Math"/>
                          <w:lang w:val="fr-FR"/>
                        </w:rPr>
                        <m:t>P</m:t>
                      </m:r>
                    </m:e>
                    <m:sub>
                      <m:sSub>
                        <m:sSubPr>
                          <m:ctrlPr>
                            <w:rPr>
                              <w:rFonts w:ascii="Cambria Math" w:hAnsi="Cambria Math"/>
                              <w:i/>
                              <w:iCs/>
                              <w:lang w:val="fr-FR"/>
                            </w:rPr>
                          </m:ctrlPr>
                        </m:sSubPr>
                        <m:e>
                          <m:r>
                            <w:rPr>
                              <w:rFonts w:ascii="Cambria Math" w:hAnsi="Cambria Math"/>
                              <w:lang w:val="fr-FR"/>
                            </w:rPr>
                            <m:t>n</m:t>
                          </m:r>
                        </m:e>
                        <m:sub>
                          <m:r>
                            <w:rPr>
                              <w:rFonts w:ascii="Cambria Math" w:hAnsi="Cambria Math"/>
                              <w:lang w:val="fr-FR"/>
                            </w:rPr>
                            <m:t>1</m:t>
                          </m:r>
                        </m:sub>
                      </m:sSub>
                    </m:sub>
                    <m:sup>
                      <m:r>
                        <w:rPr>
                          <w:rFonts w:ascii="Cambria Math" w:hAnsi="Cambria Math"/>
                          <w:lang w:val="fr-FR"/>
                        </w:rPr>
                        <m:t>h</m:t>
                      </m:r>
                    </m:sup>
                  </m:sSubSup>
                  <m:r>
                    <w:rPr>
                      <w:rFonts w:ascii="Cambria Math" w:hAnsi="Cambria Math"/>
                      <w:lang w:val="fr-FR"/>
                    </w:rPr>
                    <m:t>*</m:t>
                  </m:r>
                  <m:sSubSup>
                    <m:sSubSupPr>
                      <m:ctrlPr>
                        <w:rPr>
                          <w:rFonts w:ascii="Cambria Math" w:hAnsi="Cambria Math"/>
                          <w:i/>
                          <w:iCs/>
                          <w:lang w:val="fr-FR"/>
                        </w:rPr>
                      </m:ctrlPr>
                    </m:sSubSupPr>
                    <m:e>
                      <m:r>
                        <w:rPr>
                          <w:rFonts w:ascii="Cambria Math" w:hAnsi="Cambria Math"/>
                          <w:lang w:val="fr-FR"/>
                        </w:rPr>
                        <m:t>flow</m:t>
                      </m:r>
                    </m:e>
                    <m:sub>
                      <m:sSub>
                        <m:sSubPr>
                          <m:ctrlPr>
                            <w:rPr>
                              <w:rFonts w:ascii="Cambria Math" w:hAnsi="Cambria Math"/>
                              <w:i/>
                              <w:iCs/>
                              <w:lang w:val="fr-FR"/>
                            </w:rPr>
                          </m:ctrlPr>
                        </m:sSubPr>
                        <m:e>
                          <m:r>
                            <w:rPr>
                              <w:rFonts w:ascii="Cambria Math" w:hAnsi="Cambria Math"/>
                              <w:lang w:val="fr-FR"/>
                            </w:rPr>
                            <m:t>n</m:t>
                          </m:r>
                        </m:e>
                        <m:sub>
                          <m:r>
                            <w:rPr>
                              <w:rFonts w:ascii="Cambria Math" w:hAnsi="Cambria Math"/>
                              <w:lang w:val="fr-FR"/>
                            </w:rPr>
                            <m:t>2</m:t>
                          </m:r>
                        </m:sub>
                      </m:sSub>
                      <m:r>
                        <w:rPr>
                          <w:rFonts w:ascii="Cambria Math" w:hAnsi="Cambria Math"/>
                          <w:lang w:val="fr-FR"/>
                        </w:rPr>
                        <m:t>,</m:t>
                      </m:r>
                      <m:sSub>
                        <m:sSubPr>
                          <m:ctrlPr>
                            <w:rPr>
                              <w:rFonts w:ascii="Cambria Math" w:hAnsi="Cambria Math"/>
                              <w:i/>
                              <w:iCs/>
                              <w:lang w:val="fr-FR"/>
                            </w:rPr>
                          </m:ctrlPr>
                        </m:sSubPr>
                        <m:e>
                          <m:r>
                            <w:rPr>
                              <w:rFonts w:ascii="Cambria Math" w:hAnsi="Cambria Math"/>
                              <w:lang w:val="fr-FR"/>
                            </w:rPr>
                            <m:t>n</m:t>
                          </m:r>
                        </m:e>
                        <m:sub>
                          <m:r>
                            <w:rPr>
                              <w:rFonts w:ascii="Cambria Math" w:hAnsi="Cambria Math"/>
                              <w:lang w:val="fr-FR"/>
                            </w:rPr>
                            <m:t>1</m:t>
                          </m:r>
                        </m:sub>
                      </m:sSub>
                    </m:sub>
                    <m:sup>
                      <m:r>
                        <w:rPr>
                          <w:rFonts w:ascii="Cambria Math" w:hAnsi="Cambria Math"/>
                          <w:lang w:val="fr-FR"/>
                        </w:rPr>
                        <m:t>h</m:t>
                      </m:r>
                    </m:sup>
                  </m:sSubSup>
                </m:e>
              </m:nary>
            </m:e>
          </m:nary>
        </m:oMath>
      </m:oMathPara>
    </w:p>
    <w:p w14:paraId="7B96C67A" w14:textId="77777777" w:rsidR="00F8788D" w:rsidRPr="00330D46" w:rsidRDefault="00FC1305" w:rsidP="002414BB">
      <w:pPr>
        <w:rPr>
          <w:rFonts w:ascii="Cambria Math" w:hAnsi="Cambria Math"/>
          <w:i/>
        </w:rPr>
      </w:pPr>
      <m:oMathPara>
        <m:oMathParaPr>
          <m:jc m:val="centerGroup"/>
        </m:oMathParaPr>
        <m:oMath>
          <m:sSub>
            <m:sSubPr>
              <m:ctrlPr>
                <w:rPr>
                  <w:rFonts w:ascii="Cambria Math" w:hAnsi="Cambria Math"/>
                  <w:i/>
                  <w:iCs/>
                  <w:lang w:val="fr-FR"/>
                </w:rPr>
              </m:ctrlPr>
            </m:sSubPr>
            <m:e>
              <m:r>
                <w:rPr>
                  <w:rFonts w:ascii="Cambria Math" w:hAnsi="Cambria Math"/>
                  <w:lang w:val="fr-FR"/>
                </w:rPr>
                <m:t>L</m:t>
              </m:r>
            </m:e>
            <m:sub>
              <m:r>
                <w:rPr>
                  <w:rFonts w:ascii="Cambria Math" w:hAnsi="Cambria Math"/>
                  <w:lang w:val="fr-FR"/>
                </w:rPr>
                <m:t>A,B</m:t>
              </m:r>
            </m:sub>
          </m:sSub>
          <m:r>
            <w:rPr>
              <w:rFonts w:ascii="Cambria Math" w:hAnsi="Cambria Math"/>
              <w:lang w:val="fr-FR"/>
            </w:rPr>
            <m:t>=</m:t>
          </m:r>
          <m:d>
            <m:dPr>
              <m:begChr m:val="{"/>
              <m:endChr m:val="}"/>
              <m:ctrlPr>
                <w:rPr>
                  <w:rFonts w:ascii="Cambria Math" w:hAnsi="Cambria Math"/>
                  <w:i/>
                  <w:iCs/>
                  <w:lang w:val="fr-FR"/>
                </w:rPr>
              </m:ctrlPr>
            </m:dPr>
            <m:e>
              <m:r>
                <w:rPr>
                  <w:rFonts w:ascii="Cambria Math" w:hAnsi="Cambria Math"/>
                  <w:lang w:val="fr-FR"/>
                </w:rPr>
                <m:t>l=</m:t>
              </m:r>
              <m:d>
                <m:dPr>
                  <m:ctrlPr>
                    <w:rPr>
                      <w:rFonts w:ascii="Cambria Math" w:hAnsi="Cambria Math"/>
                      <w:i/>
                      <w:iCs/>
                      <w:lang w:val="fr-FR"/>
                    </w:rPr>
                  </m:ctrlPr>
                </m:dPr>
                <m:e>
                  <m:sSub>
                    <m:sSubPr>
                      <m:ctrlPr>
                        <w:rPr>
                          <w:rFonts w:ascii="Cambria Math" w:hAnsi="Cambria Math"/>
                          <w:i/>
                          <w:iCs/>
                          <w:lang w:val="fr-FR"/>
                        </w:rPr>
                      </m:ctrlPr>
                    </m:sSubPr>
                    <m:e>
                      <m:r>
                        <w:rPr>
                          <w:rFonts w:ascii="Cambria Math" w:hAnsi="Cambria Math"/>
                          <w:lang w:val="fr-FR"/>
                        </w:rPr>
                        <m:t>n</m:t>
                      </m:r>
                    </m:e>
                    <m:sub>
                      <m:r>
                        <w:rPr>
                          <w:rFonts w:ascii="Cambria Math" w:hAnsi="Cambria Math"/>
                          <w:lang w:val="fr-FR"/>
                        </w:rPr>
                        <m:t>1</m:t>
                      </m:r>
                    </m:sub>
                  </m:sSub>
                  <m:r>
                    <w:rPr>
                      <w:rFonts w:ascii="Cambria Math" w:hAnsi="Cambria Math"/>
                      <w:lang w:val="fr-FR"/>
                    </w:rPr>
                    <m:t>,</m:t>
                  </m:r>
                  <m:sSub>
                    <m:sSubPr>
                      <m:ctrlPr>
                        <w:rPr>
                          <w:rFonts w:ascii="Cambria Math" w:hAnsi="Cambria Math"/>
                          <w:i/>
                          <w:iCs/>
                          <w:lang w:val="fr-FR"/>
                        </w:rPr>
                      </m:ctrlPr>
                    </m:sSubPr>
                    <m:e>
                      <m:r>
                        <w:rPr>
                          <w:rFonts w:ascii="Cambria Math" w:hAnsi="Cambria Math"/>
                          <w:lang w:val="fr-FR"/>
                        </w:rPr>
                        <m:t>n</m:t>
                      </m:r>
                    </m:e>
                    <m:sub>
                      <m:r>
                        <w:rPr>
                          <w:rFonts w:ascii="Cambria Math" w:hAnsi="Cambria Math"/>
                          <w:lang w:val="fr-FR"/>
                        </w:rPr>
                        <m:t>2</m:t>
                      </m:r>
                    </m:sub>
                  </m:sSub>
                </m:e>
              </m:d>
              <m:r>
                <w:rPr>
                  <w:rFonts w:ascii="Cambria Math" w:hAnsi="Cambria Math"/>
                  <w:lang w:val="fr-FR"/>
                </w:rPr>
                <m:t>∈</m:t>
              </m:r>
              <m:sSup>
                <m:sSupPr>
                  <m:ctrlPr>
                    <w:rPr>
                      <w:rFonts w:ascii="Cambria Math" w:hAnsi="Cambria Math"/>
                      <w:i/>
                      <w:iCs/>
                      <w:lang w:val="fr-FR"/>
                    </w:rPr>
                  </m:ctrlPr>
                </m:sSupPr>
                <m:e>
                  <m:r>
                    <w:rPr>
                      <w:rFonts w:ascii="Cambria Math" w:hAnsi="Cambria Math"/>
                      <w:lang w:val="fr-FR"/>
                    </w:rPr>
                    <m:t>L</m:t>
                  </m:r>
                </m:e>
                <m:sup>
                  <m:r>
                    <w:rPr>
                      <w:rFonts w:ascii="Cambria Math" w:hAnsi="Cambria Math"/>
                      <w:lang w:val="fr-FR"/>
                    </w:rPr>
                    <m:t>d</m:t>
                  </m:r>
                </m:sup>
              </m:sSup>
              <m:r>
                <w:rPr>
                  <w:rFonts w:ascii="Cambria Math" w:hAnsi="Cambria Math"/>
                  <w:lang w:val="fr-FR"/>
                </w:rPr>
                <m:t> | ccp</m:t>
              </m:r>
              <m:d>
                <m:dPr>
                  <m:ctrlPr>
                    <w:rPr>
                      <w:rFonts w:ascii="Cambria Math" w:hAnsi="Cambria Math"/>
                      <w:i/>
                      <w:iCs/>
                      <w:lang w:val="fr-FR"/>
                    </w:rPr>
                  </m:ctrlPr>
                </m:dPr>
                <m:e>
                  <m:sSub>
                    <m:sSubPr>
                      <m:ctrlPr>
                        <w:rPr>
                          <w:rFonts w:ascii="Cambria Math" w:hAnsi="Cambria Math"/>
                          <w:i/>
                          <w:iCs/>
                          <w:lang w:val="fr-FR"/>
                        </w:rPr>
                      </m:ctrlPr>
                    </m:sSubPr>
                    <m:e>
                      <m:r>
                        <w:rPr>
                          <w:rFonts w:ascii="Cambria Math" w:hAnsi="Cambria Math"/>
                          <w:lang w:val="fr-FR"/>
                        </w:rPr>
                        <m:t>n</m:t>
                      </m:r>
                    </m:e>
                    <m:sub>
                      <m:r>
                        <w:rPr>
                          <w:rFonts w:ascii="Cambria Math" w:hAnsi="Cambria Math"/>
                          <w:lang w:val="fr-FR"/>
                        </w:rPr>
                        <m:t>1</m:t>
                      </m:r>
                    </m:sub>
                  </m:sSub>
                </m:e>
              </m:d>
              <m:r>
                <w:rPr>
                  <w:rFonts w:ascii="Cambria Math" w:hAnsi="Cambria Math"/>
                  <w:lang w:val="fr-FR"/>
                </w:rPr>
                <m:t>=A ˄ ccp</m:t>
              </m:r>
              <m:d>
                <m:dPr>
                  <m:ctrlPr>
                    <w:rPr>
                      <w:rFonts w:ascii="Cambria Math" w:hAnsi="Cambria Math"/>
                      <w:i/>
                      <w:iCs/>
                      <w:lang w:val="fr-FR"/>
                    </w:rPr>
                  </m:ctrlPr>
                </m:dPr>
                <m:e>
                  <m:sSub>
                    <m:sSubPr>
                      <m:ctrlPr>
                        <w:rPr>
                          <w:rFonts w:ascii="Cambria Math" w:hAnsi="Cambria Math"/>
                          <w:i/>
                          <w:iCs/>
                          <w:lang w:val="fr-FR"/>
                        </w:rPr>
                      </m:ctrlPr>
                    </m:sSubPr>
                    <m:e>
                      <m:r>
                        <w:rPr>
                          <w:rFonts w:ascii="Cambria Math" w:hAnsi="Cambria Math"/>
                          <w:lang w:val="fr-FR"/>
                        </w:rPr>
                        <m:t>n</m:t>
                      </m:r>
                    </m:e>
                    <m:sub>
                      <m:r>
                        <w:rPr>
                          <w:rFonts w:ascii="Cambria Math" w:hAnsi="Cambria Math"/>
                          <w:lang w:val="fr-FR"/>
                        </w:rPr>
                        <m:t>2</m:t>
                      </m:r>
                    </m:sub>
                  </m:sSub>
                </m:e>
              </m:d>
              <m:r>
                <w:rPr>
                  <w:rFonts w:ascii="Cambria Math" w:hAnsi="Cambria Math"/>
                  <w:lang w:val="fr-FR"/>
                </w:rPr>
                <m:t>=B</m:t>
              </m:r>
            </m:e>
          </m:d>
        </m:oMath>
      </m:oMathPara>
    </w:p>
    <w:p w14:paraId="624929B5" w14:textId="77777777" w:rsidR="00F8788D" w:rsidRDefault="00F8788D" w:rsidP="002414BB"/>
    <w:p w14:paraId="2BD1FA78" w14:textId="77777777" w:rsidR="00F8788D" w:rsidRDefault="00F8788D" w:rsidP="002414BB">
      <w:pPr>
        <w:jc w:val="both"/>
      </w:pPr>
      <w:r>
        <w:t xml:space="preserve">Where </w:t>
      </w:r>
      <m:oMath>
        <m:r>
          <w:rPr>
            <w:rFonts w:ascii="Cambria Math" w:hAnsi="Cambria Math"/>
          </w:rPr>
          <m:t>h</m:t>
        </m:r>
      </m:oMath>
      <w:r>
        <w:t xml:space="preserve"> is the period of the session, </w:t>
      </w:r>
      <m:oMath>
        <m:sSup>
          <m:sSupPr>
            <m:ctrlPr>
              <w:rPr>
                <w:rFonts w:ascii="Cambria Math" w:hAnsi="Cambria Math"/>
                <w:i/>
                <w:iCs/>
                <w:lang w:val="fr-FR"/>
              </w:rPr>
            </m:ctrlPr>
          </m:sSupPr>
          <m:e>
            <m:r>
              <w:rPr>
                <w:rFonts w:ascii="Cambria Math" w:hAnsi="Cambria Math"/>
                <w:lang w:val="fr-FR"/>
              </w:rPr>
              <m:t>L</m:t>
            </m:r>
          </m:e>
          <m:sup>
            <m:r>
              <w:rPr>
                <w:rFonts w:ascii="Cambria Math" w:hAnsi="Cambria Math"/>
                <w:lang w:val="fr-FR"/>
              </w:rPr>
              <m:t>d</m:t>
            </m:r>
          </m:sup>
        </m:sSup>
      </m:oMath>
      <w:r w:rsidRPr="00330D46">
        <w:rPr>
          <w:rFonts w:eastAsiaTheme="minorEastAsia"/>
          <w:iCs/>
        </w:rPr>
        <w:t xml:space="preserve"> is the set of directed inter-NTH lines, </w:t>
      </w:r>
      <m:oMath>
        <m:sSubSup>
          <m:sSubSupPr>
            <m:ctrlPr>
              <w:rPr>
                <w:rFonts w:ascii="Cambria Math" w:hAnsi="Cambria Math"/>
                <w:i/>
              </w:rPr>
            </m:ctrlPr>
          </m:sSubSupPr>
          <m:e>
            <m:r>
              <w:rPr>
                <w:rFonts w:ascii="Cambria Math" w:hAnsi="Cambria Math"/>
              </w:rPr>
              <m:t>P</m:t>
            </m:r>
          </m:e>
          <m:sub>
            <m:r>
              <w:rPr>
                <w:rFonts w:ascii="Cambria Math" w:hAnsi="Cambria Math"/>
              </w:rPr>
              <m:t>n</m:t>
            </m:r>
          </m:sub>
          <m:sup>
            <m:r>
              <w:rPr>
                <w:rFonts w:ascii="Cambria Math" w:hAnsi="Cambria Math"/>
              </w:rPr>
              <m:t>h</m:t>
            </m:r>
          </m:sup>
        </m:sSubSup>
      </m:oMath>
      <w:r>
        <w:rPr>
          <w:rFonts w:eastAsiaTheme="minorEastAsia"/>
        </w:rPr>
        <w:t xml:space="preserve"> is a shorthand for the zonal clearing price applying on NTH </w:t>
      </w:r>
      <m:oMath>
        <m:r>
          <w:rPr>
            <w:rFonts w:ascii="Cambria Math" w:eastAsiaTheme="minorEastAsia" w:hAnsi="Cambria Math"/>
          </w:rPr>
          <m:t>n</m:t>
        </m:r>
      </m:oMath>
      <w:r>
        <w:rPr>
          <w:rFonts w:eastAsiaTheme="minorEastAsia"/>
        </w:rPr>
        <w:t xml:space="preserve"> at period </w:t>
      </w:r>
      <m:oMath>
        <m:r>
          <w:rPr>
            <w:rFonts w:ascii="Cambria Math" w:eastAsiaTheme="minorEastAsia" w:hAnsi="Cambria Math"/>
          </w:rPr>
          <m:t>h</m:t>
        </m:r>
      </m:oMath>
      <w:r>
        <w:rPr>
          <w:rFonts w:eastAsiaTheme="minorEastAsia"/>
        </w:rPr>
        <w:t xml:space="preserve"> and </w:t>
      </w:r>
      <m:oMath>
        <m:sSubSup>
          <m:sSubSupPr>
            <m:ctrlPr>
              <w:rPr>
                <w:rFonts w:ascii="Cambria Math" w:hAnsi="Cambria Math"/>
                <w:i/>
                <w:iCs/>
                <w:lang w:val="fr-FR"/>
              </w:rPr>
            </m:ctrlPr>
          </m:sSubSupPr>
          <m:e>
            <m:r>
              <w:rPr>
                <w:rFonts w:ascii="Cambria Math" w:hAnsi="Cambria Math"/>
                <w:lang w:val="fr-FR"/>
              </w:rPr>
              <m:t>flow</m:t>
            </m:r>
          </m:e>
          <m:sub>
            <m:sSub>
              <m:sSubPr>
                <m:ctrlPr>
                  <w:rPr>
                    <w:rFonts w:ascii="Cambria Math" w:hAnsi="Cambria Math"/>
                    <w:i/>
                    <w:iCs/>
                    <w:lang w:val="fr-FR"/>
                  </w:rPr>
                </m:ctrlPr>
              </m:sSubPr>
              <m:e>
                <m:r>
                  <w:rPr>
                    <w:rFonts w:ascii="Cambria Math" w:hAnsi="Cambria Math"/>
                    <w:lang w:val="fr-FR"/>
                  </w:rPr>
                  <m:t>n</m:t>
                </m:r>
              </m:e>
              <m:sub>
                <m:r>
                  <w:rPr>
                    <w:rFonts w:ascii="Cambria Math" w:hAnsi="Cambria Math"/>
                  </w:rPr>
                  <m:t>1</m:t>
                </m:r>
              </m:sub>
            </m:sSub>
            <m:r>
              <w:rPr>
                <w:rFonts w:ascii="Cambria Math" w:hAnsi="Cambria Math"/>
              </w:rPr>
              <m:t>,</m:t>
            </m:r>
            <m:sSub>
              <m:sSubPr>
                <m:ctrlPr>
                  <w:rPr>
                    <w:rFonts w:ascii="Cambria Math" w:hAnsi="Cambria Math"/>
                    <w:i/>
                    <w:iCs/>
                    <w:lang w:val="fr-FR"/>
                  </w:rPr>
                </m:ctrlPr>
              </m:sSubPr>
              <m:e>
                <m:r>
                  <w:rPr>
                    <w:rFonts w:ascii="Cambria Math" w:hAnsi="Cambria Math"/>
                    <w:lang w:val="fr-FR"/>
                  </w:rPr>
                  <m:t>n</m:t>
                </m:r>
              </m:e>
              <m:sub>
                <m:r>
                  <w:rPr>
                    <w:rFonts w:ascii="Cambria Math" w:hAnsi="Cambria Math"/>
                  </w:rPr>
                  <m:t>2</m:t>
                </m:r>
              </m:sub>
            </m:sSub>
          </m:sub>
          <m:sup>
            <m:r>
              <w:rPr>
                <w:rFonts w:ascii="Cambria Math" w:hAnsi="Cambria Math"/>
              </w:rPr>
              <m:t>h</m:t>
            </m:r>
          </m:sup>
        </m:sSubSup>
      </m:oMath>
      <w:r w:rsidRPr="00330D46">
        <w:rPr>
          <w:rFonts w:eastAsiaTheme="minorEastAsia"/>
          <w:iCs/>
        </w:rPr>
        <w:t xml:space="preserve"> is the flow from</w:t>
      </w:r>
      <w:r>
        <w:rPr>
          <w:rFonts w:eastAsiaTheme="minorEastAsia"/>
          <w:iCs/>
        </w:rPr>
        <w:t xml:space="preserve"> NTH</w:t>
      </w:r>
      <w:r w:rsidRPr="00330D46">
        <w:rPr>
          <w:rFonts w:eastAsiaTheme="minorEastAsia"/>
          <w:iCs/>
        </w:rPr>
        <w:t xml:space="preserve"> </w:t>
      </w:r>
      <m:oMath>
        <m:sSub>
          <m:sSubPr>
            <m:ctrlPr>
              <w:rPr>
                <w:rFonts w:ascii="Cambria Math" w:eastAsiaTheme="minorEastAsia" w:hAnsi="Cambria Math"/>
                <w:i/>
                <w:iCs/>
              </w:rPr>
            </m:ctrlPr>
          </m:sSubPr>
          <m:e>
            <m:r>
              <w:rPr>
                <w:rFonts w:ascii="Cambria Math" w:eastAsiaTheme="minorEastAsia" w:hAnsi="Cambria Math"/>
              </w:rPr>
              <m:t>n</m:t>
            </m:r>
          </m:e>
          <m:sub>
            <m:r>
              <w:rPr>
                <w:rFonts w:ascii="Cambria Math" w:eastAsiaTheme="minorEastAsia" w:hAnsi="Cambria Math"/>
              </w:rPr>
              <m:t>1</m:t>
            </m:r>
          </m:sub>
        </m:sSub>
      </m:oMath>
      <w:r w:rsidRPr="00330D46">
        <w:rPr>
          <w:rFonts w:eastAsiaTheme="minorEastAsia"/>
          <w:iCs/>
        </w:rPr>
        <w:t xml:space="preserve"> to </w:t>
      </w:r>
      <w:r>
        <w:rPr>
          <w:rFonts w:eastAsiaTheme="minorEastAsia"/>
          <w:iCs/>
        </w:rPr>
        <w:t xml:space="preserve">NTH </w:t>
      </w:r>
      <m:oMath>
        <m:sSub>
          <m:sSubPr>
            <m:ctrlPr>
              <w:rPr>
                <w:rFonts w:ascii="Cambria Math" w:eastAsiaTheme="minorEastAsia" w:hAnsi="Cambria Math"/>
                <w:i/>
                <w:iCs/>
              </w:rPr>
            </m:ctrlPr>
          </m:sSubPr>
          <m:e>
            <m:r>
              <w:rPr>
                <w:rFonts w:ascii="Cambria Math" w:eastAsiaTheme="minorEastAsia" w:hAnsi="Cambria Math"/>
              </w:rPr>
              <m:t>n</m:t>
            </m:r>
          </m:e>
          <m:sub>
            <m:r>
              <w:rPr>
                <w:rFonts w:ascii="Cambria Math" w:eastAsiaTheme="minorEastAsia" w:hAnsi="Cambria Math"/>
              </w:rPr>
              <m:t>2</m:t>
            </m:r>
          </m:sub>
        </m:sSub>
      </m:oMath>
      <w:r>
        <w:rPr>
          <w:rFonts w:eastAsiaTheme="minorEastAsia"/>
          <w:iCs/>
        </w:rPr>
        <w:t xml:space="preserve">. </w:t>
      </w:r>
      <m:oMath>
        <m:r>
          <w:rPr>
            <w:rFonts w:ascii="Cambria Math" w:eastAsiaTheme="minorEastAsia" w:hAnsi="Cambria Math"/>
          </w:rPr>
          <m:t>ccp(n)</m:t>
        </m:r>
      </m:oMath>
      <w:r>
        <w:rPr>
          <w:rFonts w:eastAsiaTheme="minorEastAsia"/>
          <w:iCs/>
        </w:rPr>
        <w:t xml:space="preserve"> is a function which provides the CCP associated to NTH </w:t>
      </w:r>
      <m:oMath>
        <m:r>
          <w:rPr>
            <w:rFonts w:ascii="Cambria Math" w:eastAsiaTheme="minorEastAsia" w:hAnsi="Cambria Math"/>
          </w:rPr>
          <m:t>n</m:t>
        </m:r>
      </m:oMath>
      <w:r>
        <w:rPr>
          <w:rFonts w:eastAsiaTheme="minorEastAsia"/>
          <w:iCs/>
        </w:rPr>
        <w:t>.</w:t>
      </w:r>
    </w:p>
    <w:p w14:paraId="31828EC8" w14:textId="77777777" w:rsidR="00F8788D" w:rsidRDefault="00F8788D" w:rsidP="002414BB"/>
    <w:p w14:paraId="78AC698B" w14:textId="77777777" w:rsidR="00F8788D" w:rsidRDefault="00F8788D" w:rsidP="002414BB">
      <w:r>
        <w:t xml:space="preserve">The net exposure </w:t>
      </w:r>
      <m:oMath>
        <m:sSub>
          <m:sSubPr>
            <m:ctrlPr>
              <w:rPr>
                <w:rFonts w:ascii="Cambria Math" w:hAnsi="Cambria Math"/>
                <w:i/>
                <w:iCs/>
                <w:lang w:val="fr-FR"/>
              </w:rPr>
            </m:ctrlPr>
          </m:sSubPr>
          <m:e>
            <m:r>
              <w:rPr>
                <w:rFonts w:ascii="Cambria Math" w:hAnsi="Cambria Math"/>
                <w:lang w:val="fr-FR"/>
              </w:rPr>
              <m:t>NE</m:t>
            </m:r>
          </m:e>
          <m:sub>
            <m:r>
              <w:rPr>
                <w:rFonts w:ascii="Cambria Math" w:hAnsi="Cambria Math"/>
                <w:lang w:val="fr-FR"/>
              </w:rPr>
              <m:t>A</m:t>
            </m:r>
            <m:r>
              <w:rPr>
                <w:rFonts w:ascii="Cambria Math" w:hAnsi="Cambria Math"/>
              </w:rPr>
              <m:t>|</m:t>
            </m:r>
            <m:r>
              <w:rPr>
                <w:rFonts w:ascii="Cambria Math" w:hAnsi="Cambria Math"/>
                <w:lang w:val="fr-FR"/>
              </w:rPr>
              <m:t>B</m:t>
            </m:r>
          </m:sub>
        </m:sSub>
      </m:oMath>
      <w:r w:rsidRPr="00EA0312">
        <w:rPr>
          <w:rFonts w:eastAsiaTheme="minorEastAsia"/>
          <w:iCs/>
        </w:rPr>
        <w:t xml:space="preserve"> of a CCP </w:t>
      </w:r>
      <m:oMath>
        <m:r>
          <w:rPr>
            <w:rFonts w:ascii="Cambria Math" w:eastAsiaTheme="minorEastAsia" w:hAnsi="Cambria Math"/>
          </w:rPr>
          <m:t xml:space="preserve">A </m:t>
        </m:r>
      </m:oMath>
      <w:r>
        <w:rPr>
          <w:rFonts w:eastAsiaTheme="minorEastAsia"/>
          <w:iCs/>
        </w:rPr>
        <w:t xml:space="preserve">with regards to a CCP </w:t>
      </w:r>
      <m:oMath>
        <m:r>
          <w:rPr>
            <w:rFonts w:ascii="Cambria Math" w:eastAsiaTheme="minorEastAsia" w:hAnsi="Cambria Math"/>
          </w:rPr>
          <m:t>B</m:t>
        </m:r>
      </m:oMath>
      <w:r>
        <w:rPr>
          <w:rFonts w:eastAsiaTheme="minorEastAsia"/>
          <w:iCs/>
        </w:rPr>
        <w:t xml:space="preserve"> </w:t>
      </w:r>
      <w:r>
        <w:t xml:space="preserve">expresses the financial risk that </w:t>
      </w:r>
      <m:oMath>
        <m:r>
          <w:rPr>
            <w:rFonts w:ascii="Cambria Math" w:hAnsi="Cambria Math"/>
          </w:rPr>
          <m:t>B</m:t>
        </m:r>
      </m:oMath>
      <w:r>
        <w:t xml:space="preserve"> will induce on </w:t>
      </w:r>
      <m:oMath>
        <m:r>
          <w:rPr>
            <w:rFonts w:ascii="Cambria Math" w:hAnsi="Cambria Math"/>
          </w:rPr>
          <m:t>A</m:t>
        </m:r>
      </m:oMath>
      <w:r>
        <w:t xml:space="preserve">. As can be seen, it is netted over all BZs and periods. A net exposure can either be positive or negative. Also, it can be shown that </w:t>
      </w:r>
      <m:oMath>
        <m:sSub>
          <m:sSubPr>
            <m:ctrlPr>
              <w:rPr>
                <w:rFonts w:ascii="Cambria Math" w:hAnsi="Cambria Math"/>
                <w:i/>
                <w:iCs/>
                <w:lang w:val="fr-FR"/>
              </w:rPr>
            </m:ctrlPr>
          </m:sSubPr>
          <m:e>
            <m:r>
              <w:rPr>
                <w:rFonts w:ascii="Cambria Math" w:hAnsi="Cambria Math"/>
                <w:lang w:val="fr-FR"/>
              </w:rPr>
              <m:t>NE</m:t>
            </m:r>
          </m:e>
          <m:sub>
            <m:r>
              <w:rPr>
                <w:rFonts w:ascii="Cambria Math" w:hAnsi="Cambria Math"/>
                <w:lang w:val="fr-FR"/>
              </w:rPr>
              <m:t>A</m:t>
            </m:r>
            <m:r>
              <w:rPr>
                <w:rFonts w:ascii="Cambria Math" w:hAnsi="Cambria Math"/>
              </w:rPr>
              <m:t>|</m:t>
            </m:r>
            <m:r>
              <w:rPr>
                <w:rFonts w:ascii="Cambria Math" w:hAnsi="Cambria Math"/>
                <w:lang w:val="fr-FR"/>
              </w:rPr>
              <m:t>B</m:t>
            </m:r>
          </m:sub>
        </m:sSub>
        <m:r>
          <w:rPr>
            <w:rFonts w:ascii="Cambria Math" w:hAnsi="Cambria Math"/>
          </w:rPr>
          <m:t>=-</m:t>
        </m:r>
        <m:sSub>
          <m:sSubPr>
            <m:ctrlPr>
              <w:rPr>
                <w:rFonts w:ascii="Cambria Math" w:hAnsi="Cambria Math"/>
                <w:i/>
                <w:iCs/>
                <w:lang w:val="fr-FR"/>
              </w:rPr>
            </m:ctrlPr>
          </m:sSubPr>
          <m:e>
            <m:r>
              <w:rPr>
                <w:rFonts w:ascii="Cambria Math" w:hAnsi="Cambria Math"/>
                <w:lang w:val="fr-FR"/>
              </w:rPr>
              <m:t>NE</m:t>
            </m:r>
          </m:e>
          <m:sub>
            <m:r>
              <w:rPr>
                <w:rFonts w:ascii="Cambria Math" w:hAnsi="Cambria Math"/>
                <w:lang w:val="fr-FR"/>
              </w:rPr>
              <m:t>B</m:t>
            </m:r>
            <m:r>
              <w:rPr>
                <w:rFonts w:ascii="Cambria Math" w:hAnsi="Cambria Math"/>
              </w:rPr>
              <m:t>|</m:t>
            </m:r>
            <m:r>
              <w:rPr>
                <w:rFonts w:ascii="Cambria Math" w:hAnsi="Cambria Math"/>
                <w:lang w:val="fr-FR"/>
              </w:rPr>
              <m:t>A</m:t>
            </m:r>
          </m:sub>
        </m:sSub>
      </m:oMath>
      <w:r w:rsidRPr="00EA0312">
        <w:rPr>
          <w:rFonts w:eastAsiaTheme="minorEastAsia"/>
          <w:iCs/>
        </w:rPr>
        <w:t xml:space="preserve"> (therefore, </w:t>
      </w:r>
      <w:r>
        <w:rPr>
          <w:rFonts w:eastAsiaTheme="minorEastAsia"/>
          <w:iCs/>
        </w:rPr>
        <w:t>as soon as it is non-null, they shall have opposite signs)</w:t>
      </w:r>
      <w:r w:rsidRPr="00EA0312">
        <w:rPr>
          <w:rFonts w:eastAsiaTheme="minorEastAsia"/>
          <w:iCs/>
        </w:rPr>
        <w:t>.</w:t>
      </w:r>
      <w:r>
        <w:rPr>
          <w:rFonts w:eastAsiaTheme="minorEastAsia"/>
          <w:iCs/>
        </w:rPr>
        <w:t xml:space="preserve"> The sum of all net exposures among all pairs of CCPs shall always be zero (financial balance).</w:t>
      </w:r>
    </w:p>
    <w:p w14:paraId="0959E000" w14:textId="77777777" w:rsidR="00F8788D" w:rsidRDefault="00F8788D" w:rsidP="002414BB"/>
    <w:p w14:paraId="57F3260F" w14:textId="77777777" w:rsidR="00F8788D" w:rsidRDefault="00F8788D" w:rsidP="002414BB">
      <w:r>
        <w:t>To solve the exposure minimization problem, the INFC is defined in two steps:</w:t>
      </w:r>
    </w:p>
    <w:p w14:paraId="2607E0EC" w14:textId="77777777" w:rsidR="00F8788D" w:rsidRDefault="00F8788D" w:rsidP="00F8788D">
      <w:pPr>
        <w:pStyle w:val="ListParagraph"/>
        <w:numPr>
          <w:ilvl w:val="0"/>
          <w:numId w:val="17"/>
        </w:numPr>
        <w:jc w:val="both"/>
      </w:pPr>
      <w:r>
        <w:t>1: minimize the net exposure using a sum of quadratic terms in order to guarantee an equal treatment of all CCPs</w:t>
      </w:r>
    </w:p>
    <w:p w14:paraId="174C7E8D" w14:textId="77777777" w:rsidR="00F8788D" w:rsidRDefault="00F8788D" w:rsidP="00F8788D">
      <w:pPr>
        <w:pStyle w:val="ListParagraph"/>
        <w:numPr>
          <w:ilvl w:val="0"/>
          <w:numId w:val="17"/>
        </w:numPr>
        <w:jc w:val="both"/>
      </w:pPr>
      <w:r>
        <w:t>2: fix the exposure amounts, and solve a second minimization problem using linear and quadratic cost coefficients to break the indeterminacies and retrieve a consistent solution</w:t>
      </w:r>
    </w:p>
    <w:p w14:paraId="6C9F9F44" w14:textId="77777777" w:rsidR="00F8788D" w:rsidRDefault="00F8788D" w:rsidP="002414BB"/>
    <w:p w14:paraId="42ADEECF" w14:textId="77777777" w:rsidR="00F8788D" w:rsidRPr="00F84DFC" w:rsidRDefault="00F8788D" w:rsidP="002414BB">
      <w:pPr>
        <w:rPr>
          <w:i/>
        </w:rPr>
      </w:pPr>
      <w:r>
        <w:rPr>
          <w:i/>
        </w:rPr>
        <w:t xml:space="preserve">Sets and </w:t>
      </w:r>
      <w:r w:rsidRPr="00F84DFC">
        <w:rPr>
          <w:i/>
        </w:rPr>
        <w:t>Parameters</w:t>
      </w:r>
    </w:p>
    <w:tbl>
      <w:tblPr>
        <w:tblStyle w:val="TableGrid"/>
        <w:tblW w:w="0" w:type="auto"/>
        <w:tblLook w:val="04A0" w:firstRow="1" w:lastRow="0" w:firstColumn="1" w:lastColumn="0" w:noHBand="0" w:noVBand="1"/>
      </w:tblPr>
      <w:tblGrid>
        <w:gridCol w:w="1237"/>
        <w:gridCol w:w="7062"/>
      </w:tblGrid>
      <w:tr w:rsidR="00F8788D" w14:paraId="00595B3D" w14:textId="77777777" w:rsidTr="002414BB">
        <w:tc>
          <w:tcPr>
            <w:tcW w:w="1237" w:type="dxa"/>
          </w:tcPr>
          <w:p w14:paraId="25AF65D3" w14:textId="77777777" w:rsidR="00F8788D" w:rsidRDefault="00FC1305" w:rsidP="002414BB">
            <m:oMathPara>
              <m:oMath>
                <m:sSub>
                  <m:sSubPr>
                    <m:ctrlPr>
                      <w:rPr>
                        <w:rFonts w:ascii="Cambria Math" w:hAnsi="Cambria Math"/>
                        <w:i/>
                        <w:iCs/>
                        <w:lang w:val="fr-FR"/>
                      </w:rPr>
                    </m:ctrlPr>
                  </m:sSubPr>
                  <m:e>
                    <m:acc>
                      <m:accPr>
                        <m:chr m:val="̅"/>
                        <m:ctrlPr>
                          <w:rPr>
                            <w:rFonts w:ascii="Cambria Math" w:hAnsi="Cambria Math"/>
                            <w:i/>
                            <w:lang w:val="fr-FR"/>
                          </w:rPr>
                        </m:ctrlPr>
                      </m:accPr>
                      <m:e>
                        <m:r>
                          <w:rPr>
                            <w:rFonts w:ascii="Cambria Math" w:hAnsi="Cambria Math"/>
                            <w:lang w:val="fr-FR"/>
                          </w:rPr>
                          <m:t>flow</m:t>
                        </m:r>
                      </m:e>
                    </m:acc>
                  </m:e>
                  <m:sub>
                    <m:sSub>
                      <m:sSubPr>
                        <m:ctrlPr>
                          <w:rPr>
                            <w:rFonts w:ascii="Cambria Math" w:hAnsi="Cambria Math"/>
                            <w:i/>
                            <w:iCs/>
                            <w:lang w:val="fr-FR"/>
                          </w:rPr>
                        </m:ctrlPr>
                      </m:sSubPr>
                      <m:e>
                        <m:r>
                          <w:rPr>
                            <w:rFonts w:ascii="Cambria Math" w:hAnsi="Cambria Math"/>
                            <w:lang w:val="fr-FR"/>
                          </w:rPr>
                          <m:t>sa</m:t>
                        </m:r>
                      </m:e>
                      <m:sub>
                        <m:r>
                          <w:rPr>
                            <w:rFonts w:ascii="Cambria Math" w:hAnsi="Cambria Math"/>
                          </w:rPr>
                          <m:t>1</m:t>
                        </m:r>
                      </m:sub>
                    </m:sSub>
                    <m:r>
                      <w:rPr>
                        <w:rFonts w:ascii="Cambria Math" w:hAnsi="Cambria Math"/>
                      </w:rPr>
                      <m:t>,</m:t>
                    </m:r>
                    <m:sSub>
                      <m:sSubPr>
                        <m:ctrlPr>
                          <w:rPr>
                            <w:rFonts w:ascii="Cambria Math" w:hAnsi="Cambria Math"/>
                            <w:i/>
                            <w:iCs/>
                            <w:lang w:val="fr-FR"/>
                          </w:rPr>
                        </m:ctrlPr>
                      </m:sSubPr>
                      <m:e>
                        <m:r>
                          <w:rPr>
                            <w:rFonts w:ascii="Cambria Math" w:hAnsi="Cambria Math"/>
                            <w:lang w:val="fr-FR"/>
                          </w:rPr>
                          <m:t>sa</m:t>
                        </m:r>
                      </m:e>
                      <m:sub>
                        <m:r>
                          <w:rPr>
                            <w:rFonts w:ascii="Cambria Math" w:hAnsi="Cambria Math"/>
                          </w:rPr>
                          <m:t>2</m:t>
                        </m:r>
                      </m:sub>
                    </m:sSub>
                  </m:sub>
                </m:sSub>
              </m:oMath>
            </m:oMathPara>
          </w:p>
        </w:tc>
        <w:tc>
          <w:tcPr>
            <w:tcW w:w="7062" w:type="dxa"/>
          </w:tcPr>
          <w:p w14:paraId="54E21556" w14:textId="77777777" w:rsidR="00F8788D" w:rsidRDefault="00F8788D" w:rsidP="002414BB">
            <w:r>
              <w:t xml:space="preserve">The flow from scheduling area </w:t>
            </w:r>
            <m:oMath>
              <m:sSub>
                <m:sSubPr>
                  <m:ctrlPr>
                    <w:rPr>
                      <w:rFonts w:ascii="Cambria Math" w:hAnsi="Cambria Math"/>
                      <w:i/>
                    </w:rPr>
                  </m:ctrlPr>
                </m:sSubPr>
                <m:e>
                  <m:r>
                    <w:rPr>
                      <w:rFonts w:ascii="Cambria Math" w:hAnsi="Cambria Math"/>
                    </w:rPr>
                    <m:t>sa</m:t>
                  </m:r>
                </m:e>
                <m:sub>
                  <m:r>
                    <w:rPr>
                      <w:rFonts w:ascii="Cambria Math" w:hAnsi="Cambria Math"/>
                    </w:rPr>
                    <m:t>1</m:t>
                  </m:r>
                </m:sub>
              </m:sSub>
            </m:oMath>
            <w:r>
              <w:t xml:space="preserve"> to scheduling area </w:t>
            </w:r>
            <m:oMath>
              <m:sSub>
                <m:sSubPr>
                  <m:ctrlPr>
                    <w:rPr>
                      <w:rFonts w:ascii="Cambria Math" w:hAnsi="Cambria Math"/>
                      <w:i/>
                    </w:rPr>
                  </m:ctrlPr>
                </m:sSubPr>
                <m:e>
                  <m:r>
                    <w:rPr>
                      <w:rFonts w:ascii="Cambria Math" w:hAnsi="Cambria Math"/>
                    </w:rPr>
                    <m:t>sa</m:t>
                  </m:r>
                </m:e>
                <m:sub>
                  <m:r>
                    <w:rPr>
                      <w:rFonts w:ascii="Cambria Math" w:hAnsi="Cambria Math"/>
                    </w:rPr>
                    <m:t>2</m:t>
                  </m:r>
                </m:sub>
              </m:sSub>
            </m:oMath>
          </w:p>
        </w:tc>
      </w:tr>
      <w:tr w:rsidR="00F8788D" w14:paraId="3367A0C4" w14:textId="77777777" w:rsidTr="002414BB">
        <w:tc>
          <w:tcPr>
            <w:tcW w:w="1237" w:type="dxa"/>
          </w:tcPr>
          <w:p w14:paraId="7F0DE236" w14:textId="77777777" w:rsidR="00F8788D" w:rsidRPr="009D37A8" w:rsidRDefault="00F8788D" w:rsidP="002414BB">
            <w:pPr>
              <w:rPr>
                <w:rFonts w:eastAsia="Cambria"/>
              </w:rPr>
            </w:pPr>
            <m:oMathPara>
              <m:oMath>
                <m:r>
                  <w:rPr>
                    <w:rFonts w:ascii="Cambria Math" w:eastAsia="Cambria" w:hAnsi="Cambria Math"/>
                  </w:rPr>
                  <m:t>NTH</m:t>
                </m:r>
              </m:oMath>
            </m:oMathPara>
          </w:p>
        </w:tc>
        <w:tc>
          <w:tcPr>
            <w:tcW w:w="7062" w:type="dxa"/>
          </w:tcPr>
          <w:p w14:paraId="52AC3484" w14:textId="77777777" w:rsidR="00F8788D" w:rsidRDefault="00F8788D" w:rsidP="002414BB">
            <w:r>
              <w:t>The set of NTHs</w:t>
            </w:r>
          </w:p>
        </w:tc>
      </w:tr>
      <w:tr w:rsidR="00F8788D" w14:paraId="255B3990" w14:textId="77777777" w:rsidTr="002414BB">
        <w:tc>
          <w:tcPr>
            <w:tcW w:w="1237" w:type="dxa"/>
          </w:tcPr>
          <w:p w14:paraId="298F5FDD" w14:textId="77777777" w:rsidR="00F8788D" w:rsidRDefault="00F8788D" w:rsidP="002414BB">
            <w:pPr>
              <w:rPr>
                <w:rFonts w:eastAsia="Cambria"/>
              </w:rPr>
            </w:pPr>
            <m:oMathPara>
              <m:oMath>
                <m:r>
                  <w:rPr>
                    <w:rFonts w:ascii="Cambria Math" w:eastAsia="Cambria" w:hAnsi="Cambria Math"/>
                  </w:rPr>
                  <m:t>CCP</m:t>
                </m:r>
              </m:oMath>
            </m:oMathPara>
          </w:p>
        </w:tc>
        <w:tc>
          <w:tcPr>
            <w:tcW w:w="7062" w:type="dxa"/>
          </w:tcPr>
          <w:p w14:paraId="7C5D60E5" w14:textId="77777777" w:rsidR="00F8788D" w:rsidRDefault="00F8788D" w:rsidP="002414BB">
            <w:r>
              <w:t>The set of CCPs (</w:t>
            </w:r>
            <m:oMath>
              <m:r>
                <w:rPr>
                  <w:rFonts w:ascii="Cambria Math" w:hAnsi="Cambria Math"/>
                </w:rPr>
                <m:t>CCP=</m:t>
              </m:r>
              <m:d>
                <m:dPr>
                  <m:begChr m:val="{"/>
                  <m:endChr m:val="}"/>
                  <m:ctrlPr>
                    <w:rPr>
                      <w:rFonts w:ascii="Cambria Math" w:hAnsi="Cambria Math"/>
                      <w:i/>
                    </w:rPr>
                  </m:ctrlPr>
                </m:dPr>
                <m:e>
                  <m:r>
                    <w:rPr>
                      <w:rFonts w:ascii="Cambria Math" w:hAnsi="Cambria Math"/>
                    </w:rPr>
                    <m:t>ccp</m:t>
                  </m:r>
                  <m:d>
                    <m:dPr>
                      <m:ctrlPr>
                        <w:rPr>
                          <w:rFonts w:ascii="Cambria Math" w:hAnsi="Cambria Math"/>
                          <w:i/>
                        </w:rPr>
                      </m:ctrlPr>
                    </m:dPr>
                    <m:e>
                      <m:r>
                        <w:rPr>
                          <w:rFonts w:ascii="Cambria Math" w:hAnsi="Cambria Math"/>
                        </w:rPr>
                        <m:t>n</m:t>
                      </m:r>
                    </m:e>
                  </m:d>
                  <m:r>
                    <w:rPr>
                      <w:rFonts w:ascii="Cambria Math" w:hAnsi="Cambria Math"/>
                    </w:rPr>
                    <m:t xml:space="preserve"> ∀ n∈NTH</m:t>
                  </m:r>
                </m:e>
              </m:d>
            </m:oMath>
            <w:r>
              <w:t>)</w:t>
            </w:r>
          </w:p>
        </w:tc>
      </w:tr>
      <w:tr w:rsidR="00F8788D" w14:paraId="294940AD" w14:textId="77777777" w:rsidTr="002414BB">
        <w:tc>
          <w:tcPr>
            <w:tcW w:w="1237" w:type="dxa"/>
          </w:tcPr>
          <w:p w14:paraId="37BC1344" w14:textId="77777777" w:rsidR="00F8788D" w:rsidRPr="00330C0A" w:rsidRDefault="00FC1305" w:rsidP="002414BB">
            <w:pPr>
              <w:rPr>
                <w:rFonts w:eastAsia="Cambria"/>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NP</m:t>
                        </m:r>
                      </m:e>
                    </m:acc>
                  </m:e>
                  <m:sub>
                    <m:r>
                      <w:rPr>
                        <w:rFonts w:ascii="Cambria Math" w:hAnsi="Cambria Math"/>
                      </w:rPr>
                      <m:t>n</m:t>
                    </m:r>
                  </m:sub>
                </m:sSub>
              </m:oMath>
            </m:oMathPara>
          </w:p>
        </w:tc>
        <w:tc>
          <w:tcPr>
            <w:tcW w:w="7062" w:type="dxa"/>
          </w:tcPr>
          <w:p w14:paraId="453BFC42" w14:textId="77777777" w:rsidR="00F8788D" w:rsidRDefault="00F8788D" w:rsidP="002414BB">
            <w:r>
              <w:t xml:space="preserve">The net position of NTH </w:t>
            </w:r>
            <m:oMath>
              <m:r>
                <w:rPr>
                  <w:rFonts w:ascii="Cambria Math" w:hAnsi="Cambria Math"/>
                </w:rPr>
                <m:t>n</m:t>
              </m:r>
            </m:oMath>
            <w:r>
              <w:rPr>
                <w:rFonts w:eastAsiaTheme="minorEastAsia"/>
              </w:rPr>
              <w:t xml:space="preserve">, </w:t>
            </w:r>
            <m:oMath>
              <m:r>
                <w:rPr>
                  <w:rFonts w:ascii="Cambria Math" w:eastAsiaTheme="minorEastAsia" w:hAnsi="Cambria Math"/>
                </w:rPr>
                <m:t>∀n∈NTH</m:t>
              </m:r>
            </m:oMath>
            <w:r>
              <w:rPr>
                <w:rFonts w:eastAsiaTheme="minorEastAsia"/>
              </w:rPr>
              <w:t xml:space="preserve"> </w:t>
            </w:r>
          </w:p>
        </w:tc>
      </w:tr>
      <w:tr w:rsidR="00F8788D" w14:paraId="772BBC04" w14:textId="77777777" w:rsidTr="002414BB">
        <w:tc>
          <w:tcPr>
            <w:tcW w:w="1237" w:type="dxa"/>
          </w:tcPr>
          <w:p w14:paraId="7A42F85F" w14:textId="77777777" w:rsidR="00F8788D" w:rsidRPr="00F84DFC" w:rsidRDefault="00FC1305" w:rsidP="002414BB">
            <m:oMathPara>
              <m:oMath>
                <m:sSup>
                  <m:sSupPr>
                    <m:ctrlPr>
                      <w:rPr>
                        <w:rFonts w:ascii="Cambria Math" w:hAnsi="Cambria Math"/>
                        <w:i/>
                        <w:iCs/>
                        <w:lang w:val="fr-FR"/>
                      </w:rPr>
                    </m:ctrlPr>
                  </m:sSupPr>
                  <m:e>
                    <m:r>
                      <w:rPr>
                        <w:rFonts w:ascii="Cambria Math" w:hAnsi="Cambria Math"/>
                        <w:lang w:val="fr-FR"/>
                      </w:rPr>
                      <m:t>L</m:t>
                    </m:r>
                  </m:e>
                  <m:sup>
                    <m:r>
                      <w:rPr>
                        <w:rFonts w:ascii="Cambria Math" w:hAnsi="Cambria Math"/>
                        <w:lang w:val="fr-FR"/>
                      </w:rPr>
                      <m:t>d</m:t>
                    </m:r>
                  </m:sup>
                </m:sSup>
              </m:oMath>
            </m:oMathPara>
          </w:p>
        </w:tc>
        <w:tc>
          <w:tcPr>
            <w:tcW w:w="7062" w:type="dxa"/>
          </w:tcPr>
          <w:p w14:paraId="763F584F" w14:textId="77777777" w:rsidR="00F8788D" w:rsidRDefault="00F8788D" w:rsidP="002414BB">
            <w:r>
              <w:t>The set of directed inter-NTH flows</w:t>
            </w:r>
          </w:p>
        </w:tc>
      </w:tr>
      <w:tr w:rsidR="00F8788D" w14:paraId="6F3C14C6" w14:textId="77777777" w:rsidTr="002414BB">
        <w:tc>
          <w:tcPr>
            <w:tcW w:w="1237" w:type="dxa"/>
          </w:tcPr>
          <w:p w14:paraId="63D8E641" w14:textId="77777777" w:rsidR="00F8788D" w:rsidRDefault="00FC1305" w:rsidP="002414BB">
            <m:oMathPara>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l</m:t>
                    </m:r>
                  </m:sub>
                </m:sSub>
              </m:oMath>
            </m:oMathPara>
          </w:p>
        </w:tc>
        <w:tc>
          <w:tcPr>
            <w:tcW w:w="7062" w:type="dxa"/>
          </w:tcPr>
          <w:p w14:paraId="13062EBF" w14:textId="77777777" w:rsidR="00F8788D" w:rsidRDefault="00F8788D" w:rsidP="002414BB">
            <w:r>
              <w:t xml:space="preserve">The linear cost coefficient associated to an inter-NTH line </w:t>
            </w:r>
            <m:oMath>
              <m:r>
                <w:rPr>
                  <w:rFonts w:ascii="Cambria Math" w:hAnsi="Cambria Math"/>
                </w:rPr>
                <m:t>l</m:t>
              </m:r>
            </m:oMath>
            <w:r>
              <w:t xml:space="preserve">,  </w:t>
            </w:r>
            <m:oMath>
              <m:r>
                <w:rPr>
                  <w:rFonts w:ascii="Cambria Math" w:hAnsi="Cambria Math"/>
                </w:rPr>
                <m:t>∀l∈</m:t>
              </m:r>
              <m:sSup>
                <m:sSupPr>
                  <m:ctrlPr>
                    <w:rPr>
                      <w:rFonts w:ascii="Cambria Math" w:hAnsi="Cambria Math"/>
                      <w:i/>
                    </w:rPr>
                  </m:ctrlPr>
                </m:sSupPr>
                <m:e>
                  <m:r>
                    <w:rPr>
                      <w:rFonts w:ascii="Cambria Math" w:hAnsi="Cambria Math"/>
                    </w:rPr>
                    <m:t>L</m:t>
                  </m:r>
                </m:e>
                <m:sup>
                  <m:r>
                    <w:rPr>
                      <w:rFonts w:ascii="Cambria Math" w:hAnsi="Cambria Math"/>
                    </w:rPr>
                    <m:t>d</m:t>
                  </m:r>
                </m:sup>
              </m:sSup>
            </m:oMath>
          </w:p>
        </w:tc>
      </w:tr>
      <w:tr w:rsidR="00F8788D" w14:paraId="1FD5C01B" w14:textId="77777777" w:rsidTr="002414BB">
        <w:tc>
          <w:tcPr>
            <w:tcW w:w="1237" w:type="dxa"/>
          </w:tcPr>
          <w:p w14:paraId="6EF5E364" w14:textId="77777777" w:rsidR="00F8788D" w:rsidRDefault="00FC1305" w:rsidP="002414BB">
            <m:oMathPara>
              <m:oMath>
                <m:sSub>
                  <m:sSubPr>
                    <m:ctrlPr>
                      <w:rPr>
                        <w:rFonts w:ascii="Cambria Math" w:hAnsi="Cambria Math"/>
                        <w:i/>
                      </w:rPr>
                    </m:ctrlPr>
                  </m:sSubPr>
                  <m:e>
                    <m:r>
                      <w:rPr>
                        <w:rFonts w:ascii="Cambria Math" w:hAnsi="Cambria Math"/>
                      </w:rPr>
                      <m:t>q</m:t>
                    </m:r>
                  </m:e>
                  <m:sub>
                    <m:r>
                      <w:rPr>
                        <w:rFonts w:ascii="Cambria Math" w:hAnsi="Cambria Math"/>
                      </w:rPr>
                      <m:t>l</m:t>
                    </m:r>
                  </m:sub>
                </m:sSub>
              </m:oMath>
            </m:oMathPara>
          </w:p>
        </w:tc>
        <w:tc>
          <w:tcPr>
            <w:tcW w:w="7062" w:type="dxa"/>
          </w:tcPr>
          <w:p w14:paraId="6A217015" w14:textId="77777777" w:rsidR="00F8788D" w:rsidRDefault="00F8788D" w:rsidP="002414BB">
            <w:r>
              <w:t xml:space="preserve">The quadratic cost coefficient associated to an inter-NTH line </w:t>
            </w:r>
            <m:oMath>
              <m:r>
                <w:rPr>
                  <w:rFonts w:ascii="Cambria Math" w:hAnsi="Cambria Math"/>
                </w:rPr>
                <m:t>l</m:t>
              </m:r>
            </m:oMath>
            <w:r>
              <w:t xml:space="preserve">,  </w:t>
            </w:r>
            <m:oMath>
              <m:r>
                <w:rPr>
                  <w:rFonts w:ascii="Cambria Math" w:hAnsi="Cambria Math"/>
                </w:rPr>
                <m:t>∀l∈</m:t>
              </m:r>
              <m:sSup>
                <m:sSupPr>
                  <m:ctrlPr>
                    <w:rPr>
                      <w:rFonts w:ascii="Cambria Math" w:hAnsi="Cambria Math"/>
                      <w:i/>
                    </w:rPr>
                  </m:ctrlPr>
                </m:sSupPr>
                <m:e>
                  <m:r>
                    <w:rPr>
                      <w:rFonts w:ascii="Cambria Math" w:hAnsi="Cambria Math"/>
                    </w:rPr>
                    <m:t>L</m:t>
                  </m:r>
                </m:e>
                <m:sup>
                  <m:r>
                    <w:rPr>
                      <w:rFonts w:ascii="Cambria Math" w:hAnsi="Cambria Math"/>
                    </w:rPr>
                    <m:t>d</m:t>
                  </m:r>
                </m:sup>
              </m:sSup>
            </m:oMath>
          </w:p>
        </w:tc>
      </w:tr>
    </w:tbl>
    <w:p w14:paraId="6637838E" w14:textId="77777777" w:rsidR="00F8788D" w:rsidRDefault="00F8788D" w:rsidP="002414BB"/>
    <w:p w14:paraId="7ABEBDD1" w14:textId="77777777" w:rsidR="00F8788D" w:rsidRPr="00F84DFC" w:rsidRDefault="00F8788D" w:rsidP="002414BB">
      <w:pPr>
        <w:rPr>
          <w:i/>
        </w:rPr>
      </w:pPr>
      <w:r w:rsidRPr="00F84DFC">
        <w:rPr>
          <w:i/>
        </w:rPr>
        <w:t>Variables</w:t>
      </w:r>
    </w:p>
    <w:p w14:paraId="0284F5F6" w14:textId="77777777" w:rsidR="00F8788D" w:rsidRDefault="00FC1305" w:rsidP="002414BB">
      <m:oMath>
        <m:sSub>
          <m:sSubPr>
            <m:ctrlPr>
              <w:rPr>
                <w:rFonts w:ascii="Cambria Math" w:hAnsi="Cambria Math"/>
                <w:i/>
                <w:iCs/>
                <w:lang w:val="fr-FR"/>
              </w:rPr>
            </m:ctrlPr>
          </m:sSubPr>
          <m:e>
            <m:r>
              <w:rPr>
                <w:rFonts w:ascii="Cambria Math" w:hAnsi="Cambria Math"/>
                <w:lang w:val="fr-FR"/>
              </w:rPr>
              <m:t>flow</m:t>
            </m:r>
          </m:e>
          <m:sub>
            <m:sSub>
              <m:sSubPr>
                <m:ctrlPr>
                  <w:rPr>
                    <w:rFonts w:ascii="Cambria Math" w:hAnsi="Cambria Math"/>
                    <w:i/>
                    <w:iCs/>
                    <w:lang w:val="fr-FR"/>
                  </w:rPr>
                </m:ctrlPr>
              </m:sSubPr>
              <m:e>
                <m:r>
                  <w:rPr>
                    <w:rFonts w:ascii="Cambria Math" w:hAnsi="Cambria Math"/>
                    <w:lang w:val="fr-FR"/>
                  </w:rPr>
                  <m:t>l</m:t>
                </m:r>
                <m:r>
                  <w:rPr>
                    <w:rFonts w:ascii="Cambria Math" w:hAnsi="Cambria Math"/>
                  </w:rPr>
                  <m:t>=(</m:t>
                </m:r>
                <m:r>
                  <w:rPr>
                    <w:rFonts w:ascii="Cambria Math" w:hAnsi="Cambria Math"/>
                    <w:lang w:val="fr-FR"/>
                  </w:rPr>
                  <m:t>n</m:t>
                </m:r>
              </m:e>
              <m:sub>
                <m:r>
                  <w:rPr>
                    <w:rFonts w:ascii="Cambria Math" w:hAnsi="Cambria Math"/>
                  </w:rPr>
                  <m:t>1</m:t>
                </m:r>
              </m:sub>
            </m:sSub>
            <m:r>
              <w:rPr>
                <w:rFonts w:ascii="Cambria Math" w:hAnsi="Cambria Math"/>
              </w:rPr>
              <m:t>,</m:t>
            </m:r>
            <m:sSub>
              <m:sSubPr>
                <m:ctrlPr>
                  <w:rPr>
                    <w:rFonts w:ascii="Cambria Math" w:hAnsi="Cambria Math"/>
                    <w:i/>
                    <w:iCs/>
                    <w:lang w:val="fr-FR"/>
                  </w:rPr>
                </m:ctrlPr>
              </m:sSubPr>
              <m:e>
                <m:r>
                  <w:rPr>
                    <w:rFonts w:ascii="Cambria Math" w:hAnsi="Cambria Math"/>
                    <w:lang w:val="fr-FR"/>
                  </w:rPr>
                  <m:t>n</m:t>
                </m:r>
              </m:e>
              <m:sub>
                <m:r>
                  <w:rPr>
                    <w:rFonts w:ascii="Cambria Math" w:hAnsi="Cambria Math"/>
                  </w:rPr>
                  <m:t>2</m:t>
                </m:r>
              </m:sub>
            </m:sSub>
            <m:r>
              <w:rPr>
                <w:rFonts w:ascii="Cambria Math" w:hAnsi="Cambria Math"/>
              </w:rPr>
              <m:t>)</m:t>
            </m:r>
          </m:sub>
        </m:sSub>
      </m:oMath>
      <w:r w:rsidR="00F8788D">
        <w:t xml:space="preserve">: the flow from NTH </w:t>
      </w:r>
      <m:oMath>
        <m:sSub>
          <m:sSubPr>
            <m:ctrlPr>
              <w:rPr>
                <w:rFonts w:ascii="Cambria Math" w:hAnsi="Cambria Math"/>
                <w:i/>
              </w:rPr>
            </m:ctrlPr>
          </m:sSubPr>
          <m:e>
            <m:r>
              <w:rPr>
                <w:rFonts w:ascii="Cambria Math" w:hAnsi="Cambria Math"/>
              </w:rPr>
              <m:t>n</m:t>
            </m:r>
          </m:e>
          <m:sub>
            <m:r>
              <w:rPr>
                <w:rFonts w:ascii="Cambria Math" w:hAnsi="Cambria Math"/>
              </w:rPr>
              <m:t>1</m:t>
            </m:r>
          </m:sub>
        </m:sSub>
      </m:oMath>
      <w:r w:rsidR="00F8788D">
        <w:t xml:space="preserve"> to NTH </w:t>
      </w:r>
      <m:oMath>
        <m:sSub>
          <m:sSubPr>
            <m:ctrlPr>
              <w:rPr>
                <w:rFonts w:ascii="Cambria Math" w:hAnsi="Cambria Math"/>
                <w:i/>
              </w:rPr>
            </m:ctrlPr>
          </m:sSubPr>
          <m:e>
            <m:r>
              <w:rPr>
                <w:rFonts w:ascii="Cambria Math" w:hAnsi="Cambria Math"/>
              </w:rPr>
              <m:t>n</m:t>
            </m:r>
          </m:e>
          <m:sub>
            <m:r>
              <w:rPr>
                <w:rFonts w:ascii="Cambria Math" w:hAnsi="Cambria Math"/>
              </w:rPr>
              <m:t>2</m:t>
            </m:r>
          </m:sub>
        </m:sSub>
      </m:oMath>
      <w:r w:rsidR="00F8788D">
        <w:rPr>
          <w:rFonts w:eastAsiaTheme="minorEastAsia"/>
        </w:rPr>
        <w:t xml:space="preserve">, </w:t>
      </w:r>
      <m:oMath>
        <m:r>
          <w:rPr>
            <w:rFonts w:ascii="Cambria Math" w:eastAsiaTheme="minorEastAsia" w:hAnsi="Cambria Math"/>
          </w:rPr>
          <m:t>∀l∈</m:t>
        </m:r>
        <m:sSup>
          <m:sSupPr>
            <m:ctrlPr>
              <w:rPr>
                <w:rFonts w:ascii="Cambria Math" w:eastAsiaTheme="minorEastAsia" w:hAnsi="Cambria Math"/>
                <w:i/>
              </w:rPr>
            </m:ctrlPr>
          </m:sSupPr>
          <m:e>
            <m:r>
              <w:rPr>
                <w:rFonts w:ascii="Cambria Math" w:eastAsiaTheme="minorEastAsia" w:hAnsi="Cambria Math"/>
              </w:rPr>
              <m:t>L</m:t>
            </m:r>
          </m:e>
          <m:sup>
            <m:r>
              <w:rPr>
                <w:rFonts w:ascii="Cambria Math" w:eastAsiaTheme="minorEastAsia" w:hAnsi="Cambria Math"/>
              </w:rPr>
              <m:t>d</m:t>
            </m:r>
          </m:sup>
        </m:sSup>
      </m:oMath>
    </w:p>
    <w:p w14:paraId="41DC9BBC" w14:textId="77777777" w:rsidR="00F8788D" w:rsidRDefault="00F8788D" w:rsidP="002414BB"/>
    <w:p w14:paraId="474F4C12" w14:textId="77777777" w:rsidR="00F8788D" w:rsidRPr="00C047CF" w:rsidRDefault="00F8788D" w:rsidP="002414BB">
      <w:pPr>
        <w:rPr>
          <w:i/>
        </w:rPr>
      </w:pPr>
      <w:r>
        <w:rPr>
          <w:i/>
        </w:rPr>
        <w:t xml:space="preserve">Optimization </w:t>
      </w:r>
      <w:r w:rsidRPr="00C047CF">
        <w:rPr>
          <w:i/>
        </w:rPr>
        <w:t>Model</w:t>
      </w:r>
      <w:r>
        <w:rPr>
          <w:i/>
        </w:rPr>
        <w:t xml:space="preserve"> 1 (exposure minimization)</w:t>
      </w:r>
    </w:p>
    <w:tbl>
      <w:tblPr>
        <w:tblStyle w:val="TableGrid"/>
        <w:tblW w:w="0" w:type="auto"/>
        <w:tblLook w:val="04A0" w:firstRow="1" w:lastRow="0" w:firstColumn="1" w:lastColumn="0" w:noHBand="0" w:noVBand="1"/>
      </w:tblPr>
      <w:tblGrid>
        <w:gridCol w:w="5098"/>
        <w:gridCol w:w="2613"/>
        <w:gridCol w:w="579"/>
      </w:tblGrid>
      <w:tr w:rsidR="00F8788D" w14:paraId="7D40A7E1" w14:textId="77777777" w:rsidTr="002414BB">
        <w:tc>
          <w:tcPr>
            <w:tcW w:w="8290" w:type="dxa"/>
            <w:gridSpan w:val="3"/>
          </w:tcPr>
          <w:p w14:paraId="4826380A" w14:textId="77777777" w:rsidR="00F8788D" w:rsidRDefault="00FC1305" w:rsidP="002414BB">
            <m:oMathPara>
              <m:oMath>
                <m:func>
                  <m:funcPr>
                    <m:ctrlPr>
                      <w:rPr>
                        <w:rFonts w:ascii="Cambria Math" w:hAnsi="Cambria Math"/>
                        <w:i/>
                      </w:rPr>
                    </m:ctrlPr>
                  </m:funcPr>
                  <m:fName>
                    <m:r>
                      <m:rPr>
                        <m:sty m:val="p"/>
                      </m:rPr>
                      <w:rPr>
                        <w:rFonts w:ascii="Cambria Math" w:hAnsi="Cambria Math"/>
                      </w:rPr>
                      <m:t>min</m:t>
                    </m:r>
                  </m:fName>
                  <m:e>
                    <m:nary>
                      <m:naryPr>
                        <m:chr m:val="∑"/>
                        <m:limLoc m:val="undOvr"/>
                        <m:supHide m:val="1"/>
                        <m:ctrlPr>
                          <w:rPr>
                            <w:rFonts w:ascii="Cambria Math" w:hAnsi="Cambria Math"/>
                            <w:i/>
                          </w:rPr>
                        </m:ctrlPr>
                      </m:naryPr>
                      <m:sub>
                        <m:r>
                          <w:rPr>
                            <w:rFonts w:ascii="Cambria Math" w:hAnsi="Cambria Math"/>
                          </w:rPr>
                          <m:t>c∈ CCP</m:t>
                        </m:r>
                      </m:sub>
                      <m:sup/>
                      <m:e>
                        <m:nary>
                          <m:naryPr>
                            <m:chr m:val="∑"/>
                            <m:limLoc m:val="undOvr"/>
                            <m:supHide m:val="1"/>
                            <m:ctrlPr>
                              <w:rPr>
                                <w:rFonts w:ascii="Cambria Math" w:hAnsi="Cambria Math"/>
                                <w:i/>
                              </w:rPr>
                            </m:ctrlPr>
                          </m:naryPr>
                          <m:sub>
                            <m:sSup>
                              <m:sSupPr>
                                <m:ctrlPr>
                                  <w:rPr>
                                    <w:rFonts w:ascii="Cambria Math" w:hAnsi="Cambria Math"/>
                                    <w:i/>
                                  </w:rPr>
                                </m:ctrlPr>
                              </m:sSupPr>
                              <m:e>
                                <m:r>
                                  <w:rPr>
                                    <w:rFonts w:ascii="Cambria Math" w:hAnsi="Cambria Math"/>
                                  </w:rPr>
                                  <m:t>c</m:t>
                                </m:r>
                              </m:e>
                              <m:sup>
                                <m:r>
                                  <w:rPr>
                                    <w:rFonts w:ascii="Cambria Math" w:hAnsi="Cambria Math"/>
                                  </w:rPr>
                                  <m:t>'</m:t>
                                </m:r>
                              </m:sup>
                            </m:sSup>
                            <m:r>
                              <w:rPr>
                                <w:rFonts w:ascii="Cambria Math" w:hAnsi="Cambria Math"/>
                              </w:rPr>
                              <m:t>∈CCP\</m:t>
                            </m:r>
                            <m:r>
                              <m:rPr>
                                <m:lit/>
                              </m:rPr>
                              <w:rPr>
                                <w:rFonts w:ascii="Cambria Math" w:hAnsi="Cambria Math"/>
                              </w:rPr>
                              <m:t>{</m:t>
                            </m:r>
                            <m:r>
                              <w:rPr>
                                <w:rFonts w:ascii="Cambria Math" w:hAnsi="Cambria Math"/>
                              </w:rPr>
                              <m:t>c}</m:t>
                            </m:r>
                          </m:sub>
                          <m:sup/>
                          <m:e>
                            <m:sSup>
                              <m:sSupPr>
                                <m:ctrlPr>
                                  <w:rPr>
                                    <w:rFonts w:ascii="Cambria Math" w:hAnsi="Cambria Math"/>
                                    <w:i/>
                                    <w:iCs/>
                                    <w:lang w:val="fr-FR"/>
                                  </w:rPr>
                                </m:ctrlPr>
                              </m:sSupPr>
                              <m:e>
                                <m:d>
                                  <m:dPr>
                                    <m:ctrlPr>
                                      <w:rPr>
                                        <w:rFonts w:ascii="Cambria Math" w:hAnsi="Cambria Math"/>
                                        <w:i/>
                                        <w:iCs/>
                                        <w:lang w:val="fr-FR"/>
                                      </w:rPr>
                                    </m:ctrlPr>
                                  </m:dPr>
                                  <m:e>
                                    <m:sSub>
                                      <m:sSubPr>
                                        <m:ctrlPr>
                                          <w:rPr>
                                            <w:rFonts w:ascii="Cambria Math" w:hAnsi="Cambria Math"/>
                                            <w:i/>
                                            <w:iCs/>
                                            <w:lang w:val="fr-FR"/>
                                          </w:rPr>
                                        </m:ctrlPr>
                                      </m:sSubPr>
                                      <m:e>
                                        <m:r>
                                          <w:rPr>
                                            <w:rFonts w:ascii="Cambria Math" w:hAnsi="Cambria Math"/>
                                            <w:lang w:val="fr-FR"/>
                                          </w:rPr>
                                          <m:t>NE</m:t>
                                        </m:r>
                                      </m:e>
                                      <m:sub>
                                        <m:r>
                                          <w:rPr>
                                            <w:rFonts w:ascii="Cambria Math" w:hAnsi="Cambria Math"/>
                                            <w:lang w:val="fr-FR"/>
                                          </w:rPr>
                                          <m:t>c</m:t>
                                        </m:r>
                                        <m:r>
                                          <w:rPr>
                                            <w:rFonts w:ascii="Cambria Math" w:hAnsi="Cambria Math"/>
                                          </w:rPr>
                                          <m:t>|</m:t>
                                        </m:r>
                                        <m:r>
                                          <w:rPr>
                                            <w:rFonts w:ascii="Cambria Math" w:hAnsi="Cambria Math"/>
                                            <w:lang w:val="fr-FR"/>
                                          </w:rPr>
                                          <m:t>c</m:t>
                                        </m:r>
                                        <m:r>
                                          <w:rPr>
                                            <w:rFonts w:ascii="Cambria Math" w:hAnsi="Cambria Math"/>
                                          </w:rPr>
                                          <m:t>'</m:t>
                                        </m:r>
                                      </m:sub>
                                    </m:sSub>
                                  </m:e>
                                </m:d>
                              </m:e>
                              <m:sup>
                                <m:r>
                                  <w:rPr>
                                    <w:rFonts w:ascii="Cambria Math" w:hAnsi="Cambria Math"/>
                                  </w:rPr>
                                  <m:t>2</m:t>
                                </m:r>
                              </m:sup>
                            </m:sSup>
                          </m:e>
                        </m:nary>
                      </m:e>
                    </m:nary>
                  </m:e>
                </m:func>
              </m:oMath>
            </m:oMathPara>
          </w:p>
        </w:tc>
      </w:tr>
      <w:tr w:rsidR="00F8788D" w14:paraId="13B84807" w14:textId="77777777" w:rsidTr="002414BB">
        <w:tc>
          <w:tcPr>
            <w:tcW w:w="8290" w:type="dxa"/>
            <w:gridSpan w:val="3"/>
          </w:tcPr>
          <w:p w14:paraId="3475512F" w14:textId="77777777" w:rsidR="00F8788D" w:rsidRDefault="00F8788D" w:rsidP="002414BB">
            <w:r>
              <w:t>s.t.</w:t>
            </w:r>
          </w:p>
        </w:tc>
      </w:tr>
      <w:tr w:rsidR="00F8788D" w14:paraId="1A154808" w14:textId="77777777" w:rsidTr="002414BB">
        <w:tc>
          <w:tcPr>
            <w:tcW w:w="5098" w:type="dxa"/>
          </w:tcPr>
          <w:p w14:paraId="1FAFE0C1" w14:textId="77777777" w:rsidR="00F8788D" w:rsidRPr="005C7C8B" w:rsidRDefault="00FC1305" w:rsidP="002414BB">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flow</m:t>
                        </m:r>
                      </m:e>
                    </m:acc>
                  </m:e>
                  <m:sub>
                    <m:sSub>
                      <m:sSubPr>
                        <m:ctrlPr>
                          <w:rPr>
                            <w:rFonts w:ascii="Cambria Math" w:hAnsi="Cambria Math"/>
                            <w:i/>
                          </w:rPr>
                        </m:ctrlPr>
                      </m:sSubPr>
                      <m:e>
                        <m:r>
                          <w:rPr>
                            <w:rFonts w:ascii="Cambria Math" w:hAnsi="Cambria Math"/>
                          </w:rPr>
                          <m:t>sa</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sa</m:t>
                        </m:r>
                      </m:e>
                      <m:sub>
                        <m:r>
                          <w:rPr>
                            <w:rFonts w:ascii="Cambria Math" w:hAnsi="Cambria Math"/>
                          </w:rPr>
                          <m:t>2</m:t>
                        </m:r>
                      </m:sub>
                    </m:sSub>
                  </m:sub>
                </m:sSub>
                <m:r>
                  <w:rPr>
                    <w:rFonts w:ascii="Cambria Math" w:hAnsi="Cambria Math"/>
                  </w:rPr>
                  <m:t xml:space="preserve">= </m:t>
                </m:r>
                <m:nary>
                  <m:naryPr>
                    <m:chr m:val="∑"/>
                    <m:limLoc m:val="undOvr"/>
                    <m:supHide m:val="1"/>
                    <m:ctrlPr>
                      <w:rPr>
                        <w:rFonts w:ascii="Cambria Math" w:hAnsi="Cambria Math"/>
                        <w:i/>
                      </w:rPr>
                    </m:ctrlPr>
                  </m:naryPr>
                  <m:sub>
                    <m:r>
                      <w:rPr>
                        <w:rFonts w:ascii="Cambria Math" w:hAnsi="Cambria Math"/>
                      </w:rPr>
                      <m:t>l=</m:t>
                    </m:r>
                    <m:d>
                      <m:dPr>
                        <m:ctrlPr>
                          <w:rPr>
                            <w:rFonts w:ascii="Cambria Math" w:hAnsi="Cambria Math"/>
                            <w:i/>
                          </w:rPr>
                        </m:ctrlPr>
                      </m:dPr>
                      <m:e>
                        <m:r>
                          <w:rPr>
                            <w:rFonts w:ascii="Cambria Math" w:hAnsi="Cambria Math"/>
                          </w:rPr>
                          <m:t>n,</m:t>
                        </m:r>
                        <m:sSup>
                          <m:sSupPr>
                            <m:ctrlPr>
                              <w:rPr>
                                <w:rFonts w:ascii="Cambria Math" w:hAnsi="Cambria Math"/>
                                <w:i/>
                              </w:rPr>
                            </m:ctrlPr>
                          </m:sSupPr>
                          <m:e>
                            <m:r>
                              <w:rPr>
                                <w:rFonts w:ascii="Cambria Math" w:hAnsi="Cambria Math"/>
                              </w:rPr>
                              <m:t>n</m:t>
                            </m:r>
                          </m:e>
                          <m:sup>
                            <m:r>
                              <w:rPr>
                                <w:rFonts w:ascii="Cambria Math" w:hAnsi="Cambria Math"/>
                              </w:rPr>
                              <m:t>'</m:t>
                            </m:r>
                          </m:sup>
                        </m:sSup>
                      </m:e>
                    </m:d>
                    <m:r>
                      <w:rPr>
                        <w:rFonts w:ascii="Cambria Math" w:hAnsi="Cambria Math"/>
                      </w:rPr>
                      <m:t>∈</m:t>
                    </m:r>
                    <m:sSup>
                      <m:sSupPr>
                        <m:ctrlPr>
                          <w:rPr>
                            <w:rFonts w:ascii="Cambria Math" w:hAnsi="Cambria Math"/>
                            <w:i/>
                          </w:rPr>
                        </m:ctrlPr>
                      </m:sSupPr>
                      <m:e>
                        <m:r>
                          <w:rPr>
                            <w:rFonts w:ascii="Cambria Math" w:hAnsi="Cambria Math"/>
                          </w:rPr>
                          <m:t>L</m:t>
                        </m:r>
                      </m:e>
                      <m:sup>
                        <m:r>
                          <w:rPr>
                            <w:rFonts w:ascii="Cambria Math" w:hAnsi="Cambria Math"/>
                          </w:rPr>
                          <m:t>d</m:t>
                        </m:r>
                      </m:sup>
                    </m:sSup>
                    <m:r>
                      <w:rPr>
                        <w:rFonts w:ascii="Cambria Math" w:hAnsi="Cambria Math"/>
                      </w:rPr>
                      <m:t>| SA</m:t>
                    </m:r>
                    <m:d>
                      <m:dPr>
                        <m:ctrlPr>
                          <w:rPr>
                            <w:rFonts w:ascii="Cambria Math" w:hAnsi="Cambria Math"/>
                            <w:i/>
                          </w:rPr>
                        </m:ctrlPr>
                      </m:dPr>
                      <m:e>
                        <m:r>
                          <w:rPr>
                            <w:rFonts w:ascii="Cambria Math" w:hAnsi="Cambria Math"/>
                          </w:rPr>
                          <m:t>n</m:t>
                        </m:r>
                      </m:e>
                    </m:d>
                    <m:r>
                      <w:rPr>
                        <w:rFonts w:ascii="Cambria Math" w:hAnsi="Cambria Math"/>
                      </w:rPr>
                      <m:t>=</m:t>
                    </m:r>
                    <m:sSub>
                      <m:sSubPr>
                        <m:ctrlPr>
                          <w:rPr>
                            <w:rFonts w:ascii="Cambria Math" w:hAnsi="Cambria Math"/>
                            <w:i/>
                          </w:rPr>
                        </m:ctrlPr>
                      </m:sSubPr>
                      <m:e>
                        <m:r>
                          <w:rPr>
                            <w:rFonts w:ascii="Cambria Math" w:hAnsi="Cambria Math"/>
                          </w:rPr>
                          <m:t>sa</m:t>
                        </m:r>
                      </m:e>
                      <m:sub>
                        <m:r>
                          <w:rPr>
                            <w:rFonts w:ascii="Cambria Math" w:hAnsi="Cambria Math"/>
                          </w:rPr>
                          <m:t>1</m:t>
                        </m:r>
                      </m:sub>
                    </m:sSub>
                    <m:r>
                      <w:rPr>
                        <w:rFonts w:ascii="Cambria Math" w:hAnsi="Cambria Math"/>
                      </w:rPr>
                      <m:t>, SA</m:t>
                    </m:r>
                    <m:d>
                      <m:dPr>
                        <m:ctrlPr>
                          <w:rPr>
                            <w:rFonts w:ascii="Cambria Math" w:hAnsi="Cambria Math"/>
                            <w:i/>
                          </w:rPr>
                        </m:ctrlPr>
                      </m:dPr>
                      <m:e>
                        <m:sSup>
                          <m:sSupPr>
                            <m:ctrlPr>
                              <w:rPr>
                                <w:rFonts w:ascii="Cambria Math" w:hAnsi="Cambria Math"/>
                                <w:i/>
                              </w:rPr>
                            </m:ctrlPr>
                          </m:sSupPr>
                          <m:e>
                            <m:r>
                              <w:rPr>
                                <w:rFonts w:ascii="Cambria Math" w:hAnsi="Cambria Math"/>
                              </w:rPr>
                              <m:t>n</m:t>
                            </m:r>
                          </m:e>
                          <m:sup>
                            <m:r>
                              <w:rPr>
                                <w:rFonts w:ascii="Cambria Math" w:hAnsi="Cambria Math"/>
                              </w:rPr>
                              <m:t>'</m:t>
                            </m:r>
                          </m:sup>
                        </m:sSup>
                      </m:e>
                    </m:d>
                    <m:r>
                      <w:rPr>
                        <w:rFonts w:ascii="Cambria Math" w:hAnsi="Cambria Math"/>
                      </w:rPr>
                      <m:t>=</m:t>
                    </m:r>
                    <m:sSub>
                      <m:sSubPr>
                        <m:ctrlPr>
                          <w:rPr>
                            <w:rFonts w:ascii="Cambria Math" w:hAnsi="Cambria Math"/>
                            <w:i/>
                          </w:rPr>
                        </m:ctrlPr>
                      </m:sSubPr>
                      <m:e>
                        <m:r>
                          <w:rPr>
                            <w:rFonts w:ascii="Cambria Math" w:hAnsi="Cambria Math"/>
                          </w:rPr>
                          <m:t>sa</m:t>
                        </m:r>
                      </m:e>
                      <m:sub>
                        <m:r>
                          <w:rPr>
                            <w:rFonts w:ascii="Cambria Math" w:hAnsi="Cambria Math"/>
                          </w:rPr>
                          <m:t>2</m:t>
                        </m:r>
                      </m:sub>
                    </m:sSub>
                  </m:sub>
                  <m:sup/>
                  <m:e>
                    <m:sSub>
                      <m:sSubPr>
                        <m:ctrlPr>
                          <w:rPr>
                            <w:rFonts w:ascii="Cambria Math" w:hAnsi="Cambria Math"/>
                            <w:i/>
                            <w:iCs/>
                            <w:lang w:val="fr-FR"/>
                          </w:rPr>
                        </m:ctrlPr>
                      </m:sSubPr>
                      <m:e>
                        <m:r>
                          <w:rPr>
                            <w:rFonts w:ascii="Cambria Math" w:hAnsi="Cambria Math"/>
                            <w:lang w:val="fr-FR"/>
                          </w:rPr>
                          <m:t>flow</m:t>
                        </m:r>
                      </m:e>
                      <m:sub>
                        <m:r>
                          <w:rPr>
                            <w:rFonts w:ascii="Cambria Math" w:hAnsi="Cambria Math"/>
                          </w:rPr>
                          <m:t>l</m:t>
                        </m:r>
                      </m:sub>
                    </m:sSub>
                  </m:e>
                </m:nary>
              </m:oMath>
            </m:oMathPara>
          </w:p>
        </w:tc>
        <w:tc>
          <w:tcPr>
            <w:tcW w:w="2613" w:type="dxa"/>
          </w:tcPr>
          <w:p w14:paraId="394E0609" w14:textId="77777777" w:rsidR="00F8788D" w:rsidRPr="00252CBC" w:rsidRDefault="00F8788D" w:rsidP="002414BB">
            <m:oMathPara>
              <m:oMath>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2</m:t>
                    </m:r>
                  </m:sub>
                </m:sSub>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BZ</m:t>
                    </m:r>
                  </m:e>
                  <m:sup>
                    <m:r>
                      <w:rPr>
                        <w:rFonts w:ascii="Cambria Math" w:eastAsiaTheme="minorEastAsia" w:hAnsi="Cambria Math"/>
                      </w:rPr>
                      <m:t>2</m:t>
                    </m:r>
                  </m:sup>
                </m:sSup>
              </m:oMath>
            </m:oMathPara>
          </w:p>
        </w:tc>
        <w:tc>
          <w:tcPr>
            <w:tcW w:w="579" w:type="dxa"/>
          </w:tcPr>
          <w:p w14:paraId="014A4A69" w14:textId="77777777" w:rsidR="00F8788D" w:rsidRDefault="00F8788D" w:rsidP="00F8788D">
            <w:pPr>
              <w:pStyle w:val="ListParagraph"/>
              <w:numPr>
                <w:ilvl w:val="0"/>
                <w:numId w:val="15"/>
              </w:numPr>
              <w:ind w:left="357" w:hanging="357"/>
            </w:pPr>
          </w:p>
        </w:tc>
      </w:tr>
      <w:tr w:rsidR="00F8788D" w14:paraId="39C1296E" w14:textId="77777777" w:rsidTr="002414BB">
        <w:tc>
          <w:tcPr>
            <w:tcW w:w="5098" w:type="dxa"/>
          </w:tcPr>
          <w:p w14:paraId="3D7922FD" w14:textId="77777777" w:rsidR="00F8788D" w:rsidRPr="005C7C8B" w:rsidRDefault="00FC1305" w:rsidP="002414BB">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NP</m:t>
                        </m:r>
                      </m:e>
                    </m:acc>
                  </m:e>
                  <m:sub>
                    <m:r>
                      <w:rPr>
                        <w:rFonts w:ascii="Cambria Math" w:hAnsi="Cambria Math"/>
                      </w:rPr>
                      <m:t>n</m:t>
                    </m:r>
                  </m:sub>
                </m:sSub>
                <m:r>
                  <w:rPr>
                    <w:rFonts w:ascii="Cambria Math" w:hAnsi="Cambria Math"/>
                  </w:rPr>
                  <m:t xml:space="preserve">= </m:t>
                </m:r>
                <m:nary>
                  <m:naryPr>
                    <m:chr m:val="∑"/>
                    <m:limLoc m:val="undOvr"/>
                    <m:supHide m:val="1"/>
                    <m:ctrlPr>
                      <w:rPr>
                        <w:rFonts w:ascii="Cambria Math" w:hAnsi="Cambria Math"/>
                        <w:i/>
                      </w:rPr>
                    </m:ctrlPr>
                  </m:naryPr>
                  <m:sub>
                    <m:sSup>
                      <m:sSupPr>
                        <m:ctrlPr>
                          <w:rPr>
                            <w:rFonts w:ascii="Cambria Math" w:hAnsi="Cambria Math"/>
                            <w:i/>
                          </w:rPr>
                        </m:ctrlPr>
                      </m:sSupPr>
                      <m:e>
                        <m:r>
                          <w:rPr>
                            <w:rFonts w:ascii="Cambria Math" w:hAnsi="Cambria Math"/>
                          </w:rPr>
                          <m:t>l</m:t>
                        </m:r>
                      </m:e>
                      <m:sup>
                        <m:r>
                          <w:rPr>
                            <w:rFonts w:ascii="Cambria Math" w:hAnsi="Cambria Math"/>
                          </w:rPr>
                          <m:t>-</m:t>
                        </m:r>
                      </m:sup>
                    </m:sSup>
                    <m:r>
                      <w:rPr>
                        <w:rFonts w:ascii="Cambria Math" w:hAnsi="Cambria Math"/>
                      </w:rPr>
                      <m:t>=</m:t>
                    </m:r>
                    <m:d>
                      <m:dPr>
                        <m:ctrlPr>
                          <w:rPr>
                            <w:rFonts w:ascii="Cambria Math" w:hAnsi="Cambria Math"/>
                            <w:i/>
                          </w:rPr>
                        </m:ctrlPr>
                      </m:dPr>
                      <m:e>
                        <m:r>
                          <w:rPr>
                            <w:rFonts w:ascii="Cambria Math" w:hAnsi="Cambria Math"/>
                          </w:rPr>
                          <m:t>n,</m:t>
                        </m:r>
                        <m:sSup>
                          <m:sSupPr>
                            <m:ctrlPr>
                              <w:rPr>
                                <w:rFonts w:ascii="Cambria Math" w:hAnsi="Cambria Math"/>
                                <w:i/>
                              </w:rPr>
                            </m:ctrlPr>
                          </m:sSupPr>
                          <m:e>
                            <m:r>
                              <w:rPr>
                                <w:rFonts w:ascii="Cambria Math" w:hAnsi="Cambria Math"/>
                              </w:rPr>
                              <m:t>n</m:t>
                            </m:r>
                          </m:e>
                          <m:sup>
                            <m:r>
                              <w:rPr>
                                <w:rFonts w:ascii="Cambria Math" w:hAnsi="Cambria Math"/>
                              </w:rPr>
                              <m:t>'</m:t>
                            </m:r>
                          </m:sup>
                        </m:sSup>
                      </m:e>
                    </m:d>
                    <m:r>
                      <w:rPr>
                        <w:rFonts w:ascii="Cambria Math" w:hAnsi="Cambria Math"/>
                      </w:rPr>
                      <m:t>∈</m:t>
                    </m:r>
                    <m:sSup>
                      <m:sSupPr>
                        <m:ctrlPr>
                          <w:rPr>
                            <w:rFonts w:ascii="Cambria Math" w:hAnsi="Cambria Math"/>
                            <w:i/>
                          </w:rPr>
                        </m:ctrlPr>
                      </m:sSupPr>
                      <m:e>
                        <m:r>
                          <w:rPr>
                            <w:rFonts w:ascii="Cambria Math" w:hAnsi="Cambria Math"/>
                          </w:rPr>
                          <m:t>L</m:t>
                        </m:r>
                      </m:e>
                      <m:sup>
                        <m:r>
                          <w:rPr>
                            <w:rFonts w:ascii="Cambria Math" w:hAnsi="Cambria Math"/>
                          </w:rPr>
                          <m:t>d</m:t>
                        </m:r>
                      </m:sup>
                    </m:sSup>
                  </m:sub>
                  <m:sup/>
                  <m:e>
                    <m:sSub>
                      <m:sSubPr>
                        <m:ctrlPr>
                          <w:rPr>
                            <w:rFonts w:ascii="Cambria Math" w:hAnsi="Cambria Math"/>
                            <w:i/>
                            <w:iCs/>
                            <w:lang w:val="fr-FR"/>
                          </w:rPr>
                        </m:ctrlPr>
                      </m:sSubPr>
                      <m:e>
                        <m:r>
                          <w:rPr>
                            <w:rFonts w:ascii="Cambria Math" w:hAnsi="Cambria Math"/>
                            <w:lang w:val="fr-FR"/>
                          </w:rPr>
                          <m:t>flow</m:t>
                        </m:r>
                      </m:e>
                      <m:sub>
                        <m:sSup>
                          <m:sSupPr>
                            <m:ctrlPr>
                              <w:rPr>
                                <w:rFonts w:ascii="Cambria Math" w:hAnsi="Cambria Math"/>
                                <w:i/>
                              </w:rPr>
                            </m:ctrlPr>
                          </m:sSupPr>
                          <m:e>
                            <m:r>
                              <w:rPr>
                                <w:rFonts w:ascii="Cambria Math" w:hAnsi="Cambria Math"/>
                              </w:rPr>
                              <m:t>l</m:t>
                            </m:r>
                          </m:e>
                          <m:sup>
                            <m:r>
                              <w:rPr>
                                <w:rFonts w:ascii="Cambria Math" w:hAnsi="Cambria Math"/>
                              </w:rPr>
                              <m:t>-</m:t>
                            </m:r>
                          </m:sup>
                        </m:sSup>
                      </m:sub>
                    </m:sSub>
                  </m:e>
                </m:nary>
                <m:r>
                  <w:rPr>
                    <w:rFonts w:ascii="Cambria Math" w:hAnsi="Cambria Math"/>
                  </w:rPr>
                  <m:t>-</m:t>
                </m:r>
                <m:nary>
                  <m:naryPr>
                    <m:chr m:val="∑"/>
                    <m:limLoc m:val="undOvr"/>
                    <m:supHide m:val="1"/>
                    <m:ctrlPr>
                      <w:rPr>
                        <w:rFonts w:ascii="Cambria Math" w:hAnsi="Cambria Math"/>
                        <w:i/>
                      </w:rPr>
                    </m:ctrlPr>
                  </m:naryPr>
                  <m:sub>
                    <m:sSup>
                      <m:sSupPr>
                        <m:ctrlPr>
                          <w:rPr>
                            <w:rFonts w:ascii="Cambria Math" w:hAnsi="Cambria Math"/>
                            <w:i/>
                          </w:rPr>
                        </m:ctrlPr>
                      </m:sSupPr>
                      <m:e>
                        <m:r>
                          <w:rPr>
                            <w:rFonts w:ascii="Cambria Math" w:hAnsi="Cambria Math"/>
                          </w:rPr>
                          <m:t>l</m:t>
                        </m:r>
                      </m:e>
                      <m:sup>
                        <m:r>
                          <w:rPr>
                            <w:rFonts w:ascii="Cambria Math" w:hAnsi="Cambria Math"/>
                          </w:rPr>
                          <m:t>+</m:t>
                        </m:r>
                      </m:sup>
                    </m:sSup>
                    <m:r>
                      <w:rPr>
                        <w:rFonts w:ascii="Cambria Math" w:hAnsi="Cambria Math"/>
                      </w:rPr>
                      <m:t>=</m:t>
                    </m:r>
                    <m:d>
                      <m:dPr>
                        <m:ctrlPr>
                          <w:rPr>
                            <w:rFonts w:ascii="Cambria Math" w:hAnsi="Cambria Math"/>
                            <w:i/>
                          </w:rPr>
                        </m:ctrlPr>
                      </m:dPr>
                      <m:e>
                        <m:sSup>
                          <m:sSupPr>
                            <m:ctrlPr>
                              <w:rPr>
                                <w:rFonts w:ascii="Cambria Math" w:hAnsi="Cambria Math"/>
                                <w:i/>
                              </w:rPr>
                            </m:ctrlPr>
                          </m:sSupPr>
                          <m:e>
                            <m:r>
                              <w:rPr>
                                <w:rFonts w:ascii="Cambria Math" w:hAnsi="Cambria Math"/>
                              </w:rPr>
                              <m:t>n</m:t>
                            </m:r>
                          </m:e>
                          <m:sup>
                            <m:r>
                              <w:rPr>
                                <w:rFonts w:ascii="Cambria Math" w:hAnsi="Cambria Math"/>
                              </w:rPr>
                              <m:t>'</m:t>
                            </m:r>
                          </m:sup>
                        </m:sSup>
                        <m:r>
                          <w:rPr>
                            <w:rFonts w:ascii="Cambria Math" w:hAnsi="Cambria Math"/>
                          </w:rPr>
                          <m:t>,n</m:t>
                        </m:r>
                      </m:e>
                    </m:d>
                    <m:r>
                      <w:rPr>
                        <w:rFonts w:ascii="Cambria Math" w:hAnsi="Cambria Math"/>
                      </w:rPr>
                      <m:t>∈</m:t>
                    </m:r>
                    <m:sSup>
                      <m:sSupPr>
                        <m:ctrlPr>
                          <w:rPr>
                            <w:rFonts w:ascii="Cambria Math" w:hAnsi="Cambria Math"/>
                            <w:i/>
                          </w:rPr>
                        </m:ctrlPr>
                      </m:sSupPr>
                      <m:e>
                        <m:r>
                          <w:rPr>
                            <w:rFonts w:ascii="Cambria Math" w:hAnsi="Cambria Math"/>
                          </w:rPr>
                          <m:t>L</m:t>
                        </m:r>
                      </m:e>
                      <m:sup>
                        <m:r>
                          <w:rPr>
                            <w:rFonts w:ascii="Cambria Math" w:hAnsi="Cambria Math"/>
                          </w:rPr>
                          <m:t>d</m:t>
                        </m:r>
                      </m:sup>
                    </m:sSup>
                  </m:sub>
                  <m:sup/>
                  <m:e>
                    <m:sSub>
                      <m:sSubPr>
                        <m:ctrlPr>
                          <w:rPr>
                            <w:rFonts w:ascii="Cambria Math" w:hAnsi="Cambria Math"/>
                            <w:i/>
                            <w:iCs/>
                            <w:lang w:val="fr-FR"/>
                          </w:rPr>
                        </m:ctrlPr>
                      </m:sSubPr>
                      <m:e>
                        <m:r>
                          <w:rPr>
                            <w:rFonts w:ascii="Cambria Math" w:hAnsi="Cambria Math"/>
                            <w:lang w:val="fr-FR"/>
                          </w:rPr>
                          <m:t>flow</m:t>
                        </m:r>
                      </m:e>
                      <m:sub>
                        <m:sSup>
                          <m:sSupPr>
                            <m:ctrlPr>
                              <w:rPr>
                                <w:rFonts w:ascii="Cambria Math" w:hAnsi="Cambria Math"/>
                                <w:i/>
                              </w:rPr>
                            </m:ctrlPr>
                          </m:sSupPr>
                          <m:e>
                            <m:r>
                              <w:rPr>
                                <w:rFonts w:ascii="Cambria Math" w:hAnsi="Cambria Math"/>
                              </w:rPr>
                              <m:t>l</m:t>
                            </m:r>
                          </m:e>
                          <m:sup>
                            <m:r>
                              <w:rPr>
                                <w:rFonts w:ascii="Cambria Math" w:hAnsi="Cambria Math"/>
                              </w:rPr>
                              <m:t>+</m:t>
                            </m:r>
                          </m:sup>
                        </m:sSup>
                      </m:sub>
                    </m:sSub>
                  </m:e>
                </m:nary>
              </m:oMath>
            </m:oMathPara>
          </w:p>
        </w:tc>
        <w:tc>
          <w:tcPr>
            <w:tcW w:w="2613" w:type="dxa"/>
          </w:tcPr>
          <w:p w14:paraId="6B401F35" w14:textId="77777777" w:rsidR="00F8788D" w:rsidRPr="00252CBC" w:rsidRDefault="00F8788D" w:rsidP="002414BB">
            <m:oMathPara>
              <m:oMath>
                <m:r>
                  <w:rPr>
                    <w:rFonts w:ascii="Cambria Math" w:hAnsi="Cambria Math"/>
                  </w:rPr>
                  <m:t>∀n</m:t>
                </m:r>
                <m:r>
                  <w:rPr>
                    <w:rFonts w:ascii="Cambria Math" w:eastAsiaTheme="minorEastAsia" w:hAnsi="Cambria Math"/>
                  </w:rPr>
                  <m:t>∈NTH</m:t>
                </m:r>
              </m:oMath>
            </m:oMathPara>
          </w:p>
        </w:tc>
        <w:tc>
          <w:tcPr>
            <w:tcW w:w="579" w:type="dxa"/>
          </w:tcPr>
          <w:p w14:paraId="15FA2DF1" w14:textId="77777777" w:rsidR="00F8788D" w:rsidRDefault="00F8788D" w:rsidP="00F8788D">
            <w:pPr>
              <w:pStyle w:val="ListParagraph"/>
              <w:numPr>
                <w:ilvl w:val="0"/>
                <w:numId w:val="15"/>
              </w:numPr>
              <w:ind w:left="357" w:hanging="357"/>
            </w:pPr>
          </w:p>
        </w:tc>
      </w:tr>
    </w:tbl>
    <w:p w14:paraId="425F2140" w14:textId="77777777" w:rsidR="00F8788D" w:rsidRDefault="00F8788D" w:rsidP="002414BB"/>
    <w:p w14:paraId="568B683E" w14:textId="77777777" w:rsidR="00F8788D" w:rsidRDefault="00F8788D" w:rsidP="002414BB">
      <w:pPr>
        <w:jc w:val="both"/>
      </w:pPr>
      <w:r>
        <w:t xml:space="preserve">Where </w:t>
      </w:r>
      <m:oMath>
        <m:r>
          <w:rPr>
            <w:rFonts w:ascii="Cambria Math" w:hAnsi="Cambria Math"/>
          </w:rPr>
          <m:t>SA(n)</m:t>
        </m:r>
      </m:oMath>
      <w:r>
        <w:rPr>
          <w:rFonts w:eastAsiaTheme="minorEastAsia"/>
        </w:rPr>
        <w:t xml:space="preserve"> is a function returning the scheduling area associated to NTH </w:t>
      </w:r>
      <m:oMath>
        <m:r>
          <w:rPr>
            <w:rFonts w:ascii="Cambria Math" w:eastAsiaTheme="minorEastAsia" w:hAnsi="Cambria Math"/>
          </w:rPr>
          <m:t>n</m:t>
        </m:r>
      </m:oMath>
      <w:r>
        <w:rPr>
          <w:rFonts w:eastAsiaTheme="minorEastAsia"/>
        </w:rPr>
        <w:t xml:space="preserve">. </w:t>
      </w:r>
      <w:r>
        <w:t>The first equation ensures that the sum of all inter-NTH flows associated to a scheduling area flow is balanced. The second equation ensures that the sum of flows entering/leaving a NTH is balanced with its related net position.</w:t>
      </w:r>
    </w:p>
    <w:p w14:paraId="3D2B041D" w14:textId="77777777" w:rsidR="00F8788D" w:rsidRDefault="00F8788D" w:rsidP="002414BB"/>
    <w:p w14:paraId="3649B476" w14:textId="77777777" w:rsidR="00F8788D" w:rsidRDefault="00F8788D" w:rsidP="002414BB">
      <w:pPr>
        <w:jc w:val="both"/>
      </w:pPr>
      <w:r>
        <w:t>It is assumed that there can be no inter-NTH flow going into opposite direction than an associated cross-border flow.</w:t>
      </w:r>
    </w:p>
    <w:p w14:paraId="449CEA3C" w14:textId="77777777" w:rsidR="00F8788D" w:rsidRDefault="00F8788D" w:rsidP="002414BB">
      <w:pPr>
        <w:jc w:val="both"/>
      </w:pPr>
    </w:p>
    <w:p w14:paraId="52D2D1B1" w14:textId="77777777" w:rsidR="00F8788D" w:rsidRDefault="00F8788D" w:rsidP="002414BB">
      <w:pPr>
        <w:spacing w:after="160" w:line="259" w:lineRule="auto"/>
      </w:pPr>
      <w:r>
        <w:br w:type="page"/>
      </w:r>
    </w:p>
    <w:p w14:paraId="7CC36198" w14:textId="77777777" w:rsidR="00F8788D" w:rsidRDefault="00F8788D" w:rsidP="002414BB">
      <w:pPr>
        <w:jc w:val="both"/>
      </w:pPr>
      <w:r>
        <w:t>As there may be many symmetries or indeterminacies in the first optimization model, a second optimization step is then used to prevent cycles in the flows and to retrieve a more consistent solution using the cost coefficients of the lines.</w:t>
      </w:r>
    </w:p>
    <w:p w14:paraId="6E83EC71" w14:textId="77777777" w:rsidR="00F8788D" w:rsidRDefault="00F8788D" w:rsidP="002414BB">
      <w:pPr>
        <w:spacing w:after="160" w:line="259" w:lineRule="auto"/>
        <w:rPr>
          <w:i/>
        </w:rPr>
      </w:pPr>
    </w:p>
    <w:p w14:paraId="56129E5D" w14:textId="77777777" w:rsidR="00F8788D" w:rsidRPr="00C047CF" w:rsidRDefault="00F8788D" w:rsidP="002414BB">
      <w:pPr>
        <w:spacing w:after="160" w:line="259" w:lineRule="auto"/>
        <w:rPr>
          <w:i/>
        </w:rPr>
      </w:pPr>
      <w:r>
        <w:rPr>
          <w:i/>
        </w:rPr>
        <w:t xml:space="preserve">Optimization </w:t>
      </w:r>
      <w:r w:rsidRPr="00C047CF">
        <w:rPr>
          <w:i/>
        </w:rPr>
        <w:t>Model</w:t>
      </w:r>
      <w:r>
        <w:rPr>
          <w:i/>
        </w:rPr>
        <w:t xml:space="preserve"> 2 (indeterminacy management)</w:t>
      </w:r>
    </w:p>
    <w:tbl>
      <w:tblPr>
        <w:tblStyle w:val="TableGrid"/>
        <w:tblW w:w="0" w:type="auto"/>
        <w:tblLook w:val="04A0" w:firstRow="1" w:lastRow="0" w:firstColumn="1" w:lastColumn="0" w:noHBand="0" w:noVBand="1"/>
      </w:tblPr>
      <w:tblGrid>
        <w:gridCol w:w="5098"/>
        <w:gridCol w:w="2613"/>
        <w:gridCol w:w="579"/>
      </w:tblGrid>
      <w:tr w:rsidR="00F8788D" w14:paraId="261EBA96" w14:textId="77777777" w:rsidTr="002414BB">
        <w:tc>
          <w:tcPr>
            <w:tcW w:w="8290" w:type="dxa"/>
            <w:gridSpan w:val="3"/>
          </w:tcPr>
          <w:p w14:paraId="2352449B" w14:textId="77777777" w:rsidR="00F8788D" w:rsidRDefault="00F8788D" w:rsidP="002414BB">
            <w:r w:rsidRPr="00F84DFC">
              <w:rPr>
                <w:position w:val="-32"/>
              </w:rPr>
              <w:object w:dxaOrig="4459" w:dyaOrig="600" w14:anchorId="27D0A3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2.6pt;height:29.4pt" o:ole="">
                  <v:imagedata r:id="rId25" o:title=""/>
                </v:shape>
                <o:OLEObject Type="Embed" ProgID="Equation.3" ShapeID="_x0000_i1025" DrawAspect="Content" ObjectID="_1581167345" r:id="rId26"/>
              </w:object>
            </w:r>
          </w:p>
        </w:tc>
      </w:tr>
      <w:tr w:rsidR="00F8788D" w14:paraId="1854E281" w14:textId="77777777" w:rsidTr="002414BB">
        <w:tc>
          <w:tcPr>
            <w:tcW w:w="8290" w:type="dxa"/>
            <w:gridSpan w:val="3"/>
          </w:tcPr>
          <w:p w14:paraId="03E8E2E3" w14:textId="77777777" w:rsidR="00F8788D" w:rsidRDefault="00F8788D" w:rsidP="002414BB">
            <w:r>
              <w:t>s.t.</w:t>
            </w:r>
          </w:p>
        </w:tc>
      </w:tr>
      <w:tr w:rsidR="00F8788D" w14:paraId="25859800" w14:textId="77777777" w:rsidTr="002414BB">
        <w:tc>
          <w:tcPr>
            <w:tcW w:w="5098" w:type="dxa"/>
          </w:tcPr>
          <w:p w14:paraId="0B821FA5" w14:textId="77777777" w:rsidR="00F8788D" w:rsidRPr="005C7C8B" w:rsidRDefault="00FC1305" w:rsidP="002414BB">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flow</m:t>
                        </m:r>
                      </m:e>
                    </m:acc>
                  </m:e>
                  <m:sub>
                    <m:sSub>
                      <m:sSubPr>
                        <m:ctrlPr>
                          <w:rPr>
                            <w:rFonts w:ascii="Cambria Math" w:hAnsi="Cambria Math"/>
                            <w:i/>
                          </w:rPr>
                        </m:ctrlPr>
                      </m:sSubPr>
                      <m:e>
                        <m:r>
                          <w:rPr>
                            <w:rFonts w:ascii="Cambria Math" w:hAnsi="Cambria Math"/>
                          </w:rPr>
                          <m:t>sa</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sa</m:t>
                        </m:r>
                      </m:e>
                      <m:sub>
                        <m:r>
                          <w:rPr>
                            <w:rFonts w:ascii="Cambria Math" w:hAnsi="Cambria Math"/>
                          </w:rPr>
                          <m:t>2</m:t>
                        </m:r>
                      </m:sub>
                    </m:sSub>
                  </m:sub>
                </m:sSub>
                <m:r>
                  <w:rPr>
                    <w:rFonts w:ascii="Cambria Math" w:hAnsi="Cambria Math"/>
                  </w:rPr>
                  <m:t xml:space="preserve">= </m:t>
                </m:r>
                <m:nary>
                  <m:naryPr>
                    <m:chr m:val="∑"/>
                    <m:limLoc m:val="undOvr"/>
                    <m:supHide m:val="1"/>
                    <m:ctrlPr>
                      <w:rPr>
                        <w:rFonts w:ascii="Cambria Math" w:hAnsi="Cambria Math"/>
                        <w:i/>
                      </w:rPr>
                    </m:ctrlPr>
                  </m:naryPr>
                  <m:sub>
                    <m:r>
                      <w:rPr>
                        <w:rFonts w:ascii="Cambria Math" w:hAnsi="Cambria Math"/>
                      </w:rPr>
                      <m:t>l=</m:t>
                    </m:r>
                    <m:d>
                      <m:dPr>
                        <m:ctrlPr>
                          <w:rPr>
                            <w:rFonts w:ascii="Cambria Math" w:hAnsi="Cambria Math"/>
                            <w:i/>
                          </w:rPr>
                        </m:ctrlPr>
                      </m:dPr>
                      <m:e>
                        <m:r>
                          <w:rPr>
                            <w:rFonts w:ascii="Cambria Math" w:hAnsi="Cambria Math"/>
                          </w:rPr>
                          <m:t>n,</m:t>
                        </m:r>
                        <m:sSup>
                          <m:sSupPr>
                            <m:ctrlPr>
                              <w:rPr>
                                <w:rFonts w:ascii="Cambria Math" w:hAnsi="Cambria Math"/>
                                <w:i/>
                              </w:rPr>
                            </m:ctrlPr>
                          </m:sSupPr>
                          <m:e>
                            <m:r>
                              <w:rPr>
                                <w:rFonts w:ascii="Cambria Math" w:hAnsi="Cambria Math"/>
                              </w:rPr>
                              <m:t>n</m:t>
                            </m:r>
                          </m:e>
                          <m:sup>
                            <m:r>
                              <w:rPr>
                                <w:rFonts w:ascii="Cambria Math" w:hAnsi="Cambria Math"/>
                              </w:rPr>
                              <m:t>'</m:t>
                            </m:r>
                          </m:sup>
                        </m:sSup>
                      </m:e>
                    </m:d>
                    <m:r>
                      <w:rPr>
                        <w:rFonts w:ascii="Cambria Math" w:hAnsi="Cambria Math"/>
                      </w:rPr>
                      <m:t>∈</m:t>
                    </m:r>
                    <m:sSup>
                      <m:sSupPr>
                        <m:ctrlPr>
                          <w:rPr>
                            <w:rFonts w:ascii="Cambria Math" w:hAnsi="Cambria Math"/>
                            <w:i/>
                          </w:rPr>
                        </m:ctrlPr>
                      </m:sSupPr>
                      <m:e>
                        <m:r>
                          <w:rPr>
                            <w:rFonts w:ascii="Cambria Math" w:hAnsi="Cambria Math"/>
                          </w:rPr>
                          <m:t>L</m:t>
                        </m:r>
                      </m:e>
                      <m:sup>
                        <m:r>
                          <w:rPr>
                            <w:rFonts w:ascii="Cambria Math" w:hAnsi="Cambria Math"/>
                          </w:rPr>
                          <m:t>d</m:t>
                        </m:r>
                      </m:sup>
                    </m:sSup>
                    <m:r>
                      <w:rPr>
                        <w:rFonts w:ascii="Cambria Math" w:hAnsi="Cambria Math"/>
                      </w:rPr>
                      <m:t>| SA</m:t>
                    </m:r>
                    <m:d>
                      <m:dPr>
                        <m:ctrlPr>
                          <w:rPr>
                            <w:rFonts w:ascii="Cambria Math" w:hAnsi="Cambria Math"/>
                            <w:i/>
                          </w:rPr>
                        </m:ctrlPr>
                      </m:dPr>
                      <m:e>
                        <m:r>
                          <w:rPr>
                            <w:rFonts w:ascii="Cambria Math" w:hAnsi="Cambria Math"/>
                          </w:rPr>
                          <m:t>n</m:t>
                        </m:r>
                      </m:e>
                    </m:d>
                    <m:r>
                      <w:rPr>
                        <w:rFonts w:ascii="Cambria Math" w:hAnsi="Cambria Math"/>
                      </w:rPr>
                      <m:t>=</m:t>
                    </m:r>
                    <m:sSub>
                      <m:sSubPr>
                        <m:ctrlPr>
                          <w:rPr>
                            <w:rFonts w:ascii="Cambria Math" w:hAnsi="Cambria Math"/>
                            <w:i/>
                          </w:rPr>
                        </m:ctrlPr>
                      </m:sSubPr>
                      <m:e>
                        <m:r>
                          <w:rPr>
                            <w:rFonts w:ascii="Cambria Math" w:hAnsi="Cambria Math"/>
                          </w:rPr>
                          <m:t>sa</m:t>
                        </m:r>
                      </m:e>
                      <m:sub>
                        <m:r>
                          <w:rPr>
                            <w:rFonts w:ascii="Cambria Math" w:hAnsi="Cambria Math"/>
                          </w:rPr>
                          <m:t>1</m:t>
                        </m:r>
                      </m:sub>
                    </m:sSub>
                    <m:r>
                      <w:rPr>
                        <w:rFonts w:ascii="Cambria Math" w:hAnsi="Cambria Math"/>
                      </w:rPr>
                      <m:t>, SA</m:t>
                    </m:r>
                    <m:d>
                      <m:dPr>
                        <m:ctrlPr>
                          <w:rPr>
                            <w:rFonts w:ascii="Cambria Math" w:hAnsi="Cambria Math"/>
                            <w:i/>
                          </w:rPr>
                        </m:ctrlPr>
                      </m:dPr>
                      <m:e>
                        <m:sSup>
                          <m:sSupPr>
                            <m:ctrlPr>
                              <w:rPr>
                                <w:rFonts w:ascii="Cambria Math" w:hAnsi="Cambria Math"/>
                                <w:i/>
                              </w:rPr>
                            </m:ctrlPr>
                          </m:sSupPr>
                          <m:e>
                            <m:r>
                              <w:rPr>
                                <w:rFonts w:ascii="Cambria Math" w:hAnsi="Cambria Math"/>
                              </w:rPr>
                              <m:t>n</m:t>
                            </m:r>
                          </m:e>
                          <m:sup>
                            <m:r>
                              <w:rPr>
                                <w:rFonts w:ascii="Cambria Math" w:hAnsi="Cambria Math"/>
                              </w:rPr>
                              <m:t>'</m:t>
                            </m:r>
                          </m:sup>
                        </m:sSup>
                      </m:e>
                    </m:d>
                    <m:r>
                      <w:rPr>
                        <w:rFonts w:ascii="Cambria Math" w:hAnsi="Cambria Math"/>
                      </w:rPr>
                      <m:t>=</m:t>
                    </m:r>
                    <m:sSub>
                      <m:sSubPr>
                        <m:ctrlPr>
                          <w:rPr>
                            <w:rFonts w:ascii="Cambria Math" w:hAnsi="Cambria Math"/>
                            <w:i/>
                          </w:rPr>
                        </m:ctrlPr>
                      </m:sSubPr>
                      <m:e>
                        <m:r>
                          <w:rPr>
                            <w:rFonts w:ascii="Cambria Math" w:hAnsi="Cambria Math"/>
                          </w:rPr>
                          <m:t>sa</m:t>
                        </m:r>
                      </m:e>
                      <m:sub>
                        <m:r>
                          <w:rPr>
                            <w:rFonts w:ascii="Cambria Math" w:hAnsi="Cambria Math"/>
                          </w:rPr>
                          <m:t>2</m:t>
                        </m:r>
                      </m:sub>
                    </m:sSub>
                  </m:sub>
                  <m:sup/>
                  <m:e>
                    <m:sSub>
                      <m:sSubPr>
                        <m:ctrlPr>
                          <w:rPr>
                            <w:rFonts w:ascii="Cambria Math" w:hAnsi="Cambria Math"/>
                            <w:i/>
                            <w:iCs/>
                            <w:lang w:val="fr-FR"/>
                          </w:rPr>
                        </m:ctrlPr>
                      </m:sSubPr>
                      <m:e>
                        <m:r>
                          <w:rPr>
                            <w:rFonts w:ascii="Cambria Math" w:hAnsi="Cambria Math"/>
                            <w:lang w:val="fr-FR"/>
                          </w:rPr>
                          <m:t>flow</m:t>
                        </m:r>
                      </m:e>
                      <m:sub>
                        <m:r>
                          <w:rPr>
                            <w:rFonts w:ascii="Cambria Math" w:hAnsi="Cambria Math"/>
                          </w:rPr>
                          <m:t>l</m:t>
                        </m:r>
                      </m:sub>
                    </m:sSub>
                  </m:e>
                </m:nary>
              </m:oMath>
            </m:oMathPara>
          </w:p>
        </w:tc>
        <w:tc>
          <w:tcPr>
            <w:tcW w:w="2613" w:type="dxa"/>
          </w:tcPr>
          <w:p w14:paraId="1A04B9F0" w14:textId="77777777" w:rsidR="00F8788D" w:rsidRPr="00252CBC" w:rsidRDefault="00F8788D" w:rsidP="002414BB">
            <m:oMathPara>
              <m:oMath>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2</m:t>
                    </m:r>
                  </m:sub>
                </m:sSub>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BZ</m:t>
                    </m:r>
                  </m:e>
                  <m:sup>
                    <m:r>
                      <w:rPr>
                        <w:rFonts w:ascii="Cambria Math" w:eastAsiaTheme="minorEastAsia" w:hAnsi="Cambria Math"/>
                      </w:rPr>
                      <m:t>2</m:t>
                    </m:r>
                  </m:sup>
                </m:sSup>
              </m:oMath>
            </m:oMathPara>
          </w:p>
        </w:tc>
        <w:tc>
          <w:tcPr>
            <w:tcW w:w="579" w:type="dxa"/>
          </w:tcPr>
          <w:p w14:paraId="425DDA1E" w14:textId="77777777" w:rsidR="00F8788D" w:rsidRDefault="00F8788D" w:rsidP="00F8788D">
            <w:pPr>
              <w:pStyle w:val="ListParagraph"/>
              <w:numPr>
                <w:ilvl w:val="0"/>
                <w:numId w:val="15"/>
              </w:numPr>
              <w:ind w:left="357" w:hanging="357"/>
            </w:pPr>
          </w:p>
        </w:tc>
      </w:tr>
      <w:tr w:rsidR="00F8788D" w14:paraId="00818651" w14:textId="77777777" w:rsidTr="002414BB">
        <w:tc>
          <w:tcPr>
            <w:tcW w:w="5098" w:type="dxa"/>
          </w:tcPr>
          <w:p w14:paraId="11250F72" w14:textId="77777777" w:rsidR="00F8788D" w:rsidRPr="005C7C8B" w:rsidRDefault="00FC1305" w:rsidP="002414BB">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NP</m:t>
                        </m:r>
                      </m:e>
                    </m:acc>
                  </m:e>
                  <m:sub>
                    <m:r>
                      <w:rPr>
                        <w:rFonts w:ascii="Cambria Math" w:hAnsi="Cambria Math"/>
                      </w:rPr>
                      <m:t>n</m:t>
                    </m:r>
                  </m:sub>
                </m:sSub>
                <m:r>
                  <w:rPr>
                    <w:rFonts w:ascii="Cambria Math" w:hAnsi="Cambria Math"/>
                  </w:rPr>
                  <m:t xml:space="preserve">= </m:t>
                </m:r>
                <m:nary>
                  <m:naryPr>
                    <m:chr m:val="∑"/>
                    <m:limLoc m:val="undOvr"/>
                    <m:supHide m:val="1"/>
                    <m:ctrlPr>
                      <w:rPr>
                        <w:rFonts w:ascii="Cambria Math" w:hAnsi="Cambria Math"/>
                        <w:i/>
                      </w:rPr>
                    </m:ctrlPr>
                  </m:naryPr>
                  <m:sub>
                    <m:sSup>
                      <m:sSupPr>
                        <m:ctrlPr>
                          <w:rPr>
                            <w:rFonts w:ascii="Cambria Math" w:hAnsi="Cambria Math"/>
                            <w:i/>
                          </w:rPr>
                        </m:ctrlPr>
                      </m:sSupPr>
                      <m:e>
                        <m:r>
                          <w:rPr>
                            <w:rFonts w:ascii="Cambria Math" w:hAnsi="Cambria Math"/>
                          </w:rPr>
                          <m:t>l</m:t>
                        </m:r>
                      </m:e>
                      <m:sup>
                        <m:r>
                          <w:rPr>
                            <w:rFonts w:ascii="Cambria Math" w:hAnsi="Cambria Math"/>
                          </w:rPr>
                          <m:t>-</m:t>
                        </m:r>
                      </m:sup>
                    </m:sSup>
                    <m:r>
                      <w:rPr>
                        <w:rFonts w:ascii="Cambria Math" w:hAnsi="Cambria Math"/>
                      </w:rPr>
                      <m:t>=</m:t>
                    </m:r>
                    <m:d>
                      <m:dPr>
                        <m:ctrlPr>
                          <w:rPr>
                            <w:rFonts w:ascii="Cambria Math" w:hAnsi="Cambria Math"/>
                            <w:i/>
                          </w:rPr>
                        </m:ctrlPr>
                      </m:dPr>
                      <m:e>
                        <m:r>
                          <w:rPr>
                            <w:rFonts w:ascii="Cambria Math" w:hAnsi="Cambria Math"/>
                          </w:rPr>
                          <m:t>n,</m:t>
                        </m:r>
                        <m:sSup>
                          <m:sSupPr>
                            <m:ctrlPr>
                              <w:rPr>
                                <w:rFonts w:ascii="Cambria Math" w:hAnsi="Cambria Math"/>
                                <w:i/>
                              </w:rPr>
                            </m:ctrlPr>
                          </m:sSupPr>
                          <m:e>
                            <m:r>
                              <w:rPr>
                                <w:rFonts w:ascii="Cambria Math" w:hAnsi="Cambria Math"/>
                              </w:rPr>
                              <m:t>n</m:t>
                            </m:r>
                          </m:e>
                          <m:sup>
                            <m:r>
                              <w:rPr>
                                <w:rFonts w:ascii="Cambria Math" w:hAnsi="Cambria Math"/>
                              </w:rPr>
                              <m:t>'</m:t>
                            </m:r>
                          </m:sup>
                        </m:sSup>
                      </m:e>
                    </m:d>
                    <m:r>
                      <w:rPr>
                        <w:rFonts w:ascii="Cambria Math" w:hAnsi="Cambria Math"/>
                      </w:rPr>
                      <m:t>∈</m:t>
                    </m:r>
                    <m:sSup>
                      <m:sSupPr>
                        <m:ctrlPr>
                          <w:rPr>
                            <w:rFonts w:ascii="Cambria Math" w:hAnsi="Cambria Math"/>
                            <w:i/>
                          </w:rPr>
                        </m:ctrlPr>
                      </m:sSupPr>
                      <m:e>
                        <m:r>
                          <w:rPr>
                            <w:rFonts w:ascii="Cambria Math" w:hAnsi="Cambria Math"/>
                          </w:rPr>
                          <m:t>L</m:t>
                        </m:r>
                      </m:e>
                      <m:sup>
                        <m:r>
                          <w:rPr>
                            <w:rFonts w:ascii="Cambria Math" w:hAnsi="Cambria Math"/>
                          </w:rPr>
                          <m:t>d</m:t>
                        </m:r>
                      </m:sup>
                    </m:sSup>
                  </m:sub>
                  <m:sup/>
                  <m:e>
                    <m:sSub>
                      <m:sSubPr>
                        <m:ctrlPr>
                          <w:rPr>
                            <w:rFonts w:ascii="Cambria Math" w:hAnsi="Cambria Math"/>
                            <w:i/>
                            <w:iCs/>
                            <w:lang w:val="fr-FR"/>
                          </w:rPr>
                        </m:ctrlPr>
                      </m:sSubPr>
                      <m:e>
                        <m:r>
                          <w:rPr>
                            <w:rFonts w:ascii="Cambria Math" w:hAnsi="Cambria Math"/>
                            <w:lang w:val="fr-FR"/>
                          </w:rPr>
                          <m:t>flow</m:t>
                        </m:r>
                      </m:e>
                      <m:sub>
                        <m:sSup>
                          <m:sSupPr>
                            <m:ctrlPr>
                              <w:rPr>
                                <w:rFonts w:ascii="Cambria Math" w:hAnsi="Cambria Math"/>
                                <w:i/>
                              </w:rPr>
                            </m:ctrlPr>
                          </m:sSupPr>
                          <m:e>
                            <m:r>
                              <w:rPr>
                                <w:rFonts w:ascii="Cambria Math" w:hAnsi="Cambria Math"/>
                              </w:rPr>
                              <m:t>l</m:t>
                            </m:r>
                          </m:e>
                          <m:sup>
                            <m:r>
                              <w:rPr>
                                <w:rFonts w:ascii="Cambria Math" w:hAnsi="Cambria Math"/>
                              </w:rPr>
                              <m:t>-</m:t>
                            </m:r>
                          </m:sup>
                        </m:sSup>
                      </m:sub>
                    </m:sSub>
                  </m:e>
                </m:nary>
                <m:r>
                  <w:rPr>
                    <w:rFonts w:ascii="Cambria Math" w:hAnsi="Cambria Math"/>
                  </w:rPr>
                  <m:t>-</m:t>
                </m:r>
                <m:nary>
                  <m:naryPr>
                    <m:chr m:val="∑"/>
                    <m:limLoc m:val="undOvr"/>
                    <m:supHide m:val="1"/>
                    <m:ctrlPr>
                      <w:rPr>
                        <w:rFonts w:ascii="Cambria Math" w:hAnsi="Cambria Math"/>
                        <w:i/>
                      </w:rPr>
                    </m:ctrlPr>
                  </m:naryPr>
                  <m:sub>
                    <m:sSup>
                      <m:sSupPr>
                        <m:ctrlPr>
                          <w:rPr>
                            <w:rFonts w:ascii="Cambria Math" w:hAnsi="Cambria Math"/>
                            <w:i/>
                          </w:rPr>
                        </m:ctrlPr>
                      </m:sSupPr>
                      <m:e>
                        <m:r>
                          <w:rPr>
                            <w:rFonts w:ascii="Cambria Math" w:hAnsi="Cambria Math"/>
                          </w:rPr>
                          <m:t>l</m:t>
                        </m:r>
                      </m:e>
                      <m:sup>
                        <m:r>
                          <w:rPr>
                            <w:rFonts w:ascii="Cambria Math" w:hAnsi="Cambria Math"/>
                          </w:rPr>
                          <m:t>+</m:t>
                        </m:r>
                      </m:sup>
                    </m:sSup>
                    <m:r>
                      <w:rPr>
                        <w:rFonts w:ascii="Cambria Math" w:hAnsi="Cambria Math"/>
                      </w:rPr>
                      <m:t>=</m:t>
                    </m:r>
                    <m:d>
                      <m:dPr>
                        <m:ctrlPr>
                          <w:rPr>
                            <w:rFonts w:ascii="Cambria Math" w:hAnsi="Cambria Math"/>
                            <w:i/>
                          </w:rPr>
                        </m:ctrlPr>
                      </m:dPr>
                      <m:e>
                        <m:sSup>
                          <m:sSupPr>
                            <m:ctrlPr>
                              <w:rPr>
                                <w:rFonts w:ascii="Cambria Math" w:hAnsi="Cambria Math"/>
                                <w:i/>
                              </w:rPr>
                            </m:ctrlPr>
                          </m:sSupPr>
                          <m:e>
                            <m:r>
                              <w:rPr>
                                <w:rFonts w:ascii="Cambria Math" w:hAnsi="Cambria Math"/>
                              </w:rPr>
                              <m:t>n</m:t>
                            </m:r>
                          </m:e>
                          <m:sup>
                            <m:r>
                              <w:rPr>
                                <w:rFonts w:ascii="Cambria Math" w:hAnsi="Cambria Math"/>
                              </w:rPr>
                              <m:t>'</m:t>
                            </m:r>
                          </m:sup>
                        </m:sSup>
                        <m:r>
                          <w:rPr>
                            <w:rFonts w:ascii="Cambria Math" w:hAnsi="Cambria Math"/>
                          </w:rPr>
                          <m:t>,n</m:t>
                        </m:r>
                      </m:e>
                    </m:d>
                    <m:r>
                      <w:rPr>
                        <w:rFonts w:ascii="Cambria Math" w:hAnsi="Cambria Math"/>
                      </w:rPr>
                      <m:t>∈</m:t>
                    </m:r>
                    <m:sSup>
                      <m:sSupPr>
                        <m:ctrlPr>
                          <w:rPr>
                            <w:rFonts w:ascii="Cambria Math" w:hAnsi="Cambria Math"/>
                            <w:i/>
                          </w:rPr>
                        </m:ctrlPr>
                      </m:sSupPr>
                      <m:e>
                        <m:r>
                          <w:rPr>
                            <w:rFonts w:ascii="Cambria Math" w:hAnsi="Cambria Math"/>
                          </w:rPr>
                          <m:t>L</m:t>
                        </m:r>
                      </m:e>
                      <m:sup>
                        <m:r>
                          <w:rPr>
                            <w:rFonts w:ascii="Cambria Math" w:hAnsi="Cambria Math"/>
                          </w:rPr>
                          <m:t>d</m:t>
                        </m:r>
                      </m:sup>
                    </m:sSup>
                  </m:sub>
                  <m:sup/>
                  <m:e>
                    <m:sSub>
                      <m:sSubPr>
                        <m:ctrlPr>
                          <w:rPr>
                            <w:rFonts w:ascii="Cambria Math" w:hAnsi="Cambria Math"/>
                            <w:i/>
                            <w:iCs/>
                            <w:lang w:val="fr-FR"/>
                          </w:rPr>
                        </m:ctrlPr>
                      </m:sSubPr>
                      <m:e>
                        <m:r>
                          <w:rPr>
                            <w:rFonts w:ascii="Cambria Math" w:hAnsi="Cambria Math"/>
                            <w:lang w:val="fr-FR"/>
                          </w:rPr>
                          <m:t>flow</m:t>
                        </m:r>
                      </m:e>
                      <m:sub>
                        <m:sSup>
                          <m:sSupPr>
                            <m:ctrlPr>
                              <w:rPr>
                                <w:rFonts w:ascii="Cambria Math" w:hAnsi="Cambria Math"/>
                                <w:i/>
                              </w:rPr>
                            </m:ctrlPr>
                          </m:sSupPr>
                          <m:e>
                            <m:r>
                              <w:rPr>
                                <w:rFonts w:ascii="Cambria Math" w:hAnsi="Cambria Math"/>
                              </w:rPr>
                              <m:t>l</m:t>
                            </m:r>
                          </m:e>
                          <m:sup>
                            <m:r>
                              <w:rPr>
                                <w:rFonts w:ascii="Cambria Math" w:hAnsi="Cambria Math"/>
                              </w:rPr>
                              <m:t>+</m:t>
                            </m:r>
                          </m:sup>
                        </m:sSup>
                      </m:sub>
                    </m:sSub>
                  </m:e>
                </m:nary>
              </m:oMath>
            </m:oMathPara>
          </w:p>
        </w:tc>
        <w:tc>
          <w:tcPr>
            <w:tcW w:w="2613" w:type="dxa"/>
          </w:tcPr>
          <w:p w14:paraId="55CE3AEA" w14:textId="77777777" w:rsidR="00F8788D" w:rsidRPr="00252CBC" w:rsidRDefault="00F8788D" w:rsidP="002414BB">
            <m:oMathPara>
              <m:oMath>
                <m:r>
                  <w:rPr>
                    <w:rFonts w:ascii="Cambria Math" w:hAnsi="Cambria Math"/>
                  </w:rPr>
                  <m:t>∀n</m:t>
                </m:r>
                <m:r>
                  <w:rPr>
                    <w:rFonts w:ascii="Cambria Math" w:eastAsiaTheme="minorEastAsia" w:hAnsi="Cambria Math"/>
                  </w:rPr>
                  <m:t>∈NTH</m:t>
                </m:r>
              </m:oMath>
            </m:oMathPara>
          </w:p>
        </w:tc>
        <w:tc>
          <w:tcPr>
            <w:tcW w:w="579" w:type="dxa"/>
          </w:tcPr>
          <w:p w14:paraId="63B70D2E" w14:textId="77777777" w:rsidR="00F8788D" w:rsidRDefault="00F8788D" w:rsidP="00F8788D">
            <w:pPr>
              <w:pStyle w:val="ListParagraph"/>
              <w:numPr>
                <w:ilvl w:val="0"/>
                <w:numId w:val="15"/>
              </w:numPr>
              <w:ind w:left="357" w:hanging="357"/>
            </w:pPr>
            <w:r>
              <w:t xml:space="preserve"> </w:t>
            </w:r>
          </w:p>
        </w:tc>
      </w:tr>
      <w:tr w:rsidR="00F8788D" w14:paraId="2021000C" w14:textId="77777777" w:rsidTr="002414BB">
        <w:tc>
          <w:tcPr>
            <w:tcW w:w="8290" w:type="dxa"/>
            <w:gridSpan w:val="3"/>
          </w:tcPr>
          <w:p w14:paraId="040A746C" w14:textId="77777777" w:rsidR="00F8788D" w:rsidRDefault="00F8788D" w:rsidP="002414BB"/>
        </w:tc>
      </w:tr>
      <w:tr w:rsidR="00F8788D" w14:paraId="563341B3" w14:textId="77777777" w:rsidTr="002414BB">
        <w:tc>
          <w:tcPr>
            <w:tcW w:w="5098" w:type="dxa"/>
          </w:tcPr>
          <w:p w14:paraId="2D0B7CCC" w14:textId="77777777" w:rsidR="00F8788D" w:rsidRPr="005C7C8B" w:rsidRDefault="00FC1305" w:rsidP="002414BB">
            <m:oMathPara>
              <m:oMath>
                <m:sSub>
                  <m:sSubPr>
                    <m:ctrlPr>
                      <w:rPr>
                        <w:rFonts w:ascii="Cambria Math" w:hAnsi="Cambria Math"/>
                        <w:i/>
                        <w:iCs/>
                        <w:lang w:val="fr-FR"/>
                      </w:rPr>
                    </m:ctrlPr>
                  </m:sSubPr>
                  <m:e>
                    <m:r>
                      <w:rPr>
                        <w:rFonts w:ascii="Cambria Math" w:hAnsi="Cambria Math"/>
                        <w:lang w:val="fr-FR"/>
                      </w:rPr>
                      <m:t>NE</m:t>
                    </m:r>
                  </m:e>
                  <m:sub>
                    <m:r>
                      <w:rPr>
                        <w:rFonts w:ascii="Cambria Math" w:hAnsi="Cambria Math"/>
                        <w:lang w:val="fr-FR"/>
                      </w:rPr>
                      <m:t>c</m:t>
                    </m:r>
                    <m:r>
                      <w:rPr>
                        <w:rFonts w:ascii="Cambria Math" w:hAnsi="Cambria Math"/>
                      </w:rPr>
                      <m:t>|</m:t>
                    </m:r>
                    <m:r>
                      <w:rPr>
                        <w:rFonts w:ascii="Cambria Math" w:hAnsi="Cambria Math"/>
                        <w:lang w:val="fr-FR"/>
                      </w:rPr>
                      <m:t>c</m:t>
                    </m:r>
                    <m:r>
                      <w:rPr>
                        <w:rFonts w:ascii="Cambria Math" w:hAnsi="Cambria Math"/>
                      </w:rPr>
                      <m:t>'</m:t>
                    </m:r>
                  </m:sub>
                </m:sSub>
                <m:r>
                  <w:rPr>
                    <w:rFonts w:ascii="Cambria Math" w:hAnsi="Cambria Math"/>
                  </w:rPr>
                  <m:t>=</m:t>
                </m:r>
                <m:sSub>
                  <m:sSubPr>
                    <m:ctrlPr>
                      <w:rPr>
                        <w:rFonts w:ascii="Cambria Math" w:hAnsi="Cambria Math"/>
                        <w:i/>
                        <w:iCs/>
                        <w:lang w:val="fr-FR"/>
                      </w:rPr>
                    </m:ctrlPr>
                  </m:sSubPr>
                  <m:e>
                    <m:acc>
                      <m:accPr>
                        <m:chr m:val="̅"/>
                        <m:ctrlPr>
                          <w:rPr>
                            <w:rFonts w:ascii="Cambria Math" w:hAnsi="Cambria Math"/>
                            <w:i/>
                            <w:lang w:val="fr-FR"/>
                          </w:rPr>
                        </m:ctrlPr>
                      </m:accPr>
                      <m:e>
                        <m:r>
                          <w:rPr>
                            <w:rFonts w:ascii="Cambria Math" w:hAnsi="Cambria Math"/>
                            <w:lang w:val="fr-FR"/>
                          </w:rPr>
                          <m:t>NE</m:t>
                        </m:r>
                      </m:e>
                    </m:acc>
                  </m:e>
                  <m:sub>
                    <m:r>
                      <w:rPr>
                        <w:rFonts w:ascii="Cambria Math" w:hAnsi="Cambria Math"/>
                        <w:lang w:val="fr-FR"/>
                      </w:rPr>
                      <m:t>c</m:t>
                    </m:r>
                    <m:r>
                      <w:rPr>
                        <w:rFonts w:ascii="Cambria Math" w:hAnsi="Cambria Math"/>
                      </w:rPr>
                      <m:t>|</m:t>
                    </m:r>
                    <m:r>
                      <w:rPr>
                        <w:rFonts w:ascii="Cambria Math" w:hAnsi="Cambria Math"/>
                        <w:lang w:val="fr-FR"/>
                      </w:rPr>
                      <m:t>c</m:t>
                    </m:r>
                    <m:r>
                      <w:rPr>
                        <w:rFonts w:ascii="Cambria Math" w:hAnsi="Cambria Math"/>
                      </w:rPr>
                      <m:t>'</m:t>
                    </m:r>
                  </m:sub>
                </m:sSub>
              </m:oMath>
            </m:oMathPara>
          </w:p>
        </w:tc>
        <w:tc>
          <w:tcPr>
            <w:tcW w:w="2613" w:type="dxa"/>
          </w:tcPr>
          <w:p w14:paraId="2CBF6DA6" w14:textId="77777777" w:rsidR="00F8788D" w:rsidRPr="00252CBC" w:rsidRDefault="00F8788D" w:rsidP="002414BB">
            <m:oMathPara>
              <m:oMath>
                <m:r>
                  <w:rPr>
                    <w:rFonts w:ascii="Cambria Math" w:hAnsi="Cambria Math"/>
                  </w:rPr>
                  <m:t xml:space="preserve">∀c∈CCP, </m:t>
                </m:r>
                <m:sSup>
                  <m:sSupPr>
                    <m:ctrlPr>
                      <w:rPr>
                        <w:rFonts w:ascii="Cambria Math" w:hAnsi="Cambria Math"/>
                        <w:i/>
                      </w:rPr>
                    </m:ctrlPr>
                  </m:sSupPr>
                  <m:e>
                    <m:r>
                      <w:rPr>
                        <w:rFonts w:ascii="Cambria Math" w:hAnsi="Cambria Math"/>
                      </w:rPr>
                      <m:t>c</m:t>
                    </m:r>
                  </m:e>
                  <m:sup>
                    <m:r>
                      <w:rPr>
                        <w:rFonts w:ascii="Cambria Math" w:hAnsi="Cambria Math"/>
                      </w:rPr>
                      <m:t>'</m:t>
                    </m:r>
                  </m:sup>
                </m:sSup>
                <m:r>
                  <w:rPr>
                    <w:rFonts w:ascii="Cambria Math" w:hAnsi="Cambria Math"/>
                  </w:rPr>
                  <m:t>∈CCP\</m:t>
                </m:r>
                <m:d>
                  <m:dPr>
                    <m:begChr m:val="{"/>
                    <m:endChr m:val="}"/>
                    <m:ctrlPr>
                      <w:rPr>
                        <w:rFonts w:ascii="Cambria Math" w:hAnsi="Cambria Math"/>
                        <w:i/>
                      </w:rPr>
                    </m:ctrlPr>
                  </m:dPr>
                  <m:e>
                    <m:r>
                      <w:rPr>
                        <w:rFonts w:ascii="Cambria Math" w:hAnsi="Cambria Math"/>
                      </w:rPr>
                      <m:t>c</m:t>
                    </m:r>
                  </m:e>
                </m:d>
              </m:oMath>
            </m:oMathPara>
          </w:p>
        </w:tc>
        <w:tc>
          <w:tcPr>
            <w:tcW w:w="579" w:type="dxa"/>
          </w:tcPr>
          <w:p w14:paraId="46DE38BB" w14:textId="77777777" w:rsidR="00F8788D" w:rsidRDefault="00F8788D" w:rsidP="00F8788D">
            <w:pPr>
              <w:pStyle w:val="ListParagraph"/>
              <w:numPr>
                <w:ilvl w:val="0"/>
                <w:numId w:val="15"/>
              </w:numPr>
              <w:ind w:left="357" w:hanging="357"/>
            </w:pPr>
          </w:p>
        </w:tc>
      </w:tr>
    </w:tbl>
    <w:p w14:paraId="076C576F" w14:textId="77777777" w:rsidR="00F8788D" w:rsidRDefault="00F8788D" w:rsidP="002414BB"/>
    <w:p w14:paraId="6262E3E9" w14:textId="77777777" w:rsidR="00F8788D" w:rsidRDefault="00F8788D" w:rsidP="002414BB">
      <w:pPr>
        <w:jc w:val="both"/>
        <w:rPr>
          <w:rFonts w:eastAsiaTheme="minorEastAsia"/>
          <w:iCs/>
        </w:rPr>
      </w:pPr>
      <w:r>
        <w:t xml:space="preserve">Where </w:t>
      </w:r>
      <m:oMath>
        <m:sSub>
          <m:sSubPr>
            <m:ctrlPr>
              <w:rPr>
                <w:rFonts w:ascii="Cambria Math" w:hAnsi="Cambria Math"/>
                <w:i/>
                <w:iCs/>
                <w:lang w:val="fr-FR"/>
              </w:rPr>
            </m:ctrlPr>
          </m:sSubPr>
          <m:e>
            <m:acc>
              <m:accPr>
                <m:chr m:val="̅"/>
                <m:ctrlPr>
                  <w:rPr>
                    <w:rFonts w:ascii="Cambria Math" w:hAnsi="Cambria Math"/>
                    <w:i/>
                    <w:lang w:val="fr-FR"/>
                  </w:rPr>
                </m:ctrlPr>
              </m:accPr>
              <m:e>
                <m:r>
                  <w:rPr>
                    <w:rFonts w:ascii="Cambria Math" w:hAnsi="Cambria Math"/>
                    <w:lang w:val="fr-FR"/>
                  </w:rPr>
                  <m:t>NE</m:t>
                </m:r>
              </m:e>
            </m:acc>
          </m:e>
          <m:sub>
            <m:r>
              <w:rPr>
                <w:rFonts w:ascii="Cambria Math" w:hAnsi="Cambria Math"/>
                <w:lang w:val="fr-FR"/>
              </w:rPr>
              <m:t>c</m:t>
            </m:r>
            <m:r>
              <w:rPr>
                <w:rFonts w:ascii="Cambria Math" w:hAnsi="Cambria Math"/>
              </w:rPr>
              <m:t>|</m:t>
            </m:r>
            <m:r>
              <w:rPr>
                <w:rFonts w:ascii="Cambria Math" w:hAnsi="Cambria Math"/>
                <w:lang w:val="fr-FR"/>
              </w:rPr>
              <m:t>c</m:t>
            </m:r>
            <m:r>
              <w:rPr>
                <w:rFonts w:ascii="Cambria Math" w:hAnsi="Cambria Math"/>
              </w:rPr>
              <m:t>'</m:t>
            </m:r>
          </m:sub>
        </m:sSub>
      </m:oMath>
      <w:r w:rsidRPr="00AC42DC">
        <w:rPr>
          <w:rFonts w:eastAsiaTheme="minorEastAsia"/>
          <w:iCs/>
        </w:rPr>
        <w:t xml:space="preserve"> is the net </w:t>
      </w:r>
      <w:r>
        <w:rPr>
          <w:rFonts w:eastAsiaTheme="minorEastAsia"/>
          <w:iCs/>
        </w:rPr>
        <w:t>exposure value obtained after solving the first optimization presented above. In this model, we consequently fix the net exposure values, but flows may be adjusted in order to minimize according to the line coefficients. The flow consistency constraints are identical to the first model.</w:t>
      </w:r>
    </w:p>
    <w:p w14:paraId="06CE5064" w14:textId="77777777" w:rsidR="00F8788D" w:rsidRDefault="00F8788D" w:rsidP="002414BB"/>
    <w:p w14:paraId="33EED1A3" w14:textId="77777777" w:rsidR="00F8788D" w:rsidRDefault="00F8788D" w:rsidP="002414BB">
      <w:pPr>
        <w:jc w:val="both"/>
        <w:rPr>
          <w:rFonts w:cs="Arial"/>
        </w:rPr>
      </w:pPr>
    </w:p>
    <w:p w14:paraId="5BC48663" w14:textId="77777777" w:rsidR="00F8788D" w:rsidRPr="00F8788D" w:rsidRDefault="00F8788D" w:rsidP="00F8788D">
      <w:pPr>
        <w:pStyle w:val="ListParagraph"/>
        <w:ind w:left="0"/>
        <w:rPr>
          <w:rFonts w:cs="Arial"/>
        </w:rPr>
      </w:pPr>
    </w:p>
    <w:p w14:paraId="1D646E71" w14:textId="77777777" w:rsidR="00F8788D" w:rsidRDefault="00F8788D" w:rsidP="00F8788D">
      <w:pPr>
        <w:pStyle w:val="ListParagraph"/>
        <w:ind w:left="0"/>
        <w:rPr>
          <w:rFonts w:cs="Arial"/>
          <w:lang w:val="en-GB"/>
        </w:rPr>
      </w:pPr>
    </w:p>
    <w:p w14:paraId="30EDB3CD" w14:textId="77777777" w:rsidR="00F8788D" w:rsidRDefault="00F8788D" w:rsidP="00F8788D">
      <w:pPr>
        <w:pStyle w:val="ListParagraph"/>
        <w:ind w:left="0"/>
        <w:rPr>
          <w:rFonts w:cs="Arial"/>
          <w:lang w:val="en-GB"/>
        </w:rPr>
      </w:pPr>
    </w:p>
    <w:p w14:paraId="2A1795A4" w14:textId="77777777" w:rsidR="00F8788D" w:rsidRDefault="00F8788D" w:rsidP="00F8788D">
      <w:pPr>
        <w:pStyle w:val="ListParagraph"/>
        <w:ind w:left="0"/>
        <w:rPr>
          <w:rFonts w:cs="Arial"/>
          <w:lang w:val="en-GB"/>
        </w:rPr>
      </w:pPr>
    </w:p>
    <w:p w14:paraId="65D48A12" w14:textId="77777777" w:rsidR="00F8788D" w:rsidRDefault="00F8788D" w:rsidP="00F8788D">
      <w:pPr>
        <w:pStyle w:val="ListParagraph"/>
        <w:ind w:left="0"/>
        <w:rPr>
          <w:rFonts w:cs="Arial"/>
          <w:lang w:val="en-GB"/>
        </w:rPr>
      </w:pPr>
    </w:p>
    <w:p w14:paraId="25C1B80C" w14:textId="51EE5BE1" w:rsidR="00F8788D" w:rsidRDefault="00F8788D" w:rsidP="00F8788D">
      <w:pPr>
        <w:pStyle w:val="ListParagraph"/>
        <w:ind w:left="0"/>
        <w:rPr>
          <w:rFonts w:cs="Arial"/>
          <w:lang w:val="en-GB"/>
        </w:rPr>
      </w:pPr>
    </w:p>
    <w:p w14:paraId="4047A61F" w14:textId="1FBFA519" w:rsidR="00F8788D" w:rsidRDefault="00F8788D" w:rsidP="00F8788D">
      <w:pPr>
        <w:pStyle w:val="ListParagraph"/>
        <w:ind w:left="0"/>
        <w:rPr>
          <w:rFonts w:cs="Arial"/>
          <w:lang w:val="en-GB"/>
        </w:rPr>
      </w:pPr>
    </w:p>
    <w:p w14:paraId="162D8222" w14:textId="3F54B832" w:rsidR="00F8788D" w:rsidRDefault="00F8788D" w:rsidP="00F8788D">
      <w:pPr>
        <w:pStyle w:val="ListParagraph"/>
        <w:ind w:left="0"/>
        <w:rPr>
          <w:rFonts w:cs="Arial"/>
          <w:lang w:val="en-GB"/>
        </w:rPr>
      </w:pPr>
    </w:p>
    <w:p w14:paraId="302B3DDE" w14:textId="037EE923" w:rsidR="00F8788D" w:rsidRDefault="00F8788D" w:rsidP="00F8788D">
      <w:pPr>
        <w:pStyle w:val="ListParagraph"/>
        <w:ind w:left="0"/>
        <w:rPr>
          <w:rFonts w:cs="Arial"/>
          <w:lang w:val="en-GB"/>
        </w:rPr>
      </w:pPr>
    </w:p>
    <w:p w14:paraId="36C289C8" w14:textId="091F6344" w:rsidR="00F8788D" w:rsidRDefault="00F8788D" w:rsidP="00F8788D">
      <w:pPr>
        <w:pStyle w:val="ListParagraph"/>
        <w:ind w:left="0"/>
        <w:rPr>
          <w:rFonts w:cs="Arial"/>
          <w:lang w:val="en-GB"/>
        </w:rPr>
      </w:pPr>
    </w:p>
    <w:p w14:paraId="142FDDA8" w14:textId="5A18CA30" w:rsidR="00F8788D" w:rsidRDefault="00F8788D" w:rsidP="00F8788D">
      <w:pPr>
        <w:pStyle w:val="ListParagraph"/>
        <w:ind w:left="0"/>
        <w:rPr>
          <w:rFonts w:cs="Arial"/>
          <w:lang w:val="en-GB"/>
        </w:rPr>
      </w:pPr>
    </w:p>
    <w:p w14:paraId="0411846F" w14:textId="6885A4A4" w:rsidR="00F8788D" w:rsidRDefault="00F8788D" w:rsidP="00F8788D">
      <w:pPr>
        <w:pStyle w:val="ListParagraph"/>
        <w:ind w:left="0"/>
        <w:rPr>
          <w:rFonts w:cs="Arial"/>
          <w:lang w:val="en-GB"/>
        </w:rPr>
      </w:pPr>
    </w:p>
    <w:p w14:paraId="6A0A0BC1" w14:textId="2FCF16AC" w:rsidR="00F8788D" w:rsidRDefault="00F8788D" w:rsidP="00F8788D">
      <w:pPr>
        <w:pStyle w:val="ListParagraph"/>
        <w:ind w:left="0"/>
        <w:rPr>
          <w:rFonts w:cs="Arial"/>
          <w:lang w:val="en-GB"/>
        </w:rPr>
      </w:pPr>
    </w:p>
    <w:p w14:paraId="36A59CFA" w14:textId="72258792" w:rsidR="00F8788D" w:rsidRDefault="00F8788D" w:rsidP="00F8788D">
      <w:pPr>
        <w:pStyle w:val="ListParagraph"/>
        <w:ind w:left="0"/>
        <w:rPr>
          <w:rFonts w:cs="Arial"/>
          <w:lang w:val="en-GB"/>
        </w:rPr>
      </w:pPr>
    </w:p>
    <w:p w14:paraId="24CED0D2" w14:textId="5D389B08" w:rsidR="00F8788D" w:rsidRDefault="00F8788D" w:rsidP="00F8788D">
      <w:pPr>
        <w:pStyle w:val="ListParagraph"/>
        <w:ind w:left="0"/>
        <w:rPr>
          <w:rFonts w:cs="Arial"/>
          <w:lang w:val="en-GB"/>
        </w:rPr>
      </w:pPr>
    </w:p>
    <w:p w14:paraId="5FA06483" w14:textId="1049E60F" w:rsidR="00F8788D" w:rsidRDefault="00F8788D" w:rsidP="00F8788D">
      <w:pPr>
        <w:pStyle w:val="ListParagraph"/>
        <w:ind w:left="0"/>
        <w:rPr>
          <w:rFonts w:cs="Arial"/>
          <w:lang w:val="en-GB"/>
        </w:rPr>
      </w:pPr>
    </w:p>
    <w:p w14:paraId="7E0B7CCD" w14:textId="73148CF2" w:rsidR="00F8788D" w:rsidRDefault="00F8788D" w:rsidP="00F8788D">
      <w:pPr>
        <w:pStyle w:val="ListParagraph"/>
        <w:ind w:left="0"/>
        <w:rPr>
          <w:rFonts w:cs="Arial"/>
          <w:lang w:val="en-GB"/>
        </w:rPr>
      </w:pPr>
    </w:p>
    <w:p w14:paraId="76700FEE" w14:textId="4614EA26" w:rsidR="00F8788D" w:rsidRDefault="00F8788D" w:rsidP="00F8788D">
      <w:pPr>
        <w:pStyle w:val="ListParagraph"/>
        <w:ind w:left="0"/>
        <w:rPr>
          <w:rFonts w:cs="Arial"/>
          <w:lang w:val="en-GB"/>
        </w:rPr>
      </w:pPr>
    </w:p>
    <w:p w14:paraId="2B679B95" w14:textId="764D2D89" w:rsidR="00F8788D" w:rsidRDefault="00F8788D" w:rsidP="00F8788D">
      <w:pPr>
        <w:pStyle w:val="ListParagraph"/>
        <w:ind w:left="0"/>
        <w:rPr>
          <w:rFonts w:cs="Arial"/>
          <w:lang w:val="en-GB"/>
        </w:rPr>
      </w:pPr>
    </w:p>
    <w:p w14:paraId="09D8D00B" w14:textId="154EC488" w:rsidR="00F8788D" w:rsidRDefault="00F8788D" w:rsidP="00F8788D">
      <w:pPr>
        <w:pStyle w:val="ListParagraph"/>
        <w:ind w:left="0"/>
        <w:rPr>
          <w:rFonts w:cs="Arial"/>
          <w:lang w:val="en-GB"/>
        </w:rPr>
      </w:pPr>
    </w:p>
    <w:p w14:paraId="09D657CC" w14:textId="2AE5905E" w:rsidR="00F8788D" w:rsidRDefault="00F8788D" w:rsidP="00F8788D">
      <w:pPr>
        <w:pStyle w:val="ListParagraph"/>
        <w:ind w:left="0"/>
        <w:rPr>
          <w:rFonts w:cs="Arial"/>
          <w:lang w:val="en-GB"/>
        </w:rPr>
      </w:pPr>
    </w:p>
    <w:p w14:paraId="43E027A3" w14:textId="053034B5" w:rsidR="00F8788D" w:rsidRDefault="00F8788D" w:rsidP="00F8788D">
      <w:pPr>
        <w:pStyle w:val="ListParagraph"/>
        <w:ind w:left="0"/>
        <w:rPr>
          <w:rFonts w:cs="Arial"/>
          <w:lang w:val="en-GB"/>
        </w:rPr>
      </w:pPr>
    </w:p>
    <w:p w14:paraId="2562B19D" w14:textId="477350A5" w:rsidR="00F8788D" w:rsidRDefault="00F8788D" w:rsidP="00F8788D">
      <w:pPr>
        <w:pStyle w:val="ListParagraph"/>
        <w:ind w:left="0"/>
        <w:rPr>
          <w:rFonts w:cs="Arial"/>
          <w:lang w:val="en-GB"/>
        </w:rPr>
      </w:pPr>
    </w:p>
    <w:p w14:paraId="2DE9A86D" w14:textId="03EA1368" w:rsidR="00F8788D" w:rsidRDefault="00F8788D" w:rsidP="00F8788D">
      <w:pPr>
        <w:pStyle w:val="ListParagraph"/>
        <w:ind w:left="0"/>
        <w:rPr>
          <w:rFonts w:cs="Arial"/>
          <w:lang w:val="en-GB"/>
        </w:rPr>
      </w:pPr>
    </w:p>
    <w:p w14:paraId="45F7204C" w14:textId="7C6A6F2E" w:rsidR="00F8788D" w:rsidRDefault="00F8788D" w:rsidP="00F8788D">
      <w:pPr>
        <w:pStyle w:val="ListParagraph"/>
        <w:ind w:left="0"/>
        <w:rPr>
          <w:rFonts w:cs="Arial"/>
          <w:lang w:val="en-GB"/>
        </w:rPr>
      </w:pPr>
    </w:p>
    <w:p w14:paraId="1A383D89" w14:textId="77777777" w:rsidR="00F8788D" w:rsidRDefault="00F8788D" w:rsidP="00F8788D">
      <w:pPr>
        <w:pStyle w:val="ListParagraph"/>
        <w:ind w:left="0"/>
        <w:rPr>
          <w:rFonts w:cs="Arial"/>
          <w:lang w:val="en-GB"/>
        </w:rPr>
      </w:pPr>
    </w:p>
    <w:p w14:paraId="70797BB5" w14:textId="39DCBD11" w:rsidR="00F8788D" w:rsidRPr="00647376" w:rsidRDefault="00F8788D" w:rsidP="00F8788D">
      <w:pPr>
        <w:pStyle w:val="Heading1"/>
        <w:jc w:val="center"/>
        <w:rPr>
          <w:rFonts w:ascii="Arial" w:hAnsi="Arial" w:cs="Arial"/>
        </w:rPr>
      </w:pPr>
      <w:bookmarkStart w:id="54" w:name="_Toc469070612"/>
      <w:bookmarkStart w:id="55" w:name="_Toc507425386"/>
      <w:r w:rsidRPr="00647376">
        <w:rPr>
          <w:rFonts w:ascii="Arial" w:hAnsi="Arial" w:cs="Arial"/>
        </w:rPr>
        <w:t xml:space="preserve">ANNEX 2 – </w:t>
      </w:r>
      <w:bookmarkEnd w:id="54"/>
      <w:r w:rsidR="00F629D2" w:rsidRPr="00F629D2">
        <w:rPr>
          <w:rFonts w:ascii="Arial" w:hAnsi="Arial" w:cs="Arial"/>
        </w:rPr>
        <w:t>Functioning principles of the SDAC under MNA</w:t>
      </w:r>
      <w:bookmarkEnd w:id="55"/>
    </w:p>
    <w:p w14:paraId="152FD70A" w14:textId="54CDD0C9" w:rsidR="0056041B" w:rsidRDefault="0056041B" w:rsidP="00D50501">
      <w:pPr>
        <w:pStyle w:val="ListParagraph"/>
        <w:spacing w:line="276" w:lineRule="auto"/>
        <w:ind w:left="0"/>
        <w:jc w:val="both"/>
        <w:rPr>
          <w:rFonts w:cs="Arial"/>
        </w:rPr>
      </w:pPr>
    </w:p>
    <w:p w14:paraId="617D2612" w14:textId="77777777" w:rsidR="00F8788D" w:rsidRPr="00A426FC" w:rsidRDefault="00F8788D" w:rsidP="002414BB">
      <w:pPr>
        <w:jc w:val="both"/>
        <w:rPr>
          <w:rFonts w:cs="Arial"/>
        </w:rPr>
      </w:pPr>
    </w:p>
    <w:tbl>
      <w:tblPr>
        <w:tblW w:w="8625" w:type="dxa"/>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625"/>
      </w:tblGrid>
      <w:tr w:rsidR="00F8788D" w:rsidRPr="00A426FC" w14:paraId="631B8D3F" w14:textId="77777777" w:rsidTr="002414BB">
        <w:trPr>
          <w:cantSplit/>
          <w:trHeight w:val="503"/>
        </w:trPr>
        <w:tc>
          <w:tcPr>
            <w:tcW w:w="8625" w:type="dxa"/>
            <w:tcBorders>
              <w:top w:val="single" w:sz="4" w:space="0" w:color="auto"/>
              <w:left w:val="single" w:sz="4" w:space="0" w:color="auto"/>
              <w:bottom w:val="single" w:sz="4" w:space="0" w:color="auto"/>
              <w:right w:val="single" w:sz="4" w:space="0" w:color="auto"/>
            </w:tcBorders>
            <w:vAlign w:val="center"/>
            <w:hideMark/>
          </w:tcPr>
          <w:p w14:paraId="192A7428" w14:textId="77777777" w:rsidR="00F8788D" w:rsidRDefault="00F8788D" w:rsidP="002414BB">
            <w:pPr>
              <w:pStyle w:val="DocType"/>
              <w:jc w:val="center"/>
              <w:rPr>
                <w:rFonts w:ascii="Arial" w:hAnsi="Arial" w:cs="Arial"/>
                <w:color w:val="auto"/>
                <w:sz w:val="20"/>
              </w:rPr>
            </w:pPr>
            <w:r>
              <w:rPr>
                <w:rFonts w:ascii="Arial" w:hAnsi="Arial" w:cs="Arial"/>
                <w:color w:val="auto"/>
                <w:sz w:val="20"/>
              </w:rPr>
              <w:t>Functioning principles of the SDAC under MNA</w:t>
            </w:r>
          </w:p>
          <w:p w14:paraId="0CB6E06D" w14:textId="77777777" w:rsidR="00F8788D" w:rsidRDefault="00F8788D" w:rsidP="002414BB">
            <w:pPr>
              <w:pStyle w:val="DocType"/>
              <w:jc w:val="center"/>
              <w:rPr>
                <w:rFonts w:ascii="Arial" w:hAnsi="Arial" w:cs="Arial"/>
                <w:color w:val="auto"/>
                <w:sz w:val="20"/>
              </w:rPr>
            </w:pPr>
            <w:r>
              <w:rPr>
                <w:rFonts w:ascii="Arial" w:hAnsi="Arial" w:cs="Arial"/>
                <w:color w:val="auto"/>
                <w:sz w:val="20"/>
              </w:rPr>
              <w:t>Euphemia Release 10.3 / PMB 10.1</w:t>
            </w:r>
          </w:p>
          <w:p w14:paraId="5ECC6A6C" w14:textId="77777777" w:rsidR="00F8788D" w:rsidRPr="00A426FC" w:rsidRDefault="00F8788D" w:rsidP="002414BB">
            <w:pPr>
              <w:pStyle w:val="DocType"/>
              <w:jc w:val="center"/>
              <w:rPr>
                <w:rFonts w:ascii="Arial" w:hAnsi="Arial" w:cs="Arial"/>
                <w:color w:val="auto"/>
                <w:sz w:val="20"/>
              </w:rPr>
            </w:pPr>
            <w:r>
              <w:rPr>
                <w:rFonts w:ascii="Arial" w:hAnsi="Arial" w:cs="Arial"/>
                <w:color w:val="auto"/>
                <w:sz w:val="20"/>
              </w:rPr>
              <w:t>Coupling Part</w:t>
            </w:r>
          </w:p>
        </w:tc>
      </w:tr>
      <w:tr w:rsidR="00F8788D" w:rsidRPr="00A426FC" w14:paraId="1C48C4A0" w14:textId="77777777" w:rsidTr="002414BB">
        <w:trPr>
          <w:cantSplit/>
          <w:trHeight w:val="500"/>
        </w:trPr>
        <w:tc>
          <w:tcPr>
            <w:tcW w:w="8625" w:type="dxa"/>
            <w:tcBorders>
              <w:top w:val="single" w:sz="4" w:space="0" w:color="auto"/>
              <w:left w:val="single" w:sz="4" w:space="0" w:color="auto"/>
              <w:bottom w:val="single" w:sz="4" w:space="0" w:color="auto"/>
              <w:right w:val="single" w:sz="4" w:space="0" w:color="auto"/>
            </w:tcBorders>
            <w:vAlign w:val="center"/>
            <w:hideMark/>
          </w:tcPr>
          <w:p w14:paraId="330685D3" w14:textId="3A1C54EA" w:rsidR="00F8788D" w:rsidRPr="00A426FC" w:rsidRDefault="00F8788D" w:rsidP="002414BB">
            <w:pPr>
              <w:pStyle w:val="Department"/>
              <w:spacing w:before="120" w:after="120"/>
              <w:jc w:val="center"/>
              <w:rPr>
                <w:rFonts w:ascii="Arial" w:hAnsi="Arial" w:cs="Arial"/>
                <w:color w:val="auto"/>
                <w:sz w:val="20"/>
              </w:rPr>
            </w:pPr>
            <w:r>
              <w:rPr>
                <w:rFonts w:ascii="Arial" w:hAnsi="Arial" w:cs="Arial"/>
                <w:color w:val="auto"/>
                <w:sz w:val="20"/>
              </w:rPr>
              <w:t xml:space="preserve">Version – </w:t>
            </w:r>
            <w:r w:rsidR="00F629D2">
              <w:rPr>
                <w:rFonts w:ascii="Arial" w:hAnsi="Arial" w:cs="Arial"/>
                <w:color w:val="auto"/>
                <w:sz w:val="20"/>
              </w:rPr>
              <w:t>Approved</w:t>
            </w:r>
            <w:r>
              <w:rPr>
                <w:rFonts w:ascii="Arial" w:hAnsi="Arial" w:cs="Arial"/>
                <w:color w:val="auto"/>
                <w:sz w:val="20"/>
              </w:rPr>
              <w:t xml:space="preserve"> by all TSOs </w:t>
            </w:r>
          </w:p>
        </w:tc>
      </w:tr>
    </w:tbl>
    <w:p w14:paraId="2EABE0DA" w14:textId="77777777" w:rsidR="00F8788D" w:rsidRPr="00A426FC" w:rsidRDefault="00F8788D" w:rsidP="002414BB">
      <w:pPr>
        <w:jc w:val="both"/>
        <w:rPr>
          <w:rFonts w:cs="Arial"/>
        </w:rPr>
      </w:pPr>
      <w:r w:rsidRPr="00A426FC">
        <w:rPr>
          <w:rFonts w:cs="Arial"/>
        </w:rPr>
        <w:t xml:space="preserve">  </w:t>
      </w:r>
    </w:p>
    <w:p w14:paraId="12DDE3EA" w14:textId="77777777" w:rsidR="00F8788D" w:rsidRDefault="00F8788D" w:rsidP="002414BB">
      <w:pPr>
        <w:jc w:val="both"/>
        <w:rPr>
          <w:rFonts w:cs="Arial"/>
        </w:rPr>
      </w:pPr>
    </w:p>
    <w:p w14:paraId="657D3DE1" w14:textId="77777777" w:rsidR="00F8788D" w:rsidRPr="00A426FC" w:rsidRDefault="00F8788D" w:rsidP="002414BB">
      <w:pPr>
        <w:jc w:val="both"/>
        <w:rPr>
          <w:rFonts w:cs="Arial"/>
        </w:rPr>
      </w:pPr>
    </w:p>
    <w:tbl>
      <w:tblPr>
        <w:tblStyle w:val="TableGrid"/>
        <w:tblW w:w="0" w:type="auto"/>
        <w:tblLook w:val="04A0" w:firstRow="1" w:lastRow="0" w:firstColumn="1" w:lastColumn="0" w:noHBand="0" w:noVBand="1"/>
      </w:tblPr>
      <w:tblGrid>
        <w:gridCol w:w="1226"/>
        <w:gridCol w:w="1688"/>
        <w:gridCol w:w="3318"/>
        <w:gridCol w:w="2058"/>
      </w:tblGrid>
      <w:tr w:rsidR="00F8788D" w14:paraId="410B73CF" w14:textId="77777777" w:rsidTr="002414BB">
        <w:tc>
          <w:tcPr>
            <w:tcW w:w="1226" w:type="dxa"/>
            <w:shd w:val="clear" w:color="auto" w:fill="D9D9D9" w:themeFill="background1" w:themeFillShade="D9"/>
          </w:tcPr>
          <w:p w14:paraId="10BBD195" w14:textId="77777777" w:rsidR="00F8788D" w:rsidRDefault="00F8788D" w:rsidP="002414BB">
            <w:pPr>
              <w:jc w:val="center"/>
            </w:pPr>
            <w:r>
              <w:t>Version</w:t>
            </w:r>
          </w:p>
        </w:tc>
        <w:tc>
          <w:tcPr>
            <w:tcW w:w="1688" w:type="dxa"/>
            <w:shd w:val="clear" w:color="auto" w:fill="D9D9D9" w:themeFill="background1" w:themeFillShade="D9"/>
          </w:tcPr>
          <w:p w14:paraId="106409BD" w14:textId="77777777" w:rsidR="00F8788D" w:rsidRDefault="00F8788D" w:rsidP="002414BB">
            <w:pPr>
              <w:jc w:val="center"/>
            </w:pPr>
            <w:r>
              <w:t>Date</w:t>
            </w:r>
          </w:p>
        </w:tc>
        <w:tc>
          <w:tcPr>
            <w:tcW w:w="3318" w:type="dxa"/>
            <w:shd w:val="clear" w:color="auto" w:fill="D9D9D9" w:themeFill="background1" w:themeFillShade="D9"/>
          </w:tcPr>
          <w:p w14:paraId="68D64B82" w14:textId="77777777" w:rsidR="00F8788D" w:rsidRDefault="00F8788D" w:rsidP="002414BB">
            <w:pPr>
              <w:jc w:val="center"/>
            </w:pPr>
            <w:r>
              <w:t>Description on change</w:t>
            </w:r>
          </w:p>
        </w:tc>
        <w:tc>
          <w:tcPr>
            <w:tcW w:w="2058" w:type="dxa"/>
            <w:shd w:val="clear" w:color="auto" w:fill="D9D9D9" w:themeFill="background1" w:themeFillShade="D9"/>
          </w:tcPr>
          <w:p w14:paraId="001BAEBF" w14:textId="77777777" w:rsidR="00F8788D" w:rsidRDefault="00F8788D" w:rsidP="002414BB">
            <w:pPr>
              <w:jc w:val="center"/>
            </w:pPr>
            <w:r>
              <w:t>Author</w:t>
            </w:r>
          </w:p>
        </w:tc>
      </w:tr>
      <w:tr w:rsidR="00F8788D" w14:paraId="31BEABD3" w14:textId="77777777" w:rsidTr="002414BB">
        <w:tc>
          <w:tcPr>
            <w:tcW w:w="1226" w:type="dxa"/>
          </w:tcPr>
          <w:p w14:paraId="6F669C4C" w14:textId="77777777" w:rsidR="00F8788D" w:rsidRPr="00FA1422" w:rsidRDefault="00F8788D" w:rsidP="002414BB">
            <w:pPr>
              <w:jc w:val="center"/>
              <w:rPr>
                <w:sz w:val="16"/>
              </w:rPr>
            </w:pPr>
            <w:r w:rsidRPr="00FA1422">
              <w:rPr>
                <w:sz w:val="16"/>
              </w:rPr>
              <w:t>1.0</w:t>
            </w:r>
          </w:p>
        </w:tc>
        <w:tc>
          <w:tcPr>
            <w:tcW w:w="1688" w:type="dxa"/>
          </w:tcPr>
          <w:p w14:paraId="4E86FE81" w14:textId="77777777" w:rsidR="00F8788D" w:rsidRPr="00FA1422" w:rsidRDefault="00F8788D" w:rsidP="002414BB">
            <w:pPr>
              <w:jc w:val="center"/>
              <w:rPr>
                <w:sz w:val="16"/>
              </w:rPr>
            </w:pPr>
            <w:r w:rsidRPr="00FA1422">
              <w:rPr>
                <w:sz w:val="16"/>
              </w:rPr>
              <w:t>15/01/2017</w:t>
            </w:r>
          </w:p>
        </w:tc>
        <w:tc>
          <w:tcPr>
            <w:tcW w:w="3318" w:type="dxa"/>
          </w:tcPr>
          <w:p w14:paraId="2BDE6E1C" w14:textId="77777777" w:rsidR="00F8788D" w:rsidRPr="00FA1422" w:rsidRDefault="00F8788D" w:rsidP="002414BB">
            <w:pPr>
              <w:jc w:val="center"/>
              <w:rPr>
                <w:sz w:val="16"/>
              </w:rPr>
            </w:pPr>
            <w:r w:rsidRPr="00FA1422">
              <w:rPr>
                <w:sz w:val="16"/>
              </w:rPr>
              <w:t>Version approved by INC</w:t>
            </w:r>
            <w:r>
              <w:rPr>
                <w:sz w:val="16"/>
              </w:rPr>
              <w:t xml:space="preserve"> </w:t>
            </w:r>
            <w:r w:rsidRPr="00FA1422">
              <w:rPr>
                <w:sz w:val="16"/>
              </w:rPr>
              <w:t>on 15/01/2018,  sent for approval to al</w:t>
            </w:r>
            <w:r>
              <w:rPr>
                <w:sz w:val="16"/>
              </w:rPr>
              <w:t>l</w:t>
            </w:r>
            <w:r w:rsidRPr="00FA1422">
              <w:rPr>
                <w:sz w:val="16"/>
              </w:rPr>
              <w:t xml:space="preserve">  TSOs</w:t>
            </w:r>
          </w:p>
        </w:tc>
        <w:tc>
          <w:tcPr>
            <w:tcW w:w="2058" w:type="dxa"/>
          </w:tcPr>
          <w:p w14:paraId="0F32FA72" w14:textId="77777777" w:rsidR="00F8788D" w:rsidRPr="00FA1422" w:rsidRDefault="00F8788D" w:rsidP="002414BB">
            <w:pPr>
              <w:jc w:val="center"/>
              <w:rPr>
                <w:sz w:val="16"/>
              </w:rPr>
            </w:pPr>
            <w:r w:rsidRPr="00FA1422">
              <w:rPr>
                <w:sz w:val="16"/>
              </w:rPr>
              <w:t>A.Viaene</w:t>
            </w:r>
          </w:p>
        </w:tc>
      </w:tr>
      <w:tr w:rsidR="00F8788D" w14:paraId="681924C6" w14:textId="77777777" w:rsidTr="002414BB">
        <w:tc>
          <w:tcPr>
            <w:tcW w:w="1226" w:type="dxa"/>
          </w:tcPr>
          <w:p w14:paraId="7AD29145" w14:textId="77777777" w:rsidR="00F8788D" w:rsidRDefault="00F8788D" w:rsidP="002414BB"/>
        </w:tc>
        <w:tc>
          <w:tcPr>
            <w:tcW w:w="1688" w:type="dxa"/>
          </w:tcPr>
          <w:p w14:paraId="7B1BF92D" w14:textId="77777777" w:rsidR="00F8788D" w:rsidRDefault="00F8788D" w:rsidP="002414BB"/>
        </w:tc>
        <w:tc>
          <w:tcPr>
            <w:tcW w:w="3318" w:type="dxa"/>
          </w:tcPr>
          <w:p w14:paraId="7B332FF3" w14:textId="77777777" w:rsidR="00F8788D" w:rsidRDefault="00F8788D" w:rsidP="002414BB"/>
        </w:tc>
        <w:tc>
          <w:tcPr>
            <w:tcW w:w="2058" w:type="dxa"/>
          </w:tcPr>
          <w:p w14:paraId="75C3802D" w14:textId="77777777" w:rsidR="00F8788D" w:rsidRDefault="00F8788D" w:rsidP="002414BB"/>
        </w:tc>
      </w:tr>
      <w:tr w:rsidR="00F8788D" w14:paraId="54BA38F7" w14:textId="77777777" w:rsidTr="002414BB">
        <w:tc>
          <w:tcPr>
            <w:tcW w:w="1226" w:type="dxa"/>
          </w:tcPr>
          <w:p w14:paraId="27A4A576" w14:textId="77777777" w:rsidR="00F8788D" w:rsidRDefault="00F8788D" w:rsidP="002414BB"/>
        </w:tc>
        <w:tc>
          <w:tcPr>
            <w:tcW w:w="1688" w:type="dxa"/>
          </w:tcPr>
          <w:p w14:paraId="726C5810" w14:textId="77777777" w:rsidR="00F8788D" w:rsidRDefault="00F8788D" w:rsidP="002414BB"/>
        </w:tc>
        <w:tc>
          <w:tcPr>
            <w:tcW w:w="3318" w:type="dxa"/>
          </w:tcPr>
          <w:p w14:paraId="417B407E" w14:textId="77777777" w:rsidR="00F8788D" w:rsidRDefault="00F8788D" w:rsidP="002414BB"/>
        </w:tc>
        <w:tc>
          <w:tcPr>
            <w:tcW w:w="2058" w:type="dxa"/>
          </w:tcPr>
          <w:p w14:paraId="30660428" w14:textId="77777777" w:rsidR="00F8788D" w:rsidRDefault="00F8788D" w:rsidP="002414BB"/>
        </w:tc>
      </w:tr>
      <w:tr w:rsidR="00F8788D" w14:paraId="6606BC2F" w14:textId="77777777" w:rsidTr="002414BB">
        <w:tc>
          <w:tcPr>
            <w:tcW w:w="1226" w:type="dxa"/>
          </w:tcPr>
          <w:p w14:paraId="07282BAF" w14:textId="77777777" w:rsidR="00F8788D" w:rsidRDefault="00F8788D" w:rsidP="002414BB"/>
        </w:tc>
        <w:tc>
          <w:tcPr>
            <w:tcW w:w="1688" w:type="dxa"/>
          </w:tcPr>
          <w:p w14:paraId="2B2084C9" w14:textId="77777777" w:rsidR="00F8788D" w:rsidRDefault="00F8788D" w:rsidP="002414BB"/>
        </w:tc>
        <w:tc>
          <w:tcPr>
            <w:tcW w:w="3318" w:type="dxa"/>
          </w:tcPr>
          <w:p w14:paraId="1992CCF1" w14:textId="77777777" w:rsidR="00F8788D" w:rsidRDefault="00F8788D" w:rsidP="002414BB"/>
        </w:tc>
        <w:tc>
          <w:tcPr>
            <w:tcW w:w="2058" w:type="dxa"/>
          </w:tcPr>
          <w:p w14:paraId="2FCCFCB0" w14:textId="77777777" w:rsidR="00F8788D" w:rsidRDefault="00F8788D" w:rsidP="002414BB"/>
        </w:tc>
      </w:tr>
      <w:tr w:rsidR="00F8788D" w14:paraId="0BFFBE37" w14:textId="77777777" w:rsidTr="002414BB">
        <w:tc>
          <w:tcPr>
            <w:tcW w:w="1226" w:type="dxa"/>
          </w:tcPr>
          <w:p w14:paraId="2B6E4585" w14:textId="77777777" w:rsidR="00F8788D" w:rsidRDefault="00F8788D" w:rsidP="002414BB"/>
        </w:tc>
        <w:tc>
          <w:tcPr>
            <w:tcW w:w="1688" w:type="dxa"/>
          </w:tcPr>
          <w:p w14:paraId="406DCF1E" w14:textId="77777777" w:rsidR="00F8788D" w:rsidRDefault="00F8788D" w:rsidP="002414BB"/>
        </w:tc>
        <w:tc>
          <w:tcPr>
            <w:tcW w:w="3318" w:type="dxa"/>
          </w:tcPr>
          <w:p w14:paraId="4FAF7688" w14:textId="77777777" w:rsidR="00F8788D" w:rsidRDefault="00F8788D" w:rsidP="002414BB"/>
        </w:tc>
        <w:tc>
          <w:tcPr>
            <w:tcW w:w="2058" w:type="dxa"/>
          </w:tcPr>
          <w:p w14:paraId="196327EF" w14:textId="77777777" w:rsidR="00F8788D" w:rsidRDefault="00F8788D" w:rsidP="002414BB"/>
        </w:tc>
      </w:tr>
      <w:tr w:rsidR="00F8788D" w14:paraId="38A1CDD2" w14:textId="77777777" w:rsidTr="002414BB">
        <w:tc>
          <w:tcPr>
            <w:tcW w:w="1226" w:type="dxa"/>
          </w:tcPr>
          <w:p w14:paraId="6D30F4E8" w14:textId="77777777" w:rsidR="00F8788D" w:rsidRDefault="00F8788D" w:rsidP="002414BB"/>
        </w:tc>
        <w:tc>
          <w:tcPr>
            <w:tcW w:w="1688" w:type="dxa"/>
          </w:tcPr>
          <w:p w14:paraId="0A305994" w14:textId="77777777" w:rsidR="00F8788D" w:rsidRDefault="00F8788D" w:rsidP="002414BB"/>
        </w:tc>
        <w:tc>
          <w:tcPr>
            <w:tcW w:w="3318" w:type="dxa"/>
          </w:tcPr>
          <w:p w14:paraId="7BE92874" w14:textId="77777777" w:rsidR="00F8788D" w:rsidRDefault="00F8788D" w:rsidP="002414BB"/>
        </w:tc>
        <w:tc>
          <w:tcPr>
            <w:tcW w:w="2058" w:type="dxa"/>
          </w:tcPr>
          <w:p w14:paraId="3AC1D1FE" w14:textId="77777777" w:rsidR="00F8788D" w:rsidRDefault="00F8788D" w:rsidP="002414BB"/>
        </w:tc>
      </w:tr>
      <w:tr w:rsidR="00F8788D" w14:paraId="2656FE88" w14:textId="77777777" w:rsidTr="002414BB">
        <w:tc>
          <w:tcPr>
            <w:tcW w:w="1226" w:type="dxa"/>
          </w:tcPr>
          <w:p w14:paraId="3261D53F" w14:textId="77777777" w:rsidR="00F8788D" w:rsidRDefault="00F8788D" w:rsidP="002414BB"/>
        </w:tc>
        <w:tc>
          <w:tcPr>
            <w:tcW w:w="1688" w:type="dxa"/>
          </w:tcPr>
          <w:p w14:paraId="6E3E9133" w14:textId="77777777" w:rsidR="00F8788D" w:rsidRDefault="00F8788D" w:rsidP="002414BB"/>
        </w:tc>
        <w:tc>
          <w:tcPr>
            <w:tcW w:w="3318" w:type="dxa"/>
          </w:tcPr>
          <w:p w14:paraId="71553E05" w14:textId="77777777" w:rsidR="00F8788D" w:rsidRDefault="00F8788D" w:rsidP="002414BB"/>
        </w:tc>
        <w:tc>
          <w:tcPr>
            <w:tcW w:w="2058" w:type="dxa"/>
          </w:tcPr>
          <w:p w14:paraId="6E39469E" w14:textId="77777777" w:rsidR="00F8788D" w:rsidRDefault="00F8788D" w:rsidP="002414BB"/>
        </w:tc>
      </w:tr>
      <w:tr w:rsidR="00F8788D" w14:paraId="5921DE06" w14:textId="77777777" w:rsidTr="002414BB">
        <w:tc>
          <w:tcPr>
            <w:tcW w:w="1226" w:type="dxa"/>
          </w:tcPr>
          <w:p w14:paraId="726F66DE" w14:textId="77777777" w:rsidR="00F8788D" w:rsidRDefault="00F8788D" w:rsidP="002414BB"/>
        </w:tc>
        <w:tc>
          <w:tcPr>
            <w:tcW w:w="1688" w:type="dxa"/>
          </w:tcPr>
          <w:p w14:paraId="36CA4D15" w14:textId="77777777" w:rsidR="00F8788D" w:rsidRDefault="00F8788D" w:rsidP="002414BB"/>
        </w:tc>
        <w:tc>
          <w:tcPr>
            <w:tcW w:w="3318" w:type="dxa"/>
          </w:tcPr>
          <w:p w14:paraId="09FBF0FB" w14:textId="77777777" w:rsidR="00F8788D" w:rsidRDefault="00F8788D" w:rsidP="002414BB"/>
        </w:tc>
        <w:tc>
          <w:tcPr>
            <w:tcW w:w="2058" w:type="dxa"/>
          </w:tcPr>
          <w:p w14:paraId="21587233" w14:textId="77777777" w:rsidR="00F8788D" w:rsidRDefault="00F8788D" w:rsidP="002414BB"/>
        </w:tc>
      </w:tr>
      <w:tr w:rsidR="00F8788D" w14:paraId="129B833D" w14:textId="77777777" w:rsidTr="002414BB">
        <w:tc>
          <w:tcPr>
            <w:tcW w:w="1226" w:type="dxa"/>
          </w:tcPr>
          <w:p w14:paraId="034F81AC" w14:textId="77777777" w:rsidR="00F8788D" w:rsidRDefault="00F8788D" w:rsidP="002414BB"/>
        </w:tc>
        <w:tc>
          <w:tcPr>
            <w:tcW w:w="1688" w:type="dxa"/>
          </w:tcPr>
          <w:p w14:paraId="1C2E4FC5" w14:textId="77777777" w:rsidR="00F8788D" w:rsidRDefault="00F8788D" w:rsidP="002414BB"/>
        </w:tc>
        <w:tc>
          <w:tcPr>
            <w:tcW w:w="3318" w:type="dxa"/>
          </w:tcPr>
          <w:p w14:paraId="37B6F975" w14:textId="77777777" w:rsidR="00F8788D" w:rsidRDefault="00F8788D" w:rsidP="002414BB"/>
        </w:tc>
        <w:tc>
          <w:tcPr>
            <w:tcW w:w="2058" w:type="dxa"/>
          </w:tcPr>
          <w:p w14:paraId="018CD387" w14:textId="77777777" w:rsidR="00F8788D" w:rsidRDefault="00F8788D" w:rsidP="002414BB"/>
        </w:tc>
      </w:tr>
      <w:tr w:rsidR="00F8788D" w14:paraId="1CCCFDED" w14:textId="77777777" w:rsidTr="002414BB">
        <w:tc>
          <w:tcPr>
            <w:tcW w:w="1226" w:type="dxa"/>
          </w:tcPr>
          <w:p w14:paraId="7306808B" w14:textId="77777777" w:rsidR="00F8788D" w:rsidRDefault="00F8788D" w:rsidP="002414BB"/>
        </w:tc>
        <w:tc>
          <w:tcPr>
            <w:tcW w:w="1688" w:type="dxa"/>
          </w:tcPr>
          <w:p w14:paraId="5B7E417A" w14:textId="77777777" w:rsidR="00F8788D" w:rsidRDefault="00F8788D" w:rsidP="002414BB"/>
        </w:tc>
        <w:tc>
          <w:tcPr>
            <w:tcW w:w="3318" w:type="dxa"/>
          </w:tcPr>
          <w:p w14:paraId="15A2D9FD" w14:textId="77777777" w:rsidR="00F8788D" w:rsidRDefault="00F8788D" w:rsidP="002414BB"/>
        </w:tc>
        <w:tc>
          <w:tcPr>
            <w:tcW w:w="2058" w:type="dxa"/>
          </w:tcPr>
          <w:p w14:paraId="23916B45" w14:textId="77777777" w:rsidR="00F8788D" w:rsidRDefault="00F8788D" w:rsidP="002414BB"/>
        </w:tc>
      </w:tr>
      <w:tr w:rsidR="00F8788D" w14:paraId="64F9BF21" w14:textId="77777777" w:rsidTr="002414BB">
        <w:tc>
          <w:tcPr>
            <w:tcW w:w="1226" w:type="dxa"/>
          </w:tcPr>
          <w:p w14:paraId="7F3627FD" w14:textId="77777777" w:rsidR="00F8788D" w:rsidRDefault="00F8788D" w:rsidP="002414BB"/>
        </w:tc>
        <w:tc>
          <w:tcPr>
            <w:tcW w:w="1688" w:type="dxa"/>
          </w:tcPr>
          <w:p w14:paraId="5BA90C45" w14:textId="77777777" w:rsidR="00F8788D" w:rsidRDefault="00F8788D" w:rsidP="002414BB"/>
        </w:tc>
        <w:tc>
          <w:tcPr>
            <w:tcW w:w="3318" w:type="dxa"/>
          </w:tcPr>
          <w:p w14:paraId="7F489A8A" w14:textId="77777777" w:rsidR="00F8788D" w:rsidRDefault="00F8788D" w:rsidP="002414BB"/>
        </w:tc>
        <w:tc>
          <w:tcPr>
            <w:tcW w:w="2058" w:type="dxa"/>
          </w:tcPr>
          <w:p w14:paraId="1F5D9A6B" w14:textId="77777777" w:rsidR="00F8788D" w:rsidRDefault="00F8788D" w:rsidP="002414BB"/>
        </w:tc>
      </w:tr>
      <w:tr w:rsidR="00F8788D" w14:paraId="27844472" w14:textId="77777777" w:rsidTr="002414BB">
        <w:tc>
          <w:tcPr>
            <w:tcW w:w="1226" w:type="dxa"/>
          </w:tcPr>
          <w:p w14:paraId="5C264109" w14:textId="77777777" w:rsidR="00F8788D" w:rsidRDefault="00F8788D" w:rsidP="002414BB"/>
        </w:tc>
        <w:tc>
          <w:tcPr>
            <w:tcW w:w="1688" w:type="dxa"/>
          </w:tcPr>
          <w:p w14:paraId="4299CD43" w14:textId="77777777" w:rsidR="00F8788D" w:rsidRDefault="00F8788D" w:rsidP="002414BB"/>
        </w:tc>
        <w:tc>
          <w:tcPr>
            <w:tcW w:w="3318" w:type="dxa"/>
          </w:tcPr>
          <w:p w14:paraId="216458C3" w14:textId="77777777" w:rsidR="00F8788D" w:rsidRDefault="00F8788D" w:rsidP="002414BB"/>
        </w:tc>
        <w:tc>
          <w:tcPr>
            <w:tcW w:w="2058" w:type="dxa"/>
          </w:tcPr>
          <w:p w14:paraId="21ADE704" w14:textId="77777777" w:rsidR="00F8788D" w:rsidRDefault="00F8788D" w:rsidP="002414BB"/>
        </w:tc>
      </w:tr>
      <w:tr w:rsidR="00F8788D" w14:paraId="385029B8" w14:textId="77777777" w:rsidTr="002414BB">
        <w:tc>
          <w:tcPr>
            <w:tcW w:w="1226" w:type="dxa"/>
          </w:tcPr>
          <w:p w14:paraId="1842818A" w14:textId="77777777" w:rsidR="00F8788D" w:rsidRDefault="00F8788D" w:rsidP="002414BB"/>
        </w:tc>
        <w:tc>
          <w:tcPr>
            <w:tcW w:w="1688" w:type="dxa"/>
          </w:tcPr>
          <w:p w14:paraId="4A70407B" w14:textId="77777777" w:rsidR="00F8788D" w:rsidRDefault="00F8788D" w:rsidP="002414BB"/>
        </w:tc>
        <w:tc>
          <w:tcPr>
            <w:tcW w:w="3318" w:type="dxa"/>
          </w:tcPr>
          <w:p w14:paraId="4F66951C" w14:textId="77777777" w:rsidR="00F8788D" w:rsidRDefault="00F8788D" w:rsidP="002414BB"/>
        </w:tc>
        <w:tc>
          <w:tcPr>
            <w:tcW w:w="2058" w:type="dxa"/>
          </w:tcPr>
          <w:p w14:paraId="2D7338A0" w14:textId="77777777" w:rsidR="00F8788D" w:rsidRDefault="00F8788D" w:rsidP="002414BB"/>
        </w:tc>
      </w:tr>
      <w:tr w:rsidR="00F8788D" w14:paraId="6B0D7F50" w14:textId="77777777" w:rsidTr="002414BB">
        <w:tc>
          <w:tcPr>
            <w:tcW w:w="1226" w:type="dxa"/>
          </w:tcPr>
          <w:p w14:paraId="765D3847" w14:textId="77777777" w:rsidR="00F8788D" w:rsidRDefault="00F8788D" w:rsidP="002414BB"/>
        </w:tc>
        <w:tc>
          <w:tcPr>
            <w:tcW w:w="1688" w:type="dxa"/>
          </w:tcPr>
          <w:p w14:paraId="71450416" w14:textId="77777777" w:rsidR="00F8788D" w:rsidRDefault="00F8788D" w:rsidP="002414BB"/>
        </w:tc>
        <w:tc>
          <w:tcPr>
            <w:tcW w:w="3318" w:type="dxa"/>
          </w:tcPr>
          <w:p w14:paraId="7FBAA96A" w14:textId="77777777" w:rsidR="00F8788D" w:rsidRDefault="00F8788D" w:rsidP="002414BB"/>
        </w:tc>
        <w:tc>
          <w:tcPr>
            <w:tcW w:w="2058" w:type="dxa"/>
          </w:tcPr>
          <w:p w14:paraId="3702373A" w14:textId="77777777" w:rsidR="00F8788D" w:rsidRDefault="00F8788D" w:rsidP="002414BB"/>
        </w:tc>
      </w:tr>
      <w:tr w:rsidR="00F8788D" w14:paraId="2650F41D" w14:textId="77777777" w:rsidTr="002414BB">
        <w:tc>
          <w:tcPr>
            <w:tcW w:w="1226" w:type="dxa"/>
          </w:tcPr>
          <w:p w14:paraId="7FDA18B2" w14:textId="77777777" w:rsidR="00F8788D" w:rsidRDefault="00F8788D" w:rsidP="002414BB"/>
        </w:tc>
        <w:tc>
          <w:tcPr>
            <w:tcW w:w="1688" w:type="dxa"/>
          </w:tcPr>
          <w:p w14:paraId="6CF24F96" w14:textId="77777777" w:rsidR="00F8788D" w:rsidRDefault="00F8788D" w:rsidP="002414BB"/>
        </w:tc>
        <w:tc>
          <w:tcPr>
            <w:tcW w:w="3318" w:type="dxa"/>
          </w:tcPr>
          <w:p w14:paraId="26E40F20" w14:textId="77777777" w:rsidR="00F8788D" w:rsidRDefault="00F8788D" w:rsidP="002414BB"/>
        </w:tc>
        <w:tc>
          <w:tcPr>
            <w:tcW w:w="2058" w:type="dxa"/>
          </w:tcPr>
          <w:p w14:paraId="16250C2E" w14:textId="77777777" w:rsidR="00F8788D" w:rsidRDefault="00F8788D" w:rsidP="002414BB"/>
        </w:tc>
      </w:tr>
      <w:tr w:rsidR="00F8788D" w14:paraId="29DB028A" w14:textId="77777777" w:rsidTr="002414BB">
        <w:tc>
          <w:tcPr>
            <w:tcW w:w="1226" w:type="dxa"/>
          </w:tcPr>
          <w:p w14:paraId="0AB1C73E" w14:textId="77777777" w:rsidR="00F8788D" w:rsidRDefault="00F8788D" w:rsidP="002414BB"/>
        </w:tc>
        <w:tc>
          <w:tcPr>
            <w:tcW w:w="1688" w:type="dxa"/>
          </w:tcPr>
          <w:p w14:paraId="61354CAB" w14:textId="77777777" w:rsidR="00F8788D" w:rsidRDefault="00F8788D" w:rsidP="002414BB"/>
        </w:tc>
        <w:tc>
          <w:tcPr>
            <w:tcW w:w="3318" w:type="dxa"/>
          </w:tcPr>
          <w:p w14:paraId="54CB3055" w14:textId="77777777" w:rsidR="00F8788D" w:rsidRDefault="00F8788D" w:rsidP="002414BB"/>
        </w:tc>
        <w:tc>
          <w:tcPr>
            <w:tcW w:w="2058" w:type="dxa"/>
          </w:tcPr>
          <w:p w14:paraId="120A2285" w14:textId="77777777" w:rsidR="00F8788D" w:rsidRDefault="00F8788D" w:rsidP="002414BB"/>
        </w:tc>
      </w:tr>
    </w:tbl>
    <w:p w14:paraId="51FD20C7" w14:textId="77777777" w:rsidR="00F8788D" w:rsidRDefault="00F8788D" w:rsidP="002414BB">
      <w:pPr>
        <w:jc w:val="both"/>
        <w:rPr>
          <w:rFonts w:cs="Arial"/>
        </w:rPr>
      </w:pPr>
    </w:p>
    <w:p w14:paraId="76DF586B" w14:textId="77777777" w:rsidR="00F8788D" w:rsidRDefault="00F8788D">
      <w:pPr>
        <w:rPr>
          <w:rFonts w:cs="Arial"/>
        </w:rPr>
      </w:pPr>
      <w:r>
        <w:rPr>
          <w:rFonts w:cs="Arial"/>
        </w:rPr>
        <w:br w:type="page"/>
      </w:r>
    </w:p>
    <w:p w14:paraId="714FF0D0" w14:textId="77777777" w:rsidR="00F8788D" w:rsidRDefault="00F8788D" w:rsidP="002414BB">
      <w:pPr>
        <w:jc w:val="both"/>
        <w:rPr>
          <w:rFonts w:cs="Arial"/>
        </w:rPr>
      </w:pPr>
    </w:p>
    <w:p w14:paraId="22D643CA" w14:textId="77777777" w:rsidR="00F8788D" w:rsidRDefault="00F8788D" w:rsidP="002414BB">
      <w:pPr>
        <w:jc w:val="both"/>
        <w:rPr>
          <w:rFonts w:cs="Arial"/>
        </w:rPr>
      </w:pPr>
    </w:p>
    <w:sdt>
      <w:sdtPr>
        <w:rPr>
          <w:rFonts w:ascii="Calibri" w:eastAsiaTheme="minorHAnsi" w:hAnsi="Calibri" w:cs="Calibri"/>
          <w:color w:val="auto"/>
          <w:sz w:val="22"/>
          <w:szCs w:val="22"/>
          <w:lang w:val="en-GB" w:eastAsia="en-GB"/>
        </w:rPr>
        <w:id w:val="762347434"/>
        <w:docPartObj>
          <w:docPartGallery w:val="Table of Contents"/>
          <w:docPartUnique/>
        </w:docPartObj>
      </w:sdtPr>
      <w:sdtEndPr>
        <w:rPr>
          <w:rFonts w:ascii="Arial" w:eastAsia="Times New Roman" w:hAnsi="Arial" w:cs="Times New Roman"/>
          <w:b/>
          <w:bCs/>
          <w:noProof/>
          <w:szCs w:val="24"/>
          <w:lang w:val="en-IE" w:eastAsia="de-DE"/>
        </w:rPr>
      </w:sdtEndPr>
      <w:sdtContent>
        <w:p w14:paraId="10F36956" w14:textId="77777777" w:rsidR="00F8788D" w:rsidRDefault="00F8788D" w:rsidP="00F8788D">
          <w:pPr>
            <w:pStyle w:val="TOCHeading"/>
            <w:numPr>
              <w:ilvl w:val="0"/>
              <w:numId w:val="16"/>
            </w:numPr>
            <w:jc w:val="both"/>
          </w:pPr>
          <w:r>
            <w:t>Contents</w:t>
          </w:r>
        </w:p>
        <w:p w14:paraId="651CD09F" w14:textId="77777777" w:rsidR="00F8788D" w:rsidRPr="00557C80" w:rsidRDefault="00F8788D" w:rsidP="002414BB">
          <w:pPr>
            <w:jc w:val="both"/>
            <w:rPr>
              <w:lang w:val="en-US" w:eastAsia="en-US"/>
            </w:rPr>
          </w:pPr>
        </w:p>
        <w:p w14:paraId="1D7C4F70" w14:textId="4DFCB475" w:rsidR="00F8788D" w:rsidRDefault="00F8788D">
          <w:pPr>
            <w:pStyle w:val="TOC1"/>
            <w:tabs>
              <w:tab w:val="left" w:pos="440"/>
              <w:tab w:val="right" w:leader="dot" w:pos="8290"/>
            </w:tabs>
            <w:rPr>
              <w:rFonts w:asciiTheme="minorHAnsi" w:eastAsiaTheme="minorEastAsia" w:hAnsiTheme="minorHAnsi" w:cstheme="minorBidi"/>
              <w:noProof/>
              <w:lang w:val="nl-BE" w:eastAsia="nl-BE"/>
            </w:rPr>
          </w:pPr>
          <w:r>
            <w:fldChar w:fldCharType="begin"/>
          </w:r>
          <w:r>
            <w:instrText xml:space="preserve"> TOC \o "1-3" \h \z \u </w:instrText>
          </w:r>
          <w:r>
            <w:fldChar w:fldCharType="separate"/>
          </w:r>
          <w:hyperlink w:anchor="_Toc503782580" w:history="1">
            <w:r w:rsidRPr="00472ACB">
              <w:rPr>
                <w:rStyle w:val="Hyperlink"/>
                <w:noProof/>
              </w:rPr>
              <w:t>1.</w:t>
            </w:r>
            <w:r>
              <w:rPr>
                <w:rFonts w:asciiTheme="minorHAnsi" w:eastAsiaTheme="minorEastAsia" w:hAnsiTheme="minorHAnsi" w:cstheme="minorBidi"/>
                <w:noProof/>
                <w:lang w:val="nl-BE" w:eastAsia="nl-BE"/>
              </w:rPr>
              <w:tab/>
            </w:r>
            <w:r w:rsidRPr="00472ACB">
              <w:rPr>
                <w:rStyle w:val="Hyperlink"/>
                <w:noProof/>
              </w:rPr>
              <w:t>Purpose of the document</w:t>
            </w:r>
            <w:r>
              <w:rPr>
                <w:noProof/>
                <w:webHidden/>
              </w:rPr>
              <w:tab/>
            </w:r>
            <w:r>
              <w:rPr>
                <w:noProof/>
                <w:webHidden/>
              </w:rPr>
              <w:fldChar w:fldCharType="begin"/>
            </w:r>
            <w:r>
              <w:rPr>
                <w:noProof/>
                <w:webHidden/>
              </w:rPr>
              <w:instrText xml:space="preserve"> PAGEREF _Toc503782580 \h </w:instrText>
            </w:r>
            <w:r>
              <w:rPr>
                <w:noProof/>
                <w:webHidden/>
              </w:rPr>
            </w:r>
            <w:r>
              <w:rPr>
                <w:noProof/>
                <w:webHidden/>
              </w:rPr>
              <w:fldChar w:fldCharType="separate"/>
            </w:r>
            <w:r w:rsidR="00FC1305">
              <w:rPr>
                <w:noProof/>
                <w:webHidden/>
              </w:rPr>
              <w:t>30</w:t>
            </w:r>
            <w:r>
              <w:rPr>
                <w:noProof/>
                <w:webHidden/>
              </w:rPr>
              <w:fldChar w:fldCharType="end"/>
            </w:r>
          </w:hyperlink>
        </w:p>
        <w:p w14:paraId="45002FD6" w14:textId="11899DCC" w:rsidR="00F8788D" w:rsidRDefault="00FC1305">
          <w:pPr>
            <w:pStyle w:val="TOC1"/>
            <w:tabs>
              <w:tab w:val="left" w:pos="440"/>
              <w:tab w:val="right" w:leader="dot" w:pos="8290"/>
            </w:tabs>
            <w:rPr>
              <w:rFonts w:asciiTheme="minorHAnsi" w:eastAsiaTheme="minorEastAsia" w:hAnsiTheme="minorHAnsi" w:cstheme="minorBidi"/>
              <w:noProof/>
              <w:lang w:val="nl-BE" w:eastAsia="nl-BE"/>
            </w:rPr>
          </w:pPr>
          <w:hyperlink w:anchor="_Toc503782581" w:history="1">
            <w:r w:rsidR="00F8788D" w:rsidRPr="00472ACB">
              <w:rPr>
                <w:rStyle w:val="Hyperlink"/>
                <w:noProof/>
              </w:rPr>
              <w:t>2.</w:t>
            </w:r>
            <w:r w:rsidR="00F8788D">
              <w:rPr>
                <w:rFonts w:asciiTheme="minorHAnsi" w:eastAsiaTheme="minorEastAsia" w:hAnsiTheme="minorHAnsi" w:cstheme="minorBidi"/>
                <w:noProof/>
                <w:lang w:val="nl-BE" w:eastAsia="nl-BE"/>
              </w:rPr>
              <w:tab/>
            </w:r>
            <w:r w:rsidR="00F8788D" w:rsidRPr="00472ACB">
              <w:rPr>
                <w:rStyle w:val="Hyperlink"/>
                <w:noProof/>
              </w:rPr>
              <w:t>Glossary</w:t>
            </w:r>
            <w:r w:rsidR="00F8788D">
              <w:rPr>
                <w:noProof/>
                <w:webHidden/>
              </w:rPr>
              <w:tab/>
            </w:r>
            <w:r w:rsidR="00F8788D">
              <w:rPr>
                <w:noProof/>
                <w:webHidden/>
              </w:rPr>
              <w:fldChar w:fldCharType="begin"/>
            </w:r>
            <w:r w:rsidR="00F8788D">
              <w:rPr>
                <w:noProof/>
                <w:webHidden/>
              </w:rPr>
              <w:instrText xml:space="preserve"> PAGEREF _Toc503782581 \h </w:instrText>
            </w:r>
            <w:r w:rsidR="00F8788D">
              <w:rPr>
                <w:noProof/>
                <w:webHidden/>
              </w:rPr>
            </w:r>
            <w:r w:rsidR="00F8788D">
              <w:rPr>
                <w:noProof/>
                <w:webHidden/>
              </w:rPr>
              <w:fldChar w:fldCharType="separate"/>
            </w:r>
            <w:r>
              <w:rPr>
                <w:noProof/>
                <w:webHidden/>
              </w:rPr>
              <w:t>30</w:t>
            </w:r>
            <w:r w:rsidR="00F8788D">
              <w:rPr>
                <w:noProof/>
                <w:webHidden/>
              </w:rPr>
              <w:fldChar w:fldCharType="end"/>
            </w:r>
          </w:hyperlink>
        </w:p>
        <w:p w14:paraId="33380EC4" w14:textId="6800174C" w:rsidR="00F8788D" w:rsidRDefault="00FC1305">
          <w:pPr>
            <w:pStyle w:val="TOC1"/>
            <w:tabs>
              <w:tab w:val="left" w:pos="440"/>
              <w:tab w:val="right" w:leader="dot" w:pos="8290"/>
            </w:tabs>
            <w:rPr>
              <w:rFonts w:asciiTheme="minorHAnsi" w:eastAsiaTheme="minorEastAsia" w:hAnsiTheme="minorHAnsi" w:cstheme="minorBidi"/>
              <w:noProof/>
              <w:lang w:val="nl-BE" w:eastAsia="nl-BE"/>
            </w:rPr>
          </w:pPr>
          <w:hyperlink w:anchor="_Toc503782582" w:history="1">
            <w:r w:rsidR="00F8788D" w:rsidRPr="00472ACB">
              <w:rPr>
                <w:rStyle w:val="Hyperlink"/>
                <w:noProof/>
              </w:rPr>
              <w:t>3.</w:t>
            </w:r>
            <w:r w:rsidR="00F8788D">
              <w:rPr>
                <w:rFonts w:asciiTheme="minorHAnsi" w:eastAsiaTheme="minorEastAsia" w:hAnsiTheme="minorHAnsi" w:cstheme="minorBidi"/>
                <w:noProof/>
                <w:lang w:val="nl-BE" w:eastAsia="nl-BE"/>
              </w:rPr>
              <w:tab/>
            </w:r>
            <w:r w:rsidR="00F8788D" w:rsidRPr="00472ACB">
              <w:rPr>
                <w:rStyle w:val="Hyperlink"/>
                <w:noProof/>
              </w:rPr>
              <w:t>Euphemia MNA coupling process</w:t>
            </w:r>
            <w:r w:rsidR="00F8788D">
              <w:rPr>
                <w:noProof/>
                <w:webHidden/>
              </w:rPr>
              <w:tab/>
            </w:r>
            <w:r w:rsidR="00F8788D">
              <w:rPr>
                <w:noProof/>
                <w:webHidden/>
              </w:rPr>
              <w:fldChar w:fldCharType="begin"/>
            </w:r>
            <w:r w:rsidR="00F8788D">
              <w:rPr>
                <w:noProof/>
                <w:webHidden/>
              </w:rPr>
              <w:instrText xml:space="preserve"> PAGEREF _Toc503782582 \h </w:instrText>
            </w:r>
            <w:r w:rsidR="00F8788D">
              <w:rPr>
                <w:noProof/>
                <w:webHidden/>
              </w:rPr>
            </w:r>
            <w:r w:rsidR="00F8788D">
              <w:rPr>
                <w:noProof/>
                <w:webHidden/>
              </w:rPr>
              <w:fldChar w:fldCharType="separate"/>
            </w:r>
            <w:r>
              <w:rPr>
                <w:noProof/>
                <w:webHidden/>
              </w:rPr>
              <w:t>32</w:t>
            </w:r>
            <w:r w:rsidR="00F8788D">
              <w:rPr>
                <w:noProof/>
                <w:webHidden/>
              </w:rPr>
              <w:fldChar w:fldCharType="end"/>
            </w:r>
          </w:hyperlink>
        </w:p>
        <w:p w14:paraId="089B4FDF" w14:textId="7393458F" w:rsidR="00F8788D" w:rsidRDefault="00FC1305">
          <w:pPr>
            <w:pStyle w:val="TOC2"/>
            <w:tabs>
              <w:tab w:val="left" w:pos="880"/>
              <w:tab w:val="right" w:leader="dot" w:pos="8290"/>
            </w:tabs>
            <w:rPr>
              <w:rFonts w:asciiTheme="minorHAnsi" w:eastAsiaTheme="minorEastAsia" w:hAnsiTheme="minorHAnsi" w:cstheme="minorBidi"/>
              <w:noProof/>
              <w:lang w:val="nl-BE" w:eastAsia="nl-BE"/>
            </w:rPr>
          </w:pPr>
          <w:hyperlink w:anchor="_Toc503782586" w:history="1">
            <w:r w:rsidR="00F8788D" w:rsidRPr="00472ACB">
              <w:rPr>
                <w:rStyle w:val="Hyperlink"/>
                <w:noProof/>
              </w:rPr>
              <w:t>3.1</w:t>
            </w:r>
            <w:r w:rsidR="00F8788D">
              <w:rPr>
                <w:rFonts w:asciiTheme="minorHAnsi" w:eastAsiaTheme="minorEastAsia" w:hAnsiTheme="minorHAnsi" w:cstheme="minorBidi"/>
                <w:noProof/>
                <w:lang w:val="nl-BE" w:eastAsia="nl-BE"/>
              </w:rPr>
              <w:tab/>
            </w:r>
            <w:r w:rsidR="00F8788D" w:rsidRPr="00472ACB">
              <w:rPr>
                <w:rStyle w:val="Hyperlink"/>
                <w:noProof/>
              </w:rPr>
              <w:t>Euphemia perspective on sequence of the coupling calculation process</w:t>
            </w:r>
            <w:r w:rsidR="00F8788D">
              <w:rPr>
                <w:noProof/>
                <w:webHidden/>
              </w:rPr>
              <w:tab/>
            </w:r>
            <w:r w:rsidR="00F8788D">
              <w:rPr>
                <w:noProof/>
                <w:webHidden/>
              </w:rPr>
              <w:fldChar w:fldCharType="begin"/>
            </w:r>
            <w:r w:rsidR="00F8788D">
              <w:rPr>
                <w:noProof/>
                <w:webHidden/>
              </w:rPr>
              <w:instrText xml:space="preserve"> PAGEREF _Toc503782586 \h </w:instrText>
            </w:r>
            <w:r w:rsidR="00F8788D">
              <w:rPr>
                <w:noProof/>
                <w:webHidden/>
              </w:rPr>
            </w:r>
            <w:r w:rsidR="00F8788D">
              <w:rPr>
                <w:noProof/>
                <w:webHidden/>
              </w:rPr>
              <w:fldChar w:fldCharType="separate"/>
            </w:r>
            <w:r>
              <w:rPr>
                <w:noProof/>
                <w:webHidden/>
              </w:rPr>
              <w:t>32</w:t>
            </w:r>
            <w:r w:rsidR="00F8788D">
              <w:rPr>
                <w:noProof/>
                <w:webHidden/>
              </w:rPr>
              <w:fldChar w:fldCharType="end"/>
            </w:r>
          </w:hyperlink>
        </w:p>
        <w:p w14:paraId="4953C93F" w14:textId="0607D217" w:rsidR="00F8788D" w:rsidRDefault="00FC1305">
          <w:pPr>
            <w:pStyle w:val="TOC2"/>
            <w:tabs>
              <w:tab w:val="left" w:pos="880"/>
              <w:tab w:val="right" w:leader="dot" w:pos="8290"/>
            </w:tabs>
            <w:rPr>
              <w:rFonts w:asciiTheme="minorHAnsi" w:eastAsiaTheme="minorEastAsia" w:hAnsiTheme="minorHAnsi" w:cstheme="minorBidi"/>
              <w:noProof/>
              <w:lang w:val="nl-BE" w:eastAsia="nl-BE"/>
            </w:rPr>
          </w:pPr>
          <w:hyperlink w:anchor="_Toc503782587" w:history="1">
            <w:r w:rsidR="00F8788D" w:rsidRPr="00472ACB">
              <w:rPr>
                <w:rStyle w:val="Hyperlink"/>
                <w:noProof/>
              </w:rPr>
              <w:t>3.2</w:t>
            </w:r>
            <w:r w:rsidR="00F8788D">
              <w:rPr>
                <w:rFonts w:asciiTheme="minorHAnsi" w:eastAsiaTheme="minorEastAsia" w:hAnsiTheme="minorHAnsi" w:cstheme="minorBidi"/>
                <w:noProof/>
                <w:lang w:val="nl-BE" w:eastAsia="nl-BE"/>
              </w:rPr>
              <w:tab/>
            </w:r>
            <w:r w:rsidR="00F8788D" w:rsidRPr="00472ACB">
              <w:rPr>
                <w:rStyle w:val="Hyperlink"/>
                <w:noProof/>
              </w:rPr>
              <w:t>Functioning of the order aggregation</w:t>
            </w:r>
            <w:r w:rsidR="00F8788D">
              <w:rPr>
                <w:noProof/>
                <w:webHidden/>
              </w:rPr>
              <w:tab/>
            </w:r>
            <w:r w:rsidR="00F8788D">
              <w:rPr>
                <w:noProof/>
                <w:webHidden/>
              </w:rPr>
              <w:fldChar w:fldCharType="begin"/>
            </w:r>
            <w:r w:rsidR="00F8788D">
              <w:rPr>
                <w:noProof/>
                <w:webHidden/>
              </w:rPr>
              <w:instrText xml:space="preserve"> PAGEREF _Toc503782587 \h </w:instrText>
            </w:r>
            <w:r w:rsidR="00F8788D">
              <w:rPr>
                <w:noProof/>
                <w:webHidden/>
              </w:rPr>
            </w:r>
            <w:r w:rsidR="00F8788D">
              <w:rPr>
                <w:noProof/>
                <w:webHidden/>
              </w:rPr>
              <w:fldChar w:fldCharType="separate"/>
            </w:r>
            <w:r>
              <w:rPr>
                <w:noProof/>
                <w:webHidden/>
              </w:rPr>
              <w:t>33</w:t>
            </w:r>
            <w:r w:rsidR="00F8788D">
              <w:rPr>
                <w:noProof/>
                <w:webHidden/>
              </w:rPr>
              <w:fldChar w:fldCharType="end"/>
            </w:r>
          </w:hyperlink>
        </w:p>
        <w:p w14:paraId="2E5C484F" w14:textId="0867F104" w:rsidR="00F8788D" w:rsidRDefault="00FC1305">
          <w:pPr>
            <w:pStyle w:val="TOC2"/>
            <w:tabs>
              <w:tab w:val="left" w:pos="880"/>
              <w:tab w:val="right" w:leader="dot" w:pos="8290"/>
            </w:tabs>
            <w:rPr>
              <w:rFonts w:asciiTheme="minorHAnsi" w:eastAsiaTheme="minorEastAsia" w:hAnsiTheme="minorHAnsi" w:cstheme="minorBidi"/>
              <w:noProof/>
              <w:lang w:val="nl-BE" w:eastAsia="nl-BE"/>
            </w:rPr>
          </w:pPr>
          <w:hyperlink w:anchor="_Toc503782588" w:history="1">
            <w:r w:rsidR="00F8788D" w:rsidRPr="00472ACB">
              <w:rPr>
                <w:rStyle w:val="Hyperlink"/>
                <w:noProof/>
              </w:rPr>
              <w:t>3.3</w:t>
            </w:r>
            <w:r w:rsidR="00F8788D">
              <w:rPr>
                <w:rFonts w:asciiTheme="minorHAnsi" w:eastAsiaTheme="minorEastAsia" w:hAnsiTheme="minorHAnsi" w:cstheme="minorBidi"/>
                <w:noProof/>
                <w:lang w:val="nl-BE" w:eastAsia="nl-BE"/>
              </w:rPr>
              <w:tab/>
            </w:r>
            <w:r w:rsidR="00F8788D" w:rsidRPr="00472ACB">
              <w:rPr>
                <w:rStyle w:val="Hyperlink"/>
                <w:noProof/>
              </w:rPr>
              <w:t>Zonal calculation</w:t>
            </w:r>
            <w:r w:rsidR="00F8788D">
              <w:rPr>
                <w:noProof/>
                <w:webHidden/>
              </w:rPr>
              <w:tab/>
            </w:r>
            <w:r w:rsidR="00F8788D">
              <w:rPr>
                <w:noProof/>
                <w:webHidden/>
              </w:rPr>
              <w:fldChar w:fldCharType="begin"/>
            </w:r>
            <w:r w:rsidR="00F8788D">
              <w:rPr>
                <w:noProof/>
                <w:webHidden/>
              </w:rPr>
              <w:instrText xml:space="preserve"> PAGEREF _Toc503782588 \h </w:instrText>
            </w:r>
            <w:r w:rsidR="00F8788D">
              <w:rPr>
                <w:noProof/>
                <w:webHidden/>
              </w:rPr>
            </w:r>
            <w:r w:rsidR="00F8788D">
              <w:rPr>
                <w:noProof/>
                <w:webHidden/>
              </w:rPr>
              <w:fldChar w:fldCharType="separate"/>
            </w:r>
            <w:r>
              <w:rPr>
                <w:noProof/>
                <w:webHidden/>
              </w:rPr>
              <w:t>35</w:t>
            </w:r>
            <w:r w:rsidR="00F8788D">
              <w:rPr>
                <w:noProof/>
                <w:webHidden/>
              </w:rPr>
              <w:fldChar w:fldCharType="end"/>
            </w:r>
          </w:hyperlink>
        </w:p>
        <w:p w14:paraId="254ED10C" w14:textId="0F0CC32B" w:rsidR="00F8788D" w:rsidRDefault="00FC1305">
          <w:pPr>
            <w:pStyle w:val="TOC2"/>
            <w:tabs>
              <w:tab w:val="left" w:pos="880"/>
              <w:tab w:val="right" w:leader="dot" w:pos="8290"/>
            </w:tabs>
            <w:rPr>
              <w:rFonts w:asciiTheme="minorHAnsi" w:eastAsiaTheme="minorEastAsia" w:hAnsiTheme="minorHAnsi" w:cstheme="minorBidi"/>
              <w:noProof/>
              <w:lang w:val="nl-BE" w:eastAsia="nl-BE"/>
            </w:rPr>
          </w:pPr>
          <w:hyperlink w:anchor="_Toc503782589" w:history="1">
            <w:r w:rsidR="00F8788D" w:rsidRPr="00472ACB">
              <w:rPr>
                <w:rStyle w:val="Hyperlink"/>
                <w:noProof/>
              </w:rPr>
              <w:t>3.4</w:t>
            </w:r>
            <w:r w:rsidR="00F8788D">
              <w:rPr>
                <w:rFonts w:asciiTheme="minorHAnsi" w:eastAsiaTheme="minorEastAsia" w:hAnsiTheme="minorHAnsi" w:cstheme="minorBidi"/>
                <w:noProof/>
                <w:lang w:val="nl-BE" w:eastAsia="nl-BE"/>
              </w:rPr>
              <w:tab/>
            </w:r>
            <w:r w:rsidR="00F8788D" w:rsidRPr="00472ACB">
              <w:rPr>
                <w:rStyle w:val="Hyperlink"/>
                <w:noProof/>
              </w:rPr>
              <w:t>Functioning of the order de-aggregation</w:t>
            </w:r>
            <w:r w:rsidR="00F8788D">
              <w:rPr>
                <w:noProof/>
                <w:webHidden/>
              </w:rPr>
              <w:tab/>
            </w:r>
            <w:r w:rsidR="00F8788D">
              <w:rPr>
                <w:noProof/>
                <w:webHidden/>
              </w:rPr>
              <w:fldChar w:fldCharType="begin"/>
            </w:r>
            <w:r w:rsidR="00F8788D">
              <w:rPr>
                <w:noProof/>
                <w:webHidden/>
              </w:rPr>
              <w:instrText xml:space="preserve"> PAGEREF _Toc503782589 \h </w:instrText>
            </w:r>
            <w:r w:rsidR="00F8788D">
              <w:rPr>
                <w:noProof/>
                <w:webHidden/>
              </w:rPr>
            </w:r>
            <w:r w:rsidR="00F8788D">
              <w:rPr>
                <w:noProof/>
                <w:webHidden/>
              </w:rPr>
              <w:fldChar w:fldCharType="separate"/>
            </w:r>
            <w:r>
              <w:rPr>
                <w:noProof/>
                <w:webHidden/>
              </w:rPr>
              <w:t>35</w:t>
            </w:r>
            <w:r w:rsidR="00F8788D">
              <w:rPr>
                <w:noProof/>
                <w:webHidden/>
              </w:rPr>
              <w:fldChar w:fldCharType="end"/>
            </w:r>
          </w:hyperlink>
        </w:p>
        <w:p w14:paraId="5BB684BC" w14:textId="04B84327" w:rsidR="00F8788D" w:rsidRDefault="00FC1305">
          <w:pPr>
            <w:pStyle w:val="TOC2"/>
            <w:tabs>
              <w:tab w:val="left" w:pos="880"/>
              <w:tab w:val="right" w:leader="dot" w:pos="8290"/>
            </w:tabs>
            <w:rPr>
              <w:rFonts w:asciiTheme="minorHAnsi" w:eastAsiaTheme="minorEastAsia" w:hAnsiTheme="minorHAnsi" w:cstheme="minorBidi"/>
              <w:noProof/>
              <w:lang w:val="nl-BE" w:eastAsia="nl-BE"/>
            </w:rPr>
          </w:pPr>
          <w:hyperlink w:anchor="_Toc503782602" w:history="1">
            <w:r w:rsidR="00F8788D" w:rsidRPr="00472ACB">
              <w:rPr>
                <w:rStyle w:val="Hyperlink"/>
                <w:noProof/>
              </w:rPr>
              <w:t>3.5</w:t>
            </w:r>
            <w:r w:rsidR="00F8788D">
              <w:rPr>
                <w:rFonts w:asciiTheme="minorHAnsi" w:eastAsiaTheme="minorEastAsia" w:hAnsiTheme="minorHAnsi" w:cstheme="minorBidi"/>
                <w:noProof/>
                <w:lang w:val="nl-BE" w:eastAsia="nl-BE"/>
              </w:rPr>
              <w:tab/>
            </w:r>
            <w:r w:rsidR="00F8788D" w:rsidRPr="00472ACB">
              <w:rPr>
                <w:rStyle w:val="Hyperlink"/>
                <w:noProof/>
              </w:rPr>
              <w:t>Functioning and coherence of the 3 flow calculation steps</w:t>
            </w:r>
            <w:r w:rsidR="00F8788D">
              <w:rPr>
                <w:noProof/>
                <w:webHidden/>
              </w:rPr>
              <w:tab/>
            </w:r>
            <w:r w:rsidR="00F8788D">
              <w:rPr>
                <w:noProof/>
                <w:webHidden/>
              </w:rPr>
              <w:fldChar w:fldCharType="begin"/>
            </w:r>
            <w:r w:rsidR="00F8788D">
              <w:rPr>
                <w:noProof/>
                <w:webHidden/>
              </w:rPr>
              <w:instrText xml:space="preserve"> PAGEREF _Toc503782602 \h </w:instrText>
            </w:r>
            <w:r w:rsidR="00F8788D">
              <w:rPr>
                <w:noProof/>
                <w:webHidden/>
              </w:rPr>
            </w:r>
            <w:r w:rsidR="00F8788D">
              <w:rPr>
                <w:noProof/>
                <w:webHidden/>
              </w:rPr>
              <w:fldChar w:fldCharType="separate"/>
            </w:r>
            <w:r>
              <w:rPr>
                <w:noProof/>
                <w:webHidden/>
              </w:rPr>
              <w:t>35</w:t>
            </w:r>
            <w:r w:rsidR="00F8788D">
              <w:rPr>
                <w:noProof/>
                <w:webHidden/>
              </w:rPr>
              <w:fldChar w:fldCharType="end"/>
            </w:r>
          </w:hyperlink>
        </w:p>
        <w:p w14:paraId="040F162A" w14:textId="6B09B83C" w:rsidR="00F8788D" w:rsidRDefault="00FC1305">
          <w:pPr>
            <w:pStyle w:val="TOC3"/>
            <w:tabs>
              <w:tab w:val="left" w:pos="1320"/>
              <w:tab w:val="right" w:leader="dot" w:pos="8290"/>
            </w:tabs>
            <w:rPr>
              <w:rFonts w:asciiTheme="minorHAnsi" w:eastAsiaTheme="minorEastAsia" w:hAnsiTheme="minorHAnsi" w:cstheme="minorBidi"/>
              <w:noProof/>
              <w:lang w:val="nl-BE" w:eastAsia="nl-BE"/>
            </w:rPr>
          </w:pPr>
          <w:hyperlink w:anchor="_Toc503782604" w:history="1">
            <w:r w:rsidR="00F8788D" w:rsidRPr="00472ACB">
              <w:rPr>
                <w:rStyle w:val="Hyperlink"/>
                <w:noProof/>
              </w:rPr>
              <w:t>3.5.1</w:t>
            </w:r>
            <w:r w:rsidR="00F8788D">
              <w:rPr>
                <w:rFonts w:asciiTheme="minorHAnsi" w:eastAsiaTheme="minorEastAsia" w:hAnsiTheme="minorHAnsi" w:cstheme="minorBidi"/>
                <w:noProof/>
                <w:lang w:val="nl-BE" w:eastAsia="nl-BE"/>
              </w:rPr>
              <w:tab/>
            </w:r>
            <w:r w:rsidR="00F8788D" w:rsidRPr="00472ACB">
              <w:rPr>
                <w:rStyle w:val="Hyperlink"/>
                <w:noProof/>
              </w:rPr>
              <w:t>Flow calculation between Bidding Zones ( BZ)</w:t>
            </w:r>
            <w:r w:rsidR="00F8788D">
              <w:rPr>
                <w:noProof/>
                <w:webHidden/>
              </w:rPr>
              <w:tab/>
            </w:r>
            <w:r w:rsidR="00F8788D">
              <w:rPr>
                <w:noProof/>
                <w:webHidden/>
              </w:rPr>
              <w:fldChar w:fldCharType="begin"/>
            </w:r>
            <w:r w:rsidR="00F8788D">
              <w:rPr>
                <w:noProof/>
                <w:webHidden/>
              </w:rPr>
              <w:instrText xml:space="preserve"> PAGEREF _Toc503782604 \h </w:instrText>
            </w:r>
            <w:r w:rsidR="00F8788D">
              <w:rPr>
                <w:noProof/>
                <w:webHidden/>
              </w:rPr>
            </w:r>
            <w:r w:rsidR="00F8788D">
              <w:rPr>
                <w:noProof/>
                <w:webHidden/>
              </w:rPr>
              <w:fldChar w:fldCharType="separate"/>
            </w:r>
            <w:r>
              <w:rPr>
                <w:noProof/>
                <w:webHidden/>
              </w:rPr>
              <w:t>37</w:t>
            </w:r>
            <w:r w:rsidR="00F8788D">
              <w:rPr>
                <w:noProof/>
                <w:webHidden/>
              </w:rPr>
              <w:fldChar w:fldCharType="end"/>
            </w:r>
          </w:hyperlink>
        </w:p>
        <w:p w14:paraId="51D1F205" w14:textId="321873B3" w:rsidR="00F8788D" w:rsidRDefault="00FC1305">
          <w:pPr>
            <w:pStyle w:val="TOC3"/>
            <w:tabs>
              <w:tab w:val="left" w:pos="1320"/>
              <w:tab w:val="right" w:leader="dot" w:pos="8290"/>
            </w:tabs>
            <w:rPr>
              <w:rFonts w:asciiTheme="minorHAnsi" w:eastAsiaTheme="minorEastAsia" w:hAnsiTheme="minorHAnsi" w:cstheme="minorBidi"/>
              <w:noProof/>
              <w:lang w:val="nl-BE" w:eastAsia="nl-BE"/>
            </w:rPr>
          </w:pPr>
          <w:hyperlink w:anchor="_Toc503782605" w:history="1">
            <w:r w:rsidR="00F8788D" w:rsidRPr="00472ACB">
              <w:rPr>
                <w:rStyle w:val="Hyperlink"/>
                <w:noProof/>
              </w:rPr>
              <w:t>3.5.2</w:t>
            </w:r>
            <w:r w:rsidR="00F8788D">
              <w:rPr>
                <w:rFonts w:asciiTheme="minorHAnsi" w:eastAsiaTheme="minorEastAsia" w:hAnsiTheme="minorHAnsi" w:cstheme="minorBidi"/>
                <w:noProof/>
                <w:lang w:val="nl-BE" w:eastAsia="nl-BE"/>
              </w:rPr>
              <w:tab/>
            </w:r>
            <w:r w:rsidR="00F8788D" w:rsidRPr="00472ACB">
              <w:rPr>
                <w:rStyle w:val="Hyperlink"/>
                <w:noProof/>
              </w:rPr>
              <w:t>Flow calculation between Scheduling Areas (SA)</w:t>
            </w:r>
            <w:r w:rsidR="00F8788D">
              <w:rPr>
                <w:noProof/>
                <w:webHidden/>
              </w:rPr>
              <w:tab/>
            </w:r>
            <w:r w:rsidR="00F8788D">
              <w:rPr>
                <w:noProof/>
                <w:webHidden/>
              </w:rPr>
              <w:fldChar w:fldCharType="begin"/>
            </w:r>
            <w:r w:rsidR="00F8788D">
              <w:rPr>
                <w:noProof/>
                <w:webHidden/>
              </w:rPr>
              <w:instrText xml:space="preserve"> PAGEREF _Toc503782605 \h </w:instrText>
            </w:r>
            <w:r w:rsidR="00F8788D">
              <w:rPr>
                <w:noProof/>
                <w:webHidden/>
              </w:rPr>
            </w:r>
            <w:r w:rsidR="00F8788D">
              <w:rPr>
                <w:noProof/>
                <w:webHidden/>
              </w:rPr>
              <w:fldChar w:fldCharType="separate"/>
            </w:r>
            <w:r>
              <w:rPr>
                <w:noProof/>
                <w:webHidden/>
              </w:rPr>
              <w:t>40</w:t>
            </w:r>
            <w:r w:rsidR="00F8788D">
              <w:rPr>
                <w:noProof/>
                <w:webHidden/>
              </w:rPr>
              <w:fldChar w:fldCharType="end"/>
            </w:r>
          </w:hyperlink>
        </w:p>
        <w:p w14:paraId="7E3E7C75" w14:textId="0B6C9AFF" w:rsidR="00F8788D" w:rsidRDefault="00FC1305">
          <w:pPr>
            <w:pStyle w:val="TOC3"/>
            <w:tabs>
              <w:tab w:val="left" w:pos="1320"/>
              <w:tab w:val="right" w:leader="dot" w:pos="8290"/>
            </w:tabs>
            <w:rPr>
              <w:rFonts w:asciiTheme="minorHAnsi" w:eastAsiaTheme="minorEastAsia" w:hAnsiTheme="minorHAnsi" w:cstheme="minorBidi"/>
              <w:noProof/>
              <w:lang w:val="nl-BE" w:eastAsia="nl-BE"/>
            </w:rPr>
          </w:pPr>
          <w:hyperlink w:anchor="_Toc503782606" w:history="1">
            <w:r w:rsidR="00F8788D" w:rsidRPr="00472ACB">
              <w:rPr>
                <w:rStyle w:val="Hyperlink"/>
                <w:noProof/>
              </w:rPr>
              <w:t>3.5.3</w:t>
            </w:r>
            <w:r w:rsidR="00F8788D">
              <w:rPr>
                <w:rFonts w:asciiTheme="minorHAnsi" w:eastAsiaTheme="minorEastAsia" w:hAnsiTheme="minorHAnsi" w:cstheme="minorBidi"/>
                <w:noProof/>
                <w:lang w:val="nl-BE" w:eastAsia="nl-BE"/>
              </w:rPr>
              <w:tab/>
            </w:r>
            <w:r w:rsidR="00F8788D" w:rsidRPr="00472ACB">
              <w:rPr>
                <w:rStyle w:val="Hyperlink"/>
                <w:noProof/>
              </w:rPr>
              <w:t>SEC Backup calculation process (degraded mode)</w:t>
            </w:r>
            <w:r w:rsidR="00F8788D">
              <w:rPr>
                <w:noProof/>
                <w:webHidden/>
              </w:rPr>
              <w:tab/>
            </w:r>
            <w:r w:rsidR="00F8788D">
              <w:rPr>
                <w:noProof/>
                <w:webHidden/>
              </w:rPr>
              <w:fldChar w:fldCharType="begin"/>
            </w:r>
            <w:r w:rsidR="00F8788D">
              <w:rPr>
                <w:noProof/>
                <w:webHidden/>
              </w:rPr>
              <w:instrText xml:space="preserve"> PAGEREF _Toc503782606 \h </w:instrText>
            </w:r>
            <w:r w:rsidR="00F8788D">
              <w:rPr>
                <w:noProof/>
                <w:webHidden/>
              </w:rPr>
            </w:r>
            <w:r w:rsidR="00F8788D">
              <w:rPr>
                <w:noProof/>
                <w:webHidden/>
              </w:rPr>
              <w:fldChar w:fldCharType="separate"/>
            </w:r>
            <w:r>
              <w:rPr>
                <w:noProof/>
                <w:webHidden/>
              </w:rPr>
              <w:t>44</w:t>
            </w:r>
            <w:r w:rsidR="00F8788D">
              <w:rPr>
                <w:noProof/>
                <w:webHidden/>
              </w:rPr>
              <w:fldChar w:fldCharType="end"/>
            </w:r>
          </w:hyperlink>
        </w:p>
        <w:p w14:paraId="3E39A21E" w14:textId="17939297" w:rsidR="00F8788D" w:rsidRDefault="00FC1305">
          <w:pPr>
            <w:pStyle w:val="TOC3"/>
            <w:tabs>
              <w:tab w:val="left" w:pos="1320"/>
              <w:tab w:val="right" w:leader="dot" w:pos="8290"/>
            </w:tabs>
            <w:rPr>
              <w:rFonts w:asciiTheme="minorHAnsi" w:eastAsiaTheme="minorEastAsia" w:hAnsiTheme="minorHAnsi" w:cstheme="minorBidi"/>
              <w:noProof/>
              <w:lang w:val="nl-BE" w:eastAsia="nl-BE"/>
            </w:rPr>
          </w:pPr>
          <w:hyperlink w:anchor="_Toc503782607" w:history="1">
            <w:r w:rsidR="00F8788D" w:rsidRPr="00472ACB">
              <w:rPr>
                <w:rStyle w:val="Hyperlink"/>
                <w:noProof/>
              </w:rPr>
              <w:t>3.5.4</w:t>
            </w:r>
            <w:r w:rsidR="00F8788D">
              <w:rPr>
                <w:rFonts w:asciiTheme="minorHAnsi" w:eastAsiaTheme="minorEastAsia" w:hAnsiTheme="minorHAnsi" w:cstheme="minorBidi"/>
                <w:noProof/>
                <w:lang w:val="nl-BE" w:eastAsia="nl-BE"/>
              </w:rPr>
              <w:tab/>
            </w:r>
            <w:r w:rsidR="00F8788D" w:rsidRPr="00472ACB">
              <w:rPr>
                <w:rStyle w:val="Hyperlink"/>
                <w:noProof/>
              </w:rPr>
              <w:t>Rounding solution</w:t>
            </w:r>
            <w:r w:rsidR="00F8788D">
              <w:rPr>
                <w:noProof/>
                <w:webHidden/>
              </w:rPr>
              <w:tab/>
            </w:r>
            <w:r w:rsidR="00F8788D">
              <w:rPr>
                <w:noProof/>
                <w:webHidden/>
              </w:rPr>
              <w:fldChar w:fldCharType="begin"/>
            </w:r>
            <w:r w:rsidR="00F8788D">
              <w:rPr>
                <w:noProof/>
                <w:webHidden/>
              </w:rPr>
              <w:instrText xml:space="preserve"> PAGEREF _Toc503782607 \h </w:instrText>
            </w:r>
            <w:r w:rsidR="00F8788D">
              <w:rPr>
                <w:noProof/>
                <w:webHidden/>
              </w:rPr>
            </w:r>
            <w:r w:rsidR="00F8788D">
              <w:rPr>
                <w:noProof/>
                <w:webHidden/>
              </w:rPr>
              <w:fldChar w:fldCharType="separate"/>
            </w:r>
            <w:r>
              <w:rPr>
                <w:noProof/>
                <w:webHidden/>
              </w:rPr>
              <w:t>50</w:t>
            </w:r>
            <w:r w:rsidR="00F8788D">
              <w:rPr>
                <w:noProof/>
                <w:webHidden/>
              </w:rPr>
              <w:fldChar w:fldCharType="end"/>
            </w:r>
          </w:hyperlink>
        </w:p>
        <w:p w14:paraId="440D3E6D" w14:textId="18F1F5D9" w:rsidR="00F8788D" w:rsidRDefault="00FC1305">
          <w:pPr>
            <w:pStyle w:val="TOC2"/>
            <w:tabs>
              <w:tab w:val="left" w:pos="880"/>
              <w:tab w:val="right" w:leader="dot" w:pos="8290"/>
            </w:tabs>
            <w:rPr>
              <w:rFonts w:asciiTheme="minorHAnsi" w:eastAsiaTheme="minorEastAsia" w:hAnsiTheme="minorHAnsi" w:cstheme="minorBidi"/>
              <w:noProof/>
              <w:lang w:val="nl-BE" w:eastAsia="nl-BE"/>
            </w:rPr>
          </w:pPr>
          <w:hyperlink w:anchor="_Toc503782608" w:history="1">
            <w:r w:rsidR="00F8788D" w:rsidRPr="00472ACB">
              <w:rPr>
                <w:rStyle w:val="Hyperlink"/>
                <w:noProof/>
              </w:rPr>
              <w:t>3.6</w:t>
            </w:r>
            <w:r w:rsidR="00F8788D">
              <w:rPr>
                <w:rFonts w:asciiTheme="minorHAnsi" w:eastAsiaTheme="minorEastAsia" w:hAnsiTheme="minorHAnsi" w:cstheme="minorBidi"/>
                <w:noProof/>
                <w:lang w:val="nl-BE" w:eastAsia="nl-BE"/>
              </w:rPr>
              <w:tab/>
            </w:r>
            <w:r w:rsidR="00F8788D" w:rsidRPr="00472ACB">
              <w:rPr>
                <w:rStyle w:val="Hyperlink"/>
                <w:noProof/>
              </w:rPr>
              <w:t>Solution validation</w:t>
            </w:r>
            <w:r w:rsidR="00F8788D">
              <w:rPr>
                <w:noProof/>
                <w:webHidden/>
              </w:rPr>
              <w:tab/>
            </w:r>
            <w:r w:rsidR="00F8788D">
              <w:rPr>
                <w:noProof/>
                <w:webHidden/>
              </w:rPr>
              <w:fldChar w:fldCharType="begin"/>
            </w:r>
            <w:r w:rsidR="00F8788D">
              <w:rPr>
                <w:noProof/>
                <w:webHidden/>
              </w:rPr>
              <w:instrText xml:space="preserve"> PAGEREF _Toc503782608 \h </w:instrText>
            </w:r>
            <w:r w:rsidR="00F8788D">
              <w:rPr>
                <w:noProof/>
                <w:webHidden/>
              </w:rPr>
            </w:r>
            <w:r w:rsidR="00F8788D">
              <w:rPr>
                <w:noProof/>
                <w:webHidden/>
              </w:rPr>
              <w:fldChar w:fldCharType="separate"/>
            </w:r>
            <w:r>
              <w:rPr>
                <w:noProof/>
                <w:webHidden/>
              </w:rPr>
              <w:t>55</w:t>
            </w:r>
            <w:r w:rsidR="00F8788D">
              <w:rPr>
                <w:noProof/>
                <w:webHidden/>
              </w:rPr>
              <w:fldChar w:fldCharType="end"/>
            </w:r>
          </w:hyperlink>
        </w:p>
        <w:p w14:paraId="4B20BA28" w14:textId="340C593C" w:rsidR="00F8788D" w:rsidRDefault="00FC1305">
          <w:pPr>
            <w:pStyle w:val="TOC2"/>
            <w:tabs>
              <w:tab w:val="left" w:pos="880"/>
              <w:tab w:val="right" w:leader="dot" w:pos="8290"/>
            </w:tabs>
            <w:rPr>
              <w:rFonts w:asciiTheme="minorHAnsi" w:eastAsiaTheme="minorEastAsia" w:hAnsiTheme="minorHAnsi" w:cstheme="minorBidi"/>
              <w:noProof/>
              <w:lang w:val="nl-BE" w:eastAsia="nl-BE"/>
            </w:rPr>
          </w:pPr>
          <w:hyperlink w:anchor="_Toc503782609" w:history="1">
            <w:r w:rsidR="00F8788D" w:rsidRPr="00472ACB">
              <w:rPr>
                <w:rStyle w:val="Hyperlink"/>
                <w:noProof/>
              </w:rPr>
              <w:t>3.7</w:t>
            </w:r>
            <w:r w:rsidR="00F8788D">
              <w:rPr>
                <w:rFonts w:asciiTheme="minorHAnsi" w:eastAsiaTheme="minorEastAsia" w:hAnsiTheme="minorHAnsi" w:cstheme="minorBidi"/>
                <w:noProof/>
                <w:lang w:val="nl-BE" w:eastAsia="nl-BE"/>
              </w:rPr>
              <w:tab/>
            </w:r>
            <w:r w:rsidR="00F8788D" w:rsidRPr="00472ACB">
              <w:rPr>
                <w:rStyle w:val="Hyperlink"/>
                <w:noProof/>
              </w:rPr>
              <w:t>Change Control</w:t>
            </w:r>
            <w:r w:rsidR="00F8788D">
              <w:rPr>
                <w:noProof/>
                <w:webHidden/>
              </w:rPr>
              <w:tab/>
            </w:r>
            <w:r w:rsidR="00F8788D">
              <w:rPr>
                <w:noProof/>
                <w:webHidden/>
              </w:rPr>
              <w:fldChar w:fldCharType="begin"/>
            </w:r>
            <w:r w:rsidR="00F8788D">
              <w:rPr>
                <w:noProof/>
                <w:webHidden/>
              </w:rPr>
              <w:instrText xml:space="preserve"> PAGEREF _Toc503782609 \h </w:instrText>
            </w:r>
            <w:r w:rsidR="00F8788D">
              <w:rPr>
                <w:noProof/>
                <w:webHidden/>
              </w:rPr>
            </w:r>
            <w:r w:rsidR="00F8788D">
              <w:rPr>
                <w:noProof/>
                <w:webHidden/>
              </w:rPr>
              <w:fldChar w:fldCharType="separate"/>
            </w:r>
            <w:r>
              <w:rPr>
                <w:noProof/>
                <w:webHidden/>
              </w:rPr>
              <w:t>55</w:t>
            </w:r>
            <w:r w:rsidR="00F8788D">
              <w:rPr>
                <w:noProof/>
                <w:webHidden/>
              </w:rPr>
              <w:fldChar w:fldCharType="end"/>
            </w:r>
          </w:hyperlink>
        </w:p>
        <w:p w14:paraId="41927336" w14:textId="0FD018A3" w:rsidR="00F8788D" w:rsidRDefault="00FC1305">
          <w:pPr>
            <w:pStyle w:val="TOC1"/>
            <w:tabs>
              <w:tab w:val="left" w:pos="440"/>
              <w:tab w:val="right" w:leader="dot" w:pos="8290"/>
            </w:tabs>
            <w:rPr>
              <w:rFonts w:asciiTheme="minorHAnsi" w:eastAsiaTheme="minorEastAsia" w:hAnsiTheme="minorHAnsi" w:cstheme="minorBidi"/>
              <w:noProof/>
              <w:lang w:val="nl-BE" w:eastAsia="nl-BE"/>
            </w:rPr>
          </w:pPr>
          <w:hyperlink w:anchor="_Toc503782611" w:history="1">
            <w:r w:rsidR="00F8788D" w:rsidRPr="00472ACB">
              <w:rPr>
                <w:rStyle w:val="Hyperlink"/>
                <w:noProof/>
              </w:rPr>
              <w:t>4.</w:t>
            </w:r>
            <w:r w:rsidR="00F8788D">
              <w:rPr>
                <w:rFonts w:asciiTheme="minorHAnsi" w:eastAsiaTheme="minorEastAsia" w:hAnsiTheme="minorHAnsi" w:cstheme="minorBidi"/>
                <w:noProof/>
                <w:lang w:val="nl-BE" w:eastAsia="nl-BE"/>
              </w:rPr>
              <w:tab/>
            </w:r>
            <w:r w:rsidR="00F8788D" w:rsidRPr="00472ACB">
              <w:rPr>
                <w:rStyle w:val="Hyperlink"/>
                <w:noProof/>
              </w:rPr>
              <w:t>Procedures</w:t>
            </w:r>
            <w:r w:rsidR="00F8788D">
              <w:rPr>
                <w:noProof/>
                <w:webHidden/>
              </w:rPr>
              <w:tab/>
            </w:r>
            <w:r w:rsidR="00F8788D">
              <w:rPr>
                <w:noProof/>
                <w:webHidden/>
              </w:rPr>
              <w:fldChar w:fldCharType="begin"/>
            </w:r>
            <w:r w:rsidR="00F8788D">
              <w:rPr>
                <w:noProof/>
                <w:webHidden/>
              </w:rPr>
              <w:instrText xml:space="preserve"> PAGEREF _Toc503782611 \h </w:instrText>
            </w:r>
            <w:r w:rsidR="00F8788D">
              <w:rPr>
                <w:noProof/>
                <w:webHidden/>
              </w:rPr>
            </w:r>
            <w:r w:rsidR="00F8788D">
              <w:rPr>
                <w:noProof/>
                <w:webHidden/>
              </w:rPr>
              <w:fldChar w:fldCharType="separate"/>
            </w:r>
            <w:r>
              <w:rPr>
                <w:noProof/>
                <w:webHidden/>
              </w:rPr>
              <w:t>57</w:t>
            </w:r>
            <w:r w:rsidR="00F8788D">
              <w:rPr>
                <w:noProof/>
                <w:webHidden/>
              </w:rPr>
              <w:fldChar w:fldCharType="end"/>
            </w:r>
          </w:hyperlink>
        </w:p>
        <w:p w14:paraId="2A5AC0ED" w14:textId="6CBE6425" w:rsidR="00F8788D" w:rsidRDefault="00FC1305">
          <w:pPr>
            <w:pStyle w:val="TOC2"/>
            <w:tabs>
              <w:tab w:val="left" w:pos="880"/>
              <w:tab w:val="right" w:leader="dot" w:pos="8290"/>
            </w:tabs>
            <w:rPr>
              <w:rFonts w:asciiTheme="minorHAnsi" w:eastAsiaTheme="minorEastAsia" w:hAnsiTheme="minorHAnsi" w:cstheme="minorBidi"/>
              <w:noProof/>
              <w:lang w:val="nl-BE" w:eastAsia="nl-BE"/>
            </w:rPr>
          </w:pPr>
          <w:hyperlink w:anchor="_Toc503782615" w:history="1">
            <w:r w:rsidR="00F8788D" w:rsidRPr="00472ACB">
              <w:rPr>
                <w:rStyle w:val="Hyperlink"/>
                <w:noProof/>
              </w:rPr>
              <w:t>4.1</w:t>
            </w:r>
            <w:r w:rsidR="00F8788D">
              <w:rPr>
                <w:rFonts w:asciiTheme="minorHAnsi" w:eastAsiaTheme="minorEastAsia" w:hAnsiTheme="minorHAnsi" w:cstheme="minorBidi"/>
                <w:noProof/>
                <w:lang w:val="nl-BE" w:eastAsia="nl-BE"/>
              </w:rPr>
              <w:tab/>
            </w:r>
            <w:r w:rsidR="00F8788D" w:rsidRPr="00472ACB">
              <w:rPr>
                <w:rStyle w:val="Hyperlink"/>
                <w:noProof/>
              </w:rPr>
              <w:t>Normal Procedures</w:t>
            </w:r>
            <w:r w:rsidR="00F8788D">
              <w:rPr>
                <w:noProof/>
                <w:webHidden/>
              </w:rPr>
              <w:tab/>
            </w:r>
            <w:r w:rsidR="00F8788D">
              <w:rPr>
                <w:noProof/>
                <w:webHidden/>
              </w:rPr>
              <w:fldChar w:fldCharType="begin"/>
            </w:r>
            <w:r w:rsidR="00F8788D">
              <w:rPr>
                <w:noProof/>
                <w:webHidden/>
              </w:rPr>
              <w:instrText xml:space="preserve"> PAGEREF _Toc503782615 \h </w:instrText>
            </w:r>
            <w:r w:rsidR="00F8788D">
              <w:rPr>
                <w:noProof/>
                <w:webHidden/>
              </w:rPr>
            </w:r>
            <w:r w:rsidR="00F8788D">
              <w:rPr>
                <w:noProof/>
                <w:webHidden/>
              </w:rPr>
              <w:fldChar w:fldCharType="separate"/>
            </w:r>
            <w:r>
              <w:rPr>
                <w:noProof/>
                <w:webHidden/>
              </w:rPr>
              <w:t>57</w:t>
            </w:r>
            <w:r w:rsidR="00F8788D">
              <w:rPr>
                <w:noProof/>
                <w:webHidden/>
              </w:rPr>
              <w:fldChar w:fldCharType="end"/>
            </w:r>
          </w:hyperlink>
        </w:p>
        <w:p w14:paraId="76A8038F" w14:textId="3D5EDF80" w:rsidR="00F8788D" w:rsidRDefault="00FC1305">
          <w:pPr>
            <w:pStyle w:val="TOC2"/>
            <w:tabs>
              <w:tab w:val="left" w:pos="880"/>
              <w:tab w:val="right" w:leader="dot" w:pos="8290"/>
            </w:tabs>
            <w:rPr>
              <w:rFonts w:asciiTheme="minorHAnsi" w:eastAsiaTheme="minorEastAsia" w:hAnsiTheme="minorHAnsi" w:cstheme="minorBidi"/>
              <w:noProof/>
              <w:lang w:val="nl-BE" w:eastAsia="nl-BE"/>
            </w:rPr>
          </w:pPr>
          <w:hyperlink w:anchor="_Toc503782616" w:history="1">
            <w:r w:rsidR="00F8788D" w:rsidRPr="00472ACB">
              <w:rPr>
                <w:rStyle w:val="Hyperlink"/>
                <w:noProof/>
              </w:rPr>
              <w:t>4.2</w:t>
            </w:r>
            <w:r w:rsidR="00F8788D">
              <w:rPr>
                <w:rFonts w:asciiTheme="minorHAnsi" w:eastAsiaTheme="minorEastAsia" w:hAnsiTheme="minorHAnsi" w:cstheme="minorBidi"/>
                <w:noProof/>
                <w:lang w:val="nl-BE" w:eastAsia="nl-BE"/>
              </w:rPr>
              <w:tab/>
            </w:r>
            <w:r w:rsidR="00F8788D" w:rsidRPr="00472ACB">
              <w:rPr>
                <w:rStyle w:val="Hyperlink"/>
                <w:noProof/>
              </w:rPr>
              <w:t>SEC Degraded Mode</w:t>
            </w:r>
            <w:r w:rsidR="00F8788D">
              <w:rPr>
                <w:noProof/>
                <w:webHidden/>
              </w:rPr>
              <w:tab/>
            </w:r>
            <w:r w:rsidR="00F8788D">
              <w:rPr>
                <w:noProof/>
                <w:webHidden/>
              </w:rPr>
              <w:fldChar w:fldCharType="begin"/>
            </w:r>
            <w:r w:rsidR="00F8788D">
              <w:rPr>
                <w:noProof/>
                <w:webHidden/>
              </w:rPr>
              <w:instrText xml:space="preserve"> PAGEREF _Toc503782616 \h </w:instrText>
            </w:r>
            <w:r w:rsidR="00F8788D">
              <w:rPr>
                <w:noProof/>
                <w:webHidden/>
              </w:rPr>
            </w:r>
            <w:r w:rsidR="00F8788D">
              <w:rPr>
                <w:noProof/>
                <w:webHidden/>
              </w:rPr>
              <w:fldChar w:fldCharType="separate"/>
            </w:r>
            <w:r>
              <w:rPr>
                <w:noProof/>
                <w:webHidden/>
              </w:rPr>
              <w:t>58</w:t>
            </w:r>
            <w:r w:rsidR="00F8788D">
              <w:rPr>
                <w:noProof/>
                <w:webHidden/>
              </w:rPr>
              <w:fldChar w:fldCharType="end"/>
            </w:r>
          </w:hyperlink>
        </w:p>
        <w:p w14:paraId="269D7F62" w14:textId="52D3315A" w:rsidR="00F8788D" w:rsidRDefault="00FC1305">
          <w:pPr>
            <w:pStyle w:val="TOC2"/>
            <w:tabs>
              <w:tab w:val="left" w:pos="880"/>
              <w:tab w:val="right" w:leader="dot" w:pos="8290"/>
            </w:tabs>
            <w:rPr>
              <w:rFonts w:asciiTheme="minorHAnsi" w:eastAsiaTheme="minorEastAsia" w:hAnsiTheme="minorHAnsi" w:cstheme="minorBidi"/>
              <w:noProof/>
              <w:lang w:val="nl-BE" w:eastAsia="nl-BE"/>
            </w:rPr>
          </w:pPr>
          <w:hyperlink w:anchor="_Toc503782617" w:history="1">
            <w:r w:rsidR="00F8788D" w:rsidRPr="00472ACB">
              <w:rPr>
                <w:rStyle w:val="Hyperlink"/>
                <w:noProof/>
              </w:rPr>
              <w:t>4.3</w:t>
            </w:r>
            <w:r w:rsidR="00F8788D">
              <w:rPr>
                <w:rFonts w:asciiTheme="minorHAnsi" w:eastAsiaTheme="minorEastAsia" w:hAnsiTheme="minorHAnsi" w:cstheme="minorBidi"/>
                <w:noProof/>
                <w:lang w:val="nl-BE" w:eastAsia="nl-BE"/>
              </w:rPr>
              <w:tab/>
            </w:r>
            <w:r w:rsidR="00F8788D" w:rsidRPr="00472ACB">
              <w:rPr>
                <w:rStyle w:val="Hyperlink"/>
                <w:noProof/>
              </w:rPr>
              <w:t>Decoupling Procedures</w:t>
            </w:r>
            <w:r w:rsidR="00F8788D">
              <w:rPr>
                <w:noProof/>
                <w:webHidden/>
              </w:rPr>
              <w:tab/>
            </w:r>
            <w:r w:rsidR="00F8788D">
              <w:rPr>
                <w:noProof/>
                <w:webHidden/>
              </w:rPr>
              <w:fldChar w:fldCharType="begin"/>
            </w:r>
            <w:r w:rsidR="00F8788D">
              <w:rPr>
                <w:noProof/>
                <w:webHidden/>
              </w:rPr>
              <w:instrText xml:space="preserve"> PAGEREF _Toc503782617 \h </w:instrText>
            </w:r>
            <w:r w:rsidR="00F8788D">
              <w:rPr>
                <w:noProof/>
                <w:webHidden/>
              </w:rPr>
            </w:r>
            <w:r w:rsidR="00F8788D">
              <w:rPr>
                <w:noProof/>
                <w:webHidden/>
              </w:rPr>
              <w:fldChar w:fldCharType="separate"/>
            </w:r>
            <w:r>
              <w:rPr>
                <w:noProof/>
                <w:webHidden/>
              </w:rPr>
              <w:t>58</w:t>
            </w:r>
            <w:r w:rsidR="00F8788D">
              <w:rPr>
                <w:noProof/>
                <w:webHidden/>
              </w:rPr>
              <w:fldChar w:fldCharType="end"/>
            </w:r>
          </w:hyperlink>
        </w:p>
        <w:p w14:paraId="032CA4F4" w14:textId="61C7EA29" w:rsidR="00F8788D" w:rsidRDefault="00FC1305">
          <w:pPr>
            <w:pStyle w:val="TOC1"/>
            <w:tabs>
              <w:tab w:val="left" w:pos="440"/>
              <w:tab w:val="right" w:leader="dot" w:pos="8290"/>
            </w:tabs>
            <w:rPr>
              <w:rFonts w:asciiTheme="minorHAnsi" w:eastAsiaTheme="minorEastAsia" w:hAnsiTheme="minorHAnsi" w:cstheme="minorBidi"/>
              <w:noProof/>
              <w:lang w:val="nl-BE" w:eastAsia="nl-BE"/>
            </w:rPr>
          </w:pPr>
          <w:hyperlink w:anchor="_Toc503782618" w:history="1">
            <w:r w:rsidR="00F8788D" w:rsidRPr="00472ACB">
              <w:rPr>
                <w:rStyle w:val="Hyperlink"/>
                <w:noProof/>
              </w:rPr>
              <w:t>5</w:t>
            </w:r>
            <w:r w:rsidR="00F8788D">
              <w:rPr>
                <w:rFonts w:asciiTheme="minorHAnsi" w:eastAsiaTheme="minorEastAsia" w:hAnsiTheme="minorHAnsi" w:cstheme="minorBidi"/>
                <w:noProof/>
                <w:lang w:val="nl-BE" w:eastAsia="nl-BE"/>
              </w:rPr>
              <w:tab/>
            </w:r>
            <w:r w:rsidR="00F8788D" w:rsidRPr="00472ACB">
              <w:rPr>
                <w:rStyle w:val="Hyperlink"/>
                <w:noProof/>
              </w:rPr>
              <w:t>PMB requirements</w:t>
            </w:r>
            <w:r w:rsidR="00F8788D">
              <w:rPr>
                <w:noProof/>
                <w:webHidden/>
              </w:rPr>
              <w:tab/>
            </w:r>
            <w:r w:rsidR="00F8788D">
              <w:rPr>
                <w:noProof/>
                <w:webHidden/>
              </w:rPr>
              <w:fldChar w:fldCharType="begin"/>
            </w:r>
            <w:r w:rsidR="00F8788D">
              <w:rPr>
                <w:noProof/>
                <w:webHidden/>
              </w:rPr>
              <w:instrText xml:space="preserve"> PAGEREF _Toc503782618 \h </w:instrText>
            </w:r>
            <w:r w:rsidR="00F8788D">
              <w:rPr>
                <w:noProof/>
                <w:webHidden/>
              </w:rPr>
            </w:r>
            <w:r w:rsidR="00F8788D">
              <w:rPr>
                <w:noProof/>
                <w:webHidden/>
              </w:rPr>
              <w:fldChar w:fldCharType="separate"/>
            </w:r>
            <w:r>
              <w:rPr>
                <w:noProof/>
                <w:webHidden/>
              </w:rPr>
              <w:t>60</w:t>
            </w:r>
            <w:r w:rsidR="00F8788D">
              <w:rPr>
                <w:noProof/>
                <w:webHidden/>
              </w:rPr>
              <w:fldChar w:fldCharType="end"/>
            </w:r>
          </w:hyperlink>
        </w:p>
        <w:p w14:paraId="62C0C9A7" w14:textId="3795B14C" w:rsidR="00F8788D" w:rsidRDefault="00FC1305">
          <w:pPr>
            <w:pStyle w:val="TOC2"/>
            <w:tabs>
              <w:tab w:val="left" w:pos="880"/>
              <w:tab w:val="right" w:leader="dot" w:pos="8290"/>
            </w:tabs>
            <w:rPr>
              <w:rFonts w:asciiTheme="minorHAnsi" w:eastAsiaTheme="minorEastAsia" w:hAnsiTheme="minorHAnsi" w:cstheme="minorBidi"/>
              <w:noProof/>
              <w:lang w:val="nl-BE" w:eastAsia="nl-BE"/>
            </w:rPr>
          </w:pPr>
          <w:hyperlink w:anchor="_Toc503782619" w:history="1">
            <w:r w:rsidR="00F8788D" w:rsidRPr="00472ACB">
              <w:rPr>
                <w:rStyle w:val="Hyperlink"/>
                <w:noProof/>
              </w:rPr>
              <w:t>5.1</w:t>
            </w:r>
            <w:r w:rsidR="00F8788D">
              <w:rPr>
                <w:rFonts w:asciiTheme="minorHAnsi" w:eastAsiaTheme="minorEastAsia" w:hAnsiTheme="minorHAnsi" w:cstheme="minorBidi"/>
                <w:noProof/>
                <w:lang w:val="nl-BE" w:eastAsia="nl-BE"/>
              </w:rPr>
              <w:tab/>
            </w:r>
            <w:r w:rsidR="00F8788D" w:rsidRPr="00472ACB">
              <w:rPr>
                <w:rStyle w:val="Hyperlink"/>
                <w:noProof/>
              </w:rPr>
              <w:t>Shared Configuration file changes</w:t>
            </w:r>
            <w:r w:rsidR="00F8788D">
              <w:rPr>
                <w:noProof/>
                <w:webHidden/>
              </w:rPr>
              <w:tab/>
            </w:r>
            <w:r w:rsidR="00F8788D">
              <w:rPr>
                <w:noProof/>
                <w:webHidden/>
              </w:rPr>
              <w:fldChar w:fldCharType="begin"/>
            </w:r>
            <w:r w:rsidR="00F8788D">
              <w:rPr>
                <w:noProof/>
                <w:webHidden/>
              </w:rPr>
              <w:instrText xml:space="preserve"> PAGEREF _Toc503782619 \h </w:instrText>
            </w:r>
            <w:r w:rsidR="00F8788D">
              <w:rPr>
                <w:noProof/>
                <w:webHidden/>
              </w:rPr>
            </w:r>
            <w:r w:rsidR="00F8788D">
              <w:rPr>
                <w:noProof/>
                <w:webHidden/>
              </w:rPr>
              <w:fldChar w:fldCharType="separate"/>
            </w:r>
            <w:r>
              <w:rPr>
                <w:noProof/>
                <w:webHidden/>
              </w:rPr>
              <w:t>61</w:t>
            </w:r>
            <w:r w:rsidR="00F8788D">
              <w:rPr>
                <w:noProof/>
                <w:webHidden/>
              </w:rPr>
              <w:fldChar w:fldCharType="end"/>
            </w:r>
          </w:hyperlink>
        </w:p>
        <w:p w14:paraId="19050189" w14:textId="4015D325" w:rsidR="00F8788D" w:rsidRDefault="00FC1305">
          <w:pPr>
            <w:pStyle w:val="TOC2"/>
            <w:tabs>
              <w:tab w:val="left" w:pos="880"/>
              <w:tab w:val="right" w:leader="dot" w:pos="8290"/>
            </w:tabs>
            <w:rPr>
              <w:rFonts w:asciiTheme="minorHAnsi" w:eastAsiaTheme="minorEastAsia" w:hAnsiTheme="minorHAnsi" w:cstheme="minorBidi"/>
              <w:noProof/>
              <w:lang w:val="nl-BE" w:eastAsia="nl-BE"/>
            </w:rPr>
          </w:pPr>
          <w:hyperlink w:anchor="_Toc503782620" w:history="1">
            <w:r w:rsidR="00F8788D" w:rsidRPr="00472ACB">
              <w:rPr>
                <w:rStyle w:val="Hyperlink"/>
                <w:noProof/>
              </w:rPr>
              <w:t>5.2</w:t>
            </w:r>
            <w:r w:rsidR="00F8788D">
              <w:rPr>
                <w:rFonts w:asciiTheme="minorHAnsi" w:eastAsiaTheme="minorEastAsia" w:hAnsiTheme="minorHAnsi" w:cstheme="minorBidi"/>
                <w:noProof/>
                <w:lang w:val="nl-BE" w:eastAsia="nl-BE"/>
              </w:rPr>
              <w:tab/>
            </w:r>
            <w:r w:rsidR="00F8788D" w:rsidRPr="00472ACB">
              <w:rPr>
                <w:rStyle w:val="Hyperlink"/>
                <w:noProof/>
              </w:rPr>
              <w:t>CZC submission</w:t>
            </w:r>
            <w:r w:rsidR="00F8788D">
              <w:rPr>
                <w:noProof/>
                <w:webHidden/>
              </w:rPr>
              <w:tab/>
            </w:r>
            <w:r w:rsidR="00F8788D">
              <w:rPr>
                <w:noProof/>
                <w:webHidden/>
              </w:rPr>
              <w:fldChar w:fldCharType="begin"/>
            </w:r>
            <w:r w:rsidR="00F8788D">
              <w:rPr>
                <w:noProof/>
                <w:webHidden/>
              </w:rPr>
              <w:instrText xml:space="preserve"> PAGEREF _Toc503782620 \h </w:instrText>
            </w:r>
            <w:r w:rsidR="00F8788D">
              <w:rPr>
                <w:noProof/>
                <w:webHidden/>
              </w:rPr>
            </w:r>
            <w:r w:rsidR="00F8788D">
              <w:rPr>
                <w:noProof/>
                <w:webHidden/>
              </w:rPr>
              <w:fldChar w:fldCharType="separate"/>
            </w:r>
            <w:r>
              <w:rPr>
                <w:noProof/>
                <w:webHidden/>
              </w:rPr>
              <w:t>62</w:t>
            </w:r>
            <w:r w:rsidR="00F8788D">
              <w:rPr>
                <w:noProof/>
                <w:webHidden/>
              </w:rPr>
              <w:fldChar w:fldCharType="end"/>
            </w:r>
          </w:hyperlink>
        </w:p>
        <w:p w14:paraId="7018A488" w14:textId="04974FE3" w:rsidR="00F8788D" w:rsidRDefault="00FC1305">
          <w:pPr>
            <w:pStyle w:val="TOC3"/>
            <w:tabs>
              <w:tab w:val="left" w:pos="1320"/>
              <w:tab w:val="right" w:leader="dot" w:pos="8290"/>
            </w:tabs>
            <w:rPr>
              <w:rFonts w:asciiTheme="minorHAnsi" w:eastAsiaTheme="minorEastAsia" w:hAnsiTheme="minorHAnsi" w:cstheme="minorBidi"/>
              <w:noProof/>
              <w:lang w:val="nl-BE" w:eastAsia="nl-BE"/>
            </w:rPr>
          </w:pPr>
          <w:hyperlink w:anchor="_Toc503782621" w:history="1">
            <w:r w:rsidR="00F8788D" w:rsidRPr="00472ACB">
              <w:rPr>
                <w:rStyle w:val="Hyperlink"/>
                <w:noProof/>
              </w:rPr>
              <w:t>5.2.1</w:t>
            </w:r>
            <w:r w:rsidR="00F8788D">
              <w:rPr>
                <w:rFonts w:asciiTheme="minorHAnsi" w:eastAsiaTheme="minorEastAsia" w:hAnsiTheme="minorHAnsi" w:cstheme="minorBidi"/>
                <w:noProof/>
                <w:lang w:val="nl-BE" w:eastAsia="nl-BE"/>
              </w:rPr>
              <w:tab/>
            </w:r>
            <w:r w:rsidR="00F8788D" w:rsidRPr="00472ACB">
              <w:rPr>
                <w:rStyle w:val="Hyperlink"/>
                <w:noProof/>
              </w:rPr>
              <w:t>Cross-check modes</w:t>
            </w:r>
            <w:r w:rsidR="00F8788D">
              <w:rPr>
                <w:noProof/>
                <w:webHidden/>
              </w:rPr>
              <w:tab/>
            </w:r>
            <w:r w:rsidR="00F8788D">
              <w:rPr>
                <w:noProof/>
                <w:webHidden/>
              </w:rPr>
              <w:fldChar w:fldCharType="begin"/>
            </w:r>
            <w:r w:rsidR="00F8788D">
              <w:rPr>
                <w:noProof/>
                <w:webHidden/>
              </w:rPr>
              <w:instrText xml:space="preserve"> PAGEREF _Toc503782621 \h </w:instrText>
            </w:r>
            <w:r w:rsidR="00F8788D">
              <w:rPr>
                <w:noProof/>
                <w:webHidden/>
              </w:rPr>
            </w:r>
            <w:r w:rsidR="00F8788D">
              <w:rPr>
                <w:noProof/>
                <w:webHidden/>
              </w:rPr>
              <w:fldChar w:fldCharType="separate"/>
            </w:r>
            <w:r>
              <w:rPr>
                <w:noProof/>
                <w:webHidden/>
              </w:rPr>
              <w:t>62</w:t>
            </w:r>
            <w:r w:rsidR="00F8788D">
              <w:rPr>
                <w:noProof/>
                <w:webHidden/>
              </w:rPr>
              <w:fldChar w:fldCharType="end"/>
            </w:r>
          </w:hyperlink>
        </w:p>
        <w:p w14:paraId="7C6CE559" w14:textId="2B45734B" w:rsidR="00F8788D" w:rsidRDefault="00FC1305">
          <w:pPr>
            <w:pStyle w:val="TOC3"/>
            <w:tabs>
              <w:tab w:val="left" w:pos="1320"/>
              <w:tab w:val="right" w:leader="dot" w:pos="8290"/>
            </w:tabs>
            <w:rPr>
              <w:rFonts w:asciiTheme="minorHAnsi" w:eastAsiaTheme="minorEastAsia" w:hAnsiTheme="minorHAnsi" w:cstheme="minorBidi"/>
              <w:noProof/>
              <w:lang w:val="nl-BE" w:eastAsia="nl-BE"/>
            </w:rPr>
          </w:pPr>
          <w:hyperlink w:anchor="_Toc503782622" w:history="1">
            <w:r w:rsidR="00F8788D" w:rsidRPr="00472ACB">
              <w:rPr>
                <w:rStyle w:val="Hyperlink"/>
                <w:noProof/>
              </w:rPr>
              <w:t>5.2.2</w:t>
            </w:r>
            <w:r w:rsidR="00F8788D">
              <w:rPr>
                <w:rFonts w:asciiTheme="minorHAnsi" w:eastAsiaTheme="minorEastAsia" w:hAnsiTheme="minorHAnsi" w:cstheme="minorBidi"/>
                <w:noProof/>
                <w:lang w:val="nl-BE" w:eastAsia="nl-BE"/>
              </w:rPr>
              <w:tab/>
            </w:r>
            <w:r w:rsidR="00F8788D" w:rsidRPr="00472ACB">
              <w:rPr>
                <w:rStyle w:val="Hyperlink"/>
                <w:noProof/>
              </w:rPr>
              <w:t>Network data validation GUI</w:t>
            </w:r>
            <w:r w:rsidR="00F8788D">
              <w:rPr>
                <w:noProof/>
                <w:webHidden/>
              </w:rPr>
              <w:tab/>
            </w:r>
            <w:r w:rsidR="00F8788D">
              <w:rPr>
                <w:noProof/>
                <w:webHidden/>
              </w:rPr>
              <w:fldChar w:fldCharType="begin"/>
            </w:r>
            <w:r w:rsidR="00F8788D">
              <w:rPr>
                <w:noProof/>
                <w:webHidden/>
              </w:rPr>
              <w:instrText xml:space="preserve"> PAGEREF _Toc503782622 \h </w:instrText>
            </w:r>
            <w:r w:rsidR="00F8788D">
              <w:rPr>
                <w:noProof/>
                <w:webHidden/>
              </w:rPr>
            </w:r>
            <w:r w:rsidR="00F8788D">
              <w:rPr>
                <w:noProof/>
                <w:webHidden/>
              </w:rPr>
              <w:fldChar w:fldCharType="separate"/>
            </w:r>
            <w:r>
              <w:rPr>
                <w:noProof/>
                <w:webHidden/>
              </w:rPr>
              <w:t>64</w:t>
            </w:r>
            <w:r w:rsidR="00F8788D">
              <w:rPr>
                <w:noProof/>
                <w:webHidden/>
              </w:rPr>
              <w:fldChar w:fldCharType="end"/>
            </w:r>
          </w:hyperlink>
        </w:p>
        <w:p w14:paraId="78A76F8E" w14:textId="10F99711" w:rsidR="00F8788D" w:rsidRDefault="00FC1305">
          <w:pPr>
            <w:pStyle w:val="TOC2"/>
            <w:tabs>
              <w:tab w:val="left" w:pos="880"/>
              <w:tab w:val="right" w:leader="dot" w:pos="8290"/>
            </w:tabs>
            <w:rPr>
              <w:rFonts w:asciiTheme="minorHAnsi" w:eastAsiaTheme="minorEastAsia" w:hAnsiTheme="minorHAnsi" w:cstheme="minorBidi"/>
              <w:noProof/>
              <w:lang w:val="nl-BE" w:eastAsia="nl-BE"/>
            </w:rPr>
          </w:pPr>
          <w:hyperlink w:anchor="_Toc503782623" w:history="1">
            <w:r w:rsidR="00F8788D" w:rsidRPr="00472ACB">
              <w:rPr>
                <w:rStyle w:val="Hyperlink"/>
                <w:noProof/>
              </w:rPr>
              <w:t>5.3</w:t>
            </w:r>
            <w:r w:rsidR="00F8788D">
              <w:rPr>
                <w:rFonts w:asciiTheme="minorHAnsi" w:eastAsiaTheme="minorEastAsia" w:hAnsiTheme="minorHAnsi" w:cstheme="minorBidi"/>
                <w:noProof/>
                <w:lang w:val="nl-BE" w:eastAsia="nl-BE"/>
              </w:rPr>
              <w:tab/>
            </w:r>
            <w:r w:rsidR="00F8788D" w:rsidRPr="00472ACB">
              <w:rPr>
                <w:rStyle w:val="Hyperlink"/>
                <w:noProof/>
              </w:rPr>
              <w:t>Order data submission</w:t>
            </w:r>
            <w:r w:rsidR="00F8788D">
              <w:rPr>
                <w:noProof/>
                <w:webHidden/>
              </w:rPr>
              <w:tab/>
            </w:r>
            <w:r w:rsidR="00F8788D">
              <w:rPr>
                <w:noProof/>
                <w:webHidden/>
              </w:rPr>
              <w:fldChar w:fldCharType="begin"/>
            </w:r>
            <w:r w:rsidR="00F8788D">
              <w:rPr>
                <w:noProof/>
                <w:webHidden/>
              </w:rPr>
              <w:instrText xml:space="preserve"> PAGEREF _Toc503782623 \h </w:instrText>
            </w:r>
            <w:r w:rsidR="00F8788D">
              <w:rPr>
                <w:noProof/>
                <w:webHidden/>
              </w:rPr>
            </w:r>
            <w:r w:rsidR="00F8788D">
              <w:rPr>
                <w:noProof/>
                <w:webHidden/>
              </w:rPr>
              <w:fldChar w:fldCharType="separate"/>
            </w:r>
            <w:r>
              <w:rPr>
                <w:noProof/>
                <w:webHidden/>
              </w:rPr>
              <w:t>64</w:t>
            </w:r>
            <w:r w:rsidR="00F8788D">
              <w:rPr>
                <w:noProof/>
                <w:webHidden/>
              </w:rPr>
              <w:fldChar w:fldCharType="end"/>
            </w:r>
          </w:hyperlink>
        </w:p>
        <w:p w14:paraId="4A6F8DE6" w14:textId="7511C39D" w:rsidR="00F8788D" w:rsidRDefault="00FC1305">
          <w:pPr>
            <w:pStyle w:val="TOC2"/>
            <w:tabs>
              <w:tab w:val="left" w:pos="880"/>
              <w:tab w:val="right" w:leader="dot" w:pos="8290"/>
            </w:tabs>
            <w:rPr>
              <w:rFonts w:asciiTheme="minorHAnsi" w:eastAsiaTheme="minorEastAsia" w:hAnsiTheme="minorHAnsi" w:cstheme="minorBidi"/>
              <w:noProof/>
              <w:lang w:val="nl-BE" w:eastAsia="nl-BE"/>
            </w:rPr>
          </w:pPr>
          <w:hyperlink w:anchor="_Toc503782624" w:history="1">
            <w:r w:rsidR="00F8788D" w:rsidRPr="00472ACB">
              <w:rPr>
                <w:rStyle w:val="Hyperlink"/>
                <w:noProof/>
              </w:rPr>
              <w:t>5.4</w:t>
            </w:r>
            <w:r w:rsidR="00F8788D">
              <w:rPr>
                <w:rFonts w:asciiTheme="minorHAnsi" w:eastAsiaTheme="minorEastAsia" w:hAnsiTheme="minorHAnsi" w:cstheme="minorBidi"/>
                <w:noProof/>
                <w:lang w:val="nl-BE" w:eastAsia="nl-BE"/>
              </w:rPr>
              <w:tab/>
            </w:r>
            <w:r w:rsidR="00F8788D" w:rsidRPr="00472ACB">
              <w:rPr>
                <w:rStyle w:val="Hyperlink"/>
                <w:noProof/>
              </w:rPr>
              <w:t>Interface changes towards algorithm</w:t>
            </w:r>
            <w:r w:rsidR="00F8788D">
              <w:rPr>
                <w:noProof/>
                <w:webHidden/>
              </w:rPr>
              <w:tab/>
            </w:r>
            <w:r w:rsidR="00F8788D">
              <w:rPr>
                <w:noProof/>
                <w:webHidden/>
              </w:rPr>
              <w:fldChar w:fldCharType="begin"/>
            </w:r>
            <w:r w:rsidR="00F8788D">
              <w:rPr>
                <w:noProof/>
                <w:webHidden/>
              </w:rPr>
              <w:instrText xml:space="preserve"> PAGEREF _Toc503782624 \h </w:instrText>
            </w:r>
            <w:r w:rsidR="00F8788D">
              <w:rPr>
                <w:noProof/>
                <w:webHidden/>
              </w:rPr>
            </w:r>
            <w:r w:rsidR="00F8788D">
              <w:rPr>
                <w:noProof/>
                <w:webHidden/>
              </w:rPr>
              <w:fldChar w:fldCharType="separate"/>
            </w:r>
            <w:r>
              <w:rPr>
                <w:noProof/>
                <w:webHidden/>
              </w:rPr>
              <w:t>65</w:t>
            </w:r>
            <w:r w:rsidR="00F8788D">
              <w:rPr>
                <w:noProof/>
                <w:webHidden/>
              </w:rPr>
              <w:fldChar w:fldCharType="end"/>
            </w:r>
          </w:hyperlink>
        </w:p>
        <w:p w14:paraId="34A39F60" w14:textId="64DE837B" w:rsidR="00F8788D" w:rsidRDefault="00FC1305">
          <w:pPr>
            <w:pStyle w:val="TOC3"/>
            <w:tabs>
              <w:tab w:val="left" w:pos="1320"/>
              <w:tab w:val="right" w:leader="dot" w:pos="8290"/>
            </w:tabs>
            <w:rPr>
              <w:rFonts w:asciiTheme="minorHAnsi" w:eastAsiaTheme="minorEastAsia" w:hAnsiTheme="minorHAnsi" w:cstheme="minorBidi"/>
              <w:noProof/>
              <w:lang w:val="nl-BE" w:eastAsia="nl-BE"/>
            </w:rPr>
          </w:pPr>
          <w:hyperlink w:anchor="_Toc503782625" w:history="1">
            <w:r w:rsidR="00F8788D" w:rsidRPr="00472ACB">
              <w:rPr>
                <w:rStyle w:val="Hyperlink"/>
                <w:noProof/>
                <w:lang w:eastAsia="fr-FR"/>
              </w:rPr>
              <w:t>5.4.1</w:t>
            </w:r>
            <w:r w:rsidR="00F8788D">
              <w:rPr>
                <w:rFonts w:asciiTheme="minorHAnsi" w:eastAsiaTheme="minorEastAsia" w:hAnsiTheme="minorHAnsi" w:cstheme="minorBidi"/>
                <w:noProof/>
                <w:lang w:val="nl-BE" w:eastAsia="nl-BE"/>
              </w:rPr>
              <w:tab/>
            </w:r>
            <w:r w:rsidR="00F8788D" w:rsidRPr="00472ACB">
              <w:rPr>
                <w:rStyle w:val="Hyperlink"/>
                <w:noProof/>
                <w:lang w:eastAsia="fr-FR"/>
              </w:rPr>
              <w:t xml:space="preserve">Order </w:t>
            </w:r>
            <w:r w:rsidR="00F8788D" w:rsidRPr="00472ACB">
              <w:rPr>
                <w:rStyle w:val="Hyperlink"/>
                <w:noProof/>
              </w:rPr>
              <w:t>Data</w:t>
            </w:r>
            <w:r w:rsidR="00F8788D">
              <w:rPr>
                <w:noProof/>
                <w:webHidden/>
              </w:rPr>
              <w:tab/>
            </w:r>
            <w:r w:rsidR="00F8788D">
              <w:rPr>
                <w:noProof/>
                <w:webHidden/>
              </w:rPr>
              <w:fldChar w:fldCharType="begin"/>
            </w:r>
            <w:r w:rsidR="00F8788D">
              <w:rPr>
                <w:noProof/>
                <w:webHidden/>
              </w:rPr>
              <w:instrText xml:space="preserve"> PAGEREF _Toc503782625 \h </w:instrText>
            </w:r>
            <w:r w:rsidR="00F8788D">
              <w:rPr>
                <w:noProof/>
                <w:webHidden/>
              </w:rPr>
            </w:r>
            <w:r w:rsidR="00F8788D">
              <w:rPr>
                <w:noProof/>
                <w:webHidden/>
              </w:rPr>
              <w:fldChar w:fldCharType="separate"/>
            </w:r>
            <w:r>
              <w:rPr>
                <w:noProof/>
                <w:webHidden/>
              </w:rPr>
              <w:t>65</w:t>
            </w:r>
            <w:r w:rsidR="00F8788D">
              <w:rPr>
                <w:noProof/>
                <w:webHidden/>
              </w:rPr>
              <w:fldChar w:fldCharType="end"/>
            </w:r>
          </w:hyperlink>
        </w:p>
        <w:p w14:paraId="0425F228" w14:textId="50D646A3" w:rsidR="00F8788D" w:rsidRDefault="00FC1305">
          <w:pPr>
            <w:pStyle w:val="TOC3"/>
            <w:tabs>
              <w:tab w:val="left" w:pos="1320"/>
              <w:tab w:val="right" w:leader="dot" w:pos="8290"/>
            </w:tabs>
            <w:rPr>
              <w:rFonts w:asciiTheme="minorHAnsi" w:eastAsiaTheme="minorEastAsia" w:hAnsiTheme="minorHAnsi" w:cstheme="minorBidi"/>
              <w:noProof/>
              <w:lang w:val="nl-BE" w:eastAsia="nl-BE"/>
            </w:rPr>
          </w:pPr>
          <w:hyperlink w:anchor="_Toc503782626" w:history="1">
            <w:r w:rsidR="00F8788D" w:rsidRPr="00472ACB">
              <w:rPr>
                <w:rStyle w:val="Hyperlink"/>
                <w:noProof/>
                <w:lang w:eastAsia="fr-FR"/>
              </w:rPr>
              <w:t>5.4.2</w:t>
            </w:r>
            <w:r w:rsidR="00F8788D">
              <w:rPr>
                <w:rFonts w:asciiTheme="minorHAnsi" w:eastAsiaTheme="minorEastAsia" w:hAnsiTheme="minorHAnsi" w:cstheme="minorBidi"/>
                <w:noProof/>
                <w:lang w:val="nl-BE" w:eastAsia="nl-BE"/>
              </w:rPr>
              <w:tab/>
            </w:r>
            <w:r w:rsidR="00F8788D" w:rsidRPr="00472ACB">
              <w:rPr>
                <w:rStyle w:val="Hyperlink"/>
                <w:noProof/>
                <w:lang w:eastAsia="fr-FR"/>
              </w:rPr>
              <w:t>Results</w:t>
            </w:r>
            <w:r w:rsidR="00F8788D">
              <w:rPr>
                <w:noProof/>
                <w:webHidden/>
              </w:rPr>
              <w:tab/>
            </w:r>
            <w:r w:rsidR="00F8788D">
              <w:rPr>
                <w:noProof/>
                <w:webHidden/>
              </w:rPr>
              <w:fldChar w:fldCharType="begin"/>
            </w:r>
            <w:r w:rsidR="00F8788D">
              <w:rPr>
                <w:noProof/>
                <w:webHidden/>
              </w:rPr>
              <w:instrText xml:space="preserve"> PAGEREF _Toc503782626 \h </w:instrText>
            </w:r>
            <w:r w:rsidR="00F8788D">
              <w:rPr>
                <w:noProof/>
                <w:webHidden/>
              </w:rPr>
            </w:r>
            <w:r w:rsidR="00F8788D">
              <w:rPr>
                <w:noProof/>
                <w:webHidden/>
              </w:rPr>
              <w:fldChar w:fldCharType="separate"/>
            </w:r>
            <w:r>
              <w:rPr>
                <w:noProof/>
                <w:webHidden/>
              </w:rPr>
              <w:t>65</w:t>
            </w:r>
            <w:r w:rsidR="00F8788D">
              <w:rPr>
                <w:noProof/>
                <w:webHidden/>
              </w:rPr>
              <w:fldChar w:fldCharType="end"/>
            </w:r>
          </w:hyperlink>
        </w:p>
        <w:p w14:paraId="3EC79890" w14:textId="6284DD79" w:rsidR="00F8788D" w:rsidRDefault="00FC1305">
          <w:pPr>
            <w:pStyle w:val="TOC3"/>
            <w:tabs>
              <w:tab w:val="left" w:pos="1320"/>
              <w:tab w:val="right" w:leader="dot" w:pos="8290"/>
            </w:tabs>
            <w:rPr>
              <w:rFonts w:asciiTheme="minorHAnsi" w:eastAsiaTheme="minorEastAsia" w:hAnsiTheme="minorHAnsi" w:cstheme="minorBidi"/>
              <w:noProof/>
              <w:lang w:val="nl-BE" w:eastAsia="nl-BE"/>
            </w:rPr>
          </w:pPr>
          <w:hyperlink w:anchor="_Toc503782627" w:history="1">
            <w:r w:rsidR="00F8788D" w:rsidRPr="00472ACB">
              <w:rPr>
                <w:rStyle w:val="Hyperlink"/>
                <w:noProof/>
                <w:lang w:eastAsia="fr-FR"/>
              </w:rPr>
              <w:t>5.4.3</w:t>
            </w:r>
            <w:r w:rsidR="00F8788D">
              <w:rPr>
                <w:rFonts w:asciiTheme="minorHAnsi" w:eastAsiaTheme="minorEastAsia" w:hAnsiTheme="minorHAnsi" w:cstheme="minorBidi"/>
                <w:noProof/>
                <w:lang w:val="nl-BE" w:eastAsia="nl-BE"/>
              </w:rPr>
              <w:tab/>
            </w:r>
            <w:r w:rsidR="00F8788D" w:rsidRPr="00472ACB">
              <w:rPr>
                <w:rStyle w:val="Hyperlink"/>
                <w:noProof/>
                <w:lang w:eastAsia="fr-FR"/>
              </w:rPr>
              <w:t>Tie break rules between blocks</w:t>
            </w:r>
            <w:r w:rsidR="00F8788D">
              <w:rPr>
                <w:noProof/>
                <w:webHidden/>
              </w:rPr>
              <w:tab/>
            </w:r>
            <w:r w:rsidR="00F8788D">
              <w:rPr>
                <w:noProof/>
                <w:webHidden/>
              </w:rPr>
              <w:fldChar w:fldCharType="begin"/>
            </w:r>
            <w:r w:rsidR="00F8788D">
              <w:rPr>
                <w:noProof/>
                <w:webHidden/>
              </w:rPr>
              <w:instrText xml:space="preserve"> PAGEREF _Toc503782627 \h </w:instrText>
            </w:r>
            <w:r w:rsidR="00F8788D">
              <w:rPr>
                <w:noProof/>
                <w:webHidden/>
              </w:rPr>
            </w:r>
            <w:r w:rsidR="00F8788D">
              <w:rPr>
                <w:noProof/>
                <w:webHidden/>
              </w:rPr>
              <w:fldChar w:fldCharType="separate"/>
            </w:r>
            <w:r>
              <w:rPr>
                <w:noProof/>
                <w:webHidden/>
              </w:rPr>
              <w:t>65</w:t>
            </w:r>
            <w:r w:rsidR="00F8788D">
              <w:rPr>
                <w:noProof/>
                <w:webHidden/>
              </w:rPr>
              <w:fldChar w:fldCharType="end"/>
            </w:r>
          </w:hyperlink>
        </w:p>
        <w:p w14:paraId="0A34905A" w14:textId="6736C918" w:rsidR="00F8788D" w:rsidRDefault="00FC1305">
          <w:pPr>
            <w:pStyle w:val="TOC2"/>
            <w:tabs>
              <w:tab w:val="left" w:pos="880"/>
              <w:tab w:val="right" w:leader="dot" w:pos="8290"/>
            </w:tabs>
            <w:rPr>
              <w:rFonts w:asciiTheme="minorHAnsi" w:eastAsiaTheme="minorEastAsia" w:hAnsiTheme="minorHAnsi" w:cstheme="minorBidi"/>
              <w:noProof/>
              <w:lang w:val="nl-BE" w:eastAsia="nl-BE"/>
            </w:rPr>
          </w:pPr>
          <w:hyperlink w:anchor="_Toc503782628" w:history="1">
            <w:r w:rsidR="00F8788D" w:rsidRPr="00472ACB">
              <w:rPr>
                <w:rStyle w:val="Hyperlink"/>
                <w:noProof/>
              </w:rPr>
              <w:t>5.5</w:t>
            </w:r>
            <w:r w:rsidR="00F8788D">
              <w:rPr>
                <w:rFonts w:asciiTheme="minorHAnsi" w:eastAsiaTheme="minorEastAsia" w:hAnsiTheme="minorHAnsi" w:cstheme="minorBidi"/>
                <w:noProof/>
                <w:lang w:val="nl-BE" w:eastAsia="nl-BE"/>
              </w:rPr>
              <w:tab/>
            </w:r>
            <w:r w:rsidR="00F8788D" w:rsidRPr="00472ACB">
              <w:rPr>
                <w:rStyle w:val="Hyperlink"/>
                <w:noProof/>
              </w:rPr>
              <w:t>Show Results GUI</w:t>
            </w:r>
            <w:r w:rsidR="00F8788D">
              <w:rPr>
                <w:noProof/>
                <w:webHidden/>
              </w:rPr>
              <w:tab/>
            </w:r>
            <w:r w:rsidR="00F8788D">
              <w:rPr>
                <w:noProof/>
                <w:webHidden/>
              </w:rPr>
              <w:fldChar w:fldCharType="begin"/>
            </w:r>
            <w:r w:rsidR="00F8788D">
              <w:rPr>
                <w:noProof/>
                <w:webHidden/>
              </w:rPr>
              <w:instrText xml:space="preserve"> PAGEREF _Toc503782628 \h </w:instrText>
            </w:r>
            <w:r w:rsidR="00F8788D">
              <w:rPr>
                <w:noProof/>
                <w:webHidden/>
              </w:rPr>
            </w:r>
            <w:r w:rsidR="00F8788D">
              <w:rPr>
                <w:noProof/>
                <w:webHidden/>
              </w:rPr>
              <w:fldChar w:fldCharType="separate"/>
            </w:r>
            <w:r>
              <w:rPr>
                <w:noProof/>
                <w:webHidden/>
              </w:rPr>
              <w:t>65</w:t>
            </w:r>
            <w:r w:rsidR="00F8788D">
              <w:rPr>
                <w:noProof/>
                <w:webHidden/>
              </w:rPr>
              <w:fldChar w:fldCharType="end"/>
            </w:r>
          </w:hyperlink>
        </w:p>
        <w:p w14:paraId="1D927D7A" w14:textId="55A40CC8" w:rsidR="00F8788D" w:rsidRDefault="00FC1305">
          <w:pPr>
            <w:pStyle w:val="TOC2"/>
            <w:tabs>
              <w:tab w:val="left" w:pos="880"/>
              <w:tab w:val="right" w:leader="dot" w:pos="8290"/>
            </w:tabs>
            <w:rPr>
              <w:rFonts w:asciiTheme="minorHAnsi" w:eastAsiaTheme="minorEastAsia" w:hAnsiTheme="minorHAnsi" w:cstheme="minorBidi"/>
              <w:noProof/>
              <w:lang w:val="nl-BE" w:eastAsia="nl-BE"/>
            </w:rPr>
          </w:pPr>
          <w:hyperlink w:anchor="_Toc503782631" w:history="1">
            <w:r w:rsidR="00F8788D" w:rsidRPr="00472ACB">
              <w:rPr>
                <w:rStyle w:val="Hyperlink"/>
                <w:noProof/>
                <w:lang w:eastAsia="fr-FR"/>
              </w:rPr>
              <w:t>5.6</w:t>
            </w:r>
            <w:r w:rsidR="00F8788D">
              <w:rPr>
                <w:rFonts w:asciiTheme="minorHAnsi" w:eastAsiaTheme="minorEastAsia" w:hAnsiTheme="minorHAnsi" w:cstheme="minorBidi"/>
                <w:noProof/>
                <w:lang w:val="nl-BE" w:eastAsia="nl-BE"/>
              </w:rPr>
              <w:tab/>
            </w:r>
            <w:r w:rsidR="00F8788D" w:rsidRPr="00472ACB">
              <w:rPr>
                <w:rStyle w:val="Hyperlink"/>
                <w:noProof/>
                <w:lang w:eastAsia="fr-FR"/>
              </w:rPr>
              <w:t>Results document</w:t>
            </w:r>
            <w:r w:rsidR="00F8788D">
              <w:rPr>
                <w:noProof/>
                <w:webHidden/>
              </w:rPr>
              <w:tab/>
            </w:r>
            <w:r w:rsidR="00F8788D">
              <w:rPr>
                <w:noProof/>
                <w:webHidden/>
              </w:rPr>
              <w:fldChar w:fldCharType="begin"/>
            </w:r>
            <w:r w:rsidR="00F8788D">
              <w:rPr>
                <w:noProof/>
                <w:webHidden/>
              </w:rPr>
              <w:instrText xml:space="preserve"> PAGEREF _Toc503782631 \h </w:instrText>
            </w:r>
            <w:r w:rsidR="00F8788D">
              <w:rPr>
                <w:noProof/>
                <w:webHidden/>
              </w:rPr>
            </w:r>
            <w:r w:rsidR="00F8788D">
              <w:rPr>
                <w:noProof/>
                <w:webHidden/>
              </w:rPr>
              <w:fldChar w:fldCharType="separate"/>
            </w:r>
            <w:r>
              <w:rPr>
                <w:noProof/>
                <w:webHidden/>
              </w:rPr>
              <w:t>65</w:t>
            </w:r>
            <w:r w:rsidR="00F8788D">
              <w:rPr>
                <w:noProof/>
                <w:webHidden/>
              </w:rPr>
              <w:fldChar w:fldCharType="end"/>
            </w:r>
          </w:hyperlink>
        </w:p>
        <w:p w14:paraId="17E46E51" w14:textId="265ACF17" w:rsidR="00F8788D" w:rsidRDefault="00FC1305">
          <w:pPr>
            <w:pStyle w:val="TOC2"/>
            <w:tabs>
              <w:tab w:val="left" w:pos="880"/>
              <w:tab w:val="right" w:leader="dot" w:pos="8290"/>
            </w:tabs>
            <w:rPr>
              <w:rFonts w:asciiTheme="minorHAnsi" w:eastAsiaTheme="minorEastAsia" w:hAnsiTheme="minorHAnsi" w:cstheme="minorBidi"/>
              <w:noProof/>
              <w:lang w:val="nl-BE" w:eastAsia="nl-BE"/>
            </w:rPr>
          </w:pPr>
          <w:hyperlink w:anchor="_Toc503782632" w:history="1">
            <w:r w:rsidR="00F8788D" w:rsidRPr="00472ACB">
              <w:rPr>
                <w:rStyle w:val="Hyperlink"/>
                <w:noProof/>
              </w:rPr>
              <w:t>5.7</w:t>
            </w:r>
            <w:r w:rsidR="00F8788D">
              <w:rPr>
                <w:rFonts w:asciiTheme="minorHAnsi" w:eastAsiaTheme="minorEastAsia" w:hAnsiTheme="minorHAnsi" w:cstheme="minorBidi"/>
                <w:noProof/>
                <w:lang w:val="nl-BE" w:eastAsia="nl-BE"/>
              </w:rPr>
              <w:tab/>
            </w:r>
            <w:r w:rsidR="00F8788D" w:rsidRPr="00472ACB">
              <w:rPr>
                <w:rStyle w:val="Hyperlink"/>
                <w:noProof/>
              </w:rPr>
              <w:t>Identification codes of BZ, SA, NH and Tie lines</w:t>
            </w:r>
            <w:r w:rsidR="00F8788D">
              <w:rPr>
                <w:noProof/>
                <w:webHidden/>
              </w:rPr>
              <w:tab/>
            </w:r>
            <w:r w:rsidR="00F8788D">
              <w:rPr>
                <w:noProof/>
                <w:webHidden/>
              </w:rPr>
              <w:fldChar w:fldCharType="begin"/>
            </w:r>
            <w:r w:rsidR="00F8788D">
              <w:rPr>
                <w:noProof/>
                <w:webHidden/>
              </w:rPr>
              <w:instrText xml:space="preserve"> PAGEREF _Toc503782632 \h </w:instrText>
            </w:r>
            <w:r w:rsidR="00F8788D">
              <w:rPr>
                <w:noProof/>
                <w:webHidden/>
              </w:rPr>
            </w:r>
            <w:r w:rsidR="00F8788D">
              <w:rPr>
                <w:noProof/>
                <w:webHidden/>
              </w:rPr>
              <w:fldChar w:fldCharType="separate"/>
            </w:r>
            <w:r>
              <w:rPr>
                <w:noProof/>
                <w:webHidden/>
              </w:rPr>
              <w:t>65</w:t>
            </w:r>
            <w:r w:rsidR="00F8788D">
              <w:rPr>
                <w:noProof/>
                <w:webHidden/>
              </w:rPr>
              <w:fldChar w:fldCharType="end"/>
            </w:r>
          </w:hyperlink>
        </w:p>
        <w:p w14:paraId="3168C75C" w14:textId="73509F61" w:rsidR="00F8788D" w:rsidRDefault="00FC1305">
          <w:pPr>
            <w:pStyle w:val="TOC2"/>
            <w:tabs>
              <w:tab w:val="left" w:pos="880"/>
              <w:tab w:val="right" w:leader="dot" w:pos="8290"/>
            </w:tabs>
            <w:rPr>
              <w:rFonts w:asciiTheme="minorHAnsi" w:eastAsiaTheme="minorEastAsia" w:hAnsiTheme="minorHAnsi" w:cstheme="minorBidi"/>
              <w:noProof/>
              <w:lang w:val="nl-BE" w:eastAsia="nl-BE"/>
            </w:rPr>
          </w:pPr>
          <w:hyperlink w:anchor="_Toc503782633" w:history="1">
            <w:r w:rsidR="00F8788D" w:rsidRPr="00472ACB">
              <w:rPr>
                <w:rStyle w:val="Hyperlink"/>
                <w:noProof/>
              </w:rPr>
              <w:t>5.8</w:t>
            </w:r>
            <w:r w:rsidR="00F8788D">
              <w:rPr>
                <w:rFonts w:asciiTheme="minorHAnsi" w:eastAsiaTheme="minorEastAsia" w:hAnsiTheme="minorHAnsi" w:cstheme="minorBidi"/>
                <w:noProof/>
                <w:lang w:val="nl-BE" w:eastAsia="nl-BE"/>
              </w:rPr>
              <w:tab/>
            </w:r>
            <w:r w:rsidR="00F8788D" w:rsidRPr="00472ACB">
              <w:rPr>
                <w:rStyle w:val="Hyperlink"/>
                <w:noProof/>
              </w:rPr>
              <w:t>Changes in PBM due to decoupling</w:t>
            </w:r>
            <w:r w:rsidR="00F8788D">
              <w:rPr>
                <w:noProof/>
                <w:webHidden/>
              </w:rPr>
              <w:tab/>
            </w:r>
            <w:r w:rsidR="00F8788D">
              <w:rPr>
                <w:noProof/>
                <w:webHidden/>
              </w:rPr>
              <w:fldChar w:fldCharType="begin"/>
            </w:r>
            <w:r w:rsidR="00F8788D">
              <w:rPr>
                <w:noProof/>
                <w:webHidden/>
              </w:rPr>
              <w:instrText xml:space="preserve"> PAGEREF _Toc503782633 \h </w:instrText>
            </w:r>
            <w:r w:rsidR="00F8788D">
              <w:rPr>
                <w:noProof/>
                <w:webHidden/>
              </w:rPr>
            </w:r>
            <w:r w:rsidR="00F8788D">
              <w:rPr>
                <w:noProof/>
                <w:webHidden/>
              </w:rPr>
              <w:fldChar w:fldCharType="separate"/>
            </w:r>
            <w:r>
              <w:rPr>
                <w:noProof/>
                <w:webHidden/>
              </w:rPr>
              <w:t>66</w:t>
            </w:r>
            <w:r w:rsidR="00F8788D">
              <w:rPr>
                <w:noProof/>
                <w:webHidden/>
              </w:rPr>
              <w:fldChar w:fldCharType="end"/>
            </w:r>
          </w:hyperlink>
        </w:p>
        <w:p w14:paraId="1BB4D52A" w14:textId="77777777" w:rsidR="00F8788D" w:rsidRDefault="00F8788D" w:rsidP="002414BB">
          <w:pPr>
            <w:jc w:val="both"/>
            <w:rPr>
              <w:b/>
              <w:bCs/>
              <w:noProof/>
            </w:rPr>
          </w:pPr>
          <w:r>
            <w:rPr>
              <w:b/>
              <w:bCs/>
              <w:noProof/>
            </w:rPr>
            <w:fldChar w:fldCharType="end"/>
          </w:r>
        </w:p>
      </w:sdtContent>
    </w:sdt>
    <w:p w14:paraId="03625D57" w14:textId="77777777" w:rsidR="00F8788D" w:rsidRPr="00465B25" w:rsidRDefault="00F8788D" w:rsidP="002414BB">
      <w:pPr>
        <w:jc w:val="both"/>
        <w:rPr>
          <w:b/>
          <w:bCs/>
          <w:noProof/>
        </w:rPr>
      </w:pPr>
      <w:r>
        <w:br w:type="page"/>
      </w:r>
    </w:p>
    <w:p w14:paraId="6FA3851B" w14:textId="77777777" w:rsidR="00F8788D" w:rsidRDefault="00F8788D" w:rsidP="00F8788D">
      <w:pPr>
        <w:pStyle w:val="Heading1"/>
        <w:numPr>
          <w:ilvl w:val="0"/>
          <w:numId w:val="33"/>
        </w:numPr>
      </w:pPr>
      <w:bookmarkStart w:id="56" w:name="_Toc503782580"/>
      <w:bookmarkStart w:id="57" w:name="_Toc507425387"/>
      <w:r w:rsidRPr="009D0CFA">
        <w:t>Purpose</w:t>
      </w:r>
      <w:r>
        <w:t xml:space="preserve"> of the document</w:t>
      </w:r>
      <w:bookmarkEnd w:id="56"/>
      <w:bookmarkEnd w:id="57"/>
    </w:p>
    <w:p w14:paraId="6F3646FB" w14:textId="77777777" w:rsidR="00F8788D" w:rsidRDefault="00F8788D" w:rsidP="002414BB">
      <w:pPr>
        <w:jc w:val="both"/>
      </w:pPr>
    </w:p>
    <w:p w14:paraId="104DF3DD" w14:textId="77777777" w:rsidR="00F8788D" w:rsidRDefault="00F8788D" w:rsidP="002414BB">
      <w:pPr>
        <w:jc w:val="both"/>
      </w:pPr>
      <w:r>
        <w:t xml:space="preserve">This document describes the functional requirements for the coupling part of the Single Day Ahead Coupling capable to facilitate multiple NEMOs per Bidding Zone as required by CACM, also called MNA (Multi-Nemo Arrangement). The current PCR market coupling solution including PMB and Euphemia, and its operational procedures is facilitating only one NEMO per Bidding Zone. Therefore, a change request will have to be issued, and implementation to PMB and Euphemia shall start as soon as this document and the requirements have been agreed by all NEMOs, all TSOs and NRAs. </w:t>
      </w:r>
    </w:p>
    <w:p w14:paraId="19910F53" w14:textId="77777777" w:rsidR="00F8788D" w:rsidRDefault="00F8788D" w:rsidP="002414BB">
      <w:pPr>
        <w:jc w:val="both"/>
      </w:pPr>
    </w:p>
    <w:p w14:paraId="6D0592CE" w14:textId="77777777" w:rsidR="00F8788D" w:rsidRDefault="00F8788D" w:rsidP="002414BB">
      <w:pPr>
        <w:jc w:val="both"/>
      </w:pPr>
      <w:r>
        <w:t>This document contains the current working assumption for the requirements. The confirmation that these requirements are indeed algorithmically feasible, can only be given</w:t>
      </w:r>
      <w:r w:rsidRPr="00133BF0">
        <w:t xml:space="preserve"> </w:t>
      </w:r>
      <w:r>
        <w:t>after the prototype of the algorithm is built and tested.</w:t>
      </w:r>
    </w:p>
    <w:p w14:paraId="09DDD6C2" w14:textId="77777777" w:rsidR="00F8788D" w:rsidRDefault="00F8788D" w:rsidP="002414BB">
      <w:pPr>
        <w:jc w:val="both"/>
      </w:pPr>
    </w:p>
    <w:p w14:paraId="1E8495F0" w14:textId="77777777" w:rsidR="00F8788D" w:rsidRDefault="00F8788D" w:rsidP="002414BB">
      <w:pPr>
        <w:jc w:val="both"/>
      </w:pPr>
      <w:r>
        <w:t xml:space="preserve">This document does not cover the functional requirements for the changes in the pre-coupling or the post-coupling. These changes are discussed outside the scope of PCR. </w:t>
      </w:r>
    </w:p>
    <w:p w14:paraId="5F78DA46" w14:textId="77777777" w:rsidR="00F8788D" w:rsidRDefault="00F8788D" w:rsidP="002414BB">
      <w:pPr>
        <w:jc w:val="both"/>
      </w:pPr>
    </w:p>
    <w:p w14:paraId="3A5A9136" w14:textId="77777777" w:rsidR="00F8788D" w:rsidRPr="009D0CFA" w:rsidRDefault="00F8788D" w:rsidP="00F8788D">
      <w:pPr>
        <w:pStyle w:val="Heading1"/>
        <w:numPr>
          <w:ilvl w:val="0"/>
          <w:numId w:val="33"/>
        </w:numPr>
      </w:pPr>
      <w:bookmarkStart w:id="58" w:name="_Toc497141935"/>
      <w:bookmarkStart w:id="59" w:name="_Toc500406804"/>
      <w:bookmarkStart w:id="60" w:name="_Toc503782581"/>
      <w:bookmarkStart w:id="61" w:name="_Hlk496813858"/>
      <w:bookmarkStart w:id="62" w:name="_Toc507425388"/>
      <w:bookmarkEnd w:id="58"/>
      <w:r w:rsidRPr="009D0CFA">
        <w:t>Glossary</w:t>
      </w:r>
      <w:bookmarkEnd w:id="59"/>
      <w:bookmarkEnd w:id="60"/>
      <w:bookmarkEnd w:id="62"/>
    </w:p>
    <w:p w14:paraId="3F81A008" w14:textId="77777777" w:rsidR="00F8788D" w:rsidRDefault="00F8788D" w:rsidP="002414BB">
      <w:pPr>
        <w:jc w:val="both"/>
      </w:pPr>
    </w:p>
    <w:p w14:paraId="6AE51D75" w14:textId="77777777" w:rsidR="00F8788D" w:rsidRDefault="00F8788D" w:rsidP="002414BB">
      <w:pPr>
        <w:jc w:val="both"/>
      </w:pPr>
      <w:r>
        <w:t>In the following text a series of concepts and acronyms are being used. This section contains a reference to all of them.</w:t>
      </w:r>
    </w:p>
    <w:p w14:paraId="72A80770" w14:textId="77777777" w:rsidR="00F8788D" w:rsidRDefault="00F8788D" w:rsidP="002414BB">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5973"/>
      </w:tblGrid>
      <w:tr w:rsidR="00F8788D" w14:paraId="0E32C403" w14:textId="77777777" w:rsidTr="002414BB">
        <w:tc>
          <w:tcPr>
            <w:tcW w:w="2317" w:type="dxa"/>
          </w:tcPr>
          <w:p w14:paraId="3332504B" w14:textId="77777777" w:rsidR="00F8788D" w:rsidRDefault="00F8788D" w:rsidP="002414BB">
            <w:pPr>
              <w:jc w:val="both"/>
            </w:pPr>
            <w:r>
              <w:t>Item</w:t>
            </w:r>
          </w:p>
        </w:tc>
        <w:tc>
          <w:tcPr>
            <w:tcW w:w="5973" w:type="dxa"/>
          </w:tcPr>
          <w:p w14:paraId="2C3F29C9" w14:textId="77777777" w:rsidR="00F8788D" w:rsidRDefault="00F8788D" w:rsidP="002414BB">
            <w:pPr>
              <w:jc w:val="both"/>
            </w:pPr>
            <w:r>
              <w:t>Description</w:t>
            </w:r>
          </w:p>
        </w:tc>
      </w:tr>
      <w:tr w:rsidR="00F8788D" w14:paraId="14FB5AF2" w14:textId="77777777" w:rsidTr="002414BB">
        <w:tc>
          <w:tcPr>
            <w:tcW w:w="2317" w:type="dxa"/>
          </w:tcPr>
          <w:p w14:paraId="4C965F36" w14:textId="77777777" w:rsidR="00F8788D" w:rsidRDefault="00F8788D" w:rsidP="002414BB">
            <w:pPr>
              <w:jc w:val="both"/>
            </w:pPr>
            <w:r>
              <w:t>CCP</w:t>
            </w:r>
          </w:p>
        </w:tc>
        <w:tc>
          <w:tcPr>
            <w:tcW w:w="5973" w:type="dxa"/>
          </w:tcPr>
          <w:p w14:paraId="3FCF7654" w14:textId="77777777" w:rsidR="00F8788D" w:rsidRDefault="00F8788D" w:rsidP="002414BB">
            <w:pPr>
              <w:jc w:val="both"/>
            </w:pPr>
            <w:r>
              <w:t>‘C</w:t>
            </w:r>
            <w:r w:rsidRPr="001116D4">
              <w:t>entral counter party’ means the entity or entities with the task of entering into contracts with market participants, by novation of the contracts resulting from the matching process, and of organising the transfer of net positions resulting from capacity allocation with other central counter parties or shipping agents</w:t>
            </w:r>
          </w:p>
        </w:tc>
      </w:tr>
      <w:tr w:rsidR="00F8788D" w14:paraId="17627D72" w14:textId="77777777" w:rsidTr="002414BB">
        <w:tc>
          <w:tcPr>
            <w:tcW w:w="2317" w:type="dxa"/>
          </w:tcPr>
          <w:p w14:paraId="09DCB502" w14:textId="77777777" w:rsidR="00F8788D" w:rsidRDefault="00F8788D" w:rsidP="002414BB">
            <w:pPr>
              <w:jc w:val="both"/>
            </w:pPr>
            <w:r>
              <w:t>DB</w:t>
            </w:r>
          </w:p>
        </w:tc>
        <w:tc>
          <w:tcPr>
            <w:tcW w:w="5973" w:type="dxa"/>
          </w:tcPr>
          <w:p w14:paraId="7318BEF4" w14:textId="77777777" w:rsidR="00F8788D" w:rsidRDefault="00F8788D" w:rsidP="002414BB">
            <w:pPr>
              <w:jc w:val="both"/>
            </w:pPr>
            <w:r>
              <w:t>Database</w:t>
            </w:r>
          </w:p>
        </w:tc>
      </w:tr>
      <w:tr w:rsidR="00F8788D" w14:paraId="66ECB914" w14:textId="77777777" w:rsidTr="002414BB">
        <w:tc>
          <w:tcPr>
            <w:tcW w:w="2317" w:type="dxa"/>
          </w:tcPr>
          <w:p w14:paraId="387339FC" w14:textId="77777777" w:rsidR="00F8788D" w:rsidRDefault="00F8788D" w:rsidP="002414BB">
            <w:pPr>
              <w:jc w:val="both"/>
            </w:pPr>
            <w:r>
              <w:t>Euphemia</w:t>
            </w:r>
          </w:p>
        </w:tc>
        <w:tc>
          <w:tcPr>
            <w:tcW w:w="5973" w:type="dxa"/>
          </w:tcPr>
          <w:p w14:paraId="37843B89" w14:textId="77777777" w:rsidR="00F8788D" w:rsidRDefault="00F8788D" w:rsidP="002414BB">
            <w:pPr>
              <w:jc w:val="both"/>
            </w:pPr>
            <w:r>
              <w:t>T</w:t>
            </w:r>
            <w:r w:rsidRPr="001116D4">
              <w:t>he algorithm used in single day-ahead coupling for simultaneously matching orders and allocating cross-zonal capacities</w:t>
            </w:r>
          </w:p>
        </w:tc>
      </w:tr>
      <w:tr w:rsidR="00F8788D" w14:paraId="10C0CEFB" w14:textId="77777777" w:rsidTr="002414BB">
        <w:tc>
          <w:tcPr>
            <w:tcW w:w="2317" w:type="dxa"/>
          </w:tcPr>
          <w:p w14:paraId="22852AF4" w14:textId="77777777" w:rsidR="00F8788D" w:rsidRDefault="00F8788D" w:rsidP="002414BB">
            <w:pPr>
              <w:jc w:val="both"/>
            </w:pPr>
            <w:r>
              <w:t>MTU</w:t>
            </w:r>
          </w:p>
        </w:tc>
        <w:tc>
          <w:tcPr>
            <w:tcW w:w="5973" w:type="dxa"/>
          </w:tcPr>
          <w:p w14:paraId="69CDA1B0" w14:textId="77777777" w:rsidR="00F8788D" w:rsidRDefault="00F8788D" w:rsidP="002414BB">
            <w:pPr>
              <w:jc w:val="both"/>
            </w:pPr>
            <w:r>
              <w:t>Market Time Unit</w:t>
            </w:r>
          </w:p>
        </w:tc>
      </w:tr>
      <w:tr w:rsidR="00F8788D" w14:paraId="5C0A76FB" w14:textId="77777777" w:rsidTr="002414BB">
        <w:tc>
          <w:tcPr>
            <w:tcW w:w="2317" w:type="dxa"/>
          </w:tcPr>
          <w:p w14:paraId="4FD13831" w14:textId="77777777" w:rsidR="00F8788D" w:rsidRDefault="00F8788D" w:rsidP="002414BB">
            <w:pPr>
              <w:jc w:val="both"/>
            </w:pPr>
            <w:r>
              <w:t>NP</w:t>
            </w:r>
          </w:p>
        </w:tc>
        <w:tc>
          <w:tcPr>
            <w:tcW w:w="5973" w:type="dxa"/>
          </w:tcPr>
          <w:p w14:paraId="286594CE" w14:textId="77777777" w:rsidR="00F8788D" w:rsidRDefault="00F8788D" w:rsidP="002414BB">
            <w:pPr>
              <w:jc w:val="both"/>
            </w:pPr>
            <w:r>
              <w:t>Net Position</w:t>
            </w:r>
          </w:p>
        </w:tc>
      </w:tr>
      <w:tr w:rsidR="00F8788D" w14:paraId="37B80392" w14:textId="77777777" w:rsidTr="002414BB">
        <w:tc>
          <w:tcPr>
            <w:tcW w:w="2317" w:type="dxa"/>
          </w:tcPr>
          <w:p w14:paraId="1883545A" w14:textId="77777777" w:rsidR="00F8788D" w:rsidRDefault="00F8788D" w:rsidP="002414BB">
            <w:pPr>
              <w:jc w:val="both"/>
            </w:pPr>
            <w:r>
              <w:t>BZ</w:t>
            </w:r>
          </w:p>
        </w:tc>
        <w:tc>
          <w:tcPr>
            <w:tcW w:w="5973" w:type="dxa"/>
          </w:tcPr>
          <w:p w14:paraId="0147BA05" w14:textId="77777777" w:rsidR="00F8788D" w:rsidRDefault="00F8788D" w:rsidP="002414BB">
            <w:pPr>
              <w:jc w:val="both"/>
            </w:pPr>
            <w:r>
              <w:t>Bidding Zone</w:t>
            </w:r>
          </w:p>
        </w:tc>
      </w:tr>
      <w:tr w:rsidR="00F8788D" w14:paraId="4795859D" w14:textId="77777777" w:rsidTr="002414BB">
        <w:tc>
          <w:tcPr>
            <w:tcW w:w="2317" w:type="dxa"/>
          </w:tcPr>
          <w:p w14:paraId="296DC2E5" w14:textId="77777777" w:rsidR="00F8788D" w:rsidRDefault="00F8788D" w:rsidP="002414BB">
            <w:pPr>
              <w:jc w:val="both"/>
            </w:pPr>
            <w:r>
              <w:t>NTH</w:t>
            </w:r>
          </w:p>
        </w:tc>
        <w:tc>
          <w:tcPr>
            <w:tcW w:w="5973" w:type="dxa"/>
          </w:tcPr>
          <w:p w14:paraId="72DA9BBD" w14:textId="77777777" w:rsidR="00F8788D" w:rsidRDefault="00F8788D" w:rsidP="002414BB">
            <w:pPr>
              <w:jc w:val="both"/>
            </w:pPr>
            <w:r>
              <w:t>NEMO trading hub – combination of NEMO, active in a scheduling area, within a bidding zone</w:t>
            </w:r>
          </w:p>
        </w:tc>
      </w:tr>
      <w:tr w:rsidR="00F8788D" w14:paraId="68DFC441" w14:textId="77777777" w:rsidTr="002414BB">
        <w:tc>
          <w:tcPr>
            <w:tcW w:w="2317" w:type="dxa"/>
          </w:tcPr>
          <w:p w14:paraId="4E33BDDD" w14:textId="77777777" w:rsidR="00F8788D" w:rsidRDefault="00F8788D" w:rsidP="002414BB">
            <w:pPr>
              <w:jc w:val="both"/>
            </w:pPr>
            <w:r>
              <w:t>OBK</w:t>
            </w:r>
          </w:p>
        </w:tc>
        <w:tc>
          <w:tcPr>
            <w:tcW w:w="5973" w:type="dxa"/>
          </w:tcPr>
          <w:p w14:paraId="32079B5B" w14:textId="77777777" w:rsidR="00F8788D" w:rsidRDefault="00F8788D" w:rsidP="002414BB">
            <w:pPr>
              <w:jc w:val="both"/>
            </w:pPr>
            <w:r>
              <w:t>Order book</w:t>
            </w:r>
          </w:p>
        </w:tc>
      </w:tr>
      <w:tr w:rsidR="00F8788D" w14:paraId="4001F27C" w14:textId="77777777" w:rsidTr="002414BB">
        <w:tc>
          <w:tcPr>
            <w:tcW w:w="2317" w:type="dxa"/>
          </w:tcPr>
          <w:p w14:paraId="6B78D56A" w14:textId="77777777" w:rsidR="00F8788D" w:rsidRDefault="00F8788D" w:rsidP="002414BB">
            <w:pPr>
              <w:jc w:val="both"/>
            </w:pPr>
            <w:r>
              <w:t>SEC</w:t>
            </w:r>
          </w:p>
        </w:tc>
        <w:tc>
          <w:tcPr>
            <w:tcW w:w="5973" w:type="dxa"/>
          </w:tcPr>
          <w:p w14:paraId="15A0419D" w14:textId="77777777" w:rsidR="00F8788D" w:rsidRDefault="00F8788D" w:rsidP="002414BB">
            <w:pPr>
              <w:jc w:val="both"/>
            </w:pPr>
            <w:r>
              <w:t>Scheduled Exchange Calculation (cf. All TSOs’ proposal for a Methodology for Calculating Scheduled Exchanges resulting from single day-ahead coupling in accordance with Article 43 of the Commission Regulation (EU) 2015/1222 of 24 July 2015 establishing a guideline on capacity allocation and congestion management)</w:t>
            </w:r>
          </w:p>
        </w:tc>
      </w:tr>
      <w:tr w:rsidR="00F8788D" w14:paraId="6EDE9227" w14:textId="77777777" w:rsidTr="002414BB">
        <w:tc>
          <w:tcPr>
            <w:tcW w:w="2317" w:type="dxa"/>
          </w:tcPr>
          <w:p w14:paraId="25C05FB5" w14:textId="77777777" w:rsidR="00F8788D" w:rsidRDefault="00F8788D" w:rsidP="002414BB">
            <w:pPr>
              <w:jc w:val="both"/>
            </w:pPr>
            <w:r>
              <w:t>SA</w:t>
            </w:r>
          </w:p>
        </w:tc>
        <w:tc>
          <w:tcPr>
            <w:tcW w:w="5973" w:type="dxa"/>
          </w:tcPr>
          <w:p w14:paraId="6024625E" w14:textId="77777777" w:rsidR="00F8788D" w:rsidRDefault="00F8788D" w:rsidP="002414BB">
            <w:pPr>
              <w:jc w:val="both"/>
            </w:pPr>
            <w:r>
              <w:t>Scheduling Area</w:t>
            </w:r>
          </w:p>
        </w:tc>
      </w:tr>
      <w:tr w:rsidR="00F8788D" w14:paraId="5B5B9B96" w14:textId="77777777" w:rsidTr="002414BB">
        <w:tc>
          <w:tcPr>
            <w:tcW w:w="2317" w:type="dxa"/>
          </w:tcPr>
          <w:p w14:paraId="6B99D27C" w14:textId="77777777" w:rsidR="00F8788D" w:rsidRDefault="00F8788D" w:rsidP="002414BB">
            <w:pPr>
              <w:jc w:val="both"/>
            </w:pPr>
            <w:r>
              <w:t>SCF</w:t>
            </w:r>
          </w:p>
        </w:tc>
        <w:tc>
          <w:tcPr>
            <w:tcW w:w="5973" w:type="dxa"/>
          </w:tcPr>
          <w:p w14:paraId="072CC3AE" w14:textId="77777777" w:rsidR="00F8788D" w:rsidRDefault="00F8788D" w:rsidP="002414BB">
            <w:pPr>
              <w:jc w:val="both"/>
            </w:pPr>
            <w:r>
              <w:t>Shared configuration file, used for configuring various aspects of the PMB setup</w:t>
            </w:r>
          </w:p>
        </w:tc>
      </w:tr>
    </w:tbl>
    <w:p w14:paraId="646CBE3B" w14:textId="77777777" w:rsidR="00F8788D" w:rsidRDefault="00F8788D" w:rsidP="002414BB">
      <w:pPr>
        <w:jc w:val="both"/>
      </w:pPr>
    </w:p>
    <w:p w14:paraId="3ACAB720" w14:textId="77777777" w:rsidR="00F8788D" w:rsidRDefault="00F8788D" w:rsidP="002414BB">
      <w:r>
        <w:br w:type="page"/>
      </w:r>
    </w:p>
    <w:p w14:paraId="0DE00A5D" w14:textId="77777777" w:rsidR="00F8788D" w:rsidRPr="001F0D07" w:rsidRDefault="00F8788D" w:rsidP="00F8788D">
      <w:pPr>
        <w:pStyle w:val="Heading1"/>
        <w:numPr>
          <w:ilvl w:val="0"/>
          <w:numId w:val="33"/>
        </w:numPr>
      </w:pPr>
      <w:bookmarkStart w:id="63" w:name="_Toc500406805"/>
      <w:bookmarkStart w:id="64" w:name="_Toc503782582"/>
      <w:bookmarkStart w:id="65" w:name="_Toc507425389"/>
      <w:bookmarkEnd w:id="61"/>
      <w:r>
        <w:t>Euphemia</w:t>
      </w:r>
      <w:r w:rsidRPr="009D0CFA">
        <w:t xml:space="preserve"> MNA coupling process</w:t>
      </w:r>
      <w:bookmarkEnd w:id="63"/>
      <w:bookmarkEnd w:id="64"/>
      <w:bookmarkEnd w:id="65"/>
    </w:p>
    <w:p w14:paraId="66FA4D0D" w14:textId="77777777" w:rsidR="00F8788D" w:rsidRPr="009D0CFA" w:rsidRDefault="00F8788D" w:rsidP="00F8788D">
      <w:pPr>
        <w:pStyle w:val="ListParagraph"/>
        <w:keepNext/>
        <w:keepLines/>
        <w:numPr>
          <w:ilvl w:val="0"/>
          <w:numId w:val="37"/>
        </w:numPr>
        <w:spacing w:before="40"/>
        <w:contextualSpacing w:val="0"/>
        <w:outlineLvl w:val="1"/>
        <w:rPr>
          <w:rFonts w:asciiTheme="majorHAnsi" w:eastAsiaTheme="majorEastAsia" w:hAnsiTheme="majorHAnsi" w:cstheme="majorBidi"/>
          <w:vanish/>
          <w:color w:val="2E74B5" w:themeColor="accent1" w:themeShade="BF"/>
          <w:sz w:val="26"/>
          <w:szCs w:val="26"/>
        </w:rPr>
      </w:pPr>
      <w:bookmarkStart w:id="66" w:name="_Toc497480548"/>
      <w:bookmarkStart w:id="67" w:name="_Toc497745702"/>
      <w:bookmarkStart w:id="68" w:name="_Toc497142507"/>
      <w:bookmarkStart w:id="69" w:name="_Toc497464906"/>
      <w:bookmarkStart w:id="70" w:name="_Toc497480549"/>
      <w:bookmarkStart w:id="71" w:name="_Toc497739899"/>
      <w:bookmarkStart w:id="72" w:name="_Toc497745703"/>
      <w:bookmarkStart w:id="73" w:name="_Toc499212339"/>
      <w:bookmarkStart w:id="74" w:name="_Toc500406806"/>
      <w:bookmarkStart w:id="75" w:name="_Toc500429657"/>
      <w:bookmarkStart w:id="76" w:name="_Toc500941611"/>
      <w:bookmarkStart w:id="77" w:name="_Toc502838791"/>
      <w:bookmarkStart w:id="78" w:name="_Toc502839131"/>
      <w:bookmarkStart w:id="79" w:name="_Toc502839185"/>
      <w:bookmarkStart w:id="80" w:name="_Toc502839522"/>
      <w:bookmarkStart w:id="81" w:name="_Toc502842994"/>
      <w:bookmarkStart w:id="82" w:name="_Toc502851249"/>
      <w:bookmarkStart w:id="83" w:name="_Toc503360437"/>
      <w:bookmarkStart w:id="84" w:name="_Toc503782583"/>
      <w:bookmarkStart w:id="85" w:name="_Toc506196845"/>
      <w:bookmarkStart w:id="86" w:name="_Toc507425390"/>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2B6ADF90" w14:textId="77777777" w:rsidR="00F8788D" w:rsidRPr="009D0CFA" w:rsidRDefault="00F8788D" w:rsidP="00F8788D">
      <w:pPr>
        <w:pStyle w:val="ListParagraph"/>
        <w:keepNext/>
        <w:keepLines/>
        <w:numPr>
          <w:ilvl w:val="0"/>
          <w:numId w:val="37"/>
        </w:numPr>
        <w:spacing w:before="40"/>
        <w:contextualSpacing w:val="0"/>
        <w:outlineLvl w:val="1"/>
        <w:rPr>
          <w:rFonts w:asciiTheme="majorHAnsi" w:eastAsiaTheme="majorEastAsia" w:hAnsiTheme="majorHAnsi" w:cstheme="majorBidi"/>
          <w:vanish/>
          <w:color w:val="2E74B5" w:themeColor="accent1" w:themeShade="BF"/>
          <w:sz w:val="26"/>
          <w:szCs w:val="26"/>
        </w:rPr>
      </w:pPr>
      <w:bookmarkStart w:id="87" w:name="_Toc497142508"/>
      <w:bookmarkStart w:id="88" w:name="_Toc497464907"/>
      <w:bookmarkStart w:id="89" w:name="_Toc497480550"/>
      <w:bookmarkStart w:id="90" w:name="_Toc497739900"/>
      <w:bookmarkStart w:id="91" w:name="_Toc497745704"/>
      <w:bookmarkStart w:id="92" w:name="_Toc499212340"/>
      <w:bookmarkStart w:id="93" w:name="_Toc500406807"/>
      <w:bookmarkStart w:id="94" w:name="_Toc500429658"/>
      <w:bookmarkStart w:id="95" w:name="_Toc500941612"/>
      <w:bookmarkStart w:id="96" w:name="_Toc502838792"/>
      <w:bookmarkStart w:id="97" w:name="_Toc502839132"/>
      <w:bookmarkStart w:id="98" w:name="_Toc502839186"/>
      <w:bookmarkStart w:id="99" w:name="_Toc502839523"/>
      <w:bookmarkStart w:id="100" w:name="_Toc502842995"/>
      <w:bookmarkStart w:id="101" w:name="_Toc502851250"/>
      <w:bookmarkStart w:id="102" w:name="_Toc503360438"/>
      <w:bookmarkStart w:id="103" w:name="_Toc503782584"/>
      <w:bookmarkStart w:id="104" w:name="_Toc506196846"/>
      <w:bookmarkStart w:id="105" w:name="_Toc507425391"/>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3E0F6A1C" w14:textId="77777777" w:rsidR="00F8788D" w:rsidRPr="009D0CFA" w:rsidRDefault="00F8788D" w:rsidP="00F8788D">
      <w:pPr>
        <w:pStyle w:val="ListParagraph"/>
        <w:keepNext/>
        <w:keepLines/>
        <w:numPr>
          <w:ilvl w:val="0"/>
          <w:numId w:val="37"/>
        </w:numPr>
        <w:spacing w:before="40"/>
        <w:contextualSpacing w:val="0"/>
        <w:outlineLvl w:val="1"/>
        <w:rPr>
          <w:rFonts w:asciiTheme="majorHAnsi" w:eastAsiaTheme="majorEastAsia" w:hAnsiTheme="majorHAnsi" w:cstheme="majorBidi"/>
          <w:vanish/>
          <w:color w:val="2E74B5" w:themeColor="accent1" w:themeShade="BF"/>
          <w:sz w:val="26"/>
          <w:szCs w:val="26"/>
        </w:rPr>
      </w:pPr>
      <w:bookmarkStart w:id="106" w:name="_Toc497142509"/>
      <w:bookmarkStart w:id="107" w:name="_Toc497464908"/>
      <w:bookmarkStart w:id="108" w:name="_Toc497480551"/>
      <w:bookmarkStart w:id="109" w:name="_Toc497739901"/>
      <w:bookmarkStart w:id="110" w:name="_Toc497745705"/>
      <w:bookmarkStart w:id="111" w:name="_Toc499212341"/>
      <w:bookmarkStart w:id="112" w:name="_Toc500406808"/>
      <w:bookmarkStart w:id="113" w:name="_Toc500429659"/>
      <w:bookmarkStart w:id="114" w:name="_Toc500941613"/>
      <w:bookmarkStart w:id="115" w:name="_Toc502838793"/>
      <w:bookmarkStart w:id="116" w:name="_Toc502839133"/>
      <w:bookmarkStart w:id="117" w:name="_Toc502839187"/>
      <w:bookmarkStart w:id="118" w:name="_Toc502839524"/>
      <w:bookmarkStart w:id="119" w:name="_Toc502842996"/>
      <w:bookmarkStart w:id="120" w:name="_Toc502851251"/>
      <w:bookmarkStart w:id="121" w:name="_Toc503360439"/>
      <w:bookmarkStart w:id="122" w:name="_Toc503782585"/>
      <w:bookmarkStart w:id="123" w:name="_Toc506196847"/>
      <w:bookmarkStart w:id="124" w:name="_Toc507425392"/>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p w14:paraId="706682FE" w14:textId="77777777" w:rsidR="00F8788D" w:rsidRPr="009D0CFA" w:rsidRDefault="00F8788D" w:rsidP="00F8788D">
      <w:pPr>
        <w:pStyle w:val="Heading2"/>
        <w:numPr>
          <w:ilvl w:val="1"/>
          <w:numId w:val="37"/>
        </w:numPr>
      </w:pPr>
      <w:bookmarkStart w:id="125" w:name="_Euphemia_perspective_on"/>
      <w:bookmarkStart w:id="126" w:name="_Ref499214242"/>
      <w:bookmarkStart w:id="127" w:name="_Toc500406809"/>
      <w:bookmarkStart w:id="128" w:name="_Toc503782586"/>
      <w:bookmarkStart w:id="129" w:name="_Toc507425393"/>
      <w:bookmarkEnd w:id="125"/>
      <w:r w:rsidRPr="009D0CFA">
        <w:t>Euphemia perspective on sequence of the coupling calculation process</w:t>
      </w:r>
      <w:bookmarkEnd w:id="126"/>
      <w:bookmarkEnd w:id="127"/>
      <w:bookmarkEnd w:id="128"/>
      <w:bookmarkEnd w:id="129"/>
    </w:p>
    <w:p w14:paraId="27BC4DC6" w14:textId="77777777" w:rsidR="00F8788D" w:rsidRDefault="00F8788D" w:rsidP="002414BB">
      <w:pPr>
        <w:jc w:val="both"/>
      </w:pPr>
    </w:p>
    <w:p w14:paraId="7E007660" w14:textId="77777777" w:rsidR="00F8788D" w:rsidRDefault="00F8788D" w:rsidP="002414BB">
      <w:pPr>
        <w:jc w:val="both"/>
      </w:pPr>
    </w:p>
    <w:p w14:paraId="72CA2BB8" w14:textId="77777777" w:rsidR="00F8788D" w:rsidRDefault="00F8788D" w:rsidP="002414BB">
      <w:pPr>
        <w:jc w:val="both"/>
      </w:pPr>
      <w:r>
        <w:rPr>
          <w:noProof/>
          <w:lang w:val="en-US" w:eastAsia="en-US"/>
        </w:rPr>
        <w:drawing>
          <wp:inline distT="0" distB="0" distL="0" distR="0" wp14:anchorId="1426C5AC" wp14:editId="2E7A0844">
            <wp:extent cx="5270500" cy="2964656"/>
            <wp:effectExtent l="0" t="0" r="635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lculation_process.jpg"/>
                    <pic:cNvPicPr/>
                  </pic:nvPicPr>
                  <pic:blipFill>
                    <a:blip r:embed="rId14"/>
                    <a:stretch>
                      <a:fillRect/>
                    </a:stretch>
                  </pic:blipFill>
                  <pic:spPr>
                    <a:xfrm>
                      <a:off x="0" y="0"/>
                      <a:ext cx="5270500" cy="2964656"/>
                    </a:xfrm>
                    <a:prstGeom prst="rect">
                      <a:avLst/>
                    </a:prstGeom>
                  </pic:spPr>
                </pic:pic>
              </a:graphicData>
            </a:graphic>
          </wp:inline>
        </w:drawing>
      </w:r>
    </w:p>
    <w:p w14:paraId="50FC32F2" w14:textId="1AA7E5F7" w:rsidR="00F8788D" w:rsidRPr="009214E4" w:rsidRDefault="00F8788D" w:rsidP="002414BB">
      <w:pPr>
        <w:pStyle w:val="Caption"/>
        <w:jc w:val="both"/>
        <w:rPr>
          <w:sz w:val="24"/>
          <w:szCs w:val="24"/>
        </w:rPr>
      </w:pPr>
      <w:r w:rsidRPr="009214E4">
        <w:rPr>
          <w:sz w:val="24"/>
          <w:szCs w:val="24"/>
        </w:rPr>
        <w:t xml:space="preserve">Figure </w:t>
      </w:r>
      <w:r w:rsidRPr="009214E4">
        <w:rPr>
          <w:sz w:val="24"/>
          <w:szCs w:val="24"/>
        </w:rPr>
        <w:fldChar w:fldCharType="begin"/>
      </w:r>
      <w:r w:rsidRPr="009214E4">
        <w:rPr>
          <w:sz w:val="24"/>
          <w:szCs w:val="24"/>
        </w:rPr>
        <w:instrText xml:space="preserve"> SEQ Figure \* ARABIC </w:instrText>
      </w:r>
      <w:r w:rsidRPr="009214E4">
        <w:rPr>
          <w:sz w:val="24"/>
          <w:szCs w:val="24"/>
        </w:rPr>
        <w:fldChar w:fldCharType="separate"/>
      </w:r>
      <w:r w:rsidR="00FC1305">
        <w:rPr>
          <w:noProof/>
          <w:sz w:val="24"/>
          <w:szCs w:val="24"/>
        </w:rPr>
        <w:t>6</w:t>
      </w:r>
      <w:r w:rsidRPr="009214E4">
        <w:rPr>
          <w:sz w:val="24"/>
          <w:szCs w:val="24"/>
        </w:rPr>
        <w:fldChar w:fldCharType="end"/>
      </w:r>
      <w:r w:rsidRPr="009214E4">
        <w:rPr>
          <w:sz w:val="24"/>
          <w:szCs w:val="24"/>
        </w:rPr>
        <w:t>: Calculation process</w:t>
      </w:r>
    </w:p>
    <w:p w14:paraId="763B468D" w14:textId="77777777" w:rsidR="00F8788D" w:rsidRDefault="00F8788D" w:rsidP="002414BB">
      <w:pPr>
        <w:jc w:val="both"/>
      </w:pPr>
      <w:r>
        <w:t xml:space="preserve"> </w:t>
      </w:r>
    </w:p>
    <w:p w14:paraId="5B0E8ADA" w14:textId="77777777" w:rsidR="00F8788D" w:rsidRPr="00C57E19" w:rsidRDefault="00F8788D" w:rsidP="002414BB">
      <w:pPr>
        <w:rPr>
          <w:b/>
        </w:rPr>
      </w:pPr>
      <w:r w:rsidRPr="00C57E19">
        <w:rPr>
          <w:b/>
        </w:rPr>
        <w:t xml:space="preserve">General assumptions: </w:t>
      </w:r>
    </w:p>
    <w:p w14:paraId="57F1C24F" w14:textId="77777777" w:rsidR="00F8788D" w:rsidRDefault="00F8788D" w:rsidP="00F8788D">
      <w:pPr>
        <w:pStyle w:val="ListParagraph"/>
        <w:numPr>
          <w:ilvl w:val="0"/>
          <w:numId w:val="14"/>
        </w:numPr>
      </w:pPr>
      <w:r>
        <w:t>Minimum and maximum prices as well as precision (number of decimals) of price and precision (number of decimals) of net position are defined at bidding zone level.</w:t>
      </w:r>
    </w:p>
    <w:p w14:paraId="70B826DD" w14:textId="77777777" w:rsidR="00F8788D" w:rsidRDefault="00F8788D" w:rsidP="00F8788D">
      <w:pPr>
        <w:pStyle w:val="ListParagraph"/>
        <w:numPr>
          <w:ilvl w:val="0"/>
          <w:numId w:val="14"/>
        </w:numPr>
      </w:pPr>
      <w:r>
        <w:t>Ramping limits are applied at bidding zone level.</w:t>
      </w:r>
    </w:p>
    <w:p w14:paraId="63B7E824" w14:textId="77777777" w:rsidR="00F8788D" w:rsidRPr="000F793C" w:rsidRDefault="00F8788D" w:rsidP="00F8788D">
      <w:pPr>
        <w:pStyle w:val="ListParagraph"/>
        <w:numPr>
          <w:ilvl w:val="0"/>
          <w:numId w:val="14"/>
        </w:numPr>
      </w:pPr>
      <w:r>
        <w:t>There exist no allocation constraints between the different NTHs belonging to the same bidding zone. Therefore, we can aggregate the different NTH OBKs without risk of violating allocation constraints.</w:t>
      </w:r>
    </w:p>
    <w:p w14:paraId="215190A9" w14:textId="77777777" w:rsidR="00F8788D" w:rsidRDefault="00F8788D" w:rsidP="002414BB"/>
    <w:p w14:paraId="5127663B" w14:textId="77777777" w:rsidR="00F8788D" w:rsidRPr="00C57E19" w:rsidRDefault="00F8788D" w:rsidP="002414BB">
      <w:pPr>
        <w:rPr>
          <w:b/>
        </w:rPr>
      </w:pPr>
      <w:r w:rsidRPr="00C57E19">
        <w:rPr>
          <w:b/>
        </w:rPr>
        <w:t xml:space="preserve">Calculation steps: </w:t>
      </w:r>
    </w:p>
    <w:p w14:paraId="6F89C02B" w14:textId="77777777" w:rsidR="00F8788D" w:rsidRDefault="00F8788D" w:rsidP="00F8788D">
      <w:pPr>
        <w:pStyle w:val="ListParagraph"/>
        <w:numPr>
          <w:ilvl w:val="0"/>
          <w:numId w:val="20"/>
        </w:numPr>
      </w:pPr>
      <w:r w:rsidRPr="00014A66">
        <w:rPr>
          <w:b/>
        </w:rPr>
        <w:t>Upload orderbooks</w:t>
      </w:r>
      <w:r>
        <w:t>: Orderbooks are received from different NEMOs in each bidding zone and for each Scheduling Area when applicable. PMB writes orderbook data in Euphemia database input tables.  Euphemia calculations can start.</w:t>
      </w:r>
    </w:p>
    <w:p w14:paraId="129E308D" w14:textId="77777777" w:rsidR="00F8788D" w:rsidRDefault="00F8788D" w:rsidP="002414BB">
      <w:pPr>
        <w:pStyle w:val="ListParagraph"/>
      </w:pPr>
    </w:p>
    <w:p w14:paraId="59B95FAC" w14:textId="77777777" w:rsidR="00F8788D" w:rsidRDefault="00F8788D" w:rsidP="00F8788D">
      <w:pPr>
        <w:pStyle w:val="ListParagraph"/>
        <w:numPr>
          <w:ilvl w:val="0"/>
          <w:numId w:val="20"/>
        </w:numPr>
      </w:pPr>
      <w:r w:rsidRPr="00014A66">
        <w:rPr>
          <w:b/>
        </w:rPr>
        <w:t>Orderbook aggregation</w:t>
      </w:r>
      <w:r>
        <w:t>: Orderbooks are aggregated on bidding zone level.</w:t>
      </w:r>
    </w:p>
    <w:p w14:paraId="37982A25" w14:textId="77777777" w:rsidR="00F8788D" w:rsidRDefault="00F8788D" w:rsidP="002414BB"/>
    <w:p w14:paraId="63958D0E" w14:textId="77777777" w:rsidR="00F8788D" w:rsidRDefault="00F8788D" w:rsidP="00F8788D">
      <w:pPr>
        <w:pStyle w:val="ListParagraph"/>
        <w:numPr>
          <w:ilvl w:val="0"/>
          <w:numId w:val="20"/>
        </w:numPr>
      </w:pPr>
      <w:r>
        <w:rPr>
          <w:b/>
        </w:rPr>
        <w:t>Price/Volume</w:t>
      </w:r>
      <w:r w:rsidRPr="00014A66">
        <w:rPr>
          <w:b/>
        </w:rPr>
        <w:t xml:space="preserve"> computation</w:t>
      </w:r>
      <w:r>
        <w:t xml:space="preserve">: Prices and volumes per bidding zone are computed. </w:t>
      </w:r>
    </w:p>
    <w:p w14:paraId="7B513417" w14:textId="77777777" w:rsidR="00F8788D" w:rsidRDefault="00F8788D" w:rsidP="002414BB">
      <w:pPr>
        <w:pStyle w:val="ListParagraph"/>
      </w:pPr>
    </w:p>
    <w:p w14:paraId="754846AC" w14:textId="77777777" w:rsidR="00F8788D" w:rsidRDefault="00F8788D" w:rsidP="00F8788D">
      <w:pPr>
        <w:pStyle w:val="ListParagraph"/>
        <w:numPr>
          <w:ilvl w:val="0"/>
          <w:numId w:val="20"/>
        </w:numPr>
      </w:pPr>
      <w:r w:rsidRPr="00CA2924">
        <w:rPr>
          <w:b/>
        </w:rPr>
        <w:t>Order disaggregation</w:t>
      </w:r>
      <w:r w:rsidRPr="00014A66">
        <w:t>:</w:t>
      </w:r>
      <w:r>
        <w:t xml:space="preserve"> Results are calculated on Nemo Hub level. Indeterminacy problems are solved. NEMO Hub level exact results are written in database.</w:t>
      </w:r>
    </w:p>
    <w:p w14:paraId="70CC191C" w14:textId="77777777" w:rsidR="00F8788D" w:rsidRDefault="00F8788D" w:rsidP="002414BB"/>
    <w:p w14:paraId="60EC4546" w14:textId="77777777" w:rsidR="00F8788D" w:rsidRDefault="00F8788D" w:rsidP="00F8788D">
      <w:pPr>
        <w:pStyle w:val="ListParagraph"/>
        <w:numPr>
          <w:ilvl w:val="0"/>
          <w:numId w:val="20"/>
        </w:numPr>
      </w:pPr>
      <w:r w:rsidRPr="004F642A">
        <w:rPr>
          <w:b/>
        </w:rPr>
        <w:t>Indeterminacy problems</w:t>
      </w:r>
      <w:r>
        <w:t xml:space="preserve"> are solved.</w:t>
      </w:r>
    </w:p>
    <w:p w14:paraId="632A833E" w14:textId="77777777" w:rsidR="00F8788D" w:rsidRDefault="00F8788D" w:rsidP="002414BB">
      <w:pPr>
        <w:pStyle w:val="ListParagraph"/>
      </w:pPr>
    </w:p>
    <w:p w14:paraId="70F9C22E" w14:textId="77777777" w:rsidR="00F8788D" w:rsidRDefault="00F8788D" w:rsidP="00F8788D">
      <w:pPr>
        <w:pStyle w:val="ListParagraph"/>
        <w:numPr>
          <w:ilvl w:val="0"/>
          <w:numId w:val="20"/>
        </w:numPr>
      </w:pPr>
      <w:r w:rsidRPr="00CF3982">
        <w:rPr>
          <w:b/>
        </w:rPr>
        <w:t>Flows between bidding zones</w:t>
      </w:r>
      <w:r>
        <w:t xml:space="preserve"> are calculated, in both flow based and ATC network. As in previous versions of Euphemia, bi-directional flows on bidding zone lines are avoided. </w:t>
      </w:r>
    </w:p>
    <w:p w14:paraId="389B44B0" w14:textId="77777777" w:rsidR="00F8788D" w:rsidRDefault="00F8788D" w:rsidP="002414BB">
      <w:pPr>
        <w:pStyle w:val="ListParagraph"/>
      </w:pPr>
    </w:p>
    <w:p w14:paraId="37A6F605" w14:textId="77777777" w:rsidR="00F8788D" w:rsidRDefault="00F8788D" w:rsidP="00F8788D">
      <w:pPr>
        <w:pStyle w:val="ListParagraph"/>
        <w:numPr>
          <w:ilvl w:val="0"/>
          <w:numId w:val="20"/>
        </w:numPr>
      </w:pPr>
      <w:r w:rsidRPr="004F642A">
        <w:rPr>
          <w:b/>
        </w:rPr>
        <w:t>Rounding:</w:t>
      </w:r>
      <w:r>
        <w:t xml:space="preserve"> BZ flows and BZ net positions are rounded. Rounded results are written to database.</w:t>
      </w:r>
    </w:p>
    <w:p w14:paraId="1B38EEBE" w14:textId="77777777" w:rsidR="00F8788D" w:rsidRDefault="00F8788D" w:rsidP="002414BB">
      <w:pPr>
        <w:pStyle w:val="ListParagraph"/>
      </w:pPr>
    </w:p>
    <w:p w14:paraId="722BA917" w14:textId="77777777" w:rsidR="00F8788D" w:rsidRDefault="00F8788D" w:rsidP="00F8788D">
      <w:pPr>
        <w:pStyle w:val="ListParagraph"/>
        <w:numPr>
          <w:ilvl w:val="0"/>
          <w:numId w:val="20"/>
        </w:numPr>
      </w:pPr>
      <w:r w:rsidRPr="004F642A">
        <w:rPr>
          <w:b/>
        </w:rPr>
        <w:t>SA positions</w:t>
      </w:r>
      <w:r>
        <w:t xml:space="preserve"> are calculated.</w:t>
      </w:r>
    </w:p>
    <w:p w14:paraId="1002CECB" w14:textId="77777777" w:rsidR="00F8788D" w:rsidRDefault="00F8788D" w:rsidP="002414BB"/>
    <w:p w14:paraId="56C409E7" w14:textId="77777777" w:rsidR="00F8788D" w:rsidRDefault="00F8788D" w:rsidP="00F8788D">
      <w:pPr>
        <w:pStyle w:val="ListParagraph"/>
        <w:numPr>
          <w:ilvl w:val="0"/>
          <w:numId w:val="20"/>
        </w:numPr>
      </w:pPr>
      <w:r w:rsidRPr="004F642A">
        <w:rPr>
          <w:b/>
        </w:rPr>
        <w:t>Flows between SAs</w:t>
      </w:r>
      <w:r>
        <w:t xml:space="preserve"> are calculated. In this flow calculation, flows between bidding zones are fixed. Thermal capacity constraints for scheduling area lines between different bidding zones are constraining the calculation. They distribute the bidding zone flows among the corresponding scheduling area lines proportionally to their thermal capacities. Where there is freedom to set the scheduling area flows, this is resolved through an objective function that considers minimization of a cost function that weighs flows with appropriate linear and quadratic cost coefficients.</w:t>
      </w:r>
      <w:r>
        <w:br/>
      </w:r>
      <w:r>
        <w:br/>
        <w:t>Aggregated value of flows for the scheduling area lines that represent the same bidding zone line corresponds to the values from the flow problem on bidding zone level.</w:t>
      </w:r>
    </w:p>
    <w:p w14:paraId="39BCB9B0" w14:textId="77777777" w:rsidR="00F8788D" w:rsidRDefault="00F8788D" w:rsidP="002414BB">
      <w:pPr>
        <w:pStyle w:val="ListParagraph"/>
      </w:pPr>
    </w:p>
    <w:p w14:paraId="182C5574" w14:textId="77777777" w:rsidR="00F8788D" w:rsidRDefault="00F8788D" w:rsidP="002414BB">
      <w:pPr>
        <w:pStyle w:val="ListParagraph"/>
      </w:pPr>
      <w:r>
        <w:t>Cross border scheduling area flows shall follow the same direction as the corresponding cross border zonal flows.</w:t>
      </w:r>
    </w:p>
    <w:p w14:paraId="77D705AD" w14:textId="77777777" w:rsidR="00F8788D" w:rsidRDefault="00F8788D" w:rsidP="002414BB">
      <w:pPr>
        <w:pStyle w:val="ListParagraph"/>
      </w:pPr>
    </w:p>
    <w:p w14:paraId="0F01A314" w14:textId="77777777" w:rsidR="00F8788D" w:rsidRDefault="00F8788D" w:rsidP="00F8788D">
      <w:pPr>
        <w:pStyle w:val="ListParagraph"/>
        <w:numPr>
          <w:ilvl w:val="0"/>
          <w:numId w:val="20"/>
        </w:numPr>
      </w:pPr>
      <w:r w:rsidRPr="004F642A">
        <w:rPr>
          <w:b/>
        </w:rPr>
        <w:t>Flows between NTHs</w:t>
      </w:r>
      <w:r>
        <w:t xml:space="preserve"> are calculated. Earlier calculated flows between bidding zones and scheduling areas are kept fixed during this flow calculation. </w:t>
      </w:r>
      <w:r>
        <w:br/>
      </w:r>
      <w:r>
        <w:br/>
        <w:t>NEMO flows belonging to scheduling area flows are not allowed in different directions.</w:t>
      </w:r>
    </w:p>
    <w:p w14:paraId="4CD9F907" w14:textId="77777777" w:rsidR="00F8788D" w:rsidRDefault="00F8788D" w:rsidP="002414BB">
      <w:pPr>
        <w:pStyle w:val="ListParagraph"/>
      </w:pPr>
    </w:p>
    <w:p w14:paraId="61335550" w14:textId="77777777" w:rsidR="00F8788D" w:rsidRDefault="00F8788D" w:rsidP="002414BB">
      <w:pPr>
        <w:pStyle w:val="ListParagraph"/>
      </w:pPr>
      <w:r>
        <w:t>NEMO flows belonging to cross zonal flows are not allowed in different directions (which should be a direct consequence from the former and the fact that scheduling area flows are also required to follow the cross zonal flow direction)</w:t>
      </w:r>
    </w:p>
    <w:p w14:paraId="095CBAC1" w14:textId="77777777" w:rsidR="00F8788D" w:rsidRDefault="00F8788D" w:rsidP="002414BB">
      <w:pPr>
        <w:pStyle w:val="ListParagraph"/>
      </w:pPr>
    </w:p>
    <w:p w14:paraId="457525AD" w14:textId="77777777" w:rsidR="00F8788D" w:rsidRPr="000320D3" w:rsidRDefault="00F8788D" w:rsidP="002414BB">
      <w:pPr>
        <w:pStyle w:val="ListParagraph"/>
      </w:pPr>
      <w:r w:rsidRPr="000320D3">
        <w:t>NEMO flows within a bidding zone are not allowed in different directions (i.e. no bi-directional flows are allowed)</w:t>
      </w:r>
      <w:r>
        <w:t>.</w:t>
      </w:r>
    </w:p>
    <w:p w14:paraId="3A333417" w14:textId="77777777" w:rsidR="00F8788D" w:rsidRDefault="00F8788D" w:rsidP="002414BB">
      <w:pPr>
        <w:pStyle w:val="ListParagraph"/>
      </w:pPr>
      <w:r>
        <w:br/>
        <w:t xml:space="preserve">Aggregated value of flows for the NEMO lines that represent the same scheduling area line correspond to the values from the flow problem on scheduling area level. </w:t>
      </w:r>
      <w:r>
        <w:br/>
      </w:r>
    </w:p>
    <w:p w14:paraId="596232D1" w14:textId="77777777" w:rsidR="00F8788D" w:rsidRDefault="00F8788D" w:rsidP="00F8788D">
      <w:pPr>
        <w:pStyle w:val="ListParagraph"/>
        <w:numPr>
          <w:ilvl w:val="0"/>
          <w:numId w:val="20"/>
        </w:numPr>
      </w:pPr>
      <w:r>
        <w:t>SA line and NTH flow results are rounded and rounded results written to DB</w:t>
      </w:r>
    </w:p>
    <w:p w14:paraId="27445B50" w14:textId="77777777" w:rsidR="00F8788D" w:rsidRDefault="00F8788D" w:rsidP="002414BB">
      <w:pPr>
        <w:pStyle w:val="ListParagraph"/>
        <w:jc w:val="both"/>
      </w:pPr>
    </w:p>
    <w:p w14:paraId="046FC84F" w14:textId="77777777" w:rsidR="00F8788D" w:rsidRDefault="00F8788D" w:rsidP="002414BB">
      <w:pPr>
        <w:jc w:val="both"/>
      </w:pPr>
    </w:p>
    <w:p w14:paraId="4F6433AC" w14:textId="77777777" w:rsidR="00F8788D" w:rsidRDefault="00F8788D" w:rsidP="00F8788D">
      <w:pPr>
        <w:pStyle w:val="Heading2"/>
        <w:numPr>
          <w:ilvl w:val="1"/>
          <w:numId w:val="37"/>
        </w:numPr>
      </w:pPr>
      <w:bookmarkStart w:id="130" w:name="_Toc497141937"/>
      <w:bookmarkStart w:id="131" w:name="_Toc497141938"/>
      <w:bookmarkStart w:id="132" w:name="_Toc497141939"/>
      <w:bookmarkStart w:id="133" w:name="_Toc503782587"/>
      <w:bookmarkStart w:id="134" w:name="_Toc507425394"/>
      <w:bookmarkEnd w:id="130"/>
      <w:bookmarkEnd w:id="131"/>
      <w:bookmarkEnd w:id="132"/>
      <w:r w:rsidRPr="00C854E0">
        <w:t>Functioning of the order aggregation</w:t>
      </w:r>
      <w:bookmarkEnd w:id="133"/>
      <w:bookmarkEnd w:id="134"/>
      <w:r w:rsidRPr="00C854E0">
        <w:t xml:space="preserve"> </w:t>
      </w:r>
    </w:p>
    <w:p w14:paraId="521F376F" w14:textId="77777777" w:rsidR="00F8788D" w:rsidRPr="009D0CFA" w:rsidRDefault="00F8788D" w:rsidP="002414BB"/>
    <w:p w14:paraId="129E7106" w14:textId="77777777" w:rsidR="00F8788D" w:rsidRDefault="00F8788D" w:rsidP="002414BB">
      <w:pPr>
        <w:jc w:val="both"/>
      </w:pPr>
      <w:r>
        <w:t>Input data from NEMOs will be collected on NEMO trading hub level, whereas matching algorithm need to handle main computation steps (to calculate prices, NPs and flows) on bidding zone level. A</w:t>
      </w:r>
      <w:r w:rsidRPr="00EE3D36">
        <w:t>ggregation of NEMOs input data to bidding zone level</w:t>
      </w:r>
      <w:r>
        <w:t xml:space="preserve"> is performed in the beginning of the order aggregation. Thereby </w:t>
      </w:r>
      <w:r w:rsidRPr="00EE3D36">
        <w:t xml:space="preserve">EUPHEMIA would consider the existing </w:t>
      </w:r>
      <w:r>
        <w:t xml:space="preserve">bidding zone </w:t>
      </w:r>
      <w:r w:rsidRPr="00EE3D36">
        <w:t>topology</w:t>
      </w:r>
      <w:r>
        <w:t xml:space="preserve"> without NEMO trading hubs</w:t>
      </w:r>
      <w:r w:rsidRPr="00EE3D36">
        <w:t>,</w:t>
      </w:r>
      <w:r>
        <w:t xml:space="preserve"> and without scheduling areas,</w:t>
      </w:r>
      <w:r w:rsidRPr="00EE3D36">
        <w:t xml:space="preserve"> whereas the order books </w:t>
      </w:r>
      <w:r>
        <w:t xml:space="preserve">at input </w:t>
      </w:r>
      <w:r w:rsidRPr="00EE3D36">
        <w:t>would reflect the orders of all underlying NEMOs</w:t>
      </w:r>
      <w:r>
        <w:t xml:space="preserve"> with NEMO trading hubs. </w:t>
      </w:r>
    </w:p>
    <w:p w14:paraId="6362A288" w14:textId="77777777" w:rsidR="00F8788D" w:rsidRDefault="00F8788D" w:rsidP="002414BB">
      <w:pPr>
        <w:jc w:val="both"/>
      </w:pPr>
    </w:p>
    <w:p w14:paraId="5A0233D1" w14:textId="77777777" w:rsidR="00F8788D" w:rsidRDefault="00F8788D" w:rsidP="002414BB">
      <w:pPr>
        <w:jc w:val="both"/>
      </w:pPr>
      <w:r>
        <w:t xml:space="preserve">With introduction of MNA support anonymization approach of different order types remains unchanged. MCO function will collect all the order books data already anonymised at the same level data is provided today, i.e. order book data are released from any reference to market participant before handed over to MCO function.  Such approach is fully in compliance with CACM Article 47(6).  </w:t>
      </w:r>
    </w:p>
    <w:p w14:paraId="218AAECC" w14:textId="77777777" w:rsidR="00F8788D" w:rsidRDefault="00F8788D" w:rsidP="002414BB">
      <w:pPr>
        <w:jc w:val="both"/>
        <w:rPr>
          <w:u w:val="single"/>
        </w:rPr>
      </w:pPr>
    </w:p>
    <w:p w14:paraId="606081BA" w14:textId="77777777" w:rsidR="00F8788D" w:rsidRPr="00EE3D36" w:rsidRDefault="00F8788D" w:rsidP="002414BB">
      <w:pPr>
        <w:keepNext/>
        <w:jc w:val="both"/>
        <w:rPr>
          <w:u w:val="single"/>
        </w:rPr>
      </w:pPr>
      <w:r w:rsidRPr="00EE3D36">
        <w:rPr>
          <w:u w:val="single"/>
        </w:rPr>
        <w:t>Curves Aggregation</w:t>
      </w:r>
    </w:p>
    <w:p w14:paraId="715DB08E" w14:textId="77777777" w:rsidR="00F8788D" w:rsidRDefault="00F8788D" w:rsidP="002414BB">
      <w:pPr>
        <w:jc w:val="both"/>
      </w:pPr>
      <w:r>
        <w:t>NTH h</w:t>
      </w:r>
      <w:r w:rsidRPr="00CB0BED">
        <w:t>ourly order curves</w:t>
      </w:r>
      <w:r>
        <w:rPr>
          <w:rStyle w:val="FootnoteReference"/>
        </w:rPr>
        <w:footnoteReference w:id="8"/>
      </w:r>
      <w:r w:rsidRPr="00CB0BED">
        <w:t xml:space="preserve"> need to be aggregated into two single hourly order curves, one sale and one purchase curve per each bidding </w:t>
      </w:r>
      <w:r>
        <w:t>zone. The type of the resulting aggregated curve shall be:</w:t>
      </w:r>
    </w:p>
    <w:p w14:paraId="324B3EAF" w14:textId="77777777" w:rsidR="00F8788D" w:rsidRDefault="00F8788D" w:rsidP="00F8788D">
      <w:pPr>
        <w:pStyle w:val="ListParagraph"/>
        <w:numPr>
          <w:ilvl w:val="0"/>
          <w:numId w:val="23"/>
        </w:numPr>
        <w:jc w:val="both"/>
      </w:pPr>
      <w:r>
        <w:t>STEPWISE if all NEMO curves of the corresponding bidding zone are of STEPWISE type</w:t>
      </w:r>
    </w:p>
    <w:p w14:paraId="0BB0863C" w14:textId="77777777" w:rsidR="00F8788D" w:rsidRDefault="00F8788D" w:rsidP="00F8788D">
      <w:pPr>
        <w:pStyle w:val="ListParagraph"/>
        <w:numPr>
          <w:ilvl w:val="0"/>
          <w:numId w:val="23"/>
        </w:numPr>
        <w:jc w:val="both"/>
      </w:pPr>
      <w:r>
        <w:t>PIECEWISE if all NEMO curves of the corresponding bidding zone are of PIECEWISE type</w:t>
      </w:r>
    </w:p>
    <w:p w14:paraId="0E1A6A4A" w14:textId="77777777" w:rsidR="00F8788D" w:rsidRDefault="00F8788D" w:rsidP="00F8788D">
      <w:pPr>
        <w:pStyle w:val="ListParagraph"/>
        <w:numPr>
          <w:ilvl w:val="0"/>
          <w:numId w:val="23"/>
        </w:numPr>
        <w:jc w:val="both"/>
      </w:pPr>
      <w:r>
        <w:t>HYBRID otherwise</w:t>
      </w:r>
    </w:p>
    <w:p w14:paraId="266C5F18" w14:textId="77777777" w:rsidR="00F8788D" w:rsidRDefault="00F8788D" w:rsidP="002414BB">
      <w:pPr>
        <w:jc w:val="both"/>
      </w:pPr>
    </w:p>
    <w:p w14:paraId="2688D6C4" w14:textId="77777777" w:rsidR="00F8788D" w:rsidRPr="00EE3D36" w:rsidRDefault="00F8788D" w:rsidP="002414BB">
      <w:pPr>
        <w:keepNext/>
        <w:jc w:val="both"/>
        <w:rPr>
          <w:u w:val="single"/>
        </w:rPr>
      </w:pPr>
      <w:r w:rsidRPr="00EE3D36">
        <w:rPr>
          <w:u w:val="single"/>
        </w:rPr>
        <w:t>Block</w:t>
      </w:r>
      <w:r>
        <w:rPr>
          <w:u w:val="single"/>
        </w:rPr>
        <w:t xml:space="preserve"> Orders’</w:t>
      </w:r>
      <w:r w:rsidRPr="00EE3D36">
        <w:rPr>
          <w:u w:val="single"/>
        </w:rPr>
        <w:t xml:space="preserve"> </w:t>
      </w:r>
      <w:r>
        <w:rPr>
          <w:u w:val="single"/>
        </w:rPr>
        <w:t>A</w:t>
      </w:r>
      <w:r w:rsidRPr="00EE3D36">
        <w:rPr>
          <w:u w:val="single"/>
        </w:rPr>
        <w:t>ggregation</w:t>
      </w:r>
    </w:p>
    <w:p w14:paraId="6AA3D5C6" w14:textId="77777777" w:rsidR="00F8788D" w:rsidRDefault="00F8788D" w:rsidP="002414BB">
      <w:pPr>
        <w:jc w:val="both"/>
      </w:pPr>
      <w:r>
        <w:t>In fact blocks orders are not aggregated literally.  Block orders of NEMOs that belong to a bidding zone are just combined; including linked block families</w:t>
      </w:r>
      <w:r w:rsidRPr="00D25EBE">
        <w:t>, flexibly hourly orders and exclusive groups</w:t>
      </w:r>
      <w:r>
        <w:t>.  Blocks</w:t>
      </w:r>
      <w:r>
        <w:rPr>
          <w:lang w:val="en-US"/>
        </w:rPr>
        <w:t xml:space="preserve"> </w:t>
      </w:r>
      <w:r>
        <w:t>ID</w:t>
      </w:r>
      <w:r w:rsidRPr="00C534E5">
        <w:t xml:space="preserve">s </w:t>
      </w:r>
      <w:r>
        <w:t xml:space="preserve">uniqueness within one bidding zone will be assured by PMB, which will generate unique internal block IDs per session. </w:t>
      </w:r>
    </w:p>
    <w:p w14:paraId="2A4CEC17" w14:textId="77777777" w:rsidR="00F8788D" w:rsidRDefault="00F8788D" w:rsidP="002414BB">
      <w:pPr>
        <w:jc w:val="both"/>
      </w:pPr>
      <w:r>
        <w:t>Furthermore each block will also be associated with a hash: this can then be used for settling ties between identical blocks submitted by different NEMOs.</w:t>
      </w:r>
    </w:p>
    <w:p w14:paraId="6409FC0E" w14:textId="77777777" w:rsidR="00F8788D" w:rsidRDefault="00F8788D" w:rsidP="002414BB">
      <w:pPr>
        <w:jc w:val="both"/>
      </w:pPr>
    </w:p>
    <w:p w14:paraId="6E178CC9" w14:textId="77777777" w:rsidR="00F8788D" w:rsidRPr="00EE3D36" w:rsidRDefault="00F8788D" w:rsidP="002414BB">
      <w:pPr>
        <w:keepNext/>
        <w:jc w:val="both"/>
        <w:rPr>
          <w:u w:val="single"/>
        </w:rPr>
      </w:pPr>
      <w:r w:rsidRPr="00EE3D36">
        <w:rPr>
          <w:u w:val="single"/>
        </w:rPr>
        <w:t>Complex Orders</w:t>
      </w:r>
      <w:r>
        <w:rPr>
          <w:u w:val="single"/>
        </w:rPr>
        <w:t>’ Aggregation</w:t>
      </w:r>
      <w:r w:rsidRPr="00EE3D36">
        <w:rPr>
          <w:u w:val="single"/>
        </w:rPr>
        <w:t xml:space="preserve"> </w:t>
      </w:r>
    </w:p>
    <w:p w14:paraId="1880E3D9" w14:textId="77777777" w:rsidR="00F8788D" w:rsidRDefault="00F8788D" w:rsidP="002414BB">
      <w:pPr>
        <w:jc w:val="both"/>
      </w:pPr>
      <w:r>
        <w:t>In fact complex orders are not aggregated literally.  Complex orders of NEMOs belonging to a bidding zone are just combined, similarly like in case of block orders.  Complex Orders’ ID</w:t>
      </w:r>
      <w:r w:rsidRPr="00C534E5">
        <w:t xml:space="preserve">s </w:t>
      </w:r>
      <w:r>
        <w:t xml:space="preserve">uniqueness within one bidding zone would be assured by PMB, which will generate internal unique complex order IDs per session. </w:t>
      </w:r>
    </w:p>
    <w:p w14:paraId="23B1B3CE" w14:textId="77777777" w:rsidR="00F8788D" w:rsidRDefault="00F8788D" w:rsidP="002414BB">
      <w:pPr>
        <w:jc w:val="both"/>
      </w:pPr>
    </w:p>
    <w:p w14:paraId="734BB39C" w14:textId="77777777" w:rsidR="00F8788D" w:rsidRDefault="00F8788D" w:rsidP="002414BB">
      <w:pPr>
        <w:keepNext/>
        <w:jc w:val="both"/>
        <w:rPr>
          <w:u w:val="single"/>
        </w:rPr>
      </w:pPr>
      <w:r w:rsidRPr="00EE3D36">
        <w:rPr>
          <w:u w:val="single"/>
        </w:rPr>
        <w:t>Merit Orders</w:t>
      </w:r>
    </w:p>
    <w:p w14:paraId="3A365657" w14:textId="77777777" w:rsidR="00F8788D" w:rsidRDefault="00F8788D" w:rsidP="002414BB">
      <w:pPr>
        <w:keepNext/>
        <w:jc w:val="both"/>
      </w:pPr>
      <w:r>
        <w:t>It is not expected that multiple NEMOs use merit orders, hence</w:t>
      </w:r>
      <w:r w:rsidRPr="00EE3D36">
        <w:t xml:space="preserve"> no support </w:t>
      </w:r>
      <w:r>
        <w:t xml:space="preserve">will be </w:t>
      </w:r>
      <w:r w:rsidRPr="00EE3D36">
        <w:t xml:space="preserve">provided for </w:t>
      </w:r>
      <w:r>
        <w:t xml:space="preserve">such case. If </w:t>
      </w:r>
      <w:r w:rsidRPr="00EE3D36">
        <w:t xml:space="preserve">some NEMOs active in areas with multiple NEMOs </w:t>
      </w:r>
      <w:r>
        <w:t xml:space="preserve">would </w:t>
      </w:r>
      <w:r w:rsidRPr="00EE3D36">
        <w:t xml:space="preserve">indicate a desire to start using </w:t>
      </w:r>
      <w:r>
        <w:t>merit orders</w:t>
      </w:r>
      <w:r w:rsidRPr="00EE3D36">
        <w:t>, further work will be required to describe a solution to support them</w:t>
      </w:r>
      <w:r>
        <w:t xml:space="preserve">. </w:t>
      </w:r>
    </w:p>
    <w:p w14:paraId="519B2C62" w14:textId="77777777" w:rsidR="00F8788D" w:rsidRDefault="00F8788D" w:rsidP="002414BB">
      <w:pPr>
        <w:jc w:val="both"/>
        <w:rPr>
          <w:highlight w:val="yellow"/>
        </w:rPr>
      </w:pPr>
    </w:p>
    <w:p w14:paraId="49029134" w14:textId="77777777" w:rsidR="00F8788D" w:rsidRDefault="00F8788D" w:rsidP="002414BB">
      <w:pPr>
        <w:jc w:val="both"/>
      </w:pPr>
      <w:r w:rsidRPr="00CB0BED">
        <w:t>A</w:t>
      </w:r>
      <w:r>
        <w:t>g</w:t>
      </w:r>
      <w:r w:rsidRPr="00CB0BED">
        <w:t xml:space="preserve">gregation </w:t>
      </w:r>
      <w:r>
        <w:t xml:space="preserve">of order books </w:t>
      </w:r>
      <w:r w:rsidRPr="00CB0BED">
        <w:t xml:space="preserve">would be necessary </w:t>
      </w:r>
      <w:r>
        <w:t>for those bidding zones, where the MNA setup applies. For bidding zones with a single NEMO, the input curves and aggregated curves will be identical. The aggregation pre-processing will be performed at EUPHEMIA, so PMB will provide input data to EUPHEMIA at NTH level. Data model of the EUPHEMIA needs to be enhanced to accommodate NEMO notions accordingly, mainly:</w:t>
      </w:r>
    </w:p>
    <w:p w14:paraId="02895D6C" w14:textId="77777777" w:rsidR="00F8788D" w:rsidRDefault="00F8788D" w:rsidP="00F8788D">
      <w:pPr>
        <w:pStyle w:val="ListParagraph"/>
        <w:numPr>
          <w:ilvl w:val="0"/>
          <w:numId w:val="22"/>
        </w:numPr>
        <w:jc w:val="both"/>
      </w:pPr>
      <w:r w:rsidRPr="00EE3D36">
        <w:t xml:space="preserve">Distinction of </w:t>
      </w:r>
      <w:r>
        <w:t xml:space="preserve">bidding zone, scheduling area and NEMO trading hub </w:t>
      </w:r>
      <w:r w:rsidRPr="00EE3D36">
        <w:t>relations</w:t>
      </w:r>
    </w:p>
    <w:p w14:paraId="6AD1B06E" w14:textId="77777777" w:rsidR="00F8788D" w:rsidRDefault="00F8788D" w:rsidP="00F8788D">
      <w:pPr>
        <w:pStyle w:val="ListParagraph"/>
        <w:numPr>
          <w:ilvl w:val="0"/>
          <w:numId w:val="22"/>
        </w:numPr>
        <w:jc w:val="both"/>
      </w:pPr>
      <w:r w:rsidRPr="00EE3D36">
        <w:t xml:space="preserve">Specification of NEMO </w:t>
      </w:r>
      <w:r>
        <w:t xml:space="preserve">trading hubs and scheduling area </w:t>
      </w:r>
      <w:r w:rsidRPr="00EE3D36">
        <w:t>topology</w:t>
      </w:r>
    </w:p>
    <w:p w14:paraId="096A4EA6" w14:textId="77777777" w:rsidR="00F8788D" w:rsidRDefault="00F8788D" w:rsidP="00F8788D">
      <w:pPr>
        <w:pStyle w:val="ListParagraph"/>
        <w:numPr>
          <w:ilvl w:val="0"/>
          <w:numId w:val="22"/>
        </w:numPr>
        <w:jc w:val="both"/>
      </w:pPr>
      <w:r>
        <w:t>Storing</w:t>
      </w:r>
      <w:r w:rsidRPr="00EE3D36">
        <w:t xml:space="preserve"> </w:t>
      </w:r>
      <w:r>
        <w:t xml:space="preserve">data of </w:t>
      </w:r>
      <w:r w:rsidRPr="00EE3D36">
        <w:t xml:space="preserve">NEMO input </w:t>
      </w:r>
      <w:r>
        <w:t xml:space="preserve">order books </w:t>
      </w:r>
    </w:p>
    <w:p w14:paraId="4E57E2E3" w14:textId="77777777" w:rsidR="00F8788D" w:rsidRDefault="00F8788D" w:rsidP="00F8788D">
      <w:pPr>
        <w:pStyle w:val="ListParagraph"/>
        <w:numPr>
          <w:ilvl w:val="0"/>
          <w:numId w:val="22"/>
        </w:numPr>
        <w:jc w:val="both"/>
      </w:pPr>
      <w:r>
        <w:t>Storing data of order books</w:t>
      </w:r>
      <w:r w:rsidRPr="00EE3D36">
        <w:t xml:space="preserve"> aggregated </w:t>
      </w:r>
      <w:r>
        <w:t xml:space="preserve">to bidding zone level </w:t>
      </w:r>
      <w:r w:rsidRPr="00EE3D36">
        <w:t xml:space="preserve">constructed </w:t>
      </w:r>
      <w:r>
        <w:t>with</w:t>
      </w:r>
      <w:r w:rsidRPr="00EE3D36">
        <w:t xml:space="preserve">in </w:t>
      </w:r>
      <w:r>
        <w:t>aggregation step</w:t>
      </w:r>
      <w:r>
        <w:rPr>
          <w:rStyle w:val="FootnoteReference"/>
        </w:rPr>
        <w:footnoteReference w:id="9"/>
      </w:r>
      <w:r>
        <w:t xml:space="preserve"> </w:t>
      </w:r>
    </w:p>
    <w:p w14:paraId="1CA7FB3B" w14:textId="77777777" w:rsidR="00F8788D" w:rsidRPr="00897FB5" w:rsidRDefault="00F8788D" w:rsidP="002414BB">
      <w:pPr>
        <w:jc w:val="both"/>
        <w:rPr>
          <w:highlight w:val="cyan"/>
        </w:rPr>
      </w:pPr>
    </w:p>
    <w:p w14:paraId="735DB4F6" w14:textId="77777777" w:rsidR="00F8788D" w:rsidRDefault="00F8788D" w:rsidP="002414BB">
      <w:pPr>
        <w:jc w:val="both"/>
      </w:pPr>
    </w:p>
    <w:p w14:paraId="6CF439D9" w14:textId="77777777" w:rsidR="00F8788D" w:rsidRDefault="00F8788D" w:rsidP="002414BB">
      <w:pPr>
        <w:jc w:val="both"/>
      </w:pPr>
    </w:p>
    <w:p w14:paraId="705C3D07" w14:textId="77777777" w:rsidR="00F8788D" w:rsidRDefault="00F8788D" w:rsidP="002414BB">
      <w:pPr>
        <w:jc w:val="both"/>
      </w:pPr>
    </w:p>
    <w:p w14:paraId="1D9E37D8" w14:textId="77777777" w:rsidR="00F8788D" w:rsidRDefault="00F8788D" w:rsidP="00F8788D">
      <w:pPr>
        <w:pStyle w:val="Heading2"/>
        <w:numPr>
          <w:ilvl w:val="1"/>
          <w:numId w:val="37"/>
        </w:numPr>
      </w:pPr>
      <w:bookmarkStart w:id="135" w:name="_Toc503782588"/>
      <w:bookmarkStart w:id="136" w:name="_Toc507425395"/>
      <w:r>
        <w:t>Zonal calculation</w:t>
      </w:r>
      <w:bookmarkEnd w:id="135"/>
      <w:bookmarkEnd w:id="136"/>
    </w:p>
    <w:p w14:paraId="59D12E83" w14:textId="77777777" w:rsidR="00F8788D" w:rsidRPr="009D0CFA" w:rsidRDefault="00F8788D" w:rsidP="002414BB"/>
    <w:p w14:paraId="48F237A6" w14:textId="77777777" w:rsidR="00F8788D" w:rsidRDefault="00F8788D" w:rsidP="002414BB">
      <w:pPr>
        <w:jc w:val="both"/>
      </w:pPr>
      <w:r>
        <w:t xml:space="preserve">After the aggregation of NEMO OBKs, the algorithm will follow its normal overall welfare maximisation. Note that in this section we are calculating the prices, energies and flows for all existing bidding zones. </w:t>
      </w:r>
    </w:p>
    <w:p w14:paraId="0F4DAFE7" w14:textId="77777777" w:rsidR="00F8788D" w:rsidRDefault="00F8788D" w:rsidP="002414BB">
      <w:pPr>
        <w:jc w:val="both"/>
      </w:pPr>
    </w:p>
    <w:p w14:paraId="3261E72B" w14:textId="77777777" w:rsidR="00F8788D" w:rsidRDefault="00F8788D" w:rsidP="00F8788D">
      <w:pPr>
        <w:pStyle w:val="Heading2"/>
        <w:numPr>
          <w:ilvl w:val="1"/>
          <w:numId w:val="37"/>
        </w:numPr>
      </w:pPr>
      <w:bookmarkStart w:id="137" w:name="_Toc503782589"/>
      <w:bookmarkStart w:id="138" w:name="_Toc507425396"/>
      <w:r w:rsidRPr="0065075C">
        <w:t>Functioning of the order de-aggregation</w:t>
      </w:r>
      <w:bookmarkEnd w:id="137"/>
      <w:bookmarkEnd w:id="138"/>
    </w:p>
    <w:p w14:paraId="70EE2393" w14:textId="77777777" w:rsidR="00F8788D" w:rsidRPr="0065075C" w:rsidRDefault="00F8788D" w:rsidP="002414BB"/>
    <w:p w14:paraId="7AD7BF20" w14:textId="77777777" w:rsidR="00F8788D" w:rsidRPr="00835E22" w:rsidRDefault="00F8788D" w:rsidP="00F8788D">
      <w:pPr>
        <w:pStyle w:val="ListParagraph"/>
        <w:keepNext/>
        <w:keepLines/>
        <w:numPr>
          <w:ilvl w:val="0"/>
          <w:numId w:val="34"/>
        </w:numPr>
        <w:spacing w:before="240"/>
        <w:contextualSpacing w:val="0"/>
        <w:outlineLvl w:val="0"/>
        <w:rPr>
          <w:rFonts w:asciiTheme="majorHAnsi" w:eastAsiaTheme="majorEastAsia" w:hAnsiTheme="majorHAnsi" w:cstheme="majorBidi"/>
          <w:vanish/>
          <w:color w:val="2E74B5" w:themeColor="accent1" w:themeShade="BF"/>
          <w:sz w:val="32"/>
          <w:szCs w:val="32"/>
        </w:rPr>
      </w:pPr>
      <w:bookmarkStart w:id="139" w:name="_Toc497141943"/>
      <w:bookmarkStart w:id="140" w:name="_Toc497142514"/>
      <w:bookmarkStart w:id="141" w:name="_Toc497464913"/>
      <w:bookmarkStart w:id="142" w:name="_Toc497498335"/>
      <w:bookmarkStart w:id="143" w:name="_Toc500429664"/>
      <w:bookmarkStart w:id="144" w:name="_Toc500941618"/>
      <w:bookmarkStart w:id="145" w:name="_Toc502838798"/>
      <w:bookmarkStart w:id="146" w:name="_Toc502839138"/>
      <w:bookmarkStart w:id="147" w:name="_Toc502839192"/>
      <w:bookmarkStart w:id="148" w:name="_Toc502839529"/>
      <w:bookmarkStart w:id="149" w:name="_Toc502843001"/>
      <w:bookmarkStart w:id="150" w:name="_Toc502851256"/>
      <w:bookmarkStart w:id="151" w:name="_Toc503360444"/>
      <w:bookmarkStart w:id="152" w:name="_Toc503782590"/>
      <w:bookmarkStart w:id="153" w:name="_Toc506196852"/>
      <w:bookmarkStart w:id="154" w:name="_Toc507425397"/>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14:paraId="41CC313A" w14:textId="77777777" w:rsidR="00F8788D" w:rsidRPr="00835E22" w:rsidRDefault="00F8788D" w:rsidP="00F8788D">
      <w:pPr>
        <w:pStyle w:val="ListParagraph"/>
        <w:keepNext/>
        <w:keepLines/>
        <w:numPr>
          <w:ilvl w:val="0"/>
          <w:numId w:val="34"/>
        </w:numPr>
        <w:spacing w:before="240"/>
        <w:contextualSpacing w:val="0"/>
        <w:outlineLvl w:val="0"/>
        <w:rPr>
          <w:rFonts w:asciiTheme="majorHAnsi" w:eastAsiaTheme="majorEastAsia" w:hAnsiTheme="majorHAnsi" w:cstheme="majorBidi"/>
          <w:vanish/>
          <w:color w:val="2E74B5" w:themeColor="accent1" w:themeShade="BF"/>
          <w:sz w:val="32"/>
          <w:szCs w:val="32"/>
        </w:rPr>
      </w:pPr>
      <w:bookmarkStart w:id="155" w:name="_Toc497141944"/>
      <w:bookmarkStart w:id="156" w:name="_Toc497142515"/>
      <w:bookmarkStart w:id="157" w:name="_Toc497464914"/>
      <w:bookmarkStart w:id="158" w:name="_Toc497498336"/>
      <w:bookmarkStart w:id="159" w:name="_Toc500429665"/>
      <w:bookmarkStart w:id="160" w:name="_Toc500941619"/>
      <w:bookmarkStart w:id="161" w:name="_Toc502838799"/>
      <w:bookmarkStart w:id="162" w:name="_Toc502839139"/>
      <w:bookmarkStart w:id="163" w:name="_Toc502839193"/>
      <w:bookmarkStart w:id="164" w:name="_Toc502839530"/>
      <w:bookmarkStart w:id="165" w:name="_Toc502843002"/>
      <w:bookmarkStart w:id="166" w:name="_Toc502851257"/>
      <w:bookmarkStart w:id="167" w:name="_Toc503360445"/>
      <w:bookmarkStart w:id="168" w:name="_Toc503782591"/>
      <w:bookmarkStart w:id="169" w:name="_Toc506196853"/>
      <w:bookmarkStart w:id="170" w:name="_Toc507425398"/>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p w14:paraId="518948A0" w14:textId="77777777" w:rsidR="00F8788D" w:rsidRPr="00835E22" w:rsidRDefault="00F8788D" w:rsidP="00F8788D">
      <w:pPr>
        <w:pStyle w:val="ListParagraph"/>
        <w:keepNext/>
        <w:keepLines/>
        <w:numPr>
          <w:ilvl w:val="1"/>
          <w:numId w:val="34"/>
        </w:numPr>
        <w:spacing w:before="240"/>
        <w:contextualSpacing w:val="0"/>
        <w:outlineLvl w:val="0"/>
        <w:rPr>
          <w:rFonts w:asciiTheme="majorHAnsi" w:eastAsiaTheme="majorEastAsia" w:hAnsiTheme="majorHAnsi" w:cstheme="majorBidi"/>
          <w:vanish/>
          <w:color w:val="2E74B5" w:themeColor="accent1" w:themeShade="BF"/>
          <w:sz w:val="32"/>
          <w:szCs w:val="32"/>
        </w:rPr>
      </w:pPr>
      <w:bookmarkStart w:id="171" w:name="_Toc497141945"/>
      <w:bookmarkStart w:id="172" w:name="_Toc497142516"/>
      <w:bookmarkStart w:id="173" w:name="_Toc497464915"/>
      <w:bookmarkStart w:id="174" w:name="_Toc497498337"/>
      <w:bookmarkStart w:id="175" w:name="_Toc500429666"/>
      <w:bookmarkStart w:id="176" w:name="_Toc500941620"/>
      <w:bookmarkStart w:id="177" w:name="_Toc502838800"/>
      <w:bookmarkStart w:id="178" w:name="_Toc502839140"/>
      <w:bookmarkStart w:id="179" w:name="_Toc502839194"/>
      <w:bookmarkStart w:id="180" w:name="_Toc502839531"/>
      <w:bookmarkStart w:id="181" w:name="_Toc502843003"/>
      <w:bookmarkStart w:id="182" w:name="_Toc502851258"/>
      <w:bookmarkStart w:id="183" w:name="_Toc503360446"/>
      <w:bookmarkStart w:id="184" w:name="_Toc503782592"/>
      <w:bookmarkStart w:id="185" w:name="_Toc506196854"/>
      <w:bookmarkStart w:id="186" w:name="_Toc507425399"/>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14:paraId="1AB3F1B4" w14:textId="77777777" w:rsidR="00F8788D" w:rsidRPr="00835E22" w:rsidRDefault="00F8788D" w:rsidP="00F8788D">
      <w:pPr>
        <w:pStyle w:val="ListParagraph"/>
        <w:keepNext/>
        <w:keepLines/>
        <w:numPr>
          <w:ilvl w:val="1"/>
          <w:numId w:val="34"/>
        </w:numPr>
        <w:spacing w:before="240"/>
        <w:contextualSpacing w:val="0"/>
        <w:outlineLvl w:val="0"/>
        <w:rPr>
          <w:rFonts w:asciiTheme="majorHAnsi" w:eastAsiaTheme="majorEastAsia" w:hAnsiTheme="majorHAnsi" w:cstheme="majorBidi"/>
          <w:vanish/>
          <w:color w:val="2E74B5" w:themeColor="accent1" w:themeShade="BF"/>
          <w:sz w:val="32"/>
          <w:szCs w:val="32"/>
        </w:rPr>
      </w:pPr>
      <w:bookmarkStart w:id="187" w:name="_Toc497141946"/>
      <w:bookmarkStart w:id="188" w:name="_Toc497142517"/>
      <w:bookmarkStart w:id="189" w:name="_Toc497464916"/>
      <w:bookmarkStart w:id="190" w:name="_Toc497498338"/>
      <w:bookmarkStart w:id="191" w:name="_Toc500429667"/>
      <w:bookmarkStart w:id="192" w:name="_Toc500941621"/>
      <w:bookmarkStart w:id="193" w:name="_Toc502838801"/>
      <w:bookmarkStart w:id="194" w:name="_Toc502839141"/>
      <w:bookmarkStart w:id="195" w:name="_Toc502839195"/>
      <w:bookmarkStart w:id="196" w:name="_Toc502839532"/>
      <w:bookmarkStart w:id="197" w:name="_Toc502843004"/>
      <w:bookmarkStart w:id="198" w:name="_Toc502851259"/>
      <w:bookmarkStart w:id="199" w:name="_Toc503360447"/>
      <w:bookmarkStart w:id="200" w:name="_Toc503782593"/>
      <w:bookmarkStart w:id="201" w:name="_Toc506196855"/>
      <w:bookmarkStart w:id="202" w:name="_Toc507425400"/>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14:paraId="044C3620" w14:textId="77777777" w:rsidR="00F8788D" w:rsidRPr="00835E22" w:rsidRDefault="00F8788D" w:rsidP="00F8788D">
      <w:pPr>
        <w:pStyle w:val="ListParagraph"/>
        <w:keepNext/>
        <w:keepLines/>
        <w:numPr>
          <w:ilvl w:val="1"/>
          <w:numId w:val="34"/>
        </w:numPr>
        <w:spacing w:before="240"/>
        <w:contextualSpacing w:val="0"/>
        <w:outlineLvl w:val="0"/>
        <w:rPr>
          <w:rFonts w:asciiTheme="majorHAnsi" w:eastAsiaTheme="majorEastAsia" w:hAnsiTheme="majorHAnsi" w:cstheme="majorBidi"/>
          <w:vanish/>
          <w:color w:val="2E74B5" w:themeColor="accent1" w:themeShade="BF"/>
          <w:sz w:val="32"/>
          <w:szCs w:val="32"/>
        </w:rPr>
      </w:pPr>
      <w:bookmarkStart w:id="203" w:name="_Toc497141947"/>
      <w:bookmarkStart w:id="204" w:name="_Toc497142518"/>
      <w:bookmarkStart w:id="205" w:name="_Toc497464917"/>
      <w:bookmarkStart w:id="206" w:name="_Toc497498339"/>
      <w:bookmarkStart w:id="207" w:name="_Toc500429668"/>
      <w:bookmarkStart w:id="208" w:name="_Toc500941622"/>
      <w:bookmarkStart w:id="209" w:name="_Toc502838802"/>
      <w:bookmarkStart w:id="210" w:name="_Toc502839142"/>
      <w:bookmarkStart w:id="211" w:name="_Toc502839196"/>
      <w:bookmarkStart w:id="212" w:name="_Toc502839533"/>
      <w:bookmarkStart w:id="213" w:name="_Toc502843005"/>
      <w:bookmarkStart w:id="214" w:name="_Toc502851260"/>
      <w:bookmarkStart w:id="215" w:name="_Toc503360448"/>
      <w:bookmarkStart w:id="216" w:name="_Toc503782594"/>
      <w:bookmarkStart w:id="217" w:name="_Toc506196856"/>
      <w:bookmarkStart w:id="218" w:name="_Toc507425401"/>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7AC511C9" w14:textId="77777777" w:rsidR="00F8788D" w:rsidRPr="00835E22" w:rsidRDefault="00F8788D" w:rsidP="00F8788D">
      <w:pPr>
        <w:pStyle w:val="ListParagraph"/>
        <w:keepNext/>
        <w:keepLines/>
        <w:numPr>
          <w:ilvl w:val="1"/>
          <w:numId w:val="34"/>
        </w:numPr>
        <w:spacing w:before="240"/>
        <w:contextualSpacing w:val="0"/>
        <w:outlineLvl w:val="0"/>
        <w:rPr>
          <w:rFonts w:asciiTheme="majorHAnsi" w:eastAsiaTheme="majorEastAsia" w:hAnsiTheme="majorHAnsi" w:cstheme="majorBidi"/>
          <w:vanish/>
          <w:color w:val="2E74B5" w:themeColor="accent1" w:themeShade="BF"/>
          <w:sz w:val="32"/>
          <w:szCs w:val="32"/>
        </w:rPr>
      </w:pPr>
      <w:bookmarkStart w:id="219" w:name="_Toc497141948"/>
      <w:bookmarkStart w:id="220" w:name="_Toc497142519"/>
      <w:bookmarkStart w:id="221" w:name="_Toc497464918"/>
      <w:bookmarkStart w:id="222" w:name="_Toc497498340"/>
      <w:bookmarkStart w:id="223" w:name="_Toc500429669"/>
      <w:bookmarkStart w:id="224" w:name="_Toc500941623"/>
      <w:bookmarkStart w:id="225" w:name="_Toc502838803"/>
      <w:bookmarkStart w:id="226" w:name="_Toc502839143"/>
      <w:bookmarkStart w:id="227" w:name="_Toc502839197"/>
      <w:bookmarkStart w:id="228" w:name="_Toc502839534"/>
      <w:bookmarkStart w:id="229" w:name="_Toc502843006"/>
      <w:bookmarkStart w:id="230" w:name="_Toc502851261"/>
      <w:bookmarkStart w:id="231" w:name="_Toc503360449"/>
      <w:bookmarkStart w:id="232" w:name="_Toc503782595"/>
      <w:bookmarkStart w:id="233" w:name="_Toc506196857"/>
      <w:bookmarkStart w:id="234" w:name="_Toc507425402"/>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p w14:paraId="754833A4" w14:textId="77777777" w:rsidR="00F8788D" w:rsidRPr="009D0CFA" w:rsidRDefault="00F8788D" w:rsidP="00F8788D">
      <w:pPr>
        <w:pStyle w:val="ListParagraph"/>
        <w:keepNext/>
        <w:keepLines/>
        <w:numPr>
          <w:ilvl w:val="0"/>
          <w:numId w:val="16"/>
        </w:numPr>
        <w:spacing w:before="240"/>
        <w:contextualSpacing w:val="0"/>
        <w:outlineLvl w:val="0"/>
        <w:rPr>
          <w:rFonts w:asciiTheme="majorHAnsi" w:eastAsiaTheme="majorEastAsia" w:hAnsiTheme="majorHAnsi" w:cstheme="majorBidi"/>
          <w:vanish/>
          <w:color w:val="2E74B5" w:themeColor="accent1" w:themeShade="BF"/>
          <w:sz w:val="32"/>
          <w:szCs w:val="32"/>
        </w:rPr>
      </w:pPr>
      <w:bookmarkStart w:id="235" w:name="_Toc497142520"/>
      <w:bookmarkStart w:id="236" w:name="_Toc497464919"/>
      <w:bookmarkStart w:id="237" w:name="_Toc497498341"/>
      <w:bookmarkStart w:id="238" w:name="_Toc500429670"/>
      <w:bookmarkStart w:id="239" w:name="_Toc500941624"/>
      <w:bookmarkStart w:id="240" w:name="_Toc502838804"/>
      <w:bookmarkStart w:id="241" w:name="_Toc502839144"/>
      <w:bookmarkStart w:id="242" w:name="_Toc502839198"/>
      <w:bookmarkStart w:id="243" w:name="_Toc502839535"/>
      <w:bookmarkStart w:id="244" w:name="_Toc502843007"/>
      <w:bookmarkStart w:id="245" w:name="_Toc502851262"/>
      <w:bookmarkStart w:id="246" w:name="_Toc503360450"/>
      <w:bookmarkStart w:id="247" w:name="_Toc503782596"/>
      <w:bookmarkStart w:id="248" w:name="_Toc506196858"/>
      <w:bookmarkStart w:id="249" w:name="_Toc507425403"/>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p>
    <w:p w14:paraId="6DF222DF" w14:textId="77777777" w:rsidR="00F8788D" w:rsidRPr="009D0CFA" w:rsidRDefault="00F8788D" w:rsidP="00F8788D">
      <w:pPr>
        <w:pStyle w:val="ListParagraph"/>
        <w:keepNext/>
        <w:keepLines/>
        <w:numPr>
          <w:ilvl w:val="0"/>
          <w:numId w:val="16"/>
        </w:numPr>
        <w:spacing w:before="240"/>
        <w:contextualSpacing w:val="0"/>
        <w:outlineLvl w:val="0"/>
        <w:rPr>
          <w:rFonts w:asciiTheme="majorHAnsi" w:eastAsiaTheme="majorEastAsia" w:hAnsiTheme="majorHAnsi" w:cstheme="majorBidi"/>
          <w:vanish/>
          <w:color w:val="2E74B5" w:themeColor="accent1" w:themeShade="BF"/>
          <w:sz w:val="32"/>
          <w:szCs w:val="32"/>
        </w:rPr>
      </w:pPr>
      <w:bookmarkStart w:id="250" w:name="_Toc497142521"/>
      <w:bookmarkStart w:id="251" w:name="_Toc497464920"/>
      <w:bookmarkStart w:id="252" w:name="_Toc497498342"/>
      <w:bookmarkStart w:id="253" w:name="_Toc500429671"/>
      <w:bookmarkStart w:id="254" w:name="_Toc500941625"/>
      <w:bookmarkStart w:id="255" w:name="_Toc502838805"/>
      <w:bookmarkStart w:id="256" w:name="_Toc502839145"/>
      <w:bookmarkStart w:id="257" w:name="_Toc502839199"/>
      <w:bookmarkStart w:id="258" w:name="_Toc502839536"/>
      <w:bookmarkStart w:id="259" w:name="_Toc502843008"/>
      <w:bookmarkStart w:id="260" w:name="_Toc502851263"/>
      <w:bookmarkStart w:id="261" w:name="_Toc503360451"/>
      <w:bookmarkStart w:id="262" w:name="_Toc503782597"/>
      <w:bookmarkStart w:id="263" w:name="_Toc506196859"/>
      <w:bookmarkStart w:id="264" w:name="_Toc507425404"/>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14:paraId="7D30AE6F" w14:textId="77777777" w:rsidR="00F8788D" w:rsidRPr="009D0CFA" w:rsidRDefault="00F8788D" w:rsidP="00F8788D">
      <w:pPr>
        <w:pStyle w:val="ListParagraph"/>
        <w:keepNext/>
        <w:keepLines/>
        <w:numPr>
          <w:ilvl w:val="1"/>
          <w:numId w:val="16"/>
        </w:numPr>
        <w:spacing w:before="40"/>
        <w:contextualSpacing w:val="0"/>
        <w:outlineLvl w:val="1"/>
        <w:rPr>
          <w:rFonts w:asciiTheme="majorHAnsi" w:eastAsiaTheme="majorEastAsia" w:hAnsiTheme="majorHAnsi" w:cstheme="majorBidi"/>
          <w:vanish/>
          <w:color w:val="2E74B5" w:themeColor="accent1" w:themeShade="BF"/>
          <w:sz w:val="26"/>
          <w:szCs w:val="26"/>
        </w:rPr>
      </w:pPr>
      <w:bookmarkStart w:id="265" w:name="_Toc497142522"/>
      <w:bookmarkStart w:id="266" w:name="_Toc497464921"/>
      <w:bookmarkStart w:id="267" w:name="_Toc497498343"/>
      <w:bookmarkStart w:id="268" w:name="_Toc500429672"/>
      <w:bookmarkStart w:id="269" w:name="_Toc500941626"/>
      <w:bookmarkStart w:id="270" w:name="_Toc502838806"/>
      <w:bookmarkStart w:id="271" w:name="_Toc502839146"/>
      <w:bookmarkStart w:id="272" w:name="_Toc502839200"/>
      <w:bookmarkStart w:id="273" w:name="_Toc502839537"/>
      <w:bookmarkStart w:id="274" w:name="_Toc502843009"/>
      <w:bookmarkStart w:id="275" w:name="_Toc502851264"/>
      <w:bookmarkStart w:id="276" w:name="_Toc503360452"/>
      <w:bookmarkStart w:id="277" w:name="_Toc503782598"/>
      <w:bookmarkStart w:id="278" w:name="_Toc506196860"/>
      <w:bookmarkStart w:id="279" w:name="_Toc507425405"/>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4FA0C80B" w14:textId="77777777" w:rsidR="00F8788D" w:rsidRPr="009D0CFA" w:rsidRDefault="00F8788D" w:rsidP="00F8788D">
      <w:pPr>
        <w:pStyle w:val="ListParagraph"/>
        <w:keepNext/>
        <w:keepLines/>
        <w:numPr>
          <w:ilvl w:val="1"/>
          <w:numId w:val="16"/>
        </w:numPr>
        <w:spacing w:before="40"/>
        <w:contextualSpacing w:val="0"/>
        <w:outlineLvl w:val="1"/>
        <w:rPr>
          <w:rFonts w:asciiTheme="majorHAnsi" w:eastAsiaTheme="majorEastAsia" w:hAnsiTheme="majorHAnsi" w:cstheme="majorBidi"/>
          <w:vanish/>
          <w:color w:val="2E74B5" w:themeColor="accent1" w:themeShade="BF"/>
          <w:sz w:val="26"/>
          <w:szCs w:val="26"/>
        </w:rPr>
      </w:pPr>
      <w:bookmarkStart w:id="280" w:name="_Toc497142523"/>
      <w:bookmarkStart w:id="281" w:name="_Toc497464922"/>
      <w:bookmarkStart w:id="282" w:name="_Toc497498344"/>
      <w:bookmarkStart w:id="283" w:name="_Toc500429673"/>
      <w:bookmarkStart w:id="284" w:name="_Toc500941627"/>
      <w:bookmarkStart w:id="285" w:name="_Toc502838807"/>
      <w:bookmarkStart w:id="286" w:name="_Toc502839147"/>
      <w:bookmarkStart w:id="287" w:name="_Toc502839201"/>
      <w:bookmarkStart w:id="288" w:name="_Toc502839538"/>
      <w:bookmarkStart w:id="289" w:name="_Toc502843010"/>
      <w:bookmarkStart w:id="290" w:name="_Toc502851265"/>
      <w:bookmarkStart w:id="291" w:name="_Toc503360453"/>
      <w:bookmarkStart w:id="292" w:name="_Toc503782599"/>
      <w:bookmarkStart w:id="293" w:name="_Toc506196861"/>
      <w:bookmarkStart w:id="294" w:name="_Toc507425406"/>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14:paraId="6627213D" w14:textId="77777777" w:rsidR="00F8788D" w:rsidRPr="009D0CFA" w:rsidRDefault="00F8788D" w:rsidP="00F8788D">
      <w:pPr>
        <w:pStyle w:val="ListParagraph"/>
        <w:keepNext/>
        <w:keepLines/>
        <w:numPr>
          <w:ilvl w:val="1"/>
          <w:numId w:val="16"/>
        </w:numPr>
        <w:spacing w:before="40"/>
        <w:contextualSpacing w:val="0"/>
        <w:outlineLvl w:val="1"/>
        <w:rPr>
          <w:rFonts w:asciiTheme="majorHAnsi" w:eastAsiaTheme="majorEastAsia" w:hAnsiTheme="majorHAnsi" w:cstheme="majorBidi"/>
          <w:vanish/>
          <w:color w:val="2E74B5" w:themeColor="accent1" w:themeShade="BF"/>
          <w:sz w:val="26"/>
          <w:szCs w:val="26"/>
        </w:rPr>
      </w:pPr>
      <w:bookmarkStart w:id="295" w:name="_Toc497142524"/>
      <w:bookmarkStart w:id="296" w:name="_Toc497464923"/>
      <w:bookmarkStart w:id="297" w:name="_Toc497498345"/>
      <w:bookmarkStart w:id="298" w:name="_Toc500429674"/>
      <w:bookmarkStart w:id="299" w:name="_Toc500941628"/>
      <w:bookmarkStart w:id="300" w:name="_Toc502838808"/>
      <w:bookmarkStart w:id="301" w:name="_Toc502839148"/>
      <w:bookmarkStart w:id="302" w:name="_Toc502839202"/>
      <w:bookmarkStart w:id="303" w:name="_Toc502839539"/>
      <w:bookmarkStart w:id="304" w:name="_Toc502843011"/>
      <w:bookmarkStart w:id="305" w:name="_Toc502851266"/>
      <w:bookmarkStart w:id="306" w:name="_Toc503360454"/>
      <w:bookmarkStart w:id="307" w:name="_Toc503782600"/>
      <w:bookmarkStart w:id="308" w:name="_Toc506196862"/>
      <w:bookmarkStart w:id="309" w:name="_Toc507425407"/>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14:paraId="063319CC" w14:textId="77777777" w:rsidR="00F8788D" w:rsidRPr="009D0CFA" w:rsidRDefault="00F8788D" w:rsidP="00F8788D">
      <w:pPr>
        <w:pStyle w:val="ListParagraph"/>
        <w:keepNext/>
        <w:keepLines/>
        <w:numPr>
          <w:ilvl w:val="1"/>
          <w:numId w:val="16"/>
        </w:numPr>
        <w:spacing w:before="40"/>
        <w:contextualSpacing w:val="0"/>
        <w:outlineLvl w:val="1"/>
        <w:rPr>
          <w:rFonts w:asciiTheme="majorHAnsi" w:eastAsiaTheme="majorEastAsia" w:hAnsiTheme="majorHAnsi" w:cstheme="majorBidi"/>
          <w:vanish/>
          <w:color w:val="2E74B5" w:themeColor="accent1" w:themeShade="BF"/>
          <w:sz w:val="26"/>
          <w:szCs w:val="26"/>
        </w:rPr>
      </w:pPr>
      <w:bookmarkStart w:id="310" w:name="_Toc497142525"/>
      <w:bookmarkStart w:id="311" w:name="_Toc497464924"/>
      <w:bookmarkStart w:id="312" w:name="_Toc497498346"/>
      <w:bookmarkStart w:id="313" w:name="_Toc500429675"/>
      <w:bookmarkStart w:id="314" w:name="_Toc500941629"/>
      <w:bookmarkStart w:id="315" w:name="_Toc502838809"/>
      <w:bookmarkStart w:id="316" w:name="_Toc502839149"/>
      <w:bookmarkStart w:id="317" w:name="_Toc502839203"/>
      <w:bookmarkStart w:id="318" w:name="_Toc502839540"/>
      <w:bookmarkStart w:id="319" w:name="_Toc502843012"/>
      <w:bookmarkStart w:id="320" w:name="_Toc502851267"/>
      <w:bookmarkStart w:id="321" w:name="_Toc503360455"/>
      <w:bookmarkStart w:id="322" w:name="_Toc503782601"/>
      <w:bookmarkStart w:id="323" w:name="_Toc506196863"/>
      <w:bookmarkStart w:id="324" w:name="_Toc507425408"/>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14:paraId="71716B84" w14:textId="77777777" w:rsidR="00F8788D" w:rsidRPr="00FC5D96" w:rsidRDefault="00F8788D" w:rsidP="002414BB">
      <w:pPr>
        <w:jc w:val="both"/>
      </w:pPr>
      <w:r w:rsidRPr="00FC5D96">
        <w:t>The de-aggregation module shall have the following responsibilities:</w:t>
      </w:r>
    </w:p>
    <w:p w14:paraId="2736A0F0" w14:textId="77777777" w:rsidR="00F8788D" w:rsidRPr="00FC5D96" w:rsidRDefault="00F8788D" w:rsidP="00F8788D">
      <w:pPr>
        <w:pStyle w:val="ListParagraph"/>
        <w:numPr>
          <w:ilvl w:val="0"/>
          <w:numId w:val="21"/>
        </w:numPr>
        <w:jc w:val="both"/>
      </w:pPr>
      <w:r w:rsidRPr="00FC5D96">
        <w:t>Solve the volume indeterminacy problems at NTH level</w:t>
      </w:r>
    </w:p>
    <w:p w14:paraId="75C8E5EF" w14:textId="77777777" w:rsidR="00F8788D" w:rsidRPr="00FC5D96" w:rsidRDefault="00F8788D" w:rsidP="00F8788D">
      <w:pPr>
        <w:pStyle w:val="ListParagraph"/>
        <w:numPr>
          <w:ilvl w:val="0"/>
          <w:numId w:val="21"/>
        </w:numPr>
        <w:jc w:val="both"/>
      </w:pPr>
      <w:r w:rsidRPr="00FC5D96">
        <w:t>De-aggregate, i.e. divide the traded volumes to NTHs</w:t>
      </w:r>
    </w:p>
    <w:p w14:paraId="3729FE5B" w14:textId="77777777" w:rsidR="00F8788D" w:rsidRPr="00FC5D96" w:rsidRDefault="00F8788D" w:rsidP="00F8788D">
      <w:pPr>
        <w:pStyle w:val="ListParagraph"/>
        <w:numPr>
          <w:ilvl w:val="0"/>
          <w:numId w:val="21"/>
        </w:numPr>
        <w:jc w:val="both"/>
      </w:pPr>
      <w:r w:rsidRPr="00FC5D96">
        <w:t>Validate de-aggregration results through extension of the Euphemia output</w:t>
      </w:r>
      <w:r>
        <w:t xml:space="preserve"> </w:t>
      </w:r>
      <w:r w:rsidRPr="00FC5D96">
        <w:t xml:space="preserve">checks </w:t>
      </w:r>
    </w:p>
    <w:p w14:paraId="610FBEB3" w14:textId="77777777" w:rsidR="00F8788D" w:rsidRPr="00FC5D96" w:rsidRDefault="00F8788D" w:rsidP="00F8788D">
      <w:pPr>
        <w:pStyle w:val="ListParagraph"/>
        <w:numPr>
          <w:ilvl w:val="0"/>
          <w:numId w:val="21"/>
        </w:numPr>
        <w:jc w:val="both"/>
      </w:pPr>
      <w:r w:rsidRPr="00FC5D96">
        <w:t>Compute NTH results</w:t>
      </w:r>
    </w:p>
    <w:p w14:paraId="3413CA78" w14:textId="77777777" w:rsidR="00F8788D" w:rsidRDefault="00F8788D" w:rsidP="002414BB">
      <w:pPr>
        <w:jc w:val="both"/>
      </w:pPr>
    </w:p>
    <w:p w14:paraId="764B3794" w14:textId="77777777" w:rsidR="00F8788D" w:rsidRPr="00FC5D96" w:rsidRDefault="00F8788D" w:rsidP="002414BB">
      <w:pPr>
        <w:jc w:val="both"/>
        <w:rPr>
          <w:lang w:val="en-US"/>
        </w:rPr>
      </w:pPr>
      <w:r w:rsidRPr="00FC5D96">
        <w:rPr>
          <w:lang w:val="en-US"/>
        </w:rPr>
        <w:t>After Euphemia finds a feasible solution to the aggregated zonal problem, it then needs to split into results applicabl</w:t>
      </w:r>
      <w:r w:rsidRPr="001D6C12">
        <w:rPr>
          <w:lang w:val="en-US"/>
        </w:rPr>
        <w:t>e to the NEMO trading hub level</w:t>
      </w:r>
      <w:r>
        <w:rPr>
          <w:lang w:val="en-US"/>
        </w:rPr>
        <w:t>.</w:t>
      </w:r>
    </w:p>
    <w:p w14:paraId="3EA02EBD" w14:textId="77777777" w:rsidR="00F8788D" w:rsidRPr="001D6C12" w:rsidRDefault="00F8788D" w:rsidP="002414BB">
      <w:pPr>
        <w:jc w:val="both"/>
        <w:rPr>
          <w:lang w:val="en-US"/>
        </w:rPr>
      </w:pPr>
      <w:r w:rsidRPr="00FC5D96">
        <w:rPr>
          <w:lang w:val="en-US"/>
        </w:rPr>
        <w:t>When splitting results down to the NTH level, indeterminate cases need to be resolved. To this end the volume indeterminacy problems that are solved at the zonal level today, need to be applied to the NTH level under the MNA</w:t>
      </w:r>
      <w:r w:rsidRPr="001D6C12">
        <w:rPr>
          <w:lang w:val="en-US"/>
        </w:rPr>
        <w:t>.</w:t>
      </w:r>
    </w:p>
    <w:p w14:paraId="222DD9CF" w14:textId="77777777" w:rsidR="00F8788D" w:rsidRDefault="00F8788D" w:rsidP="002414BB">
      <w:pPr>
        <w:jc w:val="both"/>
        <w:rPr>
          <w:highlight w:val="cyan"/>
        </w:rPr>
      </w:pPr>
      <w:r w:rsidRPr="00FC5D96">
        <w:rPr>
          <w:lang w:val="en-US"/>
        </w:rPr>
        <w:t>Euphemia implements block order tie rules to arbitrate between identical blocks, when only some, but not all can be accepted. With the introduction of the MNA we now also need to arbitrate between identical blocks, which were submitted by different NTHs</w:t>
      </w:r>
      <w:r>
        <w:t>.</w:t>
      </w:r>
    </w:p>
    <w:p w14:paraId="5409A92C" w14:textId="77777777" w:rsidR="00F8788D" w:rsidRDefault="00F8788D" w:rsidP="002414BB">
      <w:pPr>
        <w:jc w:val="both"/>
      </w:pPr>
    </w:p>
    <w:p w14:paraId="11ABE80F" w14:textId="77777777" w:rsidR="00F8788D" w:rsidRDefault="00F8788D" w:rsidP="002414BB">
      <w:pPr>
        <w:jc w:val="both"/>
      </w:pPr>
    </w:p>
    <w:p w14:paraId="0AF25095" w14:textId="77777777" w:rsidR="00F8788D" w:rsidRPr="00C854E0" w:rsidRDefault="00F8788D" w:rsidP="00F8788D">
      <w:pPr>
        <w:pStyle w:val="Heading2"/>
        <w:numPr>
          <w:ilvl w:val="1"/>
          <w:numId w:val="16"/>
        </w:numPr>
      </w:pPr>
      <w:bookmarkStart w:id="325" w:name="_Toc500406826"/>
      <w:bookmarkStart w:id="326" w:name="_Toc503782602"/>
      <w:bookmarkStart w:id="327" w:name="_Toc507425409"/>
      <w:r w:rsidRPr="00C854E0">
        <w:t>Functioning and coherence of the 3 flow calculation steps</w:t>
      </w:r>
      <w:bookmarkEnd w:id="325"/>
      <w:bookmarkEnd w:id="326"/>
      <w:bookmarkEnd w:id="327"/>
    </w:p>
    <w:p w14:paraId="0D0A2266" w14:textId="77777777" w:rsidR="00F8788D" w:rsidRDefault="00F8788D" w:rsidP="002414BB">
      <w:pPr>
        <w:jc w:val="both"/>
      </w:pPr>
      <w:r>
        <w:t>In the following three sections we will describe the 3 flow calculation sub-problems:</w:t>
      </w:r>
    </w:p>
    <w:p w14:paraId="58D6545B" w14:textId="77777777" w:rsidR="00F8788D" w:rsidRDefault="00F8788D" w:rsidP="00F8788D">
      <w:pPr>
        <w:pStyle w:val="ListParagraph"/>
        <w:numPr>
          <w:ilvl w:val="0"/>
          <w:numId w:val="11"/>
        </w:numPr>
        <w:jc w:val="both"/>
      </w:pPr>
      <w:r>
        <w:t>Bidding zone (BZ) flow calculation;</w:t>
      </w:r>
    </w:p>
    <w:p w14:paraId="316F14D4" w14:textId="77777777" w:rsidR="00F8788D" w:rsidRDefault="00F8788D" w:rsidP="00F8788D">
      <w:pPr>
        <w:pStyle w:val="ListParagraph"/>
        <w:numPr>
          <w:ilvl w:val="0"/>
          <w:numId w:val="11"/>
        </w:numPr>
        <w:jc w:val="both"/>
      </w:pPr>
      <w:r>
        <w:t>Scheduling area (SA) flow calculation;</w:t>
      </w:r>
    </w:p>
    <w:p w14:paraId="0D7EE6D4" w14:textId="77777777" w:rsidR="00F8788D" w:rsidRDefault="00F8788D" w:rsidP="00F8788D">
      <w:pPr>
        <w:pStyle w:val="ListParagraph"/>
        <w:numPr>
          <w:ilvl w:val="0"/>
          <w:numId w:val="11"/>
        </w:numPr>
        <w:jc w:val="both"/>
      </w:pPr>
      <w:r>
        <w:t>Inter NEMO trading hub (NTH) flow calculation</w:t>
      </w:r>
    </w:p>
    <w:p w14:paraId="586A1660" w14:textId="77777777" w:rsidR="00F8788D" w:rsidRDefault="00F8788D" w:rsidP="002414BB">
      <w:r>
        <w:t>The different levels are illustrated below:</w:t>
      </w:r>
      <w:r w:rsidRPr="008F1031">
        <w:rPr>
          <w:noProof/>
          <w:lang w:val="en-US" w:eastAsia="en-US"/>
        </w:rPr>
        <w:drawing>
          <wp:inline distT="0" distB="0" distL="0" distR="0" wp14:anchorId="1A9BD5B3" wp14:editId="6761E1F5">
            <wp:extent cx="5270500" cy="3546244"/>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70500" cy="3546244"/>
                    </a:xfrm>
                    <a:prstGeom prst="rect">
                      <a:avLst/>
                    </a:prstGeom>
                    <a:noFill/>
                    <a:ln>
                      <a:noFill/>
                    </a:ln>
                  </pic:spPr>
                </pic:pic>
              </a:graphicData>
            </a:graphic>
          </wp:inline>
        </w:drawing>
      </w:r>
    </w:p>
    <w:p w14:paraId="78E94606" w14:textId="77777777" w:rsidR="00F8788D" w:rsidRDefault="00F8788D" w:rsidP="002414BB">
      <w:pPr>
        <w:jc w:val="both"/>
      </w:pPr>
    </w:p>
    <w:p w14:paraId="28305CA0" w14:textId="08CDFD26" w:rsidR="00F8788D" w:rsidRDefault="00F8788D" w:rsidP="002414BB">
      <w:r>
        <w:t xml:space="preserve">Each subsequent step takes as a constraint the output from the step before. The different models each consider their respective topologies. We introduce some notational conventions to describe the topologies. The </w:t>
      </w:r>
      <w:r w:rsidRPr="006923B5">
        <w:t>notation introduced</w:t>
      </w:r>
      <w:r>
        <w:t xml:space="preserve"> here has a direct correspondence to the DB interface described in section </w:t>
      </w:r>
      <w:r w:rsidRPr="006923B5">
        <w:rPr>
          <w:b/>
        </w:rPr>
        <w:fldChar w:fldCharType="begin"/>
      </w:r>
      <w:r w:rsidRPr="006923B5">
        <w:rPr>
          <w:b/>
        </w:rPr>
        <w:instrText xml:space="preserve"> REF _Ref502835710 \h </w:instrText>
      </w:r>
      <w:r>
        <w:rPr>
          <w:b/>
        </w:rPr>
        <w:instrText xml:space="preserve"> \* MERGEFORMAT </w:instrText>
      </w:r>
      <w:r w:rsidRPr="006923B5">
        <w:rPr>
          <w:b/>
        </w:rPr>
      </w:r>
      <w:r w:rsidRPr="006923B5">
        <w:rPr>
          <w:b/>
        </w:rPr>
        <w:fldChar w:fldCharType="separate"/>
      </w:r>
      <w:r w:rsidR="00FC1305" w:rsidRPr="00FC1305">
        <w:rPr>
          <w:b/>
        </w:rPr>
        <w:t>Shared Configuration file changes</w:t>
      </w:r>
      <w:r w:rsidRPr="006923B5">
        <w:rPr>
          <w:b/>
        </w:rPr>
        <w:fldChar w:fldCharType="end"/>
      </w:r>
      <w:r>
        <w:t>.</w:t>
      </w:r>
    </w:p>
    <w:p w14:paraId="625E371F" w14:textId="77777777" w:rsidR="00F8788D" w:rsidRDefault="00F8788D" w:rsidP="002414BB"/>
    <w:p w14:paraId="537587A9" w14:textId="77777777" w:rsidR="00F8788D" w:rsidRDefault="00F8788D" w:rsidP="002414BB">
      <w:r>
        <w:t>The algorithm model assumes that each NEMO trading hub will belong to exactly 1 scheduling area, and each scheduling area belongs to exactly 1 bidding zone. Consequently each NEMO trading hub can be uniquely associated to a bidding zone. In the opposite direction the relation is that each bidding zone has at least 1 scheduling area, and each scheduling area has at least 1 NEMO. This is illustrated in below figure.</w:t>
      </w:r>
    </w:p>
    <w:p w14:paraId="5EE251B5" w14:textId="77777777" w:rsidR="00F8788D" w:rsidRDefault="00F8788D" w:rsidP="002414BB"/>
    <w:p w14:paraId="2B657B80" w14:textId="77777777" w:rsidR="00F8788D" w:rsidRDefault="00F8788D" w:rsidP="002414BB">
      <w:pPr>
        <w:keepNext/>
      </w:pPr>
      <w:r w:rsidRPr="00BB1D58">
        <w:rPr>
          <w:noProof/>
          <w:lang w:val="en-US" w:eastAsia="en-US"/>
        </w:rPr>
        <w:drawing>
          <wp:inline distT="0" distB="0" distL="0" distR="0" wp14:anchorId="31265B1B" wp14:editId="2781F240">
            <wp:extent cx="4597400" cy="4127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597400" cy="412750"/>
                    </a:xfrm>
                    <a:prstGeom prst="rect">
                      <a:avLst/>
                    </a:prstGeom>
                    <a:noFill/>
                    <a:ln>
                      <a:noFill/>
                    </a:ln>
                  </pic:spPr>
                </pic:pic>
              </a:graphicData>
            </a:graphic>
          </wp:inline>
        </w:drawing>
      </w:r>
    </w:p>
    <w:p w14:paraId="6F3FA2CE" w14:textId="05364E62" w:rsidR="00F8788D" w:rsidRDefault="00F8788D" w:rsidP="002414BB">
      <w:pPr>
        <w:pStyle w:val="Caption"/>
      </w:pPr>
      <w:r>
        <w:t xml:space="preserve">Figure </w:t>
      </w:r>
      <w:r>
        <w:fldChar w:fldCharType="begin"/>
      </w:r>
      <w:r>
        <w:instrText xml:space="preserve"> SEQ Figure \* ARABIC </w:instrText>
      </w:r>
      <w:r>
        <w:fldChar w:fldCharType="separate"/>
      </w:r>
      <w:r w:rsidR="00FC1305">
        <w:rPr>
          <w:noProof/>
        </w:rPr>
        <w:t>7</w:t>
      </w:r>
      <w:r>
        <w:fldChar w:fldCharType="end"/>
      </w:r>
      <w:r>
        <w:t xml:space="preserve"> Relations between bidding zone and scheduling area, and scheduling area and NEMO trading hub</w:t>
      </w:r>
    </w:p>
    <w:p w14:paraId="7755B9B6" w14:textId="77777777" w:rsidR="00F8788D" w:rsidRDefault="00F8788D" w:rsidP="002414BB">
      <w:r>
        <w:t>We define the following sets and indices as part of our notational convention:</w:t>
      </w:r>
    </w:p>
    <w:p w14:paraId="2EC26524" w14:textId="2E0519C3" w:rsidR="00F8788D" w:rsidRDefault="00F8788D" w:rsidP="00F8788D">
      <w:pPr>
        <w:pStyle w:val="ListParagraph"/>
        <w:numPr>
          <w:ilvl w:val="0"/>
          <w:numId w:val="48"/>
        </w:numPr>
      </w:pPr>
      <w:r>
        <w:t xml:space="preserve">BZ the set of all bidding zones, i.e. </w:t>
      </w:r>
      <w:r w:rsidR="00F629D2">
        <w:rPr>
          <w:noProof/>
          <w:position w:val="-6"/>
        </w:rPr>
        <w:drawing>
          <wp:inline distT="0" distB="0" distL="0" distR="0" wp14:anchorId="6E96D5FF" wp14:editId="46EDDB5B">
            <wp:extent cx="525780" cy="160020"/>
            <wp:effectExtent l="0" t="0" r="0" b="0"/>
            <wp:docPr id="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25780" cy="160020"/>
                    </a:xfrm>
                    <a:prstGeom prst="rect">
                      <a:avLst/>
                    </a:prstGeom>
                    <a:noFill/>
                    <a:ln>
                      <a:noFill/>
                    </a:ln>
                  </pic:spPr>
                </pic:pic>
              </a:graphicData>
            </a:graphic>
          </wp:inline>
        </w:drawing>
      </w:r>
      <w:r>
        <w:t>describes all bidding zones;</w:t>
      </w:r>
    </w:p>
    <w:p w14:paraId="72AEF0D0" w14:textId="189879D5" w:rsidR="00F8788D" w:rsidRDefault="00F8788D" w:rsidP="00F8788D">
      <w:pPr>
        <w:pStyle w:val="ListParagraph"/>
        <w:numPr>
          <w:ilvl w:val="0"/>
          <w:numId w:val="48"/>
        </w:numPr>
      </w:pPr>
      <w:r>
        <w:t xml:space="preserve">SA the set of all scheduling areas, i.e. </w:t>
      </w:r>
      <w:r w:rsidR="00F629D2">
        <w:rPr>
          <w:noProof/>
          <w:position w:val="-6"/>
        </w:rPr>
        <w:drawing>
          <wp:inline distT="0" distB="0" distL="0" distR="0" wp14:anchorId="2B9C9AFD" wp14:editId="2C822A2B">
            <wp:extent cx="495300" cy="190500"/>
            <wp:effectExtent l="0" t="0" r="0" b="0"/>
            <wp:docPr id="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95300" cy="190500"/>
                    </a:xfrm>
                    <a:prstGeom prst="rect">
                      <a:avLst/>
                    </a:prstGeom>
                    <a:noFill/>
                    <a:ln>
                      <a:noFill/>
                    </a:ln>
                  </pic:spPr>
                </pic:pic>
              </a:graphicData>
            </a:graphic>
          </wp:inline>
        </w:drawing>
      </w:r>
      <w:r>
        <w:t>describes all scheduling areas;</w:t>
      </w:r>
    </w:p>
    <w:p w14:paraId="3C595A7E" w14:textId="3EF8FA42" w:rsidR="00F8788D" w:rsidRDefault="00F8788D" w:rsidP="00F8788D">
      <w:pPr>
        <w:pStyle w:val="ListParagraph"/>
        <w:numPr>
          <w:ilvl w:val="0"/>
          <w:numId w:val="48"/>
        </w:numPr>
      </w:pPr>
      <w:r>
        <w:t xml:space="preserve">NH the set of all NEMO trading hubs, i.e. </w:t>
      </w:r>
      <w:r w:rsidR="00F629D2">
        <w:rPr>
          <w:noProof/>
          <w:position w:val="-6"/>
        </w:rPr>
        <w:drawing>
          <wp:inline distT="0" distB="0" distL="0" distR="0" wp14:anchorId="31F29F6C" wp14:editId="1BFC73F3">
            <wp:extent cx="579120" cy="190500"/>
            <wp:effectExtent l="0" t="0" r="0" b="0"/>
            <wp:docPr id="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9120" cy="190500"/>
                    </a:xfrm>
                    <a:prstGeom prst="rect">
                      <a:avLst/>
                    </a:prstGeom>
                    <a:noFill/>
                    <a:ln>
                      <a:noFill/>
                    </a:ln>
                  </pic:spPr>
                </pic:pic>
              </a:graphicData>
            </a:graphic>
          </wp:inline>
        </w:drawing>
      </w:r>
      <w:r>
        <w:t>describes all NEMO trading hubs;</w:t>
      </w:r>
    </w:p>
    <w:p w14:paraId="4AF16239" w14:textId="77777777" w:rsidR="00F8788D" w:rsidRDefault="00F8788D" w:rsidP="002414BB"/>
    <w:p w14:paraId="2952055E" w14:textId="77777777" w:rsidR="00F8788D" w:rsidRDefault="00F8788D" w:rsidP="002414BB">
      <w:r>
        <w:t>We introduce some abusive notation to infer the relevant parents (unique elements) or children (sets), i.e.</w:t>
      </w:r>
    </w:p>
    <w:p w14:paraId="4AA4A6C3" w14:textId="5B9534DF" w:rsidR="00F8788D" w:rsidRDefault="00F8788D" w:rsidP="002414BB">
      <w:r>
        <w:t>An element nh of the set NH is contained in scheduling area nh.sa which belongs to the SA set;</w:t>
      </w:r>
    </w:p>
    <w:p w14:paraId="299E68D9" w14:textId="77777777" w:rsidR="00F8788D" w:rsidRDefault="00F8788D" w:rsidP="002414BB">
      <w:r>
        <w:t>An element sa of the set SA is contained in bidding zone sa.bz which belongs to BZ set;</w:t>
      </w:r>
    </w:p>
    <w:p w14:paraId="3D2916C9" w14:textId="77777777" w:rsidR="00F8788D" w:rsidRDefault="00F8788D" w:rsidP="002414BB">
      <w:r>
        <w:t>(And it follows that nh is in bidding zone nh.sa.bz)</w:t>
      </w:r>
    </w:p>
    <w:p w14:paraId="6C5C0192" w14:textId="77777777" w:rsidR="00F8788D" w:rsidRDefault="00F8788D" w:rsidP="002414BB"/>
    <w:p w14:paraId="20B5351A" w14:textId="77777777" w:rsidR="00F8788D" w:rsidRDefault="00F8788D" w:rsidP="002414BB">
      <w:r>
        <w:t>An element bz of the set BZ contains scheduling areas bz.SA;</w:t>
      </w:r>
    </w:p>
    <w:p w14:paraId="62C2F20C" w14:textId="77777777" w:rsidR="00F8788D" w:rsidRDefault="00F8788D" w:rsidP="002414BB">
      <w:r>
        <w:t>An element sa of the set SA contains NEMO trading hubs sa.NH</w:t>
      </w:r>
    </w:p>
    <w:p w14:paraId="6BCC9AC3" w14:textId="77777777" w:rsidR="00F8788D" w:rsidRDefault="00F8788D" w:rsidP="002414BB"/>
    <w:p w14:paraId="235A13F7" w14:textId="77777777" w:rsidR="00F8788D" w:rsidRDefault="00F8788D" w:rsidP="002414BB">
      <w:r>
        <w:t>The different topologies can now be described within the relevant Cartesian products:</w:t>
      </w:r>
    </w:p>
    <w:p w14:paraId="51BCBE93" w14:textId="777A2DF8" w:rsidR="00F8788D" w:rsidRDefault="00F8788D" w:rsidP="002414BB">
      <w:r>
        <w:t>TOP</w:t>
      </w:r>
      <w:r>
        <w:rPr>
          <w:vertAlign w:val="subscript"/>
        </w:rPr>
        <w:t>bz</w:t>
      </w:r>
      <w:r>
        <w:t xml:space="preserve">: the zonal topology, with </w:t>
      </w:r>
      <w:r w:rsidR="00F629D2">
        <w:rPr>
          <w:noProof/>
          <w:position w:val="-10"/>
        </w:rPr>
        <w:drawing>
          <wp:inline distT="0" distB="0" distL="0" distR="0" wp14:anchorId="43DABEF6" wp14:editId="675D0AF4">
            <wp:extent cx="1935480" cy="236220"/>
            <wp:effectExtent l="0" t="0" r="7620" b="0"/>
            <wp:docPr id="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935480" cy="236220"/>
                    </a:xfrm>
                    <a:prstGeom prst="rect">
                      <a:avLst/>
                    </a:prstGeom>
                    <a:noFill/>
                    <a:ln>
                      <a:noFill/>
                    </a:ln>
                  </pic:spPr>
                </pic:pic>
              </a:graphicData>
            </a:graphic>
          </wp:inline>
        </w:drawing>
      </w:r>
    </w:p>
    <w:p w14:paraId="50E7F10E" w14:textId="2F3FB1AA" w:rsidR="00F8788D" w:rsidRDefault="00F8788D" w:rsidP="002414BB">
      <w:r>
        <w:t>TOP</w:t>
      </w:r>
      <w:r w:rsidRPr="0064492D">
        <w:rPr>
          <w:vertAlign w:val="subscript"/>
        </w:rPr>
        <w:t>SA</w:t>
      </w:r>
      <w:r>
        <w:t xml:space="preserve">: the scheduling area topology, with </w:t>
      </w:r>
      <w:r w:rsidR="00F629D2">
        <w:rPr>
          <w:noProof/>
          <w:position w:val="-12"/>
        </w:rPr>
        <w:drawing>
          <wp:inline distT="0" distB="0" distL="0" distR="0" wp14:anchorId="39DCBD35" wp14:editId="0F2C3D7E">
            <wp:extent cx="1905000" cy="236220"/>
            <wp:effectExtent l="0" t="0" r="0" b="0"/>
            <wp:docPr id="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05000" cy="236220"/>
                    </a:xfrm>
                    <a:prstGeom prst="rect">
                      <a:avLst/>
                    </a:prstGeom>
                    <a:noFill/>
                    <a:ln>
                      <a:noFill/>
                    </a:ln>
                  </pic:spPr>
                </pic:pic>
              </a:graphicData>
            </a:graphic>
          </wp:inline>
        </w:drawing>
      </w:r>
    </w:p>
    <w:p w14:paraId="6D179640" w14:textId="54C93ADC" w:rsidR="00F8788D" w:rsidRDefault="00F8788D" w:rsidP="002414BB">
      <w:r>
        <w:t>TOP</w:t>
      </w:r>
      <w:r>
        <w:rPr>
          <w:vertAlign w:val="subscript"/>
        </w:rPr>
        <w:t>NH</w:t>
      </w:r>
      <w:r>
        <w:t xml:space="preserve">: the NEMO trading hub topology, with </w:t>
      </w:r>
      <w:r w:rsidR="00F629D2">
        <w:rPr>
          <w:noProof/>
          <w:position w:val="-12"/>
        </w:rPr>
        <w:drawing>
          <wp:inline distT="0" distB="0" distL="0" distR="0" wp14:anchorId="64536BED" wp14:editId="6CC17598">
            <wp:extent cx="2087880" cy="236220"/>
            <wp:effectExtent l="0" t="0" r="7620" b="0"/>
            <wp:docPr id="6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087880" cy="236220"/>
                    </a:xfrm>
                    <a:prstGeom prst="rect">
                      <a:avLst/>
                    </a:prstGeom>
                    <a:noFill/>
                    <a:ln>
                      <a:noFill/>
                    </a:ln>
                  </pic:spPr>
                </pic:pic>
              </a:graphicData>
            </a:graphic>
          </wp:inline>
        </w:drawing>
      </w:r>
    </w:p>
    <w:p w14:paraId="3CEC123B" w14:textId="77777777" w:rsidR="00F8788D" w:rsidRDefault="00F8788D" w:rsidP="002414BB"/>
    <w:p w14:paraId="47843A60" w14:textId="77777777" w:rsidR="00F8788D" w:rsidRDefault="00F8788D" w:rsidP="002414BB">
      <w:r>
        <w:t>Finally in order to allow the higher level flow calculation results to be imposed as constraints to the lower level ones, the different topologies should be consistent.</w:t>
      </w:r>
    </w:p>
    <w:p w14:paraId="36C03FA8" w14:textId="77777777" w:rsidR="00F8788D" w:rsidRDefault="00F8788D" w:rsidP="002414BB"/>
    <w:p w14:paraId="0856CE27" w14:textId="77777777" w:rsidR="00F8788D" w:rsidRPr="00A06736" w:rsidRDefault="00F8788D" w:rsidP="002414BB">
      <w:pPr>
        <w:rPr>
          <w:b/>
        </w:rPr>
      </w:pPr>
      <w:r w:rsidRPr="00A06736">
        <w:rPr>
          <w:b/>
        </w:rPr>
        <w:t>Assumptions</w:t>
      </w:r>
    </w:p>
    <w:p w14:paraId="052F518A" w14:textId="77777777" w:rsidR="00F8788D" w:rsidRDefault="00F8788D" w:rsidP="002414BB"/>
    <w:p w14:paraId="0357C46C" w14:textId="77777777" w:rsidR="00F8788D" w:rsidRDefault="00F8788D" w:rsidP="00F8788D">
      <w:pPr>
        <w:pStyle w:val="ListParagraph"/>
        <w:numPr>
          <w:ilvl w:val="0"/>
          <w:numId w:val="27"/>
        </w:numPr>
      </w:pPr>
      <w:r>
        <w:t>For each bidding zone line there should be at least one underlying scheduling area line;</w:t>
      </w:r>
    </w:p>
    <w:p w14:paraId="591719EE" w14:textId="77777777" w:rsidR="00F8788D" w:rsidRDefault="00F8788D" w:rsidP="00F8788D">
      <w:pPr>
        <w:pStyle w:val="ListParagraph"/>
        <w:numPr>
          <w:ilvl w:val="0"/>
          <w:numId w:val="27"/>
        </w:numPr>
      </w:pPr>
      <w:r>
        <w:t>For each scheduling area line there should be at least one underlying NEMO trading hub line;</w:t>
      </w:r>
    </w:p>
    <w:p w14:paraId="664AB03A" w14:textId="77777777" w:rsidR="00F8788D" w:rsidRDefault="00F8788D" w:rsidP="002414BB"/>
    <w:p w14:paraId="5A578912" w14:textId="77777777" w:rsidR="00F8788D" w:rsidRDefault="00F8788D" w:rsidP="002414BB">
      <w:r>
        <w:t>Or more formally:</w:t>
      </w:r>
    </w:p>
    <w:p w14:paraId="6B3255DF" w14:textId="3B0AFCE4" w:rsidR="00F8788D" w:rsidRDefault="00F629D2" w:rsidP="002414BB">
      <w:r>
        <w:rPr>
          <w:noProof/>
          <w:position w:val="-14"/>
        </w:rPr>
        <w:drawing>
          <wp:inline distT="0" distB="0" distL="0" distR="0" wp14:anchorId="6F603C7C" wp14:editId="22D75CAC">
            <wp:extent cx="4373880" cy="236220"/>
            <wp:effectExtent l="0" t="0" r="7620" b="0"/>
            <wp:docPr id="6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373880" cy="236220"/>
                    </a:xfrm>
                    <a:prstGeom prst="rect">
                      <a:avLst/>
                    </a:prstGeom>
                    <a:noFill/>
                    <a:ln>
                      <a:noFill/>
                    </a:ln>
                  </pic:spPr>
                </pic:pic>
              </a:graphicData>
            </a:graphic>
          </wp:inline>
        </w:drawing>
      </w:r>
      <w:r w:rsidR="00F8788D">
        <w:t>, and</w:t>
      </w:r>
    </w:p>
    <w:p w14:paraId="05154028" w14:textId="22FB9AB5" w:rsidR="00F8788D" w:rsidRDefault="00F629D2" w:rsidP="002414BB">
      <w:r>
        <w:rPr>
          <w:noProof/>
          <w:position w:val="-14"/>
        </w:rPr>
        <w:drawing>
          <wp:inline distT="0" distB="0" distL="0" distR="0" wp14:anchorId="59FD55A2" wp14:editId="014A85CC">
            <wp:extent cx="4503420" cy="259080"/>
            <wp:effectExtent l="0" t="0" r="0" b="7620"/>
            <wp:docPr id="6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503420" cy="259080"/>
                    </a:xfrm>
                    <a:prstGeom prst="rect">
                      <a:avLst/>
                    </a:prstGeom>
                    <a:noFill/>
                    <a:ln>
                      <a:noFill/>
                    </a:ln>
                  </pic:spPr>
                </pic:pic>
              </a:graphicData>
            </a:graphic>
          </wp:inline>
        </w:drawing>
      </w:r>
    </w:p>
    <w:p w14:paraId="1B4AE0A0" w14:textId="77777777" w:rsidR="00F8788D" w:rsidRDefault="00F8788D" w:rsidP="002414BB"/>
    <w:p w14:paraId="22982667" w14:textId="77777777" w:rsidR="00F8788D" w:rsidRDefault="00F8788D" w:rsidP="00F8788D">
      <w:pPr>
        <w:pStyle w:val="ListParagraph"/>
        <w:numPr>
          <w:ilvl w:val="0"/>
          <w:numId w:val="27"/>
        </w:numPr>
      </w:pPr>
      <w:r>
        <w:t>NEMO lines are defined in the same direction as the corresponding cross-zonal line</w:t>
      </w:r>
    </w:p>
    <w:p w14:paraId="420613CF" w14:textId="77777777" w:rsidR="00F8788D" w:rsidRDefault="00F8788D" w:rsidP="00F8788D">
      <w:pPr>
        <w:pStyle w:val="ListParagraph"/>
        <w:numPr>
          <w:ilvl w:val="0"/>
          <w:numId w:val="27"/>
        </w:numPr>
      </w:pPr>
      <w:r>
        <w:t>In each bidding zone, the NEMO hub topology is made of a single connected component (i.e. each NEMO hub is connected to each other NEMO hub via at least one route)</w:t>
      </w:r>
    </w:p>
    <w:p w14:paraId="7E32D698" w14:textId="77777777" w:rsidR="00F8788D" w:rsidRDefault="00F8788D" w:rsidP="002414BB">
      <w:pPr>
        <w:jc w:val="both"/>
      </w:pPr>
    </w:p>
    <w:p w14:paraId="7F5F82B8" w14:textId="77777777" w:rsidR="00F8788D" w:rsidRPr="008F393C" w:rsidRDefault="00F8788D" w:rsidP="00F8788D">
      <w:pPr>
        <w:pStyle w:val="ListParagraph"/>
        <w:keepNext/>
        <w:keepLines/>
        <w:numPr>
          <w:ilvl w:val="1"/>
          <w:numId w:val="34"/>
        </w:numPr>
        <w:spacing w:before="240"/>
        <w:contextualSpacing w:val="0"/>
        <w:outlineLvl w:val="0"/>
        <w:rPr>
          <w:rFonts w:asciiTheme="majorHAnsi" w:eastAsiaTheme="majorEastAsia" w:hAnsiTheme="majorHAnsi" w:cstheme="majorBidi"/>
          <w:vanish/>
          <w:color w:val="2E74B5" w:themeColor="accent1" w:themeShade="BF"/>
          <w:sz w:val="32"/>
          <w:szCs w:val="32"/>
        </w:rPr>
      </w:pPr>
      <w:bookmarkStart w:id="328" w:name="_Toc497141951"/>
      <w:bookmarkStart w:id="329" w:name="_Toc497141952"/>
      <w:bookmarkStart w:id="330" w:name="_Toc497142528"/>
      <w:bookmarkStart w:id="331" w:name="_Toc497464927"/>
      <w:bookmarkStart w:id="332" w:name="_Toc497480571"/>
      <w:bookmarkStart w:id="333" w:name="_Toc497739920"/>
      <w:bookmarkStart w:id="334" w:name="_Toc497745725"/>
      <w:bookmarkStart w:id="335" w:name="_Toc499212360"/>
      <w:bookmarkStart w:id="336" w:name="_Toc500406827"/>
      <w:bookmarkStart w:id="337" w:name="_Toc500429677"/>
      <w:bookmarkStart w:id="338" w:name="_Toc500941631"/>
      <w:bookmarkStart w:id="339" w:name="_Toc502838811"/>
      <w:bookmarkStart w:id="340" w:name="_Toc502839151"/>
      <w:bookmarkStart w:id="341" w:name="_Toc502839205"/>
      <w:bookmarkStart w:id="342" w:name="_Toc502839542"/>
      <w:bookmarkStart w:id="343" w:name="_Toc502843014"/>
      <w:bookmarkStart w:id="344" w:name="_Toc502851269"/>
      <w:bookmarkStart w:id="345" w:name="_Toc503360457"/>
      <w:bookmarkStart w:id="346" w:name="_Toc503782603"/>
      <w:bookmarkStart w:id="347" w:name="_Toc506196865"/>
      <w:bookmarkStart w:id="348" w:name="_Toc507425410"/>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14:paraId="0E26D6A4" w14:textId="587036E6" w:rsidR="00F8788D" w:rsidRPr="00C854E0" w:rsidRDefault="00F8788D" w:rsidP="00F8788D">
      <w:pPr>
        <w:pStyle w:val="Heading3"/>
        <w:numPr>
          <w:ilvl w:val="2"/>
          <w:numId w:val="16"/>
        </w:numPr>
      </w:pPr>
      <w:bookmarkStart w:id="349" w:name="_Toc503782604"/>
      <w:bookmarkStart w:id="350" w:name="_Toc507425411"/>
      <w:r>
        <w:t>Flow calculation between Bidding Zones (BZ)</w:t>
      </w:r>
      <w:bookmarkEnd w:id="349"/>
      <w:bookmarkEnd w:id="350"/>
      <w:r>
        <w:t xml:space="preserve"> </w:t>
      </w:r>
    </w:p>
    <w:p w14:paraId="0305068E" w14:textId="77777777" w:rsidR="00F8788D" w:rsidRDefault="00F8788D" w:rsidP="002414BB">
      <w:pPr>
        <w:jc w:val="both"/>
      </w:pPr>
    </w:p>
    <w:p w14:paraId="72D9392B" w14:textId="77777777" w:rsidR="00F8788D" w:rsidRDefault="00F8788D" w:rsidP="002414BB">
      <w:pPr>
        <w:ind w:firstLine="360"/>
      </w:pPr>
      <w:r>
        <w:t>According art.49 of CACM, e</w:t>
      </w:r>
      <w:r w:rsidRPr="00552C00">
        <w:t xml:space="preserve">ach scheduled exchange calculator shall calculate scheduled exchanges between </w:t>
      </w:r>
      <w:r>
        <w:t>B</w:t>
      </w:r>
      <w:r w:rsidRPr="00552C00">
        <w:t xml:space="preserve">idding </w:t>
      </w:r>
      <w:r>
        <w:t>Z</w:t>
      </w:r>
      <w:r w:rsidRPr="00552C00">
        <w:t xml:space="preserve">ones for each market time unit in accordance with the methodology established </w:t>
      </w:r>
      <w:r>
        <w:t xml:space="preserve">by TSOs </w:t>
      </w:r>
      <w:r w:rsidRPr="00552C00">
        <w:t>in Article 43</w:t>
      </w:r>
      <w:r>
        <w:t>.</w:t>
      </w:r>
    </w:p>
    <w:p w14:paraId="127320AF" w14:textId="77777777" w:rsidR="00F8788D" w:rsidRDefault="00F8788D" w:rsidP="002414BB">
      <w:pPr>
        <w:ind w:firstLine="360"/>
      </w:pPr>
      <w:r>
        <w:t>Actual methodology applied by Euphemia foresees:</w:t>
      </w:r>
    </w:p>
    <w:p w14:paraId="65B99FEE" w14:textId="77777777" w:rsidR="00F8788D" w:rsidRDefault="00F8788D" w:rsidP="002414BB">
      <w:pPr>
        <w:ind w:firstLine="360"/>
      </w:pPr>
    </w:p>
    <w:p w14:paraId="1D395CCF" w14:textId="77777777" w:rsidR="00F8788D" w:rsidRDefault="00F8788D" w:rsidP="00F8788D">
      <w:pPr>
        <w:pStyle w:val="ListParagraph"/>
        <w:numPr>
          <w:ilvl w:val="0"/>
          <w:numId w:val="7"/>
        </w:numPr>
        <w:rPr>
          <w:i/>
        </w:rPr>
      </w:pPr>
      <w:r>
        <w:rPr>
          <w:i/>
        </w:rPr>
        <w:t>Flow calculation between Bidding Zones connected by ATC lines</w:t>
      </w:r>
    </w:p>
    <w:p w14:paraId="3CAA2187" w14:textId="77777777" w:rsidR="00F8788D" w:rsidRDefault="00F8788D" w:rsidP="002414BB">
      <w:pPr>
        <w:pStyle w:val="ListParagraph"/>
        <w:ind w:left="1080"/>
      </w:pPr>
      <w:r>
        <w:t>Given bidding zones net position, several routes could be</w:t>
      </w:r>
    </w:p>
    <w:p w14:paraId="65D517F3" w14:textId="77777777" w:rsidR="00F8788D" w:rsidRDefault="00F8788D" w:rsidP="002414BB">
      <w:pPr>
        <w:pStyle w:val="ListParagraph"/>
        <w:ind w:left="1080"/>
      </w:pPr>
      <w:r>
        <w:t xml:space="preserve">possible. In order to define a unique solution, flows calculation is based on a minimization of the costs associated to ATC lines. </w:t>
      </w:r>
    </w:p>
    <w:p w14:paraId="3B04B24C" w14:textId="77777777" w:rsidR="00F8788D" w:rsidRDefault="00F8788D" w:rsidP="002414BB">
      <w:pPr>
        <w:pStyle w:val="ListParagraph"/>
        <w:ind w:left="1080"/>
      </w:pPr>
      <w:r>
        <w:t>Formula to calculate flows is the following:</w:t>
      </w:r>
    </w:p>
    <w:p w14:paraId="3E38F277" w14:textId="77777777" w:rsidR="00F8788D" w:rsidRDefault="00F8788D" w:rsidP="002414BB">
      <w:pPr>
        <w:pStyle w:val="ListParagraph"/>
        <w:ind w:left="1080"/>
      </w:pPr>
    </w:p>
    <w:p w14:paraId="29BA8571" w14:textId="77777777" w:rsidR="00F8788D" w:rsidRPr="00904858" w:rsidRDefault="00FC1305" w:rsidP="002414BB">
      <w:pPr>
        <w:pStyle w:val="ListParagraph"/>
        <w:ind w:left="1080"/>
        <w:rPr>
          <w:rFonts w:eastAsiaTheme="minorEastAsia"/>
          <w:b/>
          <w:bCs/>
          <w:iCs/>
        </w:rPr>
      </w:pPr>
      <m:oMathPara>
        <m:oMath>
          <m:func>
            <m:funcPr>
              <m:ctrlPr>
                <w:rPr>
                  <w:rFonts w:ascii="Cambria Math" w:hAnsi="Cambria Math"/>
                  <w:b/>
                  <w:bCs/>
                  <w:i/>
                  <w:iCs/>
                </w:rPr>
              </m:ctrlPr>
            </m:funcPr>
            <m:fName>
              <m:r>
                <m:rPr>
                  <m:sty m:val="b"/>
                </m:rPr>
                <w:rPr>
                  <w:rFonts w:ascii="Cambria Math" w:hAnsi="Cambria Math"/>
                </w:rPr>
                <m:t>min</m:t>
              </m:r>
            </m:fName>
            <m:e>
              <m:d>
                <m:dPr>
                  <m:ctrlPr>
                    <w:rPr>
                      <w:rFonts w:ascii="Cambria Math" w:hAnsi="Cambria Math"/>
                      <w:b/>
                      <w:bCs/>
                      <w:i/>
                      <w:iCs/>
                    </w:rPr>
                  </m:ctrlPr>
                </m:dPr>
                <m:e>
                  <m:nary>
                    <m:naryPr>
                      <m:chr m:val="∑"/>
                      <m:subHide m:val="1"/>
                      <m:supHide m:val="1"/>
                      <m:ctrlPr>
                        <w:rPr>
                          <w:rFonts w:ascii="Cambria Math" w:hAnsi="Cambria Math"/>
                          <w:b/>
                          <w:bCs/>
                          <w:i/>
                          <w:iCs/>
                        </w:rPr>
                      </m:ctrlPr>
                    </m:naryPr>
                    <m:sub/>
                    <m:sup/>
                    <m:e>
                      <m:sSub>
                        <m:sSubPr>
                          <m:ctrlPr>
                            <w:rPr>
                              <w:rFonts w:ascii="Cambria Math" w:hAnsi="Cambria Math"/>
                              <w:b/>
                              <w:bCs/>
                              <w:i/>
                              <w:iCs/>
                            </w:rPr>
                          </m:ctrlPr>
                        </m:sSubPr>
                        <m:e>
                          <m:r>
                            <m:rPr>
                              <m:sty m:val="bi"/>
                            </m:rPr>
                            <w:rPr>
                              <w:rFonts w:ascii="Cambria Math" w:hAnsi="Cambria Math"/>
                            </w:rPr>
                            <m:t>lc</m:t>
                          </m:r>
                        </m:e>
                        <m:sub>
                          <m:r>
                            <m:rPr>
                              <m:sty m:val="bi"/>
                            </m:rPr>
                            <w:rPr>
                              <w:rFonts w:ascii="Cambria Math" w:hAnsi="Cambria Math"/>
                            </w:rPr>
                            <m:t>i,h</m:t>
                          </m:r>
                        </m:sub>
                      </m:sSub>
                      <m:sSub>
                        <m:sSubPr>
                          <m:ctrlPr>
                            <w:rPr>
                              <w:rFonts w:ascii="Cambria Math" w:hAnsi="Cambria Math"/>
                              <w:b/>
                              <w:bCs/>
                              <w:i/>
                              <w:iCs/>
                            </w:rPr>
                          </m:ctrlPr>
                        </m:sSubPr>
                        <m:e>
                          <m:r>
                            <m:rPr>
                              <m:sty m:val="bi"/>
                            </m:rPr>
                            <w:rPr>
                              <w:rFonts w:ascii="Cambria Math" w:hAnsi="Cambria Math"/>
                            </w:rPr>
                            <m:t>φ</m:t>
                          </m:r>
                        </m:e>
                        <m:sub>
                          <m:r>
                            <m:rPr>
                              <m:sty m:val="bi"/>
                            </m:rPr>
                            <w:rPr>
                              <w:rFonts w:ascii="Cambria Math" w:hAnsi="Cambria Math"/>
                            </w:rPr>
                            <m:t>i,h</m:t>
                          </m:r>
                        </m:sub>
                      </m:sSub>
                      <m:r>
                        <m:rPr>
                          <m:sty m:val="bi"/>
                        </m:rPr>
                        <w:rPr>
                          <w:rFonts w:ascii="Cambria Math" w:hAnsi="Cambria Math"/>
                        </w:rPr>
                        <m:t>+</m:t>
                      </m:r>
                    </m:e>
                  </m:nary>
                  <m:nary>
                    <m:naryPr>
                      <m:chr m:val="∑"/>
                      <m:subHide m:val="1"/>
                      <m:supHide m:val="1"/>
                      <m:ctrlPr>
                        <w:rPr>
                          <w:rFonts w:ascii="Cambria Math" w:hAnsi="Cambria Math"/>
                          <w:b/>
                          <w:bCs/>
                          <w:i/>
                          <w:iCs/>
                        </w:rPr>
                      </m:ctrlPr>
                    </m:naryPr>
                    <m:sub/>
                    <m:sup/>
                    <m:e>
                      <m:sSub>
                        <m:sSubPr>
                          <m:ctrlPr>
                            <w:rPr>
                              <w:rFonts w:ascii="Cambria Math" w:hAnsi="Cambria Math"/>
                              <w:b/>
                              <w:bCs/>
                              <w:i/>
                              <w:iCs/>
                            </w:rPr>
                          </m:ctrlPr>
                        </m:sSubPr>
                        <m:e>
                          <m:r>
                            <m:rPr>
                              <m:sty m:val="bi"/>
                            </m:rPr>
                            <w:rPr>
                              <w:rFonts w:ascii="Cambria Math" w:hAnsi="Cambria Math"/>
                            </w:rPr>
                            <m:t>qc</m:t>
                          </m:r>
                        </m:e>
                        <m:sub>
                          <m:r>
                            <m:rPr>
                              <m:sty m:val="bi"/>
                            </m:rPr>
                            <w:rPr>
                              <w:rFonts w:ascii="Cambria Math" w:hAnsi="Cambria Math"/>
                            </w:rPr>
                            <m:t>i,h</m:t>
                          </m:r>
                        </m:sub>
                      </m:sSub>
                      <m:sSubSup>
                        <m:sSubSupPr>
                          <m:ctrlPr>
                            <w:rPr>
                              <w:rFonts w:ascii="Cambria Math" w:hAnsi="Cambria Math"/>
                              <w:b/>
                              <w:bCs/>
                              <w:i/>
                              <w:iCs/>
                            </w:rPr>
                          </m:ctrlPr>
                        </m:sSubSupPr>
                        <m:e>
                          <m:r>
                            <m:rPr>
                              <m:sty m:val="bi"/>
                            </m:rPr>
                            <w:rPr>
                              <w:rFonts w:ascii="Cambria Math" w:hAnsi="Cambria Math"/>
                            </w:rPr>
                            <m:t>φ</m:t>
                          </m:r>
                        </m:e>
                        <m:sub>
                          <m:r>
                            <m:rPr>
                              <m:sty m:val="bi"/>
                            </m:rPr>
                            <w:rPr>
                              <w:rFonts w:ascii="Cambria Math" w:hAnsi="Cambria Math"/>
                            </w:rPr>
                            <m:t>i,h</m:t>
                          </m:r>
                        </m:sub>
                        <m:sup>
                          <m:r>
                            <m:rPr>
                              <m:sty m:val="bi"/>
                            </m:rPr>
                            <w:rPr>
                              <w:rFonts w:ascii="Cambria Math" w:hAnsi="Cambria Math"/>
                            </w:rPr>
                            <m:t>2</m:t>
                          </m:r>
                        </m:sup>
                      </m:sSubSup>
                    </m:e>
                  </m:nary>
                </m:e>
              </m:d>
            </m:e>
          </m:func>
        </m:oMath>
      </m:oMathPara>
    </w:p>
    <w:p w14:paraId="739DFB17" w14:textId="77777777" w:rsidR="00F8788D" w:rsidRDefault="00F8788D" w:rsidP="002414BB">
      <w:pPr>
        <w:pStyle w:val="ListParagraph"/>
        <w:ind w:left="1080"/>
      </w:pPr>
    </w:p>
    <w:p w14:paraId="0EB6A6A8" w14:textId="77777777" w:rsidR="00F8788D" w:rsidRDefault="00F8788D" w:rsidP="002414BB">
      <w:pPr>
        <w:pStyle w:val="ListParagraph"/>
        <w:ind w:left="1080"/>
      </w:pPr>
      <w:r>
        <w:t>With:</w:t>
      </w:r>
    </w:p>
    <w:p w14:paraId="102433E8" w14:textId="77777777" w:rsidR="00F8788D" w:rsidRPr="008614C9" w:rsidRDefault="00FC1305" w:rsidP="00F8788D">
      <w:pPr>
        <w:pStyle w:val="ListParagraph"/>
        <w:numPr>
          <w:ilvl w:val="2"/>
          <w:numId w:val="8"/>
        </w:numPr>
      </w:pPr>
      <m:oMath>
        <m:sSub>
          <m:sSubPr>
            <m:ctrlPr>
              <w:rPr>
                <w:rFonts w:ascii="Cambria Math" w:hAnsi="Cambria Math"/>
                <w:i/>
                <w:iCs/>
                <w:lang w:val="it-IT"/>
              </w:rPr>
            </m:ctrlPr>
          </m:sSubPr>
          <m:e>
            <m:r>
              <w:rPr>
                <w:rFonts w:ascii="Cambria Math" w:hAnsi="Cambria Math"/>
                <w:lang w:val="it-IT"/>
              </w:rPr>
              <m:t>lc</m:t>
            </m:r>
          </m:e>
          <m:sub>
            <m:r>
              <w:rPr>
                <w:rFonts w:ascii="Cambria Math" w:hAnsi="Cambria Math"/>
                <w:lang w:val="it-IT"/>
              </w:rPr>
              <m:t>i</m:t>
            </m:r>
            <m:r>
              <w:rPr>
                <w:rFonts w:ascii="Cambria Math" w:hAnsi="Cambria Math"/>
              </w:rPr>
              <m:t>,h</m:t>
            </m:r>
          </m:sub>
        </m:sSub>
      </m:oMath>
      <w:r w:rsidR="00F8788D" w:rsidRPr="008614C9">
        <w:t>= linear cost associated to line i for period h</w:t>
      </w:r>
    </w:p>
    <w:p w14:paraId="57E7F996" w14:textId="77777777" w:rsidR="00F8788D" w:rsidRPr="008614C9" w:rsidRDefault="00FC1305" w:rsidP="00F8788D">
      <w:pPr>
        <w:pStyle w:val="ListParagraph"/>
        <w:numPr>
          <w:ilvl w:val="2"/>
          <w:numId w:val="8"/>
        </w:numPr>
      </w:pPr>
      <m:oMath>
        <m:sSub>
          <m:sSubPr>
            <m:ctrlPr>
              <w:rPr>
                <w:rFonts w:ascii="Cambria Math" w:hAnsi="Cambria Math"/>
                <w:i/>
                <w:iCs/>
                <w:lang w:val="it-IT"/>
              </w:rPr>
            </m:ctrlPr>
          </m:sSubPr>
          <m:e>
            <m:r>
              <w:rPr>
                <w:rFonts w:ascii="Cambria Math" w:hAnsi="Cambria Math"/>
                <w:lang w:val="it-IT"/>
              </w:rPr>
              <m:t>qc</m:t>
            </m:r>
          </m:e>
          <m:sub>
            <m:r>
              <w:rPr>
                <w:rFonts w:ascii="Cambria Math" w:hAnsi="Cambria Math"/>
                <w:lang w:val="it-IT"/>
              </w:rPr>
              <m:t>i</m:t>
            </m:r>
            <m:r>
              <w:rPr>
                <w:rFonts w:ascii="Cambria Math" w:hAnsi="Cambria Math"/>
              </w:rPr>
              <m:t>,h</m:t>
            </m:r>
          </m:sub>
        </m:sSub>
      </m:oMath>
      <w:r w:rsidR="00F8788D" w:rsidRPr="008614C9">
        <w:t xml:space="preserve"> = quadratic cost associated to line i for period h</w:t>
      </w:r>
    </w:p>
    <w:p w14:paraId="795ED312" w14:textId="77777777" w:rsidR="00F8788D" w:rsidRPr="008614C9" w:rsidRDefault="00FC1305" w:rsidP="00F8788D">
      <w:pPr>
        <w:pStyle w:val="ListParagraph"/>
        <w:numPr>
          <w:ilvl w:val="2"/>
          <w:numId w:val="8"/>
        </w:numPr>
      </w:pPr>
      <m:oMath>
        <m:sSub>
          <m:sSubPr>
            <m:ctrlPr>
              <w:rPr>
                <w:rFonts w:ascii="Cambria Math" w:hAnsi="Cambria Math"/>
                <w:i/>
                <w:iCs/>
                <w:lang w:val="it-IT"/>
              </w:rPr>
            </m:ctrlPr>
          </m:sSubPr>
          <m:e>
            <m:r>
              <w:rPr>
                <w:rFonts w:ascii="Cambria Math" w:hAnsi="Cambria Math"/>
                <w:lang w:val="it-IT"/>
              </w:rPr>
              <m:t>φ</m:t>
            </m:r>
          </m:e>
          <m:sub>
            <m:r>
              <w:rPr>
                <w:rFonts w:ascii="Cambria Math" w:hAnsi="Cambria Math"/>
                <w:lang w:val="it-IT"/>
              </w:rPr>
              <m:t>i</m:t>
            </m:r>
            <m:r>
              <w:rPr>
                <w:rFonts w:ascii="Cambria Math" w:hAnsi="Cambria Math"/>
              </w:rPr>
              <m:t>,h</m:t>
            </m:r>
          </m:sub>
        </m:sSub>
        <m:r>
          <m:rPr>
            <m:nor/>
          </m:rPr>
          <m:t>= flow on line i for period h</m:t>
        </m:r>
      </m:oMath>
    </w:p>
    <w:p w14:paraId="45D442BD" w14:textId="77777777" w:rsidR="00F8788D" w:rsidRDefault="00F8788D" w:rsidP="002414BB">
      <w:pPr>
        <w:ind w:left="1080"/>
        <w:rPr>
          <w:lang w:val="it-IT"/>
        </w:rPr>
      </w:pPr>
      <w:r>
        <w:rPr>
          <w:lang w:val="it-IT"/>
        </w:rPr>
        <w:t xml:space="preserve">An example: </w:t>
      </w:r>
    </w:p>
    <w:p w14:paraId="7B112765" w14:textId="77777777" w:rsidR="00F8788D" w:rsidRDefault="00F8788D" w:rsidP="002414BB">
      <w:pPr>
        <w:ind w:left="1080"/>
        <w:rPr>
          <w:lang w:val="it-IT"/>
        </w:rPr>
      </w:pPr>
    </w:p>
    <w:p w14:paraId="5C214C9E" w14:textId="77777777" w:rsidR="00F8788D" w:rsidRDefault="00F8788D" w:rsidP="002414BB">
      <w:pPr>
        <w:ind w:left="1080"/>
        <w:rPr>
          <w:lang w:val="it-IT"/>
        </w:rPr>
      </w:pPr>
      <w:r w:rsidRPr="00904858">
        <w:rPr>
          <w:noProof/>
          <w:lang w:val="en-US" w:eastAsia="en-US"/>
        </w:rPr>
        <w:drawing>
          <wp:inline distT="0" distB="0" distL="0" distR="0" wp14:anchorId="3F375A1E" wp14:editId="4988F4B5">
            <wp:extent cx="2781300" cy="1963271"/>
            <wp:effectExtent l="0" t="0" r="0" b="0"/>
            <wp:docPr id="1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83046" cy="1964504"/>
                    </a:xfrm>
                    <a:prstGeom prst="rect">
                      <a:avLst/>
                    </a:prstGeom>
                    <a:noFill/>
                    <a:ln>
                      <a:noFill/>
                    </a:ln>
                  </pic:spPr>
                </pic:pic>
              </a:graphicData>
            </a:graphic>
          </wp:inline>
        </w:drawing>
      </w:r>
    </w:p>
    <w:p w14:paraId="04853E37" w14:textId="73716FC5" w:rsidR="00F8788D" w:rsidRPr="008614C9" w:rsidRDefault="00F8788D" w:rsidP="002414BB">
      <w:pPr>
        <w:ind w:left="1080"/>
      </w:pPr>
      <w:r w:rsidRPr="008614C9">
        <w:t>Being NP the net position of Bidding Zone A, B, C and D, the flows will be the following:</w:t>
      </w:r>
    </w:p>
    <w:p w14:paraId="06B07E47" w14:textId="77777777" w:rsidR="00F8788D" w:rsidRDefault="00F8788D" w:rsidP="00F8788D">
      <w:pPr>
        <w:pStyle w:val="ListParagraph"/>
        <w:numPr>
          <w:ilvl w:val="2"/>
          <w:numId w:val="8"/>
        </w:numPr>
        <w:rPr>
          <w:lang w:val="it-IT"/>
        </w:rPr>
      </w:pPr>
      <w:r>
        <w:rPr>
          <w:lang w:val="it-IT"/>
        </w:rPr>
        <w:t>φ</w:t>
      </w:r>
      <w:r w:rsidRPr="00DC031F">
        <w:rPr>
          <w:vertAlign w:val="subscript"/>
          <w:lang w:val="it-IT"/>
        </w:rPr>
        <w:t>B→C</w:t>
      </w:r>
      <w:r>
        <w:rPr>
          <w:lang w:val="it-IT"/>
        </w:rPr>
        <w:t>= 12 MWh</w:t>
      </w:r>
    </w:p>
    <w:p w14:paraId="3BE92968" w14:textId="77777777" w:rsidR="00F8788D" w:rsidRDefault="00F8788D" w:rsidP="00F8788D">
      <w:pPr>
        <w:pStyle w:val="ListParagraph"/>
        <w:numPr>
          <w:ilvl w:val="2"/>
          <w:numId w:val="8"/>
        </w:numPr>
        <w:rPr>
          <w:lang w:val="it-IT"/>
        </w:rPr>
      </w:pPr>
      <w:r>
        <w:rPr>
          <w:lang w:val="it-IT"/>
        </w:rPr>
        <w:t>φ</w:t>
      </w:r>
      <w:r>
        <w:rPr>
          <w:vertAlign w:val="subscript"/>
          <w:lang w:val="it-IT"/>
        </w:rPr>
        <w:t>C</w:t>
      </w:r>
      <w:r w:rsidRPr="00DC031F">
        <w:rPr>
          <w:vertAlign w:val="subscript"/>
          <w:lang w:val="it-IT"/>
        </w:rPr>
        <w:t>→</w:t>
      </w:r>
      <w:r>
        <w:rPr>
          <w:vertAlign w:val="subscript"/>
          <w:lang w:val="it-IT"/>
        </w:rPr>
        <w:t>D</w:t>
      </w:r>
      <w:r>
        <w:rPr>
          <w:lang w:val="it-IT"/>
        </w:rPr>
        <w:t>= 12 MWh</w:t>
      </w:r>
    </w:p>
    <w:p w14:paraId="7AE65CC9" w14:textId="77777777" w:rsidR="00F8788D" w:rsidRDefault="00F8788D" w:rsidP="00F8788D">
      <w:pPr>
        <w:pStyle w:val="ListParagraph"/>
        <w:numPr>
          <w:ilvl w:val="2"/>
          <w:numId w:val="8"/>
        </w:numPr>
        <w:rPr>
          <w:lang w:val="it-IT"/>
        </w:rPr>
      </w:pPr>
      <w:r>
        <w:rPr>
          <w:lang w:val="it-IT"/>
        </w:rPr>
        <w:t>φ</w:t>
      </w:r>
      <w:r>
        <w:rPr>
          <w:vertAlign w:val="subscript"/>
          <w:lang w:val="it-IT"/>
        </w:rPr>
        <w:t>B</w:t>
      </w:r>
      <w:r w:rsidRPr="00DC031F">
        <w:rPr>
          <w:vertAlign w:val="subscript"/>
          <w:lang w:val="it-IT"/>
        </w:rPr>
        <w:t>→</w:t>
      </w:r>
      <w:r>
        <w:rPr>
          <w:vertAlign w:val="subscript"/>
          <w:lang w:val="it-IT"/>
        </w:rPr>
        <w:t>A</w:t>
      </w:r>
      <w:r>
        <w:rPr>
          <w:lang w:val="it-IT"/>
        </w:rPr>
        <w:t>= 3 MWh</w:t>
      </w:r>
    </w:p>
    <w:p w14:paraId="72827B56" w14:textId="77777777" w:rsidR="00F8788D" w:rsidRDefault="00F8788D" w:rsidP="00F8788D">
      <w:pPr>
        <w:pStyle w:val="ListParagraph"/>
        <w:numPr>
          <w:ilvl w:val="2"/>
          <w:numId w:val="8"/>
        </w:numPr>
        <w:rPr>
          <w:lang w:val="it-IT"/>
        </w:rPr>
      </w:pPr>
      <w:r>
        <w:rPr>
          <w:lang w:val="it-IT"/>
        </w:rPr>
        <w:t>φ</w:t>
      </w:r>
      <w:r>
        <w:rPr>
          <w:vertAlign w:val="subscript"/>
          <w:lang w:val="it-IT"/>
        </w:rPr>
        <w:t>A</w:t>
      </w:r>
      <w:r w:rsidRPr="00DC031F">
        <w:rPr>
          <w:vertAlign w:val="subscript"/>
          <w:lang w:val="it-IT"/>
        </w:rPr>
        <w:t>→</w:t>
      </w:r>
      <w:r>
        <w:rPr>
          <w:vertAlign w:val="subscript"/>
          <w:lang w:val="it-IT"/>
        </w:rPr>
        <w:t>D</w:t>
      </w:r>
      <w:r>
        <w:rPr>
          <w:lang w:val="it-IT"/>
        </w:rPr>
        <w:t>= 3 MWh</w:t>
      </w:r>
    </w:p>
    <w:p w14:paraId="12C276E0" w14:textId="77777777" w:rsidR="00F8788D" w:rsidRPr="00FD3FB2" w:rsidRDefault="00F8788D" w:rsidP="002414BB">
      <w:pPr>
        <w:pStyle w:val="ListParagraph"/>
        <w:ind w:left="1080"/>
      </w:pPr>
    </w:p>
    <w:p w14:paraId="495720C1" w14:textId="77777777" w:rsidR="00F8788D" w:rsidRDefault="00F8788D" w:rsidP="00F8788D">
      <w:pPr>
        <w:pStyle w:val="ListParagraph"/>
        <w:numPr>
          <w:ilvl w:val="0"/>
          <w:numId w:val="7"/>
        </w:numPr>
        <w:rPr>
          <w:i/>
        </w:rPr>
      </w:pPr>
      <w:r>
        <w:rPr>
          <w:i/>
        </w:rPr>
        <w:t>Flow calculation between Bidding Zones belonging to a flow based (FB) grid</w:t>
      </w:r>
    </w:p>
    <w:p w14:paraId="2E905A7D" w14:textId="77777777" w:rsidR="00F8788D" w:rsidRDefault="00F8788D" w:rsidP="002414BB">
      <w:pPr>
        <w:pStyle w:val="ListParagraph"/>
        <w:ind w:left="1080"/>
      </w:pPr>
      <w:r>
        <w:t xml:space="preserve">Flow based constraints allow TSOs to reflect network constraint by providing a </w:t>
      </w:r>
      <w:r w:rsidRPr="00097CE3">
        <w:t>Power Transfer Distribution Factor</w:t>
      </w:r>
      <w:r>
        <w:t xml:space="preserve"> (PTDF) matrix and constraining their usage:</w:t>
      </w:r>
    </w:p>
    <w:p w14:paraId="72EC4719" w14:textId="77777777" w:rsidR="00F8788D" w:rsidRDefault="00FC1305" w:rsidP="002414BB">
      <w:pPr>
        <w:pStyle w:val="ListParagraph"/>
        <w:ind w:left="1080"/>
      </w:pPr>
      <m:oMathPara>
        <m:oMath>
          <m:nary>
            <m:naryPr>
              <m:chr m:val="∑"/>
              <m:subHide m:val="1"/>
              <m:supHide m:val="1"/>
              <m:ctrlPr>
                <w:rPr>
                  <w:rFonts w:ascii="Cambria Math" w:hAnsi="Cambria Math"/>
                  <w:b/>
                  <w:bCs/>
                  <w:i/>
                  <w:iCs/>
                </w:rPr>
              </m:ctrlPr>
            </m:naryPr>
            <m:sub/>
            <m:sup/>
            <m:e>
              <m:sSub>
                <m:sSubPr>
                  <m:ctrlPr>
                    <w:rPr>
                      <w:rFonts w:ascii="Cambria Math" w:hAnsi="Cambria Math"/>
                      <w:b/>
                      <w:bCs/>
                      <w:i/>
                      <w:iCs/>
                    </w:rPr>
                  </m:ctrlPr>
                </m:sSubPr>
                <m:e>
                  <m:r>
                    <m:rPr>
                      <m:sty m:val="bi"/>
                    </m:rPr>
                    <w:rPr>
                      <w:rFonts w:ascii="Cambria Math" w:hAnsi="Cambria Math"/>
                    </w:rPr>
                    <m:t>PTDF</m:t>
                  </m:r>
                </m:e>
                <m:sub>
                  <m:r>
                    <m:rPr>
                      <m:sty m:val="bi"/>
                    </m:rPr>
                    <w:rPr>
                      <w:rFonts w:ascii="Cambria Math" w:hAnsi="Cambria Math"/>
                    </w:rPr>
                    <m:t>z,h,i</m:t>
                  </m:r>
                </m:sub>
              </m:sSub>
              <m:sSub>
                <m:sSubPr>
                  <m:ctrlPr>
                    <w:rPr>
                      <w:rFonts w:ascii="Cambria Math" w:hAnsi="Cambria Math"/>
                      <w:b/>
                      <w:bCs/>
                      <w:i/>
                      <w:iCs/>
                    </w:rPr>
                  </m:ctrlPr>
                </m:sSubPr>
                <m:e>
                  <m:r>
                    <m:rPr>
                      <m:sty m:val="bi"/>
                    </m:rPr>
                    <w:rPr>
                      <w:rFonts w:ascii="Cambria Math" w:hAnsi="Cambria Math"/>
                    </w:rPr>
                    <m:t>NP</m:t>
                  </m:r>
                </m:e>
                <m:sub>
                  <m:r>
                    <m:rPr>
                      <m:sty m:val="bi"/>
                    </m:rPr>
                    <w:rPr>
                      <w:rFonts w:ascii="Cambria Math" w:hAnsi="Cambria Math"/>
                    </w:rPr>
                    <m:t>z,h</m:t>
                  </m:r>
                </m:sub>
              </m:sSub>
              <m:r>
                <m:rPr>
                  <m:sty m:val="bi"/>
                </m:rPr>
                <w:rPr>
                  <w:rFonts w:ascii="Cambria Math" w:hAnsi="Cambria Math"/>
                </w:rPr>
                <m:t>≤</m:t>
              </m:r>
              <m:sSub>
                <m:sSubPr>
                  <m:ctrlPr>
                    <w:rPr>
                      <w:rFonts w:ascii="Cambria Math" w:hAnsi="Cambria Math"/>
                      <w:b/>
                      <w:i/>
                    </w:rPr>
                  </m:ctrlPr>
                </m:sSubPr>
                <m:e>
                  <m:r>
                    <m:rPr>
                      <m:sty m:val="bi"/>
                    </m:rPr>
                    <w:rPr>
                      <w:rFonts w:ascii="Cambria Math" w:hAnsi="Cambria Math"/>
                    </w:rPr>
                    <m:t>RAM</m:t>
                  </m:r>
                </m:e>
                <m:sub>
                  <m:r>
                    <m:rPr>
                      <m:sty m:val="bi"/>
                    </m:rPr>
                    <w:rPr>
                      <w:rFonts w:ascii="Cambria Math" w:hAnsi="Cambria Math"/>
                    </w:rPr>
                    <m:t>h,i</m:t>
                  </m:r>
                </m:sub>
              </m:sSub>
            </m:e>
          </m:nary>
        </m:oMath>
      </m:oMathPara>
    </w:p>
    <w:p w14:paraId="6D70742E" w14:textId="77777777" w:rsidR="00F8788D" w:rsidRDefault="00F8788D" w:rsidP="002414BB">
      <w:pPr>
        <w:pStyle w:val="ListParagraph"/>
        <w:ind w:left="1080"/>
      </w:pPr>
    </w:p>
    <w:p w14:paraId="0E25EA59" w14:textId="77777777" w:rsidR="00F8788D" w:rsidRPr="00097CE3" w:rsidRDefault="00F8788D" w:rsidP="002414BB">
      <w:pPr>
        <w:pStyle w:val="ListParagraph"/>
        <w:ind w:left="1080"/>
      </w:pPr>
    </w:p>
    <w:p w14:paraId="5F9BFF85" w14:textId="77777777" w:rsidR="00F8788D" w:rsidRDefault="00F8788D" w:rsidP="002414BB">
      <w:pPr>
        <w:pStyle w:val="ListParagraph"/>
        <w:ind w:left="1080"/>
      </w:pPr>
      <w:r>
        <w:t>With:</w:t>
      </w:r>
    </w:p>
    <w:p w14:paraId="7EA66B14" w14:textId="77777777" w:rsidR="00F8788D" w:rsidRPr="008614C9" w:rsidRDefault="00FC1305" w:rsidP="00F8788D">
      <w:pPr>
        <w:pStyle w:val="ListParagraph"/>
        <w:numPr>
          <w:ilvl w:val="2"/>
          <w:numId w:val="8"/>
        </w:numPr>
      </w:pPr>
      <m:oMath>
        <m:sSub>
          <m:sSubPr>
            <m:ctrlPr>
              <w:rPr>
                <w:rFonts w:ascii="Cambria Math" w:hAnsi="Cambria Math"/>
                <w:i/>
                <w:iCs/>
                <w:lang w:val="it-IT"/>
              </w:rPr>
            </m:ctrlPr>
          </m:sSubPr>
          <m:e>
            <m:r>
              <w:rPr>
                <w:rFonts w:ascii="Cambria Math" w:hAnsi="Cambria Math"/>
                <w:lang w:val="it-IT"/>
              </w:rPr>
              <m:t>PTDF</m:t>
            </m:r>
          </m:e>
          <m:sub>
            <m:r>
              <w:rPr>
                <w:rFonts w:ascii="Cambria Math" w:hAnsi="Cambria Math"/>
                <w:lang w:val="it-IT"/>
              </w:rPr>
              <m:t>z</m:t>
            </m:r>
            <m:r>
              <w:rPr>
                <w:rFonts w:ascii="Cambria Math" w:hAnsi="Cambria Math"/>
              </w:rPr>
              <m:t>,</m:t>
            </m:r>
            <m:r>
              <w:rPr>
                <w:rFonts w:ascii="Cambria Math" w:hAnsi="Cambria Math"/>
                <w:lang w:val="it-IT"/>
              </w:rPr>
              <m:t>i</m:t>
            </m:r>
            <m:r>
              <w:rPr>
                <w:rFonts w:ascii="Cambria Math" w:hAnsi="Cambria Math"/>
              </w:rPr>
              <m:t>,h</m:t>
            </m:r>
          </m:sub>
        </m:sSub>
      </m:oMath>
      <w:r w:rsidR="00F8788D" w:rsidRPr="008614C9">
        <w:t xml:space="preserve">= Impact of an injection of 1 MWh in the Bidding Zone Z on period h on the </w:t>
      </w:r>
      <w:r w:rsidR="00F8788D">
        <w:t>critical branch or critical outage</w:t>
      </w:r>
      <w:r w:rsidR="00F8788D" w:rsidRPr="008614C9">
        <w:t xml:space="preserve"> i</w:t>
      </w:r>
    </w:p>
    <w:p w14:paraId="5166CF55" w14:textId="7153F1C2" w:rsidR="00F8788D" w:rsidRPr="008614C9" w:rsidRDefault="00FC1305" w:rsidP="00F8788D">
      <w:pPr>
        <w:pStyle w:val="ListParagraph"/>
        <w:numPr>
          <w:ilvl w:val="2"/>
          <w:numId w:val="8"/>
        </w:numPr>
      </w:pPr>
      <m:oMath>
        <m:sSubSup>
          <m:sSubSupPr>
            <m:ctrlPr>
              <w:rPr>
                <w:rFonts w:ascii="Cambria Math" w:hAnsi="Cambria Math"/>
                <w:i/>
                <w:iCs/>
                <w:lang w:val="it-IT"/>
              </w:rPr>
            </m:ctrlPr>
          </m:sSubSupPr>
          <m:e>
            <m:r>
              <w:rPr>
                <w:rFonts w:ascii="Cambria Math" w:hAnsi="Cambria Math"/>
                <w:lang w:val="it-IT"/>
              </w:rPr>
              <m:t>NP</m:t>
            </m:r>
          </m:e>
          <m:sub>
            <m:r>
              <w:rPr>
                <w:rFonts w:ascii="Cambria Math" w:hAnsi="Cambria Math"/>
                <w:lang w:val="it-IT"/>
              </w:rPr>
              <m:t>z,h</m:t>
            </m:r>
          </m:sub>
          <m:sup>
            <m:r>
              <w:rPr>
                <w:rFonts w:ascii="Cambria Math" w:hAnsi="Cambria Math"/>
                <w:lang w:val="it-IT"/>
              </w:rPr>
              <m:t>FB</m:t>
            </m:r>
          </m:sup>
        </m:sSubSup>
      </m:oMath>
      <w:r w:rsidR="00F8788D" w:rsidRPr="008614C9">
        <w:t xml:space="preserve"> Net position of Bidding Zone z in the period h</w:t>
      </w:r>
      <w:r w:rsidR="00F8788D">
        <w:t xml:space="preserve"> for the FB region. The zones total net position is </w:t>
      </w:r>
      <m:oMath>
        <m:sSubSup>
          <m:sSubSupPr>
            <m:ctrlPr>
              <w:rPr>
                <w:rFonts w:ascii="Cambria Math" w:hAnsi="Cambria Math"/>
                <w:i/>
                <w:iCs/>
                <w:lang w:val="it-IT"/>
              </w:rPr>
            </m:ctrlPr>
          </m:sSubSupPr>
          <m:e>
            <m:r>
              <w:rPr>
                <w:rFonts w:ascii="Cambria Math" w:hAnsi="Cambria Math"/>
                <w:lang w:val="it-IT"/>
              </w:rPr>
              <m:t>NP</m:t>
            </m:r>
          </m:e>
          <m:sub>
            <m:r>
              <w:rPr>
                <w:rFonts w:ascii="Cambria Math" w:hAnsi="Cambria Math"/>
                <w:lang w:val="it-IT"/>
              </w:rPr>
              <m:t>z,h</m:t>
            </m:r>
          </m:sub>
          <m:sup>
            <m:r>
              <w:rPr>
                <w:rFonts w:ascii="Cambria Math" w:hAnsi="Cambria Math"/>
                <w:lang w:val="it-IT"/>
              </w:rPr>
              <m:t>FB</m:t>
            </m:r>
          </m:sup>
        </m:sSubSup>
      </m:oMath>
      <w:r w:rsidR="00F8788D" w:rsidRPr="008614C9">
        <w:t xml:space="preserve"> </w:t>
      </w:r>
      <w:r w:rsidR="00F8788D">
        <w:t>+ all outgoing ATC line flows – all incoming ATC line flows</w:t>
      </w:r>
    </w:p>
    <w:p w14:paraId="702CCD76" w14:textId="77777777" w:rsidR="00F8788D" w:rsidRPr="008614C9" w:rsidRDefault="00FC1305" w:rsidP="00F8788D">
      <w:pPr>
        <w:pStyle w:val="ListParagraph"/>
        <w:numPr>
          <w:ilvl w:val="2"/>
          <w:numId w:val="8"/>
        </w:numPr>
      </w:pPr>
      <m:oMath>
        <m:sSub>
          <m:sSubPr>
            <m:ctrlPr>
              <w:rPr>
                <w:rFonts w:ascii="Cambria Math" w:hAnsi="Cambria Math"/>
                <w:i/>
                <w:iCs/>
                <w:lang w:val="it-IT"/>
              </w:rPr>
            </m:ctrlPr>
          </m:sSubPr>
          <m:e>
            <m:r>
              <w:rPr>
                <w:rFonts w:ascii="Cambria Math" w:hAnsi="Cambria Math"/>
                <w:lang w:val="it-IT"/>
              </w:rPr>
              <m:t>RAM</m:t>
            </m:r>
          </m:e>
          <m:sub>
            <m:r>
              <w:rPr>
                <w:rFonts w:ascii="Cambria Math" w:hAnsi="Cambria Math"/>
                <w:lang w:val="it-IT"/>
              </w:rPr>
              <m:t>i</m:t>
            </m:r>
            <m:r>
              <w:rPr>
                <w:rFonts w:ascii="Cambria Math" w:hAnsi="Cambria Math"/>
              </w:rPr>
              <m:t>,h</m:t>
            </m:r>
          </m:sub>
        </m:sSub>
        <m:r>
          <m:rPr>
            <m:nor/>
          </m:rPr>
          <m:t>= </m:t>
        </m:r>
        <m:r>
          <m:rPr>
            <m:nor/>
          </m:rPr>
          <w:rPr>
            <w:rFonts w:ascii="Cambria Math"/>
          </w:rPr>
          <m:t>remaining available marging</m:t>
        </m:r>
        <m:r>
          <m:rPr>
            <m:nor/>
          </m:rPr>
          <m:t xml:space="preserve"> on </m:t>
        </m:r>
        <m:r>
          <m:rPr>
            <m:nor/>
          </m:rPr>
          <w:rPr>
            <w:rFonts w:ascii="Cambria Math"/>
          </w:rPr>
          <m:t xml:space="preserve">critical branch or critical outage </m:t>
        </m:r>
        <m:r>
          <m:rPr>
            <m:nor/>
          </m:rPr>
          <m:t>i for period h</m:t>
        </m:r>
      </m:oMath>
    </w:p>
    <w:p w14:paraId="01D3230E" w14:textId="77777777" w:rsidR="00F8788D" w:rsidRPr="008614C9" w:rsidRDefault="00F8788D" w:rsidP="002414BB">
      <w:pPr>
        <w:ind w:left="720" w:firstLine="360"/>
      </w:pPr>
    </w:p>
    <w:p w14:paraId="1BF474E1" w14:textId="77777777" w:rsidR="00F8788D" w:rsidRDefault="00F8788D" w:rsidP="002414BB">
      <w:pPr>
        <w:pStyle w:val="ListParagraph"/>
        <w:ind w:left="1080"/>
        <w:rPr>
          <w:rFonts w:eastAsia="MS Mincho"/>
          <w:iCs/>
          <w:lang w:val="it-IT"/>
        </w:rPr>
      </w:pPr>
      <w:r w:rsidRPr="00995523">
        <w:t>Parameters</w:t>
      </w:r>
      <w:r w:rsidRPr="00995523">
        <w:rPr>
          <w:rFonts w:eastAsia="Cambria"/>
          <w:lang w:val="it-IT"/>
        </w:rPr>
        <w:t xml:space="preserve"> </w:t>
      </w:r>
      <m:oMath>
        <m:sSub>
          <m:sSubPr>
            <m:ctrlPr>
              <w:rPr>
                <w:rFonts w:ascii="Cambria Math" w:eastAsia="Cambria" w:hAnsi="Cambria Math"/>
                <w:i/>
                <w:iCs/>
                <w:lang w:val="it-IT"/>
              </w:rPr>
            </m:ctrlPr>
          </m:sSubPr>
          <m:e>
            <m:r>
              <w:rPr>
                <w:rFonts w:ascii="Cambria Math" w:eastAsia="Cambria" w:hAnsi="Cambria Math"/>
                <w:lang w:val="it-IT"/>
              </w:rPr>
              <m:t>PTDF</m:t>
            </m:r>
          </m:e>
          <m:sub>
            <m:r>
              <w:rPr>
                <w:rFonts w:ascii="Cambria Math" w:eastAsia="Cambria" w:hAnsi="Cambria Math"/>
                <w:lang w:val="it-IT"/>
              </w:rPr>
              <m:t>z</m:t>
            </m:r>
            <m:r>
              <w:rPr>
                <w:rFonts w:ascii="Cambria Math" w:eastAsia="Cambria" w:hAnsi="Cambria Math"/>
              </w:rPr>
              <m:t>,</m:t>
            </m:r>
            <m:r>
              <w:rPr>
                <w:rFonts w:ascii="Cambria Math" w:eastAsia="Cambria" w:hAnsi="Cambria Math"/>
                <w:lang w:val="it-IT"/>
              </w:rPr>
              <m:t>i</m:t>
            </m:r>
            <m:r>
              <w:rPr>
                <w:rFonts w:ascii="Cambria Math" w:eastAsia="Cambria" w:hAnsi="Cambria Math"/>
              </w:rPr>
              <m:t>,h</m:t>
            </m:r>
          </m:sub>
        </m:sSub>
      </m:oMath>
      <w:r w:rsidRPr="00995523">
        <w:rPr>
          <w:rFonts w:eastAsia="Cambria"/>
        </w:rPr>
        <w:t xml:space="preserve">, </w:t>
      </w:r>
      <m:oMath>
        <m:sSubSup>
          <m:sSubSupPr>
            <m:ctrlPr>
              <w:rPr>
                <w:rFonts w:ascii="Cambria Math" w:eastAsia="Cambria" w:hAnsi="Cambria Math"/>
                <w:i/>
                <w:iCs/>
                <w:lang w:val="it-IT"/>
              </w:rPr>
            </m:ctrlPr>
          </m:sSubSupPr>
          <m:e>
            <m:r>
              <w:rPr>
                <w:rFonts w:ascii="Cambria Math" w:eastAsia="Cambria" w:hAnsi="Cambria Math"/>
                <w:lang w:val="it-IT"/>
              </w:rPr>
              <m:t>NP</m:t>
            </m:r>
          </m:e>
          <m:sub>
            <m:r>
              <w:rPr>
                <w:rFonts w:ascii="Cambria Math" w:eastAsia="Cambria" w:hAnsi="Cambria Math"/>
                <w:lang w:val="it-IT"/>
              </w:rPr>
              <m:t>z,h</m:t>
            </m:r>
          </m:sub>
          <m:sup>
            <m:r>
              <w:rPr>
                <w:rFonts w:ascii="Cambria Math" w:eastAsia="Cambria" w:hAnsi="Cambria Math"/>
                <w:lang w:val="it-IT"/>
              </w:rPr>
              <m:t>FB</m:t>
            </m:r>
          </m:sup>
        </m:sSubSup>
      </m:oMath>
      <w:r w:rsidRPr="00995523">
        <w:rPr>
          <w:rFonts w:eastAsia="MS Mincho"/>
          <w:iCs/>
          <w:lang w:val="it-IT"/>
        </w:rPr>
        <w:t xml:space="preserve">and </w:t>
      </w:r>
      <m:oMath>
        <m:sSub>
          <m:sSubPr>
            <m:ctrlPr>
              <w:rPr>
                <w:rFonts w:ascii="Cambria Math" w:eastAsia="Cambria" w:hAnsi="Cambria Math"/>
                <w:i/>
                <w:iCs/>
                <w:lang w:val="it-IT"/>
              </w:rPr>
            </m:ctrlPr>
          </m:sSubPr>
          <m:e>
            <m:r>
              <w:rPr>
                <w:rFonts w:ascii="Cambria Math" w:eastAsia="Cambria" w:hAnsi="Cambria Math"/>
                <w:lang w:val="it-IT"/>
              </w:rPr>
              <m:t>RAM</m:t>
            </m:r>
          </m:e>
          <m:sub>
            <m:r>
              <w:rPr>
                <w:rFonts w:ascii="Cambria Math" w:eastAsia="Cambria" w:hAnsi="Cambria Math"/>
                <w:lang w:val="it-IT"/>
              </w:rPr>
              <m:t>i</m:t>
            </m:r>
            <m:r>
              <w:rPr>
                <w:rFonts w:ascii="Cambria Math" w:eastAsia="Cambria" w:hAnsi="Cambria Math"/>
              </w:rPr>
              <m:t>,h</m:t>
            </m:r>
          </m:sub>
        </m:sSub>
      </m:oMath>
      <w:r w:rsidRPr="00995523">
        <w:rPr>
          <w:rFonts w:eastAsia="MS Mincho"/>
          <w:iCs/>
          <w:lang w:val="it-IT"/>
        </w:rPr>
        <w:t xml:space="preserve"> are not mandatory.</w:t>
      </w:r>
    </w:p>
    <w:p w14:paraId="0C349657" w14:textId="77777777" w:rsidR="00F8788D" w:rsidRPr="00995523" w:rsidRDefault="00F8788D" w:rsidP="002414BB">
      <w:pPr>
        <w:pStyle w:val="ListParagraph"/>
        <w:ind w:left="1080"/>
        <w:rPr>
          <w:rFonts w:eastAsia="Cambria"/>
          <w:lang w:val="it-IT"/>
        </w:rPr>
      </w:pPr>
    </w:p>
    <w:p w14:paraId="58782D5E" w14:textId="77777777" w:rsidR="00F8788D" w:rsidRPr="008614C9" w:rsidRDefault="00F8788D" w:rsidP="002414BB">
      <w:r w:rsidRPr="008614C9">
        <w:t xml:space="preserve">Note that the flow based constraints do not naturally result in (commercial) bilateral exchanges. Instead to retrieve them, Euphemia considers a bilateral topology, for which it shall compute a decomposition of the net positions. </w:t>
      </w:r>
    </w:p>
    <w:p w14:paraId="15715DF8" w14:textId="77777777" w:rsidR="00F8788D" w:rsidRPr="008614C9" w:rsidRDefault="00F8788D" w:rsidP="002414BB"/>
    <w:p w14:paraId="392EBF5F" w14:textId="77777777" w:rsidR="00F8788D" w:rsidRPr="008614C9" w:rsidRDefault="00F8788D" w:rsidP="002414BB">
      <w:pPr>
        <w:rPr>
          <w:b/>
        </w:rPr>
      </w:pPr>
      <w:r w:rsidRPr="008614C9">
        <w:rPr>
          <w:b/>
        </w:rPr>
        <w:t>Example</w:t>
      </w:r>
    </w:p>
    <w:p w14:paraId="517075E7" w14:textId="0352F882" w:rsidR="00F8788D" w:rsidRPr="008614C9" w:rsidRDefault="00F8788D" w:rsidP="002414BB">
      <w:r w:rsidRPr="008614C9">
        <w:t>Consider below simple topology: bidding zones z</w:t>
      </w:r>
      <w:r w:rsidRPr="009361EB">
        <w:rPr>
          <w:vertAlign w:val="subscript"/>
        </w:rPr>
        <w:t>1</w:t>
      </w:r>
      <w:r w:rsidRPr="008614C9">
        <w:t>, z</w:t>
      </w:r>
      <w:r w:rsidRPr="009361EB">
        <w:rPr>
          <w:vertAlign w:val="subscript"/>
        </w:rPr>
        <w:t>2</w:t>
      </w:r>
      <w:r w:rsidRPr="008614C9">
        <w:t>, z</w:t>
      </w:r>
      <w:r w:rsidRPr="009361EB">
        <w:rPr>
          <w:vertAlign w:val="subscript"/>
        </w:rPr>
        <w:t>3</w:t>
      </w:r>
      <w:r w:rsidRPr="008614C9">
        <w:t xml:space="preserve"> are part of a FB region. Whereas z</w:t>
      </w:r>
      <w:r w:rsidRPr="009361EB">
        <w:rPr>
          <w:vertAlign w:val="subscript"/>
        </w:rPr>
        <w:t>4</w:t>
      </w:r>
      <w:r w:rsidRPr="008614C9">
        <w:t>,z</w:t>
      </w:r>
      <w:r w:rsidRPr="009361EB">
        <w:rPr>
          <w:vertAlign w:val="subscript"/>
        </w:rPr>
        <w:t>5</w:t>
      </w:r>
      <w:r w:rsidRPr="008614C9">
        <w:t xml:space="preserve"> and z</w:t>
      </w:r>
      <w:r w:rsidRPr="009361EB">
        <w:rPr>
          <w:vertAlign w:val="subscript"/>
        </w:rPr>
        <w:t>6</w:t>
      </w:r>
      <w:r w:rsidRPr="008614C9">
        <w:t xml:space="preserve"> are coupled via ATC lines. The two region</w:t>
      </w:r>
      <w:r>
        <w:t>s</w:t>
      </w:r>
      <w:r w:rsidRPr="008614C9">
        <w:t xml:space="preserve"> are linked through ATCs between (z</w:t>
      </w:r>
      <w:r w:rsidRPr="009361EB">
        <w:rPr>
          <w:vertAlign w:val="subscript"/>
        </w:rPr>
        <w:t>2</w:t>
      </w:r>
      <w:r w:rsidRPr="008614C9">
        <w:t>,z</w:t>
      </w:r>
      <w:r w:rsidRPr="009361EB">
        <w:rPr>
          <w:vertAlign w:val="subscript"/>
        </w:rPr>
        <w:t>4</w:t>
      </w:r>
      <w:r w:rsidRPr="008614C9">
        <w:t>) and (z</w:t>
      </w:r>
      <w:r w:rsidRPr="009361EB">
        <w:rPr>
          <w:vertAlign w:val="subscript"/>
        </w:rPr>
        <w:t>3</w:t>
      </w:r>
      <w:r w:rsidRPr="008614C9">
        <w:t>,z</w:t>
      </w:r>
      <w:r w:rsidRPr="009361EB">
        <w:rPr>
          <w:vertAlign w:val="subscript"/>
        </w:rPr>
        <w:t>5</w:t>
      </w:r>
      <w:r w:rsidRPr="008614C9">
        <w:t>). Finally note the indicated topology between the FB region: these are not used for the main welfare optimization phase of Euphemia, but are the dedicated topology for which Euphemia needs to identify bilateral exchanges that decompose the FB net positions.</w:t>
      </w:r>
    </w:p>
    <w:p w14:paraId="62680950" w14:textId="77777777" w:rsidR="00F8788D" w:rsidRDefault="00F8788D" w:rsidP="002414BB">
      <w:pPr>
        <w:rPr>
          <w:lang w:val="it-IT"/>
        </w:rPr>
      </w:pPr>
      <w:r w:rsidRPr="007D2F3B">
        <w:rPr>
          <w:noProof/>
          <w:lang w:val="en-US" w:eastAsia="en-US"/>
        </w:rPr>
        <w:drawing>
          <wp:inline distT="0" distB="0" distL="0" distR="0" wp14:anchorId="2620AC5B" wp14:editId="4E80E86A">
            <wp:extent cx="2254250" cy="1084580"/>
            <wp:effectExtent l="0" t="0" r="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54250" cy="1084580"/>
                    </a:xfrm>
                    <a:prstGeom prst="rect">
                      <a:avLst/>
                    </a:prstGeom>
                    <a:noFill/>
                    <a:ln>
                      <a:noFill/>
                    </a:ln>
                  </pic:spPr>
                </pic:pic>
              </a:graphicData>
            </a:graphic>
          </wp:inline>
        </w:drawing>
      </w:r>
    </w:p>
    <w:p w14:paraId="4C3A3F91" w14:textId="77777777" w:rsidR="00F8788D" w:rsidRDefault="00F8788D" w:rsidP="002414BB">
      <w:pPr>
        <w:rPr>
          <w:lang w:val="it-IT"/>
        </w:rPr>
      </w:pPr>
    </w:p>
    <w:p w14:paraId="71A58107" w14:textId="77777777" w:rsidR="00F8788D" w:rsidRDefault="00F8788D" w:rsidP="002414BB">
      <w:pPr>
        <w:rPr>
          <w:lang w:val="it-IT"/>
        </w:rPr>
      </w:pPr>
      <w:r w:rsidRPr="007D2F3B">
        <w:rPr>
          <w:noProof/>
          <w:lang w:val="en-US" w:eastAsia="en-US"/>
        </w:rPr>
        <w:drawing>
          <wp:inline distT="0" distB="0" distL="0" distR="0" wp14:anchorId="4260FDAE" wp14:editId="1DF0C784">
            <wp:extent cx="2392878" cy="817994"/>
            <wp:effectExtent l="0" t="0" r="7620" b="12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19422" b="-733"/>
                    <a:stretch/>
                  </pic:blipFill>
                  <pic:spPr bwMode="auto">
                    <a:xfrm>
                      <a:off x="0" y="0"/>
                      <a:ext cx="2397600" cy="819608"/>
                    </a:xfrm>
                    <a:prstGeom prst="rect">
                      <a:avLst/>
                    </a:prstGeom>
                    <a:noFill/>
                    <a:ln>
                      <a:noFill/>
                    </a:ln>
                    <a:extLst>
                      <a:ext uri="{53640926-AAD7-44D8-BBD7-CCE9431645EC}">
                        <a14:shadowObscured xmlns:a14="http://schemas.microsoft.com/office/drawing/2010/main"/>
                      </a:ext>
                    </a:extLst>
                  </pic:spPr>
                </pic:pic>
              </a:graphicData>
            </a:graphic>
          </wp:inline>
        </w:drawing>
      </w:r>
    </w:p>
    <w:p w14:paraId="7553E433" w14:textId="77777777" w:rsidR="00F8788D" w:rsidRDefault="00F8788D" w:rsidP="002414BB">
      <w:pPr>
        <w:rPr>
          <w:lang w:val="it-IT"/>
        </w:rPr>
      </w:pPr>
    </w:p>
    <w:p w14:paraId="2E665FB4" w14:textId="77777777" w:rsidR="00F8788D" w:rsidRPr="008614C9" w:rsidRDefault="00F8788D" w:rsidP="002414BB">
      <w:r w:rsidRPr="008614C9">
        <w:t>Imagine that Euphemia identifies the optimal solution as:</w:t>
      </w:r>
    </w:p>
    <w:p w14:paraId="28725AE1" w14:textId="77777777" w:rsidR="00F8788D" w:rsidRDefault="00F8788D" w:rsidP="002414BB">
      <w:pPr>
        <w:rPr>
          <w:lang w:val="it-IT"/>
        </w:rPr>
      </w:pPr>
      <w:r w:rsidRPr="004F48D5">
        <w:rPr>
          <w:noProof/>
          <w:lang w:val="en-US" w:eastAsia="en-US"/>
        </w:rPr>
        <w:drawing>
          <wp:inline distT="0" distB="0" distL="0" distR="0" wp14:anchorId="3922DB7C" wp14:editId="094AF74C">
            <wp:extent cx="3213100" cy="21463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13100" cy="2146300"/>
                    </a:xfrm>
                    <a:prstGeom prst="rect">
                      <a:avLst/>
                    </a:prstGeom>
                    <a:noFill/>
                    <a:ln>
                      <a:noFill/>
                    </a:ln>
                  </pic:spPr>
                </pic:pic>
              </a:graphicData>
            </a:graphic>
          </wp:inline>
        </w:drawing>
      </w:r>
      <w:r w:rsidRPr="007D2F3B">
        <w:rPr>
          <w:noProof/>
          <w:lang w:val="en-US" w:eastAsia="en-US"/>
        </w:rPr>
        <w:drawing>
          <wp:inline distT="0" distB="0" distL="0" distR="0" wp14:anchorId="1BFDCA85" wp14:editId="724F14B9">
            <wp:extent cx="1065530" cy="954405"/>
            <wp:effectExtent l="0" t="0" r="127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65530" cy="954405"/>
                    </a:xfrm>
                    <a:prstGeom prst="rect">
                      <a:avLst/>
                    </a:prstGeom>
                    <a:noFill/>
                    <a:ln>
                      <a:noFill/>
                    </a:ln>
                  </pic:spPr>
                </pic:pic>
              </a:graphicData>
            </a:graphic>
          </wp:inline>
        </w:drawing>
      </w:r>
    </w:p>
    <w:p w14:paraId="46151F16" w14:textId="77777777" w:rsidR="00F8788D" w:rsidRPr="002D2484" w:rsidRDefault="00F8788D" w:rsidP="002414BB">
      <w:pPr>
        <w:ind w:left="1440"/>
        <w:rPr>
          <w:i/>
        </w:rPr>
      </w:pPr>
    </w:p>
    <w:p w14:paraId="3356756C" w14:textId="77777777" w:rsidR="00F8788D" w:rsidRDefault="00F8788D" w:rsidP="002414BB">
      <w:r>
        <w:t>In the example the flows on the ATC lines are already uniquely determined (as there are no uncongested loops). For the flow based flow calculation we consider the FB net postions (the ones indicated in purple): these are the net positions for the FB bidding zones, corrected for the flows already scheduled on ATC lines.</w:t>
      </w:r>
    </w:p>
    <w:p w14:paraId="16E36F54" w14:textId="77777777" w:rsidR="00F8788D" w:rsidRDefault="00F8788D" w:rsidP="002414BB"/>
    <w:p w14:paraId="2E329ABF" w14:textId="1E19E3A8" w:rsidR="00F8788D" w:rsidRDefault="00F8788D" w:rsidP="002414BB">
      <w:r w:rsidRPr="00995523">
        <w:t xml:space="preserve">Assuming that TSOs didn’t define any values for </w:t>
      </w:r>
      <w:r w:rsidRPr="00995523">
        <w:rPr>
          <w:lang w:val="it-IT"/>
        </w:rPr>
        <w:t xml:space="preserve">parameters </w:t>
      </w:r>
      <m:oMath>
        <m:sSub>
          <m:sSubPr>
            <m:ctrlPr>
              <w:rPr>
                <w:rFonts w:ascii="Cambria Math" w:hAnsi="Cambria Math"/>
                <w:i/>
                <w:iCs/>
                <w:sz w:val="24"/>
                <w:lang w:val="it-IT"/>
              </w:rPr>
            </m:ctrlPr>
          </m:sSubPr>
          <m:e>
            <m:r>
              <w:rPr>
                <w:rFonts w:ascii="Cambria Math" w:hAnsi="Cambria Math"/>
                <w:lang w:val="it-IT"/>
              </w:rPr>
              <m:t>PTDF</m:t>
            </m:r>
          </m:e>
          <m:sub>
            <m:r>
              <w:rPr>
                <w:rFonts w:ascii="Cambria Math" w:hAnsi="Cambria Math"/>
                <w:lang w:val="it-IT"/>
              </w:rPr>
              <m:t>z</m:t>
            </m:r>
            <m:r>
              <w:rPr>
                <w:rFonts w:ascii="Cambria Math" w:hAnsi="Cambria Math"/>
              </w:rPr>
              <m:t>,</m:t>
            </m:r>
            <m:r>
              <w:rPr>
                <w:rFonts w:ascii="Cambria Math" w:hAnsi="Cambria Math"/>
                <w:lang w:val="it-IT"/>
              </w:rPr>
              <m:t>i</m:t>
            </m:r>
            <m:r>
              <w:rPr>
                <w:rFonts w:ascii="Cambria Math" w:hAnsi="Cambria Math"/>
              </w:rPr>
              <m:t>,h</m:t>
            </m:r>
          </m:sub>
        </m:sSub>
      </m:oMath>
      <w:r w:rsidRPr="00995523">
        <w:t xml:space="preserve">, </w:t>
      </w:r>
      <m:oMath>
        <m:sSubSup>
          <m:sSubSupPr>
            <m:ctrlPr>
              <w:rPr>
                <w:rFonts w:ascii="Cambria Math" w:hAnsi="Cambria Math"/>
                <w:i/>
                <w:iCs/>
                <w:sz w:val="24"/>
                <w:lang w:val="it-IT"/>
              </w:rPr>
            </m:ctrlPr>
          </m:sSubSupPr>
          <m:e>
            <m:r>
              <w:rPr>
                <w:rFonts w:ascii="Cambria Math" w:hAnsi="Cambria Math"/>
                <w:lang w:val="it-IT"/>
              </w:rPr>
              <m:t>NP</m:t>
            </m:r>
          </m:e>
          <m:sub>
            <m:r>
              <w:rPr>
                <w:rFonts w:ascii="Cambria Math" w:hAnsi="Cambria Math"/>
                <w:lang w:val="it-IT"/>
              </w:rPr>
              <m:t>z,h</m:t>
            </m:r>
          </m:sub>
          <m:sup>
            <m:r>
              <w:rPr>
                <w:rFonts w:ascii="Cambria Math" w:hAnsi="Cambria Math"/>
                <w:lang w:val="it-IT"/>
              </w:rPr>
              <m:t>FB</m:t>
            </m:r>
          </m:sup>
        </m:sSubSup>
      </m:oMath>
      <w:r w:rsidRPr="00995523">
        <w:rPr>
          <w:rFonts w:eastAsia="MS Mincho"/>
          <w:iCs/>
          <w:lang w:val="it-IT"/>
        </w:rPr>
        <w:t xml:space="preserve">and </w:t>
      </w:r>
      <m:oMath>
        <m:sSub>
          <m:sSubPr>
            <m:ctrlPr>
              <w:rPr>
                <w:rFonts w:ascii="Cambria Math" w:hAnsi="Cambria Math"/>
                <w:i/>
                <w:iCs/>
                <w:sz w:val="24"/>
                <w:lang w:val="it-IT"/>
              </w:rPr>
            </m:ctrlPr>
          </m:sSubPr>
          <m:e>
            <m:r>
              <w:rPr>
                <w:rFonts w:ascii="Cambria Math" w:hAnsi="Cambria Math"/>
                <w:lang w:val="it-IT"/>
              </w:rPr>
              <m:t>RAM</m:t>
            </m:r>
          </m:e>
          <m:sub>
            <m:r>
              <w:rPr>
                <w:rFonts w:ascii="Cambria Math" w:hAnsi="Cambria Math"/>
                <w:lang w:val="it-IT"/>
              </w:rPr>
              <m:t>i</m:t>
            </m:r>
            <m:r>
              <w:rPr>
                <w:rFonts w:ascii="Cambria Math" w:hAnsi="Cambria Math"/>
              </w:rPr>
              <m:t>,h</m:t>
            </m:r>
          </m:sub>
        </m:sSub>
      </m:oMath>
      <w:r w:rsidRPr="00995523">
        <w:rPr>
          <w:rFonts w:eastAsia="MS Mincho"/>
          <w:iCs/>
          <w:lang w:val="it-IT"/>
        </w:rPr>
        <w:t xml:space="preserve"> ,</w:t>
      </w:r>
      <w:r>
        <w:rPr>
          <w:rFonts w:eastAsia="MS Mincho"/>
          <w:iCs/>
          <w:lang w:val="it-IT"/>
        </w:rPr>
        <w:t xml:space="preserve"> </w:t>
      </w:r>
      <w:r>
        <w:t>flow calculation model will be an extended version of the ATC one:</w:t>
      </w:r>
    </w:p>
    <w:p w14:paraId="666751D3" w14:textId="77777777" w:rsidR="00F8788D" w:rsidRDefault="00F8788D" w:rsidP="002414BB"/>
    <w:p w14:paraId="24BAED96" w14:textId="77777777" w:rsidR="00F8788D" w:rsidRPr="00904858" w:rsidRDefault="00FC1305" w:rsidP="002414BB">
      <w:pPr>
        <w:pStyle w:val="ListParagraph"/>
        <w:ind w:left="0"/>
        <w:rPr>
          <w:rFonts w:eastAsiaTheme="minorEastAsia"/>
          <w:b/>
          <w:bCs/>
          <w:iCs/>
        </w:rPr>
      </w:pPr>
      <m:oMathPara>
        <m:oMath>
          <m:func>
            <m:funcPr>
              <m:ctrlPr>
                <w:rPr>
                  <w:rFonts w:ascii="Cambria Math" w:hAnsi="Cambria Math"/>
                  <w:b/>
                  <w:bCs/>
                  <w:i/>
                  <w:iCs/>
                </w:rPr>
              </m:ctrlPr>
            </m:funcPr>
            <m:fName>
              <m:r>
                <m:rPr>
                  <m:sty m:val="b"/>
                </m:rPr>
                <w:rPr>
                  <w:rFonts w:ascii="Cambria Math" w:hAnsi="Cambria Math"/>
                </w:rPr>
                <m:t>min</m:t>
              </m:r>
            </m:fName>
            <m:e>
              <m:d>
                <m:dPr>
                  <m:ctrlPr>
                    <w:rPr>
                      <w:rFonts w:ascii="Cambria Math" w:hAnsi="Cambria Math"/>
                      <w:b/>
                      <w:bCs/>
                      <w:i/>
                      <w:iCs/>
                    </w:rPr>
                  </m:ctrlPr>
                </m:dPr>
                <m:e>
                  <m:nary>
                    <m:naryPr>
                      <m:chr m:val="∑"/>
                      <m:subHide m:val="1"/>
                      <m:supHide m:val="1"/>
                      <m:ctrlPr>
                        <w:rPr>
                          <w:rFonts w:ascii="Cambria Math" w:hAnsi="Cambria Math"/>
                          <w:b/>
                          <w:bCs/>
                          <w:i/>
                          <w:iCs/>
                        </w:rPr>
                      </m:ctrlPr>
                    </m:naryPr>
                    <m:sub/>
                    <m:sup/>
                    <m:e>
                      <m:sSub>
                        <m:sSubPr>
                          <m:ctrlPr>
                            <w:rPr>
                              <w:rFonts w:ascii="Cambria Math" w:hAnsi="Cambria Math"/>
                              <w:b/>
                              <w:bCs/>
                              <w:i/>
                              <w:iCs/>
                            </w:rPr>
                          </m:ctrlPr>
                        </m:sSubPr>
                        <m:e>
                          <m:r>
                            <m:rPr>
                              <m:sty m:val="bi"/>
                            </m:rPr>
                            <w:rPr>
                              <w:rFonts w:ascii="Cambria Math" w:hAnsi="Cambria Math"/>
                            </w:rPr>
                            <m:t>lc</m:t>
                          </m:r>
                        </m:e>
                        <m:sub>
                          <m:r>
                            <m:rPr>
                              <m:sty m:val="bi"/>
                            </m:rPr>
                            <w:rPr>
                              <w:rFonts w:ascii="Cambria Math" w:hAnsi="Cambria Math"/>
                            </w:rPr>
                            <m:t>i,h</m:t>
                          </m:r>
                        </m:sub>
                      </m:sSub>
                      <m:sSub>
                        <m:sSubPr>
                          <m:ctrlPr>
                            <w:rPr>
                              <w:rFonts w:ascii="Cambria Math" w:hAnsi="Cambria Math"/>
                              <w:b/>
                              <w:bCs/>
                              <w:i/>
                              <w:iCs/>
                            </w:rPr>
                          </m:ctrlPr>
                        </m:sSubPr>
                        <m:e>
                          <m:r>
                            <m:rPr>
                              <m:sty m:val="bi"/>
                            </m:rPr>
                            <w:rPr>
                              <w:rFonts w:ascii="Cambria Math" w:hAnsi="Cambria Math"/>
                            </w:rPr>
                            <m:t>φ</m:t>
                          </m:r>
                        </m:e>
                        <m:sub>
                          <m:r>
                            <m:rPr>
                              <m:sty m:val="bi"/>
                            </m:rPr>
                            <w:rPr>
                              <w:rFonts w:ascii="Cambria Math" w:hAnsi="Cambria Math"/>
                            </w:rPr>
                            <m:t>i,h</m:t>
                          </m:r>
                        </m:sub>
                      </m:sSub>
                      <m:r>
                        <m:rPr>
                          <m:sty m:val="bi"/>
                        </m:rPr>
                        <w:rPr>
                          <w:rFonts w:ascii="Cambria Math" w:hAnsi="Cambria Math"/>
                        </w:rPr>
                        <m:t>+</m:t>
                      </m:r>
                    </m:e>
                  </m:nary>
                  <m:nary>
                    <m:naryPr>
                      <m:chr m:val="∑"/>
                      <m:subHide m:val="1"/>
                      <m:supHide m:val="1"/>
                      <m:ctrlPr>
                        <w:rPr>
                          <w:rFonts w:ascii="Cambria Math" w:hAnsi="Cambria Math"/>
                          <w:b/>
                          <w:bCs/>
                          <w:i/>
                          <w:iCs/>
                        </w:rPr>
                      </m:ctrlPr>
                    </m:naryPr>
                    <m:sub/>
                    <m:sup/>
                    <m:e>
                      <m:sSub>
                        <m:sSubPr>
                          <m:ctrlPr>
                            <w:rPr>
                              <w:rFonts w:ascii="Cambria Math" w:hAnsi="Cambria Math"/>
                              <w:b/>
                              <w:bCs/>
                              <w:i/>
                              <w:iCs/>
                            </w:rPr>
                          </m:ctrlPr>
                        </m:sSubPr>
                        <m:e>
                          <m:r>
                            <m:rPr>
                              <m:sty m:val="bi"/>
                            </m:rPr>
                            <w:rPr>
                              <w:rFonts w:ascii="Cambria Math" w:hAnsi="Cambria Math"/>
                            </w:rPr>
                            <m:t>qc</m:t>
                          </m:r>
                        </m:e>
                        <m:sub>
                          <m:r>
                            <m:rPr>
                              <m:sty m:val="bi"/>
                            </m:rPr>
                            <w:rPr>
                              <w:rFonts w:ascii="Cambria Math" w:hAnsi="Cambria Math"/>
                            </w:rPr>
                            <m:t>i,h</m:t>
                          </m:r>
                        </m:sub>
                      </m:sSub>
                      <m:sSubSup>
                        <m:sSubSupPr>
                          <m:ctrlPr>
                            <w:rPr>
                              <w:rFonts w:ascii="Cambria Math" w:hAnsi="Cambria Math"/>
                              <w:b/>
                              <w:bCs/>
                              <w:i/>
                              <w:iCs/>
                            </w:rPr>
                          </m:ctrlPr>
                        </m:sSubSupPr>
                        <m:e>
                          <m:r>
                            <m:rPr>
                              <m:sty m:val="bi"/>
                            </m:rPr>
                            <w:rPr>
                              <w:rFonts w:ascii="Cambria Math" w:hAnsi="Cambria Math"/>
                            </w:rPr>
                            <m:t>φ</m:t>
                          </m:r>
                        </m:e>
                        <m:sub>
                          <m:r>
                            <m:rPr>
                              <m:sty m:val="bi"/>
                            </m:rPr>
                            <w:rPr>
                              <w:rFonts w:ascii="Cambria Math" w:hAnsi="Cambria Math"/>
                            </w:rPr>
                            <m:t>i,h</m:t>
                          </m:r>
                        </m:sub>
                        <m:sup>
                          <m:r>
                            <m:rPr>
                              <m:sty m:val="bi"/>
                            </m:rPr>
                            <w:rPr>
                              <w:rFonts w:ascii="Cambria Math" w:hAnsi="Cambria Math"/>
                            </w:rPr>
                            <m:t>2</m:t>
                          </m:r>
                        </m:sup>
                      </m:sSubSup>
                    </m:e>
                  </m:nary>
                </m:e>
              </m:d>
            </m:e>
          </m:func>
        </m:oMath>
      </m:oMathPara>
    </w:p>
    <w:p w14:paraId="3239567B" w14:textId="77777777" w:rsidR="00F8788D" w:rsidRDefault="00F8788D" w:rsidP="002414BB">
      <w:pPr>
        <w:pStyle w:val="ListParagraph"/>
        <w:ind w:left="0"/>
      </w:pPr>
    </w:p>
    <w:p w14:paraId="5CB76EFE" w14:textId="77777777" w:rsidR="00F8788D" w:rsidRDefault="00F8788D" w:rsidP="002414BB">
      <w:pPr>
        <w:pStyle w:val="ListParagraph"/>
        <w:ind w:left="0"/>
      </w:pPr>
      <w:r>
        <w:t>With:</w:t>
      </w:r>
    </w:p>
    <w:p w14:paraId="0429FCF7" w14:textId="77777777" w:rsidR="00F8788D" w:rsidRPr="008614C9" w:rsidRDefault="00FC1305" w:rsidP="00F8788D">
      <w:pPr>
        <w:pStyle w:val="ListParagraph"/>
        <w:numPr>
          <w:ilvl w:val="2"/>
          <w:numId w:val="8"/>
        </w:numPr>
        <w:tabs>
          <w:tab w:val="clear" w:pos="2160"/>
          <w:tab w:val="num" w:pos="1080"/>
        </w:tabs>
        <w:ind w:left="1080"/>
      </w:pPr>
      <m:oMath>
        <m:sSub>
          <m:sSubPr>
            <m:ctrlPr>
              <w:rPr>
                <w:rFonts w:ascii="Cambria Math" w:hAnsi="Cambria Math"/>
                <w:i/>
                <w:iCs/>
                <w:lang w:val="it-IT"/>
              </w:rPr>
            </m:ctrlPr>
          </m:sSubPr>
          <m:e>
            <m:r>
              <w:rPr>
                <w:rFonts w:ascii="Cambria Math" w:hAnsi="Cambria Math"/>
                <w:lang w:val="it-IT"/>
              </w:rPr>
              <m:t>lc</m:t>
            </m:r>
          </m:e>
          <m:sub>
            <m:r>
              <w:rPr>
                <w:rFonts w:ascii="Cambria Math" w:hAnsi="Cambria Math"/>
                <w:lang w:val="it-IT"/>
              </w:rPr>
              <m:t>i</m:t>
            </m:r>
            <m:r>
              <w:rPr>
                <w:rFonts w:ascii="Cambria Math" w:hAnsi="Cambria Math"/>
              </w:rPr>
              <m:t>,h</m:t>
            </m:r>
          </m:sub>
        </m:sSub>
      </m:oMath>
      <w:r w:rsidR="00F8788D" w:rsidRPr="008614C9">
        <w:t>= linear cost associated to line i for period h</w:t>
      </w:r>
    </w:p>
    <w:p w14:paraId="59DA386A" w14:textId="77777777" w:rsidR="00F8788D" w:rsidRPr="008614C9" w:rsidRDefault="00FC1305" w:rsidP="00F8788D">
      <w:pPr>
        <w:pStyle w:val="ListParagraph"/>
        <w:numPr>
          <w:ilvl w:val="2"/>
          <w:numId w:val="8"/>
        </w:numPr>
        <w:tabs>
          <w:tab w:val="clear" w:pos="2160"/>
          <w:tab w:val="num" w:pos="1080"/>
        </w:tabs>
        <w:ind w:left="1080"/>
      </w:pPr>
      <m:oMath>
        <m:sSub>
          <m:sSubPr>
            <m:ctrlPr>
              <w:rPr>
                <w:rFonts w:ascii="Cambria Math" w:hAnsi="Cambria Math"/>
                <w:i/>
                <w:iCs/>
                <w:lang w:val="it-IT"/>
              </w:rPr>
            </m:ctrlPr>
          </m:sSubPr>
          <m:e>
            <m:r>
              <w:rPr>
                <w:rFonts w:ascii="Cambria Math" w:hAnsi="Cambria Math"/>
                <w:lang w:val="it-IT"/>
              </w:rPr>
              <m:t>qc</m:t>
            </m:r>
          </m:e>
          <m:sub>
            <m:r>
              <w:rPr>
                <w:rFonts w:ascii="Cambria Math" w:hAnsi="Cambria Math"/>
                <w:lang w:val="it-IT"/>
              </w:rPr>
              <m:t>i</m:t>
            </m:r>
            <m:r>
              <w:rPr>
                <w:rFonts w:ascii="Cambria Math" w:hAnsi="Cambria Math"/>
              </w:rPr>
              <m:t>,h</m:t>
            </m:r>
          </m:sub>
        </m:sSub>
      </m:oMath>
      <w:r w:rsidR="00F8788D" w:rsidRPr="008614C9">
        <w:t xml:space="preserve"> = quadratic cost associated to line i for period h</w:t>
      </w:r>
    </w:p>
    <w:p w14:paraId="23B32C8D" w14:textId="77777777" w:rsidR="00F8788D" w:rsidRPr="008614C9" w:rsidRDefault="00FC1305" w:rsidP="00F8788D">
      <w:pPr>
        <w:pStyle w:val="ListParagraph"/>
        <w:numPr>
          <w:ilvl w:val="2"/>
          <w:numId w:val="8"/>
        </w:numPr>
        <w:tabs>
          <w:tab w:val="clear" w:pos="2160"/>
          <w:tab w:val="num" w:pos="1080"/>
        </w:tabs>
        <w:ind w:left="1080"/>
      </w:pPr>
      <m:oMath>
        <m:sSub>
          <m:sSubPr>
            <m:ctrlPr>
              <w:rPr>
                <w:rFonts w:ascii="Cambria Math" w:hAnsi="Cambria Math"/>
                <w:i/>
                <w:iCs/>
                <w:lang w:val="it-IT"/>
              </w:rPr>
            </m:ctrlPr>
          </m:sSubPr>
          <m:e>
            <m:r>
              <w:rPr>
                <w:rFonts w:ascii="Cambria Math" w:hAnsi="Cambria Math"/>
                <w:lang w:val="it-IT"/>
              </w:rPr>
              <m:t>φ</m:t>
            </m:r>
          </m:e>
          <m:sub>
            <m:r>
              <w:rPr>
                <w:rFonts w:ascii="Cambria Math" w:hAnsi="Cambria Math"/>
                <w:lang w:val="it-IT"/>
              </w:rPr>
              <m:t>i</m:t>
            </m:r>
            <m:r>
              <w:rPr>
                <w:rFonts w:ascii="Cambria Math" w:hAnsi="Cambria Math"/>
              </w:rPr>
              <m:t>,h</m:t>
            </m:r>
          </m:sub>
        </m:sSub>
        <m:r>
          <m:rPr>
            <m:nor/>
          </m:rPr>
          <m:t>= flow on line i for period h</m:t>
        </m:r>
      </m:oMath>
    </w:p>
    <w:p w14:paraId="2BC0E23C" w14:textId="77777777" w:rsidR="00F8788D" w:rsidRDefault="00F8788D" w:rsidP="002414BB"/>
    <w:p w14:paraId="21B3D670" w14:textId="77777777" w:rsidR="00F8788D" w:rsidRDefault="00F8788D" w:rsidP="002414BB">
      <w:r>
        <w:t>s.t.</w:t>
      </w:r>
    </w:p>
    <w:p w14:paraId="0B365AD6" w14:textId="77777777" w:rsidR="00F8788D" w:rsidRDefault="00F8788D" w:rsidP="002414BB"/>
    <w:p w14:paraId="3F47768B" w14:textId="70746FE1" w:rsidR="00F8788D" w:rsidRDefault="00F629D2" w:rsidP="002414BB">
      <w:r>
        <w:rPr>
          <w:noProof/>
          <w:position w:val="-32"/>
        </w:rPr>
        <w:drawing>
          <wp:inline distT="0" distB="0" distL="0" distR="0" wp14:anchorId="66CB19F7" wp14:editId="696C07CF">
            <wp:extent cx="1912620" cy="365760"/>
            <wp:effectExtent l="0" t="0" r="0" b="0"/>
            <wp:docPr id="6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912620" cy="365760"/>
                    </a:xfrm>
                    <a:prstGeom prst="rect">
                      <a:avLst/>
                    </a:prstGeom>
                    <a:noFill/>
                    <a:ln>
                      <a:noFill/>
                    </a:ln>
                  </pic:spPr>
                </pic:pic>
              </a:graphicData>
            </a:graphic>
          </wp:inline>
        </w:drawing>
      </w:r>
    </w:p>
    <w:p w14:paraId="339B922E" w14:textId="77777777" w:rsidR="00F8788D" w:rsidRPr="008614C9" w:rsidRDefault="00F8788D" w:rsidP="002414BB">
      <w:pPr>
        <w:rPr>
          <w:rFonts w:eastAsiaTheme="minorEastAsia"/>
        </w:rPr>
      </w:pPr>
      <w:r>
        <w:t xml:space="preserve">Where </w:t>
      </w:r>
      <m:oMath>
        <m:sSub>
          <m:sSubPr>
            <m:ctrlPr>
              <w:rPr>
                <w:rFonts w:ascii="Cambria Math" w:hAnsi="Cambria Math"/>
                <w:i/>
                <w:iCs/>
                <w:lang w:val="it-IT"/>
              </w:rPr>
            </m:ctrlPr>
          </m:sSubPr>
          <m:e>
            <m:r>
              <w:rPr>
                <w:rFonts w:ascii="Cambria Math" w:hAnsi="Cambria Math"/>
                <w:lang w:val="it-IT"/>
              </w:rPr>
              <m:t>φ</m:t>
            </m:r>
          </m:e>
          <m:sub>
            <m:r>
              <w:rPr>
                <w:rFonts w:ascii="Cambria Math" w:hAnsi="Cambria Math"/>
                <w:lang w:val="it-IT"/>
              </w:rPr>
              <m:t>i</m:t>
            </m:r>
            <m:r>
              <w:rPr>
                <w:rFonts w:ascii="Cambria Math" w:hAnsi="Cambria Math"/>
              </w:rPr>
              <m:t>,h</m:t>
            </m:r>
          </m:sub>
        </m:sSub>
      </m:oMath>
      <w:r w:rsidRPr="008614C9">
        <w:rPr>
          <w:rFonts w:eastAsiaTheme="minorEastAsia"/>
        </w:rPr>
        <w:t xml:space="preserve"> shall now be understood to either correspond to the ATC line flows, or to lines making up the FB bilateral topology, allowing us to combine flow calculation in either ATC or FB regions in a single model.</w:t>
      </w:r>
    </w:p>
    <w:p w14:paraId="7243C6D3" w14:textId="77777777" w:rsidR="00F8788D" w:rsidRPr="008614C9" w:rsidRDefault="00F8788D" w:rsidP="002414BB">
      <w:pPr>
        <w:rPr>
          <w:rFonts w:eastAsiaTheme="minorEastAsia"/>
        </w:rPr>
      </w:pPr>
    </w:p>
    <w:p w14:paraId="2D2F7DDF" w14:textId="77777777" w:rsidR="00F8788D" w:rsidRDefault="00F8788D" w:rsidP="002414BB">
      <w:r w:rsidRPr="008614C9">
        <w:rPr>
          <w:rFonts w:eastAsiaTheme="minorEastAsia"/>
        </w:rPr>
        <w:t>Each line in the FB topology can be individually set to either allow or not allow adverse flows. If a line in the topology does not allow adverse flows, there will be infinite capacity from the lower priced market to the higher priced market, but 0 in the adverse direction. If both prices are equal, there will be infinite capacity in both directions. If the line does allow adverse flows, there will be infinite capacity in both directions, regardless of the prices.</w:t>
      </w:r>
    </w:p>
    <w:p w14:paraId="11FC992C" w14:textId="77777777" w:rsidR="00F8788D" w:rsidRDefault="00F8788D" w:rsidP="002414BB"/>
    <w:p w14:paraId="228CF990" w14:textId="77777777" w:rsidR="00F8788D" w:rsidRDefault="00F8788D" w:rsidP="002414BB">
      <w:pPr>
        <w:jc w:val="both"/>
      </w:pPr>
    </w:p>
    <w:p w14:paraId="154ED538" w14:textId="77777777" w:rsidR="00F8788D" w:rsidRDefault="00F8788D" w:rsidP="00F8788D">
      <w:pPr>
        <w:pStyle w:val="Heading3"/>
        <w:numPr>
          <w:ilvl w:val="2"/>
          <w:numId w:val="16"/>
        </w:numPr>
      </w:pPr>
      <w:bookmarkStart w:id="351" w:name="_Flow_calculation_between"/>
      <w:bookmarkStart w:id="352" w:name="_Toc498521566"/>
      <w:bookmarkStart w:id="353" w:name="_Ref499217582"/>
      <w:bookmarkStart w:id="354" w:name="_Toc500406829"/>
      <w:bookmarkStart w:id="355" w:name="_Ref500429463"/>
      <w:bookmarkStart w:id="356" w:name="_Ref502836496"/>
      <w:bookmarkStart w:id="357" w:name="_Toc503782605"/>
      <w:bookmarkStart w:id="358" w:name="_Toc507425412"/>
      <w:bookmarkEnd w:id="351"/>
      <w:r>
        <w:t>Flow calculation between Scheduling Areas (SA)</w:t>
      </w:r>
      <w:bookmarkEnd w:id="352"/>
      <w:bookmarkEnd w:id="353"/>
      <w:bookmarkEnd w:id="354"/>
      <w:bookmarkEnd w:id="355"/>
      <w:bookmarkEnd w:id="356"/>
      <w:bookmarkEnd w:id="357"/>
      <w:bookmarkEnd w:id="358"/>
    </w:p>
    <w:p w14:paraId="0C5678E6" w14:textId="77777777" w:rsidR="00F8788D" w:rsidRDefault="00F8788D" w:rsidP="002414BB"/>
    <w:p w14:paraId="6C68C1D4" w14:textId="77777777" w:rsidR="00F8788D" w:rsidRDefault="00F8788D" w:rsidP="002414BB">
      <w:r>
        <w:t>Bidding zones by definition do not impose internal capacity constraints, and therefore are at the core of the capacity allocation. To support the post coupling processes, additional flows will be calculated by the algorithm as well. In this section the flows between the “scheduling areas” are detailed.</w:t>
      </w:r>
    </w:p>
    <w:p w14:paraId="09E0DDA7" w14:textId="77777777" w:rsidR="00F8788D" w:rsidRDefault="00F8788D" w:rsidP="002414BB"/>
    <w:p w14:paraId="12A3F80F" w14:textId="77777777" w:rsidR="00F8788D" w:rsidRDefault="00F8788D" w:rsidP="002414BB">
      <w:r>
        <w:t>Scheduling areas correspond to the delivery areas within each bidding zone. Typically there is only a single TSO for each bidding zone, so the relation is 1:1. The exception is the DE/AT/LU</w:t>
      </w:r>
      <w:r>
        <w:rPr>
          <w:rStyle w:val="FootnoteReference"/>
        </w:rPr>
        <w:footnoteReference w:id="10"/>
      </w:r>
      <w:r>
        <w:t xml:space="preserve"> bidding zone, where energy can be delivered to more than 1 scheduling areas.</w:t>
      </w:r>
    </w:p>
    <w:p w14:paraId="37700741" w14:textId="77777777" w:rsidR="00F8788D" w:rsidRDefault="00F8788D" w:rsidP="002414BB"/>
    <w:p w14:paraId="5FD31E1B" w14:textId="7809E7A9" w:rsidR="00F8788D" w:rsidRDefault="00F8788D" w:rsidP="002414BB">
      <w:r>
        <w:t xml:space="preserve">As illustrated in </w:t>
      </w:r>
      <w:r>
        <w:fldChar w:fldCharType="begin"/>
      </w:r>
      <w:r>
        <w:instrText xml:space="preserve"> REF _Ref495912909 \h </w:instrText>
      </w:r>
      <w:r>
        <w:fldChar w:fldCharType="separate"/>
      </w:r>
      <w:r w:rsidR="00FC1305">
        <w:t xml:space="preserve">Figure </w:t>
      </w:r>
      <w:r w:rsidR="00FC1305">
        <w:rPr>
          <w:noProof/>
        </w:rPr>
        <w:t>8</w:t>
      </w:r>
      <w:r>
        <w:fldChar w:fldCharType="end"/>
      </w:r>
      <w:r>
        <w:t>, there are 4 scheduling areas in Germany plus APG for Austria, which gives 5 scheduling areas for the DE/AT/LU bidding zone. Nonetheless the modelling of the scheduling area allows one to configure any number of scheduling areas per bidding zone.</w:t>
      </w:r>
    </w:p>
    <w:p w14:paraId="4136D550" w14:textId="77777777" w:rsidR="00F8788D" w:rsidRDefault="00F8788D" w:rsidP="002414BB"/>
    <w:p w14:paraId="6FA2404A" w14:textId="77777777" w:rsidR="00F8788D" w:rsidRPr="008F46A5" w:rsidRDefault="00F8788D" w:rsidP="002414BB">
      <w:pPr>
        <w:rPr>
          <w:i/>
        </w:rPr>
      </w:pPr>
      <w:r w:rsidRPr="008F46A5">
        <w:rPr>
          <w:i/>
        </w:rPr>
        <w:t>Limitations</w:t>
      </w:r>
    </w:p>
    <w:p w14:paraId="3E895C1B" w14:textId="77777777" w:rsidR="00F8788D" w:rsidRDefault="00F8788D" w:rsidP="002414BB">
      <w:r>
        <w:t>Although the model may be sufficiently generic to allow scheduling areas in each bidding zone, only the bidding zone that includes Germany (today the DE/AT/LU bidding zone) may contain scheduling areas. Any request for scheduling areas outside of Germany will be considered a change request.</w:t>
      </w:r>
    </w:p>
    <w:p w14:paraId="369F5026" w14:textId="77777777" w:rsidR="00F8788D" w:rsidRDefault="00F8788D" w:rsidP="002414BB"/>
    <w:p w14:paraId="18D2A191" w14:textId="77777777" w:rsidR="00F8788D" w:rsidRDefault="00F8788D" w:rsidP="002414BB"/>
    <w:p w14:paraId="638CF065" w14:textId="77777777" w:rsidR="00F8788D" w:rsidRDefault="00F8788D" w:rsidP="002414BB">
      <w:pPr>
        <w:keepNext/>
      </w:pPr>
      <w:r>
        <w:rPr>
          <w:noProof/>
          <w:lang w:val="en-US" w:eastAsia="en-US"/>
        </w:rPr>
        <w:drawing>
          <wp:inline distT="0" distB="0" distL="0" distR="0" wp14:anchorId="5EDAF730" wp14:editId="1149E18E">
            <wp:extent cx="3027600" cy="4096800"/>
            <wp:effectExtent l="0" t="0" r="190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gelzonen_mit_Übertragungsnetzbetreiber_in_Deutschland.png"/>
                    <pic:cNvPicPr/>
                  </pic:nvPicPr>
                  <pic:blipFill>
                    <a:blip r:embed="rId37">
                      <a:extLst>
                        <a:ext uri="{28A0092B-C50C-407E-A947-70E740481C1C}">
                          <a14:useLocalDpi xmlns:a14="http://schemas.microsoft.com/office/drawing/2010/main" val="0"/>
                        </a:ext>
                      </a:extLst>
                    </a:blip>
                    <a:stretch>
                      <a:fillRect/>
                    </a:stretch>
                  </pic:blipFill>
                  <pic:spPr>
                    <a:xfrm>
                      <a:off x="0" y="0"/>
                      <a:ext cx="3027600" cy="4096800"/>
                    </a:xfrm>
                    <a:prstGeom prst="rect">
                      <a:avLst/>
                    </a:prstGeom>
                  </pic:spPr>
                </pic:pic>
              </a:graphicData>
            </a:graphic>
          </wp:inline>
        </w:drawing>
      </w:r>
    </w:p>
    <w:p w14:paraId="30EF3FCA" w14:textId="50485222" w:rsidR="00F8788D" w:rsidRDefault="00F8788D" w:rsidP="002414BB">
      <w:pPr>
        <w:pStyle w:val="Caption"/>
      </w:pPr>
      <w:bookmarkStart w:id="359" w:name="_Ref495912909"/>
      <w:r>
        <w:t xml:space="preserve">Figure </w:t>
      </w:r>
      <w:r>
        <w:fldChar w:fldCharType="begin"/>
      </w:r>
      <w:r>
        <w:instrText xml:space="preserve"> SEQ Figure \* ARABIC </w:instrText>
      </w:r>
      <w:r>
        <w:fldChar w:fldCharType="separate"/>
      </w:r>
      <w:r w:rsidR="00FC1305">
        <w:rPr>
          <w:noProof/>
        </w:rPr>
        <w:t>8</w:t>
      </w:r>
      <w:r>
        <w:fldChar w:fldCharType="end"/>
      </w:r>
      <w:bookmarkEnd w:id="359"/>
      <w:r>
        <w:t xml:space="preserve"> German TSOs which correspond to DE scheduling areas. The anticipated scope of the DE/AT/LU bidding zone also includes the APG scheduling area.</w:t>
      </w:r>
    </w:p>
    <w:p w14:paraId="656EEDD7" w14:textId="77777777" w:rsidR="00F8788D" w:rsidRDefault="00F8788D" w:rsidP="002414BB"/>
    <w:p w14:paraId="6BA7398E" w14:textId="77777777" w:rsidR="00F8788D" w:rsidRDefault="00F8788D" w:rsidP="002414BB">
      <w:r>
        <w:t>The scheduling areas are configured via the Shared Configuration File. Each bidding zone will have at least a single scheduling area associated. For the bidding zone that includes Germany more than 1 scheduling areas can be associated.</w:t>
      </w:r>
    </w:p>
    <w:p w14:paraId="0957DE5F" w14:textId="77777777" w:rsidR="00F8788D" w:rsidRDefault="00F8788D" w:rsidP="002414BB">
      <w:r>
        <w:t>Apart from the scheduling areas, there shall be a scheduling area topology that needs to be defined, as illustrated in the figure below:</w:t>
      </w:r>
      <w:r>
        <w:rPr>
          <w:noProof/>
          <w:lang w:val="en-US" w:eastAsia="en-US"/>
        </w:rPr>
        <w:drawing>
          <wp:inline distT="0" distB="0" distL="0" distR="0" wp14:anchorId="5A5EB464" wp14:editId="7E3B35D1">
            <wp:extent cx="5270500" cy="3744595"/>
            <wp:effectExtent l="0" t="0" r="635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270500" cy="3744595"/>
                    </a:xfrm>
                    <a:prstGeom prst="rect">
                      <a:avLst/>
                    </a:prstGeom>
                  </pic:spPr>
                </pic:pic>
              </a:graphicData>
            </a:graphic>
          </wp:inline>
        </w:drawing>
      </w:r>
    </w:p>
    <w:p w14:paraId="0AFA97A4" w14:textId="1BB25068" w:rsidR="00F8788D" w:rsidRDefault="00F8788D" w:rsidP="002414BB">
      <w:pPr>
        <w:pStyle w:val="Caption"/>
        <w:jc w:val="both"/>
      </w:pPr>
      <w:r>
        <w:t xml:space="preserve">Figure </w:t>
      </w:r>
      <w:r>
        <w:fldChar w:fldCharType="begin"/>
      </w:r>
      <w:r>
        <w:instrText xml:space="preserve"> SEQ Figure \* ARABIC </w:instrText>
      </w:r>
      <w:r>
        <w:fldChar w:fldCharType="separate"/>
      </w:r>
      <w:r w:rsidR="00FC1305">
        <w:rPr>
          <w:noProof/>
        </w:rPr>
        <w:t>9</w:t>
      </w:r>
      <w:r>
        <w:fldChar w:fldCharType="end"/>
      </w:r>
      <w:r>
        <w:t xml:space="preserve"> Schematic description of all the scheduling areas and the scheduling area lines, for which the CWE TSOs have requested results.</w:t>
      </w:r>
    </w:p>
    <w:p w14:paraId="4A9819BD" w14:textId="77777777" w:rsidR="00F8788D" w:rsidRDefault="00F8788D" w:rsidP="002414BB">
      <w:r>
        <w:t>Since internal scheduling areas subdivide the bidding zone, and there exist no capacity constraints within the bidding zone, it follows that there exist no capacity constraints between internal scheduling areas. For cross border scheduling areas, capacity constraints can exist. However the previous zonal flow calculation step already determined the cross zonal flows, and these flows are imposed as constraints into the scheduling area flow calculation. Furthermore, the cross-border scheduling areas flows will be pro-rated according to installed thermal capacities:</w:t>
      </w:r>
    </w:p>
    <w:p w14:paraId="4820331D" w14:textId="77777777" w:rsidR="00F8788D" w:rsidRDefault="00F8788D" w:rsidP="00F8788D">
      <w:pPr>
        <w:pStyle w:val="ListParagraph"/>
        <w:numPr>
          <w:ilvl w:val="0"/>
          <w:numId w:val="10"/>
        </w:numPr>
      </w:pPr>
      <w:r>
        <w:t>The installed thermal capacities will only be used to agree a priori how the zonal flow will be split between the different scheduling areas;</w:t>
      </w:r>
    </w:p>
    <w:p w14:paraId="1655B601" w14:textId="77777777" w:rsidR="00F8788D" w:rsidRDefault="00F8788D" w:rsidP="00F8788D">
      <w:pPr>
        <w:pStyle w:val="ListParagraph"/>
        <w:numPr>
          <w:ilvl w:val="0"/>
          <w:numId w:val="10"/>
        </w:numPr>
      </w:pPr>
      <w:r>
        <w:t>It is important to understand these “installed thermal capacities” do not reflect capacity available to the System Day Ahead Market.</w:t>
      </w:r>
    </w:p>
    <w:p w14:paraId="71340F5D" w14:textId="77777777" w:rsidR="00F8788D" w:rsidRDefault="00F8788D" w:rsidP="00F8788D">
      <w:pPr>
        <w:pStyle w:val="ListParagraph"/>
        <w:numPr>
          <w:ilvl w:val="0"/>
          <w:numId w:val="10"/>
        </w:numPr>
      </w:pPr>
      <w:r w:rsidRPr="00FE3EA0">
        <w:rPr>
          <w:i/>
        </w:rPr>
        <w:t>Example</w:t>
      </w:r>
      <w:r>
        <w:t>: imagine a flow from DE/AT → FR of 1200MW is computed by Euphemia. It needs to be split between:</w:t>
      </w:r>
    </w:p>
    <w:p w14:paraId="753E5C2B" w14:textId="77777777" w:rsidR="00F8788D" w:rsidRDefault="00F8788D" w:rsidP="00F8788D">
      <w:pPr>
        <w:pStyle w:val="ListParagraph"/>
        <w:numPr>
          <w:ilvl w:val="1"/>
          <w:numId w:val="10"/>
        </w:numPr>
      </w:pPr>
      <w:r>
        <w:t>Amprion → Rte (</w:t>
      </w:r>
      <w:r w:rsidRPr="00FE3EA0">
        <w:rPr>
          <w:i/>
        </w:rPr>
        <w:t>example</w:t>
      </w:r>
      <w:r>
        <w:t>: installed thermal capacity = 30MW);</w:t>
      </w:r>
    </w:p>
    <w:p w14:paraId="7462C159" w14:textId="77777777" w:rsidR="00F8788D" w:rsidRDefault="00F8788D" w:rsidP="00F8788D">
      <w:pPr>
        <w:pStyle w:val="ListParagraph"/>
        <w:numPr>
          <w:ilvl w:val="1"/>
          <w:numId w:val="10"/>
        </w:numPr>
      </w:pPr>
      <w:r>
        <w:t>Transnet → Rte; (</w:t>
      </w:r>
      <w:r w:rsidRPr="00FE3EA0">
        <w:rPr>
          <w:i/>
        </w:rPr>
        <w:t>example</w:t>
      </w:r>
      <w:r>
        <w:t>: installed thermal capacity = 70MW);</w:t>
      </w:r>
    </w:p>
    <w:p w14:paraId="0BA06A8C" w14:textId="77777777" w:rsidR="00F8788D" w:rsidRDefault="00F8788D" w:rsidP="00F8788D">
      <w:pPr>
        <w:pStyle w:val="ListParagraph"/>
        <w:numPr>
          <w:ilvl w:val="1"/>
          <w:numId w:val="10"/>
        </w:numPr>
      </w:pPr>
      <w:r>
        <w:t>Split:</w:t>
      </w:r>
    </w:p>
    <w:p w14:paraId="2424300A" w14:textId="77777777" w:rsidR="00F8788D" w:rsidRDefault="00F8788D" w:rsidP="00F8788D">
      <w:pPr>
        <w:pStyle w:val="ListParagraph"/>
        <w:numPr>
          <w:ilvl w:val="2"/>
          <w:numId w:val="10"/>
        </w:numPr>
      </w:pPr>
      <w:r>
        <w:t>Amprion → Rte: 30/(30+70)* 1200 = 360MW;</w:t>
      </w:r>
    </w:p>
    <w:p w14:paraId="1B53A56F" w14:textId="77777777" w:rsidR="00F8788D" w:rsidRDefault="00F8788D" w:rsidP="00F8788D">
      <w:pPr>
        <w:pStyle w:val="ListParagraph"/>
        <w:numPr>
          <w:ilvl w:val="2"/>
          <w:numId w:val="10"/>
        </w:numPr>
      </w:pPr>
      <w:r>
        <w:t>Transet → Rte: 70/(30+70)*1200 = 840MW;</w:t>
      </w:r>
    </w:p>
    <w:p w14:paraId="72FE56D5" w14:textId="77777777" w:rsidR="00F8788D" w:rsidRDefault="00F8788D" w:rsidP="00F8788D">
      <w:pPr>
        <w:pStyle w:val="ListParagraph"/>
        <w:numPr>
          <w:ilvl w:val="1"/>
          <w:numId w:val="10"/>
        </w:numPr>
      </w:pPr>
      <w:r>
        <w:t>Note: we intentionally used silly values for the installed thermal capacities to make clear they are not to be confused with DA cross zonal capacities;</w:t>
      </w:r>
    </w:p>
    <w:p w14:paraId="22561C79" w14:textId="77777777" w:rsidR="00F8788D" w:rsidRDefault="00F8788D" w:rsidP="00F8788D">
      <w:pPr>
        <w:pStyle w:val="ListParagraph"/>
        <w:numPr>
          <w:ilvl w:val="1"/>
          <w:numId w:val="10"/>
        </w:numPr>
      </w:pPr>
      <w:r>
        <w:t>Note: equivalently we could say that 30% shall be scheduled over Amprion → Rte, and 70% over Transnet → Rte;</w:t>
      </w:r>
    </w:p>
    <w:p w14:paraId="5C8F016E" w14:textId="77777777" w:rsidR="00F8788D" w:rsidRDefault="00F8788D" w:rsidP="002414BB"/>
    <w:p w14:paraId="7536D0FE" w14:textId="77777777" w:rsidR="00F8788D" w:rsidRDefault="00F8788D" w:rsidP="002414BB">
      <w:r>
        <w:t>For Euphemia to establish the relevant ratios (percentage), it needs to receive the thermal capacities as an input.</w:t>
      </w:r>
    </w:p>
    <w:p w14:paraId="52FCA006" w14:textId="77777777" w:rsidR="00F8788D" w:rsidRDefault="00F8788D" w:rsidP="002414BB"/>
    <w:p w14:paraId="4093FAD8" w14:textId="77777777" w:rsidR="00F8788D" w:rsidRPr="00F84DFC" w:rsidRDefault="00F8788D" w:rsidP="002414BB">
      <w:pPr>
        <w:rPr>
          <w:i/>
        </w:rPr>
      </w:pPr>
      <w:r w:rsidRPr="00F84DFC">
        <w:rPr>
          <w:i/>
        </w:rPr>
        <w:t>Parameters</w:t>
      </w:r>
    </w:p>
    <w:tbl>
      <w:tblPr>
        <w:tblStyle w:val="TableGrid"/>
        <w:tblW w:w="0" w:type="auto"/>
        <w:tblLook w:val="04A0" w:firstRow="1" w:lastRow="0" w:firstColumn="1" w:lastColumn="0" w:noHBand="0" w:noVBand="1"/>
      </w:tblPr>
      <w:tblGrid>
        <w:gridCol w:w="1242"/>
        <w:gridCol w:w="7274"/>
      </w:tblGrid>
      <w:tr w:rsidR="00F8788D" w14:paraId="1CEBAC4A" w14:textId="77777777" w:rsidTr="002414BB">
        <w:tc>
          <w:tcPr>
            <w:tcW w:w="1242" w:type="dxa"/>
          </w:tcPr>
          <w:p w14:paraId="080B0331" w14:textId="0DAE63A5" w:rsidR="00F8788D" w:rsidRDefault="00F629D2" w:rsidP="002414BB">
            <w:r>
              <w:rPr>
                <w:noProof/>
                <w:position w:val="-14"/>
              </w:rPr>
              <w:drawing>
                <wp:inline distT="0" distB="0" distL="0" distR="0" wp14:anchorId="18B00B13" wp14:editId="1C47E87A">
                  <wp:extent cx="571500" cy="259080"/>
                  <wp:effectExtent l="0" t="0" r="0" b="7620"/>
                  <wp:docPr id="6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1500" cy="259080"/>
                          </a:xfrm>
                          <a:prstGeom prst="rect">
                            <a:avLst/>
                          </a:prstGeom>
                          <a:noFill/>
                          <a:ln>
                            <a:noFill/>
                          </a:ln>
                        </pic:spPr>
                      </pic:pic>
                    </a:graphicData>
                  </a:graphic>
                </wp:inline>
              </w:drawing>
            </w:r>
          </w:p>
        </w:tc>
        <w:tc>
          <w:tcPr>
            <w:tcW w:w="7274" w:type="dxa"/>
          </w:tcPr>
          <w:p w14:paraId="298636A9" w14:textId="6ACF08A1" w:rsidR="00F8788D" w:rsidRDefault="00F8788D" w:rsidP="002414BB">
            <w:r>
              <w:t xml:space="preserve">the flow between zones z1 and z2, </w:t>
            </w:r>
            <w:r w:rsidR="00F629D2">
              <w:rPr>
                <w:noProof/>
                <w:position w:val="-10"/>
              </w:rPr>
              <w:drawing>
                <wp:inline distT="0" distB="0" distL="0" distR="0" wp14:anchorId="34A5926C" wp14:editId="3A8DBE6C">
                  <wp:extent cx="998220" cy="236220"/>
                  <wp:effectExtent l="0" t="0" r="0" b="0"/>
                  <wp:docPr id="6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998220" cy="236220"/>
                          </a:xfrm>
                          <a:prstGeom prst="rect">
                            <a:avLst/>
                          </a:prstGeom>
                          <a:noFill/>
                          <a:ln>
                            <a:noFill/>
                          </a:ln>
                        </pic:spPr>
                      </pic:pic>
                    </a:graphicData>
                  </a:graphic>
                </wp:inline>
              </w:drawing>
            </w:r>
          </w:p>
        </w:tc>
      </w:tr>
      <w:tr w:rsidR="00F8788D" w14:paraId="1DE5B008" w14:textId="77777777" w:rsidTr="002414BB">
        <w:tc>
          <w:tcPr>
            <w:tcW w:w="1242" w:type="dxa"/>
          </w:tcPr>
          <w:p w14:paraId="183D63E2" w14:textId="16D18226" w:rsidR="00F8788D" w:rsidRPr="00F84DFC" w:rsidRDefault="00F629D2" w:rsidP="002414BB">
            <w:r>
              <w:rPr>
                <w:noProof/>
                <w:position w:val="-6"/>
              </w:rPr>
              <w:drawing>
                <wp:inline distT="0" distB="0" distL="0" distR="0" wp14:anchorId="4EEF0DC1" wp14:editId="5AFC2984">
                  <wp:extent cx="365760" cy="220980"/>
                  <wp:effectExtent l="0" t="0" r="0" b="7620"/>
                  <wp:docPr id="5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65760" cy="220980"/>
                          </a:xfrm>
                          <a:prstGeom prst="rect">
                            <a:avLst/>
                          </a:prstGeom>
                          <a:noFill/>
                          <a:ln>
                            <a:noFill/>
                          </a:ln>
                        </pic:spPr>
                      </pic:pic>
                    </a:graphicData>
                  </a:graphic>
                </wp:inline>
              </w:drawing>
            </w:r>
          </w:p>
        </w:tc>
        <w:tc>
          <w:tcPr>
            <w:tcW w:w="7274" w:type="dxa"/>
          </w:tcPr>
          <w:p w14:paraId="062D9625" w14:textId="77777777" w:rsidR="00F8788D" w:rsidRDefault="00F8788D" w:rsidP="002414BB">
            <w:r>
              <w:t>the net position of scheduling area sa</w:t>
            </w:r>
          </w:p>
        </w:tc>
      </w:tr>
      <w:tr w:rsidR="00F8788D" w14:paraId="69ACA150" w14:textId="77777777" w:rsidTr="002414BB">
        <w:tc>
          <w:tcPr>
            <w:tcW w:w="1242" w:type="dxa"/>
          </w:tcPr>
          <w:p w14:paraId="0F9EEB4A" w14:textId="01C81CC2" w:rsidR="00F8788D" w:rsidRDefault="00F629D2" w:rsidP="002414BB">
            <w:r>
              <w:rPr>
                <w:noProof/>
                <w:position w:val="-14"/>
              </w:rPr>
              <w:drawing>
                <wp:inline distT="0" distB="0" distL="0" distR="0" wp14:anchorId="43EF7AC2" wp14:editId="71F29196">
                  <wp:extent cx="388620" cy="236220"/>
                  <wp:effectExtent l="0" t="0" r="0" b="0"/>
                  <wp:docPr id="5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88620" cy="236220"/>
                          </a:xfrm>
                          <a:prstGeom prst="rect">
                            <a:avLst/>
                          </a:prstGeom>
                          <a:noFill/>
                          <a:ln>
                            <a:noFill/>
                          </a:ln>
                        </pic:spPr>
                      </pic:pic>
                    </a:graphicData>
                  </a:graphic>
                </wp:inline>
              </w:drawing>
            </w:r>
          </w:p>
        </w:tc>
        <w:tc>
          <w:tcPr>
            <w:tcW w:w="7274" w:type="dxa"/>
          </w:tcPr>
          <w:p w14:paraId="5EB53B31" w14:textId="66B4B253" w:rsidR="00F8788D" w:rsidRDefault="00F8788D" w:rsidP="002414BB">
            <w:r>
              <w:t xml:space="preserve">the linear cost coefficient between scheduling areas sa1 and sa2, </w:t>
            </w:r>
            <w:r w:rsidR="00F629D2">
              <w:rPr>
                <w:noProof/>
                <w:position w:val="-12"/>
              </w:rPr>
              <w:drawing>
                <wp:inline distT="0" distB="0" distL="0" distR="0" wp14:anchorId="55452F8E" wp14:editId="1F0039C3">
                  <wp:extent cx="1181100" cy="236220"/>
                  <wp:effectExtent l="0" t="0" r="0" b="0"/>
                  <wp:docPr id="5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181100" cy="236220"/>
                          </a:xfrm>
                          <a:prstGeom prst="rect">
                            <a:avLst/>
                          </a:prstGeom>
                          <a:noFill/>
                          <a:ln>
                            <a:noFill/>
                          </a:ln>
                        </pic:spPr>
                      </pic:pic>
                    </a:graphicData>
                  </a:graphic>
                </wp:inline>
              </w:drawing>
            </w:r>
          </w:p>
        </w:tc>
      </w:tr>
      <w:tr w:rsidR="00F8788D" w14:paraId="78E750A0" w14:textId="77777777" w:rsidTr="002414BB">
        <w:tc>
          <w:tcPr>
            <w:tcW w:w="1242" w:type="dxa"/>
          </w:tcPr>
          <w:p w14:paraId="1EB56417" w14:textId="13456835" w:rsidR="00F8788D" w:rsidRDefault="00F629D2" w:rsidP="002414BB">
            <w:r>
              <w:rPr>
                <w:noProof/>
                <w:position w:val="-14"/>
              </w:rPr>
              <w:drawing>
                <wp:inline distT="0" distB="0" distL="0" distR="0" wp14:anchorId="5A3E3493" wp14:editId="5FCE9560">
                  <wp:extent cx="388620" cy="236220"/>
                  <wp:effectExtent l="0" t="0" r="0" b="0"/>
                  <wp:docPr id="5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88620" cy="236220"/>
                          </a:xfrm>
                          <a:prstGeom prst="rect">
                            <a:avLst/>
                          </a:prstGeom>
                          <a:noFill/>
                          <a:ln>
                            <a:noFill/>
                          </a:ln>
                        </pic:spPr>
                      </pic:pic>
                    </a:graphicData>
                  </a:graphic>
                </wp:inline>
              </w:drawing>
            </w:r>
          </w:p>
        </w:tc>
        <w:tc>
          <w:tcPr>
            <w:tcW w:w="7274" w:type="dxa"/>
          </w:tcPr>
          <w:p w14:paraId="2FCD7AA8" w14:textId="16EFDF27" w:rsidR="00F8788D" w:rsidRDefault="00F8788D" w:rsidP="002414BB">
            <w:r>
              <w:t xml:space="preserve">the quadratic cost coefficient between scheduling areas sa1 and sa2, </w:t>
            </w:r>
            <w:r w:rsidR="00F629D2">
              <w:rPr>
                <w:noProof/>
                <w:position w:val="-12"/>
              </w:rPr>
              <w:drawing>
                <wp:inline distT="0" distB="0" distL="0" distR="0" wp14:anchorId="1F73CB03" wp14:editId="44E8180F">
                  <wp:extent cx="1181100" cy="236220"/>
                  <wp:effectExtent l="0" t="0" r="0" b="0"/>
                  <wp:docPr id="5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181100" cy="236220"/>
                          </a:xfrm>
                          <a:prstGeom prst="rect">
                            <a:avLst/>
                          </a:prstGeom>
                          <a:noFill/>
                          <a:ln>
                            <a:noFill/>
                          </a:ln>
                        </pic:spPr>
                      </pic:pic>
                    </a:graphicData>
                  </a:graphic>
                </wp:inline>
              </w:drawing>
            </w:r>
          </w:p>
        </w:tc>
      </w:tr>
      <w:tr w:rsidR="00F8788D" w14:paraId="1B6E3FBF" w14:textId="77777777" w:rsidTr="002414BB">
        <w:tc>
          <w:tcPr>
            <w:tcW w:w="1242" w:type="dxa"/>
          </w:tcPr>
          <w:p w14:paraId="5D0D02E8" w14:textId="4CCF0C48" w:rsidR="00F8788D" w:rsidRDefault="00F629D2" w:rsidP="002414BB">
            <w:r>
              <w:rPr>
                <w:noProof/>
                <w:position w:val="-14"/>
              </w:rPr>
              <w:drawing>
                <wp:inline distT="0" distB="0" distL="0" distR="0" wp14:anchorId="3840033D" wp14:editId="151E772F">
                  <wp:extent cx="495300" cy="236220"/>
                  <wp:effectExtent l="0" t="0" r="0" b="0"/>
                  <wp:docPr id="5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95300" cy="236220"/>
                          </a:xfrm>
                          <a:prstGeom prst="rect">
                            <a:avLst/>
                          </a:prstGeom>
                          <a:noFill/>
                          <a:ln>
                            <a:noFill/>
                          </a:ln>
                        </pic:spPr>
                      </pic:pic>
                    </a:graphicData>
                  </a:graphic>
                </wp:inline>
              </w:drawing>
            </w:r>
          </w:p>
        </w:tc>
        <w:tc>
          <w:tcPr>
            <w:tcW w:w="7274" w:type="dxa"/>
          </w:tcPr>
          <w:p w14:paraId="573576FD" w14:textId="77777777" w:rsidR="00F8788D" w:rsidRDefault="00F8788D" w:rsidP="002414BB">
            <w:r>
              <w:t xml:space="preserve">The thermal capacity installed between sa1 and sa2 </w:t>
            </w:r>
          </w:p>
          <w:p w14:paraId="3922B9A7" w14:textId="244DFC06" w:rsidR="00F8788D" w:rsidRDefault="00F629D2" w:rsidP="002414BB">
            <w:r>
              <w:rPr>
                <w:noProof/>
                <w:position w:val="-12"/>
              </w:rPr>
              <w:drawing>
                <wp:inline distT="0" distB="0" distL="0" distR="0" wp14:anchorId="0AC90A23" wp14:editId="12215887">
                  <wp:extent cx="3276600" cy="236220"/>
                  <wp:effectExtent l="0" t="0" r="0" b="0"/>
                  <wp:docPr id="5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276600" cy="236220"/>
                          </a:xfrm>
                          <a:prstGeom prst="rect">
                            <a:avLst/>
                          </a:prstGeom>
                          <a:noFill/>
                          <a:ln>
                            <a:noFill/>
                          </a:ln>
                        </pic:spPr>
                      </pic:pic>
                    </a:graphicData>
                  </a:graphic>
                </wp:inline>
              </w:drawing>
            </w:r>
          </w:p>
          <w:p w14:paraId="04390B2C" w14:textId="77777777" w:rsidR="00F8788D" w:rsidRDefault="00F8788D" w:rsidP="002414BB">
            <w:r>
              <w:t>(there are thermal capacities only for scheduling area lines that cross a bidding zone border)</w:t>
            </w:r>
          </w:p>
        </w:tc>
      </w:tr>
    </w:tbl>
    <w:p w14:paraId="6F905508" w14:textId="77777777" w:rsidR="00F8788D" w:rsidRDefault="00F8788D" w:rsidP="002414BB"/>
    <w:p w14:paraId="0F1AFB29" w14:textId="77777777" w:rsidR="00F8788D" w:rsidRDefault="00F8788D" w:rsidP="002414BB"/>
    <w:p w14:paraId="19221310" w14:textId="77777777" w:rsidR="00F8788D" w:rsidRPr="00F84DFC" w:rsidRDefault="00F8788D" w:rsidP="002414BB">
      <w:pPr>
        <w:rPr>
          <w:i/>
        </w:rPr>
      </w:pPr>
      <w:r w:rsidRPr="00F84DFC">
        <w:rPr>
          <w:i/>
        </w:rPr>
        <w:t>Variables</w:t>
      </w:r>
    </w:p>
    <w:p w14:paraId="4B420502" w14:textId="27D4925A" w:rsidR="00F8788D" w:rsidRDefault="00F629D2" w:rsidP="002414BB">
      <w:r>
        <w:rPr>
          <w:noProof/>
          <w:position w:val="-14"/>
        </w:rPr>
        <w:drawing>
          <wp:inline distT="0" distB="0" distL="0" distR="0" wp14:anchorId="5D96A56C" wp14:editId="37648F27">
            <wp:extent cx="609600" cy="236220"/>
            <wp:effectExtent l="0" t="0" r="0" b="0"/>
            <wp:docPr id="5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609600" cy="236220"/>
                    </a:xfrm>
                    <a:prstGeom prst="rect">
                      <a:avLst/>
                    </a:prstGeom>
                    <a:noFill/>
                    <a:ln>
                      <a:noFill/>
                    </a:ln>
                  </pic:spPr>
                </pic:pic>
              </a:graphicData>
            </a:graphic>
          </wp:inline>
        </w:drawing>
      </w:r>
      <w:r w:rsidR="00F8788D">
        <w:t xml:space="preserve">: the flow between scheduling areas sa1 and sa2, </w:t>
      </w:r>
      <w:r>
        <w:rPr>
          <w:noProof/>
          <w:position w:val="-12"/>
        </w:rPr>
        <w:drawing>
          <wp:inline distT="0" distB="0" distL="0" distR="0" wp14:anchorId="77550FBA" wp14:editId="4F30F1E4">
            <wp:extent cx="1181100" cy="236220"/>
            <wp:effectExtent l="0" t="0" r="0" b="0"/>
            <wp:docPr id="5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181100" cy="236220"/>
                    </a:xfrm>
                    <a:prstGeom prst="rect">
                      <a:avLst/>
                    </a:prstGeom>
                    <a:noFill/>
                    <a:ln>
                      <a:noFill/>
                    </a:ln>
                  </pic:spPr>
                </pic:pic>
              </a:graphicData>
            </a:graphic>
          </wp:inline>
        </w:drawing>
      </w:r>
    </w:p>
    <w:p w14:paraId="3EC70068" w14:textId="77777777" w:rsidR="00F8788D" w:rsidRDefault="00F8788D" w:rsidP="002414BB"/>
    <w:p w14:paraId="73677816" w14:textId="77777777" w:rsidR="00F8788D" w:rsidRPr="00C047CF" w:rsidRDefault="00F8788D" w:rsidP="002414BB">
      <w:pPr>
        <w:rPr>
          <w:i/>
        </w:rPr>
      </w:pPr>
      <w:r w:rsidRPr="00C047CF">
        <w:rPr>
          <w:i/>
        </w:rPr>
        <w:t>Model</w:t>
      </w:r>
    </w:p>
    <w:tbl>
      <w:tblPr>
        <w:tblStyle w:val="TableGrid"/>
        <w:tblW w:w="0" w:type="auto"/>
        <w:tblLook w:val="04A0" w:firstRow="1" w:lastRow="0" w:firstColumn="1" w:lastColumn="0" w:noHBand="0" w:noVBand="1"/>
      </w:tblPr>
      <w:tblGrid>
        <w:gridCol w:w="4673"/>
        <w:gridCol w:w="3816"/>
        <w:gridCol w:w="574"/>
      </w:tblGrid>
      <w:tr w:rsidR="00F8788D" w14:paraId="5F29516F" w14:textId="77777777" w:rsidTr="002414BB">
        <w:tc>
          <w:tcPr>
            <w:tcW w:w="8290" w:type="dxa"/>
            <w:gridSpan w:val="3"/>
          </w:tcPr>
          <w:p w14:paraId="6376C9D1" w14:textId="73F73C03" w:rsidR="00F8788D" w:rsidRDefault="00F629D2" w:rsidP="002414BB">
            <w:r>
              <w:rPr>
                <w:noProof/>
                <w:position w:val="-32"/>
              </w:rPr>
              <w:drawing>
                <wp:inline distT="0" distB="0" distL="0" distR="0" wp14:anchorId="15493734" wp14:editId="0BFFEB6C">
                  <wp:extent cx="3169920" cy="381000"/>
                  <wp:effectExtent l="0" t="0" r="0" b="0"/>
                  <wp:docPr id="5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169920" cy="381000"/>
                          </a:xfrm>
                          <a:prstGeom prst="rect">
                            <a:avLst/>
                          </a:prstGeom>
                          <a:noFill/>
                          <a:ln>
                            <a:noFill/>
                          </a:ln>
                        </pic:spPr>
                      </pic:pic>
                    </a:graphicData>
                  </a:graphic>
                </wp:inline>
              </w:drawing>
            </w:r>
          </w:p>
        </w:tc>
      </w:tr>
      <w:tr w:rsidR="00F8788D" w14:paraId="7C54E317" w14:textId="77777777" w:rsidTr="002414BB">
        <w:tc>
          <w:tcPr>
            <w:tcW w:w="8290" w:type="dxa"/>
            <w:gridSpan w:val="3"/>
          </w:tcPr>
          <w:p w14:paraId="4F25E87D" w14:textId="77777777" w:rsidR="00F8788D" w:rsidRDefault="00F8788D" w:rsidP="002414BB">
            <w:r>
              <w:t>s.t.</w:t>
            </w:r>
          </w:p>
        </w:tc>
      </w:tr>
      <w:tr w:rsidR="00F8788D" w14:paraId="13A34EBC" w14:textId="77777777" w:rsidTr="002414BB">
        <w:tc>
          <w:tcPr>
            <w:tcW w:w="4673" w:type="dxa"/>
          </w:tcPr>
          <w:p w14:paraId="5F98E7D5" w14:textId="294E6C01" w:rsidR="00F8788D" w:rsidRDefault="00F629D2" w:rsidP="002414BB">
            <w:r>
              <w:rPr>
                <w:noProof/>
                <w:position w:val="-64"/>
              </w:rPr>
              <w:drawing>
                <wp:inline distT="0" distB="0" distL="0" distR="0" wp14:anchorId="34D77745" wp14:editId="061D3387">
                  <wp:extent cx="2324100" cy="655320"/>
                  <wp:effectExtent l="0" t="0" r="0" b="0"/>
                  <wp:docPr id="4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324100" cy="655320"/>
                          </a:xfrm>
                          <a:prstGeom prst="rect">
                            <a:avLst/>
                          </a:prstGeom>
                          <a:noFill/>
                          <a:ln>
                            <a:noFill/>
                          </a:ln>
                        </pic:spPr>
                      </pic:pic>
                    </a:graphicData>
                  </a:graphic>
                </wp:inline>
              </w:drawing>
            </w:r>
          </w:p>
        </w:tc>
        <w:tc>
          <w:tcPr>
            <w:tcW w:w="3043" w:type="dxa"/>
          </w:tcPr>
          <w:p w14:paraId="0802C799" w14:textId="566878A9" w:rsidR="00F8788D" w:rsidRDefault="00F629D2" w:rsidP="002414BB">
            <w:r>
              <w:rPr>
                <w:noProof/>
                <w:position w:val="-30"/>
                <w:sz w:val="18"/>
              </w:rPr>
              <w:drawing>
                <wp:inline distT="0" distB="0" distL="0" distR="0" wp14:anchorId="49076071" wp14:editId="68F692BE">
                  <wp:extent cx="2286000" cy="464820"/>
                  <wp:effectExtent l="0" t="0" r="0" b="0"/>
                  <wp:docPr id="4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286000" cy="464820"/>
                          </a:xfrm>
                          <a:prstGeom prst="rect">
                            <a:avLst/>
                          </a:prstGeom>
                          <a:noFill/>
                          <a:ln>
                            <a:noFill/>
                          </a:ln>
                        </pic:spPr>
                      </pic:pic>
                    </a:graphicData>
                  </a:graphic>
                </wp:inline>
              </w:drawing>
            </w:r>
          </w:p>
        </w:tc>
        <w:tc>
          <w:tcPr>
            <w:tcW w:w="574" w:type="dxa"/>
          </w:tcPr>
          <w:p w14:paraId="6DAFFDAA" w14:textId="77777777" w:rsidR="00F8788D" w:rsidRDefault="00F8788D" w:rsidP="00F8788D">
            <w:pPr>
              <w:pStyle w:val="ListParagraph"/>
              <w:numPr>
                <w:ilvl w:val="0"/>
                <w:numId w:val="15"/>
              </w:numPr>
              <w:ind w:left="357" w:hanging="357"/>
            </w:pPr>
            <w:bookmarkStart w:id="360" w:name="_Ref496024206"/>
            <w:r>
              <w:t xml:space="preserve"> </w:t>
            </w:r>
            <w:bookmarkEnd w:id="360"/>
          </w:p>
        </w:tc>
      </w:tr>
      <w:tr w:rsidR="00F8788D" w14:paraId="54F23E1B" w14:textId="77777777" w:rsidTr="002414BB">
        <w:tc>
          <w:tcPr>
            <w:tcW w:w="4673" w:type="dxa"/>
          </w:tcPr>
          <w:p w14:paraId="7B102C07" w14:textId="3CD11B46" w:rsidR="00F8788D" w:rsidRPr="005C7C8B" w:rsidRDefault="00F629D2" w:rsidP="002414BB">
            <w:r>
              <w:rPr>
                <w:noProof/>
                <w:position w:val="-90"/>
              </w:rPr>
              <w:drawing>
                <wp:inline distT="0" distB="0" distL="0" distR="0" wp14:anchorId="3B0BA8BE" wp14:editId="1290170D">
                  <wp:extent cx="1371600" cy="960120"/>
                  <wp:effectExtent l="0" t="0" r="0" b="0"/>
                  <wp:docPr id="4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371600" cy="960120"/>
                          </a:xfrm>
                          <a:prstGeom prst="rect">
                            <a:avLst/>
                          </a:prstGeom>
                          <a:noFill/>
                          <a:ln>
                            <a:noFill/>
                          </a:ln>
                        </pic:spPr>
                      </pic:pic>
                    </a:graphicData>
                  </a:graphic>
                </wp:inline>
              </w:drawing>
            </w:r>
          </w:p>
        </w:tc>
        <w:tc>
          <w:tcPr>
            <w:tcW w:w="3043" w:type="dxa"/>
          </w:tcPr>
          <w:p w14:paraId="36760F6A" w14:textId="616E760E" w:rsidR="00F8788D" w:rsidRPr="00252CBC" w:rsidRDefault="00F629D2" w:rsidP="002414BB">
            <w:r>
              <w:rPr>
                <w:noProof/>
                <w:position w:val="-6"/>
              </w:rPr>
              <w:drawing>
                <wp:inline distT="0" distB="0" distL="0" distR="0" wp14:anchorId="495544C2" wp14:editId="1A5F9F49">
                  <wp:extent cx="609600" cy="182880"/>
                  <wp:effectExtent l="0" t="0" r="0" b="7620"/>
                  <wp:docPr id="4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609600" cy="182880"/>
                          </a:xfrm>
                          <a:prstGeom prst="rect">
                            <a:avLst/>
                          </a:prstGeom>
                          <a:noFill/>
                          <a:ln>
                            <a:noFill/>
                          </a:ln>
                        </pic:spPr>
                      </pic:pic>
                    </a:graphicData>
                  </a:graphic>
                </wp:inline>
              </w:drawing>
            </w:r>
          </w:p>
        </w:tc>
        <w:tc>
          <w:tcPr>
            <w:tcW w:w="574" w:type="dxa"/>
          </w:tcPr>
          <w:p w14:paraId="6A3A2D8C" w14:textId="77777777" w:rsidR="00F8788D" w:rsidRDefault="00F8788D" w:rsidP="00F8788D">
            <w:pPr>
              <w:pStyle w:val="ListParagraph"/>
              <w:numPr>
                <w:ilvl w:val="0"/>
                <w:numId w:val="15"/>
              </w:numPr>
              <w:ind w:left="357" w:hanging="357"/>
            </w:pPr>
            <w:bookmarkStart w:id="361" w:name="_Ref497486275"/>
            <w:r>
              <w:t xml:space="preserve"> </w:t>
            </w:r>
            <w:bookmarkEnd w:id="361"/>
          </w:p>
        </w:tc>
      </w:tr>
    </w:tbl>
    <w:p w14:paraId="6C458160" w14:textId="77777777" w:rsidR="00F8788D" w:rsidRDefault="00F8788D" w:rsidP="002414BB"/>
    <w:p w14:paraId="41812B79" w14:textId="77777777" w:rsidR="00F8788D" w:rsidRDefault="00F8788D" w:rsidP="002414BB">
      <w:r>
        <w:t>The objective function of the scheduling area model is comparable to the one from the BZ flow calculation: here too we minimize linear and quadratic flow functions. The difference is we consider the flows (or exchanges) between scheduling areas rather than bidding zones.</w:t>
      </w:r>
    </w:p>
    <w:p w14:paraId="136D9481" w14:textId="77777777" w:rsidR="00F8788D" w:rsidRDefault="00F8788D" w:rsidP="002414BB"/>
    <w:p w14:paraId="6DE6E0A4" w14:textId="3D383425" w:rsidR="00F8788D" w:rsidRDefault="00F8788D" w:rsidP="002414BB">
      <w:r>
        <w:t xml:space="preserve">Constraint </w:t>
      </w:r>
      <w:r>
        <w:fldChar w:fldCharType="begin"/>
      </w:r>
      <w:r>
        <w:instrText xml:space="preserve"> REF _Ref496024206 \r \h </w:instrText>
      </w:r>
      <w:r>
        <w:fldChar w:fldCharType="separate"/>
      </w:r>
      <w:r w:rsidR="00FC1305">
        <w:t>(6)</w:t>
      </w:r>
      <w:r>
        <w:fldChar w:fldCharType="end"/>
      </w:r>
      <w:r>
        <w:t xml:space="preserve"> pro-rates cross border exchanges across the underlying scheduling area flows according to installed thermal capacities. In case both zones only have a single scheduling area, the full bidding zone flow will flow between the scheduling areas. For the model it is important to be provided with thermal capacities, even for these lines, to avoid division by zero problems (albeit the value could just assume a default value like “1”, and may not necessarily reflect the installed thermal capacity). ALWG will provide a suggestion for the default value, which will be included in the SCF, and PMB will subsequently populate them into the DB. It can already be confirmed a value will always be provided.</w:t>
      </w:r>
    </w:p>
    <w:p w14:paraId="4D44F43B" w14:textId="08FE0D2D" w:rsidR="00F8788D" w:rsidRPr="00C047CF" w:rsidRDefault="00F8788D" w:rsidP="002414BB">
      <w:r>
        <w:t xml:space="preserve">Constraint </w:t>
      </w:r>
      <w:r>
        <w:fldChar w:fldCharType="begin"/>
      </w:r>
      <w:r>
        <w:instrText xml:space="preserve"> REF _Ref497486275 \n \h </w:instrText>
      </w:r>
      <w:r>
        <w:fldChar w:fldCharType="separate"/>
      </w:r>
      <w:r w:rsidR="00FC1305">
        <w:t>(7)</w:t>
      </w:r>
      <w:r>
        <w:fldChar w:fldCharType="end"/>
      </w:r>
      <w:r>
        <w:t xml:space="preserve"> balances the sum of the SA flows with the sa net position;</w:t>
      </w:r>
    </w:p>
    <w:p w14:paraId="695A50A0" w14:textId="77777777" w:rsidR="00F8788D" w:rsidRDefault="00F8788D" w:rsidP="002414BB"/>
    <w:p w14:paraId="48D3F81F" w14:textId="241F88D4" w:rsidR="00F8788D" w:rsidRDefault="00F8788D" w:rsidP="002414BB">
      <w:r w:rsidRPr="00C047CF">
        <w:rPr>
          <w:b/>
        </w:rPr>
        <w:t>Note</w:t>
      </w:r>
      <w:r>
        <w:rPr>
          <w:b/>
        </w:rPr>
        <w:t>:</w:t>
      </w:r>
      <w:r>
        <w:t xml:space="preserve"> for lines where losses apply, the losses need to be appropriately reflected in constraint </w:t>
      </w:r>
      <w:r>
        <w:fldChar w:fldCharType="begin"/>
      </w:r>
      <w:r>
        <w:instrText xml:space="preserve"> REF _Ref496024206 \r \h </w:instrText>
      </w:r>
      <w:r>
        <w:fldChar w:fldCharType="separate"/>
      </w:r>
      <w:r w:rsidR="00FC1305">
        <w:t>(6)</w:t>
      </w:r>
      <w:r>
        <w:fldChar w:fldCharType="end"/>
      </w:r>
      <w:r>
        <w:t xml:space="preserve">. </w:t>
      </w:r>
    </w:p>
    <w:p w14:paraId="06E2899E" w14:textId="77777777" w:rsidR="00F8788D" w:rsidRDefault="00F8788D" w:rsidP="002414BB"/>
    <w:p w14:paraId="3BC62965" w14:textId="77777777" w:rsidR="00F8788D" w:rsidRDefault="00F8788D" w:rsidP="002414BB">
      <w:r>
        <w:t>Additional constraints that need to be respected:</w:t>
      </w:r>
    </w:p>
    <w:p w14:paraId="3C2EEDF8" w14:textId="77777777" w:rsidR="00F8788D" w:rsidRDefault="00F8788D" w:rsidP="002414BB"/>
    <w:p w14:paraId="6F6C1A9C" w14:textId="77777777" w:rsidR="00F8788D" w:rsidRDefault="00F8788D" w:rsidP="00F8788D">
      <w:pPr>
        <w:pStyle w:val="ListParagraph"/>
        <w:numPr>
          <w:ilvl w:val="0"/>
          <w:numId w:val="29"/>
        </w:numPr>
      </w:pPr>
      <w:r>
        <w:t>The sum of all flows for the scheduling area lines that represent the same bidding zone line shall match the value from the corresponding zonal line flow. [</w:t>
      </w:r>
      <w:r w:rsidRPr="009214E4">
        <w:rPr>
          <w:b/>
        </w:rPr>
        <w:t>note</w:t>
      </w:r>
      <w:r>
        <w:t>: through constraint (1) this is necessarily the case, but if in the future changes would be made to (1), this consistency constraint continues to be required];</w:t>
      </w:r>
    </w:p>
    <w:p w14:paraId="2145B282" w14:textId="77777777" w:rsidR="00F8788D" w:rsidRDefault="00F8788D" w:rsidP="00F8788D">
      <w:pPr>
        <w:pStyle w:val="ListParagraph"/>
        <w:numPr>
          <w:ilvl w:val="0"/>
          <w:numId w:val="29"/>
        </w:numPr>
      </w:pPr>
      <w:r>
        <w:t>Cross border scheduling area flows shall follow the same direction as the corresponding cross border zonal flows. [</w:t>
      </w:r>
      <w:r w:rsidRPr="00CB15E0">
        <w:rPr>
          <w:b/>
        </w:rPr>
        <w:t>note</w:t>
      </w:r>
      <w:r>
        <w:t>: through constraint (1) of the optimization problem above this is necessarily the case, but if in the future changes would be made to (1), this consistency constraint continues to be required]</w:t>
      </w:r>
    </w:p>
    <w:p w14:paraId="09DDE4FF" w14:textId="77777777" w:rsidR="00F8788D" w:rsidRPr="00C047CF" w:rsidRDefault="00F8788D" w:rsidP="002414BB">
      <w:pPr>
        <w:jc w:val="both"/>
      </w:pPr>
    </w:p>
    <w:p w14:paraId="20A6ADDB" w14:textId="77777777" w:rsidR="00F8788D" w:rsidRDefault="00F8788D" w:rsidP="002414BB">
      <w:pPr>
        <w:pStyle w:val="ListParagraph"/>
        <w:jc w:val="both"/>
      </w:pPr>
    </w:p>
    <w:p w14:paraId="35686C46" w14:textId="77777777" w:rsidR="00F8788D" w:rsidRPr="00951262" w:rsidRDefault="00F8788D" w:rsidP="002414BB">
      <w:pPr>
        <w:jc w:val="both"/>
        <w:rPr>
          <w:rFonts w:eastAsiaTheme="minorEastAsia"/>
          <w:iCs/>
        </w:rPr>
      </w:pPr>
      <w:bookmarkStart w:id="362" w:name="_Toc497141955"/>
      <w:bookmarkEnd w:id="362"/>
    </w:p>
    <w:p w14:paraId="020E7860" w14:textId="77777777" w:rsidR="00F8788D" w:rsidRDefault="00F8788D" w:rsidP="00F8788D">
      <w:pPr>
        <w:pStyle w:val="Heading3"/>
        <w:numPr>
          <w:ilvl w:val="2"/>
          <w:numId w:val="16"/>
        </w:numPr>
        <w:jc w:val="both"/>
      </w:pPr>
      <w:bookmarkStart w:id="363" w:name="_SEC_Backup_calculation"/>
      <w:bookmarkStart w:id="364" w:name="_Ref502836724"/>
      <w:bookmarkStart w:id="365" w:name="_Toc503782606"/>
      <w:bookmarkStart w:id="366" w:name="_Toc507425413"/>
      <w:bookmarkEnd w:id="363"/>
      <w:r>
        <w:t>SEC Backup calculation process (degraded mode)</w:t>
      </w:r>
      <w:bookmarkEnd w:id="364"/>
      <w:bookmarkEnd w:id="365"/>
      <w:bookmarkEnd w:id="366"/>
      <w:r>
        <w:t xml:space="preserve"> </w:t>
      </w:r>
    </w:p>
    <w:p w14:paraId="002C9E2C" w14:textId="77777777" w:rsidR="00F8788D" w:rsidRPr="009D0CFA" w:rsidRDefault="00F8788D" w:rsidP="002414BB"/>
    <w:p w14:paraId="4ABCA04E" w14:textId="7D3B149F" w:rsidR="00F8788D" w:rsidRDefault="00F8788D" w:rsidP="002414BB">
      <w:pPr>
        <w:jc w:val="both"/>
      </w:pPr>
      <w:r>
        <w:t xml:space="preserve">The NEMO trading hubs flows and Scheduling Area flows sub-problems in Euphemia can be solved by using quadratic programming, as described in sections </w:t>
      </w:r>
      <w:r>
        <w:fldChar w:fldCharType="begin"/>
      </w:r>
      <w:r>
        <w:instrText xml:space="preserve"> REF _Ref500429463 \n \h </w:instrText>
      </w:r>
      <w:r>
        <w:fldChar w:fldCharType="separate"/>
      </w:r>
      <w:r w:rsidR="00FC1305">
        <w:t>3.5.2</w:t>
      </w:r>
      <w:r>
        <w:fldChar w:fldCharType="end"/>
      </w:r>
      <w:r>
        <w:t xml:space="preserve"> and </w:t>
      </w:r>
      <w:r>
        <w:fldChar w:fldCharType="begin"/>
      </w:r>
      <w:r>
        <w:instrText xml:space="preserve"> REF _Ref500429465 \n \h </w:instrText>
      </w:r>
      <w:r>
        <w:fldChar w:fldCharType="separate"/>
      </w:r>
      <w:r w:rsidR="00FC1305">
        <w:t>0</w:t>
      </w:r>
      <w:r>
        <w:fldChar w:fldCharType="end"/>
      </w:r>
      <w:r>
        <w:t xml:space="preserve">, and the existence of a feasible solution is theoretically guaranteed. However, in exceptional cases, the solver may not be able to identify feasible solutions, due to numerical problems that can induce infeasibilities. To deal with such potential problems, a backup calculation process, called degraded mode, needs to be used to compute the Scheduling area and NEMO trading hubs flows. The degraded mode is based on the implementation of a combinatorial heuristic based on simple mathematical operations and is fully independent of the algorithm solver. </w:t>
      </w:r>
    </w:p>
    <w:p w14:paraId="415EA227" w14:textId="77777777" w:rsidR="00F8788D" w:rsidRDefault="00F8788D" w:rsidP="002414BB">
      <w:pPr>
        <w:jc w:val="both"/>
      </w:pPr>
    </w:p>
    <w:p w14:paraId="667F893C" w14:textId="77777777" w:rsidR="00F8788D" w:rsidRDefault="00F8788D" w:rsidP="002414BB">
      <w:pPr>
        <w:jc w:val="both"/>
      </w:pPr>
      <w:r>
        <w:t xml:space="preserve">For every solution found, Euphemia first tries to compute the scheduling area and NEMO trading hub flows by solving the problem in normal mode. If the flow calculation sub-problem fails to determine scheduling area flows or NEMO trading hub flows, the degraded mode is automatically triggered. </w:t>
      </w:r>
    </w:p>
    <w:p w14:paraId="45C09F2F" w14:textId="77777777" w:rsidR="00F8788D" w:rsidRDefault="00F8788D" w:rsidP="002414BB">
      <w:pPr>
        <w:jc w:val="both"/>
      </w:pPr>
    </w:p>
    <w:p w14:paraId="09A7A67E" w14:textId="77777777" w:rsidR="00F8788D" w:rsidRDefault="00F8788D" w:rsidP="002414BB">
      <w:pPr>
        <w:jc w:val="both"/>
        <w:rPr>
          <w:lang w:val="en-US"/>
        </w:rPr>
      </w:pPr>
      <w:r w:rsidRPr="0075162D">
        <w:t xml:space="preserve">This way a solution that yields a higher welfare </w:t>
      </w:r>
      <w:r>
        <w:t>will not be discarded if no scheduling area and NEMO trading hub</w:t>
      </w:r>
      <w:r w:rsidRPr="0075162D">
        <w:t xml:space="preserve"> flows can be found, but rather flow calculation will be run in</w:t>
      </w:r>
      <w:r>
        <w:t xml:space="preserve"> degraded mode. </w:t>
      </w:r>
      <w:r>
        <w:rPr>
          <w:lang w:val="en-US"/>
        </w:rPr>
        <w:t>In the end of Euphemia calculation process the following cases can occur:</w:t>
      </w:r>
    </w:p>
    <w:p w14:paraId="7FAAF022" w14:textId="77777777" w:rsidR="00F8788D" w:rsidRPr="00BA612F" w:rsidRDefault="00F8788D" w:rsidP="00F8788D">
      <w:pPr>
        <w:numPr>
          <w:ilvl w:val="2"/>
          <w:numId w:val="26"/>
        </w:numPr>
        <w:tabs>
          <w:tab w:val="num" w:pos="2160"/>
        </w:tabs>
        <w:jc w:val="both"/>
        <w:rPr>
          <w:lang w:val="en-US"/>
        </w:rPr>
      </w:pPr>
      <w:r w:rsidRPr="00BA612F">
        <w:rPr>
          <w:lang w:val="en-US"/>
        </w:rPr>
        <w:t xml:space="preserve">A (401) solution with optimal </w:t>
      </w:r>
      <w:r>
        <w:rPr>
          <w:lang w:val="en-US"/>
        </w:rPr>
        <w:t>scheduling area and NEMO trading hub fl</w:t>
      </w:r>
      <w:r w:rsidRPr="00BA612F">
        <w:rPr>
          <w:lang w:val="en-US"/>
        </w:rPr>
        <w:t>ows</w:t>
      </w:r>
      <w:r>
        <w:rPr>
          <w:lang w:val="en-US"/>
        </w:rPr>
        <w:t xml:space="preserve"> computed by solving the flows in normal mode</w:t>
      </w:r>
      <w:r w:rsidRPr="00BA612F">
        <w:rPr>
          <w:lang w:val="en-US"/>
        </w:rPr>
        <w:t>;</w:t>
      </w:r>
    </w:p>
    <w:p w14:paraId="5BCB49AD" w14:textId="77777777" w:rsidR="00F8788D" w:rsidRPr="00B52F9C" w:rsidRDefault="00F8788D" w:rsidP="00F8788D">
      <w:pPr>
        <w:numPr>
          <w:ilvl w:val="2"/>
          <w:numId w:val="26"/>
        </w:numPr>
        <w:jc w:val="both"/>
        <w:rPr>
          <w:lang w:val="en-US"/>
        </w:rPr>
      </w:pPr>
      <w:r w:rsidRPr="00BA612F">
        <w:rPr>
          <w:lang w:val="en-US"/>
        </w:rPr>
        <w:t xml:space="preserve">A solution with </w:t>
      </w:r>
      <w:r>
        <w:rPr>
          <w:lang w:val="en-US"/>
        </w:rPr>
        <w:t>scheduling area and NEMO trading hub</w:t>
      </w:r>
      <w:r w:rsidDel="00A25040">
        <w:rPr>
          <w:rStyle w:val="CommentReference"/>
        </w:rPr>
        <w:t xml:space="preserve"> </w:t>
      </w:r>
      <w:r w:rsidRPr="00BA612F">
        <w:rPr>
          <w:lang w:val="en-US"/>
        </w:rPr>
        <w:t>flows</w:t>
      </w:r>
      <w:r>
        <w:rPr>
          <w:lang w:val="en-US"/>
        </w:rPr>
        <w:t xml:space="preserve"> computed in degraded mode. The use of the degraded mode</w:t>
      </w:r>
      <w:r w:rsidRPr="00B52F9C">
        <w:rPr>
          <w:lang w:val="en-US"/>
        </w:rPr>
        <w:t xml:space="preserve"> will be indicated</w:t>
      </w:r>
      <w:r>
        <w:rPr>
          <w:lang w:val="en-US"/>
        </w:rPr>
        <w:t xml:space="preserve"> </w:t>
      </w:r>
      <w:r w:rsidRPr="00B52F9C">
        <w:rPr>
          <w:lang w:val="en-US"/>
        </w:rPr>
        <w:t>by another solution quality level, and a modifie</w:t>
      </w:r>
      <w:r>
        <w:rPr>
          <w:lang w:val="en-US"/>
        </w:rPr>
        <w:t>d end-message;</w:t>
      </w:r>
    </w:p>
    <w:p w14:paraId="20D65F78" w14:textId="77777777" w:rsidR="00F8788D" w:rsidRPr="00BA612F" w:rsidRDefault="00F8788D" w:rsidP="00F8788D">
      <w:pPr>
        <w:numPr>
          <w:ilvl w:val="2"/>
          <w:numId w:val="26"/>
        </w:numPr>
        <w:tabs>
          <w:tab w:val="num" w:pos="2160"/>
        </w:tabs>
        <w:jc w:val="both"/>
        <w:rPr>
          <w:lang w:val="en-US"/>
        </w:rPr>
      </w:pPr>
      <w:r w:rsidRPr="00BA612F">
        <w:rPr>
          <w:lang w:val="en-US"/>
        </w:rPr>
        <w:t>No solution yet and follow exceptional procedures to manage algorithm incidents</w:t>
      </w:r>
      <w:r>
        <w:rPr>
          <w:lang w:val="en-US"/>
        </w:rPr>
        <w:t>.</w:t>
      </w:r>
    </w:p>
    <w:p w14:paraId="5B194E77" w14:textId="77777777" w:rsidR="00F8788D" w:rsidRDefault="00F8788D" w:rsidP="002414BB">
      <w:pPr>
        <w:jc w:val="both"/>
      </w:pPr>
    </w:p>
    <w:p w14:paraId="74E41D32" w14:textId="77777777" w:rsidR="00F8788D" w:rsidRDefault="00F8788D" w:rsidP="002414BB">
      <w:pPr>
        <w:jc w:val="both"/>
      </w:pPr>
      <w:r>
        <w:t>The “degraded mode” algorithm acts directly on the NEMO hub level. From the inter NEMO flow results, the scheduling area results will be inferred, and therefore a strict correspondence between the two will be ensured.</w:t>
      </w:r>
    </w:p>
    <w:p w14:paraId="6E40EB91" w14:textId="77777777" w:rsidR="00F8788D" w:rsidRDefault="00F8788D">
      <w:r>
        <w:br w:type="page"/>
      </w:r>
    </w:p>
    <w:p w14:paraId="4B9A02CD" w14:textId="77777777" w:rsidR="00F8788D" w:rsidRDefault="00F8788D" w:rsidP="002414BB">
      <w:pPr>
        <w:jc w:val="both"/>
      </w:pPr>
      <w:r>
        <w:t>The heuristic consists of two steps, which are explained below. To illustrate its impact, the steps are supported by a very simple example:</w:t>
      </w:r>
    </w:p>
    <w:p w14:paraId="6E6A4651" w14:textId="77777777" w:rsidR="00F8788D" w:rsidRDefault="00F8788D" w:rsidP="002414BB">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993"/>
        <w:gridCol w:w="912"/>
        <w:gridCol w:w="2988"/>
      </w:tblGrid>
      <w:tr w:rsidR="00F8788D" w:rsidRPr="00565474" w14:paraId="50BC734D" w14:textId="77777777" w:rsidTr="002414BB">
        <w:trPr>
          <w:cantSplit/>
        </w:trPr>
        <w:tc>
          <w:tcPr>
            <w:tcW w:w="3397" w:type="dxa"/>
          </w:tcPr>
          <w:p w14:paraId="7E187514" w14:textId="77777777" w:rsidR="00F8788D" w:rsidRDefault="00F8788D" w:rsidP="002414BB">
            <w:pPr>
              <w:jc w:val="both"/>
            </w:pPr>
            <w:r w:rsidRPr="00565474">
              <w:rPr>
                <w:i/>
              </w:rPr>
              <w:t>Example</w:t>
            </w:r>
          </w:p>
          <w:p w14:paraId="0B507096" w14:textId="77777777" w:rsidR="00F8788D" w:rsidRDefault="00F8788D" w:rsidP="002414BB">
            <w:pPr>
              <w:jc w:val="both"/>
            </w:pPr>
            <w:r>
              <w:t>Imagine that the computation of zonal scheduled exchanges resulted in</w:t>
            </w:r>
          </w:p>
          <w:p w14:paraId="27FBE8C2" w14:textId="6E0220CB" w:rsidR="00F8788D" w:rsidRPr="00565474" w:rsidRDefault="00F629D2" w:rsidP="002414BB">
            <w:pPr>
              <w:jc w:val="both"/>
            </w:pPr>
            <w:r>
              <w:rPr>
                <w:noProof/>
                <w:position w:val="-14"/>
              </w:rPr>
              <w:drawing>
                <wp:inline distT="0" distB="0" distL="0" distR="0" wp14:anchorId="673BA81B" wp14:editId="533687BC">
                  <wp:extent cx="914400" cy="266700"/>
                  <wp:effectExtent l="0" t="0" r="0" b="0"/>
                  <wp:docPr id="4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914400" cy="266700"/>
                          </a:xfrm>
                          <a:prstGeom prst="rect">
                            <a:avLst/>
                          </a:prstGeom>
                          <a:noFill/>
                          <a:ln>
                            <a:noFill/>
                          </a:ln>
                        </pic:spPr>
                      </pic:pic>
                    </a:graphicData>
                  </a:graphic>
                </wp:inline>
              </w:drawing>
            </w:r>
            <w:r w:rsidR="00F8788D" w:rsidRPr="0070570F">
              <w:rPr>
                <w:noProof/>
                <w:lang w:val="en-US" w:eastAsia="en-US"/>
              </w:rPr>
              <w:drawing>
                <wp:inline distT="0" distB="0" distL="0" distR="0" wp14:anchorId="408C9CCB" wp14:editId="6D67F9FA">
                  <wp:extent cx="1166400" cy="19332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166400" cy="1933200"/>
                          </a:xfrm>
                          <a:prstGeom prst="rect">
                            <a:avLst/>
                          </a:prstGeom>
                          <a:noFill/>
                          <a:ln>
                            <a:noFill/>
                          </a:ln>
                        </pic:spPr>
                      </pic:pic>
                    </a:graphicData>
                  </a:graphic>
                </wp:inline>
              </w:drawing>
            </w:r>
          </w:p>
        </w:tc>
        <w:tc>
          <w:tcPr>
            <w:tcW w:w="4893" w:type="dxa"/>
            <w:gridSpan w:val="3"/>
          </w:tcPr>
          <w:p w14:paraId="061D3226" w14:textId="77777777" w:rsidR="00F8788D" w:rsidRDefault="00F8788D" w:rsidP="002414BB">
            <w:pPr>
              <w:jc w:val="both"/>
            </w:pPr>
          </w:p>
          <w:p w14:paraId="29197CDA" w14:textId="77777777" w:rsidR="00F8788D" w:rsidRDefault="00F8788D" w:rsidP="002414BB">
            <w:pPr>
              <w:jc w:val="both"/>
            </w:pPr>
            <w:r>
              <w:t>Corresponding NEMO Trading hub topology, and NTH net positions:</w:t>
            </w:r>
          </w:p>
          <w:p w14:paraId="51D76EA4" w14:textId="77777777" w:rsidR="00F8788D" w:rsidRPr="00565474" w:rsidRDefault="00F8788D" w:rsidP="002414BB">
            <w:pPr>
              <w:jc w:val="both"/>
            </w:pPr>
            <w:r w:rsidRPr="00CF5F82">
              <w:rPr>
                <w:noProof/>
                <w:lang w:val="en-US" w:eastAsia="en-US"/>
              </w:rPr>
              <w:drawing>
                <wp:inline distT="0" distB="0" distL="0" distR="0" wp14:anchorId="48EDCAAE" wp14:editId="65854D8D">
                  <wp:extent cx="1594800" cy="2649600"/>
                  <wp:effectExtent l="0" t="0" r="571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594800" cy="2649600"/>
                          </a:xfrm>
                          <a:prstGeom prst="rect">
                            <a:avLst/>
                          </a:prstGeom>
                          <a:noFill/>
                          <a:ln>
                            <a:noFill/>
                          </a:ln>
                        </pic:spPr>
                      </pic:pic>
                    </a:graphicData>
                  </a:graphic>
                </wp:inline>
              </w:drawing>
            </w:r>
            <w:r w:rsidRPr="00B137FE">
              <w:t xml:space="preserve"> </w:t>
            </w:r>
            <w:r w:rsidRPr="00B137FE">
              <w:rPr>
                <w:noProof/>
                <w:lang w:val="en-US" w:eastAsia="en-US"/>
              </w:rPr>
              <w:drawing>
                <wp:inline distT="0" distB="0" distL="0" distR="0" wp14:anchorId="45FCF9FB" wp14:editId="150EF145">
                  <wp:extent cx="1522800" cy="774000"/>
                  <wp:effectExtent l="0" t="0" r="127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522800" cy="774000"/>
                          </a:xfrm>
                          <a:prstGeom prst="rect">
                            <a:avLst/>
                          </a:prstGeom>
                          <a:noFill/>
                          <a:ln>
                            <a:noFill/>
                          </a:ln>
                        </pic:spPr>
                      </pic:pic>
                    </a:graphicData>
                  </a:graphic>
                </wp:inline>
              </w:drawing>
            </w:r>
          </w:p>
        </w:tc>
      </w:tr>
      <w:tr w:rsidR="00F8788D" w14:paraId="3715B3CA" w14:textId="77777777" w:rsidTr="002414BB">
        <w:trPr>
          <w:cantSplit/>
        </w:trPr>
        <w:tc>
          <w:tcPr>
            <w:tcW w:w="8290" w:type="dxa"/>
            <w:gridSpan w:val="4"/>
          </w:tcPr>
          <w:p w14:paraId="68A03620" w14:textId="77777777" w:rsidR="00F8788D" w:rsidRPr="00746EBC" w:rsidRDefault="00F8788D" w:rsidP="002414BB">
            <w:pPr>
              <w:jc w:val="both"/>
              <w:rPr>
                <w:b/>
              </w:rPr>
            </w:pPr>
            <w:r w:rsidRPr="00746EBC">
              <w:rPr>
                <w:b/>
              </w:rPr>
              <w:t>Step 1</w:t>
            </w:r>
          </w:p>
          <w:p w14:paraId="65494BB4" w14:textId="77777777" w:rsidR="00F8788D" w:rsidRDefault="00F8788D" w:rsidP="002414BB">
            <w:pPr>
              <w:jc w:val="both"/>
            </w:pPr>
            <w:r>
              <w:t>The first step computes cross border cross scheduling area flows. Given the thermal capacities the flows on the bidding zone lines are split among the scheduling area lines. The cross border cross scheduling area flows correspond to the lines that are marked with green in this figure.</w:t>
            </w:r>
          </w:p>
          <w:p w14:paraId="47EA2FAD" w14:textId="77777777" w:rsidR="00F8788D" w:rsidRDefault="00F8788D" w:rsidP="002414BB">
            <w:pPr>
              <w:jc w:val="both"/>
            </w:pPr>
          </w:p>
          <w:p w14:paraId="7E33E047" w14:textId="77777777" w:rsidR="00F8788D" w:rsidRDefault="00F8788D" w:rsidP="002414BB">
            <w:pPr>
              <w:jc w:val="both"/>
            </w:pPr>
            <w:r>
              <w:t>Subsequently the resulting scheduling area flows are allocated to the underlying NEMO line with the lowest associated linear cost coefficient. In case there exist more than 1 NEMO line with the same lowest linear cost coefficient, the flows are pro-rated.</w:t>
            </w:r>
          </w:p>
          <w:p w14:paraId="272FFB3B" w14:textId="77777777" w:rsidR="00F8788D" w:rsidRDefault="00F8788D" w:rsidP="002414BB">
            <w:pPr>
              <w:jc w:val="both"/>
            </w:pPr>
          </w:p>
          <w:p w14:paraId="76C5CE96" w14:textId="784D6A2B" w:rsidR="00F8788D" w:rsidRDefault="00F8788D" w:rsidP="002414BB">
            <w:pPr>
              <w:jc w:val="both"/>
            </w:pPr>
            <w:r w:rsidRPr="000C547A">
              <w:rPr>
                <w:b/>
              </w:rPr>
              <w:t>Note</w:t>
            </w:r>
            <w:r>
              <w:t xml:space="preserve">: unlike the model from section </w:t>
            </w:r>
            <w:r w:rsidRPr="00476BA2">
              <w:rPr>
                <w:b/>
              </w:rPr>
              <w:fldChar w:fldCharType="begin"/>
            </w:r>
            <w:r w:rsidRPr="00476BA2">
              <w:rPr>
                <w:b/>
              </w:rPr>
              <w:instrText xml:space="preserve"> REF _Ref502836496 \h </w:instrText>
            </w:r>
            <w:r>
              <w:rPr>
                <w:b/>
              </w:rPr>
              <w:instrText xml:space="preserve"> \* MERGEFORMAT </w:instrText>
            </w:r>
            <w:r w:rsidRPr="00476BA2">
              <w:rPr>
                <w:b/>
              </w:rPr>
            </w:r>
            <w:r w:rsidRPr="00476BA2">
              <w:rPr>
                <w:b/>
              </w:rPr>
              <w:fldChar w:fldCharType="separate"/>
            </w:r>
            <w:r w:rsidR="00FC1305" w:rsidRPr="00FC1305">
              <w:rPr>
                <w:b/>
              </w:rPr>
              <w:t>Flow calculation between Scheduling Areas (SA)</w:t>
            </w:r>
            <w:r w:rsidRPr="00476BA2">
              <w:rPr>
                <w:b/>
              </w:rPr>
              <w:fldChar w:fldCharType="end"/>
            </w:r>
            <w:r>
              <w:t>, here the pro-rating is computed explicitly, rather than imposed as a constraint on a mathematical optimisation model.</w:t>
            </w:r>
          </w:p>
          <w:p w14:paraId="1D934DA0" w14:textId="77777777" w:rsidR="00F8788D" w:rsidRPr="00565474" w:rsidRDefault="00F8788D" w:rsidP="002414BB">
            <w:pPr>
              <w:jc w:val="both"/>
            </w:pPr>
          </w:p>
        </w:tc>
      </w:tr>
      <w:tr w:rsidR="00F8788D" w14:paraId="52C42343" w14:textId="77777777" w:rsidTr="002414BB">
        <w:trPr>
          <w:cantSplit/>
        </w:trPr>
        <w:tc>
          <w:tcPr>
            <w:tcW w:w="5302" w:type="dxa"/>
            <w:gridSpan w:val="3"/>
          </w:tcPr>
          <w:p w14:paraId="569F1CDB" w14:textId="77777777" w:rsidR="00F8788D" w:rsidRDefault="00F8788D" w:rsidP="002414BB">
            <w:pPr>
              <w:jc w:val="both"/>
              <w:rPr>
                <w:i/>
              </w:rPr>
            </w:pPr>
            <w:r w:rsidRPr="00746EBC">
              <w:rPr>
                <w:i/>
              </w:rPr>
              <w:t>Example</w:t>
            </w:r>
          </w:p>
          <w:p w14:paraId="3122DA8C" w14:textId="77777777" w:rsidR="00F8788D" w:rsidRPr="00565474" w:rsidRDefault="00F8788D" w:rsidP="002414BB">
            <w:pPr>
              <w:jc w:val="both"/>
            </w:pPr>
            <w:r w:rsidRPr="00565474">
              <w:t>Zonal flow A</w:t>
            </w:r>
            <w:r w:rsidRPr="00565474">
              <w:rPr>
                <w:lang w:val="fr-BE"/>
              </w:rPr>
              <w:sym w:font="Symbol" w:char="F0AE"/>
            </w:r>
            <w:r w:rsidRPr="00565474">
              <w:t xml:space="preserve">B = </w:t>
            </w:r>
            <w:r>
              <w:t>900MW</w:t>
            </w:r>
          </w:p>
          <w:p w14:paraId="2126F04C" w14:textId="77777777" w:rsidR="00F8788D" w:rsidRPr="009214E4" w:rsidRDefault="00F8788D" w:rsidP="002414BB">
            <w:pPr>
              <w:jc w:val="both"/>
              <w:rPr>
                <w:lang w:val="fr-BE"/>
              </w:rPr>
            </w:pPr>
            <w:r w:rsidRPr="009214E4">
              <w:rPr>
                <w:lang w:val="fr-BE"/>
              </w:rPr>
              <w:t>Thermal capacities:</w:t>
            </w:r>
          </w:p>
          <w:p w14:paraId="6DDD595D" w14:textId="77777777" w:rsidR="00F8788D" w:rsidRPr="00746EBC" w:rsidRDefault="00F8788D" w:rsidP="002414BB">
            <w:pPr>
              <w:jc w:val="both"/>
              <w:rPr>
                <w:lang w:val="fr-BE"/>
              </w:rPr>
            </w:pPr>
            <w:r w:rsidRPr="00746EBC">
              <w:rPr>
                <w:lang w:val="fr-BE"/>
              </w:rPr>
              <w:t xml:space="preserve">SA1-SA2: </w:t>
            </w:r>
            <w:r>
              <w:rPr>
                <w:lang w:val="fr-BE"/>
              </w:rPr>
              <w:t>7</w:t>
            </w:r>
            <w:r w:rsidRPr="00746EBC">
              <w:rPr>
                <w:lang w:val="fr-BE"/>
              </w:rPr>
              <w:t>00MW</w:t>
            </w:r>
          </w:p>
          <w:p w14:paraId="5FBA491B" w14:textId="77777777" w:rsidR="00F8788D" w:rsidRDefault="00F8788D" w:rsidP="002414BB">
            <w:pPr>
              <w:jc w:val="both"/>
              <w:rPr>
                <w:lang w:val="fr-BE"/>
              </w:rPr>
            </w:pPr>
            <w:r w:rsidRPr="00746EBC">
              <w:rPr>
                <w:lang w:val="fr-BE"/>
              </w:rPr>
              <w:t>SA1-SA3</w:t>
            </w:r>
            <w:r>
              <w:rPr>
                <w:lang w:val="fr-BE"/>
              </w:rPr>
              <w:t> : 1400MW</w:t>
            </w:r>
          </w:p>
          <w:p w14:paraId="0893889F" w14:textId="77777777" w:rsidR="00F8788D" w:rsidRDefault="00F8788D" w:rsidP="002414BB">
            <w:pPr>
              <w:jc w:val="both"/>
              <w:rPr>
                <w:lang w:val="fr-BE"/>
              </w:rPr>
            </w:pPr>
          </w:p>
          <w:p w14:paraId="1EED0040" w14:textId="77777777" w:rsidR="00F8788D" w:rsidRDefault="00F8788D" w:rsidP="002414BB">
            <w:pPr>
              <w:jc w:val="both"/>
            </w:pPr>
            <w:r w:rsidRPr="00565474">
              <w:t>Pro-rating of scheduling area flows :</w:t>
            </w:r>
          </w:p>
          <w:p w14:paraId="052F4B7B" w14:textId="7E466708" w:rsidR="00F8788D" w:rsidRPr="00565474" w:rsidRDefault="00F629D2" w:rsidP="002414BB">
            <w:pPr>
              <w:jc w:val="both"/>
            </w:pPr>
            <w:r>
              <w:rPr>
                <w:noProof/>
                <w:position w:val="-24"/>
              </w:rPr>
              <w:drawing>
                <wp:inline distT="0" distB="0" distL="0" distR="0" wp14:anchorId="76AD07A5" wp14:editId="03480DCF">
                  <wp:extent cx="2194560" cy="358140"/>
                  <wp:effectExtent l="0" t="0" r="0" b="3810"/>
                  <wp:docPr id="4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194560" cy="358140"/>
                          </a:xfrm>
                          <a:prstGeom prst="rect">
                            <a:avLst/>
                          </a:prstGeom>
                          <a:noFill/>
                          <a:ln>
                            <a:noFill/>
                          </a:ln>
                        </pic:spPr>
                      </pic:pic>
                    </a:graphicData>
                  </a:graphic>
                </wp:inline>
              </w:drawing>
            </w:r>
          </w:p>
          <w:p w14:paraId="026F51F4" w14:textId="6F3182F5" w:rsidR="00F8788D" w:rsidRDefault="00F629D2" w:rsidP="002414BB">
            <w:pPr>
              <w:jc w:val="both"/>
            </w:pPr>
            <w:r>
              <w:rPr>
                <w:noProof/>
                <w:position w:val="-24"/>
              </w:rPr>
              <w:drawing>
                <wp:inline distT="0" distB="0" distL="0" distR="0" wp14:anchorId="670B3E19" wp14:editId="4392BB8A">
                  <wp:extent cx="2103120" cy="358140"/>
                  <wp:effectExtent l="0" t="0" r="0" b="3810"/>
                  <wp:docPr id="4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103120" cy="358140"/>
                          </a:xfrm>
                          <a:prstGeom prst="rect">
                            <a:avLst/>
                          </a:prstGeom>
                          <a:noFill/>
                          <a:ln>
                            <a:noFill/>
                          </a:ln>
                        </pic:spPr>
                      </pic:pic>
                    </a:graphicData>
                  </a:graphic>
                </wp:inline>
              </w:drawing>
            </w:r>
          </w:p>
        </w:tc>
        <w:tc>
          <w:tcPr>
            <w:tcW w:w="2988" w:type="dxa"/>
          </w:tcPr>
          <w:p w14:paraId="03A7ADD3" w14:textId="77777777" w:rsidR="00F8788D" w:rsidRDefault="00F8788D" w:rsidP="002414BB">
            <w:pPr>
              <w:jc w:val="both"/>
            </w:pPr>
            <w:r w:rsidRPr="0070570F">
              <w:rPr>
                <w:noProof/>
                <w:lang w:val="en-US" w:eastAsia="en-US"/>
              </w:rPr>
              <w:drawing>
                <wp:inline distT="0" distB="0" distL="0" distR="0" wp14:anchorId="794AAACC" wp14:editId="40873FEE">
                  <wp:extent cx="1180800" cy="1933200"/>
                  <wp:effectExtent l="0" t="0" r="63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180800" cy="1933200"/>
                          </a:xfrm>
                          <a:prstGeom prst="rect">
                            <a:avLst/>
                          </a:prstGeom>
                          <a:noFill/>
                          <a:ln>
                            <a:noFill/>
                          </a:ln>
                        </pic:spPr>
                      </pic:pic>
                    </a:graphicData>
                  </a:graphic>
                </wp:inline>
              </w:drawing>
            </w:r>
          </w:p>
        </w:tc>
      </w:tr>
      <w:tr w:rsidR="00F8788D" w14:paraId="150B76CC" w14:textId="77777777" w:rsidTr="002414BB">
        <w:trPr>
          <w:cantSplit/>
        </w:trPr>
        <w:tc>
          <w:tcPr>
            <w:tcW w:w="5302" w:type="dxa"/>
            <w:gridSpan w:val="3"/>
          </w:tcPr>
          <w:p w14:paraId="4989A73C" w14:textId="77777777" w:rsidR="00F8788D" w:rsidRDefault="00F8788D" w:rsidP="002414BB">
            <w:pPr>
              <w:jc w:val="both"/>
            </w:pPr>
            <w:r>
              <w:t xml:space="preserve">Assume that all cross border inter NEMO lines have identical linear cost coefficients. I.e. the scheduling area flows will be pro-rated amongst them. </w:t>
            </w:r>
          </w:p>
          <w:p w14:paraId="40E1748D" w14:textId="77777777" w:rsidR="00F8788D" w:rsidRDefault="00F8788D" w:rsidP="002414BB">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3"/>
              <w:gridCol w:w="1183"/>
              <w:gridCol w:w="1317"/>
              <w:gridCol w:w="1276"/>
            </w:tblGrid>
            <w:tr w:rsidR="00F8788D" w14:paraId="0CC27780" w14:textId="77777777" w:rsidTr="002414BB">
              <w:tc>
                <w:tcPr>
                  <w:tcW w:w="1159" w:type="dxa"/>
                </w:tcPr>
                <w:p w14:paraId="24411134" w14:textId="77777777" w:rsidR="00F8788D" w:rsidRPr="00CF5F82" w:rsidRDefault="00F8788D" w:rsidP="002414BB">
                  <w:pPr>
                    <w:jc w:val="both"/>
                    <w:rPr>
                      <w:b/>
                    </w:rPr>
                  </w:pPr>
                  <w:r w:rsidRPr="00CF5F82">
                    <w:rPr>
                      <w:b/>
                    </w:rPr>
                    <w:t>From</w:t>
                  </w:r>
                </w:p>
              </w:tc>
              <w:tc>
                <w:tcPr>
                  <w:tcW w:w="1134" w:type="dxa"/>
                </w:tcPr>
                <w:p w14:paraId="6F3DB268" w14:textId="77777777" w:rsidR="00F8788D" w:rsidRPr="00CF5F82" w:rsidRDefault="00F8788D" w:rsidP="002414BB">
                  <w:pPr>
                    <w:jc w:val="both"/>
                    <w:rPr>
                      <w:b/>
                    </w:rPr>
                  </w:pPr>
                  <w:r w:rsidRPr="00CF5F82">
                    <w:rPr>
                      <w:b/>
                    </w:rPr>
                    <w:t>To</w:t>
                  </w:r>
                </w:p>
              </w:tc>
              <w:tc>
                <w:tcPr>
                  <w:tcW w:w="1276" w:type="dxa"/>
                </w:tcPr>
                <w:p w14:paraId="2CF23AAA" w14:textId="77777777" w:rsidR="00F8788D" w:rsidRPr="00CF5F82" w:rsidRDefault="00F8788D" w:rsidP="002414BB">
                  <w:pPr>
                    <w:jc w:val="both"/>
                    <w:rPr>
                      <w:b/>
                    </w:rPr>
                  </w:pPr>
                  <w:r w:rsidRPr="00CF5F82">
                    <w:rPr>
                      <w:b/>
                    </w:rPr>
                    <w:t>Linear cost coefficient</w:t>
                  </w:r>
                </w:p>
              </w:tc>
              <w:tc>
                <w:tcPr>
                  <w:tcW w:w="1276" w:type="dxa"/>
                </w:tcPr>
                <w:p w14:paraId="63C16166" w14:textId="77777777" w:rsidR="00F8788D" w:rsidRPr="00CF5F82" w:rsidRDefault="00F8788D" w:rsidP="002414BB">
                  <w:pPr>
                    <w:jc w:val="both"/>
                    <w:rPr>
                      <w:b/>
                    </w:rPr>
                  </w:pPr>
                  <w:r>
                    <w:rPr>
                      <w:b/>
                    </w:rPr>
                    <w:t>Lowest?</w:t>
                  </w:r>
                </w:p>
              </w:tc>
            </w:tr>
            <w:tr w:rsidR="00F8788D" w14:paraId="54353B89" w14:textId="77777777" w:rsidTr="002414BB">
              <w:tc>
                <w:tcPr>
                  <w:tcW w:w="1159" w:type="dxa"/>
                </w:tcPr>
                <w:p w14:paraId="1B6F1D21" w14:textId="77777777" w:rsidR="00F8788D" w:rsidRDefault="00F8788D" w:rsidP="002414BB">
                  <w:pPr>
                    <w:jc w:val="both"/>
                  </w:pPr>
                  <w:r>
                    <w:t>B.SA1.N1</w:t>
                  </w:r>
                </w:p>
              </w:tc>
              <w:tc>
                <w:tcPr>
                  <w:tcW w:w="1134" w:type="dxa"/>
                </w:tcPr>
                <w:p w14:paraId="10BD343D" w14:textId="77777777" w:rsidR="00F8788D" w:rsidRDefault="00F8788D" w:rsidP="002414BB">
                  <w:pPr>
                    <w:jc w:val="both"/>
                  </w:pPr>
                  <w:r>
                    <w:t>A.SA2.N1</w:t>
                  </w:r>
                </w:p>
              </w:tc>
              <w:tc>
                <w:tcPr>
                  <w:tcW w:w="1276" w:type="dxa"/>
                </w:tcPr>
                <w:p w14:paraId="4589B2F2" w14:textId="77777777" w:rsidR="00F8788D" w:rsidRDefault="00F8788D" w:rsidP="002414BB">
                  <w:pPr>
                    <w:jc w:val="both"/>
                  </w:pPr>
                  <w:r>
                    <w:t>1</w:t>
                  </w:r>
                </w:p>
              </w:tc>
              <w:tc>
                <w:tcPr>
                  <w:tcW w:w="1276" w:type="dxa"/>
                </w:tcPr>
                <w:p w14:paraId="4EA2BCE3" w14:textId="77777777" w:rsidR="00F8788D" w:rsidRDefault="00F8788D" w:rsidP="002414BB">
                  <w:pPr>
                    <w:jc w:val="both"/>
                  </w:pPr>
                  <w:r>
                    <w:t>Yes</w:t>
                  </w:r>
                </w:p>
              </w:tc>
            </w:tr>
            <w:tr w:rsidR="00F8788D" w14:paraId="788983B2" w14:textId="77777777" w:rsidTr="002414BB">
              <w:tc>
                <w:tcPr>
                  <w:tcW w:w="1159" w:type="dxa"/>
                </w:tcPr>
                <w:p w14:paraId="1939E644" w14:textId="77777777" w:rsidR="00F8788D" w:rsidRDefault="00F8788D" w:rsidP="002414BB">
                  <w:pPr>
                    <w:jc w:val="both"/>
                  </w:pPr>
                  <w:r>
                    <w:t>B.SA1.N1</w:t>
                  </w:r>
                </w:p>
              </w:tc>
              <w:tc>
                <w:tcPr>
                  <w:tcW w:w="1134" w:type="dxa"/>
                </w:tcPr>
                <w:p w14:paraId="5D437CF8" w14:textId="77777777" w:rsidR="00F8788D" w:rsidRDefault="00F8788D" w:rsidP="002414BB">
                  <w:pPr>
                    <w:jc w:val="both"/>
                  </w:pPr>
                  <w:r>
                    <w:t>A.SA2.N2</w:t>
                  </w:r>
                </w:p>
              </w:tc>
              <w:tc>
                <w:tcPr>
                  <w:tcW w:w="1276" w:type="dxa"/>
                </w:tcPr>
                <w:p w14:paraId="011E0DC4" w14:textId="77777777" w:rsidR="00F8788D" w:rsidRDefault="00F8788D" w:rsidP="002414BB">
                  <w:pPr>
                    <w:jc w:val="both"/>
                  </w:pPr>
                  <w:r>
                    <w:t>1</w:t>
                  </w:r>
                </w:p>
              </w:tc>
              <w:tc>
                <w:tcPr>
                  <w:tcW w:w="1276" w:type="dxa"/>
                </w:tcPr>
                <w:p w14:paraId="7902B93E" w14:textId="77777777" w:rsidR="00F8788D" w:rsidRDefault="00F8788D" w:rsidP="002414BB">
                  <w:pPr>
                    <w:jc w:val="both"/>
                  </w:pPr>
                  <w:r>
                    <w:t>Yes</w:t>
                  </w:r>
                </w:p>
              </w:tc>
            </w:tr>
            <w:tr w:rsidR="00F8788D" w14:paraId="76198544" w14:textId="77777777" w:rsidTr="002414BB">
              <w:tc>
                <w:tcPr>
                  <w:tcW w:w="1159" w:type="dxa"/>
                </w:tcPr>
                <w:p w14:paraId="4E8E38ED" w14:textId="77777777" w:rsidR="00F8788D" w:rsidRDefault="00F8788D" w:rsidP="002414BB">
                  <w:pPr>
                    <w:jc w:val="both"/>
                  </w:pPr>
                  <w:r>
                    <w:t>B.SA1.N2</w:t>
                  </w:r>
                </w:p>
              </w:tc>
              <w:tc>
                <w:tcPr>
                  <w:tcW w:w="1134" w:type="dxa"/>
                </w:tcPr>
                <w:p w14:paraId="412AC047" w14:textId="77777777" w:rsidR="00F8788D" w:rsidRDefault="00F8788D" w:rsidP="002414BB">
                  <w:pPr>
                    <w:jc w:val="both"/>
                  </w:pPr>
                  <w:r>
                    <w:t>A.SA2.N1</w:t>
                  </w:r>
                </w:p>
              </w:tc>
              <w:tc>
                <w:tcPr>
                  <w:tcW w:w="1276" w:type="dxa"/>
                </w:tcPr>
                <w:p w14:paraId="201F3804" w14:textId="77777777" w:rsidR="00F8788D" w:rsidRDefault="00F8788D" w:rsidP="002414BB">
                  <w:pPr>
                    <w:jc w:val="both"/>
                  </w:pPr>
                  <w:r>
                    <w:t>1</w:t>
                  </w:r>
                </w:p>
              </w:tc>
              <w:tc>
                <w:tcPr>
                  <w:tcW w:w="1276" w:type="dxa"/>
                </w:tcPr>
                <w:p w14:paraId="68B4AB38" w14:textId="77777777" w:rsidR="00F8788D" w:rsidRDefault="00F8788D" w:rsidP="002414BB">
                  <w:pPr>
                    <w:jc w:val="both"/>
                  </w:pPr>
                  <w:r>
                    <w:t>Yes</w:t>
                  </w:r>
                </w:p>
              </w:tc>
            </w:tr>
            <w:tr w:rsidR="00F8788D" w14:paraId="6939E0AA" w14:textId="77777777" w:rsidTr="002414BB">
              <w:tc>
                <w:tcPr>
                  <w:tcW w:w="1159" w:type="dxa"/>
                </w:tcPr>
                <w:p w14:paraId="4C1A808E" w14:textId="77777777" w:rsidR="00F8788D" w:rsidRDefault="00F8788D" w:rsidP="002414BB">
                  <w:pPr>
                    <w:jc w:val="both"/>
                  </w:pPr>
                  <w:r>
                    <w:t>B.SA1.N2</w:t>
                  </w:r>
                </w:p>
              </w:tc>
              <w:tc>
                <w:tcPr>
                  <w:tcW w:w="1134" w:type="dxa"/>
                </w:tcPr>
                <w:p w14:paraId="2FC2B55B" w14:textId="77777777" w:rsidR="00F8788D" w:rsidRDefault="00F8788D" w:rsidP="002414BB">
                  <w:pPr>
                    <w:jc w:val="both"/>
                  </w:pPr>
                  <w:r>
                    <w:t>A.SA2.N2</w:t>
                  </w:r>
                </w:p>
              </w:tc>
              <w:tc>
                <w:tcPr>
                  <w:tcW w:w="1276" w:type="dxa"/>
                </w:tcPr>
                <w:p w14:paraId="5BB441DE" w14:textId="77777777" w:rsidR="00F8788D" w:rsidRDefault="00F8788D" w:rsidP="002414BB">
                  <w:pPr>
                    <w:jc w:val="both"/>
                  </w:pPr>
                  <w:r>
                    <w:t>100</w:t>
                  </w:r>
                </w:p>
              </w:tc>
              <w:tc>
                <w:tcPr>
                  <w:tcW w:w="1276" w:type="dxa"/>
                </w:tcPr>
                <w:p w14:paraId="2D4FCB60" w14:textId="77777777" w:rsidR="00F8788D" w:rsidRDefault="00F8788D" w:rsidP="002414BB">
                  <w:pPr>
                    <w:jc w:val="both"/>
                  </w:pPr>
                  <w:r>
                    <w:t>No</w:t>
                  </w:r>
                </w:p>
              </w:tc>
            </w:tr>
            <w:tr w:rsidR="00F8788D" w14:paraId="52120832" w14:textId="77777777" w:rsidTr="002414BB">
              <w:tc>
                <w:tcPr>
                  <w:tcW w:w="1159" w:type="dxa"/>
                </w:tcPr>
                <w:p w14:paraId="6C6CBBD6" w14:textId="77777777" w:rsidR="00F8788D" w:rsidRDefault="00F8788D" w:rsidP="002414BB">
                  <w:pPr>
                    <w:jc w:val="both"/>
                  </w:pPr>
                  <w:r>
                    <w:t>B.SA1.N1</w:t>
                  </w:r>
                </w:p>
              </w:tc>
              <w:tc>
                <w:tcPr>
                  <w:tcW w:w="1134" w:type="dxa"/>
                </w:tcPr>
                <w:p w14:paraId="226EF808" w14:textId="77777777" w:rsidR="00F8788D" w:rsidRDefault="00F8788D" w:rsidP="002414BB">
                  <w:pPr>
                    <w:jc w:val="both"/>
                  </w:pPr>
                  <w:r>
                    <w:t>A.SA3.N1</w:t>
                  </w:r>
                </w:p>
              </w:tc>
              <w:tc>
                <w:tcPr>
                  <w:tcW w:w="1276" w:type="dxa"/>
                </w:tcPr>
                <w:p w14:paraId="162E04FB" w14:textId="77777777" w:rsidR="00F8788D" w:rsidRDefault="00F8788D" w:rsidP="002414BB">
                  <w:pPr>
                    <w:jc w:val="both"/>
                  </w:pPr>
                  <w:r>
                    <w:t>100</w:t>
                  </w:r>
                </w:p>
              </w:tc>
              <w:tc>
                <w:tcPr>
                  <w:tcW w:w="1276" w:type="dxa"/>
                </w:tcPr>
                <w:p w14:paraId="7E81BBE4" w14:textId="77777777" w:rsidR="00F8788D" w:rsidRDefault="00F8788D" w:rsidP="002414BB">
                  <w:pPr>
                    <w:jc w:val="both"/>
                  </w:pPr>
                  <w:r>
                    <w:t>No</w:t>
                  </w:r>
                </w:p>
              </w:tc>
            </w:tr>
            <w:tr w:rsidR="00F8788D" w14:paraId="143A920D" w14:textId="77777777" w:rsidTr="002414BB">
              <w:tc>
                <w:tcPr>
                  <w:tcW w:w="1159" w:type="dxa"/>
                </w:tcPr>
                <w:p w14:paraId="18D1556F" w14:textId="77777777" w:rsidR="00F8788D" w:rsidRDefault="00F8788D" w:rsidP="002414BB">
                  <w:pPr>
                    <w:jc w:val="both"/>
                  </w:pPr>
                  <w:r>
                    <w:t>B.SA1.N2</w:t>
                  </w:r>
                </w:p>
              </w:tc>
              <w:tc>
                <w:tcPr>
                  <w:tcW w:w="1134" w:type="dxa"/>
                </w:tcPr>
                <w:p w14:paraId="31C7530D" w14:textId="77777777" w:rsidR="00F8788D" w:rsidRDefault="00F8788D" w:rsidP="002414BB">
                  <w:pPr>
                    <w:jc w:val="both"/>
                  </w:pPr>
                  <w:r>
                    <w:t>A.SA3.N1</w:t>
                  </w:r>
                </w:p>
              </w:tc>
              <w:tc>
                <w:tcPr>
                  <w:tcW w:w="1276" w:type="dxa"/>
                </w:tcPr>
                <w:p w14:paraId="46C9D763" w14:textId="77777777" w:rsidR="00F8788D" w:rsidRDefault="00F8788D" w:rsidP="002414BB">
                  <w:pPr>
                    <w:jc w:val="both"/>
                  </w:pPr>
                  <w:r>
                    <w:t>0</w:t>
                  </w:r>
                </w:p>
              </w:tc>
              <w:tc>
                <w:tcPr>
                  <w:tcW w:w="1276" w:type="dxa"/>
                </w:tcPr>
                <w:p w14:paraId="4858DD9C" w14:textId="77777777" w:rsidR="00F8788D" w:rsidRDefault="00F8788D" w:rsidP="002414BB">
                  <w:pPr>
                    <w:jc w:val="both"/>
                  </w:pPr>
                  <w:r>
                    <w:t>Yes</w:t>
                  </w:r>
                </w:p>
              </w:tc>
            </w:tr>
          </w:tbl>
          <w:p w14:paraId="2601B12D" w14:textId="77777777" w:rsidR="00F8788D" w:rsidRDefault="00F8788D" w:rsidP="002414BB">
            <w:pPr>
              <w:jc w:val="both"/>
            </w:pPr>
          </w:p>
          <w:p w14:paraId="29F6C485" w14:textId="77777777" w:rsidR="00F8788D" w:rsidRDefault="00F8788D" w:rsidP="002414BB">
            <w:pPr>
              <w:jc w:val="both"/>
            </w:pPr>
            <w:r>
              <w:t>The 300MW between scheduling areas B.SA1 and A.SA2 will be pro-rated across the 3 lines with linear cost coefficient = 1.</w:t>
            </w:r>
          </w:p>
          <w:p w14:paraId="7ADDEC7E" w14:textId="77777777" w:rsidR="00F8788D" w:rsidRDefault="00F8788D" w:rsidP="002414BB">
            <w:pPr>
              <w:jc w:val="both"/>
            </w:pPr>
            <w:r>
              <w:t>The 600MW between scheduling areas B.SA1 and A.SA3 will fully allocated to the line with linear cost coefficient = 0.</w:t>
            </w:r>
          </w:p>
          <w:p w14:paraId="2EC6973C" w14:textId="77777777" w:rsidR="00F8788D" w:rsidRDefault="00F8788D" w:rsidP="002414BB">
            <w:pPr>
              <w:jc w:val="both"/>
            </w:pPr>
          </w:p>
          <w:p w14:paraId="13A49D36" w14:textId="77777777" w:rsidR="00F8788D" w:rsidRDefault="00F8788D" w:rsidP="002414BB">
            <w:pPr>
              <w:jc w:val="both"/>
            </w:pPr>
          </w:p>
        </w:tc>
        <w:tc>
          <w:tcPr>
            <w:tcW w:w="2988" w:type="dxa"/>
          </w:tcPr>
          <w:p w14:paraId="2D2FCDE0" w14:textId="77777777" w:rsidR="00F8788D" w:rsidRDefault="00F8788D" w:rsidP="002414BB">
            <w:pPr>
              <w:jc w:val="both"/>
            </w:pPr>
          </w:p>
          <w:p w14:paraId="1DF9D921" w14:textId="77777777" w:rsidR="00F8788D" w:rsidRDefault="00F8788D" w:rsidP="002414BB">
            <w:pPr>
              <w:jc w:val="both"/>
            </w:pPr>
            <w:r w:rsidRPr="00202D95">
              <w:rPr>
                <w:noProof/>
                <w:lang w:val="en-US" w:eastAsia="en-US"/>
              </w:rPr>
              <w:drawing>
                <wp:inline distT="0" distB="0" distL="0" distR="0" wp14:anchorId="1FAC75FD" wp14:editId="36372D4C">
                  <wp:extent cx="1760400" cy="29124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760400" cy="2912400"/>
                          </a:xfrm>
                          <a:prstGeom prst="rect">
                            <a:avLst/>
                          </a:prstGeom>
                          <a:noFill/>
                          <a:ln>
                            <a:noFill/>
                          </a:ln>
                        </pic:spPr>
                      </pic:pic>
                    </a:graphicData>
                  </a:graphic>
                </wp:inline>
              </w:drawing>
            </w:r>
          </w:p>
        </w:tc>
      </w:tr>
      <w:tr w:rsidR="00F8788D" w14:paraId="25803180" w14:textId="77777777" w:rsidTr="002414BB">
        <w:trPr>
          <w:cantSplit/>
        </w:trPr>
        <w:tc>
          <w:tcPr>
            <w:tcW w:w="5302" w:type="dxa"/>
            <w:gridSpan w:val="3"/>
          </w:tcPr>
          <w:p w14:paraId="73D91F3D" w14:textId="77777777" w:rsidR="00F8788D" w:rsidRDefault="00F8788D" w:rsidP="002414BB">
            <w:pPr>
              <w:jc w:val="both"/>
              <w:rPr>
                <w:b/>
              </w:rPr>
            </w:pPr>
            <w:r>
              <w:rPr>
                <w:b/>
              </w:rPr>
              <w:t>Step 2</w:t>
            </w:r>
          </w:p>
          <w:p w14:paraId="6B904AAA" w14:textId="77777777" w:rsidR="00F8788D" w:rsidRPr="000C547A" w:rsidRDefault="00F8788D" w:rsidP="002414BB">
            <w:pPr>
              <w:jc w:val="both"/>
            </w:pPr>
            <w:r w:rsidRPr="000C547A">
              <w:t xml:space="preserve">The second step computes the inner bidding </w:t>
            </w:r>
            <w:r>
              <w:t>zone</w:t>
            </w:r>
            <w:r w:rsidRPr="000C547A">
              <w:t xml:space="preserve"> NEMO flows (Cross scheduling area inter NEMO and Inter NEMO flows). </w:t>
            </w:r>
          </w:p>
          <w:p w14:paraId="198D3DFE" w14:textId="77777777" w:rsidR="00F8788D" w:rsidRDefault="00F8788D" w:rsidP="002414BB">
            <w:pPr>
              <w:jc w:val="both"/>
            </w:pPr>
            <w:r w:rsidRPr="000C547A">
              <w:t xml:space="preserve">This step will be applied to all bidding </w:t>
            </w:r>
            <w:r>
              <w:t>zones</w:t>
            </w:r>
            <w:r w:rsidRPr="000C547A">
              <w:t xml:space="preserve"> separately. We use the term inner-B</w:t>
            </w:r>
            <w:r>
              <w:t>Z</w:t>
            </w:r>
            <w:r w:rsidRPr="000C547A">
              <w:t xml:space="preserve"> net-position to describe the value of the NEMO hub net-position increased by the incoming flows on cross border inter-NEMO lines and decreased by the outgoing flows on cross border inter-NEMO lines.</w:t>
            </w:r>
          </w:p>
          <w:p w14:paraId="5A8FF1D8" w14:textId="77777777" w:rsidR="00F8788D" w:rsidRDefault="00F8788D" w:rsidP="002414BB">
            <w:pPr>
              <w:jc w:val="both"/>
            </w:pPr>
          </w:p>
          <w:p w14:paraId="5F3DCAA0" w14:textId="77777777" w:rsidR="00F8788D" w:rsidRPr="00C54E9E" w:rsidRDefault="00F8788D" w:rsidP="002414BB">
            <w:pPr>
              <w:jc w:val="both"/>
              <w:rPr>
                <w:i/>
              </w:rPr>
            </w:pPr>
            <w:r w:rsidRPr="00C54E9E">
              <w:rPr>
                <w:i/>
              </w:rPr>
              <w:t>Example</w:t>
            </w:r>
          </w:p>
          <w:p w14:paraId="60935030" w14:textId="77777777" w:rsidR="00F8788D" w:rsidRDefault="00F8788D" w:rsidP="002414BB">
            <w:pPr>
              <w:jc w:val="both"/>
              <w:rPr>
                <w:b/>
              </w:rPr>
            </w:pPr>
            <w:r>
              <w:t xml:space="preserve">In the illustration to the right, the net positions for BZ A NEMO trading hubs have been updated accordingly. </w:t>
            </w:r>
          </w:p>
        </w:tc>
        <w:tc>
          <w:tcPr>
            <w:tcW w:w="2988" w:type="dxa"/>
          </w:tcPr>
          <w:p w14:paraId="0E782924" w14:textId="77777777" w:rsidR="00F8788D" w:rsidRDefault="00F8788D" w:rsidP="002414BB">
            <w:pPr>
              <w:jc w:val="both"/>
            </w:pPr>
          </w:p>
          <w:p w14:paraId="32CF0C8A" w14:textId="77777777" w:rsidR="00F8788D" w:rsidRDefault="00F8788D" w:rsidP="002414BB">
            <w:pPr>
              <w:jc w:val="both"/>
            </w:pPr>
            <w:r w:rsidRPr="00202D95">
              <w:rPr>
                <w:noProof/>
                <w:lang w:val="en-US" w:eastAsia="en-US"/>
              </w:rPr>
              <w:drawing>
                <wp:inline distT="0" distB="0" distL="0" distR="0" wp14:anchorId="7DD193E6" wp14:editId="6C23CFD8">
                  <wp:extent cx="1753200" cy="16056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753200" cy="1605600"/>
                          </a:xfrm>
                          <a:prstGeom prst="rect">
                            <a:avLst/>
                          </a:prstGeom>
                          <a:noFill/>
                          <a:ln>
                            <a:noFill/>
                          </a:ln>
                        </pic:spPr>
                      </pic:pic>
                    </a:graphicData>
                  </a:graphic>
                </wp:inline>
              </w:drawing>
            </w:r>
          </w:p>
          <w:p w14:paraId="4C20E864" w14:textId="77777777" w:rsidR="00F8788D" w:rsidRDefault="00F8788D" w:rsidP="002414BB">
            <w:pPr>
              <w:jc w:val="both"/>
            </w:pPr>
          </w:p>
        </w:tc>
      </w:tr>
      <w:tr w:rsidR="00F8788D" w14:paraId="031A2F10" w14:textId="77777777" w:rsidTr="002414BB">
        <w:trPr>
          <w:cantSplit/>
        </w:trPr>
        <w:tc>
          <w:tcPr>
            <w:tcW w:w="5302" w:type="dxa"/>
            <w:gridSpan w:val="3"/>
          </w:tcPr>
          <w:p w14:paraId="41F7C7ED" w14:textId="77777777" w:rsidR="00F8788D" w:rsidRDefault="00F8788D" w:rsidP="002414BB">
            <w:pPr>
              <w:jc w:val="both"/>
              <w:rPr>
                <w:b/>
              </w:rPr>
            </w:pPr>
            <w:r>
              <w:rPr>
                <w:b/>
              </w:rPr>
              <w:t>Step 2 (continued)</w:t>
            </w:r>
          </w:p>
          <w:p w14:paraId="59BDB36D" w14:textId="77777777" w:rsidR="00F8788D" w:rsidRPr="0086555C" w:rsidRDefault="00F8788D" w:rsidP="002414BB">
            <w:pPr>
              <w:jc w:val="both"/>
            </w:pPr>
            <w:r w:rsidRPr="0086555C">
              <w:t>The heuristic computes the flows on inner-B</w:t>
            </w:r>
            <w:r>
              <w:t>Z</w:t>
            </w:r>
            <w:r w:rsidRPr="0086555C">
              <w:t xml:space="preserve"> NEMO lines by solving a minimum-cost</w:t>
            </w:r>
            <w:r>
              <w:t xml:space="preserve"> </w:t>
            </w:r>
            <w:r w:rsidRPr="0086555C">
              <w:t xml:space="preserve">maximum flow problem. To model the problem, we add a source </w:t>
            </w:r>
            <w:r>
              <w:t xml:space="preserve">(s) </w:t>
            </w:r>
            <w:r w:rsidRPr="0086555C">
              <w:t xml:space="preserve">and a sink </w:t>
            </w:r>
            <w:r>
              <w:t xml:space="preserve">(t) </w:t>
            </w:r>
            <w:r w:rsidRPr="0086555C">
              <w:t>node to</w:t>
            </w:r>
            <w:r>
              <w:t xml:space="preserve"> </w:t>
            </w:r>
            <w:r w:rsidRPr="0086555C">
              <w:t xml:space="preserve">the bidding </w:t>
            </w:r>
            <w:r>
              <w:t>zone</w:t>
            </w:r>
            <w:r w:rsidRPr="0086555C">
              <w:t xml:space="preserve"> NEMO topology. We add lines between the source node and all NEMO</w:t>
            </w:r>
            <w:r>
              <w:t xml:space="preserve"> </w:t>
            </w:r>
            <w:r w:rsidRPr="0086555C">
              <w:t>hubs with positive inner-B</w:t>
            </w:r>
            <w:r>
              <w:t>Z</w:t>
            </w:r>
            <w:r w:rsidRPr="0086555C">
              <w:t xml:space="preserve"> net position and use the inner-B</w:t>
            </w:r>
            <w:r>
              <w:t>Z</w:t>
            </w:r>
            <w:r w:rsidRPr="0086555C">
              <w:t xml:space="preserve"> net positions as capacities on</w:t>
            </w:r>
            <w:r>
              <w:t xml:space="preserve"> </w:t>
            </w:r>
            <w:r w:rsidRPr="0086555C">
              <w:t>these lines. In the same way, we connect the NEMO hubs with negative inner-B</w:t>
            </w:r>
            <w:r>
              <w:t>Z</w:t>
            </w:r>
            <w:r w:rsidRPr="0086555C">
              <w:t xml:space="preserve"> net</w:t>
            </w:r>
          </w:p>
          <w:p w14:paraId="5D993EC1" w14:textId="77777777" w:rsidR="00F8788D" w:rsidRDefault="00F8788D" w:rsidP="002414BB">
            <w:pPr>
              <w:jc w:val="both"/>
            </w:pPr>
            <w:r w:rsidRPr="0086555C">
              <w:t>position to the sink node. All other lines correspond to inner-B</w:t>
            </w:r>
            <w:r>
              <w:t>Z</w:t>
            </w:r>
            <w:r w:rsidRPr="0086555C">
              <w:t xml:space="preserve"> NEMO lines, and only the</w:t>
            </w:r>
            <w:r>
              <w:t xml:space="preserve"> </w:t>
            </w:r>
            <w:r w:rsidRPr="0086555C">
              <w:t xml:space="preserve">linear cost coefficients are applied. </w:t>
            </w:r>
          </w:p>
          <w:p w14:paraId="5B094A01" w14:textId="77777777" w:rsidR="00F8788D" w:rsidRDefault="00F8788D" w:rsidP="002414BB">
            <w:pPr>
              <w:jc w:val="both"/>
            </w:pPr>
          </w:p>
          <w:p w14:paraId="0E68E4AE" w14:textId="77777777" w:rsidR="00F8788D" w:rsidRPr="008223D0" w:rsidRDefault="00F8788D" w:rsidP="002414BB">
            <w:pPr>
              <w:jc w:val="both"/>
              <w:rPr>
                <w:i/>
              </w:rPr>
            </w:pPr>
            <w:r w:rsidRPr="008223D0">
              <w:rPr>
                <w:i/>
              </w:rPr>
              <w:t>Example</w:t>
            </w:r>
          </w:p>
          <w:p w14:paraId="6919924B" w14:textId="77777777" w:rsidR="00F8788D" w:rsidRDefault="00F8788D" w:rsidP="002414BB">
            <w:pPr>
              <w:jc w:val="both"/>
            </w:pPr>
            <w:r>
              <w:t>The RHS illustration shows the resulting topology for our example of bidding zone A. The numbers in black are the capacities (internal lines have infinite capacity). The numbers in red are the associated linear cost coefficients.</w:t>
            </w:r>
          </w:p>
          <w:p w14:paraId="150E3219" w14:textId="77777777" w:rsidR="00F8788D" w:rsidRDefault="00F8788D" w:rsidP="002414BB">
            <w:pPr>
              <w:jc w:val="both"/>
            </w:pPr>
          </w:p>
          <w:p w14:paraId="5CA49D4E" w14:textId="77777777" w:rsidR="00F8788D" w:rsidRPr="008223D0" w:rsidRDefault="00F8788D" w:rsidP="002414BB">
            <w:pPr>
              <w:jc w:val="both"/>
            </w:pPr>
            <w:r>
              <w:t>Note that the scheduling areas are discarded in the problem, since they impose no internal capacity constraints. As part of this degraded mode algorithm, we will thus discard the SA scheduled exchange calculation step, which considered its own objective with linear and quadratic cost coefficients.</w:t>
            </w:r>
          </w:p>
        </w:tc>
        <w:tc>
          <w:tcPr>
            <w:tcW w:w="2988" w:type="dxa"/>
          </w:tcPr>
          <w:p w14:paraId="3233AA54" w14:textId="77777777" w:rsidR="00F8788D" w:rsidRDefault="00F8788D" w:rsidP="002414BB">
            <w:pPr>
              <w:jc w:val="both"/>
            </w:pPr>
            <w:r w:rsidRPr="00EB5C03">
              <w:rPr>
                <w:noProof/>
                <w:lang w:val="en-US" w:eastAsia="en-US"/>
              </w:rPr>
              <w:drawing>
                <wp:inline distT="0" distB="0" distL="0" distR="0" wp14:anchorId="34E983E3" wp14:editId="7D755D06">
                  <wp:extent cx="1753200" cy="24300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753200" cy="2430000"/>
                          </a:xfrm>
                          <a:prstGeom prst="rect">
                            <a:avLst/>
                          </a:prstGeom>
                          <a:noFill/>
                          <a:ln>
                            <a:noFill/>
                          </a:ln>
                        </pic:spPr>
                      </pic:pic>
                    </a:graphicData>
                  </a:graphic>
                </wp:inline>
              </w:drawing>
            </w:r>
          </w:p>
        </w:tc>
      </w:tr>
      <w:tr w:rsidR="00F8788D" w14:paraId="1C896FC1" w14:textId="77777777" w:rsidTr="002414BB">
        <w:trPr>
          <w:cantSplit/>
        </w:trPr>
        <w:tc>
          <w:tcPr>
            <w:tcW w:w="4390" w:type="dxa"/>
            <w:gridSpan w:val="2"/>
          </w:tcPr>
          <w:p w14:paraId="1E8C246C" w14:textId="77777777" w:rsidR="00F8788D" w:rsidRDefault="00F8788D" w:rsidP="002414BB">
            <w:pPr>
              <w:jc w:val="both"/>
              <w:rPr>
                <w:b/>
              </w:rPr>
            </w:pPr>
            <w:r>
              <w:rPr>
                <w:b/>
              </w:rPr>
              <w:t>Step 2 (continued)</w:t>
            </w:r>
          </w:p>
          <w:p w14:paraId="015E1224" w14:textId="77777777" w:rsidR="00F8788D" w:rsidRDefault="00F8788D" w:rsidP="002414BB">
            <w:pPr>
              <w:jc w:val="both"/>
            </w:pPr>
            <w:r w:rsidRPr="0086555C">
              <w:t>Given this input, a combinatorial minimum-cost</w:t>
            </w:r>
            <w:r>
              <w:t xml:space="preserve"> </w:t>
            </w:r>
            <w:r w:rsidRPr="0086555C">
              <w:t>maximum flow algorithm can be used to compute the flows on the NEMO lines.</w:t>
            </w:r>
          </w:p>
          <w:p w14:paraId="10EA9D76" w14:textId="77777777" w:rsidR="00F8788D" w:rsidRDefault="00F8788D" w:rsidP="002414BB">
            <w:pPr>
              <w:jc w:val="both"/>
            </w:pPr>
          </w:p>
          <w:p w14:paraId="13A77C0E" w14:textId="77777777" w:rsidR="00F8788D" w:rsidRPr="00DA5E19" w:rsidRDefault="00F8788D" w:rsidP="002414BB">
            <w:pPr>
              <w:jc w:val="both"/>
              <w:rPr>
                <w:i/>
              </w:rPr>
            </w:pPr>
            <w:r w:rsidRPr="00DA5E19">
              <w:rPr>
                <w:i/>
              </w:rPr>
              <w:t>Example</w:t>
            </w:r>
          </w:p>
          <w:p w14:paraId="1B4EEF4E" w14:textId="77777777" w:rsidR="00F8788D" w:rsidRDefault="00F8788D" w:rsidP="002414BB">
            <w:pPr>
              <w:jc w:val="both"/>
              <w:rPr>
                <w:b/>
              </w:rPr>
            </w:pPr>
            <w:r>
              <w:t>In our simple example for bidding zone A we can find an answer without an actual algorithm. Since there exist several paths from s to t with length 0, there exists no unique solution and the algorithm will return one of them. I.e. the algorithm may return either of the solutions illustrated to the right, or even a different one still. Only the length of the path (in our example 0) is ensured.</w:t>
            </w:r>
          </w:p>
        </w:tc>
        <w:tc>
          <w:tcPr>
            <w:tcW w:w="3900" w:type="dxa"/>
            <w:gridSpan w:val="2"/>
          </w:tcPr>
          <w:p w14:paraId="3E3F46BC" w14:textId="77777777" w:rsidR="00F8788D" w:rsidRPr="008223D0" w:rsidRDefault="00F8788D" w:rsidP="002414BB">
            <w:pPr>
              <w:jc w:val="both"/>
              <w:rPr>
                <w:noProof/>
              </w:rPr>
            </w:pPr>
            <w:r w:rsidRPr="00EB5C03">
              <w:rPr>
                <w:noProof/>
                <w:lang w:val="en-US" w:eastAsia="en-US"/>
              </w:rPr>
              <w:drawing>
                <wp:inline distT="0" distB="0" distL="0" distR="0" wp14:anchorId="1A7EACE9" wp14:editId="08BC38B2">
                  <wp:extent cx="1087200" cy="22428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087200" cy="2242800"/>
                          </a:xfrm>
                          <a:prstGeom prst="rect">
                            <a:avLst/>
                          </a:prstGeom>
                          <a:noFill/>
                          <a:ln>
                            <a:noFill/>
                          </a:ln>
                        </pic:spPr>
                      </pic:pic>
                    </a:graphicData>
                  </a:graphic>
                </wp:inline>
              </w:drawing>
            </w:r>
            <w:r w:rsidRPr="00DA5E19">
              <w:rPr>
                <w:noProof/>
              </w:rPr>
              <w:t xml:space="preserve"> </w:t>
            </w:r>
            <w:r>
              <w:rPr>
                <w:noProof/>
              </w:rPr>
              <w:t xml:space="preserve">  </w:t>
            </w:r>
            <w:r w:rsidRPr="00DA5E19">
              <w:rPr>
                <w:noProof/>
                <w:lang w:val="en-US" w:eastAsia="en-US"/>
              </w:rPr>
              <w:drawing>
                <wp:inline distT="0" distB="0" distL="0" distR="0" wp14:anchorId="37D7B42B" wp14:editId="6927B59A">
                  <wp:extent cx="1087200" cy="22428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087200" cy="2242800"/>
                          </a:xfrm>
                          <a:prstGeom prst="rect">
                            <a:avLst/>
                          </a:prstGeom>
                          <a:noFill/>
                          <a:ln>
                            <a:noFill/>
                          </a:ln>
                        </pic:spPr>
                      </pic:pic>
                    </a:graphicData>
                  </a:graphic>
                </wp:inline>
              </w:drawing>
            </w:r>
          </w:p>
        </w:tc>
      </w:tr>
    </w:tbl>
    <w:p w14:paraId="5F910BFD" w14:textId="77777777" w:rsidR="00F8788D" w:rsidRDefault="00F8788D" w:rsidP="002414BB">
      <w:pPr>
        <w:jc w:val="both"/>
      </w:pPr>
    </w:p>
    <w:p w14:paraId="5A85D0AF" w14:textId="77777777" w:rsidR="00F8788D" w:rsidRPr="00FC5D96" w:rsidRDefault="00F8788D" w:rsidP="002414BB">
      <w:pPr>
        <w:jc w:val="both"/>
        <w:rPr>
          <w:b/>
        </w:rPr>
      </w:pPr>
      <w:r w:rsidRPr="00FC5D96">
        <w:rPr>
          <w:b/>
        </w:rPr>
        <w:t>Determinism</w:t>
      </w:r>
    </w:p>
    <w:p w14:paraId="5AA3B95E" w14:textId="77777777" w:rsidR="00F8788D" w:rsidRDefault="00F8788D" w:rsidP="002414BB">
      <w:pPr>
        <w:jc w:val="both"/>
      </w:pPr>
      <w:r>
        <w:t>In the last step of our example it became apparent that the degraded mode algorithm cannot guarantee the uniqueness of the solution. Please mind the solution shall still be deterministic: if the same zonal solution is found (i.e. all variables, both primal and dual are identical), and the degraded algorithm is called to find a solution, it will consistently find the same (arbitrary in case more than 1 exist) solution.</w:t>
      </w:r>
    </w:p>
    <w:p w14:paraId="560B2549" w14:textId="77777777" w:rsidR="00F8788D" w:rsidRDefault="00F8788D" w:rsidP="002414BB">
      <w:pPr>
        <w:jc w:val="both"/>
      </w:pPr>
    </w:p>
    <w:p w14:paraId="04A24F12" w14:textId="77777777" w:rsidR="00F8788D" w:rsidRDefault="00F8788D" w:rsidP="002414BB">
      <w:pPr>
        <w:jc w:val="both"/>
      </w:pPr>
    </w:p>
    <w:p w14:paraId="61C00814" w14:textId="77777777" w:rsidR="00F8788D" w:rsidRDefault="00F8788D">
      <w:pPr>
        <w:rPr>
          <w:b/>
        </w:rPr>
      </w:pPr>
      <w:r>
        <w:rPr>
          <w:b/>
        </w:rPr>
        <w:br w:type="page"/>
      </w:r>
    </w:p>
    <w:p w14:paraId="1F02DD5B" w14:textId="77777777" w:rsidR="00F8788D" w:rsidRPr="00FC5D96" w:rsidRDefault="00F8788D" w:rsidP="002414BB">
      <w:pPr>
        <w:jc w:val="both"/>
        <w:rPr>
          <w:b/>
        </w:rPr>
      </w:pPr>
      <w:r w:rsidRPr="00FC5D96">
        <w:rPr>
          <w:b/>
        </w:rPr>
        <w:t>Scheduling area flows under degraded mode</w:t>
      </w:r>
    </w:p>
    <w:p w14:paraId="4BF2A9B9" w14:textId="77777777" w:rsidR="00F8788D" w:rsidRDefault="00F8788D" w:rsidP="002414BB">
      <w:pPr>
        <w:jc w:val="both"/>
      </w:pPr>
      <w:r>
        <w:t>The cross-border scheduling area flows were already determined. The inner scheduling area flows can now be trivially inferred from the inter NEMO flows. Imagine the second solution from the step 2 example for bidding zone A is returned: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8"/>
        <w:gridCol w:w="427"/>
        <w:gridCol w:w="3058"/>
        <w:gridCol w:w="427"/>
        <w:gridCol w:w="3351"/>
      </w:tblGrid>
      <w:tr w:rsidR="00F8788D" w14:paraId="688C15E6" w14:textId="77777777" w:rsidTr="002414BB">
        <w:trPr>
          <w:jc w:val="center"/>
        </w:trPr>
        <w:tc>
          <w:tcPr>
            <w:tcW w:w="1928" w:type="dxa"/>
          </w:tcPr>
          <w:p w14:paraId="37660ADB" w14:textId="77777777" w:rsidR="00F8788D" w:rsidRDefault="00F8788D" w:rsidP="002414BB">
            <w:pPr>
              <w:jc w:val="both"/>
            </w:pPr>
            <w:r w:rsidRPr="00DA5E19">
              <w:rPr>
                <w:noProof/>
                <w:lang w:val="en-US" w:eastAsia="en-US"/>
              </w:rPr>
              <w:drawing>
                <wp:inline distT="0" distB="0" distL="0" distR="0" wp14:anchorId="336EC8EF" wp14:editId="3C1F598F">
                  <wp:extent cx="1087200" cy="22428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087200" cy="2242800"/>
                          </a:xfrm>
                          <a:prstGeom prst="rect">
                            <a:avLst/>
                          </a:prstGeom>
                          <a:noFill/>
                          <a:ln>
                            <a:noFill/>
                          </a:ln>
                        </pic:spPr>
                      </pic:pic>
                    </a:graphicData>
                  </a:graphic>
                </wp:inline>
              </w:drawing>
            </w:r>
          </w:p>
        </w:tc>
        <w:tc>
          <w:tcPr>
            <w:tcW w:w="396" w:type="dxa"/>
          </w:tcPr>
          <w:p w14:paraId="60BB3592" w14:textId="77777777" w:rsidR="00F8788D" w:rsidRDefault="00F8788D" w:rsidP="002414BB">
            <w:pPr>
              <w:jc w:val="both"/>
            </w:pPr>
          </w:p>
          <w:p w14:paraId="0902FCDB" w14:textId="77777777" w:rsidR="00F8788D" w:rsidRDefault="00F8788D" w:rsidP="002414BB">
            <w:pPr>
              <w:jc w:val="both"/>
            </w:pPr>
          </w:p>
          <w:p w14:paraId="52AB16BA" w14:textId="77777777" w:rsidR="00F8788D" w:rsidRDefault="00F8788D" w:rsidP="002414BB">
            <w:pPr>
              <w:jc w:val="both"/>
            </w:pPr>
          </w:p>
          <w:p w14:paraId="0893CE1E" w14:textId="77777777" w:rsidR="00F8788D" w:rsidRDefault="00F8788D" w:rsidP="002414BB">
            <w:pPr>
              <w:jc w:val="both"/>
            </w:pPr>
          </w:p>
          <w:p w14:paraId="295701A2" w14:textId="77777777" w:rsidR="00F8788D" w:rsidRPr="00F526C4" w:rsidRDefault="00F8788D" w:rsidP="002414BB">
            <w:pPr>
              <w:jc w:val="both"/>
              <w:rPr>
                <w:sz w:val="36"/>
                <w:szCs w:val="36"/>
              </w:rPr>
            </w:pPr>
            <w:r w:rsidRPr="00F526C4">
              <w:rPr>
                <w:sz w:val="36"/>
                <w:szCs w:val="36"/>
              </w:rPr>
              <w:t>=</w:t>
            </w:r>
          </w:p>
        </w:tc>
        <w:tc>
          <w:tcPr>
            <w:tcW w:w="3058" w:type="dxa"/>
          </w:tcPr>
          <w:p w14:paraId="09E66831" w14:textId="77777777" w:rsidR="00F8788D" w:rsidRDefault="00F8788D" w:rsidP="002414BB">
            <w:pPr>
              <w:jc w:val="both"/>
            </w:pPr>
          </w:p>
          <w:p w14:paraId="6737C616" w14:textId="77777777" w:rsidR="00F8788D" w:rsidRDefault="00F8788D" w:rsidP="002414BB">
            <w:pPr>
              <w:jc w:val="both"/>
            </w:pPr>
          </w:p>
          <w:p w14:paraId="61B73339" w14:textId="77777777" w:rsidR="00F8788D" w:rsidRDefault="00F8788D" w:rsidP="002414BB">
            <w:pPr>
              <w:jc w:val="both"/>
            </w:pPr>
            <w:r w:rsidRPr="00F526C4">
              <w:rPr>
                <w:noProof/>
                <w:lang w:val="en-US" w:eastAsia="en-US"/>
              </w:rPr>
              <w:drawing>
                <wp:inline distT="0" distB="0" distL="0" distR="0" wp14:anchorId="19BB8989" wp14:editId="4A98044B">
                  <wp:extent cx="1764000" cy="1587600"/>
                  <wp:effectExtent l="0" t="0" r="825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764000" cy="1587600"/>
                          </a:xfrm>
                          <a:prstGeom prst="rect">
                            <a:avLst/>
                          </a:prstGeom>
                          <a:noFill/>
                          <a:ln>
                            <a:noFill/>
                          </a:ln>
                        </pic:spPr>
                      </pic:pic>
                    </a:graphicData>
                  </a:graphic>
                </wp:inline>
              </w:drawing>
            </w:r>
          </w:p>
        </w:tc>
        <w:tc>
          <w:tcPr>
            <w:tcW w:w="283" w:type="dxa"/>
          </w:tcPr>
          <w:p w14:paraId="4C350DDD" w14:textId="77777777" w:rsidR="00F8788D" w:rsidRDefault="00F8788D" w:rsidP="002414BB">
            <w:pPr>
              <w:jc w:val="both"/>
            </w:pPr>
          </w:p>
          <w:p w14:paraId="2A61B04D" w14:textId="77777777" w:rsidR="00F8788D" w:rsidRDefault="00F8788D" w:rsidP="002414BB">
            <w:pPr>
              <w:jc w:val="both"/>
            </w:pPr>
          </w:p>
          <w:p w14:paraId="00B54BB9" w14:textId="77777777" w:rsidR="00F8788D" w:rsidRDefault="00F8788D" w:rsidP="002414BB">
            <w:pPr>
              <w:jc w:val="both"/>
            </w:pPr>
          </w:p>
          <w:p w14:paraId="4626B234" w14:textId="77777777" w:rsidR="00F8788D" w:rsidRDefault="00F8788D" w:rsidP="002414BB">
            <w:pPr>
              <w:jc w:val="both"/>
            </w:pPr>
          </w:p>
          <w:p w14:paraId="558F3EFF" w14:textId="77777777" w:rsidR="00F8788D" w:rsidRPr="00F526C4" w:rsidRDefault="00F8788D" w:rsidP="002414BB">
            <w:pPr>
              <w:jc w:val="both"/>
              <w:rPr>
                <w:noProof/>
              </w:rPr>
            </w:pPr>
            <w:r w:rsidRPr="00F526C4">
              <w:rPr>
                <w:sz w:val="36"/>
                <w:szCs w:val="36"/>
              </w:rPr>
              <w:t>=</w:t>
            </w:r>
          </w:p>
        </w:tc>
        <w:tc>
          <w:tcPr>
            <w:tcW w:w="3351" w:type="dxa"/>
          </w:tcPr>
          <w:p w14:paraId="7370943A" w14:textId="77777777" w:rsidR="00F8788D" w:rsidRDefault="00F8788D" w:rsidP="002414BB">
            <w:pPr>
              <w:jc w:val="both"/>
              <w:rPr>
                <w:noProof/>
              </w:rPr>
            </w:pPr>
          </w:p>
          <w:p w14:paraId="40F35BDF" w14:textId="77777777" w:rsidR="00F8788D" w:rsidRDefault="00F8788D" w:rsidP="002414BB">
            <w:pPr>
              <w:jc w:val="both"/>
              <w:rPr>
                <w:noProof/>
              </w:rPr>
            </w:pPr>
          </w:p>
          <w:p w14:paraId="53185BF1" w14:textId="77777777" w:rsidR="00F8788D" w:rsidRPr="00F526C4" w:rsidRDefault="00F8788D" w:rsidP="002414BB">
            <w:pPr>
              <w:jc w:val="both"/>
              <w:rPr>
                <w:noProof/>
              </w:rPr>
            </w:pPr>
            <w:r w:rsidRPr="00F526C4">
              <w:rPr>
                <w:noProof/>
                <w:lang w:val="en-US" w:eastAsia="en-US"/>
              </w:rPr>
              <w:drawing>
                <wp:inline distT="0" distB="0" distL="0" distR="0" wp14:anchorId="44E97B93" wp14:editId="4C36976F">
                  <wp:extent cx="1590040" cy="154241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590040" cy="1542415"/>
                          </a:xfrm>
                          <a:prstGeom prst="rect">
                            <a:avLst/>
                          </a:prstGeom>
                          <a:noFill/>
                          <a:ln>
                            <a:noFill/>
                          </a:ln>
                        </pic:spPr>
                      </pic:pic>
                    </a:graphicData>
                  </a:graphic>
                </wp:inline>
              </w:drawing>
            </w:r>
          </w:p>
        </w:tc>
      </w:tr>
    </w:tbl>
    <w:p w14:paraId="6131013A" w14:textId="77777777" w:rsidR="00F8788D" w:rsidRPr="00581494" w:rsidRDefault="00F8788D" w:rsidP="002414BB">
      <w:pPr>
        <w:jc w:val="both"/>
        <w:rPr>
          <w:bCs/>
          <w:lang w:val="en-US"/>
        </w:rPr>
      </w:pPr>
    </w:p>
    <w:p w14:paraId="300904C2" w14:textId="77777777" w:rsidR="00F8788D" w:rsidRPr="00FE241E" w:rsidRDefault="00F8788D" w:rsidP="002414BB">
      <w:pPr>
        <w:jc w:val="both"/>
        <w:rPr>
          <w:lang w:val="en-US"/>
        </w:rPr>
      </w:pPr>
      <w:r>
        <w:rPr>
          <w:lang w:val="en-US"/>
        </w:rPr>
        <w:t>As mentioned above in degraded mode a heuristic computes the flows on inner-BZ</w:t>
      </w:r>
      <w:r w:rsidRPr="00F117BA">
        <w:rPr>
          <w:lang w:val="en-US"/>
        </w:rPr>
        <w:t xml:space="preserve"> NEMO lines by solving a minimum-cost maximum flow problem</w:t>
      </w:r>
      <w:r>
        <w:rPr>
          <w:lang w:val="en-US"/>
        </w:rPr>
        <w:t>. The linear coefficients are considered, but the quadratic ones are ignored, as mentioned in the table below.</w:t>
      </w:r>
      <w:r w:rsidRPr="000207D6">
        <w:rPr>
          <w:lang w:val="en-US"/>
        </w:rPr>
        <w:t xml:space="preserve"> </w:t>
      </w:r>
      <w:r>
        <w:rPr>
          <w:lang w:val="en-US"/>
        </w:rPr>
        <w:t>The constraints that are not respected in the degraded mode are described in the table below.</w:t>
      </w:r>
    </w:p>
    <w:p w14:paraId="65085586" w14:textId="77777777" w:rsidR="00F8788D" w:rsidRDefault="00F8788D" w:rsidP="002414BB">
      <w:pPr>
        <w:jc w:val="both"/>
      </w:pPr>
    </w:p>
    <w:tbl>
      <w:tblPr>
        <w:tblW w:w="83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5"/>
        <w:gridCol w:w="3751"/>
        <w:gridCol w:w="2824"/>
      </w:tblGrid>
      <w:tr w:rsidR="00F8788D" w14:paraId="0B1262B2" w14:textId="77777777" w:rsidTr="002414BB">
        <w:trPr>
          <w:trHeight w:val="300"/>
        </w:trPr>
        <w:tc>
          <w:tcPr>
            <w:tcW w:w="1907" w:type="dxa"/>
          </w:tcPr>
          <w:p w14:paraId="0BC5E7B9" w14:textId="77777777" w:rsidR="00F8788D" w:rsidRDefault="00F8788D" w:rsidP="002414BB">
            <w:pPr>
              <w:pStyle w:val="ListParagraph"/>
              <w:ind w:left="150"/>
              <w:jc w:val="both"/>
            </w:pPr>
            <w:r>
              <w:t>Level</w:t>
            </w:r>
          </w:p>
        </w:tc>
        <w:tc>
          <w:tcPr>
            <w:tcW w:w="4055" w:type="dxa"/>
          </w:tcPr>
          <w:p w14:paraId="42576937" w14:textId="77777777" w:rsidR="00F8788D" w:rsidRDefault="00F8788D" w:rsidP="002414BB">
            <w:pPr>
              <w:pStyle w:val="ListParagraph"/>
              <w:ind w:left="150"/>
              <w:jc w:val="both"/>
            </w:pPr>
            <w:r>
              <w:t>Constraints/requirements respected</w:t>
            </w:r>
          </w:p>
        </w:tc>
        <w:tc>
          <w:tcPr>
            <w:tcW w:w="2408" w:type="dxa"/>
          </w:tcPr>
          <w:p w14:paraId="2E6C47FC" w14:textId="77777777" w:rsidR="00F8788D" w:rsidRDefault="00F8788D" w:rsidP="002414BB">
            <w:pPr>
              <w:pStyle w:val="ListParagraph"/>
              <w:ind w:left="150"/>
              <w:jc w:val="both"/>
            </w:pPr>
            <w:r>
              <w:t>Constraints/requirements violated</w:t>
            </w:r>
          </w:p>
        </w:tc>
      </w:tr>
      <w:tr w:rsidR="00F8788D" w14:paraId="207B6C7B" w14:textId="77777777" w:rsidTr="002414BB">
        <w:trPr>
          <w:trHeight w:val="315"/>
        </w:trPr>
        <w:tc>
          <w:tcPr>
            <w:tcW w:w="1907" w:type="dxa"/>
          </w:tcPr>
          <w:p w14:paraId="5B60F977" w14:textId="77777777" w:rsidR="00F8788D" w:rsidRDefault="00F8788D" w:rsidP="002414BB">
            <w:pPr>
              <w:pStyle w:val="ListParagraph"/>
              <w:ind w:left="150"/>
              <w:jc w:val="both"/>
            </w:pPr>
            <w:r>
              <w:t>Scheduling areas</w:t>
            </w:r>
          </w:p>
        </w:tc>
        <w:tc>
          <w:tcPr>
            <w:tcW w:w="4055" w:type="dxa"/>
          </w:tcPr>
          <w:p w14:paraId="324F29EA" w14:textId="77777777" w:rsidR="00F8788D" w:rsidRDefault="00F8788D" w:rsidP="00F8788D">
            <w:pPr>
              <w:pStyle w:val="ListParagraph"/>
              <w:numPr>
                <w:ilvl w:val="0"/>
                <w:numId w:val="24"/>
              </w:numPr>
              <w:jc w:val="both"/>
            </w:pPr>
            <w:r>
              <w:t>Sum of the underlying scheduling area flows matches zonal flow</w:t>
            </w:r>
          </w:p>
        </w:tc>
        <w:tc>
          <w:tcPr>
            <w:tcW w:w="2408" w:type="dxa"/>
          </w:tcPr>
          <w:p w14:paraId="2207CE20" w14:textId="77777777" w:rsidR="00F8788D" w:rsidRDefault="00F8788D" w:rsidP="00F8788D">
            <w:pPr>
              <w:pStyle w:val="ListParagraph"/>
              <w:numPr>
                <w:ilvl w:val="0"/>
                <w:numId w:val="24"/>
              </w:numPr>
              <w:jc w:val="both"/>
            </w:pPr>
            <w:r>
              <w:t>In the scheduling area flow model the uniqueness of the solution can no longer be guaranteed (as this was implemented through the quadratic cost coefficients, that now  are discarded)</w:t>
            </w:r>
          </w:p>
        </w:tc>
      </w:tr>
      <w:tr w:rsidR="00F8788D" w14:paraId="7CCFA81F" w14:textId="77777777" w:rsidTr="002414BB">
        <w:trPr>
          <w:trHeight w:val="315"/>
        </w:trPr>
        <w:tc>
          <w:tcPr>
            <w:tcW w:w="1907" w:type="dxa"/>
          </w:tcPr>
          <w:p w14:paraId="39FD6FC5" w14:textId="77777777" w:rsidR="00F8788D" w:rsidRDefault="00F8788D" w:rsidP="002414BB">
            <w:pPr>
              <w:pStyle w:val="ListParagraph"/>
              <w:ind w:left="150"/>
              <w:jc w:val="both"/>
            </w:pPr>
            <w:r>
              <w:t>NEMO Trading Hubs</w:t>
            </w:r>
          </w:p>
        </w:tc>
        <w:tc>
          <w:tcPr>
            <w:tcW w:w="4055" w:type="dxa"/>
          </w:tcPr>
          <w:p w14:paraId="4AB59E2D" w14:textId="77777777" w:rsidR="00F8788D" w:rsidRDefault="00F8788D" w:rsidP="00F8788D">
            <w:pPr>
              <w:pStyle w:val="ListParagraph"/>
              <w:numPr>
                <w:ilvl w:val="0"/>
                <w:numId w:val="25"/>
              </w:numPr>
              <w:jc w:val="both"/>
            </w:pPr>
            <w:r>
              <w:t>Sum of the underlying NEMO trading hub flows matches SA flow</w:t>
            </w:r>
          </w:p>
        </w:tc>
        <w:tc>
          <w:tcPr>
            <w:tcW w:w="2408" w:type="dxa"/>
          </w:tcPr>
          <w:p w14:paraId="3481F45F" w14:textId="77777777" w:rsidR="00F8788D" w:rsidRDefault="00F8788D" w:rsidP="00F8788D">
            <w:pPr>
              <w:pStyle w:val="ListParagraph"/>
              <w:numPr>
                <w:ilvl w:val="0"/>
                <w:numId w:val="25"/>
              </w:numPr>
              <w:jc w:val="both"/>
            </w:pPr>
            <w:r>
              <w:t>Other Inter-NEMO flow calculation objectives are not considered (e.g. net exposure minimization)</w:t>
            </w:r>
          </w:p>
          <w:p w14:paraId="7888BA0C" w14:textId="77777777" w:rsidR="00F8788D" w:rsidRDefault="00F8788D" w:rsidP="00F8788D">
            <w:pPr>
              <w:pStyle w:val="ListParagraph"/>
              <w:numPr>
                <w:ilvl w:val="0"/>
                <w:numId w:val="25"/>
              </w:numPr>
              <w:jc w:val="both"/>
            </w:pPr>
            <w:r>
              <w:t>In the minimum cost -maximum flow problem the quadratic cost coefficients are discarded</w:t>
            </w:r>
          </w:p>
          <w:p w14:paraId="305660E3" w14:textId="77777777" w:rsidR="00F8788D" w:rsidRDefault="00F8788D" w:rsidP="00F8788D">
            <w:pPr>
              <w:pStyle w:val="ListParagraph"/>
              <w:numPr>
                <w:ilvl w:val="0"/>
                <w:numId w:val="25"/>
              </w:numPr>
              <w:jc w:val="both"/>
            </w:pPr>
            <w:r>
              <w:t>Inter NEMO flows within the same BZ, but across different SAs, may not necessarily follow the same direction as the SA flows</w:t>
            </w:r>
          </w:p>
        </w:tc>
      </w:tr>
    </w:tbl>
    <w:p w14:paraId="4571AE4A" w14:textId="77777777" w:rsidR="00F8788D" w:rsidRPr="00DC2092" w:rsidRDefault="00F8788D" w:rsidP="002414BB">
      <w:pPr>
        <w:jc w:val="both"/>
      </w:pPr>
    </w:p>
    <w:p w14:paraId="35381EA1" w14:textId="77777777" w:rsidR="00F8788D" w:rsidRDefault="00F8788D" w:rsidP="00F8788D">
      <w:pPr>
        <w:pStyle w:val="Heading3"/>
        <w:numPr>
          <w:ilvl w:val="2"/>
          <w:numId w:val="16"/>
        </w:numPr>
        <w:jc w:val="both"/>
      </w:pPr>
      <w:bookmarkStart w:id="367" w:name="_Toc503782607"/>
      <w:bookmarkStart w:id="368" w:name="_Toc507425414"/>
      <w:r w:rsidRPr="00066DE9">
        <w:t>Rounding solution</w:t>
      </w:r>
      <w:bookmarkEnd w:id="367"/>
      <w:bookmarkEnd w:id="368"/>
    </w:p>
    <w:p w14:paraId="0A2B38F0" w14:textId="77777777" w:rsidR="00F629D2" w:rsidRDefault="00F629D2" w:rsidP="002414BB">
      <w:pPr>
        <w:rPr>
          <w:b/>
          <w:lang w:val="en-US"/>
        </w:rPr>
      </w:pPr>
    </w:p>
    <w:p w14:paraId="0ED3DCF0" w14:textId="788B117F" w:rsidR="00F8788D" w:rsidRPr="00257ADE" w:rsidRDefault="00F8788D" w:rsidP="002414BB">
      <w:pPr>
        <w:rPr>
          <w:b/>
          <w:lang w:val="en-US"/>
        </w:rPr>
      </w:pPr>
      <w:r w:rsidRPr="00257ADE">
        <w:rPr>
          <w:b/>
          <w:lang w:val="en-US"/>
        </w:rPr>
        <w:t>Introduction</w:t>
      </w:r>
    </w:p>
    <w:p w14:paraId="70CFAF50" w14:textId="77777777" w:rsidR="00F8788D" w:rsidRDefault="00F8788D" w:rsidP="002414BB">
      <w:pPr>
        <w:rPr>
          <w:lang w:val="en-US"/>
        </w:rPr>
      </w:pPr>
      <w:r>
        <w:rPr>
          <w:lang w:val="en-US"/>
        </w:rPr>
        <w:t>Euphemia will secure that each NEMO trading hub NTHn will be balanced: the sum of inter NEMO trading hub flows out of NTHn, minus the sum of inter NEMO trading hub flows into NTHn will match the net position of NTHn (up to the configured tolerance).</w:t>
      </w:r>
    </w:p>
    <w:p w14:paraId="6A857EE1" w14:textId="77777777" w:rsidR="00F8788D" w:rsidRDefault="00F8788D" w:rsidP="002414BB">
      <w:pPr>
        <w:rPr>
          <w:lang w:val="en-US"/>
        </w:rPr>
      </w:pPr>
      <w:r>
        <w:rPr>
          <w:lang w:val="en-US"/>
        </w:rPr>
        <w:t>However, the energy that will eventually be nominated will need to be rounded:</w:t>
      </w:r>
    </w:p>
    <w:p w14:paraId="1E617075" w14:textId="77777777" w:rsidR="00F8788D" w:rsidRDefault="00F8788D" w:rsidP="00F8788D">
      <w:pPr>
        <w:pStyle w:val="ListParagraph"/>
        <w:numPr>
          <w:ilvl w:val="0"/>
          <w:numId w:val="40"/>
        </w:numPr>
        <w:spacing w:after="200" w:line="276" w:lineRule="auto"/>
        <w:rPr>
          <w:lang w:val="en-US"/>
        </w:rPr>
      </w:pPr>
      <w:r>
        <w:rPr>
          <w:lang w:val="en-US"/>
        </w:rPr>
        <w:t>The NEMO trading hub net positions will need to be rounded to the precision of the bidding zone they are located in;</w:t>
      </w:r>
    </w:p>
    <w:p w14:paraId="1B23EF81" w14:textId="77777777" w:rsidR="00F8788D" w:rsidRDefault="00F8788D" w:rsidP="00F8788D">
      <w:pPr>
        <w:pStyle w:val="ListParagraph"/>
        <w:numPr>
          <w:ilvl w:val="0"/>
          <w:numId w:val="40"/>
        </w:numPr>
        <w:spacing w:after="200" w:line="276" w:lineRule="auto"/>
        <w:rPr>
          <w:lang w:val="en-US"/>
        </w:rPr>
      </w:pPr>
      <w:r>
        <w:rPr>
          <w:lang w:val="en-US"/>
        </w:rPr>
        <w:t>The intra bidding zone inter NEMO trading hub flows need to be rounded to the precision of the bidding zone they are located in;</w:t>
      </w:r>
    </w:p>
    <w:p w14:paraId="4CA7E7C7" w14:textId="77777777" w:rsidR="00F8788D" w:rsidRDefault="00F8788D" w:rsidP="00F8788D">
      <w:pPr>
        <w:pStyle w:val="ListParagraph"/>
        <w:numPr>
          <w:ilvl w:val="0"/>
          <w:numId w:val="40"/>
        </w:numPr>
        <w:spacing w:after="200" w:line="276" w:lineRule="auto"/>
        <w:rPr>
          <w:lang w:val="en-US"/>
        </w:rPr>
      </w:pPr>
      <w:r>
        <w:rPr>
          <w:lang w:val="en-US"/>
        </w:rPr>
        <w:t>The inter bidding zone, inter NEMO trading hub flows need to be rounded to the precision of the cross-border interconnector;</w:t>
      </w:r>
    </w:p>
    <w:p w14:paraId="607394CF" w14:textId="77777777" w:rsidR="00F8788D" w:rsidRDefault="00F8788D" w:rsidP="002414BB">
      <w:pPr>
        <w:rPr>
          <w:lang w:val="en-US"/>
        </w:rPr>
      </w:pPr>
      <w:r>
        <w:rPr>
          <w:lang w:val="en-US"/>
        </w:rPr>
        <w:t xml:space="preserve">Due to the rounding the NEMO trading hubs may no longer be balanced. </w:t>
      </w:r>
    </w:p>
    <w:p w14:paraId="4D20A908" w14:textId="77777777" w:rsidR="00F8788D" w:rsidRDefault="00F8788D" w:rsidP="002414BB">
      <w:pPr>
        <w:rPr>
          <w:lang w:val="en-US"/>
        </w:rPr>
      </w:pPr>
    </w:p>
    <w:p w14:paraId="79017DF5" w14:textId="77777777" w:rsidR="00F8788D" w:rsidRDefault="00F8788D" w:rsidP="002414BB">
      <w:pPr>
        <w:rPr>
          <w:lang w:val="en-US"/>
        </w:rPr>
      </w:pPr>
      <w:r w:rsidRPr="00404866">
        <w:rPr>
          <w:i/>
          <w:lang w:val="en-US"/>
        </w:rPr>
        <w:t>Example</w:t>
      </w:r>
      <w:r>
        <w:rPr>
          <w:lang w:val="en-US"/>
        </w:rPr>
        <w:t xml:space="preserve"> </w:t>
      </w:r>
    </w:p>
    <w:p w14:paraId="494A08FA" w14:textId="77777777" w:rsidR="00F8788D" w:rsidRPr="00404866" w:rsidRDefault="00F8788D" w:rsidP="002414BB">
      <w:pPr>
        <w:rPr>
          <w:lang w:val="en-US"/>
        </w:rPr>
      </w:pPr>
      <w:r>
        <w:rPr>
          <w:lang w:val="en-US"/>
        </w:rPr>
        <w:t>We can illustrate this using the case without MNAs. The illustration below focuses on France, for delivery day 3 May 2017, hour 12. The hub nomination needs to be rounded to .1MWh. The border with Italy needs to be rounded to 1MWh. All other borders are rounded to .1MWh. For this specific hour the rounding imbalance was .7MWh.</w:t>
      </w:r>
    </w:p>
    <w:p w14:paraId="38474B18" w14:textId="77777777" w:rsidR="00F8788D" w:rsidRDefault="00F8788D" w:rsidP="002414BB">
      <w:pPr>
        <w:rPr>
          <w:lang w:val="en-US"/>
        </w:rPr>
      </w:pPr>
    </w:p>
    <w:p w14:paraId="22189D41" w14:textId="77777777" w:rsidR="00F8788D" w:rsidRDefault="00F8788D" w:rsidP="002414BB">
      <w:pPr>
        <w:rPr>
          <w:lang w:val="en-US"/>
        </w:rPr>
      </w:pPr>
      <w:r>
        <w:rPr>
          <w:noProof/>
          <w:lang w:val="en-US" w:eastAsia="en-US"/>
        </w:rPr>
        <w:drawing>
          <wp:inline distT="0" distB="0" distL="0" distR="0" wp14:anchorId="655C5FC7" wp14:editId="23D3490F">
            <wp:extent cx="3952800" cy="2750400"/>
            <wp:effectExtent l="0" t="0" r="0" b="0"/>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68"/>
                    <a:stretch>
                      <a:fillRect/>
                    </a:stretch>
                  </pic:blipFill>
                  <pic:spPr>
                    <a:xfrm>
                      <a:off x="0" y="0"/>
                      <a:ext cx="3952800" cy="2750400"/>
                    </a:xfrm>
                    <a:prstGeom prst="rect">
                      <a:avLst/>
                    </a:prstGeom>
                  </pic:spPr>
                </pic:pic>
              </a:graphicData>
            </a:graphic>
          </wp:inline>
        </w:drawing>
      </w:r>
    </w:p>
    <w:p w14:paraId="25558FAC" w14:textId="77777777" w:rsidR="00F8788D" w:rsidRDefault="00F8788D" w:rsidP="002414BB">
      <w:pPr>
        <w:rPr>
          <w:lang w:val="en-US"/>
        </w:rPr>
      </w:pPr>
      <w:r w:rsidRPr="00404866">
        <w:rPr>
          <w:b/>
          <w:lang w:val="en-US"/>
        </w:rPr>
        <w:t>Note</w:t>
      </w:r>
      <w:r>
        <w:rPr>
          <w:lang w:val="en-US"/>
        </w:rPr>
        <w:t>: the illustration contains outputs from Euphemia. Mind that pre-MNA rather than using the Euphemia results, CWE TSOs compute the CWE exchanges (i.e. BE-FR and DE-FR) as a post coupling activity. Therefore, the deviation may have been different for the actual production situation.</w:t>
      </w:r>
    </w:p>
    <w:p w14:paraId="5E7570C8" w14:textId="77777777" w:rsidR="00F8788D" w:rsidRDefault="00F8788D" w:rsidP="002414BB">
      <w:pPr>
        <w:jc w:val="both"/>
      </w:pPr>
    </w:p>
    <w:p w14:paraId="5A748471" w14:textId="77777777" w:rsidR="00F8788D" w:rsidRPr="00257ADE" w:rsidRDefault="00F8788D" w:rsidP="002414BB">
      <w:pPr>
        <w:jc w:val="both"/>
        <w:rPr>
          <w:b/>
        </w:rPr>
      </w:pPr>
      <w:r w:rsidRPr="00257ADE">
        <w:rPr>
          <w:b/>
        </w:rPr>
        <w:t>MNA rounding</w:t>
      </w:r>
    </w:p>
    <w:p w14:paraId="4309D072" w14:textId="77777777" w:rsidR="00F8788D" w:rsidRDefault="00F8788D" w:rsidP="002414BB">
      <w:pPr>
        <w:jc w:val="both"/>
      </w:pPr>
      <w:r>
        <w:t>The MNA rounding solution shall identify the NEMO rounding residuals and:</w:t>
      </w:r>
    </w:p>
    <w:p w14:paraId="6A8E86BE" w14:textId="77777777" w:rsidR="00F8788D" w:rsidRDefault="00F8788D" w:rsidP="00F8788D">
      <w:pPr>
        <w:pStyle w:val="ListParagraph"/>
        <w:numPr>
          <w:ilvl w:val="0"/>
          <w:numId w:val="41"/>
        </w:numPr>
        <w:spacing w:after="200" w:line="276" w:lineRule="auto"/>
        <w:jc w:val="both"/>
      </w:pPr>
      <w:r>
        <w:t>Either distribute the residuals across the NEMOs (“local rounding” solution), or</w:t>
      </w:r>
    </w:p>
    <w:p w14:paraId="78D42559" w14:textId="77777777" w:rsidR="00F8788D" w:rsidRDefault="00F8788D" w:rsidP="00F8788D">
      <w:pPr>
        <w:pStyle w:val="ListParagraph"/>
        <w:numPr>
          <w:ilvl w:val="0"/>
          <w:numId w:val="41"/>
        </w:numPr>
        <w:spacing w:after="200" w:line="276" w:lineRule="auto"/>
        <w:jc w:val="both"/>
      </w:pPr>
      <w:r>
        <w:t>Attribute them to a “deviation hub” if one exists in the bidding zone;</w:t>
      </w:r>
    </w:p>
    <w:p w14:paraId="7DA9D0F9" w14:textId="77777777" w:rsidR="00F8788D" w:rsidRDefault="00F8788D" w:rsidP="002414BB">
      <w:pPr>
        <w:jc w:val="both"/>
      </w:pPr>
      <w:r>
        <w:t>The “deviation hub” would be the entity responsible to manage the rounding deviations and would be modelled as a special instance of NEMO trading hub entity.</w:t>
      </w:r>
    </w:p>
    <w:p w14:paraId="76C2D438" w14:textId="77777777" w:rsidR="00F8788D" w:rsidRDefault="00F8788D" w:rsidP="002414BB">
      <w:pPr>
        <w:jc w:val="both"/>
      </w:pPr>
      <w:r>
        <w:t>Finally the rounded results should be made consistent across the BZ, SA and NTH levels. The solution is outlined below:</w:t>
      </w:r>
    </w:p>
    <w:p w14:paraId="2B545A9C" w14:textId="77777777" w:rsidR="00F8788D" w:rsidRDefault="00F8788D" w:rsidP="002414BB">
      <w:pPr>
        <w:jc w:val="both"/>
      </w:pPr>
    </w:p>
    <w:p w14:paraId="5E24ECA9" w14:textId="77777777" w:rsidR="00F8788D" w:rsidRDefault="00F8788D" w:rsidP="002414BB">
      <w:pPr>
        <w:jc w:val="both"/>
      </w:pPr>
    </w:p>
    <w:tbl>
      <w:tblPr>
        <w:tblStyle w:val="TableGrid"/>
        <w:tblW w:w="0" w:type="auto"/>
        <w:tblLook w:val="04A0" w:firstRow="1" w:lastRow="0" w:firstColumn="1" w:lastColumn="0" w:noHBand="0" w:noVBand="1"/>
      </w:tblPr>
      <w:tblGrid>
        <w:gridCol w:w="4190"/>
        <w:gridCol w:w="4446"/>
      </w:tblGrid>
      <w:tr w:rsidR="00F8788D" w14:paraId="203DD291" w14:textId="77777777" w:rsidTr="002414BB">
        <w:trPr>
          <w:cantSplit/>
          <w:tblHeader/>
        </w:trPr>
        <w:tc>
          <w:tcPr>
            <w:tcW w:w="4190" w:type="dxa"/>
            <w:shd w:val="clear" w:color="auto" w:fill="BFBFBF" w:themeFill="background1" w:themeFillShade="BF"/>
          </w:tcPr>
          <w:p w14:paraId="4997EF01" w14:textId="77777777" w:rsidR="00F8788D" w:rsidRDefault="00F8788D" w:rsidP="002414BB">
            <w:pPr>
              <w:jc w:val="both"/>
            </w:pPr>
          </w:p>
        </w:tc>
        <w:tc>
          <w:tcPr>
            <w:tcW w:w="4100" w:type="dxa"/>
            <w:shd w:val="clear" w:color="auto" w:fill="BFBFBF" w:themeFill="background1" w:themeFillShade="BF"/>
          </w:tcPr>
          <w:p w14:paraId="64B8CA82" w14:textId="77777777" w:rsidR="00F8788D" w:rsidRPr="007453BF" w:rsidRDefault="00F8788D" w:rsidP="002414BB">
            <w:pPr>
              <w:jc w:val="both"/>
              <w:rPr>
                <w:b/>
              </w:rPr>
            </w:pPr>
            <w:r w:rsidRPr="007453BF">
              <w:rPr>
                <w:b/>
              </w:rPr>
              <w:t>Comment</w:t>
            </w:r>
          </w:p>
        </w:tc>
      </w:tr>
      <w:tr w:rsidR="00F8788D" w14:paraId="4A935AFF" w14:textId="77777777" w:rsidTr="002414BB">
        <w:trPr>
          <w:cantSplit/>
        </w:trPr>
        <w:tc>
          <w:tcPr>
            <w:tcW w:w="4190" w:type="dxa"/>
          </w:tcPr>
          <w:p w14:paraId="7EC3C962" w14:textId="77777777" w:rsidR="00F8788D" w:rsidRPr="00DF517E" w:rsidRDefault="00F8788D" w:rsidP="002414BB">
            <w:pPr>
              <w:jc w:val="both"/>
              <w:rPr>
                <w:b/>
              </w:rPr>
            </w:pPr>
            <w:r w:rsidRPr="00DF517E">
              <w:rPr>
                <w:b/>
              </w:rPr>
              <w:t>Step 1</w:t>
            </w:r>
          </w:p>
          <w:p w14:paraId="3811A418" w14:textId="77777777" w:rsidR="00F8788D" w:rsidRDefault="00F8788D" w:rsidP="002414BB">
            <w:pPr>
              <w:jc w:val="both"/>
            </w:pPr>
            <w:r>
              <w:t>The zonal flows are rounded to the precision of the line;</w:t>
            </w:r>
          </w:p>
        </w:tc>
        <w:tc>
          <w:tcPr>
            <w:tcW w:w="4100" w:type="dxa"/>
          </w:tcPr>
          <w:p w14:paraId="17D1115A" w14:textId="77777777" w:rsidR="00F8788D" w:rsidRPr="00DF517E" w:rsidRDefault="00F8788D" w:rsidP="002414BB">
            <w:pPr>
              <w:jc w:val="both"/>
              <w:rPr>
                <w:i/>
              </w:rPr>
            </w:pPr>
            <w:r w:rsidRPr="00DF517E">
              <w:rPr>
                <w:i/>
              </w:rPr>
              <w:t xml:space="preserve">The flow could be different on both sides of a line even if there are no losses, because different precisions </w:t>
            </w:r>
            <w:r>
              <w:rPr>
                <w:i/>
              </w:rPr>
              <w:t xml:space="preserve">may be </w:t>
            </w:r>
            <w:r w:rsidRPr="00DF517E">
              <w:rPr>
                <w:i/>
              </w:rPr>
              <w:t xml:space="preserve">used in the two </w:t>
            </w:r>
            <w:r>
              <w:rPr>
                <w:i/>
              </w:rPr>
              <w:t xml:space="preserve">adjacent </w:t>
            </w:r>
            <w:r w:rsidRPr="00DF517E">
              <w:rPr>
                <w:i/>
              </w:rPr>
              <w:t xml:space="preserve">bidding </w:t>
            </w:r>
            <w:r>
              <w:rPr>
                <w:i/>
              </w:rPr>
              <w:t>zones</w:t>
            </w:r>
            <w:r w:rsidRPr="00DF517E">
              <w:rPr>
                <w:i/>
              </w:rPr>
              <w:t>.</w:t>
            </w:r>
          </w:p>
        </w:tc>
      </w:tr>
      <w:tr w:rsidR="00F8788D" w14:paraId="6C87F273" w14:textId="77777777" w:rsidTr="002414BB">
        <w:trPr>
          <w:cantSplit/>
        </w:trPr>
        <w:tc>
          <w:tcPr>
            <w:tcW w:w="4190" w:type="dxa"/>
          </w:tcPr>
          <w:p w14:paraId="1216D669" w14:textId="77777777" w:rsidR="00F8788D" w:rsidRDefault="00F8788D" w:rsidP="002414BB">
            <w:pPr>
              <w:jc w:val="both"/>
              <w:rPr>
                <w:b/>
              </w:rPr>
            </w:pPr>
            <w:r>
              <w:rPr>
                <w:b/>
              </w:rPr>
              <w:t>Step 2</w:t>
            </w:r>
          </w:p>
          <w:p w14:paraId="112C3198" w14:textId="77777777" w:rsidR="00F8788D" w:rsidRDefault="00F8788D" w:rsidP="002414BB">
            <w:pPr>
              <w:jc w:val="both"/>
            </w:pPr>
            <w:r>
              <w:t>Deduce rounded net positions for all bidding zones, as the difference between the sum of the rounded outgoing zonal flows and the sum of the rounded incoming zonal flows:</w:t>
            </w:r>
          </w:p>
          <w:p w14:paraId="67775794" w14:textId="77777777" w:rsidR="00F8788D" w:rsidRPr="00DF517E" w:rsidRDefault="00FC1305" w:rsidP="002414BB">
            <w:pPr>
              <w:jc w:val="both"/>
            </w:pPr>
            <m:oMathPara>
              <m:oMath>
                <m:acc>
                  <m:accPr>
                    <m:ctrlPr>
                      <w:rPr>
                        <w:rFonts w:ascii="Cambria Math" w:eastAsiaTheme="minorEastAsia" w:hAnsi="Cambria Math" w:cstheme="minorBidi"/>
                        <w:i/>
                        <w:lang w:val="en-US" w:eastAsia="en-US"/>
                      </w:rPr>
                    </m:ctrlPr>
                  </m:accPr>
                  <m:e>
                    <m:sSub>
                      <m:sSubPr>
                        <m:ctrlPr>
                          <w:rPr>
                            <w:rFonts w:ascii="Cambria Math" w:hAnsi="Cambria Math" w:cstheme="minorBidi"/>
                            <w:i/>
                            <w:lang w:val="en-US" w:eastAsia="en-US"/>
                          </w:rPr>
                        </m:ctrlPr>
                      </m:sSubPr>
                      <m:e>
                        <m:r>
                          <w:rPr>
                            <w:rFonts w:ascii="Cambria Math" w:hAnsi="Cambria Math"/>
                            <w:lang w:val="en-US"/>
                          </w:rPr>
                          <m:t>NP</m:t>
                        </m:r>
                      </m:e>
                      <m:sub>
                        <m:r>
                          <w:rPr>
                            <w:rFonts w:ascii="Cambria Math" w:hAnsi="Cambria Math"/>
                            <w:lang w:val="en-US"/>
                          </w:rPr>
                          <m:t>bz</m:t>
                        </m:r>
                      </m:sub>
                    </m:sSub>
                  </m:e>
                </m:acc>
                <m:r>
                  <w:rPr>
                    <w:rFonts w:ascii="Cambria Math" w:eastAsiaTheme="minorEastAsia" w:hAnsi="Cambria Math"/>
                    <w:lang w:val="en-US"/>
                  </w:rPr>
                  <m:t>←</m:t>
                </m:r>
                <m:nary>
                  <m:naryPr>
                    <m:chr m:val="∑"/>
                    <m:limLoc m:val="undOvr"/>
                    <m:supHide m:val="1"/>
                    <m:ctrlPr>
                      <w:rPr>
                        <w:rFonts w:ascii="Cambria Math" w:eastAsiaTheme="minorEastAsia" w:hAnsi="Cambria Math" w:cstheme="minorBidi"/>
                        <w:i/>
                        <w:lang w:val="en-US" w:eastAsia="en-US"/>
                      </w:rPr>
                    </m:ctrlPr>
                  </m:naryPr>
                  <m:sub>
                    <m:r>
                      <w:rPr>
                        <w:rFonts w:ascii="Cambria Math" w:eastAsiaTheme="minorEastAsia" w:hAnsi="Cambria Math"/>
                        <w:lang w:val="en-US"/>
                      </w:rPr>
                      <m:t>(bz,bz')∈</m:t>
                    </m:r>
                    <m:sSub>
                      <m:sSubPr>
                        <m:ctrlPr>
                          <w:rPr>
                            <w:rFonts w:ascii="Cambria Math" w:eastAsiaTheme="minorEastAsia" w:hAnsi="Cambria Math" w:cstheme="minorBidi"/>
                            <w:i/>
                            <w:lang w:val="en-US" w:eastAsia="en-US"/>
                          </w:rPr>
                        </m:ctrlPr>
                      </m:sSubPr>
                      <m:e>
                        <m:r>
                          <w:rPr>
                            <w:rFonts w:ascii="Cambria Math" w:eastAsiaTheme="minorEastAsia" w:hAnsi="Cambria Math"/>
                            <w:lang w:val="en-US"/>
                          </w:rPr>
                          <m:t>TOP</m:t>
                        </m:r>
                      </m:e>
                      <m:sub>
                        <m:r>
                          <w:rPr>
                            <w:rFonts w:ascii="Cambria Math" w:eastAsiaTheme="minorEastAsia" w:hAnsi="Cambria Math"/>
                            <w:lang w:val="en-US"/>
                          </w:rPr>
                          <m:t>bz</m:t>
                        </m:r>
                      </m:sub>
                    </m:sSub>
                  </m:sub>
                  <m:sup/>
                  <m:e>
                    <m:sSub>
                      <m:sSubPr>
                        <m:ctrlPr>
                          <w:rPr>
                            <w:rFonts w:ascii="Cambria Math" w:eastAsiaTheme="minorEastAsia" w:hAnsi="Cambria Math" w:cstheme="minorBidi"/>
                            <w:i/>
                            <w:lang w:val="en-US" w:eastAsia="en-US"/>
                          </w:rPr>
                        </m:ctrlPr>
                      </m:sSubPr>
                      <m:e>
                        <m:r>
                          <w:rPr>
                            <w:rFonts w:ascii="Cambria Math" w:eastAsiaTheme="minorEastAsia" w:hAnsi="Cambria Math"/>
                            <w:lang w:val="en-US"/>
                          </w:rPr>
                          <m:t>flow</m:t>
                        </m:r>
                      </m:e>
                      <m:sub>
                        <m:r>
                          <w:rPr>
                            <w:rFonts w:ascii="Cambria Math" w:eastAsiaTheme="minorEastAsia" w:hAnsi="Cambria Math"/>
                            <w:lang w:val="en-US"/>
                          </w:rPr>
                          <m:t>bz,bz'</m:t>
                        </m:r>
                      </m:sub>
                    </m:sSub>
                  </m:e>
                </m:nary>
                <m:r>
                  <w:rPr>
                    <w:rFonts w:ascii="Cambria Math" w:eastAsiaTheme="minorEastAsia" w:hAnsi="Cambria Math"/>
                    <w:lang w:val="en-US"/>
                  </w:rPr>
                  <m:t>-</m:t>
                </m:r>
                <m:nary>
                  <m:naryPr>
                    <m:chr m:val="∑"/>
                    <m:limLoc m:val="undOvr"/>
                    <m:supHide m:val="1"/>
                    <m:ctrlPr>
                      <w:rPr>
                        <w:rFonts w:ascii="Cambria Math" w:eastAsiaTheme="minorEastAsia" w:hAnsi="Cambria Math" w:cstheme="minorBidi"/>
                        <w:i/>
                        <w:lang w:val="en-US" w:eastAsia="en-US"/>
                      </w:rPr>
                    </m:ctrlPr>
                  </m:naryPr>
                  <m:sub>
                    <m:r>
                      <w:rPr>
                        <w:rFonts w:ascii="Cambria Math" w:eastAsiaTheme="minorEastAsia" w:hAnsi="Cambria Math"/>
                        <w:lang w:val="en-US"/>
                      </w:rPr>
                      <m:t>(</m:t>
                    </m:r>
                    <m:sSup>
                      <m:sSupPr>
                        <m:ctrlPr>
                          <w:rPr>
                            <w:rFonts w:ascii="Cambria Math" w:eastAsiaTheme="minorEastAsia" w:hAnsi="Cambria Math"/>
                            <w:i/>
                            <w:lang w:val="en-US"/>
                          </w:rPr>
                        </m:ctrlPr>
                      </m:sSupPr>
                      <m:e>
                        <m:r>
                          <w:rPr>
                            <w:rFonts w:ascii="Cambria Math" w:eastAsiaTheme="minorEastAsia" w:hAnsi="Cambria Math"/>
                            <w:lang w:val="en-US"/>
                          </w:rPr>
                          <m:t>bz</m:t>
                        </m:r>
                      </m:e>
                      <m:sup>
                        <m:r>
                          <w:rPr>
                            <w:rFonts w:ascii="Cambria Math" w:eastAsiaTheme="minorEastAsia" w:hAnsi="Cambria Math"/>
                            <w:lang w:val="en-US"/>
                          </w:rPr>
                          <m:t>'</m:t>
                        </m:r>
                      </m:sup>
                    </m:sSup>
                    <m:r>
                      <w:rPr>
                        <w:rFonts w:ascii="Cambria Math" w:eastAsiaTheme="minorEastAsia" w:hAnsi="Cambria Math"/>
                        <w:lang w:val="en-US"/>
                      </w:rPr>
                      <m:t>,bz)∈</m:t>
                    </m:r>
                    <m:sSub>
                      <m:sSubPr>
                        <m:ctrlPr>
                          <w:rPr>
                            <w:rFonts w:ascii="Cambria Math" w:eastAsiaTheme="minorEastAsia" w:hAnsi="Cambria Math" w:cstheme="minorBidi"/>
                            <w:i/>
                            <w:lang w:val="en-US" w:eastAsia="en-US"/>
                          </w:rPr>
                        </m:ctrlPr>
                      </m:sSubPr>
                      <m:e>
                        <m:r>
                          <w:rPr>
                            <w:rFonts w:ascii="Cambria Math" w:eastAsiaTheme="minorEastAsia" w:hAnsi="Cambria Math"/>
                            <w:lang w:val="en-US"/>
                          </w:rPr>
                          <m:t>TOP</m:t>
                        </m:r>
                      </m:e>
                      <m:sub>
                        <m:r>
                          <w:rPr>
                            <w:rFonts w:ascii="Cambria Math" w:eastAsiaTheme="minorEastAsia" w:hAnsi="Cambria Math"/>
                            <w:lang w:val="en-US"/>
                          </w:rPr>
                          <m:t>bz</m:t>
                        </m:r>
                      </m:sub>
                    </m:sSub>
                  </m:sub>
                  <m:sup/>
                  <m:e>
                    <m:sSub>
                      <m:sSubPr>
                        <m:ctrlPr>
                          <w:rPr>
                            <w:rFonts w:ascii="Cambria Math" w:eastAsiaTheme="minorEastAsia" w:hAnsi="Cambria Math" w:cstheme="minorBidi"/>
                            <w:i/>
                            <w:lang w:val="en-US" w:eastAsia="en-US"/>
                          </w:rPr>
                        </m:ctrlPr>
                      </m:sSubPr>
                      <m:e>
                        <m:r>
                          <w:rPr>
                            <w:rFonts w:ascii="Cambria Math" w:eastAsiaTheme="minorEastAsia" w:hAnsi="Cambria Math"/>
                            <w:lang w:val="en-US"/>
                          </w:rPr>
                          <m:t>flow</m:t>
                        </m:r>
                      </m:e>
                      <m:sub>
                        <m:r>
                          <w:rPr>
                            <w:rFonts w:ascii="Cambria Math" w:eastAsiaTheme="minorEastAsia" w:hAnsi="Cambria Math"/>
                            <w:lang w:val="en-US"/>
                          </w:rPr>
                          <m:t>bz',bz</m:t>
                        </m:r>
                      </m:sub>
                    </m:sSub>
                  </m:e>
                </m:nary>
              </m:oMath>
            </m:oMathPara>
          </w:p>
        </w:tc>
        <w:tc>
          <w:tcPr>
            <w:tcW w:w="4100" w:type="dxa"/>
          </w:tcPr>
          <w:p w14:paraId="6867ADEB" w14:textId="77777777" w:rsidR="00F8788D" w:rsidRPr="007453BF" w:rsidRDefault="00F8788D" w:rsidP="002414BB">
            <w:pPr>
              <w:jc w:val="both"/>
              <w:rPr>
                <w:i/>
              </w:rPr>
            </w:pPr>
            <w:r w:rsidRPr="007453BF">
              <w:rPr>
                <w:i/>
              </w:rPr>
              <w:t>Here the flow variables should be read as the zonal flows after rounding</w:t>
            </w:r>
            <w:r>
              <w:rPr>
                <w:i/>
              </w:rPr>
              <w:t xml:space="preserve"> using the precision of the line end that applies to bidding zone bz</w:t>
            </w:r>
          </w:p>
        </w:tc>
      </w:tr>
      <w:tr w:rsidR="00F8788D" w14:paraId="0B9EC00F" w14:textId="77777777" w:rsidTr="002414BB">
        <w:trPr>
          <w:cantSplit/>
        </w:trPr>
        <w:tc>
          <w:tcPr>
            <w:tcW w:w="4190" w:type="dxa"/>
          </w:tcPr>
          <w:p w14:paraId="366D1D10" w14:textId="77777777" w:rsidR="00F8788D" w:rsidRDefault="00F8788D" w:rsidP="002414BB">
            <w:pPr>
              <w:jc w:val="both"/>
              <w:rPr>
                <w:b/>
              </w:rPr>
            </w:pPr>
            <w:r>
              <w:rPr>
                <w:b/>
              </w:rPr>
              <w:t>Step 3</w:t>
            </w:r>
          </w:p>
          <w:p w14:paraId="1300CF40" w14:textId="77777777" w:rsidR="00F8788D" w:rsidRDefault="00F8788D" w:rsidP="002414BB">
            <w:pPr>
              <w:jc w:val="both"/>
            </w:pPr>
            <w:r>
              <w:t>Deduce the rounding residuals per bidding zone:</w:t>
            </w:r>
          </w:p>
          <w:p w14:paraId="211B74F6" w14:textId="77777777" w:rsidR="00F8788D" w:rsidRDefault="00F8788D" w:rsidP="002414BB">
            <w:pPr>
              <w:jc w:val="both"/>
            </w:pPr>
          </w:p>
          <w:p w14:paraId="3562C960" w14:textId="77777777" w:rsidR="00F8788D" w:rsidRDefault="00F8788D" w:rsidP="00F8788D">
            <w:pPr>
              <w:pStyle w:val="ListParagraph"/>
              <w:numPr>
                <w:ilvl w:val="0"/>
                <w:numId w:val="42"/>
              </w:numPr>
              <w:jc w:val="both"/>
            </w:pPr>
            <w:r>
              <w:t>Define rounded net position for all bidding zones as the sum of the rounded NEMO trading hub positions:</w:t>
            </w:r>
          </w:p>
          <w:p w14:paraId="29D430B5" w14:textId="77777777" w:rsidR="00F8788D" w:rsidRPr="005A2AD6" w:rsidRDefault="00FC1305" w:rsidP="002414BB">
            <w:pPr>
              <w:jc w:val="both"/>
              <w:rPr>
                <w:rFonts w:eastAsiaTheme="minorEastAsia"/>
                <w:lang w:val="en-US"/>
              </w:rPr>
            </w:pPr>
            <m:oMathPara>
              <m:oMath>
                <m:sSub>
                  <m:sSubPr>
                    <m:ctrlPr>
                      <w:rPr>
                        <w:rFonts w:ascii="Cambria Math" w:hAnsi="Cambria Math" w:cstheme="minorBidi"/>
                        <w:i/>
                        <w:lang w:val="en-US" w:eastAsia="en-US"/>
                      </w:rPr>
                    </m:ctrlPr>
                  </m:sSubPr>
                  <m:e>
                    <m:r>
                      <w:rPr>
                        <w:rFonts w:ascii="Cambria Math" w:hAnsi="Cambria Math"/>
                        <w:lang w:val="en-US"/>
                      </w:rPr>
                      <m:t>NP</m:t>
                    </m:r>
                  </m:e>
                  <m:sub>
                    <m:r>
                      <w:rPr>
                        <w:rFonts w:ascii="Cambria Math" w:hAnsi="Cambria Math"/>
                        <w:lang w:val="en-US"/>
                      </w:rPr>
                      <m:t>bz</m:t>
                    </m:r>
                  </m:sub>
                </m:sSub>
                <m:r>
                  <w:rPr>
                    <w:rFonts w:ascii="Cambria Math" w:eastAsiaTheme="minorEastAsia" w:hAnsi="Cambria Math"/>
                    <w:lang w:val="en-US"/>
                  </w:rPr>
                  <m:t>←</m:t>
                </m:r>
                <m:nary>
                  <m:naryPr>
                    <m:chr m:val="∑"/>
                    <m:limLoc m:val="undOvr"/>
                    <m:supHide m:val="1"/>
                    <m:ctrlPr>
                      <w:rPr>
                        <w:rFonts w:ascii="Cambria Math" w:eastAsiaTheme="minorEastAsia" w:hAnsi="Cambria Math" w:cstheme="minorBidi"/>
                        <w:i/>
                        <w:lang w:val="en-US" w:eastAsia="en-US"/>
                      </w:rPr>
                    </m:ctrlPr>
                  </m:naryPr>
                  <m:sub>
                    <m:r>
                      <w:rPr>
                        <w:rFonts w:ascii="Cambria Math" w:eastAsiaTheme="minorEastAsia" w:hAnsi="Cambria Math"/>
                        <w:lang w:val="en-US"/>
                      </w:rPr>
                      <m:t>sa∈bz.SA</m:t>
                    </m:r>
                  </m:sub>
                  <m:sup/>
                  <m:e>
                    <m:nary>
                      <m:naryPr>
                        <m:chr m:val="∑"/>
                        <m:limLoc m:val="undOvr"/>
                        <m:supHide m:val="1"/>
                        <m:ctrlPr>
                          <w:rPr>
                            <w:rFonts w:ascii="Cambria Math" w:eastAsiaTheme="minorEastAsia" w:hAnsi="Cambria Math" w:cstheme="minorBidi"/>
                            <w:i/>
                            <w:lang w:val="en-US" w:eastAsia="en-US"/>
                          </w:rPr>
                        </m:ctrlPr>
                      </m:naryPr>
                      <m:sub>
                        <m:r>
                          <w:rPr>
                            <w:rFonts w:ascii="Cambria Math" w:eastAsiaTheme="minorEastAsia" w:hAnsi="Cambria Math"/>
                            <w:lang w:val="en-US"/>
                          </w:rPr>
                          <m:t>nh∈sa.NH</m:t>
                        </m:r>
                      </m:sub>
                      <m:sup/>
                      <m:e>
                        <m:sSub>
                          <m:sSubPr>
                            <m:ctrlPr>
                              <w:rPr>
                                <w:rFonts w:ascii="Cambria Math" w:eastAsiaTheme="minorEastAsia" w:hAnsi="Cambria Math" w:cstheme="minorBidi"/>
                                <w:i/>
                                <w:lang w:val="en-US" w:eastAsia="en-US"/>
                              </w:rPr>
                            </m:ctrlPr>
                          </m:sSubPr>
                          <m:e>
                            <m:r>
                              <w:rPr>
                                <w:rFonts w:ascii="Cambria Math" w:eastAsiaTheme="minorEastAsia" w:hAnsi="Cambria Math"/>
                                <w:lang w:val="en-US"/>
                              </w:rPr>
                              <m:t>NP</m:t>
                            </m:r>
                          </m:e>
                          <m:sub>
                            <m:r>
                              <w:rPr>
                                <w:rFonts w:ascii="Cambria Math" w:eastAsiaTheme="minorEastAsia" w:hAnsi="Cambria Math"/>
                                <w:lang w:val="en-US"/>
                              </w:rPr>
                              <m:t>nh</m:t>
                            </m:r>
                          </m:sub>
                        </m:sSub>
                      </m:e>
                    </m:nary>
                  </m:e>
                </m:nary>
              </m:oMath>
            </m:oMathPara>
          </w:p>
          <w:p w14:paraId="4C5D5882" w14:textId="77777777" w:rsidR="00F8788D" w:rsidRDefault="00F8788D" w:rsidP="00F8788D">
            <w:pPr>
              <w:pStyle w:val="ListParagraph"/>
              <w:numPr>
                <w:ilvl w:val="0"/>
                <w:numId w:val="42"/>
              </w:numPr>
              <w:jc w:val="both"/>
            </w:pPr>
            <w:r>
              <w:t>The bidding zone rounding residuals are defined as:</w:t>
            </w:r>
          </w:p>
          <w:p w14:paraId="34195B61" w14:textId="77777777" w:rsidR="00F8788D" w:rsidRPr="007453BF" w:rsidRDefault="00FC1305" w:rsidP="002414BB">
            <w:pPr>
              <w:pStyle w:val="ListParagraph"/>
              <w:jc w:val="both"/>
            </w:pPr>
            <m:oMathPara>
              <m:oMath>
                <m:sSub>
                  <m:sSubPr>
                    <m:ctrlPr>
                      <w:rPr>
                        <w:rFonts w:ascii="Cambria Math" w:hAnsi="Cambria Math" w:cstheme="minorBidi"/>
                        <w:i/>
                        <w:lang w:val="en-US" w:eastAsia="en-US"/>
                      </w:rPr>
                    </m:ctrlPr>
                  </m:sSubPr>
                  <m:e>
                    <m:r>
                      <w:rPr>
                        <w:rFonts w:ascii="Cambria Math" w:hAnsi="Cambria Math"/>
                        <w:lang w:val="en-US"/>
                      </w:rPr>
                      <m:t>ε</m:t>
                    </m:r>
                  </m:e>
                  <m:sub>
                    <m:r>
                      <w:rPr>
                        <w:rFonts w:ascii="Cambria Math" w:hAnsi="Cambria Math"/>
                        <w:lang w:val="en-US"/>
                      </w:rPr>
                      <m:t>bz</m:t>
                    </m:r>
                  </m:sub>
                </m:sSub>
                <m:r>
                  <w:rPr>
                    <w:rFonts w:ascii="Cambria Math" w:hAnsi="Cambria Math"/>
                    <w:lang w:val="en-US"/>
                  </w:rPr>
                  <m:t>←</m:t>
                </m:r>
                <m:sSub>
                  <m:sSubPr>
                    <m:ctrlPr>
                      <w:rPr>
                        <w:rFonts w:ascii="Cambria Math" w:hAnsi="Cambria Math" w:cstheme="minorBidi"/>
                        <w:i/>
                        <w:lang w:val="en-US" w:eastAsia="en-US"/>
                      </w:rPr>
                    </m:ctrlPr>
                  </m:sSubPr>
                  <m:e>
                    <m:r>
                      <w:rPr>
                        <w:rFonts w:ascii="Cambria Math" w:hAnsi="Cambria Math"/>
                        <w:lang w:val="en-US"/>
                      </w:rPr>
                      <m:t>NP</m:t>
                    </m:r>
                  </m:e>
                  <m:sub>
                    <m:r>
                      <w:rPr>
                        <w:rFonts w:ascii="Cambria Math" w:hAnsi="Cambria Math"/>
                        <w:lang w:val="en-US"/>
                      </w:rPr>
                      <m:t>bz</m:t>
                    </m:r>
                  </m:sub>
                </m:sSub>
                <m:r>
                  <w:rPr>
                    <w:rFonts w:ascii="Cambria Math" w:hAnsi="Cambria Math"/>
                    <w:lang w:val="en-US"/>
                  </w:rPr>
                  <m:t>-</m:t>
                </m:r>
                <m:acc>
                  <m:accPr>
                    <m:ctrlPr>
                      <w:rPr>
                        <w:rFonts w:ascii="Cambria Math" w:eastAsiaTheme="minorEastAsia" w:hAnsi="Cambria Math" w:cstheme="minorBidi"/>
                        <w:i/>
                        <w:lang w:val="en-US" w:eastAsia="en-US"/>
                      </w:rPr>
                    </m:ctrlPr>
                  </m:accPr>
                  <m:e>
                    <m:sSub>
                      <m:sSubPr>
                        <m:ctrlPr>
                          <w:rPr>
                            <w:rFonts w:ascii="Cambria Math" w:hAnsi="Cambria Math" w:cstheme="minorBidi"/>
                            <w:i/>
                            <w:lang w:val="en-US" w:eastAsia="en-US"/>
                          </w:rPr>
                        </m:ctrlPr>
                      </m:sSubPr>
                      <m:e>
                        <m:r>
                          <w:rPr>
                            <w:rFonts w:ascii="Cambria Math" w:hAnsi="Cambria Math"/>
                            <w:lang w:val="en-US"/>
                          </w:rPr>
                          <m:t>NP</m:t>
                        </m:r>
                      </m:e>
                      <m:sub>
                        <m:r>
                          <w:rPr>
                            <w:rFonts w:ascii="Cambria Math" w:hAnsi="Cambria Math"/>
                            <w:lang w:val="en-US"/>
                          </w:rPr>
                          <m:t>bz</m:t>
                        </m:r>
                      </m:sub>
                    </m:sSub>
                  </m:e>
                </m:acc>
              </m:oMath>
            </m:oMathPara>
          </w:p>
        </w:tc>
        <w:tc>
          <w:tcPr>
            <w:tcW w:w="4100" w:type="dxa"/>
          </w:tcPr>
          <w:p w14:paraId="4BD35E25" w14:textId="77777777" w:rsidR="00F8788D" w:rsidRDefault="00F8788D" w:rsidP="002414BB">
            <w:pPr>
              <w:jc w:val="both"/>
            </w:pPr>
            <w:r>
              <w:t>Here the NP</w:t>
            </w:r>
            <w:r w:rsidRPr="005A2AD6">
              <w:rPr>
                <w:vertAlign w:val="subscript"/>
              </w:rPr>
              <w:t>nh</w:t>
            </w:r>
            <w:r>
              <w:t xml:space="preserve"> variables should be read as the NEMO trading hub net positions, after rounding to the precision of their bidding zone.</w:t>
            </w:r>
          </w:p>
          <w:p w14:paraId="06CF9D58" w14:textId="77777777" w:rsidR="00F8788D" w:rsidRDefault="00F8788D" w:rsidP="002414BB">
            <w:pPr>
              <w:jc w:val="both"/>
            </w:pPr>
          </w:p>
          <w:p w14:paraId="65D3DBA9" w14:textId="77777777" w:rsidR="00F8788D" w:rsidRDefault="00F8788D" w:rsidP="002414BB">
            <w:pPr>
              <w:jc w:val="both"/>
            </w:pPr>
            <w:r>
              <w:t>By convention negative residual means the bidding zone is short, positive residual the bidding zone is long.</w:t>
            </w:r>
          </w:p>
        </w:tc>
      </w:tr>
      <w:tr w:rsidR="00F8788D" w14:paraId="444BEE80" w14:textId="77777777" w:rsidTr="002414BB">
        <w:trPr>
          <w:cantSplit/>
        </w:trPr>
        <w:tc>
          <w:tcPr>
            <w:tcW w:w="4190" w:type="dxa"/>
          </w:tcPr>
          <w:p w14:paraId="643AB4DF" w14:textId="77777777" w:rsidR="00F8788D" w:rsidRDefault="00F8788D" w:rsidP="002414BB">
            <w:pPr>
              <w:jc w:val="both"/>
              <w:rPr>
                <w:b/>
              </w:rPr>
            </w:pPr>
            <w:r>
              <w:rPr>
                <w:b/>
              </w:rPr>
              <w:t>Step 4a</w:t>
            </w:r>
          </w:p>
          <w:p w14:paraId="3B39BC68" w14:textId="77777777" w:rsidR="00F8788D" w:rsidRDefault="00F8788D" w:rsidP="002414BB">
            <w:pPr>
              <w:jc w:val="both"/>
              <w:rPr>
                <w:rFonts w:eastAsiaTheme="minorEastAsia"/>
                <w:lang w:val="en-US"/>
              </w:rPr>
            </w:pPr>
            <w:r>
              <w:t xml:space="preserve">The rounded net position of the deviation hub of bidding zone bz will be set to </w:t>
            </w:r>
            <m:oMath>
              <m:sSub>
                <m:sSubPr>
                  <m:ctrlPr>
                    <w:rPr>
                      <w:rFonts w:ascii="Cambria Math" w:hAnsi="Cambria Math" w:cstheme="minorBidi"/>
                      <w:i/>
                      <w:lang w:val="en-US" w:eastAsia="en-US"/>
                    </w:rPr>
                  </m:ctrlPr>
                </m:sSubPr>
                <m:e>
                  <m:r>
                    <w:rPr>
                      <w:rFonts w:ascii="Cambria Math" w:hAnsi="Cambria Math"/>
                      <w:lang w:val="en-US"/>
                    </w:rPr>
                    <m:t>ε</m:t>
                  </m:r>
                </m:e>
                <m:sub>
                  <m:r>
                    <w:rPr>
                      <w:rFonts w:ascii="Cambria Math" w:hAnsi="Cambria Math"/>
                      <w:lang w:val="en-US"/>
                    </w:rPr>
                    <m:t>bz</m:t>
                  </m:r>
                </m:sub>
              </m:sSub>
            </m:oMath>
            <w:r>
              <w:rPr>
                <w:rFonts w:eastAsiaTheme="minorEastAsia"/>
                <w:lang w:val="en-US"/>
              </w:rPr>
              <w:t>.</w:t>
            </w:r>
          </w:p>
          <w:p w14:paraId="30FDC31D" w14:textId="77777777" w:rsidR="00F8788D" w:rsidRPr="002766C8" w:rsidRDefault="00F8788D" w:rsidP="002414BB">
            <w:pPr>
              <w:jc w:val="both"/>
            </w:pPr>
            <w:r>
              <w:rPr>
                <w:rFonts w:eastAsiaTheme="minorEastAsia"/>
                <w:lang w:val="en-US"/>
              </w:rPr>
              <w:t>The rounded net positions for the NTHs in bidding zone bz can maintain their initial values.</w:t>
            </w:r>
          </w:p>
        </w:tc>
        <w:tc>
          <w:tcPr>
            <w:tcW w:w="4100" w:type="dxa"/>
          </w:tcPr>
          <w:p w14:paraId="12330781" w14:textId="77777777" w:rsidR="00F8788D" w:rsidRDefault="00F8788D" w:rsidP="002414BB">
            <w:pPr>
              <w:jc w:val="both"/>
              <w:rPr>
                <w:i/>
              </w:rPr>
            </w:pPr>
            <w:r w:rsidRPr="002766C8">
              <w:rPr>
                <w:i/>
              </w:rPr>
              <w:t>Deviation hub case</w:t>
            </w:r>
          </w:p>
          <w:p w14:paraId="4AB39CC8" w14:textId="77777777" w:rsidR="00F8788D" w:rsidRDefault="00F8788D" w:rsidP="002414BB">
            <w:pPr>
              <w:jc w:val="both"/>
            </w:pPr>
            <w:r>
              <w:t>Outputs will be the allocated deviation (</w:t>
            </w:r>
            <w:r w:rsidRPr="00021A8F">
              <w:rPr>
                <w:rFonts w:ascii="Courier New" w:hAnsi="Courier New" w:cs="Courier New"/>
              </w:rPr>
              <w:t>deviationQty</w:t>
            </w:r>
            <w:r>
              <w:t>)  to be recorded for all levels, i.e. in:</w:t>
            </w:r>
          </w:p>
          <w:p w14:paraId="679271FB" w14:textId="77777777" w:rsidR="00F8788D" w:rsidRDefault="00F8788D" w:rsidP="00F8788D">
            <w:pPr>
              <w:pStyle w:val="ListParagraph"/>
              <w:numPr>
                <w:ilvl w:val="0"/>
                <w:numId w:val="14"/>
              </w:numPr>
              <w:jc w:val="both"/>
            </w:pPr>
            <w:r>
              <w:t>Preliminary_Results (BZ level);</w:t>
            </w:r>
          </w:p>
          <w:p w14:paraId="782B9567" w14:textId="77777777" w:rsidR="00F8788D" w:rsidRDefault="00F8788D" w:rsidP="00F8788D">
            <w:pPr>
              <w:pStyle w:val="ListParagraph"/>
              <w:numPr>
                <w:ilvl w:val="0"/>
                <w:numId w:val="14"/>
              </w:numPr>
              <w:jc w:val="both"/>
            </w:pPr>
            <w:r>
              <w:t>Preliminary_ResultsSchedulginArea (SA level);</w:t>
            </w:r>
          </w:p>
          <w:p w14:paraId="3B0F8DD9" w14:textId="77777777" w:rsidR="00F8788D" w:rsidRDefault="00F8788D" w:rsidP="00F8788D">
            <w:pPr>
              <w:pStyle w:val="ListParagraph"/>
              <w:numPr>
                <w:ilvl w:val="0"/>
                <w:numId w:val="14"/>
              </w:numPr>
              <w:jc w:val="both"/>
            </w:pPr>
            <w:r>
              <w:t>Preliminary_ResultsNEMOhubs (NTH level);</w:t>
            </w:r>
          </w:p>
          <w:p w14:paraId="5EC19A5E" w14:textId="77777777" w:rsidR="00F8788D" w:rsidRPr="002766C8" w:rsidRDefault="00F8788D" w:rsidP="002414BB">
            <w:pPr>
              <w:jc w:val="both"/>
              <w:rPr>
                <w:i/>
              </w:rPr>
            </w:pPr>
            <w:r>
              <w:t>The deviation hub will not be explicitly modelled, so no flows to or from the deviation hub are output.</w:t>
            </w:r>
          </w:p>
        </w:tc>
      </w:tr>
      <w:tr w:rsidR="00F8788D" w14:paraId="21E6351D" w14:textId="77777777" w:rsidTr="002414BB">
        <w:trPr>
          <w:cantSplit/>
        </w:trPr>
        <w:tc>
          <w:tcPr>
            <w:tcW w:w="4190" w:type="dxa"/>
          </w:tcPr>
          <w:p w14:paraId="300982FC" w14:textId="77777777" w:rsidR="00F8788D" w:rsidRDefault="00F8788D" w:rsidP="002414BB">
            <w:pPr>
              <w:jc w:val="both"/>
              <w:rPr>
                <w:b/>
              </w:rPr>
            </w:pPr>
            <w:r>
              <w:rPr>
                <w:b/>
              </w:rPr>
              <w:t>Step 4b</w:t>
            </w:r>
          </w:p>
          <w:p w14:paraId="77F2D942" w14:textId="77777777" w:rsidR="00F8788D" w:rsidRDefault="00F8788D" w:rsidP="002414BB">
            <w:pPr>
              <w:jc w:val="both"/>
              <w:rPr>
                <w:rFonts w:eastAsiaTheme="minorEastAsia"/>
                <w:lang w:val="en-US"/>
              </w:rPr>
            </w:pPr>
            <w:r>
              <w:t xml:space="preserve">In case bidding zone bz has no deviation hub defined, the rounding residuals will be distributed across the NTHs. </w:t>
            </w:r>
            <m:oMath>
              <m:sSub>
                <m:sSubPr>
                  <m:ctrlPr>
                    <w:rPr>
                      <w:rFonts w:ascii="Cambria Math" w:hAnsi="Cambria Math" w:cstheme="minorBidi"/>
                      <w:i/>
                      <w:lang w:val="en-US" w:eastAsia="en-US"/>
                    </w:rPr>
                  </m:ctrlPr>
                </m:sSubPr>
                <m:e>
                  <m:r>
                    <w:rPr>
                      <w:rFonts w:ascii="Cambria Math" w:hAnsi="Cambria Math"/>
                      <w:lang w:val="en-US"/>
                    </w:rPr>
                    <m:t>ε</m:t>
                  </m:r>
                </m:e>
                <m:sub>
                  <m:r>
                    <w:rPr>
                      <w:rFonts w:ascii="Cambria Math" w:hAnsi="Cambria Math"/>
                      <w:lang w:val="en-US"/>
                    </w:rPr>
                    <m:t>bz</m:t>
                  </m:r>
                </m:sub>
              </m:sSub>
            </m:oMath>
            <w:r>
              <w:rPr>
                <w:rFonts w:eastAsiaTheme="minorEastAsia"/>
                <w:lang w:val="en-US"/>
              </w:rPr>
              <w:t xml:space="preserve"> consists of </w:t>
            </w:r>
            <w:r>
              <w:t xml:space="preserve"> </w:t>
            </w:r>
            <m:oMath>
              <m:r>
                <w:rPr>
                  <w:rFonts w:ascii="Cambria Math" w:hAnsi="Cambria Math"/>
                </w:rPr>
                <m:t>n=</m:t>
              </m:r>
              <m:f>
                <m:fPr>
                  <m:ctrlPr>
                    <w:rPr>
                      <w:rFonts w:ascii="Cambria Math" w:hAnsi="Cambria Math" w:cstheme="minorBidi"/>
                      <w:i/>
                      <w:lang w:val="en-US" w:eastAsia="en-US"/>
                    </w:rPr>
                  </m:ctrlPr>
                </m:fPr>
                <m:num>
                  <m:sSub>
                    <m:sSubPr>
                      <m:ctrlPr>
                        <w:rPr>
                          <w:rFonts w:ascii="Cambria Math" w:hAnsi="Cambria Math" w:cstheme="minorBidi"/>
                          <w:i/>
                          <w:lang w:val="en-US" w:eastAsia="en-US"/>
                        </w:rPr>
                      </m:ctrlPr>
                    </m:sSubPr>
                    <m:e>
                      <m:r>
                        <w:rPr>
                          <w:rFonts w:ascii="Cambria Math" w:hAnsi="Cambria Math"/>
                          <w:lang w:val="en-US"/>
                        </w:rPr>
                        <m:t>ε</m:t>
                      </m:r>
                    </m:e>
                    <m:sub>
                      <m:r>
                        <w:rPr>
                          <w:rFonts w:ascii="Cambria Math" w:hAnsi="Cambria Math"/>
                          <w:lang w:val="en-US"/>
                        </w:rPr>
                        <m:t>zb</m:t>
                      </m:r>
                    </m:sub>
                  </m:sSub>
                </m:num>
                <m:den>
                  <m:sSub>
                    <m:sSubPr>
                      <m:ctrlPr>
                        <w:rPr>
                          <w:rFonts w:ascii="Cambria Math" w:hAnsi="Cambria Math" w:cstheme="minorBidi"/>
                          <w:i/>
                          <w:lang w:val="en-US" w:eastAsia="en-US"/>
                        </w:rPr>
                      </m:ctrlPr>
                    </m:sSubPr>
                    <m:e>
                      <m:r>
                        <w:rPr>
                          <w:rFonts w:ascii="Cambria Math" w:hAnsi="Cambria Math"/>
                          <w:lang w:val="en-US"/>
                        </w:rPr>
                        <m:t>NP_PRECISION</m:t>
                      </m:r>
                    </m:e>
                    <m:sub>
                      <m:r>
                        <w:rPr>
                          <w:rFonts w:ascii="Cambria Math" w:hAnsi="Cambria Math"/>
                          <w:lang w:val="en-US"/>
                        </w:rPr>
                        <m:t>bz</m:t>
                      </m:r>
                    </m:sub>
                  </m:sSub>
                </m:den>
              </m:f>
            </m:oMath>
            <w:r>
              <w:rPr>
                <w:rFonts w:eastAsiaTheme="minorEastAsia"/>
                <w:lang w:val="en-US"/>
              </w:rPr>
              <w:t xml:space="preserve"> ticks. The n ticks will be distributed one by one to each NTH. </w:t>
            </w:r>
          </w:p>
          <w:p w14:paraId="3A859F67" w14:textId="77777777" w:rsidR="00F8788D" w:rsidRDefault="00F8788D" w:rsidP="002414BB">
            <w:pPr>
              <w:jc w:val="both"/>
              <w:rPr>
                <w:rFonts w:eastAsiaTheme="minorEastAsia"/>
                <w:lang w:val="en-US"/>
              </w:rPr>
            </w:pPr>
          </w:p>
          <w:tbl>
            <w:tblPr>
              <w:tblStyle w:val="TableGrid"/>
              <w:tblW w:w="0" w:type="auto"/>
              <w:tblLook w:val="04A0" w:firstRow="1" w:lastRow="0" w:firstColumn="1" w:lastColumn="0" w:noHBand="0" w:noVBand="1"/>
            </w:tblPr>
            <w:tblGrid>
              <w:gridCol w:w="3942"/>
            </w:tblGrid>
            <w:tr w:rsidR="00F8788D" w14:paraId="07A11C26" w14:textId="77777777" w:rsidTr="002414BB">
              <w:tc>
                <w:tcPr>
                  <w:tcW w:w="3942" w:type="dxa"/>
                </w:tcPr>
                <w:p w14:paraId="334117F2" w14:textId="77777777" w:rsidR="00F8788D" w:rsidRDefault="00F8788D" w:rsidP="002414BB">
                  <w:pPr>
                    <w:jc w:val="both"/>
                    <w:rPr>
                      <w:rFonts w:eastAsiaTheme="minorEastAsia"/>
                      <w:lang w:val="en-US"/>
                    </w:rPr>
                  </w:pPr>
                  <w:r>
                    <w:rPr>
                      <w:rFonts w:eastAsiaTheme="minorEastAsia"/>
                      <w:lang w:val="en-US"/>
                    </w:rPr>
                    <w:t>Exception</w:t>
                  </w:r>
                </w:p>
                <w:p w14:paraId="63407D79" w14:textId="77777777" w:rsidR="00F8788D" w:rsidRDefault="00F8788D" w:rsidP="002414BB">
                  <w:pPr>
                    <w:jc w:val="both"/>
                    <w:rPr>
                      <w:rFonts w:eastAsiaTheme="minorEastAsia"/>
                      <w:lang w:val="en-US"/>
                    </w:rPr>
                  </w:pPr>
                  <w:r>
                    <w:rPr>
                      <w:rFonts w:eastAsiaTheme="minorEastAsia"/>
                      <w:lang w:val="en-US"/>
                    </w:rPr>
                    <w:t>If a NTH has no orders, it ideally should not be considered in the assignment of residuals. To avoid infeasibilities where there exists no option but to assign the residual to such an NTH, Euphemia shall perform the following input check before exempting the NTH from residuals:</w:t>
                  </w:r>
                </w:p>
                <w:p w14:paraId="3C1A6DA3" w14:textId="77777777" w:rsidR="00F8788D" w:rsidRDefault="00F8788D" w:rsidP="00F8788D">
                  <w:pPr>
                    <w:pStyle w:val="ListParagraph"/>
                    <w:numPr>
                      <w:ilvl w:val="0"/>
                      <w:numId w:val="28"/>
                    </w:numPr>
                    <w:ind w:left="584" w:hanging="357"/>
                    <w:jc w:val="both"/>
                    <w:rPr>
                      <w:rFonts w:eastAsiaTheme="minorEastAsia"/>
                      <w:lang w:val="en-US"/>
                    </w:rPr>
                  </w:pPr>
                  <w:r>
                    <w:rPr>
                      <w:rFonts w:eastAsiaTheme="minorEastAsia"/>
                      <w:lang w:val="en-US"/>
                    </w:rPr>
                    <w:t>Each bidding zone shall have at least 1 NTH that does have orders, or</w:t>
                  </w:r>
                </w:p>
                <w:p w14:paraId="5CECE885" w14:textId="77777777" w:rsidR="00F8788D" w:rsidRPr="008A5706" w:rsidRDefault="00F8788D" w:rsidP="00F8788D">
                  <w:pPr>
                    <w:pStyle w:val="ListParagraph"/>
                    <w:numPr>
                      <w:ilvl w:val="0"/>
                      <w:numId w:val="28"/>
                    </w:numPr>
                    <w:ind w:left="584" w:hanging="357"/>
                    <w:jc w:val="both"/>
                    <w:rPr>
                      <w:rFonts w:eastAsiaTheme="minorEastAsia"/>
                      <w:lang w:val="en-US"/>
                    </w:rPr>
                  </w:pPr>
                  <w:r w:rsidRPr="00B3523E">
                    <w:rPr>
                      <w:rFonts w:eastAsiaTheme="minorEastAsia"/>
                      <w:lang w:val="en-US"/>
                    </w:rPr>
                    <w:t>The capacity to and from this bidding zone is 0.</w:t>
                  </w:r>
                </w:p>
              </w:tc>
            </w:tr>
          </w:tbl>
          <w:p w14:paraId="4AC18B83" w14:textId="77777777" w:rsidR="00F8788D" w:rsidRDefault="00F8788D" w:rsidP="002414BB">
            <w:pPr>
              <w:jc w:val="both"/>
              <w:rPr>
                <w:rFonts w:eastAsiaTheme="minorEastAsia"/>
                <w:lang w:val="en-US"/>
              </w:rPr>
            </w:pPr>
          </w:p>
          <w:p w14:paraId="7E11F2C8" w14:textId="77777777" w:rsidR="00F8788D" w:rsidRDefault="00F8788D" w:rsidP="002414BB">
            <w:pPr>
              <w:jc w:val="both"/>
              <w:rPr>
                <w:rFonts w:eastAsiaTheme="minorEastAsia"/>
                <w:lang w:val="en-US"/>
              </w:rPr>
            </w:pPr>
            <w:r>
              <w:rPr>
                <w:rFonts w:eastAsiaTheme="minorEastAsia"/>
                <w:lang w:val="en-US"/>
              </w:rPr>
              <w:t>In case of tie and to avoid bias, the NEMOs will be put in a random order, and ticks will be attributed in that order.</w:t>
            </w:r>
          </w:p>
          <w:p w14:paraId="119BECD4" w14:textId="77777777" w:rsidR="00F8788D" w:rsidRDefault="00F8788D" w:rsidP="002414BB">
            <w:pPr>
              <w:jc w:val="both"/>
              <w:rPr>
                <w:rFonts w:eastAsiaTheme="minorEastAsia"/>
                <w:lang w:val="en-US"/>
              </w:rPr>
            </w:pPr>
          </w:p>
          <w:p w14:paraId="25D93265" w14:textId="77777777" w:rsidR="00F8788D" w:rsidRPr="002766C8" w:rsidRDefault="00F8788D" w:rsidP="002414BB">
            <w:pPr>
              <w:jc w:val="both"/>
            </w:pPr>
          </w:p>
        </w:tc>
        <w:tc>
          <w:tcPr>
            <w:tcW w:w="4100" w:type="dxa"/>
          </w:tcPr>
          <w:p w14:paraId="186F1B12" w14:textId="77777777" w:rsidR="00F8788D" w:rsidRDefault="00F8788D" w:rsidP="002414BB">
            <w:pPr>
              <w:jc w:val="both"/>
              <w:rPr>
                <w:i/>
              </w:rPr>
            </w:pPr>
            <w:r w:rsidRPr="002766C8">
              <w:rPr>
                <w:i/>
              </w:rPr>
              <w:t>Local rounding solution case</w:t>
            </w:r>
          </w:p>
          <w:p w14:paraId="796E34DD" w14:textId="77777777" w:rsidR="00F8788D" w:rsidRDefault="00F8788D" w:rsidP="002414BB">
            <w:pPr>
              <w:jc w:val="both"/>
            </w:pPr>
            <w:r w:rsidRPr="00E756FF">
              <w:t xml:space="preserve"> </w:t>
            </w:r>
            <w:r w:rsidRPr="00E756FF">
              <w:rPr>
                <w:noProof/>
                <w:lang w:val="en-US" w:eastAsia="en-US"/>
              </w:rPr>
              <w:drawing>
                <wp:inline distT="0" distB="0" distL="0" distR="0" wp14:anchorId="7BA69046" wp14:editId="3FF9C6BD">
                  <wp:extent cx="1238400" cy="1234800"/>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238400" cy="1234800"/>
                          </a:xfrm>
                          <a:prstGeom prst="rect">
                            <a:avLst/>
                          </a:prstGeom>
                          <a:noFill/>
                          <a:ln>
                            <a:noFill/>
                          </a:ln>
                        </pic:spPr>
                      </pic:pic>
                    </a:graphicData>
                  </a:graphic>
                </wp:inline>
              </w:drawing>
            </w:r>
          </w:p>
          <w:p w14:paraId="13EEEC63" w14:textId="77777777" w:rsidR="00F8788D" w:rsidRDefault="00F8788D" w:rsidP="002414BB">
            <w:pPr>
              <w:jc w:val="both"/>
            </w:pPr>
            <w:r>
              <w:t>Ticks being distributed across NTHs in a random order. If n is greater than the number of NTHs, we loop back to the first NEMO.</w:t>
            </w:r>
          </w:p>
          <w:p w14:paraId="4FEF4D3C" w14:textId="77777777" w:rsidR="00F8788D" w:rsidRDefault="00F8788D" w:rsidP="002414BB">
            <w:pPr>
              <w:jc w:val="both"/>
            </w:pPr>
          </w:p>
          <w:p w14:paraId="2A72C446" w14:textId="77777777" w:rsidR="00F8788D" w:rsidRDefault="00F8788D" w:rsidP="002414BB">
            <w:pPr>
              <w:jc w:val="both"/>
            </w:pPr>
            <w:r>
              <w:t>WARNING</w:t>
            </w:r>
          </w:p>
          <w:p w14:paraId="0FE0843B" w14:textId="77777777" w:rsidR="00F8788D" w:rsidRDefault="00F8788D" w:rsidP="002414BB">
            <w:pPr>
              <w:jc w:val="both"/>
            </w:pPr>
            <w:r>
              <w:t>If this option is used in a bidding zone, the involved NEMOs should be ready to accommodate the rounding residuals (either into their portfolio allocation, or via other means in case such exist). In case the deviations are tackled via the portfolio allocation process, NEMOs are expected to account for all eventualities:</w:t>
            </w:r>
          </w:p>
          <w:p w14:paraId="333D73E5" w14:textId="77777777" w:rsidR="00F8788D" w:rsidRDefault="00F8788D" w:rsidP="00F8788D">
            <w:pPr>
              <w:pStyle w:val="ListParagraph"/>
              <w:numPr>
                <w:ilvl w:val="0"/>
                <w:numId w:val="45"/>
              </w:numPr>
              <w:jc w:val="both"/>
            </w:pPr>
            <w:r>
              <w:t>Low levels of liquidity in the market;</w:t>
            </w:r>
          </w:p>
          <w:p w14:paraId="5793F553" w14:textId="77777777" w:rsidR="00F8788D" w:rsidRDefault="00F8788D" w:rsidP="00F8788D">
            <w:pPr>
              <w:pStyle w:val="ListParagraph"/>
              <w:numPr>
                <w:ilvl w:val="0"/>
                <w:numId w:val="45"/>
              </w:numPr>
              <w:jc w:val="both"/>
            </w:pPr>
            <w:r>
              <w:t>Absorbing the theoretical maximum deviation in that BZ (also accounting for the situation where all other NTHs are partially decoupled, hence the full deviation would need to be absorbed);</w:t>
            </w:r>
          </w:p>
          <w:p w14:paraId="623768E3" w14:textId="77777777" w:rsidR="00F8788D" w:rsidRDefault="00F8788D" w:rsidP="002414BB">
            <w:pPr>
              <w:jc w:val="both"/>
            </w:pPr>
          </w:p>
          <w:p w14:paraId="02BFB059" w14:textId="77777777" w:rsidR="00F8788D" w:rsidRDefault="00F8788D" w:rsidP="002414BB">
            <w:pPr>
              <w:jc w:val="both"/>
            </w:pPr>
            <w:r>
              <w:t xml:space="preserve">Finally note that virtual areas will </w:t>
            </w:r>
            <w:r w:rsidRPr="00B3523E">
              <w:rPr>
                <w:b/>
              </w:rPr>
              <w:t>not</w:t>
            </w:r>
            <w:r>
              <w:t xml:space="preserve"> be exempted from the deviations: there exists capacity to and from such bidding zones, and we can’t apriori guarantee the existence of a feasible solution. A zonal example would be:</w:t>
            </w:r>
          </w:p>
          <w:p w14:paraId="0EDCFEAE" w14:textId="77777777" w:rsidR="00F8788D" w:rsidRDefault="00F8788D" w:rsidP="002414BB">
            <w:pPr>
              <w:jc w:val="both"/>
            </w:pPr>
            <w:r>
              <w:rPr>
                <w:noProof/>
                <w:lang w:val="en-US" w:eastAsia="en-US"/>
              </w:rPr>
              <w:drawing>
                <wp:inline distT="0" distB="0" distL="0" distR="0" wp14:anchorId="6C4A1D7E" wp14:editId="725A6CFF">
                  <wp:extent cx="1889760" cy="109156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889760" cy="1091565"/>
                          </a:xfrm>
                          <a:prstGeom prst="rect">
                            <a:avLst/>
                          </a:prstGeom>
                          <a:noFill/>
                        </pic:spPr>
                      </pic:pic>
                    </a:graphicData>
                  </a:graphic>
                </wp:inline>
              </w:drawing>
            </w:r>
          </w:p>
          <w:p w14:paraId="4F232377" w14:textId="3F86D024" w:rsidR="00F8788D" w:rsidRDefault="00F8788D" w:rsidP="002414BB">
            <w:pPr>
              <w:jc w:val="both"/>
            </w:pPr>
            <w:r>
              <w:t>If the blue area is a virtual one, the unrounded flows are balanced, but after rounding (in red) a position of .1MWh (ergo a rounding residual of -.1MWh) emerges.</w:t>
            </w:r>
          </w:p>
          <w:p w14:paraId="12147D4D" w14:textId="77777777" w:rsidR="00F8788D" w:rsidRDefault="00F8788D" w:rsidP="002414BB">
            <w:pPr>
              <w:jc w:val="both"/>
            </w:pPr>
          </w:p>
          <w:p w14:paraId="3717AA1F" w14:textId="77777777" w:rsidR="00F8788D" w:rsidRPr="002D749D" w:rsidRDefault="00F8788D" w:rsidP="002414BB">
            <w:pPr>
              <w:jc w:val="both"/>
            </w:pPr>
            <w:r>
              <w:t>MNAs that make use of virtual areas are expected to put in place appropriate solutions to cope with such deviations too.</w:t>
            </w:r>
          </w:p>
        </w:tc>
      </w:tr>
      <w:tr w:rsidR="00F8788D" w14:paraId="7151B9C6" w14:textId="77777777" w:rsidTr="002414BB">
        <w:trPr>
          <w:cantSplit/>
        </w:trPr>
        <w:tc>
          <w:tcPr>
            <w:tcW w:w="4190" w:type="dxa"/>
          </w:tcPr>
          <w:p w14:paraId="179068D0" w14:textId="77777777" w:rsidR="00F8788D" w:rsidRDefault="00F8788D" w:rsidP="002414BB">
            <w:pPr>
              <w:jc w:val="both"/>
            </w:pPr>
            <w:r>
              <w:rPr>
                <w:b/>
              </w:rPr>
              <w:t xml:space="preserve">Step 5: </w:t>
            </w:r>
            <w:r>
              <w:t>Rounded inter zonal, inter scheduling area inter NTH flows</w:t>
            </w:r>
          </w:p>
          <w:p w14:paraId="1A11ADC9" w14:textId="77777777" w:rsidR="00F8788D" w:rsidRDefault="00F8788D" w:rsidP="002414BB">
            <w:pPr>
              <w:jc w:val="both"/>
            </w:pPr>
          </w:p>
          <w:p w14:paraId="3344B0AB" w14:textId="77777777" w:rsidR="00F8788D" w:rsidRDefault="00F8788D" w:rsidP="00F8788D">
            <w:pPr>
              <w:pStyle w:val="ListParagraph"/>
              <w:numPr>
                <w:ilvl w:val="0"/>
                <w:numId w:val="43"/>
              </w:numPr>
              <w:jc w:val="both"/>
            </w:pPr>
            <w:r>
              <w:t>For all inter NTH inter scheduling area lines that cross a zonal border</w:t>
            </w:r>
            <w:r>
              <w:rPr>
                <w:rStyle w:val="FootnoteReference"/>
              </w:rPr>
              <w:footnoteReference w:id="11"/>
            </w:r>
            <w:r>
              <w:t>, round the inter NTH flows to the nearest tick;</w:t>
            </w:r>
          </w:p>
          <w:p w14:paraId="6D3A4FE2" w14:textId="77777777" w:rsidR="00F8788D" w:rsidRDefault="00F8788D" w:rsidP="00F8788D">
            <w:pPr>
              <w:pStyle w:val="ListParagraph"/>
              <w:numPr>
                <w:ilvl w:val="0"/>
                <w:numId w:val="43"/>
              </w:numPr>
              <w:jc w:val="both"/>
            </w:pPr>
            <w:r>
              <w:t>Compute a rounding residual as the difference between the rounded zonal flow and the sum of the rounded inter zonal, inter scheduling area, inter NTH flows;</w:t>
            </w:r>
          </w:p>
          <w:p w14:paraId="7117810B" w14:textId="77777777" w:rsidR="00F8788D" w:rsidRPr="00E62144" w:rsidRDefault="00F8788D" w:rsidP="00F8788D">
            <w:pPr>
              <w:pStyle w:val="ListParagraph"/>
              <w:numPr>
                <w:ilvl w:val="0"/>
                <w:numId w:val="43"/>
              </w:numPr>
              <w:jc w:val="both"/>
            </w:pPr>
            <w:r>
              <w:t>Distribute the residual ticks one by one to each inter NTH lines, in the order given by the line IDs</w:t>
            </w:r>
          </w:p>
        </w:tc>
        <w:tc>
          <w:tcPr>
            <w:tcW w:w="4100" w:type="dxa"/>
          </w:tcPr>
          <w:p w14:paraId="2DBE6B39" w14:textId="77777777" w:rsidR="00F8788D" w:rsidRPr="00330012" w:rsidRDefault="00F8788D" w:rsidP="002414BB">
            <w:pPr>
              <w:jc w:val="both"/>
            </w:pPr>
            <w:r w:rsidRPr="004F50CA">
              <w:rPr>
                <w:b/>
              </w:rPr>
              <w:t>Note</w:t>
            </w:r>
            <w:r>
              <w:t>: the choice for which NEMO lines to allocate the rounding residuals to is done using the line id. The reason not to consider a more fair (e.g. random) allocation here is that individual NEMOs are not impacted: their net positions are already fixed, and it is like squeezing a balloon: small change on the inter NEMO XB flow translates to a corresponding small change on the internal zonal NEMO flows.</w:t>
            </w:r>
          </w:p>
          <w:p w14:paraId="7D2436A8" w14:textId="77777777" w:rsidR="00F8788D" w:rsidRPr="00A16D3E" w:rsidRDefault="00F8788D" w:rsidP="002414BB">
            <w:pPr>
              <w:jc w:val="both"/>
              <w:rPr>
                <w:i/>
              </w:rPr>
            </w:pPr>
          </w:p>
        </w:tc>
      </w:tr>
      <w:tr w:rsidR="00F8788D" w14:paraId="0C36B869" w14:textId="77777777" w:rsidTr="002414BB">
        <w:trPr>
          <w:cantSplit/>
        </w:trPr>
        <w:tc>
          <w:tcPr>
            <w:tcW w:w="4190" w:type="dxa"/>
          </w:tcPr>
          <w:p w14:paraId="6750CCC0" w14:textId="77777777" w:rsidR="00F8788D" w:rsidRDefault="00F8788D" w:rsidP="002414BB">
            <w:pPr>
              <w:jc w:val="both"/>
            </w:pPr>
            <w:r>
              <w:rPr>
                <w:b/>
              </w:rPr>
              <w:t>Step 6:</w:t>
            </w:r>
            <w:r>
              <w:t xml:space="preserve"> Rounded intra zonal inter NEMO flows </w:t>
            </w:r>
          </w:p>
          <w:p w14:paraId="21CBCA47" w14:textId="77777777" w:rsidR="00F8788D" w:rsidRDefault="00F8788D" w:rsidP="002414BB">
            <w:pPr>
              <w:jc w:val="both"/>
            </w:pPr>
            <w:r>
              <w:t>For each bidding zone bz:</w:t>
            </w:r>
          </w:p>
          <w:p w14:paraId="221BC82E" w14:textId="77777777" w:rsidR="00F8788D" w:rsidRDefault="00F8788D" w:rsidP="00F8788D">
            <w:pPr>
              <w:pStyle w:val="ListParagraph"/>
              <w:numPr>
                <w:ilvl w:val="0"/>
                <w:numId w:val="44"/>
              </w:numPr>
              <w:ind w:left="527" w:hanging="357"/>
              <w:jc w:val="both"/>
            </w:pPr>
            <w:r>
              <w:t>The inter NEMO trading hub flows within bz are rounded to the closest bidding zone tick;</w:t>
            </w:r>
          </w:p>
          <w:p w14:paraId="1EDB6401" w14:textId="77777777" w:rsidR="00F8788D" w:rsidRDefault="00F8788D" w:rsidP="00F8788D">
            <w:pPr>
              <w:pStyle w:val="ListParagraph"/>
              <w:numPr>
                <w:ilvl w:val="0"/>
                <w:numId w:val="44"/>
              </w:numPr>
              <w:ind w:left="584" w:hanging="357"/>
              <w:jc w:val="both"/>
            </w:pPr>
            <w:r>
              <w:t>Define the following max flow problem</w:t>
            </w:r>
            <w:r>
              <w:rPr>
                <w:rStyle w:val="FootnoteReference"/>
              </w:rPr>
              <w:footnoteReference w:id="12"/>
            </w:r>
            <w:r>
              <w:t>:</w:t>
            </w:r>
          </w:p>
          <w:p w14:paraId="6198454A" w14:textId="77777777" w:rsidR="00F8788D" w:rsidRDefault="00F8788D" w:rsidP="00F8788D">
            <w:pPr>
              <w:pStyle w:val="ListParagraph"/>
              <w:numPr>
                <w:ilvl w:val="1"/>
                <w:numId w:val="44"/>
              </w:numPr>
              <w:ind w:left="981" w:hanging="357"/>
              <w:jc w:val="both"/>
            </w:pPr>
            <w:r>
              <w:t>Each NEMO trading hub in the bidding zone is represented by a node;</w:t>
            </w:r>
          </w:p>
          <w:p w14:paraId="29A71A4D" w14:textId="77777777" w:rsidR="00F8788D" w:rsidRDefault="00F8788D" w:rsidP="00F8788D">
            <w:pPr>
              <w:pStyle w:val="ListParagraph"/>
              <w:numPr>
                <w:ilvl w:val="1"/>
                <w:numId w:val="44"/>
              </w:numPr>
              <w:ind w:left="981" w:hanging="357"/>
              <w:jc w:val="both"/>
            </w:pPr>
            <w:r>
              <w:t>The deviation hub (if one exists) is represented by a node;</w:t>
            </w:r>
          </w:p>
          <w:p w14:paraId="0AA8BD77" w14:textId="77777777" w:rsidR="00F8788D" w:rsidRDefault="00F8788D" w:rsidP="00F8788D">
            <w:pPr>
              <w:pStyle w:val="ListParagraph"/>
              <w:numPr>
                <w:ilvl w:val="1"/>
                <w:numId w:val="44"/>
              </w:numPr>
              <w:ind w:left="981" w:hanging="357"/>
              <w:jc w:val="both"/>
            </w:pPr>
            <w:r>
              <w:t>Additional source (s) and sink (t) are defined;</w:t>
            </w:r>
          </w:p>
          <w:p w14:paraId="06792845" w14:textId="77777777" w:rsidR="00F8788D" w:rsidRDefault="00F8788D" w:rsidP="00F8788D">
            <w:pPr>
              <w:pStyle w:val="ListParagraph"/>
              <w:numPr>
                <w:ilvl w:val="1"/>
                <w:numId w:val="44"/>
              </w:numPr>
              <w:ind w:left="981" w:hanging="357"/>
              <w:jc w:val="both"/>
            </w:pPr>
            <w:r>
              <w:t>The NEMO trading hubs and the deviation hub are linked by edges according to the NTH topology, plus links between all NTHs to the deviation hub (if one exists). The capacity on these edges is infinite;</w:t>
            </w:r>
          </w:p>
          <w:p w14:paraId="710A8EB8" w14:textId="77777777" w:rsidR="00F8788D" w:rsidRDefault="00F8788D" w:rsidP="00F8788D">
            <w:pPr>
              <w:pStyle w:val="ListParagraph"/>
              <w:numPr>
                <w:ilvl w:val="1"/>
                <w:numId w:val="44"/>
              </w:numPr>
              <w:ind w:left="981" w:hanging="357"/>
              <w:jc w:val="both"/>
            </w:pPr>
            <w:r>
              <w:t>For each NEMO trading hub retrieve the residual position as the difference between the rounded net position and the rounded outgoing and incoming flows;</w:t>
            </w:r>
          </w:p>
          <w:p w14:paraId="3D1216C4" w14:textId="77777777" w:rsidR="00F8788D" w:rsidRDefault="00F8788D" w:rsidP="00F8788D">
            <w:pPr>
              <w:pStyle w:val="ListParagraph"/>
              <w:numPr>
                <w:ilvl w:val="2"/>
                <w:numId w:val="44"/>
              </w:numPr>
              <w:ind w:left="1315" w:hanging="181"/>
              <w:jc w:val="both"/>
            </w:pPr>
            <w:r>
              <w:t>Under step 4a (a deviation hub case) the original deviation remain + an opposite deviation now exists for the deviation hub;</w:t>
            </w:r>
          </w:p>
          <w:p w14:paraId="7A0022A9" w14:textId="77777777" w:rsidR="00F8788D" w:rsidRDefault="00F8788D" w:rsidP="00F8788D">
            <w:pPr>
              <w:pStyle w:val="ListParagraph"/>
              <w:numPr>
                <w:ilvl w:val="2"/>
                <w:numId w:val="44"/>
              </w:numPr>
              <w:ind w:left="1315" w:hanging="181"/>
              <w:jc w:val="both"/>
            </w:pPr>
            <w:r>
              <w:t>Under step 4b (a l</w:t>
            </w:r>
            <w:r w:rsidRPr="008B5C26">
              <w:t>ocal rounding solution case</w:t>
            </w:r>
            <w:r>
              <w:t>) the original deviations have been altered trough the allocation of the residual ticks;</w:t>
            </w:r>
          </w:p>
          <w:p w14:paraId="723E95D8" w14:textId="77777777" w:rsidR="00F8788D" w:rsidRPr="00AE1E68" w:rsidRDefault="00F8788D" w:rsidP="00F8788D">
            <w:pPr>
              <w:pStyle w:val="ListParagraph"/>
              <w:numPr>
                <w:ilvl w:val="2"/>
                <w:numId w:val="44"/>
              </w:numPr>
              <w:ind w:left="1315" w:hanging="181"/>
              <w:jc w:val="both"/>
              <w:rPr>
                <w:b/>
              </w:rPr>
            </w:pPr>
            <w:r>
              <w:t xml:space="preserve">Link all NEMO trading hubs with positive residual position to the source, and the others to the sink. The capacity on the links is given by the residual position of the corresponding NEMO trading hub. </w:t>
            </w:r>
            <w:r w:rsidRPr="0090696E">
              <w:t>It represents the maximum amount of flow that can pass through an edge.</w:t>
            </w:r>
          </w:p>
        </w:tc>
        <w:tc>
          <w:tcPr>
            <w:tcW w:w="4100" w:type="dxa"/>
          </w:tcPr>
          <w:p w14:paraId="66076166" w14:textId="77777777" w:rsidR="00F8788D" w:rsidRDefault="00F8788D" w:rsidP="002414BB">
            <w:r w:rsidRPr="00AE1E68">
              <w:rPr>
                <w:b/>
              </w:rPr>
              <w:t>Comment</w:t>
            </w:r>
            <w:r>
              <w:t>: Mind that the rounded net positions to be used in the rounding process for the management of inter-NTH flows will depend on the actual implementation of the way deviations will be provided:</w:t>
            </w:r>
          </w:p>
          <w:p w14:paraId="44306F7B" w14:textId="77777777" w:rsidR="00F8788D" w:rsidRDefault="00F8788D" w:rsidP="00F8788D">
            <w:pPr>
              <w:numPr>
                <w:ilvl w:val="0"/>
                <w:numId w:val="46"/>
              </w:numPr>
              <w:ind w:left="527" w:hanging="357"/>
            </w:pPr>
            <w:r>
              <w:t>If a deviation hub is explicitly implemented with a topology, then the rounded net position to be considered for hubs shall be the “rounded unrounded net positions”;</w:t>
            </w:r>
          </w:p>
          <w:p w14:paraId="11318AF7" w14:textId="77777777" w:rsidR="00F8788D" w:rsidRDefault="00F8788D" w:rsidP="002414BB">
            <w:r>
              <w:rPr>
                <w:noProof/>
                <w:lang w:val="en-US" w:eastAsia="en-US"/>
              </w:rPr>
              <w:drawing>
                <wp:inline distT="0" distB="0" distL="0" distR="0" wp14:anchorId="12146727" wp14:editId="33C60807">
                  <wp:extent cx="2260800" cy="1346400"/>
                  <wp:effectExtent l="0" t="0" r="0" b="6350"/>
                  <wp:docPr id="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71"/>
                          <a:stretch>
                            <a:fillRect/>
                          </a:stretch>
                        </pic:blipFill>
                        <pic:spPr>
                          <a:xfrm>
                            <a:off x="0" y="0"/>
                            <a:ext cx="2260800" cy="1346400"/>
                          </a:xfrm>
                          <a:prstGeom prst="rect">
                            <a:avLst/>
                          </a:prstGeom>
                        </pic:spPr>
                      </pic:pic>
                    </a:graphicData>
                  </a:graphic>
                </wp:inline>
              </w:drawing>
            </w:r>
          </w:p>
          <w:p w14:paraId="34ACF1EF" w14:textId="77777777" w:rsidR="00F8788D" w:rsidRDefault="00F8788D" w:rsidP="00F8788D">
            <w:pPr>
              <w:numPr>
                <w:ilvl w:val="0"/>
                <w:numId w:val="46"/>
              </w:numPr>
              <w:ind w:left="527" w:hanging="357"/>
            </w:pPr>
            <w:r>
              <w:t>If the explicit definition of a deviation hub is now dropped, and the deviation value applying to a NTH is provided as a separate column, then the inter-NTH flows shall be computed using NTH rounded net positions equalling to the “rounded unrounded net positions + the NTH attributed deviation” (i.e. back to initial n-Side’s proposal)</w:t>
            </w:r>
          </w:p>
          <w:p w14:paraId="69CA2D3F" w14:textId="77777777" w:rsidR="00F8788D" w:rsidRDefault="00F8788D" w:rsidP="002414BB">
            <w:pPr>
              <w:jc w:val="both"/>
              <w:rPr>
                <w:b/>
              </w:rPr>
            </w:pPr>
            <w:r>
              <w:rPr>
                <w:noProof/>
                <w:lang w:val="en-US" w:eastAsia="en-US"/>
              </w:rPr>
              <w:drawing>
                <wp:inline distT="0" distB="0" distL="0" distR="0" wp14:anchorId="4F2ECB9C" wp14:editId="5145FC0F">
                  <wp:extent cx="2174400" cy="1512000"/>
                  <wp:effectExtent l="0" t="0" r="0" b="0"/>
                  <wp:docPr id="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72"/>
                          <a:stretch>
                            <a:fillRect/>
                          </a:stretch>
                        </pic:blipFill>
                        <pic:spPr>
                          <a:xfrm>
                            <a:off x="0" y="0"/>
                            <a:ext cx="2174400" cy="1512000"/>
                          </a:xfrm>
                          <a:prstGeom prst="rect">
                            <a:avLst/>
                          </a:prstGeom>
                        </pic:spPr>
                      </pic:pic>
                    </a:graphicData>
                  </a:graphic>
                </wp:inline>
              </w:drawing>
            </w:r>
          </w:p>
        </w:tc>
      </w:tr>
      <w:tr w:rsidR="00F8788D" w14:paraId="7BBC3631" w14:textId="77777777" w:rsidTr="002414BB">
        <w:trPr>
          <w:cantSplit/>
        </w:trPr>
        <w:tc>
          <w:tcPr>
            <w:tcW w:w="4190" w:type="dxa"/>
          </w:tcPr>
          <w:p w14:paraId="2A4D448D" w14:textId="77777777" w:rsidR="00F8788D" w:rsidRPr="002D749D" w:rsidRDefault="00F8788D" w:rsidP="002414BB">
            <w:pPr>
              <w:jc w:val="both"/>
            </w:pPr>
            <w:r>
              <w:rPr>
                <w:b/>
              </w:rPr>
              <w:t xml:space="preserve">Step 7: </w:t>
            </w:r>
            <w:r>
              <w:t>the rounded intra zonal inter scheduling area flows follow directly from the intra zonal inter NTH flows obtained in step 6.</w:t>
            </w:r>
          </w:p>
        </w:tc>
        <w:tc>
          <w:tcPr>
            <w:tcW w:w="4100" w:type="dxa"/>
          </w:tcPr>
          <w:p w14:paraId="714B95BC" w14:textId="77777777" w:rsidR="00F8788D" w:rsidRPr="002D749D" w:rsidRDefault="00F8788D" w:rsidP="002414BB">
            <w:pPr>
              <w:jc w:val="both"/>
            </w:pPr>
          </w:p>
        </w:tc>
      </w:tr>
    </w:tbl>
    <w:p w14:paraId="7E780164" w14:textId="77777777" w:rsidR="00F8788D" w:rsidRDefault="00F8788D" w:rsidP="002414BB">
      <w:pPr>
        <w:jc w:val="both"/>
        <w:rPr>
          <w:lang w:val="en-US"/>
        </w:rPr>
      </w:pPr>
    </w:p>
    <w:p w14:paraId="5CDA4273" w14:textId="77777777" w:rsidR="00F8788D" w:rsidRDefault="00F8788D" w:rsidP="00F8788D">
      <w:pPr>
        <w:pStyle w:val="Heading2"/>
        <w:numPr>
          <w:ilvl w:val="1"/>
          <w:numId w:val="16"/>
        </w:numPr>
      </w:pPr>
      <w:bookmarkStart w:id="369" w:name="_Toc503782608"/>
      <w:bookmarkStart w:id="370" w:name="_Toc507425415"/>
      <w:r>
        <w:t>Solution validation</w:t>
      </w:r>
      <w:bookmarkEnd w:id="369"/>
      <w:bookmarkEnd w:id="370"/>
    </w:p>
    <w:p w14:paraId="3C342FFC" w14:textId="77777777" w:rsidR="00F8788D" w:rsidRDefault="00F8788D" w:rsidP="002414BB">
      <w:pPr>
        <w:jc w:val="both"/>
      </w:pPr>
    </w:p>
    <w:p w14:paraId="3921BA34" w14:textId="7CB0A372" w:rsidR="00F8788D" w:rsidRDefault="00F8788D" w:rsidP="002414BB">
      <w:pPr>
        <w:jc w:val="both"/>
      </w:pPr>
      <w:r>
        <w:t xml:space="preserve">As explained in section </w:t>
      </w:r>
      <w:r w:rsidRPr="00507B81">
        <w:rPr>
          <w:b/>
        </w:rPr>
        <w:fldChar w:fldCharType="begin"/>
      </w:r>
      <w:r w:rsidRPr="00507B81">
        <w:rPr>
          <w:b/>
        </w:rPr>
        <w:instrText xml:space="preserve"> REF _Ref499214242 \h </w:instrText>
      </w:r>
      <w:r>
        <w:rPr>
          <w:b/>
        </w:rPr>
        <w:instrText xml:space="preserve"> \* MERGEFORMAT </w:instrText>
      </w:r>
      <w:r w:rsidRPr="00507B81">
        <w:rPr>
          <w:b/>
        </w:rPr>
      </w:r>
      <w:r w:rsidRPr="00507B81">
        <w:rPr>
          <w:b/>
        </w:rPr>
        <w:fldChar w:fldCharType="separate"/>
      </w:r>
      <w:r w:rsidR="00FC1305" w:rsidRPr="00FC1305">
        <w:rPr>
          <w:b/>
        </w:rPr>
        <w:t>Euphemia perspective on sequence of the coupling calculation process</w:t>
      </w:r>
      <w:r w:rsidRPr="00507B81">
        <w:rPr>
          <w:b/>
        </w:rPr>
        <w:fldChar w:fldCharType="end"/>
      </w:r>
      <w:r>
        <w:t>, Euphemia will consider its different outputs in subsequent steps:</w:t>
      </w:r>
    </w:p>
    <w:p w14:paraId="5DF126B2" w14:textId="77777777" w:rsidR="00F8788D" w:rsidRDefault="00F8788D" w:rsidP="00F8788D">
      <w:pPr>
        <w:pStyle w:val="ListParagraph"/>
        <w:numPr>
          <w:ilvl w:val="0"/>
          <w:numId w:val="38"/>
        </w:numPr>
        <w:jc w:val="both"/>
      </w:pPr>
      <w:r>
        <w:t>Results (prices, order acceptance statuses, net positions and flows) at the bidding zone level;</w:t>
      </w:r>
    </w:p>
    <w:p w14:paraId="07665149" w14:textId="77777777" w:rsidR="00F8788D" w:rsidRDefault="00F8788D" w:rsidP="00F8788D">
      <w:pPr>
        <w:pStyle w:val="ListParagraph"/>
        <w:numPr>
          <w:ilvl w:val="0"/>
          <w:numId w:val="38"/>
        </w:numPr>
        <w:jc w:val="both"/>
      </w:pPr>
      <w:r>
        <w:t>Results (net positions and flows) at the SA and NTH level;</w:t>
      </w:r>
    </w:p>
    <w:p w14:paraId="7B491018" w14:textId="77777777" w:rsidR="00F8788D" w:rsidRDefault="00F8788D" w:rsidP="002414BB">
      <w:pPr>
        <w:jc w:val="both"/>
      </w:pPr>
    </w:p>
    <w:p w14:paraId="3CFB59DC" w14:textId="0DC55394" w:rsidR="00F8788D" w:rsidRDefault="00F8788D" w:rsidP="002414BB">
      <w:pPr>
        <w:jc w:val="both"/>
      </w:pPr>
      <w:r w:rsidRPr="00507B81">
        <w:rPr>
          <w:lang w:val="en-US"/>
        </w:rPr>
        <w:t xml:space="preserve">In section </w:t>
      </w:r>
      <w:r w:rsidRPr="00507B81">
        <w:rPr>
          <w:b/>
          <w:lang w:val="en-US"/>
        </w:rPr>
        <w:fldChar w:fldCharType="begin"/>
      </w:r>
      <w:r w:rsidRPr="00507B81">
        <w:rPr>
          <w:b/>
          <w:lang w:val="en-US"/>
        </w:rPr>
        <w:instrText xml:space="preserve"> REF _Ref502836724 \h  \* MERGEFORMAT </w:instrText>
      </w:r>
      <w:r w:rsidRPr="00507B81">
        <w:rPr>
          <w:b/>
          <w:lang w:val="en-US"/>
        </w:rPr>
      </w:r>
      <w:r w:rsidRPr="00507B81">
        <w:rPr>
          <w:b/>
          <w:lang w:val="en-US"/>
        </w:rPr>
        <w:fldChar w:fldCharType="separate"/>
      </w:r>
      <w:r w:rsidR="00FC1305" w:rsidRPr="00FC1305">
        <w:rPr>
          <w:b/>
        </w:rPr>
        <w:t>SEC Backup calculation process (degraded mode)</w:t>
      </w:r>
      <w:r w:rsidRPr="00507B81">
        <w:rPr>
          <w:b/>
          <w:lang w:val="en-US"/>
        </w:rPr>
        <w:fldChar w:fldCharType="end"/>
      </w:r>
      <w:r>
        <w:rPr>
          <w:lang w:val="en-US"/>
        </w:rPr>
        <w:t xml:space="preserve">, </w:t>
      </w:r>
      <w:r>
        <w:t>the SEC degraded mode is introduced: in case zonal results are available, but Euphemia runs into problems in the SA or NTH flow calculations, it will automatically trigger this degraded mode, to still find SA and NTH results.</w:t>
      </w:r>
    </w:p>
    <w:p w14:paraId="11B3318E" w14:textId="77777777" w:rsidR="00F8788D" w:rsidRDefault="00F8788D" w:rsidP="002414BB">
      <w:pPr>
        <w:jc w:val="both"/>
      </w:pPr>
    </w:p>
    <w:p w14:paraId="2280C5E4" w14:textId="77777777" w:rsidR="00F8788D" w:rsidRDefault="00F8788D" w:rsidP="002414BB">
      <w:pPr>
        <w:jc w:val="both"/>
      </w:pPr>
      <w:r>
        <w:t>Only if all the required outputs for a solution are available will N-Side commit the solution to the database. Euphemia will indicate the solution quality in its solution log:</w:t>
      </w:r>
    </w:p>
    <w:p w14:paraId="4134833C" w14:textId="77777777" w:rsidR="00F8788D" w:rsidRDefault="00F8788D" w:rsidP="00F8788D">
      <w:pPr>
        <w:pStyle w:val="ListParagraph"/>
        <w:numPr>
          <w:ilvl w:val="0"/>
          <w:numId w:val="28"/>
        </w:numPr>
        <w:ind w:left="641" w:hanging="357"/>
      </w:pPr>
      <w:r>
        <w:t>OK: all constraints have been met against technical tolerances;</w:t>
      </w:r>
    </w:p>
    <w:p w14:paraId="169B729C" w14:textId="1D0A8D2A" w:rsidR="00F8788D" w:rsidRDefault="00F8788D" w:rsidP="00F8788D">
      <w:pPr>
        <w:pStyle w:val="ListParagraph"/>
        <w:numPr>
          <w:ilvl w:val="0"/>
          <w:numId w:val="28"/>
        </w:numPr>
        <w:ind w:left="641" w:hanging="357"/>
      </w:pPr>
      <w:r>
        <w:t>TECH: all constraints have been met against decoupling tolerances, but at least one constraint was not met against technical tolerances;</w:t>
      </w:r>
    </w:p>
    <w:p w14:paraId="64888E08" w14:textId="77777777" w:rsidR="00F8788D" w:rsidRDefault="00F8788D" w:rsidP="00F8788D">
      <w:pPr>
        <w:pStyle w:val="ListParagraph"/>
        <w:numPr>
          <w:ilvl w:val="0"/>
          <w:numId w:val="28"/>
        </w:numPr>
        <w:ind w:left="641" w:hanging="357"/>
      </w:pPr>
      <w:r>
        <w:t>DECPL: at least one constraint was not met against decoupling tolerances;</w:t>
      </w:r>
    </w:p>
    <w:p w14:paraId="65BDAE0F" w14:textId="77777777" w:rsidR="00F8788D" w:rsidRDefault="00F8788D" w:rsidP="00F8788D">
      <w:pPr>
        <w:pStyle w:val="ListParagraph"/>
        <w:numPr>
          <w:ilvl w:val="0"/>
          <w:numId w:val="28"/>
        </w:numPr>
        <w:ind w:left="641" w:hanging="357"/>
      </w:pPr>
      <w:r>
        <w:t>OK_BUT_GME_lines: OK quality for all constraints, except on the borders between PUN bidding zones;</w:t>
      </w:r>
    </w:p>
    <w:p w14:paraId="38CB5788" w14:textId="77777777" w:rsidR="00F8788D" w:rsidRPr="00132422" w:rsidRDefault="00F8788D" w:rsidP="00F8788D">
      <w:pPr>
        <w:pStyle w:val="ListParagraph"/>
        <w:numPr>
          <w:ilvl w:val="0"/>
          <w:numId w:val="28"/>
        </w:numPr>
        <w:ind w:left="641" w:hanging="357"/>
      </w:pPr>
      <w:r w:rsidRPr="00132422">
        <w:rPr>
          <w:b/>
        </w:rPr>
        <w:t>New</w:t>
      </w:r>
      <w:r w:rsidRPr="00132422">
        <w:t>: OK-degraded-SEC: OK quality, but SEC results obtained with degraded mode algorithm</w:t>
      </w:r>
    </w:p>
    <w:p w14:paraId="6BE9CD54" w14:textId="77777777" w:rsidR="00F8788D" w:rsidRPr="00132422" w:rsidRDefault="00F8788D" w:rsidP="00F8788D">
      <w:pPr>
        <w:pStyle w:val="ListParagraph"/>
        <w:numPr>
          <w:ilvl w:val="0"/>
          <w:numId w:val="28"/>
        </w:numPr>
        <w:ind w:left="641" w:hanging="357"/>
      </w:pPr>
      <w:r w:rsidRPr="00132422">
        <w:rPr>
          <w:b/>
        </w:rPr>
        <w:t>New</w:t>
      </w:r>
      <w:r w:rsidRPr="00132422">
        <w:t>: TECH-degraded-SEC: TECH quality, but SEC results obtained with degraded mode algorithm</w:t>
      </w:r>
    </w:p>
    <w:p w14:paraId="0376EFF4" w14:textId="77777777" w:rsidR="00F8788D" w:rsidRPr="00132422" w:rsidRDefault="00F8788D" w:rsidP="00F8788D">
      <w:pPr>
        <w:pStyle w:val="ListParagraph"/>
        <w:numPr>
          <w:ilvl w:val="0"/>
          <w:numId w:val="28"/>
        </w:numPr>
        <w:ind w:left="641" w:hanging="357"/>
      </w:pPr>
      <w:r w:rsidRPr="00132422">
        <w:rPr>
          <w:b/>
        </w:rPr>
        <w:t>New</w:t>
      </w:r>
      <w:r w:rsidRPr="00132422">
        <w:t>: DECPL-degraded-SEC: DECPL quality, but SEC results obtained with degraded mode algorithm</w:t>
      </w:r>
    </w:p>
    <w:p w14:paraId="04E00E6E" w14:textId="77777777" w:rsidR="00F8788D" w:rsidRDefault="00F8788D" w:rsidP="002414BB">
      <w:pPr>
        <w:jc w:val="both"/>
      </w:pPr>
    </w:p>
    <w:p w14:paraId="22963A93" w14:textId="77777777" w:rsidR="00F8788D" w:rsidRDefault="00F8788D" w:rsidP="002414BB">
      <w:pPr>
        <w:jc w:val="both"/>
      </w:pPr>
      <w:r>
        <w:t>Consequently whenever an OK solution is logged to the DB, all required outputs will necessarily be present. PMB will not have to cope with the situation where only partial results (e.g. only BZ results) are available.</w:t>
      </w:r>
    </w:p>
    <w:p w14:paraId="7851DE1C" w14:textId="77777777" w:rsidR="00F8788D" w:rsidRDefault="00F8788D" w:rsidP="002414BB">
      <w:pPr>
        <w:jc w:val="both"/>
      </w:pPr>
    </w:p>
    <w:p w14:paraId="77C2C7A9" w14:textId="77777777" w:rsidR="00F8788D" w:rsidRPr="00BA3E52" w:rsidRDefault="00F8788D" w:rsidP="002414BB">
      <w:pPr>
        <w:pStyle w:val="CommentText"/>
        <w:rPr>
          <w:sz w:val="22"/>
          <w:szCs w:val="22"/>
        </w:rPr>
      </w:pPr>
      <w:r w:rsidRPr="00C049B7">
        <w:rPr>
          <w:sz w:val="22"/>
          <w:szCs w:val="22"/>
        </w:rPr>
        <w:t>The quality of the accepted solution will be reflected by the terminating message code Euphemia will write the algorithm_event_log. New message codes will need to be agreed for the new solution qualities (e.g. OK-degraded-SEC = 431; TECH-degraded-SEC=432; DECPL-degraded-SEC=335, i.e. same as usual + 30).</w:t>
      </w:r>
    </w:p>
    <w:p w14:paraId="0672A964" w14:textId="77777777" w:rsidR="00F8788D" w:rsidRDefault="00F8788D" w:rsidP="00F8788D">
      <w:pPr>
        <w:pStyle w:val="Heading2"/>
        <w:numPr>
          <w:ilvl w:val="1"/>
          <w:numId w:val="16"/>
        </w:numPr>
      </w:pPr>
      <w:bookmarkStart w:id="371" w:name="_Toc503782609"/>
      <w:bookmarkStart w:id="372" w:name="_Toc507425416"/>
      <w:r>
        <w:t>Change Control</w:t>
      </w:r>
      <w:bookmarkEnd w:id="371"/>
      <w:bookmarkEnd w:id="372"/>
    </w:p>
    <w:p w14:paraId="77D912B4" w14:textId="77777777" w:rsidR="00F8788D" w:rsidRDefault="00F8788D" w:rsidP="002414BB">
      <w:pPr>
        <w:jc w:val="both"/>
      </w:pPr>
    </w:p>
    <w:p w14:paraId="5DAF7821" w14:textId="77777777" w:rsidR="00F8788D" w:rsidRDefault="00F8788D" w:rsidP="002414BB">
      <w:pPr>
        <w:jc w:val="both"/>
      </w:pPr>
      <w:r>
        <w:t>The thermal capacities will be managed in the PCR Shared Configuration File (SCF). If TSOs want to make changes to their thermal capacities, this will impact PCR, and consequently need to be put under common NEMO + TSO change control.</w:t>
      </w:r>
    </w:p>
    <w:p w14:paraId="2FA063D4" w14:textId="77777777" w:rsidR="00F8788D" w:rsidRDefault="00F8788D" w:rsidP="002414BB">
      <w:pPr>
        <w:jc w:val="both"/>
      </w:pPr>
      <w:r w:rsidRPr="001E770E">
        <w:t>NEMO trading hub lines will be configured in SCF, in a way that reflects the different scenarios needed according to the MNA Projects</w:t>
      </w:r>
      <w:r>
        <w:t xml:space="preserve"> and </w:t>
      </w:r>
      <w:r w:rsidRPr="001E770E">
        <w:t>under common NEMO + TSO change control</w:t>
      </w:r>
      <w:r>
        <w:t>.</w:t>
      </w:r>
    </w:p>
    <w:p w14:paraId="37228DB0" w14:textId="77777777" w:rsidR="00F8788D" w:rsidRDefault="00F8788D" w:rsidP="002414BB">
      <w:pPr>
        <w:jc w:val="both"/>
      </w:pPr>
    </w:p>
    <w:p w14:paraId="43A27254" w14:textId="23C1FA18" w:rsidR="00F8788D" w:rsidRDefault="00F8788D" w:rsidP="002414BB">
      <w:pPr>
        <w:jc w:val="both"/>
      </w:pPr>
      <w:r>
        <w:t>The cost coefficients for zonal lines (both quadratic and/or linear), are provided as an input by TSO and NEMOs, and are jointly agreed in MRC and validated through the MRC algorithm TF</w:t>
      </w:r>
      <w:r w:rsidRPr="009D7595">
        <w:t xml:space="preserve"> under common NEMO + TSO change control</w:t>
      </w:r>
      <w:r>
        <w:t>.</w:t>
      </w:r>
    </w:p>
    <w:p w14:paraId="4A08CEBE" w14:textId="77777777" w:rsidR="00F8788D" w:rsidRDefault="00F8788D">
      <w:r>
        <w:br w:type="page"/>
      </w:r>
    </w:p>
    <w:p w14:paraId="4EF01AC6" w14:textId="77777777" w:rsidR="00F8788D" w:rsidRPr="008F393C" w:rsidRDefault="00F8788D" w:rsidP="00F8788D">
      <w:pPr>
        <w:pStyle w:val="ListParagraph"/>
        <w:keepNext/>
        <w:keepLines/>
        <w:numPr>
          <w:ilvl w:val="0"/>
          <w:numId w:val="19"/>
        </w:numPr>
        <w:spacing w:before="240"/>
        <w:contextualSpacing w:val="0"/>
        <w:jc w:val="both"/>
        <w:outlineLvl w:val="0"/>
        <w:rPr>
          <w:rFonts w:eastAsiaTheme="majorEastAsia" w:cs="Arial"/>
          <w:vanish/>
          <w:color w:val="2E74B5" w:themeColor="accent1" w:themeShade="BF"/>
          <w:sz w:val="32"/>
          <w:szCs w:val="32"/>
        </w:rPr>
      </w:pPr>
      <w:bookmarkStart w:id="373" w:name="_Toc497141961"/>
      <w:bookmarkStart w:id="374" w:name="_Toc497142536"/>
      <w:bookmarkStart w:id="375" w:name="_Toc497464935"/>
      <w:bookmarkStart w:id="376" w:name="_Toc497498356"/>
      <w:bookmarkStart w:id="377" w:name="_Toc500429685"/>
      <w:bookmarkStart w:id="378" w:name="_Toc500941639"/>
      <w:bookmarkStart w:id="379" w:name="_Toc502838819"/>
      <w:bookmarkStart w:id="380" w:name="_Toc502839158"/>
      <w:bookmarkStart w:id="381" w:name="_Toc502839212"/>
      <w:bookmarkStart w:id="382" w:name="_Toc502839549"/>
      <w:bookmarkStart w:id="383" w:name="_Toc502843021"/>
      <w:bookmarkStart w:id="384" w:name="_Toc502851276"/>
      <w:bookmarkStart w:id="385" w:name="_Toc503360464"/>
      <w:bookmarkStart w:id="386" w:name="_Toc503782610"/>
      <w:bookmarkStart w:id="387" w:name="_Toc506196872"/>
      <w:bookmarkStart w:id="388" w:name="_Toc507425417"/>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p w14:paraId="6C401045" w14:textId="77777777" w:rsidR="00F8788D" w:rsidRPr="009D0CFA" w:rsidRDefault="00F8788D" w:rsidP="00F8788D">
      <w:pPr>
        <w:pStyle w:val="Heading1"/>
        <w:numPr>
          <w:ilvl w:val="0"/>
          <w:numId w:val="33"/>
        </w:numPr>
      </w:pPr>
      <w:bookmarkStart w:id="389" w:name="_Toc503782611"/>
      <w:bookmarkStart w:id="390" w:name="_Toc507425418"/>
      <w:r w:rsidRPr="009D0CFA">
        <w:t>Procedures</w:t>
      </w:r>
      <w:bookmarkEnd w:id="389"/>
      <w:bookmarkEnd w:id="390"/>
    </w:p>
    <w:p w14:paraId="70BD07F2" w14:textId="77777777" w:rsidR="00F8788D" w:rsidRDefault="00F8788D" w:rsidP="002414BB"/>
    <w:p w14:paraId="1EE6C9E0" w14:textId="77777777" w:rsidR="00F8788D" w:rsidRPr="008F393C" w:rsidRDefault="00F8788D" w:rsidP="00F8788D">
      <w:pPr>
        <w:pStyle w:val="ListParagraph"/>
        <w:keepNext/>
        <w:keepLines/>
        <w:numPr>
          <w:ilvl w:val="0"/>
          <w:numId w:val="35"/>
        </w:numPr>
        <w:spacing w:before="40"/>
        <w:contextualSpacing w:val="0"/>
        <w:outlineLvl w:val="1"/>
        <w:rPr>
          <w:rFonts w:asciiTheme="majorHAnsi" w:eastAsiaTheme="majorEastAsia" w:hAnsiTheme="majorHAnsi" w:cstheme="majorBidi"/>
          <w:vanish/>
          <w:color w:val="2E74B5" w:themeColor="accent1" w:themeShade="BF"/>
          <w:sz w:val="26"/>
          <w:szCs w:val="26"/>
        </w:rPr>
      </w:pPr>
      <w:bookmarkStart w:id="391" w:name="_Toc497141969"/>
      <w:bookmarkStart w:id="392" w:name="_Toc497142544"/>
      <w:bookmarkStart w:id="393" w:name="_Toc497464943"/>
      <w:bookmarkStart w:id="394" w:name="_Toc497498358"/>
      <w:bookmarkStart w:id="395" w:name="_Toc500429687"/>
      <w:bookmarkStart w:id="396" w:name="_Toc500941641"/>
      <w:bookmarkStart w:id="397" w:name="_Toc502838821"/>
      <w:bookmarkStart w:id="398" w:name="_Toc502839160"/>
      <w:bookmarkStart w:id="399" w:name="_Toc502839214"/>
      <w:bookmarkStart w:id="400" w:name="_Toc502839551"/>
      <w:bookmarkStart w:id="401" w:name="_Toc502843023"/>
      <w:bookmarkStart w:id="402" w:name="_Toc502851278"/>
      <w:bookmarkStart w:id="403" w:name="_Toc503360466"/>
      <w:bookmarkStart w:id="404" w:name="_Toc503782612"/>
      <w:bookmarkStart w:id="405" w:name="_Toc506196874"/>
      <w:bookmarkStart w:id="406" w:name="_Toc507425419"/>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p w14:paraId="16DB4CB3" w14:textId="77777777" w:rsidR="00F8788D" w:rsidRPr="002069EA" w:rsidRDefault="00F8788D" w:rsidP="00F8788D">
      <w:pPr>
        <w:pStyle w:val="ListParagraph"/>
        <w:keepNext/>
        <w:keepLines/>
        <w:numPr>
          <w:ilvl w:val="0"/>
          <w:numId w:val="36"/>
        </w:numPr>
        <w:spacing w:before="240"/>
        <w:contextualSpacing w:val="0"/>
        <w:outlineLvl w:val="0"/>
        <w:rPr>
          <w:rFonts w:asciiTheme="majorHAnsi" w:eastAsiaTheme="majorEastAsia" w:hAnsiTheme="majorHAnsi" w:cstheme="majorBidi"/>
          <w:vanish/>
          <w:color w:val="2E74B5" w:themeColor="accent1" w:themeShade="BF"/>
          <w:sz w:val="32"/>
          <w:szCs w:val="32"/>
        </w:rPr>
      </w:pPr>
      <w:bookmarkStart w:id="407" w:name="_Toc497141970"/>
      <w:bookmarkStart w:id="408" w:name="_Toc497142545"/>
      <w:bookmarkStart w:id="409" w:name="_Toc497464944"/>
      <w:bookmarkStart w:id="410" w:name="_Toc497498359"/>
      <w:bookmarkStart w:id="411" w:name="_Toc500429688"/>
      <w:bookmarkStart w:id="412" w:name="_Toc500941642"/>
      <w:bookmarkStart w:id="413" w:name="_Toc502838822"/>
      <w:bookmarkStart w:id="414" w:name="_Toc502839161"/>
      <w:bookmarkStart w:id="415" w:name="_Toc502839215"/>
      <w:bookmarkStart w:id="416" w:name="_Toc502839552"/>
      <w:bookmarkStart w:id="417" w:name="_Toc502843024"/>
      <w:bookmarkStart w:id="418" w:name="_Toc502851279"/>
      <w:bookmarkStart w:id="419" w:name="_Toc503360467"/>
      <w:bookmarkStart w:id="420" w:name="_Toc503782613"/>
      <w:bookmarkStart w:id="421" w:name="_Toc506196875"/>
      <w:bookmarkStart w:id="422" w:name="_Toc507425420"/>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14:paraId="761A3CF3" w14:textId="77777777" w:rsidR="00F8788D" w:rsidRPr="009D0CFA" w:rsidRDefault="00F8788D" w:rsidP="00F8788D">
      <w:pPr>
        <w:pStyle w:val="ListParagraph"/>
        <w:keepNext/>
        <w:keepLines/>
        <w:numPr>
          <w:ilvl w:val="0"/>
          <w:numId w:val="16"/>
        </w:numPr>
        <w:spacing w:before="240"/>
        <w:contextualSpacing w:val="0"/>
        <w:outlineLvl w:val="0"/>
        <w:rPr>
          <w:rFonts w:asciiTheme="majorHAnsi" w:eastAsiaTheme="majorEastAsia" w:hAnsiTheme="majorHAnsi" w:cstheme="majorBidi"/>
          <w:vanish/>
          <w:color w:val="2E74B5" w:themeColor="accent1" w:themeShade="BF"/>
          <w:sz w:val="32"/>
          <w:szCs w:val="32"/>
        </w:rPr>
      </w:pPr>
      <w:bookmarkStart w:id="423" w:name="_Toc497142546"/>
      <w:bookmarkStart w:id="424" w:name="_Toc497464945"/>
      <w:bookmarkStart w:id="425" w:name="_Toc497498360"/>
      <w:bookmarkStart w:id="426" w:name="_Toc500429689"/>
      <w:bookmarkStart w:id="427" w:name="_Toc500941643"/>
      <w:bookmarkStart w:id="428" w:name="_Toc502838823"/>
      <w:bookmarkStart w:id="429" w:name="_Toc502839162"/>
      <w:bookmarkStart w:id="430" w:name="_Toc502839216"/>
      <w:bookmarkStart w:id="431" w:name="_Toc502839553"/>
      <w:bookmarkStart w:id="432" w:name="_Toc502843025"/>
      <w:bookmarkStart w:id="433" w:name="_Toc502851280"/>
      <w:bookmarkStart w:id="434" w:name="_Toc503360468"/>
      <w:bookmarkStart w:id="435" w:name="_Toc503782614"/>
      <w:bookmarkStart w:id="436" w:name="_Toc506196876"/>
      <w:bookmarkStart w:id="437" w:name="_Toc507425421"/>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14:paraId="67A132E2" w14:textId="77777777" w:rsidR="00F8788D" w:rsidRPr="009D0CFA" w:rsidRDefault="00F8788D" w:rsidP="00F8788D">
      <w:pPr>
        <w:pStyle w:val="Heading2"/>
        <w:numPr>
          <w:ilvl w:val="1"/>
          <w:numId w:val="16"/>
        </w:numPr>
      </w:pPr>
      <w:bookmarkStart w:id="438" w:name="_Toc503782615"/>
      <w:bookmarkStart w:id="439" w:name="_Toc507425422"/>
      <w:r>
        <w:t>Normal Procedures</w:t>
      </w:r>
      <w:bookmarkEnd w:id="438"/>
      <w:bookmarkEnd w:id="439"/>
    </w:p>
    <w:p w14:paraId="2E29E4A4" w14:textId="77777777" w:rsidR="00F8788D" w:rsidRDefault="00F8788D" w:rsidP="002414BB">
      <w:r>
        <w:rPr>
          <w:noProof/>
          <w:lang w:val="en-US" w:eastAsia="en-US"/>
        </w:rPr>
        <w:drawing>
          <wp:inline distT="0" distB="0" distL="0" distR="0" wp14:anchorId="04E3A3DE" wp14:editId="2C123C03">
            <wp:extent cx="5400040" cy="1027430"/>
            <wp:effectExtent l="0" t="0" r="0" b="1270"/>
            <wp:docPr id="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400040" cy="1027430"/>
                    </a:xfrm>
                    <a:prstGeom prst="rect">
                      <a:avLst/>
                    </a:prstGeom>
                  </pic:spPr>
                </pic:pic>
              </a:graphicData>
            </a:graphic>
          </wp:inline>
        </w:drawing>
      </w:r>
    </w:p>
    <w:p w14:paraId="18352792" w14:textId="77777777" w:rsidR="00F8788D" w:rsidRPr="00A92F80" w:rsidRDefault="00F8788D" w:rsidP="002414BB">
      <w:pPr>
        <w:jc w:val="center"/>
        <w:rPr>
          <w:i/>
          <w:sz w:val="18"/>
        </w:rPr>
      </w:pPr>
      <w:r w:rsidRPr="00A92F80">
        <w:rPr>
          <w:i/>
          <w:sz w:val="18"/>
        </w:rPr>
        <w:t>Current Market Coupling Session process</w:t>
      </w:r>
    </w:p>
    <w:p w14:paraId="4A3BC429" w14:textId="77777777" w:rsidR="00F8788D" w:rsidRDefault="00F8788D" w:rsidP="002414BB">
      <w:pPr>
        <w:jc w:val="both"/>
      </w:pPr>
      <w:r w:rsidRPr="00C30B4D">
        <w:t>In the current Market Coupling Session process, the Calculation step is set to 12 minutes: 10 minutes of Euphemia calculation + 2 minutes for reading input data and writing output data. The target time for this step is 12:22.</w:t>
      </w:r>
    </w:p>
    <w:p w14:paraId="71E1349B" w14:textId="77777777" w:rsidR="00F8788D" w:rsidRPr="00C30B4D" w:rsidRDefault="00F8788D" w:rsidP="002414BB">
      <w:pPr>
        <w:jc w:val="both"/>
      </w:pPr>
    </w:p>
    <w:p w14:paraId="67AC04BC" w14:textId="77777777" w:rsidR="00F8788D" w:rsidRDefault="00F8788D" w:rsidP="002414BB">
      <w:pPr>
        <w:jc w:val="both"/>
      </w:pPr>
      <w:r w:rsidRPr="00C30B4D">
        <w:t>The Results Sharing step, where the Coordinator PMB distributes the results to the Cloud, takes 2 minutes and the target time is 12:24.</w:t>
      </w:r>
      <w:r>
        <w:t xml:space="preserve"> </w:t>
      </w:r>
      <w:r w:rsidRPr="00C30B4D">
        <w:t xml:space="preserve">The next step is the Preliminary Confirmation of the Results, where every PX has 12 dedicated minutes for checking the Results. The target time for this step is 12:36. </w:t>
      </w:r>
    </w:p>
    <w:p w14:paraId="4D3E85D3" w14:textId="77777777" w:rsidR="00F8788D" w:rsidRPr="00C30B4D" w:rsidRDefault="00F8788D" w:rsidP="002414BB">
      <w:pPr>
        <w:jc w:val="both"/>
      </w:pPr>
    </w:p>
    <w:p w14:paraId="72A0CE36" w14:textId="77777777" w:rsidR="00F8788D" w:rsidRDefault="00F8788D" w:rsidP="002414BB">
      <w:pPr>
        <w:jc w:val="both"/>
      </w:pPr>
      <w:r w:rsidRPr="00C30B4D">
        <w:t xml:space="preserve">The regular publication time is 12:42. In normal days, the margin between the end of the Preliminary Confirmation and the publication time is 6 minutes. </w:t>
      </w:r>
    </w:p>
    <w:p w14:paraId="1E13D04D" w14:textId="77777777" w:rsidR="00F8788D" w:rsidRDefault="00F8788D" w:rsidP="002414BB">
      <w:pPr>
        <w:jc w:val="both"/>
      </w:pPr>
    </w:p>
    <w:p w14:paraId="792AD5FD" w14:textId="77777777" w:rsidR="00F8788D" w:rsidRDefault="00F8788D" w:rsidP="002414BB">
      <w:r>
        <w:rPr>
          <w:noProof/>
          <w:lang w:val="en-US" w:eastAsia="en-US"/>
        </w:rPr>
        <w:drawing>
          <wp:inline distT="0" distB="0" distL="0" distR="0" wp14:anchorId="52951A0D" wp14:editId="3D155232">
            <wp:extent cx="5400040" cy="1016635"/>
            <wp:effectExtent l="0" t="0" r="0" b="0"/>
            <wp:docPr id="1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400040" cy="1016635"/>
                    </a:xfrm>
                    <a:prstGeom prst="rect">
                      <a:avLst/>
                    </a:prstGeom>
                  </pic:spPr>
                </pic:pic>
              </a:graphicData>
            </a:graphic>
          </wp:inline>
        </w:drawing>
      </w:r>
    </w:p>
    <w:p w14:paraId="7B6037B4" w14:textId="77777777" w:rsidR="00F8788D" w:rsidRPr="00A92F80" w:rsidRDefault="00F8788D" w:rsidP="002414BB">
      <w:pPr>
        <w:jc w:val="center"/>
        <w:rPr>
          <w:i/>
          <w:sz w:val="18"/>
        </w:rPr>
      </w:pPr>
      <w:r w:rsidRPr="00A92F80">
        <w:rPr>
          <w:i/>
          <w:sz w:val="18"/>
        </w:rPr>
        <w:t xml:space="preserve"> Market Coupling Session process</w:t>
      </w:r>
      <w:r>
        <w:rPr>
          <w:i/>
          <w:sz w:val="18"/>
        </w:rPr>
        <w:t xml:space="preserve"> with MNA</w:t>
      </w:r>
    </w:p>
    <w:p w14:paraId="3545EAB4" w14:textId="77777777" w:rsidR="00F8788D" w:rsidRDefault="00F8788D" w:rsidP="002414BB">
      <w:pPr>
        <w:jc w:val="both"/>
      </w:pPr>
    </w:p>
    <w:p w14:paraId="5649CE09" w14:textId="77777777" w:rsidR="00F8788D" w:rsidRDefault="00F8788D" w:rsidP="002414BB">
      <w:pPr>
        <w:jc w:val="both"/>
        <w:rPr>
          <w:lang w:val="en-US"/>
        </w:rPr>
      </w:pPr>
      <w:r w:rsidRPr="00C30B4D">
        <w:t>For the MNA implementation, the Euphemia calculation will be extended 2 minutes</w:t>
      </w:r>
      <w:r>
        <w:rPr>
          <w:rStyle w:val="FootnoteReference"/>
        </w:rPr>
        <w:footnoteReference w:id="13"/>
      </w:r>
      <w:r w:rsidRPr="00C30B4D">
        <w:t xml:space="preserve"> to host the </w:t>
      </w:r>
      <w:r w:rsidRPr="00312718">
        <w:rPr>
          <w:lang w:val="en-US"/>
        </w:rPr>
        <w:t>Scheduling area and Ne</w:t>
      </w:r>
      <w:r>
        <w:rPr>
          <w:lang w:val="en-US"/>
        </w:rPr>
        <w:t>mo hub level flow calculations in the main Calculation run. The whole Calculation step will take 14 minutes. Consequently, the target time for the Results Sharing and the Preliminary Results Confirmation steps will be delayed 2 minutes (to 12:26 and 12:38 respectively).</w:t>
      </w:r>
    </w:p>
    <w:p w14:paraId="68721685" w14:textId="77777777" w:rsidR="00F8788D" w:rsidRDefault="00F8788D" w:rsidP="002414BB">
      <w:pPr>
        <w:jc w:val="both"/>
        <w:rPr>
          <w:lang w:val="en-US"/>
        </w:rPr>
      </w:pPr>
    </w:p>
    <w:p w14:paraId="7BD6D1B1" w14:textId="77777777" w:rsidR="00F8788D" w:rsidRDefault="00F8788D" w:rsidP="002414BB">
      <w:pPr>
        <w:jc w:val="both"/>
      </w:pPr>
      <w:r>
        <w:rPr>
          <w:lang w:val="en-US"/>
        </w:rPr>
        <w:t xml:space="preserve">The margin between </w:t>
      </w:r>
      <w:r w:rsidRPr="00C30B4D">
        <w:t xml:space="preserve">the end of the Preliminary </w:t>
      </w:r>
      <w:r>
        <w:t xml:space="preserve">Results </w:t>
      </w:r>
      <w:r w:rsidRPr="00C30B4D">
        <w:t>Confirmation and the regular publication time will be reduced from 6 to 4 minutes. The regular publication time will remain 12:42.</w:t>
      </w:r>
    </w:p>
    <w:p w14:paraId="7B376A49" w14:textId="77777777" w:rsidR="00F8788D" w:rsidRPr="00C30B4D" w:rsidRDefault="00F8788D" w:rsidP="002414BB">
      <w:pPr>
        <w:jc w:val="both"/>
      </w:pPr>
    </w:p>
    <w:p w14:paraId="17F55D72" w14:textId="77777777" w:rsidR="00F8788D" w:rsidRPr="00C30B4D" w:rsidRDefault="00F8788D" w:rsidP="002414BB">
      <w:pPr>
        <w:jc w:val="both"/>
      </w:pPr>
      <w:r w:rsidRPr="00C30B4D">
        <w:t xml:space="preserve">After the publication of the Results, </w:t>
      </w:r>
      <w:r>
        <w:t xml:space="preserve">each PX </w:t>
      </w:r>
      <w:r w:rsidRPr="00C30B4D">
        <w:t>has the possibility to validate</w:t>
      </w:r>
      <w:r>
        <w:t xml:space="preserve"> them</w:t>
      </w:r>
      <w:r w:rsidRPr="00C30B4D">
        <w:t xml:space="preserve"> with external parties (TSO, market participants, etc.)</w:t>
      </w:r>
      <w:r>
        <w:t xml:space="preserve"> in the Final Results Confirmation step. As the regular publication time will not be affected, neither will the Final Confirmation times.</w:t>
      </w:r>
    </w:p>
    <w:p w14:paraId="3B0E99AF" w14:textId="77777777" w:rsidR="00F8788D" w:rsidRDefault="00F8788D" w:rsidP="002414BB">
      <w:pPr>
        <w:rPr>
          <w:highlight w:val="yellow"/>
        </w:rPr>
      </w:pPr>
      <w:r>
        <w:rPr>
          <w:highlight w:val="yellow"/>
        </w:rPr>
        <w:br w:type="page"/>
      </w:r>
    </w:p>
    <w:p w14:paraId="3A2A9C0D" w14:textId="77777777" w:rsidR="00F8788D" w:rsidRDefault="00F8788D" w:rsidP="00F8788D">
      <w:pPr>
        <w:pStyle w:val="Heading2"/>
        <w:numPr>
          <w:ilvl w:val="1"/>
          <w:numId w:val="16"/>
        </w:numPr>
      </w:pPr>
      <w:r>
        <w:t xml:space="preserve"> </w:t>
      </w:r>
      <w:bookmarkStart w:id="440" w:name="_Toc503782616"/>
      <w:bookmarkStart w:id="441" w:name="_Toc507425423"/>
      <w:r>
        <w:t>SEC Degraded Mode</w:t>
      </w:r>
      <w:bookmarkEnd w:id="440"/>
      <w:bookmarkEnd w:id="441"/>
    </w:p>
    <w:p w14:paraId="0FB17186" w14:textId="77777777" w:rsidR="00F8788D" w:rsidRDefault="00F8788D" w:rsidP="002414BB">
      <w:pPr>
        <w:jc w:val="both"/>
      </w:pPr>
    </w:p>
    <w:p w14:paraId="255CCA25" w14:textId="77777777" w:rsidR="00F8788D" w:rsidRPr="00225679" w:rsidRDefault="00F8788D" w:rsidP="002414BB">
      <w:pPr>
        <w:jc w:val="both"/>
      </w:pPr>
      <w:r>
        <w:rPr>
          <w:lang w:val="en-US"/>
        </w:rPr>
        <w:t xml:space="preserve">Euphemia Calculation may encounter issues when trying </w:t>
      </w:r>
      <w:r>
        <w:t xml:space="preserve">to find </w:t>
      </w:r>
      <w:r w:rsidRPr="00225679">
        <w:t>a valid solution within the Calculation Time Limit.</w:t>
      </w:r>
      <w:r>
        <w:t xml:space="preserve"> </w:t>
      </w:r>
      <w:r w:rsidRPr="00225679">
        <w:t xml:space="preserve">If the </w:t>
      </w:r>
      <w:r>
        <w:t xml:space="preserve">PCR </w:t>
      </w:r>
      <w:r w:rsidRPr="00225679">
        <w:t xml:space="preserve">Coordinator </w:t>
      </w:r>
      <w:r>
        <w:t>does</w:t>
      </w:r>
      <w:r w:rsidRPr="00225679">
        <w:t xml:space="preserve"> not </w:t>
      </w:r>
      <w:r>
        <w:t>find a valid solution, a</w:t>
      </w:r>
      <w:r w:rsidRPr="00225679">
        <w:t>n I</w:t>
      </w:r>
      <w:r>
        <w:t xml:space="preserve">ncident </w:t>
      </w:r>
      <w:r w:rsidRPr="00225679">
        <w:t>C</w:t>
      </w:r>
      <w:r>
        <w:t>ommittee</w:t>
      </w:r>
      <w:r w:rsidRPr="00225679">
        <w:t xml:space="preserve"> </w:t>
      </w:r>
      <w:r>
        <w:t>is</w:t>
      </w:r>
      <w:r w:rsidRPr="00225679">
        <w:t xml:space="preserve"> </w:t>
      </w:r>
      <w:r>
        <w:t xml:space="preserve">immediately triggered </w:t>
      </w:r>
      <w:r w:rsidRPr="00225679">
        <w:t xml:space="preserve">and the Algorithm Provider </w:t>
      </w:r>
      <w:r>
        <w:t>is</w:t>
      </w:r>
      <w:r w:rsidRPr="00225679">
        <w:t xml:space="preserve"> invited</w:t>
      </w:r>
      <w:r>
        <w:t>.</w:t>
      </w:r>
    </w:p>
    <w:p w14:paraId="73C3A436" w14:textId="77777777" w:rsidR="00F8788D" w:rsidRDefault="00F8788D" w:rsidP="002414BB">
      <w:pPr>
        <w:jc w:val="both"/>
        <w:rPr>
          <w:lang w:val="en-US"/>
        </w:rPr>
      </w:pPr>
      <w:r>
        <w:rPr>
          <w:lang w:val="en-US"/>
        </w:rPr>
        <w:t xml:space="preserve">If the problem is encountered when performing the </w:t>
      </w:r>
      <w:r w:rsidRPr="00312718">
        <w:rPr>
          <w:lang w:val="en-US"/>
        </w:rPr>
        <w:t>Scheduling area and Ne</w:t>
      </w:r>
      <w:r>
        <w:rPr>
          <w:lang w:val="en-US"/>
        </w:rPr>
        <w:t>mo hub level flow calculations, the ”</w:t>
      </w:r>
      <w:r w:rsidRPr="001A35F7">
        <w:rPr>
          <w:i/>
          <w:lang w:val="en-US"/>
        </w:rPr>
        <w:t>Degraded Mode</w:t>
      </w:r>
      <w:r>
        <w:rPr>
          <w:lang w:val="en-US"/>
        </w:rPr>
        <w:t xml:space="preserve">” will be automatically triggered, and </w:t>
      </w:r>
      <w:r w:rsidRPr="00B91A1A">
        <w:rPr>
          <w:lang w:val="en-US"/>
        </w:rPr>
        <w:t>the code of the solution</w:t>
      </w:r>
      <w:r>
        <w:rPr>
          <w:lang w:val="en-US"/>
        </w:rPr>
        <w:t xml:space="preserve">, when the calculation will have finished, </w:t>
      </w:r>
      <w:r w:rsidRPr="00B91A1A">
        <w:rPr>
          <w:lang w:val="en-US"/>
        </w:rPr>
        <w:t>will indicate that</w:t>
      </w:r>
      <w:r>
        <w:rPr>
          <w:lang w:val="en-US"/>
        </w:rPr>
        <w:t xml:space="preserve"> situation</w:t>
      </w:r>
      <w:r w:rsidRPr="00B91A1A">
        <w:rPr>
          <w:lang w:val="en-US"/>
        </w:rPr>
        <w:t>.</w:t>
      </w:r>
    </w:p>
    <w:p w14:paraId="337FA35B" w14:textId="77777777" w:rsidR="00F8788D" w:rsidRPr="00E77551" w:rsidRDefault="00F8788D" w:rsidP="002414BB">
      <w:pPr>
        <w:jc w:val="both"/>
      </w:pPr>
    </w:p>
    <w:p w14:paraId="42AA97BA" w14:textId="77777777" w:rsidR="00F8788D" w:rsidRDefault="00F8788D" w:rsidP="002414BB">
      <w:pPr>
        <w:jc w:val="both"/>
      </w:pPr>
      <w:r>
        <w:t xml:space="preserve">The Algorithm Provider, who is invited to the Incident Committee, will connect to </w:t>
      </w:r>
      <w:r w:rsidRPr="00521F2C">
        <w:t xml:space="preserve">the Coordinator’s machine in order to try to solve the issue and find a </w:t>
      </w:r>
      <w:r>
        <w:t xml:space="preserve">proper </w:t>
      </w:r>
      <w:r w:rsidRPr="00521F2C">
        <w:t>solution.</w:t>
      </w:r>
    </w:p>
    <w:p w14:paraId="258B80DB" w14:textId="77777777" w:rsidR="00F8788D" w:rsidRDefault="00F8788D" w:rsidP="002414BB">
      <w:pPr>
        <w:jc w:val="both"/>
      </w:pPr>
      <w:r>
        <w:t xml:space="preserve">If the problem persists in the Coordinator’s Calculation but one PXs finds a valid solution, a Coordinator switch </w:t>
      </w:r>
      <w:r w:rsidRPr="00427AB4">
        <w:t xml:space="preserve">between the Coordinator and the </w:t>
      </w:r>
      <w:r>
        <w:t xml:space="preserve">PX that found a solution will </w:t>
      </w:r>
      <w:r w:rsidRPr="00427AB4">
        <w:t>be performed</w:t>
      </w:r>
      <w:r>
        <w:t>.</w:t>
      </w:r>
    </w:p>
    <w:p w14:paraId="73DB1391" w14:textId="77777777" w:rsidR="00F8788D" w:rsidRDefault="00F8788D" w:rsidP="002414BB">
      <w:pPr>
        <w:jc w:val="both"/>
      </w:pPr>
    </w:p>
    <w:p w14:paraId="368AA2DA" w14:textId="77777777" w:rsidR="00F8788D" w:rsidRDefault="00F8788D" w:rsidP="002414BB">
      <w:pPr>
        <w:jc w:val="both"/>
      </w:pPr>
      <w:r>
        <w:t xml:space="preserve">If the backup actions do not solve the issue before the Full Decoupling Deadline, the </w:t>
      </w:r>
      <w:r w:rsidRPr="00521F2C">
        <w:t>Full Decoupling</w:t>
      </w:r>
      <w:r>
        <w:t xml:space="preserve"> will be declared and </w:t>
      </w:r>
      <w:r w:rsidRPr="00521F2C">
        <w:t xml:space="preserve">the whole PCR area </w:t>
      </w:r>
      <w:r>
        <w:t>will be</w:t>
      </w:r>
      <w:r w:rsidRPr="00521F2C">
        <w:t xml:space="preserve"> decoupled</w:t>
      </w:r>
      <w:r>
        <w:t>.</w:t>
      </w:r>
    </w:p>
    <w:p w14:paraId="7F9664BA" w14:textId="77777777" w:rsidR="00F8788D" w:rsidRDefault="00F8788D" w:rsidP="002414BB">
      <w:pPr>
        <w:jc w:val="both"/>
      </w:pPr>
    </w:p>
    <w:p w14:paraId="47A3241D" w14:textId="77777777" w:rsidR="00F8788D" w:rsidRDefault="00F8788D" w:rsidP="002414BB">
      <w:pPr>
        <w:jc w:val="both"/>
      </w:pPr>
      <w:r>
        <w:t xml:space="preserve">It is important to highlight that in </w:t>
      </w:r>
      <w:r w:rsidRPr="007B1494">
        <w:t xml:space="preserve">case of </w:t>
      </w:r>
      <w:r>
        <w:t xml:space="preserve">exceptional situations during the </w:t>
      </w:r>
      <w:r w:rsidRPr="007B1494">
        <w:t>Market Coupling</w:t>
      </w:r>
      <w:r>
        <w:t xml:space="preserve"> Session, </w:t>
      </w:r>
      <w:r w:rsidRPr="007B1494">
        <w:t xml:space="preserve">if a new calculation needs to be performed, the new Calculation </w:t>
      </w:r>
      <w:r>
        <w:t xml:space="preserve">will also include the 2 additional minutes to perform the </w:t>
      </w:r>
      <w:r w:rsidRPr="007B1494">
        <w:t>Scheduling area and Nemo hub level flow</w:t>
      </w:r>
      <w:r>
        <w:t xml:space="preserve"> calculation. In total, the whole Market Coupling process will need 4 more minutes to be completed, which increases the risk of Full Decoupling.</w:t>
      </w:r>
    </w:p>
    <w:p w14:paraId="58AD3FC8" w14:textId="77777777" w:rsidR="00F8788D" w:rsidRDefault="00F8788D" w:rsidP="002414BB">
      <w:pPr>
        <w:jc w:val="both"/>
      </w:pPr>
    </w:p>
    <w:p w14:paraId="0974ADEE" w14:textId="77777777" w:rsidR="00F8788D" w:rsidRDefault="00F8788D" w:rsidP="002414BB">
      <w:pPr>
        <w:jc w:val="both"/>
      </w:pPr>
    </w:p>
    <w:p w14:paraId="5C4147DE" w14:textId="77777777" w:rsidR="00F8788D" w:rsidRDefault="00F8788D" w:rsidP="00F8788D">
      <w:pPr>
        <w:pStyle w:val="Heading2"/>
        <w:numPr>
          <w:ilvl w:val="1"/>
          <w:numId w:val="16"/>
        </w:numPr>
      </w:pPr>
      <w:bookmarkStart w:id="442" w:name="_Toc503782617"/>
      <w:bookmarkStart w:id="443" w:name="_Toc507425424"/>
      <w:r>
        <w:t>Decoupling Procedures</w:t>
      </w:r>
      <w:bookmarkEnd w:id="442"/>
      <w:bookmarkEnd w:id="443"/>
    </w:p>
    <w:p w14:paraId="4F6F09A2" w14:textId="77777777" w:rsidR="00F8788D" w:rsidRDefault="00F8788D" w:rsidP="002414BB"/>
    <w:p w14:paraId="71D15A99" w14:textId="77777777" w:rsidR="00F8788D" w:rsidRDefault="00F8788D" w:rsidP="002414BB">
      <w:pPr>
        <w:jc w:val="both"/>
      </w:pPr>
      <w:r>
        <w:t>According to information retrieved from Capacity Calculation Region (CCR) Fallback methodologies, PCR MNA solution needs to handle following main decoupling scenarios.</w:t>
      </w:r>
    </w:p>
    <w:p w14:paraId="078D9C1E" w14:textId="77777777" w:rsidR="00F8788D" w:rsidRDefault="00F8788D" w:rsidP="00F8788D">
      <w:pPr>
        <w:pStyle w:val="ListParagraph"/>
        <w:numPr>
          <w:ilvl w:val="0"/>
          <w:numId w:val="39"/>
        </w:numPr>
        <w:jc w:val="both"/>
      </w:pPr>
      <w:r>
        <w:t>Decoupling a single line / connection from PCR.</w:t>
      </w:r>
    </w:p>
    <w:p w14:paraId="5EAADA2D" w14:textId="77777777" w:rsidR="00F8788D" w:rsidRDefault="00F8788D" w:rsidP="00F8788D">
      <w:pPr>
        <w:pStyle w:val="ListParagraph"/>
        <w:numPr>
          <w:ilvl w:val="0"/>
          <w:numId w:val="39"/>
        </w:numPr>
        <w:jc w:val="both"/>
      </w:pPr>
      <w:r>
        <w:t>Partial decoupling of a NEMO in corresponding Bidding zone(s) from the PCR cloud.</w:t>
      </w:r>
    </w:p>
    <w:p w14:paraId="5B80E1CA" w14:textId="77777777" w:rsidR="00F8788D" w:rsidRDefault="00F8788D" w:rsidP="00F8788D">
      <w:pPr>
        <w:pStyle w:val="ListParagraph"/>
        <w:numPr>
          <w:ilvl w:val="0"/>
          <w:numId w:val="39"/>
        </w:numPr>
        <w:jc w:val="both"/>
      </w:pPr>
      <w:r>
        <w:t>Regional decoupling of selected region / Bidding zones from the PCR cloud.</w:t>
      </w:r>
    </w:p>
    <w:p w14:paraId="7A62DC5E" w14:textId="77777777" w:rsidR="00F8788D" w:rsidRDefault="00F8788D" w:rsidP="00F8788D">
      <w:pPr>
        <w:pStyle w:val="ListParagraph"/>
        <w:numPr>
          <w:ilvl w:val="0"/>
          <w:numId w:val="39"/>
        </w:numPr>
        <w:jc w:val="both"/>
      </w:pPr>
      <w:r>
        <w:t>Full decoupling of all PCR NEMOs from the PCR cloud.</w:t>
      </w:r>
    </w:p>
    <w:p w14:paraId="3DAD081F" w14:textId="77777777" w:rsidR="00F8788D" w:rsidRDefault="00F8788D" w:rsidP="002414BB">
      <w:pPr>
        <w:jc w:val="both"/>
      </w:pPr>
    </w:p>
    <w:p w14:paraId="321D5E69" w14:textId="77777777" w:rsidR="00F8788D" w:rsidRDefault="00F8788D" w:rsidP="002414BB">
      <w:pPr>
        <w:jc w:val="both"/>
      </w:pPr>
      <w:r>
        <w:t>Decoupling a single line can be performed by the NEMO who is responsible of sending the corresponding line capacity to PCR, by sending new network data file with zero capacity for the corresponding line. Existing procedures apply.</w:t>
      </w:r>
    </w:p>
    <w:p w14:paraId="2BBBB11F" w14:textId="77777777" w:rsidR="00F8788D" w:rsidRDefault="00F8788D" w:rsidP="002414BB">
      <w:pPr>
        <w:jc w:val="both"/>
      </w:pPr>
    </w:p>
    <w:p w14:paraId="5A86B6F8" w14:textId="77777777" w:rsidR="00F8788D" w:rsidRDefault="00F8788D" w:rsidP="002414BB">
      <w:pPr>
        <w:jc w:val="both"/>
      </w:pPr>
      <w:r>
        <w:t>Full decoupling will still in the future be decoupling of all PX systems / Virtual brokers from each other and from the PCR cloud. Existing procedures apply. After full decoupling of PCR, regional fallback processes are followed and in some regions this requires regional coupling to be arranged within the corresponding NEMOs.</w:t>
      </w:r>
    </w:p>
    <w:p w14:paraId="7D263795" w14:textId="77777777" w:rsidR="00F8788D" w:rsidRDefault="00F8788D" w:rsidP="002414BB">
      <w:pPr>
        <w:jc w:val="both"/>
      </w:pPr>
    </w:p>
    <w:p w14:paraId="3E2F5A1F" w14:textId="77777777" w:rsidR="00F8788D" w:rsidRDefault="00F8788D" w:rsidP="002414BB">
      <w:pPr>
        <w:jc w:val="both"/>
      </w:pPr>
      <w:r>
        <w:t xml:space="preserve">Partial decoupling of NEMO Trading Hub(s) and NEMO(s), as well as regional decoupling of Bidding zones can all be performed with same PMB functionality. PMB Partial Decoupling GUI will allow coordinator to decouple selected Virtual broker(s) and underlying NEMO Trading Hub(s). PCR Virtual brokers of each NEMO will be configured to support all CCR Fallback scenarios according to decisions done in local MNA projects amongst NEMOs and TSOs. Thus, depending on the region, there can be either one or multiple NEMO Trading Hubs configured for NEMO’s Virtual broker. When a virtual broker is decoupled from the PCR cloud, corresponding NTH(s) order data is replaced with decoupling order data values (usually zero values). In case all NTHs from a bidding zone are decoupled, in addition to the decoupling order data values, also the corresponding interconnection capacities towards the Bidding zone are replaced with decoupling capacity values (usually zero). </w:t>
      </w:r>
    </w:p>
    <w:p w14:paraId="39A12F01" w14:textId="77777777" w:rsidR="00F8788D" w:rsidRDefault="00F8788D" w:rsidP="002414BB">
      <w:pPr>
        <w:jc w:val="both"/>
      </w:pPr>
    </w:p>
    <w:p w14:paraId="779507BC" w14:textId="77777777" w:rsidR="00F8788D" w:rsidRDefault="00F8788D" w:rsidP="002414BB">
      <w:pPr>
        <w:jc w:val="both"/>
      </w:pPr>
      <w:r>
        <w:t xml:space="preserve">Details of possible use of decoupled NTH as transit hub for Inter Nemo Flow calculation are still under discussion. </w:t>
      </w:r>
    </w:p>
    <w:p w14:paraId="2B56B75A" w14:textId="77777777" w:rsidR="00F8788D" w:rsidRDefault="00F8788D" w:rsidP="002414BB">
      <w:pPr>
        <w:jc w:val="both"/>
      </w:pPr>
    </w:p>
    <w:p w14:paraId="38C4BB82" w14:textId="77777777" w:rsidR="00F8788D" w:rsidRDefault="00F8788D" w:rsidP="002414BB">
      <w:pPr>
        <w:jc w:val="both"/>
      </w:pPr>
      <w:r>
        <w:t>Example: Decoupled NTHs are on the edge of the topology and whole region is decoupled. Flow calculation is still performed with same topology, but since both zero order data and capacities apply for these edge Bidding zones and NTHs, the NTHs are not used as transit.</w:t>
      </w:r>
    </w:p>
    <w:p w14:paraId="6E5A2C76" w14:textId="77777777" w:rsidR="00F8788D" w:rsidRDefault="00F8788D" w:rsidP="002414BB">
      <w:pPr>
        <w:jc w:val="both"/>
      </w:pPr>
    </w:p>
    <w:p w14:paraId="14689A97" w14:textId="77777777" w:rsidR="00F8788D" w:rsidRDefault="00F8788D" w:rsidP="002414BB">
      <w:pPr>
        <w:jc w:val="both"/>
      </w:pPr>
      <w:r w:rsidRPr="002F2915">
        <w:t>The solution shall be able to accommodate with interim periods where MNA is not in place on all borders of a given bidding zone: in such interim periods, there could be specific cases for decoupling, where one of the NEMOs in a BZ could hold temporary the shipping function for some borders of its BZ.</w:t>
      </w:r>
    </w:p>
    <w:p w14:paraId="0BFF3FBE" w14:textId="77777777" w:rsidR="00F8788D" w:rsidRDefault="00F8788D" w:rsidP="002414BB">
      <w:pPr>
        <w:jc w:val="both"/>
      </w:pPr>
      <w:r>
        <w:t>In case only one/some Virtual broker(s) and NTH(s) of a NEMO are decoupled, NEMO is still able to receive the PCR results with normal procedures via PMB.</w:t>
      </w:r>
    </w:p>
    <w:p w14:paraId="5A3D07EE" w14:textId="77777777" w:rsidR="00F8788D" w:rsidRDefault="00F8788D" w:rsidP="002414BB">
      <w:pPr>
        <w:jc w:val="both"/>
      </w:pPr>
      <w:r>
        <w:t>In case a NEMO is decoupled from the PCR and therefore it is not able to receive the PCR results with normal procedures via PMB, coordinator will distribute the results with backup procedures (FTP).</w:t>
      </w:r>
    </w:p>
    <w:p w14:paraId="7266203B" w14:textId="77777777" w:rsidR="00F8788D" w:rsidRDefault="00F8788D" w:rsidP="002414BB">
      <w:pPr>
        <w:jc w:val="both"/>
      </w:pPr>
    </w:p>
    <w:p w14:paraId="52EF716B" w14:textId="77777777" w:rsidR="00F8788D" w:rsidRDefault="00F8788D" w:rsidP="002414BB">
      <w:r>
        <w:t>The supporting documents reflecting the Capacity Calculation Region (CCR) specific Fallback methodologies and for clarifying the decoupling scenarios will be shared as soon as the they are complete and finalized.</w:t>
      </w:r>
    </w:p>
    <w:p w14:paraId="46DEE49F" w14:textId="77777777" w:rsidR="00F8788D" w:rsidRDefault="00F8788D" w:rsidP="002414BB"/>
    <w:p w14:paraId="6FF57DED" w14:textId="77777777" w:rsidR="00F8788D" w:rsidRPr="00283496" w:rsidRDefault="00F8788D" w:rsidP="002414BB">
      <w:pPr>
        <w:rPr>
          <w:lang w:val="sv-SE"/>
        </w:rPr>
      </w:pPr>
    </w:p>
    <w:p w14:paraId="37ECE8F4" w14:textId="77777777" w:rsidR="00F8788D" w:rsidRPr="00283496" w:rsidRDefault="00F8788D" w:rsidP="002414BB">
      <w:pPr>
        <w:jc w:val="both"/>
        <w:rPr>
          <w:lang w:val="sv-SE"/>
        </w:rPr>
      </w:pPr>
    </w:p>
    <w:p w14:paraId="16B1BC39" w14:textId="77777777" w:rsidR="00F8788D" w:rsidRPr="00283496" w:rsidRDefault="00F8788D" w:rsidP="002414BB">
      <w:pPr>
        <w:jc w:val="both"/>
        <w:rPr>
          <w:lang w:val="sv-SE"/>
        </w:rPr>
      </w:pPr>
      <w:r w:rsidRPr="00283496">
        <w:rPr>
          <w:lang w:val="sv-SE"/>
        </w:rPr>
        <w:br w:type="page"/>
      </w:r>
    </w:p>
    <w:p w14:paraId="3B8E998B" w14:textId="77777777" w:rsidR="00F8788D" w:rsidRDefault="00F8788D" w:rsidP="00F8788D">
      <w:pPr>
        <w:pStyle w:val="Heading1"/>
        <w:numPr>
          <w:ilvl w:val="0"/>
          <w:numId w:val="16"/>
        </w:numPr>
      </w:pPr>
      <w:bookmarkStart w:id="444" w:name="_Toc496854562"/>
      <w:bookmarkStart w:id="445" w:name="_Toc496854568"/>
      <w:bookmarkStart w:id="446" w:name="_Toc496854579"/>
      <w:bookmarkStart w:id="447" w:name="_Toc503782618"/>
      <w:bookmarkStart w:id="448" w:name="_Toc507425425"/>
      <w:bookmarkEnd w:id="444"/>
      <w:bookmarkEnd w:id="445"/>
      <w:r w:rsidRPr="005C53A8">
        <w:t>P</w:t>
      </w:r>
      <w:r>
        <w:t>MB requirements</w:t>
      </w:r>
      <w:bookmarkEnd w:id="446"/>
      <w:bookmarkEnd w:id="447"/>
      <w:bookmarkEnd w:id="448"/>
      <w:r>
        <w:t xml:space="preserve"> </w:t>
      </w:r>
    </w:p>
    <w:p w14:paraId="68A5443B" w14:textId="77777777" w:rsidR="00F8788D" w:rsidRDefault="00F8788D" w:rsidP="002414BB"/>
    <w:p w14:paraId="27378A5D" w14:textId="77777777" w:rsidR="00F8788D" w:rsidRPr="003117E2" w:rsidRDefault="00F8788D" w:rsidP="002414BB">
      <w:pPr>
        <w:jc w:val="both"/>
      </w:pPr>
      <w:r w:rsidRPr="003117E2">
        <w:t>The PMB shall be accommodated to allow multiple NEMOs within one bidding zone.</w:t>
      </w:r>
      <w:r>
        <w:t xml:space="preserve"> PMB shall allow multiple NEMO trading hubs and multiple scheduling areas to be configured for each bidding zone. Configurations are done in Shared Configuration File – as all other already existing configurations. NEMOs will send their orderbooks for NEMO trading hubs</w:t>
      </w:r>
      <w:r w:rsidRPr="00370B91">
        <w:t xml:space="preserve"> </w:t>
      </w:r>
      <w:r>
        <w:t>and PMB will forward this information to Euphemia. MNA also introduces changes to network constraints data submission and corresponding changes are implemented to PMB.</w:t>
      </w:r>
    </w:p>
    <w:p w14:paraId="18C3E017" w14:textId="77777777" w:rsidR="00F8788D" w:rsidRDefault="00F8788D" w:rsidP="002414BB">
      <w:pPr>
        <w:jc w:val="both"/>
      </w:pPr>
    </w:p>
    <w:p w14:paraId="2D787EB7" w14:textId="2D9248F6" w:rsidR="00F8788D" w:rsidRDefault="00F8788D" w:rsidP="002414BB">
      <w:pPr>
        <w:jc w:val="both"/>
      </w:pPr>
      <w:r w:rsidRPr="00A773CE">
        <w:t>In addition to existing net positions and flows for bidding zones, expected</w:t>
      </w:r>
      <w:r>
        <w:t xml:space="preserve"> additional output in MNA solution will be related to NEMO trading hubs and Scheduling areas. NTH net positions and flows between configured NTHs will be available in the result document, as well as the rounding deviations (where applicable).</w:t>
      </w:r>
    </w:p>
    <w:p w14:paraId="02A1FA57" w14:textId="77777777" w:rsidR="00F8788D" w:rsidRDefault="00F8788D" w:rsidP="002414BB">
      <w:pPr>
        <w:jc w:val="both"/>
      </w:pPr>
    </w:p>
    <w:p w14:paraId="1B0D9680" w14:textId="77777777" w:rsidR="00F8788D" w:rsidRDefault="00F8788D" w:rsidP="002414BB">
      <w:pPr>
        <w:autoSpaceDE w:val="0"/>
        <w:autoSpaceDN w:val="0"/>
        <w:rPr>
          <w:rFonts w:ascii="Segoe UI" w:hAnsi="Segoe UI" w:cs="Segoe UI"/>
          <w:color w:val="000000"/>
          <w:sz w:val="20"/>
          <w:szCs w:val="20"/>
        </w:rPr>
      </w:pPr>
      <w:r w:rsidRPr="0030445D">
        <w:t>Each bidding zone line must have at least one underlying scheduling area line, and each scheduling area line needs to have at least one underlying NEMO trading hub line. NEMO lines are defined in the same direction as the corresponding cross-zonal line, and in each bidding zone, in the NEMO hub topology each NEMO hub is connected to another NEMO hub via at least one route.</w:t>
      </w:r>
      <w:r>
        <w:t xml:space="preserve"> </w:t>
      </w:r>
      <w:r>
        <w:rPr>
          <w:rFonts w:ascii="Segoe UI" w:hAnsi="Segoe UI" w:cs="Segoe UI"/>
          <w:color w:val="000000"/>
          <w:sz w:val="20"/>
          <w:szCs w:val="20"/>
        </w:rPr>
        <w:t xml:space="preserve">The lines between NEMO Hubs can be freely configured as many as needed as described above for determining the proper quantity to be exchanged between NEMO trading hubs. </w:t>
      </w:r>
    </w:p>
    <w:p w14:paraId="73537D7F" w14:textId="77777777" w:rsidR="00F8788D" w:rsidRPr="002F2915" w:rsidRDefault="00F8788D" w:rsidP="002414BB">
      <w:pPr>
        <w:autoSpaceDE w:val="0"/>
        <w:autoSpaceDN w:val="0"/>
      </w:pPr>
      <w:r>
        <w:t>The</w:t>
      </w:r>
      <w:r w:rsidRPr="002F2915">
        <w:t xml:space="preserve"> setup </w:t>
      </w:r>
      <w:r>
        <w:t xml:space="preserve">of </w:t>
      </w:r>
      <w:r w:rsidRPr="002F2915">
        <w:t>NEMO trading hubs</w:t>
      </w:r>
      <w:r>
        <w:t xml:space="preserve"> and </w:t>
      </w:r>
      <w:r w:rsidRPr="002F2915">
        <w:t>NEMO trading hub line</w:t>
      </w:r>
      <w:r>
        <w:t xml:space="preserve">s </w:t>
      </w:r>
      <w:r w:rsidRPr="002F2915">
        <w:t xml:space="preserve">shall be able to accommodate with interim periods where MNA is not in place on all borders of a given </w:t>
      </w:r>
      <w:r>
        <w:t>bidding zone</w:t>
      </w:r>
      <w:r w:rsidRPr="002F2915">
        <w:t>.</w:t>
      </w:r>
    </w:p>
    <w:p w14:paraId="65026F8A" w14:textId="77777777" w:rsidR="00F8788D" w:rsidRDefault="00F8788D" w:rsidP="002414BB">
      <w:pPr>
        <w:autoSpaceDE w:val="0"/>
        <w:autoSpaceDN w:val="0"/>
      </w:pPr>
    </w:p>
    <w:p w14:paraId="297DEB75" w14:textId="77777777" w:rsidR="00F8788D" w:rsidRDefault="00F8788D" w:rsidP="002414BB">
      <w:pPr>
        <w:jc w:val="both"/>
      </w:pPr>
    </w:p>
    <w:p w14:paraId="5EBEB7AD" w14:textId="77777777" w:rsidR="00F8788D" w:rsidRDefault="00F8788D" w:rsidP="002414BB">
      <w:pPr>
        <w:keepNext/>
        <w:jc w:val="both"/>
      </w:pPr>
      <w:r>
        <w:rPr>
          <w:noProof/>
          <w:lang w:val="en-US" w:eastAsia="en-US"/>
        </w:rPr>
        <w:drawing>
          <wp:inline distT="0" distB="0" distL="0" distR="0" wp14:anchorId="75FF0A19" wp14:editId="54335B4A">
            <wp:extent cx="5270500" cy="3024505"/>
            <wp:effectExtent l="0" t="0" r="6350" b="444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270500" cy="3024505"/>
                    </a:xfrm>
                    <a:prstGeom prst="rect">
                      <a:avLst/>
                    </a:prstGeom>
                  </pic:spPr>
                </pic:pic>
              </a:graphicData>
            </a:graphic>
          </wp:inline>
        </w:drawing>
      </w:r>
    </w:p>
    <w:p w14:paraId="55994F53" w14:textId="3710559B" w:rsidR="00F8788D" w:rsidRDefault="00F8788D" w:rsidP="002414BB">
      <w:pPr>
        <w:pStyle w:val="Caption"/>
        <w:jc w:val="both"/>
      </w:pPr>
      <w:r>
        <w:t xml:space="preserve">Figure </w:t>
      </w:r>
      <w:r>
        <w:fldChar w:fldCharType="begin"/>
      </w:r>
      <w:r>
        <w:instrText xml:space="preserve"> SEQ Figure \* ARABIC </w:instrText>
      </w:r>
      <w:r>
        <w:fldChar w:fldCharType="separate"/>
      </w:r>
      <w:r w:rsidR="00FC1305">
        <w:rPr>
          <w:noProof/>
        </w:rPr>
        <w:t>10</w:t>
      </w:r>
      <w:r>
        <w:fldChar w:fldCharType="end"/>
      </w:r>
      <w:r>
        <w:t xml:space="preserve"> Modelling the BZ and SA lines</w:t>
      </w:r>
    </w:p>
    <w:p w14:paraId="7584F712" w14:textId="77777777" w:rsidR="00F8788D" w:rsidRPr="003117E2" w:rsidRDefault="00F8788D" w:rsidP="002414BB">
      <w:pPr>
        <w:jc w:val="both"/>
      </w:pPr>
      <w:r>
        <w:t>PMB shall also be able to provide the scheduling area results. The scheduling areas will be mapped into the Shared Configuration File for the entire topology, but with a new “flag and filter” feature implemented, so that the scheduling area net positions and scheduling area line flow results are written for only those areas and lines in the topology which TSOs have required.</w:t>
      </w:r>
    </w:p>
    <w:p w14:paraId="0907582A" w14:textId="77777777" w:rsidR="00F8788D" w:rsidRDefault="00F8788D" w:rsidP="002414BB">
      <w:pPr>
        <w:jc w:val="both"/>
      </w:pPr>
    </w:p>
    <w:p w14:paraId="79CE0903" w14:textId="77777777" w:rsidR="00F8788D" w:rsidRDefault="00F8788D" w:rsidP="002414BB">
      <w:pPr>
        <w:jc w:val="both"/>
      </w:pPr>
      <w:r>
        <w:t>All changes that needs to be implemented to PMB are designed to cause minimum impact on the NEMOs and local trading systems. This is done in order to avoid unnecessary impact on NEMOs acting in regions where multiple NEMOs or multiple Scheduling areas are not in place.</w:t>
      </w:r>
    </w:p>
    <w:p w14:paraId="703CBC69" w14:textId="77777777" w:rsidR="00F8788D" w:rsidRDefault="00F8788D" w:rsidP="002414BB"/>
    <w:p w14:paraId="6514FFF4" w14:textId="77777777" w:rsidR="00F8788D" w:rsidRDefault="00F8788D" w:rsidP="002414BB"/>
    <w:p w14:paraId="71AC1E90" w14:textId="77777777" w:rsidR="00F8788D" w:rsidRDefault="00F8788D" w:rsidP="00F8788D">
      <w:pPr>
        <w:pStyle w:val="Heading2"/>
        <w:numPr>
          <w:ilvl w:val="1"/>
          <w:numId w:val="16"/>
        </w:numPr>
        <w:jc w:val="both"/>
      </w:pPr>
      <w:bookmarkStart w:id="449" w:name="_Shared_Configuration_file"/>
      <w:bookmarkStart w:id="450" w:name="_Ref502835710"/>
      <w:bookmarkStart w:id="451" w:name="_Toc503782619"/>
      <w:bookmarkStart w:id="452" w:name="_Toc496854580"/>
      <w:bookmarkStart w:id="453" w:name="_Toc507425426"/>
      <w:bookmarkEnd w:id="449"/>
      <w:r>
        <w:t>Shared Configuration file changes</w:t>
      </w:r>
      <w:bookmarkEnd w:id="450"/>
      <w:bookmarkEnd w:id="451"/>
      <w:bookmarkEnd w:id="453"/>
    </w:p>
    <w:p w14:paraId="731D5BDE" w14:textId="77777777" w:rsidR="00F8788D" w:rsidRDefault="00F8788D" w:rsidP="002414BB">
      <w:pPr>
        <w:jc w:val="both"/>
      </w:pPr>
    </w:p>
    <w:p w14:paraId="485A40AB" w14:textId="77777777" w:rsidR="00F8788D" w:rsidRDefault="00F8788D" w:rsidP="002414BB">
      <w:pPr>
        <w:jc w:val="both"/>
      </w:pPr>
      <w:r>
        <w:t>To enable multi NEMO solution, various changes need to be implemented to Shared configuration file. These include a change to capacity cross-check functionality, addition of NTHs, NTH lines, SAs and SA lines.</w:t>
      </w:r>
    </w:p>
    <w:p w14:paraId="496FC50D" w14:textId="77777777" w:rsidR="00F8788D" w:rsidRDefault="00F8788D" w:rsidP="002414BB">
      <w:pPr>
        <w:jc w:val="both"/>
      </w:pPr>
    </w:p>
    <w:p w14:paraId="5FE750E6" w14:textId="77777777" w:rsidR="00F8788D" w:rsidRDefault="00F8788D" w:rsidP="002414BB">
      <w:pPr>
        <w:jc w:val="both"/>
      </w:pPr>
      <w:r>
        <w:t>NEMO trading hubs will be configured in SCF. NEMO’s virtual broker and data providing system will be configured against NTHs. Currently, prior MNA, this configuration is on bidding area level. Curve form will also be configured on NTH level (currently on bidding area level). Relation from BZ and SA to NTH will be also configured on NTH level.</w:t>
      </w:r>
    </w:p>
    <w:p w14:paraId="481764D7" w14:textId="77777777" w:rsidR="00F8788D" w:rsidRDefault="00F8788D" w:rsidP="002414BB">
      <w:pPr>
        <w:jc w:val="both"/>
      </w:pPr>
    </w:p>
    <w:p w14:paraId="44846B6A" w14:textId="77777777" w:rsidR="00F8788D" w:rsidRDefault="00F8788D" w:rsidP="002414BB">
      <w:pPr>
        <w:jc w:val="both"/>
      </w:pPr>
      <w:r>
        <w:t>NEMO trading hub lines will be configured in SCF, in a way that reflects the different scenarios needed according to the MNA Projects. In order to take into account different MNA arrangements that can differ per countries, it shall be possible to handle different configurations in two adjacent bidding zones.</w:t>
      </w:r>
    </w:p>
    <w:p w14:paraId="27199D26" w14:textId="77777777" w:rsidR="00F8788D" w:rsidRDefault="00F8788D" w:rsidP="002414BB">
      <w:pPr>
        <w:jc w:val="both"/>
      </w:pPr>
    </w:p>
    <w:p w14:paraId="1CAE73E7" w14:textId="77777777" w:rsidR="00F8788D" w:rsidRDefault="00F8788D" w:rsidP="002414BB">
      <w:pPr>
        <w:jc w:val="both"/>
      </w:pPr>
      <w:r>
        <w:t>Example (for illustration):</w:t>
      </w:r>
    </w:p>
    <w:p w14:paraId="6BA12820" w14:textId="77777777" w:rsidR="00F8788D" w:rsidRDefault="00F8788D" w:rsidP="00F8788D">
      <w:pPr>
        <w:pStyle w:val="ListParagraph"/>
        <w:numPr>
          <w:ilvl w:val="0"/>
          <w:numId w:val="49"/>
        </w:numPr>
        <w:jc w:val="both"/>
      </w:pPr>
      <w:r>
        <w:t xml:space="preserve">Great Britain : two bidding zones 10Y1001A1001A57G (Nord Pool </w:t>
      </w:r>
      <w:r w:rsidRPr="002F2915">
        <w:t>bidding zone in GB</w:t>
      </w:r>
      <w:r>
        <w:t xml:space="preserve">), 10Y1001A1001A58E (EPEX </w:t>
      </w:r>
      <w:r w:rsidRPr="002F2915">
        <w:t>bidding zone in GB</w:t>
      </w:r>
      <w:r>
        <w:t>), each bidding zone has its own NEMO trading hub (one);</w:t>
      </w:r>
    </w:p>
    <w:p w14:paraId="208D5135" w14:textId="77777777" w:rsidR="00F8788D" w:rsidRDefault="00F8788D" w:rsidP="00F8788D">
      <w:pPr>
        <w:pStyle w:val="ListParagraph"/>
        <w:numPr>
          <w:ilvl w:val="0"/>
          <w:numId w:val="49"/>
        </w:numPr>
        <w:jc w:val="both"/>
      </w:pPr>
      <w:r>
        <w:t xml:space="preserve">France : one FR bidding zone 10YFR-RTE------C, and two </w:t>
      </w:r>
      <w:r w:rsidRPr="00E04DEC">
        <w:t xml:space="preserve">NEMO trading hub </w:t>
      </w:r>
      <w:r>
        <w:t>(Nord Pool, EPEX).</w:t>
      </w:r>
    </w:p>
    <w:p w14:paraId="68712236" w14:textId="77777777" w:rsidR="00F8788D" w:rsidRDefault="00F8788D" w:rsidP="002414BB">
      <w:pPr>
        <w:jc w:val="both"/>
      </w:pPr>
      <w:r>
        <w:t>In such a case, Euphemia shall be able to calculate bidding zone flows between FR bidding zone and Nord Pool bidding zone in GB, as well as (depending on shipping arrangement between NEMOs):</w:t>
      </w:r>
    </w:p>
    <w:p w14:paraId="573A6827" w14:textId="77777777" w:rsidR="00F8788D" w:rsidRDefault="00F8788D" w:rsidP="00F8788D">
      <w:pPr>
        <w:pStyle w:val="ListParagraph"/>
        <w:numPr>
          <w:ilvl w:val="0"/>
          <w:numId w:val="49"/>
        </w:numPr>
        <w:jc w:val="both"/>
      </w:pPr>
      <w:r>
        <w:t>Either i</w:t>
      </w:r>
      <w:r w:rsidRPr="00E04DEC">
        <w:t xml:space="preserve">nter-NEMO </w:t>
      </w:r>
      <w:r>
        <w:t xml:space="preserve">flows between the two </w:t>
      </w:r>
      <w:r w:rsidRPr="00E04DEC">
        <w:t>NEMO trading hub</w:t>
      </w:r>
      <w:r>
        <w:t>s</w:t>
      </w:r>
      <w:r w:rsidRPr="00E04DEC">
        <w:t xml:space="preserve"> </w:t>
      </w:r>
      <w:r>
        <w:t xml:space="preserve">in FR bidding zone and the </w:t>
      </w:r>
      <w:r w:rsidRPr="00E04DEC">
        <w:t xml:space="preserve">NEMO trading hub </w:t>
      </w:r>
      <w:r>
        <w:t xml:space="preserve">in Nord Pool bidding zone in GB (two </w:t>
      </w:r>
      <w:r w:rsidRPr="00E04DEC">
        <w:t>NEMO trading hub lines</w:t>
      </w:r>
      <w:r>
        <w:t>);</w:t>
      </w:r>
    </w:p>
    <w:p w14:paraId="76BA87A4" w14:textId="77777777" w:rsidR="00F8788D" w:rsidRDefault="00F8788D" w:rsidP="00F8788D">
      <w:pPr>
        <w:pStyle w:val="ListParagraph"/>
        <w:numPr>
          <w:ilvl w:val="0"/>
          <w:numId w:val="49"/>
        </w:numPr>
        <w:jc w:val="both"/>
      </w:pPr>
      <w:r>
        <w:t xml:space="preserve">Or </w:t>
      </w:r>
      <w:r w:rsidRPr="00E04DEC">
        <w:t>inter-NEMO flow between</w:t>
      </w:r>
      <w:r>
        <w:t xml:space="preserve"> the</w:t>
      </w:r>
      <w:r w:rsidRPr="00E04DEC">
        <w:t xml:space="preserve"> EPEX </w:t>
      </w:r>
      <w:r>
        <w:t>NEMO trading hub</w:t>
      </w:r>
      <w:r w:rsidRPr="00E04DEC">
        <w:t xml:space="preserve"> in FR bidding zone and the NEMO trading hub in Nord Pool bidding zone in GB</w:t>
      </w:r>
      <w:r>
        <w:t xml:space="preserve"> (one </w:t>
      </w:r>
      <w:r w:rsidRPr="00E04DEC">
        <w:t>NEMO trading hub line</w:t>
      </w:r>
      <w:r>
        <w:t>).</w:t>
      </w:r>
    </w:p>
    <w:p w14:paraId="6CF298DC" w14:textId="77777777" w:rsidR="00F8788D" w:rsidRPr="00FB60C2" w:rsidRDefault="00F8788D" w:rsidP="002414BB">
      <w:pPr>
        <w:jc w:val="both"/>
      </w:pPr>
    </w:p>
    <w:p w14:paraId="31DF1A8C" w14:textId="77777777" w:rsidR="00F8788D" w:rsidRDefault="00F8788D" w:rsidP="002414BB">
      <w:pPr>
        <w:jc w:val="both"/>
      </w:pPr>
      <w:r w:rsidRPr="00CA5ADC">
        <w:t>Scheduling areas will be modelled for the entire topology</w:t>
      </w:r>
      <w:r>
        <w:t>, similarly as balancing areas have been modelled since the PMB go-live. SA relation to BZ will be configured on SA level. Also the configuration if results are needed for the SA, is configured here.</w:t>
      </w:r>
    </w:p>
    <w:p w14:paraId="570A329E" w14:textId="77777777" w:rsidR="00F8788D" w:rsidRDefault="00F8788D" w:rsidP="002414BB">
      <w:pPr>
        <w:jc w:val="both"/>
      </w:pPr>
    </w:p>
    <w:p w14:paraId="3D44B55C" w14:textId="77777777" w:rsidR="00F8788D" w:rsidRDefault="00F8788D" w:rsidP="002414BB">
      <w:pPr>
        <w:jc w:val="both"/>
      </w:pPr>
      <w:r>
        <w:t>Scheduling area lines will be configured in SCF. The linear and quadratic coefficients and thermal capacities will be configured on this level. Also the configuration if results are needed for the SA line, is configured here.</w:t>
      </w:r>
    </w:p>
    <w:p w14:paraId="0FEE5BB9" w14:textId="77777777" w:rsidR="00F8788D" w:rsidRDefault="00F8788D" w:rsidP="002414BB">
      <w:pPr>
        <w:jc w:val="both"/>
      </w:pPr>
    </w:p>
    <w:p w14:paraId="46417EC1" w14:textId="49E98E95" w:rsidR="00F8788D" w:rsidRDefault="00F8788D" w:rsidP="002414BB">
      <w:pPr>
        <w:jc w:val="both"/>
      </w:pPr>
      <w:r>
        <w:t>The one-to-one relationship between a NEMO and its corresponding CCP (whether internal or external) is configured in the SCF. This information will allow among others Inter Nemo Flow Calculation.</w:t>
      </w:r>
    </w:p>
    <w:p w14:paraId="59A894F1" w14:textId="77777777" w:rsidR="00F8788D" w:rsidRDefault="00F8788D" w:rsidP="002414BB"/>
    <w:p w14:paraId="3366D1CB" w14:textId="77777777" w:rsidR="00F8788D" w:rsidRPr="009955BD" w:rsidRDefault="00F8788D" w:rsidP="002414BB">
      <w:bookmarkStart w:id="454" w:name="_Toc497464951"/>
      <w:bookmarkEnd w:id="454"/>
    </w:p>
    <w:p w14:paraId="0A8B3656" w14:textId="77777777" w:rsidR="00F8788D" w:rsidRDefault="00F8788D" w:rsidP="00F8788D">
      <w:pPr>
        <w:pStyle w:val="Heading2"/>
        <w:numPr>
          <w:ilvl w:val="1"/>
          <w:numId w:val="16"/>
        </w:numPr>
      </w:pPr>
      <w:bookmarkStart w:id="455" w:name="_Toc503782620"/>
      <w:bookmarkStart w:id="456" w:name="_Toc507425427"/>
      <w:r>
        <w:t xml:space="preserve">CZC </w:t>
      </w:r>
      <w:r w:rsidRPr="008604C9">
        <w:t>submission</w:t>
      </w:r>
      <w:bookmarkEnd w:id="455"/>
      <w:bookmarkEnd w:id="456"/>
    </w:p>
    <w:p w14:paraId="19B02FB3" w14:textId="77777777" w:rsidR="00F8788D" w:rsidRDefault="00F8788D" w:rsidP="002414BB">
      <w:pPr>
        <w:jc w:val="both"/>
      </w:pPr>
      <w:r>
        <w:t>As it has been decided</w:t>
      </w:r>
      <w:r w:rsidRPr="00A72A8E">
        <w:t xml:space="preserve"> that</w:t>
      </w:r>
      <w:r>
        <w:t xml:space="preserve"> in MNA</w:t>
      </w:r>
      <w:r w:rsidRPr="00A72A8E">
        <w:t xml:space="preserve"> any NEMO will be able to submit the </w:t>
      </w:r>
      <w:r>
        <w:t>cross-zonal capacity</w:t>
      </w:r>
      <w:r w:rsidRPr="00A72A8E">
        <w:t xml:space="preserve"> data</w:t>
      </w:r>
      <w:r>
        <w:t>, this will require changes to PMB’s network data cross-check functionality. Actual network data document schema and data flow from local trading systems to PCR cloud (PCR perspective) will main unchanged.</w:t>
      </w:r>
    </w:p>
    <w:p w14:paraId="1722B12F" w14:textId="77777777" w:rsidR="00F8788D" w:rsidRDefault="00F8788D" w:rsidP="002414BB">
      <w:pPr>
        <w:jc w:val="both"/>
      </w:pPr>
    </w:p>
    <w:p w14:paraId="28F412AB" w14:textId="77777777" w:rsidR="00F8788D" w:rsidRDefault="00F8788D" w:rsidP="002414BB">
      <w:pPr>
        <w:jc w:val="both"/>
      </w:pPr>
      <w:r>
        <w:t>The different submission modes are described in the following subchapter.</w:t>
      </w:r>
    </w:p>
    <w:p w14:paraId="367D059C" w14:textId="77777777" w:rsidR="00F8788D" w:rsidRDefault="00F8788D" w:rsidP="002414BB"/>
    <w:p w14:paraId="754D0331" w14:textId="77777777" w:rsidR="00F8788D" w:rsidRPr="00D75F06" w:rsidRDefault="00F8788D" w:rsidP="00F8788D">
      <w:pPr>
        <w:pStyle w:val="Heading3"/>
        <w:numPr>
          <w:ilvl w:val="2"/>
          <w:numId w:val="16"/>
        </w:numPr>
      </w:pPr>
      <w:bookmarkStart w:id="457" w:name="_Toc503782621"/>
      <w:bookmarkStart w:id="458" w:name="_Toc507425428"/>
      <w:r w:rsidRPr="00D75F06">
        <w:t>Cross</w:t>
      </w:r>
      <w:r>
        <w:t>-c</w:t>
      </w:r>
      <w:r w:rsidRPr="00D75F06">
        <w:t>heck</w:t>
      </w:r>
      <w:r>
        <w:t xml:space="preserve"> modes</w:t>
      </w:r>
      <w:bookmarkEnd w:id="457"/>
      <w:bookmarkEnd w:id="458"/>
    </w:p>
    <w:p w14:paraId="2680609E" w14:textId="77777777" w:rsidR="00F8788D" w:rsidRDefault="00F8788D" w:rsidP="002414BB">
      <w:pPr>
        <w:jc w:val="both"/>
      </w:pPr>
      <w:r w:rsidRPr="001D27B9">
        <w:t>Cross</w:t>
      </w:r>
      <w:r>
        <w:t>-</w:t>
      </w:r>
      <w:r w:rsidRPr="001D27B9">
        <w:t xml:space="preserve">check behaviour of </w:t>
      </w:r>
      <w:r>
        <w:t>cross zonal capacity constraints</w:t>
      </w:r>
      <w:r w:rsidRPr="001D27B9">
        <w:t xml:space="preserve"> has to be redesigned due to the possibility to have more than 2 </w:t>
      </w:r>
      <w:r>
        <w:t xml:space="preserve">NEMOs as </w:t>
      </w:r>
      <w:r w:rsidRPr="001D27B9">
        <w:t>data provider</w:t>
      </w:r>
      <w:r>
        <w:t>s being</w:t>
      </w:r>
      <w:r w:rsidRPr="001D27B9">
        <w:t xml:space="preserve"> responsible for the specific </w:t>
      </w:r>
      <w:r>
        <w:t>cross zonal capacity constraints</w:t>
      </w:r>
      <w:r w:rsidRPr="001D27B9">
        <w:t xml:space="preserve"> data.</w:t>
      </w:r>
      <w:r>
        <w:t xml:space="preserve"> This applies to both ATC and flow-based type of capacity constraints data.</w:t>
      </w:r>
    </w:p>
    <w:p w14:paraId="260763F1" w14:textId="77777777" w:rsidR="00F8788D" w:rsidRPr="001D27B9" w:rsidRDefault="00F8788D" w:rsidP="002414BB">
      <w:pPr>
        <w:jc w:val="both"/>
      </w:pPr>
    </w:p>
    <w:p w14:paraId="0491E687" w14:textId="77777777" w:rsidR="00F8788D" w:rsidRPr="001D27B9" w:rsidRDefault="00F8788D" w:rsidP="002414BB">
      <w:pPr>
        <w:pStyle w:val="BodyText"/>
        <w:rPr>
          <w:rFonts w:asciiTheme="majorHAnsi" w:hAnsiTheme="majorHAnsi"/>
          <w:sz w:val="22"/>
          <w:szCs w:val="22"/>
        </w:rPr>
      </w:pPr>
      <w:r>
        <w:rPr>
          <w:rFonts w:asciiTheme="majorHAnsi" w:hAnsiTheme="majorHAnsi"/>
          <w:sz w:val="22"/>
          <w:szCs w:val="22"/>
        </w:rPr>
        <w:t xml:space="preserve">SCF will be modified to enable </w:t>
      </w:r>
      <w:r w:rsidRPr="001D27B9">
        <w:rPr>
          <w:rFonts w:asciiTheme="majorHAnsi" w:hAnsiTheme="majorHAnsi"/>
          <w:sz w:val="22"/>
          <w:szCs w:val="22"/>
        </w:rPr>
        <w:t xml:space="preserve">possibility to fill any number of </w:t>
      </w:r>
      <w:r>
        <w:rPr>
          <w:rFonts w:asciiTheme="majorHAnsi" w:hAnsiTheme="majorHAnsi"/>
          <w:sz w:val="22"/>
          <w:szCs w:val="22"/>
        </w:rPr>
        <w:t>virtual broker</w:t>
      </w:r>
      <w:r w:rsidRPr="001D27B9">
        <w:rPr>
          <w:rFonts w:asciiTheme="majorHAnsi" w:hAnsiTheme="majorHAnsi"/>
          <w:sz w:val="22"/>
          <w:szCs w:val="22"/>
        </w:rPr>
        <w:t xml:space="preserve">s into </w:t>
      </w:r>
      <w:r>
        <w:rPr>
          <w:rFonts w:asciiTheme="majorHAnsi" w:hAnsiTheme="majorHAnsi"/>
          <w:sz w:val="22"/>
          <w:szCs w:val="22"/>
        </w:rPr>
        <w:t>the</w:t>
      </w:r>
      <w:r w:rsidRPr="001D27B9">
        <w:rPr>
          <w:rFonts w:asciiTheme="majorHAnsi" w:hAnsiTheme="majorHAnsi"/>
          <w:sz w:val="22"/>
          <w:szCs w:val="22"/>
        </w:rPr>
        <w:t xml:space="preserve"> columns</w:t>
      </w:r>
      <w:r>
        <w:rPr>
          <w:rFonts w:asciiTheme="majorHAnsi" w:hAnsiTheme="majorHAnsi"/>
          <w:sz w:val="22"/>
          <w:szCs w:val="22"/>
        </w:rPr>
        <w:t xml:space="preserve"> which define</w:t>
      </w:r>
      <w:r w:rsidRPr="001D27B9">
        <w:rPr>
          <w:rFonts w:asciiTheme="majorHAnsi" w:hAnsiTheme="majorHAnsi"/>
          <w:sz w:val="22"/>
          <w:szCs w:val="22"/>
        </w:rPr>
        <w:t xml:space="preserve"> responsibility for the data of the specific </w:t>
      </w:r>
      <w:r>
        <w:rPr>
          <w:rFonts w:asciiTheme="majorHAnsi" w:hAnsiTheme="majorHAnsi"/>
          <w:sz w:val="22"/>
          <w:szCs w:val="22"/>
        </w:rPr>
        <w:t>connection (ATC or flow-based).</w:t>
      </w:r>
      <w:r w:rsidRPr="001D27B9">
        <w:rPr>
          <w:rFonts w:asciiTheme="majorHAnsi" w:hAnsiTheme="majorHAnsi"/>
          <w:sz w:val="22"/>
          <w:szCs w:val="22"/>
        </w:rPr>
        <w:t xml:space="preserve"> </w:t>
      </w:r>
    </w:p>
    <w:p w14:paraId="6C457194" w14:textId="77777777" w:rsidR="00F8788D" w:rsidRPr="001D27B9" w:rsidRDefault="00F8788D" w:rsidP="002414BB">
      <w:pPr>
        <w:pStyle w:val="BodyText"/>
        <w:rPr>
          <w:rFonts w:asciiTheme="majorHAnsi" w:hAnsiTheme="majorHAnsi"/>
          <w:sz w:val="22"/>
          <w:szCs w:val="22"/>
        </w:rPr>
      </w:pPr>
      <w:r w:rsidRPr="001D27B9">
        <w:rPr>
          <w:rFonts w:asciiTheme="majorHAnsi" w:hAnsiTheme="majorHAnsi"/>
          <w:sz w:val="22"/>
          <w:szCs w:val="22"/>
        </w:rPr>
        <w:t>Cross</w:t>
      </w:r>
      <w:r>
        <w:rPr>
          <w:rFonts w:asciiTheme="majorHAnsi" w:hAnsiTheme="majorHAnsi"/>
          <w:sz w:val="22"/>
          <w:szCs w:val="22"/>
        </w:rPr>
        <w:t>-c</w:t>
      </w:r>
      <w:r w:rsidRPr="001D27B9">
        <w:rPr>
          <w:rFonts w:asciiTheme="majorHAnsi" w:hAnsiTheme="majorHAnsi"/>
          <w:sz w:val="22"/>
          <w:szCs w:val="22"/>
        </w:rPr>
        <w:t>heck validation is performed every time the network data message is received and has passed all the network data validations.</w:t>
      </w:r>
    </w:p>
    <w:p w14:paraId="3F231EDF" w14:textId="77777777" w:rsidR="00F8788D" w:rsidRDefault="00F8788D" w:rsidP="002414BB">
      <w:pPr>
        <w:pStyle w:val="BodyText"/>
        <w:rPr>
          <w:rFonts w:asciiTheme="majorHAnsi" w:hAnsiTheme="majorHAnsi"/>
          <w:sz w:val="22"/>
          <w:szCs w:val="22"/>
        </w:rPr>
      </w:pPr>
      <w:r w:rsidRPr="001D27B9">
        <w:rPr>
          <w:rFonts w:asciiTheme="majorHAnsi" w:hAnsiTheme="majorHAnsi"/>
          <w:sz w:val="22"/>
          <w:szCs w:val="22"/>
        </w:rPr>
        <w:t xml:space="preserve">When multiple data and versions are provided by </w:t>
      </w:r>
      <w:r>
        <w:rPr>
          <w:rFonts w:asciiTheme="majorHAnsi" w:hAnsiTheme="majorHAnsi"/>
          <w:sz w:val="22"/>
          <w:szCs w:val="22"/>
        </w:rPr>
        <w:t>virtual broker</w:t>
      </w:r>
      <w:r w:rsidRPr="001D27B9">
        <w:rPr>
          <w:rFonts w:asciiTheme="majorHAnsi" w:hAnsiTheme="majorHAnsi"/>
          <w:sz w:val="22"/>
          <w:szCs w:val="22"/>
        </w:rPr>
        <w:t xml:space="preserve">s, the history of the </w:t>
      </w:r>
      <w:r>
        <w:rPr>
          <w:rFonts w:asciiTheme="majorHAnsi" w:hAnsiTheme="majorHAnsi"/>
          <w:sz w:val="22"/>
          <w:szCs w:val="22"/>
        </w:rPr>
        <w:t>c</w:t>
      </w:r>
      <w:r w:rsidRPr="001D27B9">
        <w:rPr>
          <w:rFonts w:asciiTheme="majorHAnsi" w:hAnsiTheme="majorHAnsi"/>
          <w:sz w:val="22"/>
          <w:szCs w:val="22"/>
        </w:rPr>
        <w:t>ross</w:t>
      </w:r>
      <w:r>
        <w:rPr>
          <w:rFonts w:asciiTheme="majorHAnsi" w:hAnsiTheme="majorHAnsi"/>
          <w:sz w:val="22"/>
          <w:szCs w:val="22"/>
        </w:rPr>
        <w:t>-c</w:t>
      </w:r>
      <w:r w:rsidRPr="001D27B9">
        <w:rPr>
          <w:rFonts w:asciiTheme="majorHAnsi" w:hAnsiTheme="majorHAnsi"/>
          <w:sz w:val="22"/>
          <w:szCs w:val="22"/>
        </w:rPr>
        <w:t xml:space="preserve">heck is not recorded. Only the last state of the </w:t>
      </w:r>
      <w:r>
        <w:rPr>
          <w:rFonts w:asciiTheme="majorHAnsi" w:hAnsiTheme="majorHAnsi"/>
          <w:sz w:val="22"/>
          <w:szCs w:val="22"/>
        </w:rPr>
        <w:t>c</w:t>
      </w:r>
      <w:r w:rsidRPr="001D27B9">
        <w:rPr>
          <w:rFonts w:asciiTheme="majorHAnsi" w:hAnsiTheme="majorHAnsi"/>
          <w:sz w:val="22"/>
          <w:szCs w:val="22"/>
        </w:rPr>
        <w:t>ross</w:t>
      </w:r>
      <w:r>
        <w:rPr>
          <w:rFonts w:asciiTheme="majorHAnsi" w:hAnsiTheme="majorHAnsi"/>
          <w:sz w:val="22"/>
          <w:szCs w:val="22"/>
        </w:rPr>
        <w:t>-c</w:t>
      </w:r>
      <w:r w:rsidRPr="001D27B9">
        <w:rPr>
          <w:rFonts w:asciiTheme="majorHAnsi" w:hAnsiTheme="majorHAnsi"/>
          <w:sz w:val="22"/>
          <w:szCs w:val="22"/>
        </w:rPr>
        <w:t xml:space="preserve">heck is stored/displayed. This behaviour remains as is in PMB9. </w:t>
      </w:r>
    </w:p>
    <w:p w14:paraId="41641E43" w14:textId="77777777" w:rsidR="00F8788D" w:rsidRPr="001D27B9" w:rsidRDefault="00F8788D" w:rsidP="002414BB">
      <w:pPr>
        <w:pStyle w:val="BodyText"/>
        <w:rPr>
          <w:rFonts w:asciiTheme="majorHAnsi" w:hAnsiTheme="majorHAnsi"/>
          <w:sz w:val="22"/>
          <w:szCs w:val="22"/>
        </w:rPr>
      </w:pPr>
    </w:p>
    <w:p w14:paraId="38E9D498" w14:textId="77777777" w:rsidR="00F8788D" w:rsidRDefault="00F8788D" w:rsidP="00F8788D">
      <w:pPr>
        <w:pStyle w:val="Heading4"/>
        <w:numPr>
          <w:ilvl w:val="3"/>
          <w:numId w:val="16"/>
        </w:numPr>
        <w:jc w:val="both"/>
      </w:pPr>
      <w:r>
        <w:t>Single mode</w:t>
      </w:r>
    </w:p>
    <w:p w14:paraId="7D8DA667" w14:textId="77777777" w:rsidR="00F8788D" w:rsidRPr="001D27B9" w:rsidRDefault="00F8788D" w:rsidP="002414BB">
      <w:pPr>
        <w:pStyle w:val="BodyText"/>
        <w:rPr>
          <w:rFonts w:asciiTheme="majorHAnsi" w:hAnsiTheme="majorHAnsi"/>
          <w:sz w:val="22"/>
          <w:szCs w:val="22"/>
        </w:rPr>
      </w:pPr>
      <w:r w:rsidRPr="001D27B9">
        <w:rPr>
          <w:rFonts w:asciiTheme="majorHAnsi" w:hAnsiTheme="majorHAnsi"/>
          <w:sz w:val="22"/>
          <w:szCs w:val="22"/>
        </w:rPr>
        <w:t xml:space="preserve">The Single submission mode means, that there is only one </w:t>
      </w:r>
      <w:r>
        <w:rPr>
          <w:rFonts w:asciiTheme="majorHAnsi" w:hAnsiTheme="majorHAnsi"/>
          <w:sz w:val="22"/>
          <w:szCs w:val="22"/>
        </w:rPr>
        <w:t>virtual broker</w:t>
      </w:r>
      <w:r w:rsidRPr="001D27B9">
        <w:rPr>
          <w:rFonts w:asciiTheme="majorHAnsi" w:hAnsiTheme="majorHAnsi"/>
          <w:sz w:val="22"/>
          <w:szCs w:val="22"/>
        </w:rPr>
        <w:t xml:space="preserve"> responsible for the data of the </w:t>
      </w:r>
      <w:r>
        <w:rPr>
          <w:rFonts w:asciiTheme="majorHAnsi" w:hAnsiTheme="majorHAnsi"/>
          <w:sz w:val="22"/>
          <w:szCs w:val="22"/>
        </w:rPr>
        <w:t>cross zonal capacity constraints (</w:t>
      </w:r>
      <w:r w:rsidRPr="001D27B9">
        <w:rPr>
          <w:rFonts w:asciiTheme="majorHAnsi" w:hAnsiTheme="majorHAnsi"/>
          <w:sz w:val="22"/>
          <w:szCs w:val="22"/>
        </w:rPr>
        <w:t xml:space="preserve">ATC </w:t>
      </w:r>
      <w:r>
        <w:rPr>
          <w:rFonts w:asciiTheme="majorHAnsi" w:hAnsiTheme="majorHAnsi"/>
          <w:sz w:val="22"/>
          <w:szCs w:val="22"/>
        </w:rPr>
        <w:t>or flow-based).</w:t>
      </w:r>
    </w:p>
    <w:p w14:paraId="3E35BFCB" w14:textId="77777777" w:rsidR="00F8788D" w:rsidRDefault="00F8788D" w:rsidP="002414BB">
      <w:pPr>
        <w:pStyle w:val="BodyText"/>
        <w:rPr>
          <w:rFonts w:asciiTheme="majorHAnsi" w:hAnsiTheme="majorHAnsi"/>
          <w:sz w:val="22"/>
          <w:szCs w:val="22"/>
        </w:rPr>
      </w:pPr>
      <w:r>
        <w:rPr>
          <w:rFonts w:asciiTheme="majorHAnsi" w:hAnsiTheme="majorHAnsi"/>
          <w:sz w:val="22"/>
          <w:szCs w:val="22"/>
        </w:rPr>
        <w:t>Connections</w:t>
      </w:r>
      <w:r w:rsidRPr="001D27B9">
        <w:rPr>
          <w:rFonts w:asciiTheme="majorHAnsi" w:hAnsiTheme="majorHAnsi"/>
          <w:sz w:val="22"/>
          <w:szCs w:val="22"/>
        </w:rPr>
        <w:t xml:space="preserve"> with single submission mode are not displayed in the Cross</w:t>
      </w:r>
      <w:r>
        <w:rPr>
          <w:rFonts w:asciiTheme="majorHAnsi" w:hAnsiTheme="majorHAnsi"/>
          <w:sz w:val="22"/>
          <w:szCs w:val="22"/>
        </w:rPr>
        <w:t>-c</w:t>
      </w:r>
      <w:r w:rsidRPr="001D27B9">
        <w:rPr>
          <w:rFonts w:asciiTheme="majorHAnsi" w:hAnsiTheme="majorHAnsi"/>
          <w:sz w:val="22"/>
          <w:szCs w:val="22"/>
        </w:rPr>
        <w:t xml:space="preserve">heck screen on the </w:t>
      </w:r>
      <w:r>
        <w:rPr>
          <w:rFonts w:asciiTheme="majorHAnsi" w:hAnsiTheme="majorHAnsi"/>
          <w:sz w:val="22"/>
          <w:szCs w:val="22"/>
        </w:rPr>
        <w:t>PMB GUI</w:t>
      </w:r>
      <w:r w:rsidRPr="001D27B9">
        <w:rPr>
          <w:rFonts w:asciiTheme="majorHAnsi" w:hAnsiTheme="majorHAnsi"/>
          <w:sz w:val="22"/>
          <w:szCs w:val="22"/>
        </w:rPr>
        <w:t>.</w:t>
      </w:r>
    </w:p>
    <w:p w14:paraId="2F0BAAAF" w14:textId="77777777" w:rsidR="00F8788D" w:rsidRPr="001D27B9" w:rsidRDefault="00F8788D" w:rsidP="002414BB">
      <w:pPr>
        <w:pStyle w:val="BodyText"/>
        <w:rPr>
          <w:rFonts w:asciiTheme="majorHAnsi" w:hAnsiTheme="majorHAnsi"/>
          <w:sz w:val="22"/>
          <w:szCs w:val="22"/>
        </w:rPr>
      </w:pPr>
    </w:p>
    <w:p w14:paraId="6D9FD08A" w14:textId="77777777" w:rsidR="00F8788D" w:rsidRDefault="00F8788D" w:rsidP="00F8788D">
      <w:pPr>
        <w:pStyle w:val="Heading4"/>
        <w:numPr>
          <w:ilvl w:val="3"/>
          <w:numId w:val="16"/>
        </w:numPr>
        <w:jc w:val="both"/>
      </w:pPr>
      <w:r>
        <w:t>Alternate mode</w:t>
      </w:r>
    </w:p>
    <w:p w14:paraId="27103D96" w14:textId="77777777" w:rsidR="00F8788D" w:rsidRPr="001D27B9" w:rsidRDefault="00F8788D" w:rsidP="002414BB">
      <w:pPr>
        <w:pStyle w:val="BodyText"/>
        <w:rPr>
          <w:rFonts w:asciiTheme="majorHAnsi" w:hAnsiTheme="majorHAnsi"/>
          <w:sz w:val="22"/>
          <w:szCs w:val="22"/>
        </w:rPr>
      </w:pPr>
      <w:r w:rsidRPr="001D27B9">
        <w:rPr>
          <w:rFonts w:asciiTheme="majorHAnsi" w:hAnsiTheme="majorHAnsi"/>
          <w:sz w:val="22"/>
          <w:szCs w:val="22"/>
        </w:rPr>
        <w:t>The Alternate submission mode</w:t>
      </w:r>
      <w:r>
        <w:rPr>
          <w:rFonts w:asciiTheme="majorHAnsi" w:hAnsiTheme="majorHAnsi"/>
          <w:sz w:val="22"/>
          <w:szCs w:val="22"/>
        </w:rPr>
        <w:t xml:space="preserve"> is available for both ATC and flow-based connections and</w:t>
      </w:r>
      <w:r w:rsidRPr="001D27B9">
        <w:rPr>
          <w:rFonts w:asciiTheme="majorHAnsi" w:hAnsiTheme="majorHAnsi"/>
          <w:sz w:val="22"/>
          <w:szCs w:val="22"/>
        </w:rPr>
        <w:t xml:space="preserve"> </w:t>
      </w:r>
      <w:r>
        <w:rPr>
          <w:rFonts w:asciiTheme="majorHAnsi" w:hAnsiTheme="majorHAnsi"/>
          <w:sz w:val="22"/>
          <w:szCs w:val="22"/>
        </w:rPr>
        <w:t>will be changed in following way due to MNA.</w:t>
      </w:r>
    </w:p>
    <w:p w14:paraId="35177C49" w14:textId="77777777" w:rsidR="00F8788D" w:rsidRDefault="00F8788D" w:rsidP="002414BB">
      <w:pPr>
        <w:pStyle w:val="BodyText"/>
        <w:rPr>
          <w:rFonts w:asciiTheme="majorHAnsi" w:hAnsiTheme="majorHAnsi"/>
          <w:sz w:val="22"/>
          <w:szCs w:val="22"/>
        </w:rPr>
      </w:pPr>
    </w:p>
    <w:p w14:paraId="6107B95C" w14:textId="77777777" w:rsidR="00F8788D" w:rsidRDefault="00F8788D" w:rsidP="002414BB">
      <w:pPr>
        <w:pStyle w:val="BodyText"/>
        <w:rPr>
          <w:rFonts w:asciiTheme="majorHAnsi" w:hAnsiTheme="majorHAnsi"/>
          <w:sz w:val="22"/>
          <w:szCs w:val="22"/>
        </w:rPr>
      </w:pPr>
    </w:p>
    <w:p w14:paraId="005EEB26" w14:textId="77777777" w:rsidR="00F8788D" w:rsidRPr="001D27B9" w:rsidRDefault="00F8788D" w:rsidP="002414BB">
      <w:pPr>
        <w:pStyle w:val="BodyText"/>
        <w:rPr>
          <w:rFonts w:asciiTheme="majorHAnsi" w:hAnsiTheme="majorHAnsi"/>
          <w:sz w:val="22"/>
          <w:szCs w:val="22"/>
        </w:rPr>
      </w:pPr>
      <w:r w:rsidRPr="001D27B9">
        <w:rPr>
          <w:rFonts w:asciiTheme="majorHAnsi" w:hAnsiTheme="majorHAnsi"/>
          <w:sz w:val="22"/>
          <w:szCs w:val="22"/>
        </w:rPr>
        <w:t>Data submission possibilities</w:t>
      </w:r>
      <w:r>
        <w:rPr>
          <w:rFonts w:asciiTheme="majorHAnsi" w:hAnsiTheme="majorHAnsi"/>
          <w:sz w:val="22"/>
          <w:szCs w:val="22"/>
        </w:rPr>
        <w:t>, when multiple virtual brokers have been configured to be providing the data:</w:t>
      </w:r>
    </w:p>
    <w:p w14:paraId="546FB36C" w14:textId="77777777" w:rsidR="00F8788D" w:rsidRPr="001D27B9" w:rsidRDefault="00F8788D" w:rsidP="00F8788D">
      <w:pPr>
        <w:pStyle w:val="BodyText"/>
        <w:numPr>
          <w:ilvl w:val="0"/>
          <w:numId w:val="31"/>
        </w:numPr>
        <w:rPr>
          <w:rFonts w:asciiTheme="majorHAnsi" w:hAnsiTheme="majorHAnsi"/>
          <w:sz w:val="22"/>
          <w:szCs w:val="22"/>
        </w:rPr>
      </w:pPr>
      <w:r w:rsidRPr="001D27B9">
        <w:rPr>
          <w:rFonts w:asciiTheme="majorHAnsi" w:hAnsiTheme="majorHAnsi"/>
          <w:sz w:val="22"/>
          <w:szCs w:val="22"/>
        </w:rPr>
        <w:t xml:space="preserve">At least one of the </w:t>
      </w:r>
      <w:r>
        <w:rPr>
          <w:rFonts w:asciiTheme="majorHAnsi" w:hAnsiTheme="majorHAnsi"/>
          <w:sz w:val="22"/>
          <w:szCs w:val="22"/>
        </w:rPr>
        <w:t>VBs, configured as data providers in first group,</w:t>
      </w:r>
      <w:r w:rsidRPr="001D27B9">
        <w:rPr>
          <w:rFonts w:asciiTheme="majorHAnsi" w:hAnsiTheme="majorHAnsi"/>
          <w:sz w:val="22"/>
          <w:szCs w:val="22"/>
        </w:rPr>
        <w:t xml:space="preserve"> has to provide data for the </w:t>
      </w:r>
      <w:r>
        <w:rPr>
          <w:rFonts w:asciiTheme="majorHAnsi" w:hAnsiTheme="majorHAnsi"/>
          <w:sz w:val="22"/>
          <w:szCs w:val="22"/>
        </w:rPr>
        <w:t>connection</w:t>
      </w:r>
      <w:r w:rsidRPr="001D27B9">
        <w:rPr>
          <w:rFonts w:asciiTheme="majorHAnsi" w:hAnsiTheme="majorHAnsi"/>
          <w:sz w:val="22"/>
          <w:szCs w:val="22"/>
        </w:rPr>
        <w:t>, but more than one of the</w:t>
      </w:r>
      <w:r>
        <w:rPr>
          <w:rFonts w:asciiTheme="majorHAnsi" w:hAnsiTheme="majorHAnsi"/>
          <w:sz w:val="22"/>
          <w:szCs w:val="22"/>
        </w:rPr>
        <w:t xml:space="preserve">m </w:t>
      </w:r>
      <w:r w:rsidRPr="001D27B9">
        <w:rPr>
          <w:rFonts w:asciiTheme="majorHAnsi" w:hAnsiTheme="majorHAnsi"/>
          <w:sz w:val="22"/>
          <w:szCs w:val="22"/>
        </w:rPr>
        <w:t>can provide the data</w:t>
      </w:r>
    </w:p>
    <w:p w14:paraId="5C430CED" w14:textId="77777777" w:rsidR="00F8788D" w:rsidRPr="001D27B9" w:rsidRDefault="00F8788D" w:rsidP="00F8788D">
      <w:pPr>
        <w:pStyle w:val="BodyText"/>
        <w:numPr>
          <w:ilvl w:val="0"/>
          <w:numId w:val="31"/>
        </w:numPr>
        <w:rPr>
          <w:rFonts w:asciiTheme="majorHAnsi" w:hAnsiTheme="majorHAnsi"/>
          <w:sz w:val="22"/>
          <w:szCs w:val="22"/>
        </w:rPr>
      </w:pPr>
      <w:r w:rsidRPr="001D27B9">
        <w:rPr>
          <w:rFonts w:asciiTheme="majorHAnsi" w:hAnsiTheme="majorHAnsi"/>
          <w:sz w:val="22"/>
          <w:szCs w:val="22"/>
        </w:rPr>
        <w:t xml:space="preserve">If one or more </w:t>
      </w:r>
      <w:r>
        <w:rPr>
          <w:rFonts w:asciiTheme="majorHAnsi" w:hAnsiTheme="majorHAnsi"/>
          <w:sz w:val="22"/>
          <w:szCs w:val="22"/>
        </w:rPr>
        <w:t>VBs</w:t>
      </w:r>
      <w:r w:rsidRPr="001D27B9">
        <w:rPr>
          <w:rFonts w:asciiTheme="majorHAnsi" w:hAnsiTheme="majorHAnsi"/>
          <w:sz w:val="22"/>
          <w:szCs w:val="22"/>
        </w:rPr>
        <w:t xml:space="preserve"> is configured </w:t>
      </w:r>
      <w:r>
        <w:rPr>
          <w:rFonts w:asciiTheme="majorHAnsi" w:hAnsiTheme="majorHAnsi"/>
          <w:sz w:val="22"/>
          <w:szCs w:val="22"/>
        </w:rPr>
        <w:t xml:space="preserve">as data providers in second group, </w:t>
      </w:r>
      <w:r w:rsidRPr="001D27B9">
        <w:rPr>
          <w:rFonts w:asciiTheme="majorHAnsi" w:hAnsiTheme="majorHAnsi"/>
          <w:sz w:val="22"/>
          <w:szCs w:val="22"/>
        </w:rPr>
        <w:t xml:space="preserve">at least one of them has to provide data for the </w:t>
      </w:r>
      <w:r>
        <w:rPr>
          <w:rFonts w:asciiTheme="majorHAnsi" w:hAnsiTheme="majorHAnsi"/>
          <w:sz w:val="22"/>
          <w:szCs w:val="22"/>
        </w:rPr>
        <w:t>connection</w:t>
      </w:r>
    </w:p>
    <w:p w14:paraId="1353CE65" w14:textId="77777777" w:rsidR="00F8788D" w:rsidRPr="001D27B9" w:rsidRDefault="00F8788D" w:rsidP="002414BB">
      <w:pPr>
        <w:pStyle w:val="BodyText"/>
        <w:rPr>
          <w:rFonts w:asciiTheme="majorHAnsi" w:hAnsiTheme="majorHAnsi"/>
          <w:sz w:val="22"/>
          <w:szCs w:val="22"/>
        </w:rPr>
      </w:pPr>
      <w:r w:rsidRPr="001D27B9">
        <w:rPr>
          <w:rFonts w:asciiTheme="majorHAnsi" w:hAnsiTheme="majorHAnsi"/>
          <w:sz w:val="22"/>
          <w:szCs w:val="22"/>
        </w:rPr>
        <w:t xml:space="preserve">If there is data for the </w:t>
      </w:r>
      <w:r>
        <w:rPr>
          <w:rFonts w:asciiTheme="majorHAnsi" w:hAnsiTheme="majorHAnsi"/>
          <w:sz w:val="22"/>
          <w:szCs w:val="22"/>
        </w:rPr>
        <w:t>connection</w:t>
      </w:r>
      <w:r w:rsidRPr="001D27B9">
        <w:rPr>
          <w:rFonts w:asciiTheme="majorHAnsi" w:hAnsiTheme="majorHAnsi"/>
          <w:sz w:val="22"/>
          <w:szCs w:val="22"/>
        </w:rPr>
        <w:t xml:space="preserve"> provided by more than one </w:t>
      </w:r>
      <w:r>
        <w:rPr>
          <w:rFonts w:asciiTheme="majorHAnsi" w:hAnsiTheme="majorHAnsi"/>
          <w:sz w:val="22"/>
          <w:szCs w:val="22"/>
        </w:rPr>
        <w:t>virtual broker</w:t>
      </w:r>
      <w:r w:rsidRPr="001D27B9">
        <w:rPr>
          <w:rFonts w:asciiTheme="majorHAnsi" w:hAnsiTheme="majorHAnsi"/>
          <w:sz w:val="22"/>
          <w:szCs w:val="22"/>
        </w:rPr>
        <w:t xml:space="preserve">, the </w:t>
      </w:r>
      <w:r>
        <w:rPr>
          <w:rFonts w:asciiTheme="majorHAnsi" w:hAnsiTheme="majorHAnsi"/>
          <w:sz w:val="22"/>
          <w:szCs w:val="22"/>
        </w:rPr>
        <w:t>c</w:t>
      </w:r>
      <w:r w:rsidRPr="001D27B9">
        <w:rPr>
          <w:rFonts w:asciiTheme="majorHAnsi" w:hAnsiTheme="majorHAnsi"/>
          <w:sz w:val="22"/>
          <w:szCs w:val="22"/>
        </w:rPr>
        <w:t>ross</w:t>
      </w:r>
      <w:r>
        <w:rPr>
          <w:rFonts w:asciiTheme="majorHAnsi" w:hAnsiTheme="majorHAnsi"/>
          <w:sz w:val="22"/>
          <w:szCs w:val="22"/>
        </w:rPr>
        <w:t>-c</w:t>
      </w:r>
      <w:r w:rsidRPr="001D27B9">
        <w:rPr>
          <w:rFonts w:asciiTheme="majorHAnsi" w:hAnsiTheme="majorHAnsi"/>
          <w:sz w:val="22"/>
          <w:szCs w:val="22"/>
        </w:rPr>
        <w:t xml:space="preserve">heck validation is performed between all </w:t>
      </w:r>
      <w:r>
        <w:rPr>
          <w:rFonts w:asciiTheme="majorHAnsi" w:hAnsiTheme="majorHAnsi"/>
          <w:sz w:val="22"/>
          <w:szCs w:val="22"/>
        </w:rPr>
        <w:t>VBs</w:t>
      </w:r>
      <w:r w:rsidRPr="001D27B9">
        <w:rPr>
          <w:rFonts w:asciiTheme="majorHAnsi" w:hAnsiTheme="majorHAnsi"/>
          <w:sz w:val="22"/>
          <w:szCs w:val="22"/>
        </w:rPr>
        <w:t xml:space="preserve"> which have provided the data for the </w:t>
      </w:r>
      <w:r>
        <w:rPr>
          <w:rFonts w:asciiTheme="majorHAnsi" w:hAnsiTheme="majorHAnsi"/>
          <w:sz w:val="22"/>
          <w:szCs w:val="22"/>
        </w:rPr>
        <w:t>connection</w:t>
      </w:r>
      <w:r w:rsidRPr="001D27B9">
        <w:rPr>
          <w:rFonts w:asciiTheme="majorHAnsi" w:hAnsiTheme="majorHAnsi"/>
          <w:sz w:val="22"/>
          <w:szCs w:val="22"/>
        </w:rPr>
        <w:t xml:space="preserve"> in their last validated network</w:t>
      </w:r>
      <w:r>
        <w:rPr>
          <w:rFonts w:asciiTheme="majorHAnsi" w:hAnsiTheme="majorHAnsi"/>
          <w:sz w:val="22"/>
          <w:szCs w:val="22"/>
        </w:rPr>
        <w:t xml:space="preserve"> data</w:t>
      </w:r>
      <w:r w:rsidRPr="001D27B9">
        <w:rPr>
          <w:rFonts w:asciiTheme="majorHAnsi" w:hAnsiTheme="majorHAnsi"/>
          <w:sz w:val="22"/>
          <w:szCs w:val="22"/>
        </w:rPr>
        <w:t xml:space="preserve"> message (highest validated version)</w:t>
      </w:r>
      <w:r>
        <w:rPr>
          <w:rFonts w:asciiTheme="majorHAnsi" w:hAnsiTheme="majorHAnsi"/>
          <w:sz w:val="22"/>
          <w:szCs w:val="22"/>
        </w:rPr>
        <w:t>.</w:t>
      </w:r>
    </w:p>
    <w:p w14:paraId="1121BA8E" w14:textId="77777777" w:rsidR="00F8788D" w:rsidRPr="001D27B9" w:rsidRDefault="00F8788D" w:rsidP="00F8788D">
      <w:pPr>
        <w:pStyle w:val="BodyText"/>
        <w:numPr>
          <w:ilvl w:val="0"/>
          <w:numId w:val="31"/>
        </w:numPr>
        <w:rPr>
          <w:rFonts w:asciiTheme="majorHAnsi" w:hAnsiTheme="majorHAnsi"/>
          <w:sz w:val="22"/>
          <w:szCs w:val="22"/>
        </w:rPr>
      </w:pPr>
      <w:r w:rsidRPr="001D27B9">
        <w:rPr>
          <w:rFonts w:asciiTheme="majorHAnsi" w:hAnsiTheme="majorHAnsi"/>
          <w:sz w:val="22"/>
          <w:szCs w:val="22"/>
        </w:rPr>
        <w:t xml:space="preserve">data are the same - status of the </w:t>
      </w:r>
      <w:r>
        <w:rPr>
          <w:rFonts w:asciiTheme="majorHAnsi" w:hAnsiTheme="majorHAnsi"/>
          <w:sz w:val="22"/>
          <w:szCs w:val="22"/>
        </w:rPr>
        <w:t>cross-check</w:t>
      </w:r>
      <w:r w:rsidRPr="001D27B9">
        <w:rPr>
          <w:rFonts w:asciiTheme="majorHAnsi" w:hAnsiTheme="majorHAnsi"/>
          <w:sz w:val="22"/>
          <w:szCs w:val="22"/>
        </w:rPr>
        <w:t xml:space="preserve"> for this </w:t>
      </w:r>
      <w:r>
        <w:rPr>
          <w:rFonts w:asciiTheme="majorHAnsi" w:hAnsiTheme="majorHAnsi"/>
          <w:sz w:val="22"/>
          <w:szCs w:val="22"/>
        </w:rPr>
        <w:t>connection</w:t>
      </w:r>
      <w:r w:rsidRPr="001D27B9">
        <w:rPr>
          <w:rFonts w:asciiTheme="majorHAnsi" w:hAnsiTheme="majorHAnsi"/>
          <w:sz w:val="22"/>
          <w:szCs w:val="22"/>
        </w:rPr>
        <w:t xml:space="preserve"> is marked as VALIDATED in the GUI </w:t>
      </w:r>
    </w:p>
    <w:p w14:paraId="55FEA676" w14:textId="77777777" w:rsidR="00F8788D" w:rsidRPr="001D27B9" w:rsidRDefault="00F8788D" w:rsidP="00F8788D">
      <w:pPr>
        <w:pStyle w:val="BodyText"/>
        <w:numPr>
          <w:ilvl w:val="0"/>
          <w:numId w:val="31"/>
        </w:numPr>
        <w:rPr>
          <w:rFonts w:asciiTheme="majorHAnsi" w:hAnsiTheme="majorHAnsi"/>
          <w:sz w:val="22"/>
          <w:szCs w:val="22"/>
        </w:rPr>
      </w:pPr>
      <w:r w:rsidRPr="001D27B9">
        <w:rPr>
          <w:rFonts w:asciiTheme="majorHAnsi" w:hAnsiTheme="majorHAnsi"/>
          <w:sz w:val="22"/>
          <w:szCs w:val="22"/>
        </w:rPr>
        <w:t xml:space="preserve">data are not the same - status of the </w:t>
      </w:r>
      <w:r>
        <w:rPr>
          <w:rFonts w:asciiTheme="majorHAnsi" w:hAnsiTheme="majorHAnsi"/>
          <w:sz w:val="22"/>
          <w:szCs w:val="22"/>
        </w:rPr>
        <w:t>cross-check</w:t>
      </w:r>
      <w:r w:rsidRPr="001D27B9">
        <w:rPr>
          <w:rFonts w:asciiTheme="majorHAnsi" w:hAnsiTheme="majorHAnsi"/>
          <w:sz w:val="22"/>
          <w:szCs w:val="22"/>
        </w:rPr>
        <w:t xml:space="preserve"> for thi</w:t>
      </w:r>
      <w:r>
        <w:rPr>
          <w:rFonts w:asciiTheme="majorHAnsi" w:hAnsiTheme="majorHAnsi"/>
          <w:sz w:val="22"/>
          <w:szCs w:val="22"/>
        </w:rPr>
        <w:t>s connection is marked as FAILED</w:t>
      </w:r>
    </w:p>
    <w:p w14:paraId="2544E4A5" w14:textId="77777777" w:rsidR="00F8788D" w:rsidRPr="001D27B9" w:rsidRDefault="00F8788D" w:rsidP="002414BB">
      <w:pPr>
        <w:pStyle w:val="BodyText"/>
        <w:rPr>
          <w:rFonts w:asciiTheme="majorHAnsi" w:hAnsiTheme="majorHAnsi"/>
          <w:sz w:val="22"/>
          <w:szCs w:val="22"/>
        </w:rPr>
      </w:pPr>
      <w:r w:rsidRPr="001D27B9">
        <w:rPr>
          <w:rFonts w:asciiTheme="majorHAnsi" w:hAnsiTheme="majorHAnsi"/>
          <w:sz w:val="22"/>
          <w:szCs w:val="22"/>
        </w:rPr>
        <w:t xml:space="preserve">If there is data for the </w:t>
      </w:r>
      <w:r>
        <w:rPr>
          <w:rFonts w:asciiTheme="majorHAnsi" w:hAnsiTheme="majorHAnsi"/>
          <w:sz w:val="22"/>
          <w:szCs w:val="22"/>
        </w:rPr>
        <w:t>connection</w:t>
      </w:r>
      <w:r w:rsidRPr="001D27B9">
        <w:rPr>
          <w:rFonts w:asciiTheme="majorHAnsi" w:hAnsiTheme="majorHAnsi"/>
          <w:sz w:val="22"/>
          <w:szCs w:val="22"/>
        </w:rPr>
        <w:t xml:space="preserve"> provided by only one or more </w:t>
      </w:r>
      <w:r>
        <w:rPr>
          <w:rFonts w:asciiTheme="majorHAnsi" w:hAnsiTheme="majorHAnsi"/>
          <w:sz w:val="22"/>
          <w:szCs w:val="22"/>
        </w:rPr>
        <w:t>Virtual broker</w:t>
      </w:r>
      <w:r w:rsidRPr="001D27B9">
        <w:rPr>
          <w:rFonts w:asciiTheme="majorHAnsi" w:hAnsiTheme="majorHAnsi"/>
          <w:sz w:val="22"/>
          <w:szCs w:val="22"/>
        </w:rPr>
        <w:t xml:space="preserve">s configured in </w:t>
      </w:r>
      <w:r>
        <w:rPr>
          <w:rFonts w:asciiTheme="majorHAnsi" w:hAnsiTheme="majorHAnsi"/>
          <w:sz w:val="22"/>
          <w:szCs w:val="22"/>
        </w:rPr>
        <w:t>first group, but</w:t>
      </w:r>
      <w:r w:rsidRPr="001D27B9">
        <w:rPr>
          <w:rFonts w:asciiTheme="majorHAnsi" w:hAnsiTheme="majorHAnsi"/>
          <w:sz w:val="22"/>
          <w:szCs w:val="22"/>
        </w:rPr>
        <w:t xml:space="preserve"> one or more </w:t>
      </w:r>
      <w:r>
        <w:rPr>
          <w:rFonts w:asciiTheme="majorHAnsi" w:hAnsiTheme="majorHAnsi"/>
          <w:sz w:val="22"/>
          <w:szCs w:val="22"/>
        </w:rPr>
        <w:t>virtual broker</w:t>
      </w:r>
      <w:r w:rsidRPr="001D27B9">
        <w:rPr>
          <w:rFonts w:asciiTheme="majorHAnsi" w:hAnsiTheme="majorHAnsi"/>
          <w:sz w:val="22"/>
          <w:szCs w:val="22"/>
        </w:rPr>
        <w:t xml:space="preserve">s are configured in </w:t>
      </w:r>
      <w:r>
        <w:rPr>
          <w:rFonts w:asciiTheme="majorHAnsi" w:hAnsiTheme="majorHAnsi"/>
          <w:sz w:val="22"/>
          <w:szCs w:val="22"/>
        </w:rPr>
        <w:t>second group</w:t>
      </w:r>
    </w:p>
    <w:p w14:paraId="5F04575F" w14:textId="77777777" w:rsidR="00F8788D" w:rsidRPr="001D27B9" w:rsidRDefault="00F8788D" w:rsidP="00F8788D">
      <w:pPr>
        <w:pStyle w:val="BodyText"/>
        <w:numPr>
          <w:ilvl w:val="1"/>
          <w:numId w:val="31"/>
        </w:numPr>
        <w:rPr>
          <w:rFonts w:asciiTheme="majorHAnsi" w:hAnsiTheme="majorHAnsi"/>
          <w:sz w:val="22"/>
          <w:szCs w:val="22"/>
        </w:rPr>
      </w:pPr>
      <w:r w:rsidRPr="001D27B9">
        <w:rPr>
          <w:rFonts w:asciiTheme="majorHAnsi" w:hAnsiTheme="majorHAnsi"/>
          <w:sz w:val="22"/>
          <w:szCs w:val="22"/>
        </w:rPr>
        <w:t xml:space="preserve">status of the </w:t>
      </w:r>
      <w:r>
        <w:rPr>
          <w:rFonts w:asciiTheme="majorHAnsi" w:hAnsiTheme="majorHAnsi"/>
          <w:sz w:val="22"/>
          <w:szCs w:val="22"/>
        </w:rPr>
        <w:t>cross-check</w:t>
      </w:r>
      <w:r w:rsidRPr="001D27B9">
        <w:rPr>
          <w:rFonts w:asciiTheme="majorHAnsi" w:hAnsiTheme="majorHAnsi"/>
          <w:sz w:val="22"/>
          <w:szCs w:val="22"/>
        </w:rPr>
        <w:t xml:space="preserve"> for this </w:t>
      </w:r>
      <w:r>
        <w:rPr>
          <w:rFonts w:asciiTheme="majorHAnsi" w:hAnsiTheme="majorHAnsi"/>
          <w:sz w:val="22"/>
          <w:szCs w:val="22"/>
        </w:rPr>
        <w:t>connection is marked as ALERT in the GUI</w:t>
      </w:r>
    </w:p>
    <w:p w14:paraId="4498B1A7" w14:textId="77777777" w:rsidR="00F8788D" w:rsidRPr="001D27B9" w:rsidRDefault="00F8788D" w:rsidP="00F8788D">
      <w:pPr>
        <w:pStyle w:val="BodyText"/>
        <w:numPr>
          <w:ilvl w:val="0"/>
          <w:numId w:val="31"/>
        </w:numPr>
        <w:rPr>
          <w:rFonts w:asciiTheme="majorHAnsi" w:hAnsiTheme="majorHAnsi"/>
          <w:sz w:val="22"/>
          <w:szCs w:val="22"/>
        </w:rPr>
      </w:pPr>
      <w:r w:rsidRPr="001D27B9">
        <w:rPr>
          <w:rFonts w:asciiTheme="majorHAnsi" w:hAnsiTheme="majorHAnsi"/>
          <w:sz w:val="22"/>
          <w:szCs w:val="22"/>
        </w:rPr>
        <w:t xml:space="preserve">If there is data for the </w:t>
      </w:r>
      <w:r>
        <w:rPr>
          <w:rFonts w:asciiTheme="majorHAnsi" w:hAnsiTheme="majorHAnsi"/>
          <w:sz w:val="22"/>
          <w:szCs w:val="22"/>
        </w:rPr>
        <w:t>connection</w:t>
      </w:r>
      <w:r w:rsidRPr="001D27B9">
        <w:rPr>
          <w:rFonts w:asciiTheme="majorHAnsi" w:hAnsiTheme="majorHAnsi"/>
          <w:sz w:val="22"/>
          <w:szCs w:val="22"/>
        </w:rPr>
        <w:t xml:space="preserve"> provided by only one or more </w:t>
      </w:r>
      <w:r>
        <w:rPr>
          <w:rFonts w:asciiTheme="majorHAnsi" w:hAnsiTheme="majorHAnsi"/>
          <w:sz w:val="22"/>
          <w:szCs w:val="22"/>
        </w:rPr>
        <w:t>VBs</w:t>
      </w:r>
      <w:r w:rsidRPr="001D27B9">
        <w:rPr>
          <w:rFonts w:asciiTheme="majorHAnsi" w:hAnsiTheme="majorHAnsi"/>
          <w:sz w:val="22"/>
          <w:szCs w:val="22"/>
        </w:rPr>
        <w:t xml:space="preserve"> configured in </w:t>
      </w:r>
      <w:r>
        <w:rPr>
          <w:rFonts w:asciiTheme="majorHAnsi" w:hAnsiTheme="majorHAnsi"/>
          <w:sz w:val="22"/>
          <w:szCs w:val="22"/>
        </w:rPr>
        <w:t>second group</w:t>
      </w:r>
      <w:r w:rsidRPr="001D27B9">
        <w:rPr>
          <w:rFonts w:asciiTheme="majorHAnsi" w:hAnsiTheme="majorHAnsi"/>
          <w:sz w:val="22"/>
          <w:szCs w:val="22"/>
        </w:rPr>
        <w:t xml:space="preserve"> but one or more </w:t>
      </w:r>
      <w:r>
        <w:rPr>
          <w:rFonts w:asciiTheme="majorHAnsi" w:hAnsiTheme="majorHAnsi"/>
          <w:sz w:val="22"/>
          <w:szCs w:val="22"/>
        </w:rPr>
        <w:t>VBs</w:t>
      </w:r>
      <w:r w:rsidRPr="001D27B9">
        <w:rPr>
          <w:rFonts w:asciiTheme="majorHAnsi" w:hAnsiTheme="majorHAnsi"/>
          <w:sz w:val="22"/>
          <w:szCs w:val="22"/>
        </w:rPr>
        <w:t xml:space="preserve"> are configured in </w:t>
      </w:r>
      <w:r>
        <w:rPr>
          <w:rFonts w:asciiTheme="majorHAnsi" w:hAnsiTheme="majorHAnsi"/>
          <w:sz w:val="22"/>
          <w:szCs w:val="22"/>
        </w:rPr>
        <w:t>first group</w:t>
      </w:r>
    </w:p>
    <w:p w14:paraId="30E41ADA" w14:textId="77777777" w:rsidR="00F8788D" w:rsidRPr="001D27B9" w:rsidRDefault="00F8788D" w:rsidP="00F8788D">
      <w:pPr>
        <w:pStyle w:val="BodyText"/>
        <w:numPr>
          <w:ilvl w:val="1"/>
          <w:numId w:val="31"/>
        </w:numPr>
        <w:rPr>
          <w:rFonts w:asciiTheme="majorHAnsi" w:hAnsiTheme="majorHAnsi"/>
          <w:sz w:val="22"/>
          <w:szCs w:val="22"/>
        </w:rPr>
      </w:pPr>
      <w:r w:rsidRPr="001D27B9">
        <w:rPr>
          <w:rFonts w:asciiTheme="majorHAnsi" w:hAnsiTheme="majorHAnsi"/>
          <w:sz w:val="22"/>
          <w:szCs w:val="22"/>
        </w:rPr>
        <w:t xml:space="preserve">status of the </w:t>
      </w:r>
      <w:r>
        <w:rPr>
          <w:rFonts w:asciiTheme="majorHAnsi" w:hAnsiTheme="majorHAnsi"/>
          <w:sz w:val="22"/>
          <w:szCs w:val="22"/>
        </w:rPr>
        <w:t>cross-check</w:t>
      </w:r>
      <w:r w:rsidRPr="001D27B9">
        <w:rPr>
          <w:rFonts w:asciiTheme="majorHAnsi" w:hAnsiTheme="majorHAnsi"/>
          <w:sz w:val="22"/>
          <w:szCs w:val="22"/>
        </w:rPr>
        <w:t xml:space="preserve"> for this </w:t>
      </w:r>
      <w:r>
        <w:rPr>
          <w:rFonts w:asciiTheme="majorHAnsi" w:hAnsiTheme="majorHAnsi"/>
          <w:sz w:val="22"/>
          <w:szCs w:val="22"/>
        </w:rPr>
        <w:t>connection</w:t>
      </w:r>
      <w:r w:rsidRPr="001D27B9">
        <w:rPr>
          <w:rFonts w:asciiTheme="majorHAnsi" w:hAnsiTheme="majorHAnsi"/>
          <w:sz w:val="22"/>
          <w:szCs w:val="22"/>
        </w:rPr>
        <w:t xml:space="preserve"> is blank in the </w:t>
      </w:r>
      <w:r>
        <w:rPr>
          <w:rFonts w:asciiTheme="majorHAnsi" w:hAnsiTheme="majorHAnsi"/>
          <w:sz w:val="22"/>
          <w:szCs w:val="22"/>
        </w:rPr>
        <w:t>GUI and</w:t>
      </w:r>
      <w:r w:rsidRPr="001D27B9">
        <w:rPr>
          <w:rFonts w:asciiTheme="majorHAnsi" w:hAnsiTheme="majorHAnsi"/>
          <w:sz w:val="22"/>
          <w:szCs w:val="22"/>
        </w:rPr>
        <w:t xml:space="preserve"> is waiting on the data from </w:t>
      </w:r>
      <w:r>
        <w:rPr>
          <w:rFonts w:asciiTheme="majorHAnsi" w:hAnsiTheme="majorHAnsi"/>
          <w:sz w:val="22"/>
          <w:szCs w:val="22"/>
        </w:rPr>
        <w:t>first group VB</w:t>
      </w:r>
    </w:p>
    <w:p w14:paraId="39E6E61A" w14:textId="77777777" w:rsidR="00F8788D" w:rsidRDefault="00F8788D" w:rsidP="002414BB">
      <w:pPr>
        <w:spacing w:after="113" w:line="278" w:lineRule="atLeast"/>
        <w:jc w:val="both"/>
        <w:rPr>
          <w:rFonts w:asciiTheme="majorHAnsi" w:hAnsiTheme="majorHAnsi"/>
        </w:rPr>
      </w:pPr>
      <w:r w:rsidRPr="00A93692">
        <w:rPr>
          <w:rFonts w:asciiTheme="majorHAnsi" w:eastAsia="Lucida Sans Unicode" w:hAnsiTheme="majorHAnsi"/>
        </w:rPr>
        <w:t xml:space="preserve">If there is data for the </w:t>
      </w:r>
      <w:r>
        <w:rPr>
          <w:rFonts w:asciiTheme="majorHAnsi" w:eastAsia="Lucida Sans Unicode" w:hAnsiTheme="majorHAnsi"/>
        </w:rPr>
        <w:t>connection</w:t>
      </w:r>
      <w:r w:rsidRPr="00A93692">
        <w:rPr>
          <w:rFonts w:asciiTheme="majorHAnsi" w:eastAsia="Lucida Sans Unicode" w:hAnsiTheme="majorHAnsi"/>
        </w:rPr>
        <w:t xml:space="preserve"> provided by only </w:t>
      </w:r>
      <w:r>
        <w:rPr>
          <w:rFonts w:asciiTheme="majorHAnsi" w:eastAsia="Lucida Sans Unicode" w:hAnsiTheme="majorHAnsi"/>
        </w:rPr>
        <w:t xml:space="preserve">VBs </w:t>
      </w:r>
      <w:r w:rsidRPr="00A93692">
        <w:rPr>
          <w:rFonts w:asciiTheme="majorHAnsi" w:eastAsia="Lucida Sans Unicode" w:hAnsiTheme="majorHAnsi"/>
        </w:rPr>
        <w:t xml:space="preserve">from </w:t>
      </w:r>
      <w:r>
        <w:rPr>
          <w:rFonts w:asciiTheme="majorHAnsi" w:eastAsia="Lucida Sans Unicode" w:hAnsiTheme="majorHAnsi"/>
        </w:rPr>
        <w:t>first group</w:t>
      </w:r>
      <w:r w:rsidRPr="00A93692">
        <w:rPr>
          <w:rFonts w:asciiTheme="majorHAnsi" w:eastAsia="Lucida Sans Unicode" w:hAnsiTheme="majorHAnsi"/>
        </w:rPr>
        <w:t xml:space="preserve"> and no </w:t>
      </w:r>
      <w:r>
        <w:rPr>
          <w:rFonts w:asciiTheme="majorHAnsi" w:eastAsia="Lucida Sans Unicode" w:hAnsiTheme="majorHAnsi"/>
        </w:rPr>
        <w:t>VBs</w:t>
      </w:r>
      <w:r w:rsidRPr="00A93692">
        <w:rPr>
          <w:rFonts w:asciiTheme="majorHAnsi" w:eastAsia="Lucida Sans Unicode" w:hAnsiTheme="majorHAnsi"/>
        </w:rPr>
        <w:t xml:space="preserve"> are configured in </w:t>
      </w:r>
      <w:r>
        <w:rPr>
          <w:rFonts w:asciiTheme="majorHAnsi" w:eastAsia="Lucida Sans Unicode" w:hAnsiTheme="majorHAnsi"/>
        </w:rPr>
        <w:t>second group</w:t>
      </w:r>
      <w:r w:rsidRPr="00A93692">
        <w:rPr>
          <w:rFonts w:asciiTheme="majorHAnsi" w:eastAsia="Lucida Sans Unicode" w:hAnsiTheme="majorHAnsi"/>
        </w:rPr>
        <w:t xml:space="preserve"> </w:t>
      </w:r>
      <w:r w:rsidRPr="00A93692">
        <w:rPr>
          <w:rFonts w:asciiTheme="majorHAnsi" w:hAnsiTheme="majorHAnsi"/>
        </w:rPr>
        <w:t xml:space="preserve">this </w:t>
      </w:r>
      <w:r>
        <w:rPr>
          <w:rFonts w:asciiTheme="majorHAnsi" w:hAnsiTheme="majorHAnsi"/>
        </w:rPr>
        <w:t>connection</w:t>
      </w:r>
      <w:r w:rsidRPr="00A93692">
        <w:rPr>
          <w:rFonts w:asciiTheme="majorHAnsi" w:hAnsiTheme="majorHAnsi"/>
        </w:rPr>
        <w:t xml:space="preserve"> is marked as VALIDATED in the GUI</w:t>
      </w:r>
      <w:r>
        <w:rPr>
          <w:rFonts w:asciiTheme="majorHAnsi" w:hAnsiTheme="majorHAnsi"/>
        </w:rPr>
        <w:t>.</w:t>
      </w:r>
    </w:p>
    <w:p w14:paraId="6A16432B" w14:textId="77777777" w:rsidR="00F8788D" w:rsidRPr="00A93692" w:rsidRDefault="00F8788D" w:rsidP="002414BB">
      <w:pPr>
        <w:spacing w:after="113" w:line="278" w:lineRule="atLeast"/>
        <w:jc w:val="both"/>
        <w:rPr>
          <w:rFonts w:asciiTheme="majorHAnsi" w:eastAsia="Lucida Sans Unicode" w:hAnsiTheme="majorHAnsi"/>
        </w:rPr>
      </w:pPr>
    </w:p>
    <w:p w14:paraId="731BACA6" w14:textId="77777777" w:rsidR="00F8788D" w:rsidRDefault="00F8788D" w:rsidP="00F8788D">
      <w:pPr>
        <w:pStyle w:val="Heading4"/>
        <w:numPr>
          <w:ilvl w:val="3"/>
          <w:numId w:val="16"/>
        </w:numPr>
        <w:jc w:val="both"/>
      </w:pPr>
      <w:r>
        <w:t>Cross-checked mode</w:t>
      </w:r>
    </w:p>
    <w:p w14:paraId="07BB48F4" w14:textId="77777777" w:rsidR="00F8788D" w:rsidRPr="001D27B9" w:rsidRDefault="00F8788D" w:rsidP="002414BB">
      <w:pPr>
        <w:pStyle w:val="BodyText"/>
        <w:rPr>
          <w:rFonts w:asciiTheme="majorHAnsi" w:hAnsiTheme="majorHAnsi"/>
          <w:sz w:val="22"/>
          <w:szCs w:val="22"/>
        </w:rPr>
      </w:pPr>
      <w:r w:rsidRPr="001D27B9">
        <w:rPr>
          <w:rFonts w:asciiTheme="majorHAnsi" w:hAnsiTheme="majorHAnsi"/>
          <w:sz w:val="22"/>
          <w:szCs w:val="22"/>
        </w:rPr>
        <w:t xml:space="preserve">The </w:t>
      </w:r>
      <w:r>
        <w:rPr>
          <w:rFonts w:asciiTheme="majorHAnsi" w:hAnsiTheme="majorHAnsi"/>
          <w:sz w:val="22"/>
          <w:szCs w:val="22"/>
        </w:rPr>
        <w:t>cross-check</w:t>
      </w:r>
      <w:r w:rsidRPr="001D27B9">
        <w:rPr>
          <w:rFonts w:asciiTheme="majorHAnsi" w:hAnsiTheme="majorHAnsi"/>
          <w:sz w:val="22"/>
          <w:szCs w:val="22"/>
        </w:rPr>
        <w:t xml:space="preserve">ed submission mode </w:t>
      </w:r>
      <w:r>
        <w:rPr>
          <w:rFonts w:asciiTheme="majorHAnsi" w:hAnsiTheme="majorHAnsi"/>
          <w:sz w:val="22"/>
          <w:szCs w:val="22"/>
        </w:rPr>
        <w:t>is available for ATC connections and the possibilities are</w:t>
      </w:r>
    </w:p>
    <w:p w14:paraId="36EA7ACE" w14:textId="77777777" w:rsidR="00F8788D" w:rsidRPr="001D27B9" w:rsidRDefault="00F8788D" w:rsidP="00F8788D">
      <w:pPr>
        <w:pStyle w:val="BodyText"/>
        <w:numPr>
          <w:ilvl w:val="0"/>
          <w:numId w:val="32"/>
        </w:numPr>
        <w:rPr>
          <w:rFonts w:asciiTheme="majorHAnsi" w:hAnsiTheme="majorHAnsi"/>
          <w:sz w:val="22"/>
          <w:szCs w:val="22"/>
        </w:rPr>
      </w:pPr>
      <w:r w:rsidRPr="001D27B9">
        <w:rPr>
          <w:rFonts w:asciiTheme="majorHAnsi" w:hAnsiTheme="majorHAnsi"/>
          <w:sz w:val="22"/>
          <w:szCs w:val="22"/>
        </w:rPr>
        <w:t xml:space="preserve">each </w:t>
      </w:r>
      <w:r>
        <w:rPr>
          <w:rFonts w:asciiTheme="majorHAnsi" w:hAnsiTheme="majorHAnsi"/>
          <w:sz w:val="22"/>
          <w:szCs w:val="22"/>
        </w:rPr>
        <w:t>virtual broker</w:t>
      </w:r>
      <w:r w:rsidRPr="001D27B9">
        <w:rPr>
          <w:rFonts w:asciiTheme="majorHAnsi" w:hAnsiTheme="majorHAnsi"/>
          <w:sz w:val="22"/>
          <w:szCs w:val="22"/>
        </w:rPr>
        <w:t xml:space="preserve"> of the </w:t>
      </w:r>
      <w:r>
        <w:rPr>
          <w:rFonts w:asciiTheme="majorHAnsi" w:hAnsiTheme="majorHAnsi"/>
          <w:sz w:val="22"/>
          <w:szCs w:val="22"/>
        </w:rPr>
        <w:t>first group</w:t>
      </w:r>
      <w:r w:rsidRPr="001D27B9">
        <w:rPr>
          <w:rFonts w:asciiTheme="majorHAnsi" w:hAnsiTheme="majorHAnsi"/>
          <w:sz w:val="22"/>
          <w:szCs w:val="22"/>
        </w:rPr>
        <w:t xml:space="preserve"> can provide data for the </w:t>
      </w:r>
      <w:r>
        <w:rPr>
          <w:rFonts w:asciiTheme="majorHAnsi" w:hAnsiTheme="majorHAnsi"/>
          <w:sz w:val="22"/>
          <w:szCs w:val="22"/>
        </w:rPr>
        <w:t>connection</w:t>
      </w:r>
    </w:p>
    <w:p w14:paraId="5C75F339" w14:textId="77777777" w:rsidR="00F8788D" w:rsidRPr="001D27B9" w:rsidRDefault="00F8788D" w:rsidP="00F8788D">
      <w:pPr>
        <w:pStyle w:val="BodyText"/>
        <w:numPr>
          <w:ilvl w:val="0"/>
          <w:numId w:val="32"/>
        </w:numPr>
        <w:rPr>
          <w:rFonts w:asciiTheme="majorHAnsi" w:hAnsiTheme="majorHAnsi"/>
          <w:sz w:val="22"/>
          <w:szCs w:val="22"/>
        </w:rPr>
      </w:pPr>
      <w:r w:rsidRPr="001D27B9">
        <w:rPr>
          <w:rFonts w:asciiTheme="majorHAnsi" w:hAnsiTheme="majorHAnsi"/>
          <w:sz w:val="22"/>
          <w:szCs w:val="22"/>
        </w:rPr>
        <w:t xml:space="preserve">each </w:t>
      </w:r>
      <w:r>
        <w:rPr>
          <w:rFonts w:asciiTheme="majorHAnsi" w:hAnsiTheme="majorHAnsi"/>
          <w:sz w:val="22"/>
          <w:szCs w:val="22"/>
        </w:rPr>
        <w:t>virtual broker</w:t>
      </w:r>
      <w:r w:rsidRPr="001D27B9">
        <w:rPr>
          <w:rFonts w:asciiTheme="majorHAnsi" w:hAnsiTheme="majorHAnsi"/>
          <w:sz w:val="22"/>
          <w:szCs w:val="22"/>
        </w:rPr>
        <w:t xml:space="preserve"> of the </w:t>
      </w:r>
      <w:r>
        <w:rPr>
          <w:rFonts w:asciiTheme="majorHAnsi" w:hAnsiTheme="majorHAnsi"/>
          <w:sz w:val="22"/>
          <w:szCs w:val="22"/>
        </w:rPr>
        <w:t>second group</w:t>
      </w:r>
      <w:r w:rsidRPr="001D27B9">
        <w:rPr>
          <w:rFonts w:asciiTheme="majorHAnsi" w:hAnsiTheme="majorHAnsi"/>
          <w:sz w:val="22"/>
          <w:szCs w:val="22"/>
        </w:rPr>
        <w:t xml:space="preserve"> can provide data for the </w:t>
      </w:r>
      <w:r>
        <w:rPr>
          <w:rFonts w:asciiTheme="majorHAnsi" w:hAnsiTheme="majorHAnsi"/>
          <w:sz w:val="22"/>
          <w:szCs w:val="22"/>
        </w:rPr>
        <w:t>connection</w:t>
      </w:r>
    </w:p>
    <w:p w14:paraId="3400A900" w14:textId="77777777" w:rsidR="00F8788D" w:rsidRPr="001D27B9" w:rsidRDefault="00F8788D" w:rsidP="002414BB">
      <w:pPr>
        <w:pStyle w:val="BodyText"/>
        <w:rPr>
          <w:rFonts w:asciiTheme="majorHAnsi" w:hAnsiTheme="majorHAnsi"/>
          <w:sz w:val="22"/>
          <w:szCs w:val="22"/>
        </w:rPr>
      </w:pPr>
      <w:r>
        <w:rPr>
          <w:rFonts w:asciiTheme="majorHAnsi" w:hAnsiTheme="majorHAnsi"/>
          <w:sz w:val="22"/>
          <w:szCs w:val="22"/>
        </w:rPr>
        <w:t>The Cross-c</w:t>
      </w:r>
      <w:r w:rsidRPr="001D27B9">
        <w:rPr>
          <w:rFonts w:asciiTheme="majorHAnsi" w:hAnsiTheme="majorHAnsi"/>
          <w:sz w:val="22"/>
          <w:szCs w:val="22"/>
        </w:rPr>
        <w:t xml:space="preserve">heck validation is performed between all </w:t>
      </w:r>
      <w:r>
        <w:rPr>
          <w:rFonts w:asciiTheme="majorHAnsi" w:hAnsiTheme="majorHAnsi"/>
          <w:sz w:val="22"/>
          <w:szCs w:val="22"/>
        </w:rPr>
        <w:t>virtual broker</w:t>
      </w:r>
      <w:r w:rsidRPr="001D27B9">
        <w:rPr>
          <w:rFonts w:asciiTheme="majorHAnsi" w:hAnsiTheme="majorHAnsi"/>
          <w:sz w:val="22"/>
          <w:szCs w:val="22"/>
        </w:rPr>
        <w:t xml:space="preserve">s which have provided the data for the </w:t>
      </w:r>
      <w:r>
        <w:rPr>
          <w:rFonts w:asciiTheme="majorHAnsi" w:hAnsiTheme="majorHAnsi"/>
          <w:sz w:val="22"/>
          <w:szCs w:val="22"/>
        </w:rPr>
        <w:t xml:space="preserve">connection </w:t>
      </w:r>
      <w:r w:rsidRPr="001D27B9">
        <w:rPr>
          <w:rFonts w:asciiTheme="majorHAnsi" w:hAnsiTheme="majorHAnsi"/>
          <w:sz w:val="22"/>
          <w:szCs w:val="22"/>
        </w:rPr>
        <w:t>in their last validated network message (highest validated version)</w:t>
      </w:r>
      <w:r>
        <w:rPr>
          <w:rFonts w:asciiTheme="majorHAnsi" w:hAnsiTheme="majorHAnsi"/>
          <w:sz w:val="22"/>
          <w:szCs w:val="22"/>
        </w:rPr>
        <w:t>.</w:t>
      </w:r>
    </w:p>
    <w:p w14:paraId="18602FEE" w14:textId="77777777" w:rsidR="00F8788D" w:rsidRPr="001D27B9" w:rsidRDefault="00F8788D" w:rsidP="00F8788D">
      <w:pPr>
        <w:pStyle w:val="BodyText"/>
        <w:numPr>
          <w:ilvl w:val="0"/>
          <w:numId w:val="32"/>
        </w:numPr>
        <w:rPr>
          <w:rFonts w:asciiTheme="majorHAnsi" w:hAnsiTheme="majorHAnsi"/>
          <w:sz w:val="22"/>
          <w:szCs w:val="22"/>
        </w:rPr>
      </w:pPr>
      <w:r w:rsidRPr="001D27B9">
        <w:rPr>
          <w:rFonts w:asciiTheme="majorHAnsi" w:hAnsiTheme="majorHAnsi"/>
          <w:sz w:val="22"/>
          <w:szCs w:val="22"/>
        </w:rPr>
        <w:t xml:space="preserve">data are the same, but not all configured </w:t>
      </w:r>
      <w:r>
        <w:rPr>
          <w:rFonts w:asciiTheme="majorHAnsi" w:hAnsiTheme="majorHAnsi"/>
          <w:sz w:val="22"/>
          <w:szCs w:val="22"/>
        </w:rPr>
        <w:t>Virtual broker</w:t>
      </w:r>
      <w:r w:rsidRPr="001D27B9">
        <w:rPr>
          <w:rFonts w:asciiTheme="majorHAnsi" w:hAnsiTheme="majorHAnsi"/>
          <w:sz w:val="22"/>
          <w:szCs w:val="22"/>
        </w:rPr>
        <w:t xml:space="preserve">s have submitted the data  - status of the </w:t>
      </w:r>
      <w:r>
        <w:rPr>
          <w:rFonts w:asciiTheme="majorHAnsi" w:hAnsiTheme="majorHAnsi"/>
          <w:sz w:val="22"/>
          <w:szCs w:val="22"/>
        </w:rPr>
        <w:t>cross-check</w:t>
      </w:r>
      <w:r w:rsidRPr="001D27B9">
        <w:rPr>
          <w:rFonts w:asciiTheme="majorHAnsi" w:hAnsiTheme="majorHAnsi"/>
          <w:sz w:val="22"/>
          <w:szCs w:val="22"/>
        </w:rPr>
        <w:t xml:space="preserve"> for this </w:t>
      </w:r>
      <w:r>
        <w:rPr>
          <w:rFonts w:asciiTheme="majorHAnsi" w:hAnsiTheme="majorHAnsi"/>
          <w:sz w:val="22"/>
          <w:szCs w:val="22"/>
        </w:rPr>
        <w:t xml:space="preserve">connection </w:t>
      </w:r>
      <w:r w:rsidRPr="001D27B9">
        <w:rPr>
          <w:rFonts w:asciiTheme="majorHAnsi" w:hAnsiTheme="majorHAnsi"/>
          <w:sz w:val="22"/>
          <w:szCs w:val="22"/>
        </w:rPr>
        <w:t>is marked as ALERT in the GUI, "Ignore" button is available and can be pushed manually by Operator of each PMB</w:t>
      </w:r>
    </w:p>
    <w:p w14:paraId="3D1B8983" w14:textId="77777777" w:rsidR="00F8788D" w:rsidRPr="001D27B9" w:rsidRDefault="00F8788D" w:rsidP="00F8788D">
      <w:pPr>
        <w:pStyle w:val="BodyText"/>
        <w:numPr>
          <w:ilvl w:val="0"/>
          <w:numId w:val="32"/>
        </w:numPr>
        <w:rPr>
          <w:rFonts w:asciiTheme="majorHAnsi" w:hAnsiTheme="majorHAnsi"/>
          <w:sz w:val="22"/>
          <w:szCs w:val="22"/>
        </w:rPr>
      </w:pPr>
      <w:r w:rsidRPr="001D27B9">
        <w:rPr>
          <w:rFonts w:asciiTheme="majorHAnsi" w:hAnsiTheme="majorHAnsi"/>
          <w:sz w:val="22"/>
          <w:szCs w:val="22"/>
        </w:rPr>
        <w:t xml:space="preserve">data are not the same - status of the </w:t>
      </w:r>
      <w:r>
        <w:rPr>
          <w:rFonts w:asciiTheme="majorHAnsi" w:hAnsiTheme="majorHAnsi"/>
          <w:sz w:val="22"/>
          <w:szCs w:val="22"/>
        </w:rPr>
        <w:t>cross-check</w:t>
      </w:r>
      <w:r w:rsidRPr="001D27B9">
        <w:rPr>
          <w:rFonts w:asciiTheme="majorHAnsi" w:hAnsiTheme="majorHAnsi"/>
          <w:sz w:val="22"/>
          <w:szCs w:val="22"/>
        </w:rPr>
        <w:t xml:space="preserve"> for this </w:t>
      </w:r>
      <w:r>
        <w:rPr>
          <w:rFonts w:asciiTheme="majorHAnsi" w:hAnsiTheme="majorHAnsi"/>
          <w:sz w:val="22"/>
          <w:szCs w:val="22"/>
        </w:rPr>
        <w:t xml:space="preserve">connection </w:t>
      </w:r>
      <w:r w:rsidRPr="001D27B9">
        <w:rPr>
          <w:rFonts w:asciiTheme="majorHAnsi" w:hAnsiTheme="majorHAnsi"/>
          <w:sz w:val="22"/>
          <w:szCs w:val="22"/>
        </w:rPr>
        <w:t xml:space="preserve">is marked as FAILED, the button "Error Detail" is available, after click on this button the table of the </w:t>
      </w:r>
      <w:r>
        <w:rPr>
          <w:rFonts w:asciiTheme="majorHAnsi" w:hAnsiTheme="majorHAnsi"/>
          <w:sz w:val="22"/>
          <w:szCs w:val="22"/>
        </w:rPr>
        <w:t xml:space="preserve">connection </w:t>
      </w:r>
      <w:r w:rsidRPr="001D27B9">
        <w:rPr>
          <w:rFonts w:asciiTheme="majorHAnsi" w:hAnsiTheme="majorHAnsi"/>
          <w:sz w:val="22"/>
          <w:szCs w:val="22"/>
        </w:rPr>
        <w:t>data issues is displayed</w:t>
      </w:r>
    </w:p>
    <w:p w14:paraId="64774E70" w14:textId="77777777" w:rsidR="00F8788D" w:rsidRPr="001D27B9" w:rsidRDefault="00F8788D" w:rsidP="00F8788D">
      <w:pPr>
        <w:pStyle w:val="BodyText"/>
        <w:numPr>
          <w:ilvl w:val="0"/>
          <w:numId w:val="32"/>
        </w:numPr>
        <w:rPr>
          <w:rFonts w:asciiTheme="majorHAnsi" w:hAnsiTheme="majorHAnsi"/>
          <w:sz w:val="22"/>
          <w:szCs w:val="22"/>
        </w:rPr>
      </w:pPr>
      <w:r w:rsidRPr="001D27B9">
        <w:rPr>
          <w:rFonts w:asciiTheme="majorHAnsi" w:hAnsiTheme="majorHAnsi"/>
          <w:sz w:val="22"/>
          <w:szCs w:val="22"/>
        </w:rPr>
        <w:t xml:space="preserve">data are the same and all configured </w:t>
      </w:r>
      <w:r>
        <w:rPr>
          <w:rFonts w:asciiTheme="majorHAnsi" w:hAnsiTheme="majorHAnsi"/>
          <w:sz w:val="22"/>
          <w:szCs w:val="22"/>
        </w:rPr>
        <w:t>Virtual broker</w:t>
      </w:r>
      <w:r w:rsidRPr="001D27B9">
        <w:rPr>
          <w:rFonts w:asciiTheme="majorHAnsi" w:hAnsiTheme="majorHAnsi"/>
          <w:sz w:val="22"/>
          <w:szCs w:val="22"/>
        </w:rPr>
        <w:t xml:space="preserve">s have submitted the data  - status of the </w:t>
      </w:r>
      <w:r>
        <w:rPr>
          <w:rFonts w:asciiTheme="majorHAnsi" w:hAnsiTheme="majorHAnsi"/>
          <w:sz w:val="22"/>
          <w:szCs w:val="22"/>
        </w:rPr>
        <w:t>cross-check</w:t>
      </w:r>
      <w:r w:rsidRPr="001D27B9">
        <w:rPr>
          <w:rFonts w:asciiTheme="majorHAnsi" w:hAnsiTheme="majorHAnsi"/>
          <w:sz w:val="22"/>
          <w:szCs w:val="22"/>
        </w:rPr>
        <w:t xml:space="preserve"> for this </w:t>
      </w:r>
      <w:r>
        <w:rPr>
          <w:rFonts w:asciiTheme="majorHAnsi" w:hAnsiTheme="majorHAnsi"/>
          <w:sz w:val="22"/>
          <w:szCs w:val="22"/>
        </w:rPr>
        <w:t xml:space="preserve">connection </w:t>
      </w:r>
      <w:r w:rsidRPr="001D27B9">
        <w:rPr>
          <w:rFonts w:asciiTheme="majorHAnsi" w:hAnsiTheme="majorHAnsi"/>
          <w:sz w:val="22"/>
          <w:szCs w:val="22"/>
        </w:rPr>
        <w:t xml:space="preserve">is marked as VALIDATED in the GUI </w:t>
      </w:r>
    </w:p>
    <w:p w14:paraId="50091573" w14:textId="77777777" w:rsidR="00F8788D" w:rsidRPr="00813A18" w:rsidRDefault="00F8788D" w:rsidP="002414BB">
      <w:pPr>
        <w:rPr>
          <w:rFonts w:asciiTheme="majorHAnsi" w:eastAsia="Lucida Sans Unicode" w:hAnsiTheme="majorHAnsi"/>
          <w:lang w:eastAsia="cs-CZ"/>
        </w:rPr>
      </w:pPr>
      <w:r>
        <w:rPr>
          <w:rFonts w:asciiTheme="majorHAnsi" w:hAnsiTheme="majorHAnsi"/>
        </w:rPr>
        <w:br w:type="page"/>
      </w:r>
    </w:p>
    <w:p w14:paraId="0788B2CC" w14:textId="77777777" w:rsidR="00F8788D" w:rsidRDefault="00F8788D" w:rsidP="00F8788D">
      <w:pPr>
        <w:pStyle w:val="Heading4"/>
        <w:numPr>
          <w:ilvl w:val="3"/>
          <w:numId w:val="16"/>
        </w:numPr>
      </w:pPr>
      <w:r>
        <w:t>Decoupling submission</w:t>
      </w:r>
    </w:p>
    <w:p w14:paraId="224003AB" w14:textId="77777777" w:rsidR="00F8788D" w:rsidRDefault="00F8788D" w:rsidP="002414BB">
      <w:pPr>
        <w:pStyle w:val="BodyText"/>
        <w:rPr>
          <w:rFonts w:asciiTheme="majorHAnsi" w:hAnsiTheme="majorHAnsi"/>
          <w:sz w:val="22"/>
          <w:szCs w:val="22"/>
        </w:rPr>
      </w:pPr>
      <w:r>
        <w:rPr>
          <w:rFonts w:asciiTheme="majorHAnsi" w:hAnsiTheme="majorHAnsi"/>
          <w:sz w:val="22"/>
          <w:szCs w:val="22"/>
        </w:rPr>
        <w:t>T</w:t>
      </w:r>
      <w:r w:rsidRPr="007E30A6">
        <w:rPr>
          <w:rFonts w:asciiTheme="majorHAnsi" w:hAnsiTheme="majorHAnsi"/>
          <w:sz w:val="22"/>
          <w:szCs w:val="22"/>
        </w:rPr>
        <w:t>he decoupling submission mode</w:t>
      </w:r>
      <w:r>
        <w:rPr>
          <w:rFonts w:asciiTheme="majorHAnsi" w:hAnsiTheme="majorHAnsi"/>
          <w:sz w:val="22"/>
          <w:szCs w:val="22"/>
        </w:rPr>
        <w:t xml:space="preserve"> might not be</w:t>
      </w:r>
      <w:r w:rsidRPr="007E30A6">
        <w:rPr>
          <w:rFonts w:asciiTheme="majorHAnsi" w:hAnsiTheme="majorHAnsi"/>
          <w:sz w:val="22"/>
          <w:szCs w:val="22"/>
        </w:rPr>
        <w:t xml:space="preserve"> required</w:t>
      </w:r>
      <w:r>
        <w:rPr>
          <w:rFonts w:asciiTheme="majorHAnsi" w:hAnsiTheme="majorHAnsi"/>
          <w:sz w:val="22"/>
          <w:szCs w:val="22"/>
        </w:rPr>
        <w:t xml:space="preserve"> in the future, but will be kept in the system. Currently the decoupling submission</w:t>
      </w:r>
      <w:r w:rsidRPr="007E30A6">
        <w:rPr>
          <w:rFonts w:asciiTheme="majorHAnsi" w:hAnsiTheme="majorHAnsi"/>
          <w:sz w:val="22"/>
          <w:szCs w:val="22"/>
        </w:rPr>
        <w:t xml:space="preserve"> </w:t>
      </w:r>
      <w:r>
        <w:rPr>
          <w:rFonts w:asciiTheme="majorHAnsi" w:hAnsiTheme="majorHAnsi"/>
          <w:sz w:val="22"/>
          <w:szCs w:val="22"/>
        </w:rPr>
        <w:t>mode allows PMB to set decoupling values for connection when non-data providing Virtual broker is decoupled. This will be allowed in the future also, but now supporting also multiple Virtual brokers to be configured.</w:t>
      </w:r>
    </w:p>
    <w:p w14:paraId="0CD97C82" w14:textId="77777777" w:rsidR="00F8788D" w:rsidRPr="001D27B9" w:rsidRDefault="00F8788D" w:rsidP="00F8788D">
      <w:pPr>
        <w:pStyle w:val="BodyText"/>
        <w:numPr>
          <w:ilvl w:val="0"/>
          <w:numId w:val="31"/>
        </w:numPr>
        <w:rPr>
          <w:rFonts w:asciiTheme="majorHAnsi" w:hAnsiTheme="majorHAnsi"/>
          <w:sz w:val="22"/>
          <w:szCs w:val="22"/>
        </w:rPr>
      </w:pPr>
      <w:r w:rsidRPr="001D27B9">
        <w:rPr>
          <w:rFonts w:asciiTheme="majorHAnsi" w:hAnsiTheme="majorHAnsi"/>
          <w:sz w:val="22"/>
          <w:szCs w:val="22"/>
        </w:rPr>
        <w:t xml:space="preserve">At least one of the </w:t>
      </w:r>
      <w:r>
        <w:rPr>
          <w:rFonts w:asciiTheme="majorHAnsi" w:hAnsiTheme="majorHAnsi"/>
          <w:sz w:val="22"/>
          <w:szCs w:val="22"/>
        </w:rPr>
        <w:t>Virtual brokers, configured as data providers in first group,</w:t>
      </w:r>
      <w:r w:rsidRPr="001D27B9">
        <w:rPr>
          <w:rFonts w:asciiTheme="majorHAnsi" w:hAnsiTheme="majorHAnsi"/>
          <w:sz w:val="22"/>
          <w:szCs w:val="22"/>
        </w:rPr>
        <w:t xml:space="preserve"> has to provide data for the </w:t>
      </w:r>
      <w:r>
        <w:rPr>
          <w:rFonts w:asciiTheme="majorHAnsi" w:hAnsiTheme="majorHAnsi"/>
          <w:sz w:val="22"/>
          <w:szCs w:val="22"/>
        </w:rPr>
        <w:t>connection</w:t>
      </w:r>
      <w:r w:rsidRPr="001D27B9">
        <w:rPr>
          <w:rFonts w:asciiTheme="majorHAnsi" w:hAnsiTheme="majorHAnsi"/>
          <w:sz w:val="22"/>
          <w:szCs w:val="22"/>
        </w:rPr>
        <w:t>, but more than one of the</w:t>
      </w:r>
      <w:r>
        <w:rPr>
          <w:rFonts w:asciiTheme="majorHAnsi" w:hAnsiTheme="majorHAnsi"/>
          <w:sz w:val="22"/>
          <w:szCs w:val="22"/>
        </w:rPr>
        <w:t xml:space="preserve">m </w:t>
      </w:r>
      <w:r w:rsidRPr="001D27B9">
        <w:rPr>
          <w:rFonts w:asciiTheme="majorHAnsi" w:hAnsiTheme="majorHAnsi"/>
          <w:sz w:val="22"/>
          <w:szCs w:val="22"/>
        </w:rPr>
        <w:t>can provide the data</w:t>
      </w:r>
    </w:p>
    <w:p w14:paraId="0E8A4259" w14:textId="77777777" w:rsidR="00F8788D" w:rsidRPr="00723A6E" w:rsidRDefault="00F8788D" w:rsidP="00F8788D">
      <w:pPr>
        <w:pStyle w:val="BodyText"/>
        <w:numPr>
          <w:ilvl w:val="0"/>
          <w:numId w:val="31"/>
        </w:numPr>
        <w:rPr>
          <w:rFonts w:asciiTheme="majorHAnsi" w:hAnsiTheme="majorHAnsi"/>
          <w:sz w:val="22"/>
          <w:szCs w:val="22"/>
        </w:rPr>
      </w:pPr>
      <w:r>
        <w:rPr>
          <w:rFonts w:asciiTheme="majorHAnsi" w:hAnsiTheme="majorHAnsi"/>
          <w:sz w:val="22"/>
          <w:szCs w:val="22"/>
        </w:rPr>
        <w:t>None of the Virtual brokers configured as data providers in second group,</w:t>
      </w:r>
      <w:r w:rsidRPr="00723A6E" w:rsidDel="000E5CDB">
        <w:rPr>
          <w:rFonts w:asciiTheme="majorHAnsi" w:hAnsiTheme="majorHAnsi"/>
          <w:sz w:val="22"/>
          <w:szCs w:val="22"/>
        </w:rPr>
        <w:t xml:space="preserve"> </w:t>
      </w:r>
      <w:r w:rsidRPr="00723A6E">
        <w:rPr>
          <w:rFonts w:asciiTheme="majorHAnsi" w:hAnsiTheme="majorHAnsi"/>
          <w:sz w:val="22"/>
          <w:szCs w:val="22"/>
        </w:rPr>
        <w:t xml:space="preserve">can provide data for the </w:t>
      </w:r>
      <w:r>
        <w:rPr>
          <w:rFonts w:asciiTheme="majorHAnsi" w:hAnsiTheme="majorHAnsi"/>
          <w:sz w:val="22"/>
          <w:szCs w:val="22"/>
        </w:rPr>
        <w:t>connection</w:t>
      </w:r>
    </w:p>
    <w:p w14:paraId="69200FDE" w14:textId="77777777" w:rsidR="00F8788D" w:rsidRDefault="00F8788D" w:rsidP="002414BB">
      <w:pPr>
        <w:pStyle w:val="BodyText"/>
        <w:rPr>
          <w:rFonts w:asciiTheme="majorHAnsi" w:hAnsiTheme="majorHAnsi"/>
          <w:sz w:val="22"/>
          <w:szCs w:val="22"/>
        </w:rPr>
      </w:pPr>
      <w:r>
        <w:rPr>
          <w:rFonts w:asciiTheme="majorHAnsi" w:hAnsiTheme="majorHAnsi"/>
          <w:sz w:val="22"/>
          <w:szCs w:val="22"/>
        </w:rPr>
        <w:t>In case all the virtual brokers which are configured in the second group, are decoupled, the decoupling values are set for the connection.</w:t>
      </w:r>
    </w:p>
    <w:p w14:paraId="0E0DB90E" w14:textId="77777777" w:rsidR="00F8788D" w:rsidRPr="001D27B9" w:rsidRDefault="00F8788D" w:rsidP="002414BB">
      <w:pPr>
        <w:pStyle w:val="BodyText"/>
        <w:rPr>
          <w:rFonts w:asciiTheme="majorHAnsi" w:hAnsiTheme="majorHAnsi"/>
          <w:sz w:val="22"/>
          <w:szCs w:val="22"/>
        </w:rPr>
      </w:pPr>
      <w:r>
        <w:rPr>
          <w:rFonts w:asciiTheme="majorHAnsi" w:hAnsiTheme="majorHAnsi"/>
          <w:sz w:val="22"/>
          <w:szCs w:val="22"/>
        </w:rPr>
        <w:t xml:space="preserve">Cross-check validations are similar to the Alternate submission mode. </w:t>
      </w:r>
      <w:r w:rsidRPr="001D27B9">
        <w:rPr>
          <w:rFonts w:asciiTheme="majorHAnsi" w:hAnsiTheme="majorHAnsi"/>
          <w:sz w:val="22"/>
          <w:szCs w:val="22"/>
        </w:rPr>
        <w:t xml:space="preserve">If there is data for the </w:t>
      </w:r>
      <w:r>
        <w:rPr>
          <w:rFonts w:asciiTheme="majorHAnsi" w:hAnsiTheme="majorHAnsi"/>
          <w:sz w:val="22"/>
          <w:szCs w:val="22"/>
        </w:rPr>
        <w:t>connection</w:t>
      </w:r>
      <w:r w:rsidRPr="001D27B9">
        <w:rPr>
          <w:rFonts w:asciiTheme="majorHAnsi" w:hAnsiTheme="majorHAnsi"/>
          <w:sz w:val="22"/>
          <w:szCs w:val="22"/>
        </w:rPr>
        <w:t xml:space="preserve"> provided by more than one </w:t>
      </w:r>
      <w:r>
        <w:rPr>
          <w:rFonts w:asciiTheme="majorHAnsi" w:hAnsiTheme="majorHAnsi"/>
          <w:sz w:val="22"/>
          <w:szCs w:val="22"/>
        </w:rPr>
        <w:t>virtual broker (configured in first group)</w:t>
      </w:r>
      <w:r w:rsidRPr="001D27B9">
        <w:rPr>
          <w:rFonts w:asciiTheme="majorHAnsi" w:hAnsiTheme="majorHAnsi"/>
          <w:sz w:val="22"/>
          <w:szCs w:val="22"/>
        </w:rPr>
        <w:t xml:space="preserve">, the </w:t>
      </w:r>
      <w:r>
        <w:rPr>
          <w:rFonts w:asciiTheme="majorHAnsi" w:hAnsiTheme="majorHAnsi"/>
          <w:sz w:val="22"/>
          <w:szCs w:val="22"/>
        </w:rPr>
        <w:t>c</w:t>
      </w:r>
      <w:r w:rsidRPr="001D27B9">
        <w:rPr>
          <w:rFonts w:asciiTheme="majorHAnsi" w:hAnsiTheme="majorHAnsi"/>
          <w:sz w:val="22"/>
          <w:szCs w:val="22"/>
        </w:rPr>
        <w:t>ross</w:t>
      </w:r>
      <w:r>
        <w:rPr>
          <w:rFonts w:asciiTheme="majorHAnsi" w:hAnsiTheme="majorHAnsi"/>
          <w:sz w:val="22"/>
          <w:szCs w:val="22"/>
        </w:rPr>
        <w:t>-c</w:t>
      </w:r>
      <w:r w:rsidRPr="001D27B9">
        <w:rPr>
          <w:rFonts w:asciiTheme="majorHAnsi" w:hAnsiTheme="majorHAnsi"/>
          <w:sz w:val="22"/>
          <w:szCs w:val="22"/>
        </w:rPr>
        <w:t xml:space="preserve">heck validation is performed between all </w:t>
      </w:r>
      <w:r>
        <w:rPr>
          <w:rFonts w:asciiTheme="majorHAnsi" w:hAnsiTheme="majorHAnsi"/>
          <w:sz w:val="22"/>
          <w:szCs w:val="22"/>
        </w:rPr>
        <w:t>VBs</w:t>
      </w:r>
      <w:r w:rsidRPr="001D27B9">
        <w:rPr>
          <w:rFonts w:asciiTheme="majorHAnsi" w:hAnsiTheme="majorHAnsi"/>
          <w:sz w:val="22"/>
          <w:szCs w:val="22"/>
        </w:rPr>
        <w:t xml:space="preserve"> which have provided the data for the </w:t>
      </w:r>
      <w:r>
        <w:rPr>
          <w:rFonts w:asciiTheme="majorHAnsi" w:hAnsiTheme="majorHAnsi"/>
          <w:sz w:val="22"/>
          <w:szCs w:val="22"/>
        </w:rPr>
        <w:t>connection</w:t>
      </w:r>
      <w:r w:rsidRPr="001D27B9">
        <w:rPr>
          <w:rFonts w:asciiTheme="majorHAnsi" w:hAnsiTheme="majorHAnsi"/>
          <w:sz w:val="22"/>
          <w:szCs w:val="22"/>
        </w:rPr>
        <w:t xml:space="preserve"> in their last validated network</w:t>
      </w:r>
      <w:r>
        <w:rPr>
          <w:rFonts w:asciiTheme="majorHAnsi" w:hAnsiTheme="majorHAnsi"/>
          <w:sz w:val="22"/>
          <w:szCs w:val="22"/>
        </w:rPr>
        <w:t xml:space="preserve"> data</w:t>
      </w:r>
      <w:r w:rsidRPr="001D27B9">
        <w:rPr>
          <w:rFonts w:asciiTheme="majorHAnsi" w:hAnsiTheme="majorHAnsi"/>
          <w:sz w:val="22"/>
          <w:szCs w:val="22"/>
        </w:rPr>
        <w:t xml:space="preserve"> message (highest validated version)</w:t>
      </w:r>
      <w:r>
        <w:rPr>
          <w:rFonts w:asciiTheme="majorHAnsi" w:hAnsiTheme="majorHAnsi"/>
          <w:sz w:val="22"/>
          <w:szCs w:val="22"/>
        </w:rPr>
        <w:t>.</w:t>
      </w:r>
    </w:p>
    <w:p w14:paraId="3F80F5CC" w14:textId="77777777" w:rsidR="00F8788D" w:rsidRPr="001D27B9" w:rsidRDefault="00F8788D" w:rsidP="00F8788D">
      <w:pPr>
        <w:pStyle w:val="BodyText"/>
        <w:numPr>
          <w:ilvl w:val="0"/>
          <w:numId w:val="31"/>
        </w:numPr>
        <w:rPr>
          <w:rFonts w:asciiTheme="majorHAnsi" w:hAnsiTheme="majorHAnsi"/>
          <w:sz w:val="22"/>
          <w:szCs w:val="22"/>
        </w:rPr>
      </w:pPr>
      <w:r w:rsidRPr="001D27B9">
        <w:rPr>
          <w:rFonts w:asciiTheme="majorHAnsi" w:hAnsiTheme="majorHAnsi"/>
          <w:sz w:val="22"/>
          <w:szCs w:val="22"/>
        </w:rPr>
        <w:t xml:space="preserve">data are the same - status of the </w:t>
      </w:r>
      <w:r>
        <w:rPr>
          <w:rFonts w:asciiTheme="majorHAnsi" w:hAnsiTheme="majorHAnsi"/>
          <w:sz w:val="22"/>
          <w:szCs w:val="22"/>
        </w:rPr>
        <w:t>cross-check</w:t>
      </w:r>
      <w:r w:rsidRPr="001D27B9">
        <w:rPr>
          <w:rFonts w:asciiTheme="majorHAnsi" w:hAnsiTheme="majorHAnsi"/>
          <w:sz w:val="22"/>
          <w:szCs w:val="22"/>
        </w:rPr>
        <w:t xml:space="preserve"> for this </w:t>
      </w:r>
      <w:r>
        <w:rPr>
          <w:rFonts w:asciiTheme="majorHAnsi" w:hAnsiTheme="majorHAnsi"/>
          <w:sz w:val="22"/>
          <w:szCs w:val="22"/>
        </w:rPr>
        <w:t>connection</w:t>
      </w:r>
      <w:r w:rsidRPr="001D27B9">
        <w:rPr>
          <w:rFonts w:asciiTheme="majorHAnsi" w:hAnsiTheme="majorHAnsi"/>
          <w:sz w:val="22"/>
          <w:szCs w:val="22"/>
        </w:rPr>
        <w:t xml:space="preserve"> is marked as VALIDATED in the GUI </w:t>
      </w:r>
    </w:p>
    <w:p w14:paraId="5162774A" w14:textId="77777777" w:rsidR="00F8788D" w:rsidRPr="00C7713E" w:rsidRDefault="00F8788D" w:rsidP="00F8788D">
      <w:pPr>
        <w:pStyle w:val="BodyText"/>
        <w:numPr>
          <w:ilvl w:val="0"/>
          <w:numId w:val="31"/>
        </w:numPr>
        <w:rPr>
          <w:rFonts w:asciiTheme="majorHAnsi" w:hAnsiTheme="majorHAnsi"/>
          <w:sz w:val="22"/>
          <w:szCs w:val="22"/>
        </w:rPr>
      </w:pPr>
      <w:r w:rsidRPr="001D27B9">
        <w:rPr>
          <w:rFonts w:asciiTheme="majorHAnsi" w:hAnsiTheme="majorHAnsi"/>
          <w:sz w:val="22"/>
          <w:szCs w:val="22"/>
        </w:rPr>
        <w:t xml:space="preserve">data are not the same - status of the </w:t>
      </w:r>
      <w:r>
        <w:rPr>
          <w:rFonts w:asciiTheme="majorHAnsi" w:hAnsiTheme="majorHAnsi"/>
          <w:sz w:val="22"/>
          <w:szCs w:val="22"/>
        </w:rPr>
        <w:t>cross-check</w:t>
      </w:r>
      <w:r w:rsidRPr="001D27B9">
        <w:rPr>
          <w:rFonts w:asciiTheme="majorHAnsi" w:hAnsiTheme="majorHAnsi"/>
          <w:sz w:val="22"/>
          <w:szCs w:val="22"/>
        </w:rPr>
        <w:t xml:space="preserve"> for thi</w:t>
      </w:r>
      <w:r>
        <w:rPr>
          <w:rFonts w:asciiTheme="majorHAnsi" w:hAnsiTheme="majorHAnsi"/>
          <w:sz w:val="22"/>
          <w:szCs w:val="22"/>
        </w:rPr>
        <w:t>s connection is marked as FAILED</w:t>
      </w:r>
    </w:p>
    <w:p w14:paraId="4987261A" w14:textId="77777777" w:rsidR="00F8788D" w:rsidRPr="00723A6E" w:rsidRDefault="00F8788D" w:rsidP="002414BB">
      <w:pPr>
        <w:pStyle w:val="BodyText"/>
        <w:rPr>
          <w:rFonts w:asciiTheme="majorHAnsi" w:hAnsiTheme="majorHAnsi"/>
          <w:sz w:val="22"/>
          <w:szCs w:val="22"/>
        </w:rPr>
      </w:pPr>
    </w:p>
    <w:p w14:paraId="60CD9394" w14:textId="77777777" w:rsidR="00F8788D" w:rsidRPr="00E63FE7" w:rsidRDefault="00F8788D" w:rsidP="00F8788D">
      <w:pPr>
        <w:pStyle w:val="Heading3"/>
        <w:numPr>
          <w:ilvl w:val="2"/>
          <w:numId w:val="16"/>
        </w:numPr>
      </w:pPr>
      <w:bookmarkStart w:id="459" w:name="_Toc503782622"/>
      <w:bookmarkStart w:id="460" w:name="_Toc507425429"/>
      <w:r>
        <w:t xml:space="preserve">Network data validation </w:t>
      </w:r>
      <w:r w:rsidRPr="00E63FE7">
        <w:t>GUI</w:t>
      </w:r>
      <w:bookmarkEnd w:id="459"/>
      <w:bookmarkEnd w:id="460"/>
    </w:p>
    <w:p w14:paraId="49A37054" w14:textId="77777777" w:rsidR="00F8788D" w:rsidRPr="00723A6E" w:rsidRDefault="00F8788D" w:rsidP="002414BB">
      <w:pPr>
        <w:pStyle w:val="BodyText"/>
        <w:rPr>
          <w:rFonts w:asciiTheme="majorHAnsi" w:hAnsiTheme="majorHAnsi"/>
          <w:sz w:val="22"/>
          <w:szCs w:val="22"/>
        </w:rPr>
      </w:pPr>
      <w:r w:rsidRPr="00723A6E">
        <w:rPr>
          <w:rFonts w:asciiTheme="majorHAnsi" w:hAnsiTheme="majorHAnsi"/>
          <w:sz w:val="22"/>
          <w:szCs w:val="22"/>
        </w:rPr>
        <w:t xml:space="preserve">List of all </w:t>
      </w:r>
      <w:r>
        <w:rPr>
          <w:rFonts w:asciiTheme="majorHAnsi" w:hAnsiTheme="majorHAnsi"/>
          <w:sz w:val="22"/>
          <w:szCs w:val="22"/>
        </w:rPr>
        <w:t>cross-checks</w:t>
      </w:r>
      <w:r w:rsidRPr="00723A6E">
        <w:rPr>
          <w:rFonts w:asciiTheme="majorHAnsi" w:hAnsiTheme="majorHAnsi"/>
          <w:sz w:val="22"/>
          <w:szCs w:val="22"/>
        </w:rPr>
        <w:t xml:space="preserve"> is accessible from the </w:t>
      </w:r>
      <w:r>
        <w:rPr>
          <w:rFonts w:asciiTheme="majorHAnsi" w:hAnsiTheme="majorHAnsi"/>
          <w:sz w:val="22"/>
          <w:szCs w:val="22"/>
        </w:rPr>
        <w:t>PMB GUI</w:t>
      </w:r>
      <w:r w:rsidRPr="00723A6E">
        <w:rPr>
          <w:rFonts w:asciiTheme="majorHAnsi" w:hAnsiTheme="majorHAnsi"/>
          <w:sz w:val="22"/>
          <w:szCs w:val="22"/>
        </w:rPr>
        <w:t xml:space="preserve">. The list of </w:t>
      </w:r>
      <w:r>
        <w:rPr>
          <w:rFonts w:asciiTheme="majorHAnsi" w:hAnsiTheme="majorHAnsi"/>
          <w:sz w:val="22"/>
          <w:szCs w:val="22"/>
        </w:rPr>
        <w:t>cross-checks</w:t>
      </w:r>
      <w:r w:rsidRPr="00723A6E">
        <w:rPr>
          <w:rFonts w:asciiTheme="majorHAnsi" w:hAnsiTheme="majorHAnsi"/>
          <w:sz w:val="22"/>
          <w:szCs w:val="22"/>
        </w:rPr>
        <w:t xml:space="preserve"> is redesigned due to ability to display more </w:t>
      </w:r>
      <w:r>
        <w:rPr>
          <w:rFonts w:asciiTheme="majorHAnsi" w:hAnsiTheme="majorHAnsi"/>
          <w:sz w:val="22"/>
          <w:szCs w:val="22"/>
        </w:rPr>
        <w:t>virtual broker</w:t>
      </w:r>
      <w:r w:rsidRPr="00723A6E">
        <w:rPr>
          <w:rFonts w:asciiTheme="majorHAnsi" w:hAnsiTheme="majorHAnsi"/>
          <w:sz w:val="22"/>
          <w:szCs w:val="22"/>
        </w:rPr>
        <w:t xml:space="preserve">s in one cell of the table. All responsible </w:t>
      </w:r>
      <w:r>
        <w:rPr>
          <w:rFonts w:asciiTheme="majorHAnsi" w:hAnsiTheme="majorHAnsi"/>
          <w:sz w:val="22"/>
          <w:szCs w:val="22"/>
        </w:rPr>
        <w:t xml:space="preserve">virtual brokers </w:t>
      </w:r>
      <w:r w:rsidRPr="00723A6E">
        <w:rPr>
          <w:rFonts w:asciiTheme="majorHAnsi" w:hAnsiTheme="majorHAnsi"/>
          <w:sz w:val="22"/>
          <w:szCs w:val="22"/>
        </w:rPr>
        <w:t xml:space="preserve">are listed </w:t>
      </w:r>
      <w:r>
        <w:rPr>
          <w:rFonts w:asciiTheme="majorHAnsi" w:hAnsiTheme="majorHAnsi"/>
          <w:sz w:val="22"/>
          <w:szCs w:val="22"/>
        </w:rPr>
        <w:t>in the GUI with information of received data.</w:t>
      </w:r>
    </w:p>
    <w:p w14:paraId="1E191F02" w14:textId="77777777" w:rsidR="00F8788D" w:rsidRPr="00541ECF" w:rsidRDefault="00F8788D" w:rsidP="002414BB">
      <w:pPr>
        <w:pStyle w:val="BodyText"/>
        <w:rPr>
          <w:sz w:val="20"/>
        </w:rPr>
      </w:pPr>
    </w:p>
    <w:p w14:paraId="44C7570F" w14:textId="77777777" w:rsidR="00F8788D" w:rsidRDefault="00F8788D" w:rsidP="00F8788D">
      <w:pPr>
        <w:pStyle w:val="Heading2"/>
        <w:numPr>
          <w:ilvl w:val="1"/>
          <w:numId w:val="16"/>
        </w:numPr>
      </w:pPr>
      <w:bookmarkStart w:id="461" w:name="_Toc503782623"/>
      <w:bookmarkStart w:id="462" w:name="_Toc507425430"/>
      <w:r>
        <w:t>Order data submission</w:t>
      </w:r>
      <w:bookmarkEnd w:id="461"/>
      <w:bookmarkEnd w:id="462"/>
    </w:p>
    <w:p w14:paraId="2E63B14B" w14:textId="77777777" w:rsidR="00F8788D" w:rsidRDefault="00F8788D" w:rsidP="002414BB">
      <w:pPr>
        <w:jc w:val="both"/>
      </w:pPr>
      <w:r>
        <w:t>As input data from NEMOs will be collected on NEMO trading hub level in the future MNA solution, the l</w:t>
      </w:r>
      <w:r w:rsidRPr="0026698A">
        <w:t xml:space="preserve">ocal trading </w:t>
      </w:r>
      <w:r>
        <w:t>systems</w:t>
      </w:r>
      <w:r w:rsidRPr="0026698A">
        <w:t xml:space="preserve"> of </w:t>
      </w:r>
      <w:r>
        <w:t xml:space="preserve">individual </w:t>
      </w:r>
      <w:r w:rsidRPr="0026698A">
        <w:t>NEMOs need to be</w:t>
      </w:r>
      <w:r>
        <w:t xml:space="preserve"> adapted accordingly</w:t>
      </w:r>
      <w:r w:rsidRPr="0026698A">
        <w:t xml:space="preserve">. This applies only to those NEMOs which intent to send order books on bidding zone which has more than one scheduling area. </w:t>
      </w:r>
    </w:p>
    <w:p w14:paraId="419551BA" w14:textId="77777777" w:rsidR="00F8788D" w:rsidRDefault="00F8788D" w:rsidP="002414BB">
      <w:pPr>
        <w:jc w:val="both"/>
      </w:pPr>
    </w:p>
    <w:p w14:paraId="186D315A" w14:textId="77777777" w:rsidR="00F8788D" w:rsidRDefault="00F8788D" w:rsidP="002414BB">
      <w:pPr>
        <w:jc w:val="both"/>
      </w:pPr>
      <w:r w:rsidRPr="0026698A">
        <w:t xml:space="preserve">For bidding zones where exists only one </w:t>
      </w:r>
      <w:r>
        <w:t>s</w:t>
      </w:r>
      <w:r w:rsidRPr="0026698A">
        <w:t>cheduling area, the implementation is kept untouched</w:t>
      </w:r>
      <w:r>
        <w:t xml:space="preserve"> from current PCR PMB interface and NEMOs can send order data using existing Bidding area -element in the schema. PMB will relate the received order data information (sending NEMO, bidding zone) to the correct NTH based on the SCF configuration. </w:t>
      </w:r>
    </w:p>
    <w:p w14:paraId="300B08F0" w14:textId="77777777" w:rsidR="00F8788D" w:rsidRDefault="00F8788D" w:rsidP="002414BB">
      <w:pPr>
        <w:jc w:val="both"/>
      </w:pPr>
    </w:p>
    <w:p w14:paraId="32629E5A" w14:textId="77777777" w:rsidR="00F8788D" w:rsidRDefault="00F8788D" w:rsidP="002414BB">
      <w:pPr>
        <w:jc w:val="both"/>
      </w:pPr>
      <w:r>
        <w:t>For bidding zones where there are multiple scheduling areas, the NEMOs need to send in the order data with scheduling area -information. Thus, sending the orders per bidding zones and scheduling areas.</w:t>
      </w:r>
      <w:r w:rsidRPr="009E5F15">
        <w:t xml:space="preserve"> </w:t>
      </w:r>
      <w:r>
        <w:t>PMB will then relate the received order data information (sending NEMO, bidding zone, scheduling area) to the correct NTH based on the SCF configuration.</w:t>
      </w:r>
    </w:p>
    <w:p w14:paraId="0C61C142" w14:textId="77777777" w:rsidR="00F8788D" w:rsidRDefault="00F8788D" w:rsidP="002414BB">
      <w:pPr>
        <w:tabs>
          <w:tab w:val="num" w:pos="720"/>
        </w:tabs>
      </w:pPr>
    </w:p>
    <w:p w14:paraId="1D3FBD4C" w14:textId="77777777" w:rsidR="00F8788D" w:rsidRDefault="00F8788D" w:rsidP="002414BB">
      <w:pPr>
        <w:tabs>
          <w:tab w:val="num" w:pos="720"/>
        </w:tabs>
      </w:pPr>
      <w:r>
        <w:t>Submitted order d</w:t>
      </w:r>
      <w:r w:rsidRPr="00AC1B40">
        <w:t>ata will be anonymous similarly as it currently is.</w:t>
      </w:r>
    </w:p>
    <w:p w14:paraId="314DC88E" w14:textId="77777777" w:rsidR="00F8788D" w:rsidRDefault="00F8788D" w:rsidP="002414BB">
      <w:r>
        <w:br w:type="page"/>
      </w:r>
    </w:p>
    <w:p w14:paraId="1013AF0E" w14:textId="77777777" w:rsidR="00F8788D" w:rsidRDefault="00F8788D" w:rsidP="00F8788D">
      <w:pPr>
        <w:pStyle w:val="Heading2"/>
        <w:numPr>
          <w:ilvl w:val="1"/>
          <w:numId w:val="16"/>
        </w:numPr>
      </w:pPr>
      <w:bookmarkStart w:id="463" w:name="_Toc503782624"/>
      <w:bookmarkStart w:id="464" w:name="_Toc507425431"/>
      <w:r>
        <w:t>Interface changes towards algorithm</w:t>
      </w:r>
      <w:bookmarkEnd w:id="463"/>
      <w:bookmarkEnd w:id="464"/>
    </w:p>
    <w:p w14:paraId="5E2F59CA" w14:textId="77777777" w:rsidR="00F8788D" w:rsidRPr="007021D6" w:rsidRDefault="00F8788D" w:rsidP="002414BB">
      <w:r w:rsidRPr="007021D6">
        <w:t xml:space="preserve">Due to </w:t>
      </w:r>
      <w:r>
        <w:t xml:space="preserve">the MNA </w:t>
      </w:r>
      <w:r w:rsidRPr="007021D6">
        <w:t>s</w:t>
      </w:r>
      <w:r>
        <w:t>etup</w:t>
      </w:r>
      <w:r w:rsidRPr="007021D6">
        <w:t xml:space="preserve"> the </w:t>
      </w:r>
      <w:r>
        <w:t>a</w:t>
      </w:r>
      <w:r w:rsidRPr="007021D6">
        <w:t>lgorithm interface</w:t>
      </w:r>
      <w:r>
        <w:t xml:space="preserve"> between PMB and Euphemia</w:t>
      </w:r>
      <w:r w:rsidRPr="007021D6">
        <w:t xml:space="preserve"> </w:t>
      </w:r>
      <w:r>
        <w:t>will</w:t>
      </w:r>
      <w:r w:rsidRPr="007021D6">
        <w:t xml:space="preserve"> change. </w:t>
      </w:r>
    </w:p>
    <w:p w14:paraId="599492F1" w14:textId="77777777" w:rsidR="00F8788D" w:rsidRDefault="00F8788D" w:rsidP="002414BB">
      <w:r>
        <w:t>The</w:t>
      </w:r>
      <w:r w:rsidRPr="007021D6">
        <w:t xml:space="preserve"> mapping </w:t>
      </w:r>
      <w:r>
        <w:t>from</w:t>
      </w:r>
      <w:r w:rsidRPr="007021D6">
        <w:t xml:space="preserve"> </w:t>
      </w:r>
      <w:r>
        <w:t>a</w:t>
      </w:r>
      <w:r w:rsidRPr="007021D6">
        <w:t xml:space="preserve">lgorithm interface </w:t>
      </w:r>
      <w:r>
        <w:t xml:space="preserve">to </w:t>
      </w:r>
      <w:r w:rsidRPr="007021D6">
        <w:t>SCF</w:t>
      </w:r>
      <w:r>
        <w:t>, o</w:t>
      </w:r>
      <w:r w:rsidRPr="007021D6">
        <w:t>rder data</w:t>
      </w:r>
      <w:r>
        <w:t xml:space="preserve"> and results document content is changed.</w:t>
      </w:r>
    </w:p>
    <w:p w14:paraId="33D60B5B" w14:textId="77777777" w:rsidR="00F8788D" w:rsidRDefault="00F8788D" w:rsidP="002414BB"/>
    <w:p w14:paraId="357E79CD" w14:textId="77777777" w:rsidR="00F8788D" w:rsidRDefault="00F8788D" w:rsidP="002414BB">
      <w:r>
        <w:t>Reference between NEMO and corresponding virtual broker / data providing system is created.</w:t>
      </w:r>
    </w:p>
    <w:bookmarkEnd w:id="452"/>
    <w:p w14:paraId="50137BD9" w14:textId="77777777" w:rsidR="00F8788D" w:rsidRDefault="00F8788D" w:rsidP="002414BB">
      <w:pPr>
        <w:rPr>
          <w:lang w:eastAsia="fr-FR"/>
        </w:rPr>
      </w:pPr>
      <w:r>
        <w:rPr>
          <w:lang w:eastAsia="fr-FR"/>
        </w:rPr>
        <w:t>Reference between NTH, bidding zone, NEMO and curve form is created.</w:t>
      </w:r>
    </w:p>
    <w:p w14:paraId="16830D86" w14:textId="77777777" w:rsidR="00F8788D" w:rsidRDefault="00F8788D" w:rsidP="002414BB">
      <w:pPr>
        <w:pStyle w:val="BodyText"/>
        <w:rPr>
          <w:lang w:eastAsia="fr-FR"/>
        </w:rPr>
      </w:pPr>
    </w:p>
    <w:p w14:paraId="3CAA916A" w14:textId="77777777" w:rsidR="00F8788D" w:rsidRDefault="00F8788D" w:rsidP="00F8788D">
      <w:pPr>
        <w:pStyle w:val="Heading3"/>
        <w:numPr>
          <w:ilvl w:val="2"/>
          <w:numId w:val="16"/>
        </w:numPr>
        <w:rPr>
          <w:lang w:eastAsia="fr-FR"/>
        </w:rPr>
      </w:pPr>
      <w:bookmarkStart w:id="465" w:name="_Toc479840518"/>
      <w:bookmarkStart w:id="466" w:name="_Toc479840632"/>
      <w:bookmarkStart w:id="467" w:name="_Toc479840753"/>
      <w:bookmarkStart w:id="468" w:name="_Toc479841491"/>
      <w:bookmarkStart w:id="469" w:name="_Toc479841663"/>
      <w:bookmarkStart w:id="470" w:name="_Toc479840519"/>
      <w:bookmarkStart w:id="471" w:name="_Toc479840633"/>
      <w:bookmarkStart w:id="472" w:name="_Toc479840754"/>
      <w:bookmarkStart w:id="473" w:name="_Toc479841492"/>
      <w:bookmarkStart w:id="474" w:name="_Toc479841664"/>
      <w:bookmarkStart w:id="475" w:name="_Toc479840520"/>
      <w:bookmarkStart w:id="476" w:name="_Toc479840634"/>
      <w:bookmarkStart w:id="477" w:name="_Toc479840755"/>
      <w:bookmarkStart w:id="478" w:name="_Toc479841493"/>
      <w:bookmarkStart w:id="479" w:name="_Toc479841665"/>
      <w:bookmarkStart w:id="480" w:name="_Toc479840521"/>
      <w:bookmarkStart w:id="481" w:name="_Toc479840635"/>
      <w:bookmarkStart w:id="482" w:name="_Toc479840756"/>
      <w:bookmarkStart w:id="483" w:name="_Toc479841494"/>
      <w:bookmarkStart w:id="484" w:name="_Toc479841666"/>
      <w:bookmarkStart w:id="485" w:name="_Toc479840522"/>
      <w:bookmarkStart w:id="486" w:name="_Toc479840636"/>
      <w:bookmarkStart w:id="487" w:name="_Toc479840757"/>
      <w:bookmarkStart w:id="488" w:name="_Toc479841495"/>
      <w:bookmarkStart w:id="489" w:name="_Toc479841667"/>
      <w:bookmarkStart w:id="490" w:name="_Toc479840523"/>
      <w:bookmarkStart w:id="491" w:name="_Toc479840637"/>
      <w:bookmarkStart w:id="492" w:name="_Toc479840758"/>
      <w:bookmarkStart w:id="493" w:name="_Toc479841496"/>
      <w:bookmarkStart w:id="494" w:name="_Toc479841668"/>
      <w:bookmarkStart w:id="495" w:name="_Toc479840524"/>
      <w:bookmarkStart w:id="496" w:name="_Toc479840638"/>
      <w:bookmarkStart w:id="497" w:name="_Toc479840759"/>
      <w:bookmarkStart w:id="498" w:name="_Toc479841497"/>
      <w:bookmarkStart w:id="499" w:name="_Toc479841669"/>
      <w:bookmarkStart w:id="500" w:name="_Toc479840525"/>
      <w:bookmarkStart w:id="501" w:name="_Toc479840639"/>
      <w:bookmarkStart w:id="502" w:name="_Toc479840760"/>
      <w:bookmarkStart w:id="503" w:name="_Toc479841498"/>
      <w:bookmarkStart w:id="504" w:name="_Toc479841670"/>
      <w:bookmarkStart w:id="505" w:name="_Toc479840526"/>
      <w:bookmarkStart w:id="506" w:name="_Toc479840640"/>
      <w:bookmarkStart w:id="507" w:name="_Toc479840761"/>
      <w:bookmarkStart w:id="508" w:name="_Toc479841499"/>
      <w:bookmarkStart w:id="509" w:name="_Toc479841671"/>
      <w:bookmarkStart w:id="510" w:name="_Toc479840527"/>
      <w:bookmarkStart w:id="511" w:name="_Toc479840641"/>
      <w:bookmarkStart w:id="512" w:name="_Toc479840762"/>
      <w:bookmarkStart w:id="513" w:name="_Toc479841500"/>
      <w:bookmarkStart w:id="514" w:name="_Toc479841672"/>
      <w:bookmarkStart w:id="515" w:name="_Toc479840528"/>
      <w:bookmarkStart w:id="516" w:name="_Toc479840642"/>
      <w:bookmarkStart w:id="517" w:name="_Toc479840763"/>
      <w:bookmarkStart w:id="518" w:name="_Toc479841501"/>
      <w:bookmarkStart w:id="519" w:name="_Toc479841673"/>
      <w:bookmarkStart w:id="520" w:name="_Toc479840529"/>
      <w:bookmarkStart w:id="521" w:name="_Toc479840643"/>
      <w:bookmarkStart w:id="522" w:name="_Toc479840764"/>
      <w:bookmarkStart w:id="523" w:name="_Toc479841502"/>
      <w:bookmarkStart w:id="524" w:name="_Toc479841674"/>
      <w:bookmarkStart w:id="525" w:name="_Toc479840530"/>
      <w:bookmarkStart w:id="526" w:name="_Toc479840644"/>
      <w:bookmarkStart w:id="527" w:name="_Toc479840765"/>
      <w:bookmarkStart w:id="528" w:name="_Toc479841503"/>
      <w:bookmarkStart w:id="529" w:name="_Toc479841675"/>
      <w:bookmarkStart w:id="530" w:name="_Toc479840531"/>
      <w:bookmarkStart w:id="531" w:name="_Toc479840645"/>
      <w:bookmarkStart w:id="532" w:name="_Toc479840766"/>
      <w:bookmarkStart w:id="533" w:name="_Toc479841504"/>
      <w:bookmarkStart w:id="534" w:name="_Toc479841676"/>
      <w:bookmarkStart w:id="535" w:name="_Toc479840532"/>
      <w:bookmarkStart w:id="536" w:name="_Toc479840646"/>
      <w:bookmarkStart w:id="537" w:name="_Toc479840767"/>
      <w:bookmarkStart w:id="538" w:name="_Toc479841505"/>
      <w:bookmarkStart w:id="539" w:name="_Toc479841677"/>
      <w:bookmarkStart w:id="540" w:name="_Toc495394926"/>
      <w:bookmarkStart w:id="541" w:name="_Toc496854608"/>
      <w:bookmarkStart w:id="542" w:name="_Toc503782625"/>
      <w:bookmarkStart w:id="543" w:name="_Toc507425432"/>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r>
        <w:rPr>
          <w:lang w:eastAsia="fr-FR"/>
        </w:rPr>
        <w:t xml:space="preserve">Order </w:t>
      </w:r>
      <w:r w:rsidRPr="00A92AA3">
        <w:t>Data</w:t>
      </w:r>
      <w:bookmarkEnd w:id="540"/>
      <w:bookmarkEnd w:id="541"/>
      <w:bookmarkEnd w:id="542"/>
      <w:bookmarkEnd w:id="543"/>
    </w:p>
    <w:p w14:paraId="76997123" w14:textId="77777777" w:rsidR="00F8788D" w:rsidRDefault="00F8788D" w:rsidP="002414BB">
      <w:pPr>
        <w:rPr>
          <w:lang w:eastAsia="fr-FR"/>
        </w:rPr>
      </w:pPr>
      <w:r w:rsidRPr="00ED6601">
        <w:rPr>
          <w:lang w:eastAsia="fr-FR"/>
        </w:rPr>
        <w:t xml:space="preserve">The </w:t>
      </w:r>
      <w:r>
        <w:rPr>
          <w:lang w:eastAsia="fr-FR"/>
        </w:rPr>
        <w:t>NEMO</w:t>
      </w:r>
      <w:r w:rsidRPr="00ED6601">
        <w:rPr>
          <w:lang w:eastAsia="fr-FR"/>
        </w:rPr>
        <w:t>s will send in order data for NEMO</w:t>
      </w:r>
      <w:r>
        <w:rPr>
          <w:lang w:eastAsia="fr-FR"/>
        </w:rPr>
        <w:t xml:space="preserve"> trading</w:t>
      </w:r>
      <w:r w:rsidRPr="00ED6601">
        <w:rPr>
          <w:lang w:eastAsia="fr-FR"/>
        </w:rPr>
        <w:t xml:space="preserve"> hubs, not for </w:t>
      </w:r>
      <w:r>
        <w:rPr>
          <w:lang w:eastAsia="fr-FR"/>
        </w:rPr>
        <w:t>b</w:t>
      </w:r>
      <w:r w:rsidRPr="00ED6601">
        <w:rPr>
          <w:lang w:eastAsia="fr-FR"/>
        </w:rPr>
        <w:t xml:space="preserve">idding </w:t>
      </w:r>
      <w:r>
        <w:rPr>
          <w:lang w:eastAsia="fr-FR"/>
        </w:rPr>
        <w:t>a</w:t>
      </w:r>
      <w:r w:rsidRPr="00ED6601">
        <w:rPr>
          <w:lang w:eastAsia="fr-FR"/>
        </w:rPr>
        <w:t>reas as is in</w:t>
      </w:r>
      <w:r>
        <w:rPr>
          <w:lang w:eastAsia="fr-FR"/>
        </w:rPr>
        <w:t xml:space="preserve"> current PMB version</w:t>
      </w:r>
      <w:r w:rsidRPr="00ED6601">
        <w:rPr>
          <w:lang w:eastAsia="fr-FR"/>
        </w:rPr>
        <w:t xml:space="preserve"> </w:t>
      </w:r>
      <w:r>
        <w:rPr>
          <w:lang w:eastAsia="fr-FR"/>
        </w:rPr>
        <w:t>prior MNA</w:t>
      </w:r>
      <w:r w:rsidRPr="00ED6601">
        <w:rPr>
          <w:lang w:eastAsia="fr-FR"/>
        </w:rPr>
        <w:t xml:space="preserve">. </w:t>
      </w:r>
      <w:r>
        <w:rPr>
          <w:lang w:eastAsia="fr-FR"/>
        </w:rPr>
        <w:t>All order types in algorithm interface will be referring to NTH, instead of current bidding area reference.</w:t>
      </w:r>
      <w:r w:rsidRPr="007F2EE2">
        <w:rPr>
          <w:lang w:eastAsia="fr-FR"/>
        </w:rPr>
        <w:t xml:space="preserve"> </w:t>
      </w:r>
      <w:r w:rsidRPr="00ED6601">
        <w:rPr>
          <w:lang w:eastAsia="fr-FR"/>
        </w:rPr>
        <w:t xml:space="preserve">Order data for </w:t>
      </w:r>
      <w:r>
        <w:rPr>
          <w:lang w:eastAsia="fr-FR"/>
        </w:rPr>
        <w:t>b</w:t>
      </w:r>
      <w:r w:rsidRPr="00ED6601">
        <w:rPr>
          <w:lang w:eastAsia="fr-FR"/>
        </w:rPr>
        <w:t xml:space="preserve">idding </w:t>
      </w:r>
      <w:r>
        <w:rPr>
          <w:lang w:eastAsia="fr-FR"/>
        </w:rPr>
        <w:t>zones</w:t>
      </w:r>
      <w:r w:rsidRPr="00ED6601">
        <w:rPr>
          <w:lang w:eastAsia="fr-FR"/>
        </w:rPr>
        <w:t xml:space="preserve"> </w:t>
      </w:r>
      <w:r>
        <w:rPr>
          <w:lang w:eastAsia="fr-FR"/>
        </w:rPr>
        <w:t>is</w:t>
      </w:r>
      <w:r w:rsidRPr="00ED6601">
        <w:rPr>
          <w:lang w:eastAsia="fr-FR"/>
        </w:rPr>
        <w:t xml:space="preserve"> aggregated from the </w:t>
      </w:r>
      <w:r>
        <w:rPr>
          <w:lang w:eastAsia="fr-FR"/>
        </w:rPr>
        <w:t>NTH</w:t>
      </w:r>
      <w:r w:rsidRPr="00ED6601">
        <w:rPr>
          <w:lang w:eastAsia="fr-FR"/>
        </w:rPr>
        <w:t xml:space="preserve"> order data by Euphemia</w:t>
      </w:r>
      <w:r>
        <w:rPr>
          <w:lang w:eastAsia="fr-FR"/>
        </w:rPr>
        <w:t xml:space="preserve"> (and described in chapter 3).</w:t>
      </w:r>
    </w:p>
    <w:p w14:paraId="77963F8D" w14:textId="77777777" w:rsidR="00F8788D" w:rsidRPr="007B752D" w:rsidRDefault="00F8788D" w:rsidP="002414BB">
      <w:pPr>
        <w:pStyle w:val="BodyText"/>
        <w:rPr>
          <w:sz w:val="20"/>
          <w:lang w:eastAsia="fr-FR"/>
        </w:rPr>
      </w:pPr>
    </w:p>
    <w:p w14:paraId="5A10FD88" w14:textId="77777777" w:rsidR="00F8788D" w:rsidRDefault="00F8788D" w:rsidP="00F8788D">
      <w:pPr>
        <w:pStyle w:val="Heading3"/>
        <w:numPr>
          <w:ilvl w:val="2"/>
          <w:numId w:val="16"/>
        </w:numPr>
        <w:rPr>
          <w:lang w:eastAsia="fr-FR"/>
        </w:rPr>
      </w:pPr>
      <w:bookmarkStart w:id="544" w:name="_Toc503782626"/>
      <w:bookmarkStart w:id="545" w:name="_Toc495394927"/>
      <w:bookmarkStart w:id="546" w:name="_Toc496854609"/>
      <w:bookmarkStart w:id="547" w:name="_Toc507425433"/>
      <w:r>
        <w:rPr>
          <w:lang w:eastAsia="fr-FR"/>
        </w:rPr>
        <w:t>Results</w:t>
      </w:r>
      <w:bookmarkEnd w:id="544"/>
      <w:bookmarkEnd w:id="547"/>
      <w:r>
        <w:rPr>
          <w:lang w:eastAsia="fr-FR"/>
        </w:rPr>
        <w:t xml:space="preserve"> </w:t>
      </w:r>
      <w:bookmarkEnd w:id="545"/>
      <w:bookmarkEnd w:id="546"/>
    </w:p>
    <w:p w14:paraId="58DB273E" w14:textId="77777777" w:rsidR="00F8788D" w:rsidRDefault="00F8788D" w:rsidP="002414BB">
      <w:pPr>
        <w:rPr>
          <w:lang w:eastAsia="fr-FR"/>
        </w:rPr>
      </w:pPr>
      <w:r w:rsidRPr="00A773CE">
        <w:rPr>
          <w:lang w:eastAsia="fr-FR"/>
        </w:rPr>
        <w:t>Results section is extended to be able to contain results for NEMO trading hubs (not aggregated results), NTH flows/net positions, Scheduling areas net positions and Scheduling area flows, in addition to existing results (prices, net positions, flow) at bidding zone level.</w:t>
      </w:r>
    </w:p>
    <w:p w14:paraId="6A7D5162" w14:textId="77777777" w:rsidR="00F8788D" w:rsidRDefault="00F8788D" w:rsidP="002414BB">
      <w:pPr>
        <w:rPr>
          <w:lang w:eastAsia="fr-FR"/>
        </w:rPr>
      </w:pPr>
      <w:r>
        <w:rPr>
          <w:lang w:eastAsia="fr-FR"/>
        </w:rPr>
        <w:t>Euphemia writes all available results to algorithm interface, but PMB will write Results document content based on the given SCF configuration.</w:t>
      </w:r>
    </w:p>
    <w:p w14:paraId="64A810F7" w14:textId="77777777" w:rsidR="00F8788D" w:rsidRDefault="00F8788D" w:rsidP="002414BB">
      <w:pPr>
        <w:rPr>
          <w:lang w:eastAsia="fr-FR"/>
        </w:rPr>
      </w:pPr>
    </w:p>
    <w:p w14:paraId="1E9FB0F2" w14:textId="77777777" w:rsidR="00F8788D" w:rsidRDefault="00F8788D" w:rsidP="00F8788D">
      <w:pPr>
        <w:pStyle w:val="Heading3"/>
        <w:numPr>
          <w:ilvl w:val="2"/>
          <w:numId w:val="16"/>
        </w:numPr>
        <w:rPr>
          <w:lang w:eastAsia="fr-FR"/>
        </w:rPr>
      </w:pPr>
      <w:bookmarkStart w:id="548" w:name="_Toc503782627"/>
      <w:bookmarkStart w:id="549" w:name="_Toc507425434"/>
      <w:r>
        <w:rPr>
          <w:lang w:eastAsia="fr-FR"/>
        </w:rPr>
        <w:t>Tie break rules between blocks</w:t>
      </w:r>
      <w:bookmarkEnd w:id="548"/>
      <w:bookmarkEnd w:id="549"/>
    </w:p>
    <w:p w14:paraId="6F53E5E4" w14:textId="77777777" w:rsidR="00F8788D" w:rsidRDefault="00F8788D" w:rsidP="002414BB">
      <w:pPr>
        <w:rPr>
          <w:lang w:eastAsia="fr-FR"/>
        </w:rPr>
      </w:pPr>
      <w:r>
        <w:rPr>
          <w:lang w:eastAsia="fr-FR"/>
        </w:rPr>
        <w:t>Criterion #1 is the last modification time. For this, the time stamps need to be aligned.</w:t>
      </w:r>
    </w:p>
    <w:p w14:paraId="00A73B97" w14:textId="77777777" w:rsidR="00F8788D" w:rsidRPr="00AE2CB4" w:rsidRDefault="00F8788D" w:rsidP="002414BB">
      <w:pPr>
        <w:rPr>
          <w:lang w:eastAsia="fr-FR"/>
        </w:rPr>
      </w:pPr>
      <w:r>
        <w:rPr>
          <w:lang w:eastAsia="fr-FR"/>
        </w:rPr>
        <w:t xml:space="preserve">Criterion #2 is the hash. The hash calculation will be done on the Euphemia </w:t>
      </w:r>
      <w:bookmarkStart w:id="550" w:name="_Hlk500251715"/>
      <w:r>
        <w:rPr>
          <w:lang w:eastAsia="fr-FR"/>
        </w:rPr>
        <w:t>side</w:t>
      </w:r>
      <w:bookmarkEnd w:id="550"/>
      <w:r>
        <w:rPr>
          <w:lang w:eastAsia="fr-FR"/>
        </w:rPr>
        <w:t>.</w:t>
      </w:r>
    </w:p>
    <w:p w14:paraId="2AA5C8BA" w14:textId="77777777" w:rsidR="00F8788D" w:rsidRPr="007021D6" w:rsidRDefault="00F8788D" w:rsidP="002414BB"/>
    <w:p w14:paraId="35125C3E" w14:textId="77777777" w:rsidR="00F8788D" w:rsidRDefault="00F8788D" w:rsidP="00F8788D">
      <w:pPr>
        <w:pStyle w:val="Heading2"/>
        <w:numPr>
          <w:ilvl w:val="1"/>
          <w:numId w:val="16"/>
        </w:numPr>
      </w:pPr>
      <w:bookmarkStart w:id="551" w:name="_Toc495394928"/>
      <w:bookmarkStart w:id="552" w:name="_Toc496854610"/>
      <w:bookmarkStart w:id="553" w:name="_Toc503782628"/>
      <w:bookmarkStart w:id="554" w:name="_Toc507425435"/>
      <w:r>
        <w:t>Show Results</w:t>
      </w:r>
      <w:bookmarkEnd w:id="551"/>
      <w:bookmarkEnd w:id="552"/>
      <w:r>
        <w:t xml:space="preserve"> GUI</w:t>
      </w:r>
      <w:bookmarkEnd w:id="553"/>
      <w:bookmarkEnd w:id="554"/>
    </w:p>
    <w:p w14:paraId="1C697F3E" w14:textId="77777777" w:rsidR="00F8788D" w:rsidRDefault="00F8788D" w:rsidP="002414BB">
      <w:r w:rsidRPr="00572BBC">
        <w:t xml:space="preserve">The PMB GUI needs to be modified in order to display the NTH results. </w:t>
      </w:r>
      <w:r>
        <w:t xml:space="preserve">NEMO Hub Results bookmark is added. </w:t>
      </w:r>
    </w:p>
    <w:p w14:paraId="16433F03" w14:textId="77777777" w:rsidR="00F8788D" w:rsidRDefault="00F8788D" w:rsidP="002414BB"/>
    <w:p w14:paraId="2CD50AE1" w14:textId="77777777" w:rsidR="00F8788D" w:rsidRPr="00A3090F" w:rsidRDefault="00F8788D" w:rsidP="00F8788D">
      <w:pPr>
        <w:pStyle w:val="ListParagraph"/>
        <w:keepNext/>
        <w:keepLines/>
        <w:numPr>
          <w:ilvl w:val="1"/>
          <w:numId w:val="30"/>
        </w:numPr>
        <w:spacing w:before="40"/>
        <w:contextualSpacing w:val="0"/>
        <w:outlineLvl w:val="1"/>
        <w:rPr>
          <w:rFonts w:asciiTheme="majorHAnsi" w:eastAsiaTheme="majorEastAsia" w:hAnsiTheme="majorHAnsi" w:cstheme="majorBidi"/>
          <w:vanish/>
          <w:color w:val="2E74B5" w:themeColor="accent1" w:themeShade="BF"/>
          <w:sz w:val="26"/>
          <w:szCs w:val="26"/>
        </w:rPr>
      </w:pPr>
      <w:bookmarkStart w:id="555" w:name="_Toc480887767"/>
      <w:bookmarkStart w:id="556" w:name="_Toc480893398"/>
      <w:bookmarkStart w:id="557" w:name="_Toc480887769"/>
      <w:bookmarkStart w:id="558" w:name="_Toc480893400"/>
      <w:bookmarkStart w:id="559" w:name="_Toc495394923"/>
      <w:bookmarkStart w:id="560" w:name="_Toc497464963"/>
      <w:bookmarkStart w:id="561" w:name="_Toc497498375"/>
      <w:bookmarkStart w:id="562" w:name="_Toc500429704"/>
      <w:bookmarkStart w:id="563" w:name="_Toc500941658"/>
      <w:bookmarkStart w:id="564" w:name="_Toc502838838"/>
      <w:bookmarkStart w:id="565" w:name="_Toc502839177"/>
      <w:bookmarkStart w:id="566" w:name="_Toc502839231"/>
      <w:bookmarkStart w:id="567" w:name="_Toc502839568"/>
      <w:bookmarkStart w:id="568" w:name="_Toc502843040"/>
      <w:bookmarkStart w:id="569" w:name="_Toc502851295"/>
      <w:bookmarkStart w:id="570" w:name="_Toc503360483"/>
      <w:bookmarkStart w:id="571" w:name="_Toc503782629"/>
      <w:bookmarkStart w:id="572" w:name="_Toc506196891"/>
      <w:bookmarkStart w:id="573" w:name="_Toc496854611"/>
      <w:bookmarkStart w:id="574" w:name="_Toc507425436"/>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4"/>
    </w:p>
    <w:p w14:paraId="040F1F17" w14:textId="77777777" w:rsidR="00F8788D" w:rsidRPr="00A3090F" w:rsidRDefault="00F8788D" w:rsidP="00F8788D">
      <w:pPr>
        <w:pStyle w:val="ListParagraph"/>
        <w:keepNext/>
        <w:keepLines/>
        <w:numPr>
          <w:ilvl w:val="1"/>
          <w:numId w:val="30"/>
        </w:numPr>
        <w:spacing w:before="40"/>
        <w:contextualSpacing w:val="0"/>
        <w:outlineLvl w:val="1"/>
        <w:rPr>
          <w:rFonts w:asciiTheme="majorHAnsi" w:eastAsiaTheme="majorEastAsia" w:hAnsiTheme="majorHAnsi" w:cstheme="majorBidi"/>
          <w:vanish/>
          <w:color w:val="2E74B5" w:themeColor="accent1" w:themeShade="BF"/>
          <w:sz w:val="26"/>
          <w:szCs w:val="26"/>
        </w:rPr>
      </w:pPr>
      <w:bookmarkStart w:id="575" w:name="_Toc497464964"/>
      <w:bookmarkStart w:id="576" w:name="_Toc497498376"/>
      <w:bookmarkStart w:id="577" w:name="_Toc500429705"/>
      <w:bookmarkStart w:id="578" w:name="_Toc500941659"/>
      <w:bookmarkStart w:id="579" w:name="_Toc502838839"/>
      <w:bookmarkStart w:id="580" w:name="_Toc502839178"/>
      <w:bookmarkStart w:id="581" w:name="_Toc502839232"/>
      <w:bookmarkStart w:id="582" w:name="_Toc502839569"/>
      <w:bookmarkStart w:id="583" w:name="_Toc502843041"/>
      <w:bookmarkStart w:id="584" w:name="_Toc502851296"/>
      <w:bookmarkStart w:id="585" w:name="_Toc503360484"/>
      <w:bookmarkStart w:id="586" w:name="_Toc503782630"/>
      <w:bookmarkStart w:id="587" w:name="_Toc506196892"/>
      <w:bookmarkStart w:id="588" w:name="_Toc507425437"/>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p>
    <w:p w14:paraId="532859CF" w14:textId="77777777" w:rsidR="00F8788D" w:rsidRDefault="00F8788D" w:rsidP="00F8788D">
      <w:pPr>
        <w:pStyle w:val="Heading2"/>
        <w:numPr>
          <w:ilvl w:val="1"/>
          <w:numId w:val="16"/>
        </w:numPr>
        <w:rPr>
          <w:lang w:eastAsia="fr-FR"/>
        </w:rPr>
      </w:pPr>
      <w:bookmarkStart w:id="589" w:name="_Toc503782631"/>
      <w:bookmarkStart w:id="590" w:name="_Toc496854617"/>
      <w:bookmarkStart w:id="591" w:name="_Toc507425438"/>
      <w:bookmarkEnd w:id="573"/>
      <w:r>
        <w:rPr>
          <w:lang w:eastAsia="fr-FR"/>
        </w:rPr>
        <w:t>Results document</w:t>
      </w:r>
      <w:bookmarkEnd w:id="589"/>
      <w:bookmarkEnd w:id="591"/>
    </w:p>
    <w:p w14:paraId="4E0A2EFB" w14:textId="77777777" w:rsidR="00F8788D" w:rsidRDefault="00F8788D" w:rsidP="002414BB">
      <w:r w:rsidRPr="00CF72EA">
        <w:t xml:space="preserve">The Result document is extended to provide information about </w:t>
      </w:r>
      <w:r>
        <w:t>NTH</w:t>
      </w:r>
      <w:r w:rsidRPr="00CF72EA">
        <w:t xml:space="preserve"> net positions</w:t>
      </w:r>
      <w:r>
        <w:t xml:space="preserve">, NTH flows, scheduling area net positions and scheduling area </w:t>
      </w:r>
      <w:r w:rsidRPr="000A1171">
        <w:t>flows in addition to existing results (prices, net positions, flow) at bidding zone level.</w:t>
      </w:r>
      <w:r>
        <w:t xml:space="preserve"> Also the rounding deviations (where applicaple) will be provided in the result document.</w:t>
      </w:r>
    </w:p>
    <w:p w14:paraId="77B92DFE" w14:textId="77777777" w:rsidR="00F8788D" w:rsidRDefault="00F8788D" w:rsidP="002414BB"/>
    <w:p w14:paraId="16266F2C" w14:textId="77777777" w:rsidR="00F8788D" w:rsidRDefault="00F8788D" w:rsidP="002414BB">
      <w:r>
        <w:t>Design is agreed in such a way that causes minimum changes to NEMOs’ local trading systems. Thus, NTH results are added under bidding zone results and can therefore be omitted by NEMOs which are the single NEMO on corresponding bidding zone.</w:t>
      </w:r>
    </w:p>
    <w:p w14:paraId="5B83B53D" w14:textId="77777777" w:rsidR="00F8788D" w:rsidRDefault="00F8788D">
      <w:r>
        <w:t>Due to this same reason, all individual order results (block orders, complex orders, merit orders) are kept under bidding zone results and are now referred to corresponding NTH.</w:t>
      </w:r>
    </w:p>
    <w:p w14:paraId="66CCBF39" w14:textId="77777777" w:rsidR="00F8788D" w:rsidRDefault="00F8788D" w:rsidP="002414BB"/>
    <w:p w14:paraId="57D0D448" w14:textId="77777777" w:rsidR="00F8788D" w:rsidRDefault="00F8788D" w:rsidP="00F8788D">
      <w:pPr>
        <w:pStyle w:val="Heading2"/>
        <w:numPr>
          <w:ilvl w:val="1"/>
          <w:numId w:val="16"/>
        </w:numPr>
      </w:pPr>
      <w:bookmarkStart w:id="592" w:name="_Toc503782632"/>
      <w:bookmarkStart w:id="593" w:name="_Toc507425439"/>
      <w:r w:rsidRPr="009955BD">
        <w:t>Identification codes of BZ, SA</w:t>
      </w:r>
      <w:r>
        <w:t>,</w:t>
      </w:r>
      <w:r w:rsidRPr="009955BD">
        <w:t xml:space="preserve"> NH and Tie lines</w:t>
      </w:r>
      <w:bookmarkEnd w:id="590"/>
      <w:bookmarkEnd w:id="592"/>
      <w:bookmarkEnd w:id="593"/>
      <w:r w:rsidRPr="009955BD">
        <w:t xml:space="preserve"> </w:t>
      </w:r>
    </w:p>
    <w:p w14:paraId="016CC18D" w14:textId="77777777" w:rsidR="00F8788D" w:rsidRDefault="00F8788D" w:rsidP="002414BB">
      <w:r>
        <w:t xml:space="preserve">The identification codes for the BZ will be the official ENTSO-E EIC code. The identification codes for SA:s outside the German region will be the same as the identification code for the BZ. For the SA:s inside the German region, official ENTSO-E EIC codes will be used. </w:t>
      </w:r>
    </w:p>
    <w:p w14:paraId="4449E735" w14:textId="77777777" w:rsidR="00F8788D" w:rsidRDefault="00F8788D" w:rsidP="002414BB"/>
    <w:p w14:paraId="6237C3CE" w14:textId="77777777" w:rsidR="00F8788D" w:rsidRPr="002413F9" w:rsidRDefault="00F8788D" w:rsidP="002414BB">
      <w:r>
        <w:t>The NH identification codes will be internal, PCR invented codes.</w:t>
      </w:r>
    </w:p>
    <w:p w14:paraId="105F9C31" w14:textId="77777777" w:rsidR="00F8788D" w:rsidRPr="00035C83" w:rsidRDefault="00F8788D" w:rsidP="002414BB"/>
    <w:p w14:paraId="3EF7BBEC" w14:textId="77777777" w:rsidR="00F8788D" w:rsidRDefault="00F8788D" w:rsidP="00F8788D">
      <w:pPr>
        <w:pStyle w:val="Heading2"/>
        <w:numPr>
          <w:ilvl w:val="1"/>
          <w:numId w:val="16"/>
        </w:numPr>
      </w:pPr>
      <w:bookmarkStart w:id="594" w:name="_Toc503782633"/>
      <w:bookmarkStart w:id="595" w:name="_Toc507425440"/>
      <w:r>
        <w:t>Changes in PBM due to decoupling</w:t>
      </w:r>
      <w:bookmarkEnd w:id="594"/>
      <w:bookmarkEnd w:id="595"/>
    </w:p>
    <w:p w14:paraId="40F12872" w14:textId="77777777" w:rsidR="00F8788D" w:rsidRDefault="00F8788D" w:rsidP="002414BB">
      <w:pPr>
        <w:jc w:val="both"/>
      </w:pPr>
      <w:r>
        <w:t>In the future PCR MNA solution it must be possible to decouple either</w:t>
      </w:r>
    </w:p>
    <w:p w14:paraId="7EA983D6" w14:textId="77777777" w:rsidR="00F8788D" w:rsidRDefault="00F8788D" w:rsidP="00F8788D">
      <w:pPr>
        <w:pStyle w:val="ListParagraph"/>
        <w:numPr>
          <w:ilvl w:val="0"/>
          <w:numId w:val="47"/>
        </w:numPr>
        <w:jc w:val="both"/>
      </w:pPr>
      <w:r>
        <w:t>one PX system / Virtual broker with all its NEMO Trading Hubs in corresponding Bidding zones,</w:t>
      </w:r>
    </w:p>
    <w:p w14:paraId="4833B48F" w14:textId="77777777" w:rsidR="00F8788D" w:rsidRDefault="00F8788D" w:rsidP="00F8788D">
      <w:pPr>
        <w:pStyle w:val="ListParagraph"/>
        <w:numPr>
          <w:ilvl w:val="0"/>
          <w:numId w:val="47"/>
        </w:numPr>
        <w:jc w:val="both"/>
      </w:pPr>
      <w:r>
        <w:t>all PX systems / Virtual brokers which have NEMO Trading Hubs in selected region / Bidding zones</w:t>
      </w:r>
    </w:p>
    <w:p w14:paraId="02A2A9B2" w14:textId="77777777" w:rsidR="00F8788D" w:rsidRDefault="00F8788D" w:rsidP="00F8788D">
      <w:pPr>
        <w:pStyle w:val="ListParagraph"/>
        <w:numPr>
          <w:ilvl w:val="0"/>
          <w:numId w:val="47"/>
        </w:numPr>
        <w:jc w:val="both"/>
      </w:pPr>
      <w:r>
        <w:t>fully decouple all PCR NEMOs from each other or</w:t>
      </w:r>
    </w:p>
    <w:p w14:paraId="3554B9AD" w14:textId="77777777" w:rsidR="00F8788D" w:rsidRDefault="00F8788D" w:rsidP="00F8788D">
      <w:pPr>
        <w:pStyle w:val="ListParagraph"/>
        <w:numPr>
          <w:ilvl w:val="0"/>
          <w:numId w:val="47"/>
        </w:numPr>
        <w:jc w:val="both"/>
      </w:pPr>
      <w:r>
        <w:t>decouple a single line.</w:t>
      </w:r>
    </w:p>
    <w:p w14:paraId="0E63FB8B" w14:textId="77777777" w:rsidR="00F8788D" w:rsidRDefault="00F8788D" w:rsidP="002414BB">
      <w:pPr>
        <w:jc w:val="both"/>
      </w:pPr>
    </w:p>
    <w:p w14:paraId="2CB5B7DF" w14:textId="77777777" w:rsidR="00F8788D" w:rsidRDefault="00F8788D" w:rsidP="002414BB">
      <w:pPr>
        <w:jc w:val="both"/>
      </w:pPr>
      <w:r>
        <w:t>Decoupling a single line can be performed with procedures, NEMO to send zero capacity for the line, and doesn’t need changes to PMB functionalities.</w:t>
      </w:r>
    </w:p>
    <w:p w14:paraId="525BBE93" w14:textId="77777777" w:rsidR="00F8788D" w:rsidRDefault="00F8788D" w:rsidP="002414BB">
      <w:pPr>
        <w:jc w:val="both"/>
      </w:pPr>
    </w:p>
    <w:p w14:paraId="24AB0211" w14:textId="77777777" w:rsidR="00F8788D" w:rsidRDefault="00F8788D" w:rsidP="002414BB">
      <w:pPr>
        <w:jc w:val="both"/>
      </w:pPr>
      <w:r>
        <w:t>Full decoupling functionality doesn’t need any changes due to MNA decoupling scenarios. Full decoupling will still in the future be decoupling of all PX systems / Virtual brokers from each other and from the cloud.</w:t>
      </w:r>
    </w:p>
    <w:p w14:paraId="4F7B18E5" w14:textId="77777777" w:rsidR="00F8788D" w:rsidRDefault="00F8788D" w:rsidP="002414BB">
      <w:pPr>
        <w:jc w:val="both"/>
      </w:pPr>
    </w:p>
    <w:p w14:paraId="4076F769" w14:textId="77777777" w:rsidR="00F8788D" w:rsidRDefault="00F8788D" w:rsidP="002414BB">
      <w:pPr>
        <w:jc w:val="both"/>
      </w:pPr>
      <w:r>
        <w:t>PMB functionality for partial decoupling will be changed to decouple Virtual brokers and corresponding NEMO Trading Hubs, not Bidding Areas as PMB does today. Decoupling the Virtual broker sets decoupling order data values (usually zero) to the decoupled NTHs. In case all NTHs from corresponding BZ(s) are decoupled, the decoupling capacity values are set to the interconnections.</w:t>
      </w:r>
    </w:p>
    <w:p w14:paraId="2EFE5867" w14:textId="77777777" w:rsidR="00F8788D" w:rsidRDefault="00F8788D" w:rsidP="002414BB">
      <w:pPr>
        <w:jc w:val="both"/>
      </w:pPr>
    </w:p>
    <w:p w14:paraId="6E92386A" w14:textId="77777777" w:rsidR="00F8788D" w:rsidRPr="0026536B" w:rsidRDefault="00F8788D" w:rsidP="002414BB">
      <w:pPr>
        <w:rPr>
          <w:lang w:val="sv-SE"/>
        </w:rPr>
      </w:pPr>
      <w:r>
        <w:t xml:space="preserve">More details about PCR decoupling procedures in chapter 4 above. </w:t>
      </w:r>
    </w:p>
    <w:p w14:paraId="7A8B21E8" w14:textId="77777777" w:rsidR="00F8788D" w:rsidRPr="00F2173B" w:rsidRDefault="00F8788D" w:rsidP="002414BB">
      <w:pPr>
        <w:jc w:val="both"/>
        <w:rPr>
          <w:lang w:val="sv-SE"/>
        </w:rPr>
      </w:pPr>
    </w:p>
    <w:p w14:paraId="46A0B499" w14:textId="77777777" w:rsidR="00F8788D" w:rsidRPr="00F2173B" w:rsidRDefault="00F8788D" w:rsidP="002414BB">
      <w:pPr>
        <w:rPr>
          <w:lang w:val="sv-SE"/>
        </w:rPr>
      </w:pPr>
    </w:p>
    <w:p w14:paraId="1E3D1A0A" w14:textId="77777777" w:rsidR="00F8788D" w:rsidRPr="00F2173B" w:rsidRDefault="00F8788D" w:rsidP="002414BB">
      <w:pPr>
        <w:jc w:val="both"/>
        <w:rPr>
          <w:lang w:val="sv-SE"/>
        </w:rPr>
      </w:pPr>
    </w:p>
    <w:p w14:paraId="291CBDE9" w14:textId="77777777" w:rsidR="00F8788D" w:rsidRPr="00F2173B" w:rsidRDefault="00F8788D" w:rsidP="002414BB">
      <w:pPr>
        <w:rPr>
          <w:lang w:val="sv-SE"/>
        </w:rPr>
      </w:pPr>
    </w:p>
    <w:p w14:paraId="4EAE6A09" w14:textId="77777777" w:rsidR="00F8788D" w:rsidRPr="00F2173B" w:rsidRDefault="00F8788D" w:rsidP="002414BB">
      <w:pPr>
        <w:pStyle w:val="Heading2"/>
        <w:rPr>
          <w:lang w:val="sv-SE"/>
        </w:rPr>
      </w:pPr>
    </w:p>
    <w:p w14:paraId="460F0B3F" w14:textId="55316E02" w:rsidR="00F8788D" w:rsidRPr="00F8788D" w:rsidRDefault="00F8788D" w:rsidP="00D50501">
      <w:pPr>
        <w:pStyle w:val="ListParagraph"/>
        <w:spacing w:line="276" w:lineRule="auto"/>
        <w:ind w:left="0"/>
        <w:jc w:val="both"/>
        <w:rPr>
          <w:rFonts w:cs="Arial"/>
          <w:lang w:val="sv-SE"/>
        </w:rPr>
      </w:pPr>
    </w:p>
    <w:p w14:paraId="64561C6A" w14:textId="19CA8ADD" w:rsidR="00F8788D" w:rsidRDefault="00F8788D" w:rsidP="00D50501">
      <w:pPr>
        <w:pStyle w:val="ListParagraph"/>
        <w:spacing w:line="276" w:lineRule="auto"/>
        <w:ind w:left="0"/>
        <w:jc w:val="both"/>
        <w:rPr>
          <w:rFonts w:cs="Arial"/>
        </w:rPr>
      </w:pPr>
    </w:p>
    <w:p w14:paraId="0A3DF6C3" w14:textId="7E3BAEAC" w:rsidR="00F8788D" w:rsidRDefault="00F8788D" w:rsidP="00D50501">
      <w:pPr>
        <w:pStyle w:val="ListParagraph"/>
        <w:spacing w:line="276" w:lineRule="auto"/>
        <w:ind w:left="0"/>
        <w:jc w:val="both"/>
        <w:rPr>
          <w:rFonts w:cs="Arial"/>
        </w:rPr>
      </w:pPr>
    </w:p>
    <w:p w14:paraId="52A8E888" w14:textId="66CC84D8" w:rsidR="001B4B2E" w:rsidRDefault="001B4B2E" w:rsidP="00D50501">
      <w:pPr>
        <w:pStyle w:val="ListParagraph"/>
        <w:spacing w:line="276" w:lineRule="auto"/>
        <w:ind w:left="0"/>
        <w:jc w:val="both"/>
        <w:rPr>
          <w:rFonts w:cs="Arial"/>
        </w:rPr>
      </w:pPr>
    </w:p>
    <w:p w14:paraId="4F1151B2" w14:textId="78D2689A" w:rsidR="001B4B2E" w:rsidRDefault="001B4B2E" w:rsidP="00D50501">
      <w:pPr>
        <w:pStyle w:val="ListParagraph"/>
        <w:spacing w:line="276" w:lineRule="auto"/>
        <w:ind w:left="0"/>
        <w:jc w:val="both"/>
        <w:rPr>
          <w:rFonts w:cs="Arial"/>
        </w:rPr>
      </w:pPr>
    </w:p>
    <w:p w14:paraId="3B03D8C7" w14:textId="70B69821" w:rsidR="001B4B2E" w:rsidRDefault="001B4B2E" w:rsidP="00D50501">
      <w:pPr>
        <w:pStyle w:val="ListParagraph"/>
        <w:spacing w:line="276" w:lineRule="auto"/>
        <w:ind w:left="0"/>
        <w:jc w:val="both"/>
        <w:rPr>
          <w:rFonts w:cs="Arial"/>
        </w:rPr>
      </w:pPr>
    </w:p>
    <w:p w14:paraId="27F726D2" w14:textId="51BFEC51" w:rsidR="001B4B2E" w:rsidRDefault="001B4B2E" w:rsidP="00D50501">
      <w:pPr>
        <w:pStyle w:val="ListParagraph"/>
        <w:spacing w:line="276" w:lineRule="auto"/>
        <w:ind w:left="0"/>
        <w:jc w:val="both"/>
        <w:rPr>
          <w:rFonts w:cs="Arial"/>
        </w:rPr>
      </w:pPr>
    </w:p>
    <w:p w14:paraId="4AD9B5E5" w14:textId="0338A62C" w:rsidR="001B4B2E" w:rsidRDefault="001B4B2E" w:rsidP="00D50501">
      <w:pPr>
        <w:pStyle w:val="ListParagraph"/>
        <w:spacing w:line="276" w:lineRule="auto"/>
        <w:ind w:left="0"/>
        <w:jc w:val="both"/>
        <w:rPr>
          <w:rFonts w:cs="Arial"/>
        </w:rPr>
      </w:pPr>
    </w:p>
    <w:p w14:paraId="2F4B98F0" w14:textId="6C6A8172" w:rsidR="001B4B2E" w:rsidRDefault="001B4B2E" w:rsidP="00D50501">
      <w:pPr>
        <w:pStyle w:val="ListParagraph"/>
        <w:spacing w:line="276" w:lineRule="auto"/>
        <w:ind w:left="0"/>
        <w:jc w:val="both"/>
        <w:rPr>
          <w:rFonts w:cs="Arial"/>
        </w:rPr>
      </w:pPr>
    </w:p>
    <w:p w14:paraId="4CF4E667" w14:textId="6A96DF79" w:rsidR="001B4B2E" w:rsidRDefault="001B4B2E" w:rsidP="00D50501">
      <w:pPr>
        <w:pStyle w:val="ListParagraph"/>
        <w:spacing w:line="276" w:lineRule="auto"/>
        <w:ind w:left="0"/>
        <w:jc w:val="both"/>
        <w:rPr>
          <w:rFonts w:cs="Arial"/>
        </w:rPr>
      </w:pPr>
    </w:p>
    <w:p w14:paraId="39080A43" w14:textId="48A6BB8D" w:rsidR="001B4B2E" w:rsidRDefault="001B4B2E" w:rsidP="00D50501">
      <w:pPr>
        <w:pStyle w:val="ListParagraph"/>
        <w:spacing w:line="276" w:lineRule="auto"/>
        <w:ind w:left="0"/>
        <w:jc w:val="both"/>
        <w:rPr>
          <w:rFonts w:cs="Arial"/>
        </w:rPr>
      </w:pPr>
    </w:p>
    <w:p w14:paraId="3F75FA19" w14:textId="61C553CB" w:rsidR="001B4B2E" w:rsidRDefault="001B4B2E" w:rsidP="00D50501">
      <w:pPr>
        <w:pStyle w:val="ListParagraph"/>
        <w:spacing w:line="276" w:lineRule="auto"/>
        <w:ind w:left="0"/>
        <w:jc w:val="both"/>
        <w:rPr>
          <w:rFonts w:cs="Arial"/>
        </w:rPr>
      </w:pPr>
    </w:p>
    <w:p w14:paraId="6A2C84DC" w14:textId="4D9B6890" w:rsidR="001B4B2E" w:rsidRDefault="001B4B2E" w:rsidP="00D50501">
      <w:pPr>
        <w:pStyle w:val="ListParagraph"/>
        <w:spacing w:line="276" w:lineRule="auto"/>
        <w:ind w:left="0"/>
        <w:jc w:val="both"/>
        <w:rPr>
          <w:rFonts w:cs="Arial"/>
        </w:rPr>
      </w:pPr>
    </w:p>
    <w:p w14:paraId="5E072D4F" w14:textId="0C2CE427" w:rsidR="001B4B2E" w:rsidRDefault="001B4B2E" w:rsidP="00D50501">
      <w:pPr>
        <w:pStyle w:val="ListParagraph"/>
        <w:spacing w:line="276" w:lineRule="auto"/>
        <w:ind w:left="0"/>
        <w:jc w:val="both"/>
        <w:rPr>
          <w:rFonts w:cs="Arial"/>
        </w:rPr>
      </w:pPr>
    </w:p>
    <w:p w14:paraId="31396FD4" w14:textId="0F2520A1" w:rsidR="001B4B2E" w:rsidRDefault="001B4B2E" w:rsidP="00D50501">
      <w:pPr>
        <w:pStyle w:val="ListParagraph"/>
        <w:spacing w:line="276" w:lineRule="auto"/>
        <w:ind w:left="0"/>
        <w:jc w:val="both"/>
        <w:rPr>
          <w:rFonts w:cs="Arial"/>
        </w:rPr>
      </w:pPr>
    </w:p>
    <w:p w14:paraId="1E617098" w14:textId="5DA5F1E2" w:rsidR="001B4B2E" w:rsidRDefault="001B4B2E" w:rsidP="00D50501">
      <w:pPr>
        <w:pStyle w:val="ListParagraph"/>
        <w:spacing w:line="276" w:lineRule="auto"/>
        <w:ind w:left="0"/>
        <w:jc w:val="both"/>
        <w:rPr>
          <w:rFonts w:cs="Arial"/>
        </w:rPr>
      </w:pPr>
    </w:p>
    <w:p w14:paraId="423D446B" w14:textId="40B7EFC6" w:rsidR="001B4B2E" w:rsidRDefault="001B4B2E" w:rsidP="00D50501">
      <w:pPr>
        <w:pStyle w:val="ListParagraph"/>
        <w:spacing w:line="276" w:lineRule="auto"/>
        <w:ind w:left="0"/>
        <w:jc w:val="both"/>
        <w:rPr>
          <w:rFonts w:cs="Arial"/>
        </w:rPr>
      </w:pPr>
    </w:p>
    <w:p w14:paraId="6B7652B2" w14:textId="38F3F42A" w:rsidR="001B4B2E" w:rsidRDefault="001B4B2E" w:rsidP="00D50501">
      <w:pPr>
        <w:pStyle w:val="ListParagraph"/>
        <w:spacing w:line="276" w:lineRule="auto"/>
        <w:ind w:left="0"/>
        <w:jc w:val="both"/>
        <w:rPr>
          <w:rFonts w:cs="Arial"/>
        </w:rPr>
      </w:pPr>
    </w:p>
    <w:p w14:paraId="01EACE59" w14:textId="21CBC509" w:rsidR="001B4B2E" w:rsidRDefault="001B4B2E" w:rsidP="00D50501">
      <w:pPr>
        <w:pStyle w:val="ListParagraph"/>
        <w:spacing w:line="276" w:lineRule="auto"/>
        <w:ind w:left="0"/>
        <w:jc w:val="both"/>
        <w:rPr>
          <w:rFonts w:cs="Arial"/>
        </w:rPr>
      </w:pPr>
    </w:p>
    <w:p w14:paraId="2152B4C1" w14:textId="72E61EE1" w:rsidR="001B4B2E" w:rsidRDefault="001B4B2E" w:rsidP="00D50501">
      <w:pPr>
        <w:pStyle w:val="ListParagraph"/>
        <w:spacing w:line="276" w:lineRule="auto"/>
        <w:ind w:left="0"/>
        <w:jc w:val="both"/>
        <w:rPr>
          <w:rFonts w:cs="Arial"/>
        </w:rPr>
      </w:pPr>
      <w:bookmarkStart w:id="596" w:name="_Hlk507425280"/>
    </w:p>
    <w:p w14:paraId="24D6B5DC" w14:textId="245769E0" w:rsidR="001B4B2E" w:rsidRPr="00647376" w:rsidRDefault="001B4B2E" w:rsidP="001B4B2E">
      <w:pPr>
        <w:pStyle w:val="Heading1"/>
        <w:jc w:val="center"/>
        <w:rPr>
          <w:rFonts w:ascii="Arial" w:hAnsi="Arial" w:cs="Arial"/>
        </w:rPr>
      </w:pPr>
      <w:bookmarkStart w:id="597" w:name="_Toc507425441"/>
      <w:r w:rsidRPr="00647376">
        <w:rPr>
          <w:rFonts w:ascii="Arial" w:hAnsi="Arial" w:cs="Arial"/>
        </w:rPr>
        <w:t xml:space="preserve">ANNEX </w:t>
      </w:r>
      <w:r>
        <w:rPr>
          <w:rFonts w:ascii="Arial" w:hAnsi="Arial" w:cs="Arial"/>
        </w:rPr>
        <w:t>3</w:t>
      </w:r>
      <w:r w:rsidRPr="00647376">
        <w:rPr>
          <w:rFonts w:ascii="Arial" w:hAnsi="Arial" w:cs="Arial"/>
        </w:rPr>
        <w:t xml:space="preserve"> - </w:t>
      </w:r>
      <w:r w:rsidRPr="001B4B2E">
        <w:rPr>
          <w:rFonts w:ascii="Arial" w:hAnsi="Arial" w:cs="Arial"/>
        </w:rPr>
        <w:t>List of comments received</w:t>
      </w:r>
      <w:bookmarkEnd w:id="597"/>
    </w:p>
    <w:bookmarkEnd w:id="596"/>
    <w:p w14:paraId="5C0B7876" w14:textId="77777777" w:rsidR="001B4B2E" w:rsidRPr="00647376" w:rsidRDefault="001B4B2E" w:rsidP="001B4B2E">
      <w:pPr>
        <w:jc w:val="center"/>
        <w:rPr>
          <w:rFonts w:eastAsiaTheme="majorEastAsia" w:cs="Arial"/>
          <w:color w:val="2E74B5" w:themeColor="accent1" w:themeShade="BF"/>
          <w:sz w:val="32"/>
          <w:szCs w:val="32"/>
        </w:rPr>
      </w:pPr>
    </w:p>
    <w:p w14:paraId="3F1921E8" w14:textId="77777777" w:rsidR="001B4B2E" w:rsidRDefault="001B4B2E" w:rsidP="001B4B2E"/>
    <w:tbl>
      <w:tblPr>
        <w:tblStyle w:val="TableGrid"/>
        <w:tblW w:w="10956" w:type="dxa"/>
        <w:tblInd w:w="-572" w:type="dxa"/>
        <w:tblLook w:val="04A0" w:firstRow="1" w:lastRow="0" w:firstColumn="1" w:lastColumn="0" w:noHBand="0" w:noVBand="1"/>
      </w:tblPr>
      <w:tblGrid>
        <w:gridCol w:w="1985"/>
        <w:gridCol w:w="1561"/>
        <w:gridCol w:w="4928"/>
        <w:gridCol w:w="2626"/>
      </w:tblGrid>
      <w:tr w:rsidR="001B4B2E" w:rsidRPr="001B4B2E" w14:paraId="0D06452B" w14:textId="77777777" w:rsidTr="00C56C0F">
        <w:trPr>
          <w:trHeight w:val="588"/>
        </w:trPr>
        <w:tc>
          <w:tcPr>
            <w:tcW w:w="1985" w:type="dxa"/>
            <w:noWrap/>
            <w:hideMark/>
          </w:tcPr>
          <w:p w14:paraId="77A310B3" w14:textId="77777777" w:rsidR="001B4B2E" w:rsidRPr="001B4B2E" w:rsidRDefault="001B4B2E" w:rsidP="001B4B2E">
            <w:pPr>
              <w:spacing w:line="276" w:lineRule="auto"/>
              <w:jc w:val="both"/>
              <w:rPr>
                <w:rFonts w:cs="Arial"/>
                <w:b/>
                <w:bCs/>
                <w:lang w:val="en-US"/>
              </w:rPr>
            </w:pPr>
            <w:r w:rsidRPr="001B4B2E">
              <w:rPr>
                <w:rFonts w:cs="Arial"/>
                <w:b/>
                <w:bCs/>
              </w:rPr>
              <w:t>Question</w:t>
            </w:r>
          </w:p>
        </w:tc>
        <w:tc>
          <w:tcPr>
            <w:tcW w:w="1417" w:type="dxa"/>
            <w:noWrap/>
            <w:hideMark/>
          </w:tcPr>
          <w:p w14:paraId="45C4ABEC" w14:textId="77777777" w:rsidR="001B4B2E" w:rsidRPr="001B4B2E" w:rsidRDefault="001B4B2E" w:rsidP="001B4B2E">
            <w:pPr>
              <w:spacing w:line="276" w:lineRule="auto"/>
              <w:jc w:val="both"/>
              <w:rPr>
                <w:rFonts w:cs="Arial"/>
                <w:b/>
                <w:bCs/>
              </w:rPr>
            </w:pPr>
            <w:r w:rsidRPr="001B4B2E">
              <w:rPr>
                <w:rFonts w:cs="Arial"/>
                <w:b/>
                <w:bCs/>
              </w:rPr>
              <w:t>Organization</w:t>
            </w:r>
          </w:p>
        </w:tc>
        <w:tc>
          <w:tcPr>
            <w:tcW w:w="4928" w:type="dxa"/>
            <w:noWrap/>
            <w:hideMark/>
          </w:tcPr>
          <w:p w14:paraId="2504512E" w14:textId="77777777" w:rsidR="001B4B2E" w:rsidRPr="001B4B2E" w:rsidRDefault="001B4B2E" w:rsidP="001B4B2E">
            <w:pPr>
              <w:spacing w:line="276" w:lineRule="auto"/>
              <w:jc w:val="both"/>
              <w:rPr>
                <w:rFonts w:cs="Arial"/>
                <w:b/>
                <w:bCs/>
              </w:rPr>
            </w:pPr>
            <w:r w:rsidRPr="001B4B2E">
              <w:rPr>
                <w:rFonts w:cs="Arial"/>
                <w:b/>
                <w:bCs/>
              </w:rPr>
              <w:t>Comment</w:t>
            </w:r>
          </w:p>
        </w:tc>
        <w:tc>
          <w:tcPr>
            <w:tcW w:w="2626" w:type="dxa"/>
            <w:noWrap/>
            <w:hideMark/>
          </w:tcPr>
          <w:p w14:paraId="31AB2063" w14:textId="77777777" w:rsidR="001B4B2E" w:rsidRPr="001B4B2E" w:rsidRDefault="001B4B2E" w:rsidP="001B4B2E">
            <w:pPr>
              <w:spacing w:line="276" w:lineRule="auto"/>
              <w:jc w:val="both"/>
              <w:rPr>
                <w:rFonts w:cs="Arial"/>
                <w:b/>
                <w:bCs/>
              </w:rPr>
            </w:pPr>
            <w:r w:rsidRPr="001B4B2E">
              <w:rPr>
                <w:rFonts w:cs="Arial"/>
                <w:b/>
                <w:bCs/>
              </w:rPr>
              <w:t>All TSO Response</w:t>
            </w:r>
          </w:p>
        </w:tc>
      </w:tr>
      <w:tr w:rsidR="001B4B2E" w:rsidRPr="001B4B2E" w14:paraId="721A0200" w14:textId="77777777" w:rsidTr="00C56C0F">
        <w:trPr>
          <w:trHeight w:val="2184"/>
        </w:trPr>
        <w:tc>
          <w:tcPr>
            <w:tcW w:w="1985" w:type="dxa"/>
            <w:hideMark/>
          </w:tcPr>
          <w:p w14:paraId="449835DF" w14:textId="7074F5EA" w:rsidR="001B4B2E" w:rsidRPr="001B4B2E" w:rsidRDefault="001B4B2E" w:rsidP="001B4B2E">
            <w:pPr>
              <w:spacing w:line="276" w:lineRule="auto"/>
              <w:jc w:val="both"/>
              <w:rPr>
                <w:rFonts w:cs="Arial"/>
                <w:b/>
                <w:bCs/>
              </w:rPr>
            </w:pPr>
            <w:r w:rsidRPr="001B4B2E">
              <w:rPr>
                <w:rFonts w:cs="Arial"/>
                <w:b/>
                <w:bCs/>
              </w:rPr>
              <w:t xml:space="preserve">Please provide us with general comments on the proposed Methodology for calculating Scheduled Exchanges resulting from single day-ahead coupling. </w:t>
            </w:r>
          </w:p>
        </w:tc>
        <w:tc>
          <w:tcPr>
            <w:tcW w:w="1417" w:type="dxa"/>
            <w:hideMark/>
          </w:tcPr>
          <w:p w14:paraId="1E578F25" w14:textId="77777777" w:rsidR="001B4B2E" w:rsidRPr="001B4B2E" w:rsidRDefault="001B4B2E" w:rsidP="001B4B2E">
            <w:pPr>
              <w:spacing w:line="276" w:lineRule="auto"/>
              <w:jc w:val="both"/>
              <w:rPr>
                <w:rFonts w:cs="Arial"/>
                <w:b/>
                <w:bCs/>
              </w:rPr>
            </w:pPr>
            <w:r w:rsidRPr="001B4B2E">
              <w:rPr>
                <w:rFonts w:cs="Arial"/>
                <w:b/>
                <w:bCs/>
              </w:rPr>
              <w:t>EDF SA</w:t>
            </w:r>
          </w:p>
        </w:tc>
        <w:tc>
          <w:tcPr>
            <w:tcW w:w="4928" w:type="dxa"/>
            <w:hideMark/>
          </w:tcPr>
          <w:p w14:paraId="201B3DD5" w14:textId="77777777" w:rsidR="001B4B2E" w:rsidRPr="001B4B2E" w:rsidRDefault="001B4B2E" w:rsidP="001B4B2E">
            <w:pPr>
              <w:spacing w:line="276" w:lineRule="auto"/>
              <w:jc w:val="both"/>
              <w:rPr>
                <w:rFonts w:cs="Arial"/>
              </w:rPr>
            </w:pPr>
            <w:r w:rsidRPr="001B4B2E">
              <w:rPr>
                <w:rFonts w:cs="Arial"/>
              </w:rPr>
              <w:t>EDF wishes to recall that If stakeholders are consulted to provide feedbacks and inputs, TSOs should make their best efforts to explain in a pedagogical way what is the context and the objectives pursued by TSOs to understand the purpose of a common Scheduled Exchanges calculation methodology and its impact on market participants’ activities. Therefore, an updated version of the explanatory notes published in December 2016 when the first version of the two methodologies was submitted to NRAs should have been published together with the new methodology proposals in order to provide full information to stakeholders.</w:t>
            </w:r>
          </w:p>
        </w:tc>
        <w:tc>
          <w:tcPr>
            <w:tcW w:w="2626" w:type="dxa"/>
            <w:hideMark/>
          </w:tcPr>
          <w:p w14:paraId="501FE17B" w14:textId="77777777" w:rsidR="001B4B2E" w:rsidRPr="001B4B2E" w:rsidRDefault="001B4B2E" w:rsidP="001B4B2E">
            <w:pPr>
              <w:spacing w:line="276" w:lineRule="auto"/>
              <w:jc w:val="both"/>
              <w:rPr>
                <w:rFonts w:cs="Arial"/>
              </w:rPr>
            </w:pPr>
            <w:r w:rsidRPr="001B4B2E">
              <w:rPr>
                <w:rFonts w:cs="Arial"/>
              </w:rPr>
              <w:t xml:space="preserve">TSOs remind that the timeframe was very short between the letter from NRAs (25th of September 2017) to resubmit the proposals and the start of the public consultation (5th November 2017). </w:t>
            </w:r>
            <w:r w:rsidRPr="001B4B2E">
              <w:rPr>
                <w:rFonts w:cs="Arial"/>
              </w:rPr>
              <w:br/>
              <w:t>In addition, a stakeholder workshop was organized during the public consultation to answer all stakeholders' questions and to explain more the context of the proposal.</w:t>
            </w:r>
          </w:p>
        </w:tc>
      </w:tr>
      <w:tr w:rsidR="001B4B2E" w:rsidRPr="001B4B2E" w14:paraId="0961EB8E" w14:textId="77777777" w:rsidTr="00C56C0F">
        <w:trPr>
          <w:trHeight w:val="2808"/>
        </w:trPr>
        <w:tc>
          <w:tcPr>
            <w:tcW w:w="1985" w:type="dxa"/>
            <w:hideMark/>
          </w:tcPr>
          <w:p w14:paraId="6ACB9D6D" w14:textId="26B2AE66" w:rsidR="001B4B2E" w:rsidRPr="001B4B2E" w:rsidRDefault="001B4B2E" w:rsidP="001B4B2E">
            <w:pPr>
              <w:spacing w:line="276" w:lineRule="auto"/>
              <w:jc w:val="both"/>
              <w:rPr>
                <w:rFonts w:cs="Arial"/>
                <w:b/>
                <w:bCs/>
              </w:rPr>
            </w:pPr>
            <w:r w:rsidRPr="001B4B2E">
              <w:rPr>
                <w:rFonts w:cs="Arial"/>
                <w:b/>
                <w:bCs/>
              </w:rPr>
              <w:t xml:space="preserve">Please provide us with your specific comments on Article 7: Calculation of Scheduled Exchanges </w:t>
            </w:r>
          </w:p>
        </w:tc>
        <w:tc>
          <w:tcPr>
            <w:tcW w:w="1417" w:type="dxa"/>
            <w:hideMark/>
          </w:tcPr>
          <w:p w14:paraId="2063604D" w14:textId="77777777" w:rsidR="001B4B2E" w:rsidRPr="001B4B2E" w:rsidRDefault="001B4B2E" w:rsidP="001B4B2E">
            <w:pPr>
              <w:spacing w:line="276" w:lineRule="auto"/>
              <w:jc w:val="both"/>
              <w:rPr>
                <w:rFonts w:cs="Arial"/>
                <w:b/>
                <w:bCs/>
              </w:rPr>
            </w:pPr>
            <w:r w:rsidRPr="001B4B2E">
              <w:rPr>
                <w:rFonts w:cs="Arial"/>
                <w:b/>
                <w:bCs/>
              </w:rPr>
              <w:t>EDF SA</w:t>
            </w:r>
          </w:p>
        </w:tc>
        <w:tc>
          <w:tcPr>
            <w:tcW w:w="4928" w:type="dxa"/>
            <w:hideMark/>
          </w:tcPr>
          <w:p w14:paraId="1F722DA3" w14:textId="77777777" w:rsidR="001B4B2E" w:rsidRPr="001B4B2E" w:rsidRDefault="001B4B2E" w:rsidP="001B4B2E">
            <w:pPr>
              <w:spacing w:line="276" w:lineRule="auto"/>
              <w:jc w:val="both"/>
              <w:rPr>
                <w:rFonts w:cs="Arial"/>
              </w:rPr>
            </w:pPr>
            <w:r w:rsidRPr="001B4B2E">
              <w:rPr>
                <w:rFonts w:cs="Arial"/>
              </w:rPr>
              <w:t>EDF wishes to draw TSOs’ attention on the application of the intuitiveness scheduling restriction for the calculation of Scheduled Exchanges in the CCRs where the Flow Based capacity allocation approach is applied. At present, situations where the market coupling algorithm would lead to net positions that could not result from (virtual) exchanges occurring from low price areas to high price areas are avoided through the application of an “intuitive patch”. Nevertheless, if TSOs decide in the future to introduce a “plain” Market Coupling where non-intuitive situations are allowed (to achieve greater socioeconomic welfare), it is not clear whether the proposed intuitiveness scheduling restriction could lead to Scheduled Exchanges that would be inconsistent with the Bidding Zones Net Positions resulting from the day-ahead market coupling.</w:t>
            </w:r>
          </w:p>
        </w:tc>
        <w:tc>
          <w:tcPr>
            <w:tcW w:w="2626" w:type="dxa"/>
            <w:hideMark/>
          </w:tcPr>
          <w:p w14:paraId="7A4D7A83" w14:textId="77777777" w:rsidR="001B4B2E" w:rsidRPr="001B4B2E" w:rsidRDefault="001B4B2E" w:rsidP="001B4B2E">
            <w:pPr>
              <w:spacing w:line="276" w:lineRule="auto"/>
              <w:jc w:val="both"/>
              <w:rPr>
                <w:rFonts w:cs="Arial"/>
              </w:rPr>
            </w:pPr>
            <w:r w:rsidRPr="001B4B2E">
              <w:rPr>
                <w:rFonts w:cs="Arial"/>
              </w:rPr>
              <w:t>TSOs acknowledge the feedback from EDF SA on the intuitiveness.</w:t>
            </w:r>
          </w:p>
        </w:tc>
      </w:tr>
    </w:tbl>
    <w:p w14:paraId="013B9301" w14:textId="77777777" w:rsidR="001B4B2E" w:rsidRPr="00F8788D" w:rsidRDefault="001B4B2E" w:rsidP="001B4B2E">
      <w:pPr>
        <w:pStyle w:val="ListParagraph"/>
        <w:spacing w:line="276" w:lineRule="auto"/>
        <w:ind w:left="0"/>
        <w:jc w:val="both"/>
        <w:rPr>
          <w:rFonts w:cs="Arial"/>
        </w:rPr>
      </w:pPr>
    </w:p>
    <w:sectPr w:rsidR="001B4B2E" w:rsidRPr="00F8788D" w:rsidSect="0037730C">
      <w:footerReference w:type="default" r:id="rId76"/>
      <w:pgSz w:w="12240" w:h="15840"/>
      <w:pgMar w:top="1440" w:right="1325"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A786D0" w14:textId="77777777" w:rsidR="00796678" w:rsidRDefault="00796678" w:rsidP="00EC5761">
      <w:r>
        <w:separator/>
      </w:r>
    </w:p>
  </w:endnote>
  <w:endnote w:type="continuationSeparator" w:id="0">
    <w:p w14:paraId="2748DF5F" w14:textId="77777777" w:rsidR="00796678" w:rsidRDefault="00796678" w:rsidP="00EC5761">
      <w:r>
        <w:continuationSeparator/>
      </w:r>
    </w:p>
  </w:endnote>
  <w:endnote w:type="continuationNotice" w:id="1">
    <w:p w14:paraId="7B328FDA" w14:textId="77777777" w:rsidR="00796678" w:rsidRDefault="007966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wis721 LtCn BT">
    <w:altName w:val="Calibri"/>
    <w:charset w:val="00"/>
    <w:family w:val="swiss"/>
    <w:pitch w:val="variable"/>
    <w:sig w:usb0="00000087"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9012884"/>
      <w:docPartObj>
        <w:docPartGallery w:val="Page Numbers (Bottom of Page)"/>
        <w:docPartUnique/>
      </w:docPartObj>
    </w:sdtPr>
    <w:sdtEndPr>
      <w:rPr>
        <w:noProof/>
      </w:rPr>
    </w:sdtEndPr>
    <w:sdtContent>
      <w:p w14:paraId="7F8BBBC5" w14:textId="303A983C" w:rsidR="00F8788D" w:rsidRDefault="00F8788D">
        <w:pPr>
          <w:pStyle w:val="Footer"/>
          <w:jc w:val="right"/>
        </w:pPr>
        <w:r>
          <w:fldChar w:fldCharType="begin"/>
        </w:r>
        <w:r>
          <w:instrText xml:space="preserve"> PAGE   \* MERGEFORMAT </w:instrText>
        </w:r>
        <w:r>
          <w:fldChar w:fldCharType="separate"/>
        </w:r>
        <w:r w:rsidR="00FC1305">
          <w:rPr>
            <w:noProof/>
          </w:rPr>
          <w:t>4</w:t>
        </w:r>
        <w:r>
          <w:fldChar w:fldCharType="end"/>
        </w:r>
      </w:p>
    </w:sdtContent>
  </w:sdt>
  <w:p w14:paraId="2EAF7FDC" w14:textId="77777777" w:rsidR="00F8788D" w:rsidRDefault="00F878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3343357"/>
      <w:docPartObj>
        <w:docPartGallery w:val="Page Numbers (Bottom of Page)"/>
        <w:docPartUnique/>
      </w:docPartObj>
    </w:sdtPr>
    <w:sdtEndPr>
      <w:rPr>
        <w:noProof/>
      </w:rPr>
    </w:sdtEndPr>
    <w:sdtContent>
      <w:p w14:paraId="5719B886" w14:textId="56F5434A" w:rsidR="00BD7709" w:rsidRDefault="00BD7709">
        <w:pPr>
          <w:pStyle w:val="Footer"/>
          <w:jc w:val="right"/>
        </w:pPr>
        <w:r>
          <w:fldChar w:fldCharType="begin"/>
        </w:r>
        <w:r>
          <w:instrText xml:space="preserve"> PAGE   \* MERGEFORMAT </w:instrText>
        </w:r>
        <w:r>
          <w:fldChar w:fldCharType="separate"/>
        </w:r>
        <w:r w:rsidR="00FC1305">
          <w:rPr>
            <w:noProof/>
          </w:rPr>
          <w:t>67</w:t>
        </w:r>
        <w:r>
          <w:fldChar w:fldCharType="end"/>
        </w:r>
      </w:p>
    </w:sdtContent>
  </w:sdt>
  <w:p w14:paraId="14671CE6" w14:textId="77777777" w:rsidR="00BD7709" w:rsidRDefault="00BD77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0D8E75" w14:textId="77777777" w:rsidR="00796678" w:rsidRDefault="00796678" w:rsidP="00EC5761">
      <w:r>
        <w:separator/>
      </w:r>
    </w:p>
  </w:footnote>
  <w:footnote w:type="continuationSeparator" w:id="0">
    <w:p w14:paraId="5B8872D7" w14:textId="77777777" w:rsidR="00796678" w:rsidRDefault="00796678" w:rsidP="00EC5761">
      <w:r>
        <w:continuationSeparator/>
      </w:r>
    </w:p>
  </w:footnote>
  <w:footnote w:type="continuationNotice" w:id="1">
    <w:p w14:paraId="57C891E4" w14:textId="77777777" w:rsidR="00796678" w:rsidRDefault="00796678"/>
  </w:footnote>
  <w:footnote w:id="2">
    <w:p w14:paraId="27410C5B" w14:textId="77777777" w:rsidR="00BD7709" w:rsidRPr="005D3247" w:rsidRDefault="00BD7709" w:rsidP="00E84A97">
      <w:pPr>
        <w:pStyle w:val="FootnoteText"/>
        <w:rPr>
          <w:lang w:val="en-IE"/>
        </w:rPr>
      </w:pPr>
      <w:r>
        <w:rPr>
          <w:rStyle w:val="FootnoteReference"/>
        </w:rPr>
        <w:footnoteRef/>
      </w:r>
      <w:r>
        <w:t xml:space="preserve"> </w:t>
      </w:r>
      <w:r>
        <w:rPr>
          <w:lang w:val="en-IE"/>
        </w:rPr>
        <w:t xml:space="preserve">SEM-GB: Borders Great Britain-Ireland and Great Britain-Northern Ireland </w:t>
      </w:r>
    </w:p>
  </w:footnote>
  <w:footnote w:id="3">
    <w:p w14:paraId="48571E25" w14:textId="03EFBC23" w:rsidR="00BD7709" w:rsidRPr="00FE0803" w:rsidRDefault="00BD7709">
      <w:pPr>
        <w:pStyle w:val="FootnoteText"/>
        <w:rPr>
          <w:lang w:val="en-IE"/>
        </w:rPr>
      </w:pPr>
      <w:r>
        <w:rPr>
          <w:rStyle w:val="FootnoteReference"/>
        </w:rPr>
        <w:footnoteRef/>
      </w:r>
      <w:r>
        <w:t xml:space="preserve"> </w:t>
      </w:r>
      <w:r>
        <w:rPr>
          <w:lang w:val="en-IE"/>
        </w:rPr>
        <w:t xml:space="preserve">SO GL stands for the </w:t>
      </w:r>
      <w:r w:rsidR="007162D0" w:rsidRPr="007162D0">
        <w:rPr>
          <w:lang w:val="en-IE"/>
        </w:rPr>
        <w:t>COMMISSION REGULATION (EU) 2017/1485 of 2 August 2017 establishing a guideline on electricity transmission system operation</w:t>
      </w:r>
    </w:p>
  </w:footnote>
  <w:footnote w:id="4">
    <w:p w14:paraId="42CF781E" w14:textId="181C8F2D" w:rsidR="00BD7709" w:rsidRPr="00FE0803" w:rsidRDefault="00BD7709">
      <w:pPr>
        <w:pStyle w:val="FootnoteText"/>
        <w:rPr>
          <w:lang w:val="en-IE"/>
        </w:rPr>
      </w:pPr>
      <w:r>
        <w:rPr>
          <w:rStyle w:val="FootnoteReference"/>
        </w:rPr>
        <w:footnoteRef/>
      </w:r>
      <w:r>
        <w:t xml:space="preserve"> References to 111.1 and 111.2 relate to Articles 111 of the </w:t>
      </w:r>
      <w:r w:rsidR="00F0280E">
        <w:t>System Operations Guideline.</w:t>
      </w:r>
      <w:r>
        <w:t xml:space="preserve"> The references are required in order to clearly illustrate the links between the</w:t>
      </w:r>
      <w:r w:rsidR="007162D0">
        <w:t xml:space="preserve"> CACM</w:t>
      </w:r>
      <w:r>
        <w:t xml:space="preserve"> Regulation and the SO GL</w:t>
      </w:r>
    </w:p>
  </w:footnote>
  <w:footnote w:id="5">
    <w:p w14:paraId="29328F92" w14:textId="4D0CF44A" w:rsidR="00BD7709" w:rsidRDefault="00BD7709" w:rsidP="0012198D">
      <w:pPr>
        <w:pStyle w:val="FootnoteText"/>
        <w:rPr>
          <w:rFonts w:ascii="Calibri" w:eastAsiaTheme="minorHAnsi" w:hAnsi="Calibri" w:cs="Calibri"/>
          <w:sz w:val="20"/>
          <w:lang w:eastAsia="en-GB"/>
        </w:rPr>
      </w:pPr>
      <w:r>
        <w:rPr>
          <w:rStyle w:val="FootnoteReference"/>
        </w:rPr>
        <w:footnoteRef/>
      </w:r>
      <w:r>
        <w:t xml:space="preserve"> Current assumption of PCR </w:t>
      </w:r>
    </w:p>
  </w:footnote>
  <w:footnote w:id="6">
    <w:p w14:paraId="66149848" w14:textId="393B319F" w:rsidR="00BD7709" w:rsidRPr="00EC2296" w:rsidRDefault="00BD7709" w:rsidP="000B5887">
      <w:pPr>
        <w:pStyle w:val="FootnoteText"/>
      </w:pPr>
      <w:r>
        <w:rPr>
          <w:rStyle w:val="FootnoteReference"/>
        </w:rPr>
        <w:footnoteRef/>
      </w:r>
      <w:r>
        <w:t xml:space="preserve"> </w:t>
      </w:r>
      <w:r w:rsidRPr="00EC2296">
        <w:t xml:space="preserve">In case there </w:t>
      </w:r>
      <w:r>
        <w:t>is no congestion</w:t>
      </w:r>
      <w:r w:rsidRPr="00EC2296">
        <w:t xml:space="preserve"> between two</w:t>
      </w:r>
      <w:r>
        <w:t xml:space="preserve"> or more</w:t>
      </w:r>
      <w:r w:rsidRPr="00EC2296">
        <w:t xml:space="preserve"> bidding zones applying a CNTC approach</w:t>
      </w:r>
      <w:r>
        <w:t xml:space="preserve"> (i.e. no allocation constraint was active and the bidding zone prices are equal), then multiple routes are available. </w:t>
      </w:r>
    </w:p>
  </w:footnote>
  <w:footnote w:id="7">
    <w:p w14:paraId="6BED34BA" w14:textId="77777777" w:rsidR="00F8788D" w:rsidRPr="00BE537F" w:rsidRDefault="00F8788D" w:rsidP="002414BB">
      <w:pPr>
        <w:pStyle w:val="FootnoteText"/>
        <w:jc w:val="both"/>
      </w:pPr>
      <w:r>
        <w:rPr>
          <w:rStyle w:val="FootnoteReference"/>
        </w:rPr>
        <w:footnoteRef/>
      </w:r>
      <w:r>
        <w:t xml:space="preserve"> CCPs are financial institutions associated to PXs/NEMOs and responsible for managing the counterparty credit risk related to all exchanges operated in the context of the day-ahead market coupling.</w:t>
      </w:r>
    </w:p>
  </w:footnote>
  <w:footnote w:id="8">
    <w:p w14:paraId="1B0078D1" w14:textId="77777777" w:rsidR="00F8788D" w:rsidRPr="000805CE" w:rsidRDefault="00F8788D" w:rsidP="002414BB">
      <w:pPr>
        <w:pStyle w:val="FootnoteText"/>
        <w:rPr>
          <w:lang w:val="en-US"/>
        </w:rPr>
      </w:pPr>
      <w:r>
        <w:rPr>
          <w:rStyle w:val="FootnoteReference"/>
        </w:rPr>
        <w:footnoteRef/>
      </w:r>
      <w:r>
        <w:t xml:space="preserve"> </w:t>
      </w:r>
      <w:r>
        <w:rPr>
          <w:lang w:val="en-US"/>
        </w:rPr>
        <w:t>The “hourly” curves may be read as MTU curves, in the sense that Euphemia can process curves received per MTU. For historical reasons in PCR we tend to refer to these as hourly curves.</w:t>
      </w:r>
    </w:p>
  </w:footnote>
  <w:footnote w:id="9">
    <w:p w14:paraId="7C27B5E6" w14:textId="77777777" w:rsidR="00F8788D" w:rsidRPr="00CB0BED" w:rsidRDefault="00F8788D" w:rsidP="002414BB">
      <w:pPr>
        <w:pStyle w:val="FootnoteText"/>
        <w:rPr>
          <w:lang w:val="cs-CZ"/>
        </w:rPr>
      </w:pPr>
      <w:r>
        <w:rPr>
          <w:rStyle w:val="FootnoteReference"/>
        </w:rPr>
        <w:footnoteRef/>
      </w:r>
      <w:r>
        <w:t xml:space="preserve"> </w:t>
      </w:r>
      <w:r w:rsidRPr="00C534E5">
        <w:t xml:space="preserve">By default </w:t>
      </w:r>
      <w:r>
        <w:t xml:space="preserve">there would be no need for the resulting </w:t>
      </w:r>
      <w:r w:rsidRPr="00C534E5">
        <w:t>aggregated curve</w:t>
      </w:r>
      <w:r>
        <w:t>s</w:t>
      </w:r>
      <w:r w:rsidRPr="00C534E5">
        <w:t xml:space="preserve"> </w:t>
      </w:r>
      <w:r>
        <w:t xml:space="preserve">per bidding zone to be stored </w:t>
      </w:r>
      <w:r w:rsidRPr="00C534E5">
        <w:t xml:space="preserve">explicitly in the database. However, for debug purposes, the aggregated curves could be written (as output) into dedicated </w:t>
      </w:r>
      <w:r>
        <w:t>data structures.</w:t>
      </w:r>
    </w:p>
  </w:footnote>
  <w:footnote w:id="10">
    <w:p w14:paraId="1A7A3FCE" w14:textId="77777777" w:rsidR="00F8788D" w:rsidRPr="00C12677" w:rsidRDefault="00F8788D">
      <w:pPr>
        <w:pStyle w:val="FootnoteText"/>
      </w:pPr>
      <w:r>
        <w:rPr>
          <w:rStyle w:val="FootnoteReference"/>
        </w:rPr>
        <w:footnoteRef/>
      </w:r>
      <w:r>
        <w:t xml:space="preserve"> Upon implementation of capacity allocation on the DE/LU-AT border in October 2018, this bidding zone will be split into DE/LU with 4 scheduling areas and AT with 1 scheduling area.</w:t>
      </w:r>
    </w:p>
  </w:footnote>
  <w:footnote w:id="11">
    <w:p w14:paraId="5EEE7011" w14:textId="42CCE897" w:rsidR="00F8788D" w:rsidRPr="005E5BDD" w:rsidRDefault="00F8788D" w:rsidP="002414BB">
      <w:pPr>
        <w:pStyle w:val="FootnoteText"/>
        <w:rPr>
          <w:lang w:val="en-US"/>
        </w:rPr>
      </w:pPr>
      <w:r>
        <w:rPr>
          <w:rStyle w:val="FootnoteReference"/>
        </w:rPr>
        <w:footnoteRef/>
      </w:r>
      <w:r>
        <w:t xml:space="preserve"> </w:t>
      </w:r>
      <w:r>
        <w:rPr>
          <w:lang w:val="en-US"/>
        </w:rPr>
        <w:t>If there are &gt; 1 scheduling areas that cross the same zonal border, they need to be processed one by one, they can’t be aggregated. Example: FR→DE has 2 scheduling area borders: Rte→Amprion, and Rte→Transnet. First all inter NTH lines between Rte and Amprion will be processed, subsequently all NTH lines between Rte and Transnet will be processed.</w:t>
      </w:r>
    </w:p>
  </w:footnote>
  <w:footnote w:id="12">
    <w:p w14:paraId="7C4E18C9" w14:textId="77777777" w:rsidR="00F8788D" w:rsidRPr="000569B8" w:rsidRDefault="00F8788D">
      <w:pPr>
        <w:pStyle w:val="FootnoteText"/>
        <w:rPr>
          <w:lang w:val="en-US"/>
        </w:rPr>
      </w:pPr>
      <w:r>
        <w:rPr>
          <w:rStyle w:val="FootnoteReference"/>
        </w:rPr>
        <w:footnoteRef/>
      </w:r>
      <w:r>
        <w:t xml:space="preserve"> </w:t>
      </w:r>
      <w:r w:rsidRPr="0090696E">
        <w:t xml:space="preserve">The maximum flow problem is to route as much flow as possible from </w:t>
      </w:r>
      <w:r>
        <w:t>source to sink</w:t>
      </w:r>
    </w:p>
  </w:footnote>
  <w:footnote w:id="13">
    <w:p w14:paraId="5B19C457" w14:textId="77777777" w:rsidR="00F8788D" w:rsidRPr="00C30B4D" w:rsidRDefault="00F8788D" w:rsidP="002414BB">
      <w:pPr>
        <w:pStyle w:val="FootnoteText"/>
      </w:pPr>
      <w:r>
        <w:rPr>
          <w:rStyle w:val="FootnoteReference"/>
        </w:rPr>
        <w:footnoteRef/>
      </w:r>
      <w:r w:rsidRPr="00C30B4D">
        <w:t xml:space="preserve"> n-Side and PCR ALGW assumption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D3156"/>
    <w:multiLevelType w:val="hybridMultilevel"/>
    <w:tmpl w:val="0A6C32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EF7BEE"/>
    <w:multiLevelType w:val="hybridMultilevel"/>
    <w:tmpl w:val="6EB80204"/>
    <w:lvl w:ilvl="0" w:tplc="A5AAFBF6">
      <w:start w:val="2017"/>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C063A"/>
    <w:multiLevelType w:val="hybridMultilevel"/>
    <w:tmpl w:val="8E943420"/>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0C217D47"/>
    <w:multiLevelType w:val="hybridMultilevel"/>
    <w:tmpl w:val="CA44406C"/>
    <w:lvl w:ilvl="0" w:tplc="0405000F">
      <w:start w:val="1"/>
      <w:numFmt w:val="decimal"/>
      <w:lvlText w:val="%1."/>
      <w:lvlJc w:val="left"/>
      <w:pPr>
        <w:tabs>
          <w:tab w:val="num" w:pos="720"/>
        </w:tabs>
        <w:ind w:left="720" w:hanging="360"/>
      </w:pPr>
      <w:rPr>
        <w:rFonts w:cs="Times New Roman" w:hint="default"/>
      </w:rPr>
    </w:lvl>
    <w:lvl w:ilvl="1" w:tplc="04050001">
      <w:start w:val="1"/>
      <w:numFmt w:val="bullet"/>
      <w:lvlText w:val=""/>
      <w:lvlJc w:val="left"/>
      <w:pPr>
        <w:tabs>
          <w:tab w:val="num" w:pos="1440"/>
        </w:tabs>
        <w:ind w:left="1440" w:hanging="360"/>
      </w:pPr>
      <w:rPr>
        <w:rFonts w:ascii="Symbol" w:hAnsi="Symbol" w:hint="default"/>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CF8410B"/>
    <w:multiLevelType w:val="hybridMultilevel"/>
    <w:tmpl w:val="0E4A78EE"/>
    <w:lvl w:ilvl="0" w:tplc="08090001">
      <w:start w:val="1"/>
      <w:numFmt w:val="bullet"/>
      <w:lvlText w:val=""/>
      <w:lvlJc w:val="left"/>
      <w:pPr>
        <w:ind w:left="1068" w:hanging="360"/>
      </w:pPr>
      <w:rPr>
        <w:rFonts w:ascii="Symbol" w:hAnsi="Symbol"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0E366DF8"/>
    <w:multiLevelType w:val="hybridMultilevel"/>
    <w:tmpl w:val="2C5E69CC"/>
    <w:lvl w:ilvl="0" w:tplc="B5DC44F6">
      <w:start w:val="1"/>
      <w:numFmt w:val="bullet"/>
      <w:lvlText w:val="-"/>
      <w:lvlJc w:val="left"/>
      <w:pPr>
        <w:ind w:left="720" w:hanging="360"/>
      </w:pPr>
      <w:rPr>
        <w:rFonts w:ascii="Swis721 LtCn BT" w:hAnsi="Swis721 LtCn B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5D28DF"/>
    <w:multiLevelType w:val="hybridMultilevel"/>
    <w:tmpl w:val="35042768"/>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225C6752"/>
    <w:multiLevelType w:val="hybridMultilevel"/>
    <w:tmpl w:val="4816CEA2"/>
    <w:lvl w:ilvl="0" w:tplc="B31CB8DE">
      <w:start w:val="2"/>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2D620F7"/>
    <w:multiLevelType w:val="hybridMultilevel"/>
    <w:tmpl w:val="4D5AEA84"/>
    <w:lvl w:ilvl="0" w:tplc="7E0614EE">
      <w:start w:val="11"/>
      <w:numFmt w:val="bullet"/>
      <w:lvlText w:val="-"/>
      <w:lvlJc w:val="left"/>
      <w:pPr>
        <w:ind w:left="720" w:hanging="360"/>
      </w:pPr>
      <w:rPr>
        <w:rFonts w:ascii="Calibri" w:eastAsia="Calibri"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32D382E"/>
    <w:multiLevelType w:val="multilevel"/>
    <w:tmpl w:val="FF18D930"/>
    <w:lvl w:ilvl="0">
      <w:start w:val="3"/>
      <w:numFmt w:val="decimal"/>
      <w:lvlText w:val="%1."/>
      <w:lvlJc w:val="left"/>
      <w:pPr>
        <w:ind w:left="720" w:hanging="360"/>
      </w:pPr>
      <w:rPr>
        <w:rFonts w:ascii="Arial" w:hAnsi="Arial" w:cs="Aria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262C2ACE"/>
    <w:multiLevelType w:val="multilevel"/>
    <w:tmpl w:val="C950BFE4"/>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2A567023"/>
    <w:multiLevelType w:val="multilevel"/>
    <w:tmpl w:val="FF18D930"/>
    <w:lvl w:ilvl="0">
      <w:start w:val="3"/>
      <w:numFmt w:val="decimal"/>
      <w:lvlText w:val="%1."/>
      <w:lvlJc w:val="left"/>
      <w:pPr>
        <w:ind w:left="720" w:hanging="360"/>
      </w:pPr>
      <w:rPr>
        <w:rFonts w:ascii="Arial" w:hAnsi="Arial" w:cs="Aria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DBB24B9"/>
    <w:multiLevelType w:val="hybridMultilevel"/>
    <w:tmpl w:val="01EC21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8B241E"/>
    <w:multiLevelType w:val="hybridMultilevel"/>
    <w:tmpl w:val="BAEEF0DA"/>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EF28FE"/>
    <w:multiLevelType w:val="hybridMultilevel"/>
    <w:tmpl w:val="989E78CE"/>
    <w:lvl w:ilvl="0" w:tplc="158E4D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1B2C1A"/>
    <w:multiLevelType w:val="hybridMultilevel"/>
    <w:tmpl w:val="011ABF38"/>
    <w:lvl w:ilvl="0" w:tplc="08090001">
      <w:start w:val="1"/>
      <w:numFmt w:val="bullet"/>
      <w:lvlText w:val=""/>
      <w:lvlJc w:val="left"/>
      <w:pPr>
        <w:ind w:left="1160" w:hanging="360"/>
      </w:pPr>
      <w:rPr>
        <w:rFonts w:ascii="Symbol" w:hAnsi="Symbol" w:hint="default"/>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16" w15:restartNumberingAfterBreak="0">
    <w:nsid w:val="302006C4"/>
    <w:multiLevelType w:val="hybridMultilevel"/>
    <w:tmpl w:val="68D400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0613278"/>
    <w:multiLevelType w:val="hybridMultilevel"/>
    <w:tmpl w:val="D56AC0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1F663EC"/>
    <w:multiLevelType w:val="multilevel"/>
    <w:tmpl w:val="5C303B10"/>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B2F35DB"/>
    <w:multiLevelType w:val="hybridMultilevel"/>
    <w:tmpl w:val="CA44406C"/>
    <w:lvl w:ilvl="0" w:tplc="0405000F">
      <w:start w:val="1"/>
      <w:numFmt w:val="decimal"/>
      <w:lvlText w:val="%1."/>
      <w:lvlJc w:val="left"/>
      <w:pPr>
        <w:tabs>
          <w:tab w:val="num" w:pos="720"/>
        </w:tabs>
        <w:ind w:left="720" w:hanging="360"/>
      </w:pPr>
      <w:rPr>
        <w:rFonts w:cs="Times New Roman" w:hint="default"/>
      </w:rPr>
    </w:lvl>
    <w:lvl w:ilvl="1" w:tplc="04050001">
      <w:start w:val="1"/>
      <w:numFmt w:val="bullet"/>
      <w:lvlText w:val=""/>
      <w:lvlJc w:val="left"/>
      <w:pPr>
        <w:tabs>
          <w:tab w:val="num" w:pos="1440"/>
        </w:tabs>
        <w:ind w:left="1440" w:hanging="360"/>
      </w:pPr>
      <w:rPr>
        <w:rFonts w:ascii="Symbol" w:hAnsi="Symbol" w:hint="default"/>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3C695092"/>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3DEC3B58"/>
    <w:multiLevelType w:val="hybridMultilevel"/>
    <w:tmpl w:val="0DE449D4"/>
    <w:lvl w:ilvl="0" w:tplc="5304562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112210"/>
    <w:multiLevelType w:val="multilevel"/>
    <w:tmpl w:val="EC4CA168"/>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upperRoman"/>
      <w:lvlText w:val="%3."/>
      <w:lvlJc w:val="righ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F486BCB"/>
    <w:multiLevelType w:val="hybridMultilevel"/>
    <w:tmpl w:val="467C6B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5360F5"/>
    <w:multiLevelType w:val="hybridMultilevel"/>
    <w:tmpl w:val="5B2E639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2197F7A"/>
    <w:multiLevelType w:val="hybridMultilevel"/>
    <w:tmpl w:val="8ABE3B54"/>
    <w:lvl w:ilvl="0" w:tplc="4E82549E">
      <w:start w:val="1"/>
      <w:numFmt w:val="bullet"/>
      <w:lvlText w:val="•"/>
      <w:lvlJc w:val="left"/>
      <w:pPr>
        <w:tabs>
          <w:tab w:val="num" w:pos="720"/>
        </w:tabs>
        <w:ind w:left="720" w:hanging="360"/>
      </w:pPr>
      <w:rPr>
        <w:rFonts w:ascii="Arial" w:hAnsi="Arial" w:hint="default"/>
      </w:rPr>
    </w:lvl>
    <w:lvl w:ilvl="1" w:tplc="B7780FD4" w:tentative="1">
      <w:start w:val="1"/>
      <w:numFmt w:val="bullet"/>
      <w:lvlText w:val="•"/>
      <w:lvlJc w:val="left"/>
      <w:pPr>
        <w:tabs>
          <w:tab w:val="num" w:pos="1440"/>
        </w:tabs>
        <w:ind w:left="1440" w:hanging="360"/>
      </w:pPr>
      <w:rPr>
        <w:rFonts w:ascii="Arial" w:hAnsi="Arial" w:hint="default"/>
      </w:rPr>
    </w:lvl>
    <w:lvl w:ilvl="2" w:tplc="922649F4">
      <w:start w:val="1"/>
      <w:numFmt w:val="bullet"/>
      <w:lvlText w:val="•"/>
      <w:lvlJc w:val="left"/>
      <w:pPr>
        <w:tabs>
          <w:tab w:val="num" w:pos="450"/>
        </w:tabs>
        <w:ind w:left="450" w:hanging="360"/>
      </w:pPr>
      <w:rPr>
        <w:rFonts w:ascii="Arial" w:hAnsi="Arial" w:hint="default"/>
      </w:rPr>
    </w:lvl>
    <w:lvl w:ilvl="3" w:tplc="6F8CD796" w:tentative="1">
      <w:start w:val="1"/>
      <w:numFmt w:val="bullet"/>
      <w:lvlText w:val="•"/>
      <w:lvlJc w:val="left"/>
      <w:pPr>
        <w:tabs>
          <w:tab w:val="num" w:pos="2880"/>
        </w:tabs>
        <w:ind w:left="2880" w:hanging="360"/>
      </w:pPr>
      <w:rPr>
        <w:rFonts w:ascii="Arial" w:hAnsi="Arial" w:hint="default"/>
      </w:rPr>
    </w:lvl>
    <w:lvl w:ilvl="4" w:tplc="34B2226A" w:tentative="1">
      <w:start w:val="1"/>
      <w:numFmt w:val="bullet"/>
      <w:lvlText w:val="•"/>
      <w:lvlJc w:val="left"/>
      <w:pPr>
        <w:tabs>
          <w:tab w:val="num" w:pos="3600"/>
        </w:tabs>
        <w:ind w:left="3600" w:hanging="360"/>
      </w:pPr>
      <w:rPr>
        <w:rFonts w:ascii="Arial" w:hAnsi="Arial" w:hint="default"/>
      </w:rPr>
    </w:lvl>
    <w:lvl w:ilvl="5" w:tplc="8E5CD5C4" w:tentative="1">
      <w:start w:val="1"/>
      <w:numFmt w:val="bullet"/>
      <w:lvlText w:val="•"/>
      <w:lvlJc w:val="left"/>
      <w:pPr>
        <w:tabs>
          <w:tab w:val="num" w:pos="4320"/>
        </w:tabs>
        <w:ind w:left="4320" w:hanging="360"/>
      </w:pPr>
      <w:rPr>
        <w:rFonts w:ascii="Arial" w:hAnsi="Arial" w:hint="default"/>
      </w:rPr>
    </w:lvl>
    <w:lvl w:ilvl="6" w:tplc="6DC49342" w:tentative="1">
      <w:start w:val="1"/>
      <w:numFmt w:val="bullet"/>
      <w:lvlText w:val="•"/>
      <w:lvlJc w:val="left"/>
      <w:pPr>
        <w:tabs>
          <w:tab w:val="num" w:pos="5040"/>
        </w:tabs>
        <w:ind w:left="5040" w:hanging="360"/>
      </w:pPr>
      <w:rPr>
        <w:rFonts w:ascii="Arial" w:hAnsi="Arial" w:hint="default"/>
      </w:rPr>
    </w:lvl>
    <w:lvl w:ilvl="7" w:tplc="CF825A3C" w:tentative="1">
      <w:start w:val="1"/>
      <w:numFmt w:val="bullet"/>
      <w:lvlText w:val="•"/>
      <w:lvlJc w:val="left"/>
      <w:pPr>
        <w:tabs>
          <w:tab w:val="num" w:pos="5760"/>
        </w:tabs>
        <w:ind w:left="5760" w:hanging="360"/>
      </w:pPr>
      <w:rPr>
        <w:rFonts w:ascii="Arial" w:hAnsi="Arial" w:hint="default"/>
      </w:rPr>
    </w:lvl>
    <w:lvl w:ilvl="8" w:tplc="4B0C5D8C"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4D61839"/>
    <w:multiLevelType w:val="hybridMultilevel"/>
    <w:tmpl w:val="80FA619A"/>
    <w:lvl w:ilvl="0" w:tplc="08130001">
      <w:start w:val="1"/>
      <w:numFmt w:val="bullet"/>
      <w:lvlText w:val=""/>
      <w:lvlJc w:val="left"/>
      <w:pPr>
        <w:ind w:left="3960" w:hanging="360"/>
      </w:pPr>
      <w:rPr>
        <w:rFonts w:ascii="Symbol" w:hAnsi="Symbol" w:hint="default"/>
      </w:rPr>
    </w:lvl>
    <w:lvl w:ilvl="1" w:tplc="04090003">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27" w15:restartNumberingAfterBreak="0">
    <w:nsid w:val="476C4AA1"/>
    <w:multiLevelType w:val="hybridMultilevel"/>
    <w:tmpl w:val="134E1D0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8DF61EF"/>
    <w:multiLevelType w:val="hybridMultilevel"/>
    <w:tmpl w:val="BF3CE626"/>
    <w:lvl w:ilvl="0" w:tplc="0813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96385B"/>
    <w:multiLevelType w:val="hybridMultilevel"/>
    <w:tmpl w:val="0666BDDA"/>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0B269F"/>
    <w:multiLevelType w:val="hybridMultilevel"/>
    <w:tmpl w:val="CAEEB87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1" w15:restartNumberingAfterBreak="0">
    <w:nsid w:val="502446FD"/>
    <w:multiLevelType w:val="hybridMultilevel"/>
    <w:tmpl w:val="364C7EC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50934F92"/>
    <w:multiLevelType w:val="hybridMultilevel"/>
    <w:tmpl w:val="CEAC14EE"/>
    <w:lvl w:ilvl="0" w:tplc="53868CD6">
      <w:start w:val="1"/>
      <w:numFmt w:val="bullet"/>
      <w:lvlText w:val=""/>
      <w:lvlJc w:val="left"/>
      <w:pPr>
        <w:tabs>
          <w:tab w:val="num" w:pos="720"/>
        </w:tabs>
        <w:ind w:left="720" w:hanging="360"/>
      </w:pPr>
      <w:rPr>
        <w:rFonts w:ascii="Wingdings" w:hAnsi="Wingdings" w:hint="default"/>
      </w:rPr>
    </w:lvl>
    <w:lvl w:ilvl="1" w:tplc="54D4D680">
      <w:start w:val="1"/>
      <w:numFmt w:val="bullet"/>
      <w:lvlText w:val=""/>
      <w:lvlJc w:val="left"/>
      <w:pPr>
        <w:tabs>
          <w:tab w:val="num" w:pos="1440"/>
        </w:tabs>
        <w:ind w:left="1440" w:hanging="360"/>
      </w:pPr>
      <w:rPr>
        <w:rFonts w:ascii="Wingdings" w:hAnsi="Wingdings" w:hint="default"/>
      </w:rPr>
    </w:lvl>
    <w:lvl w:ilvl="2" w:tplc="71BA7528">
      <w:start w:val="1"/>
      <w:numFmt w:val="bullet"/>
      <w:lvlText w:val=""/>
      <w:lvlJc w:val="left"/>
      <w:pPr>
        <w:tabs>
          <w:tab w:val="num" w:pos="2160"/>
        </w:tabs>
        <w:ind w:left="2160" w:hanging="360"/>
      </w:pPr>
      <w:rPr>
        <w:rFonts w:ascii="Wingdings" w:hAnsi="Wingdings" w:hint="default"/>
      </w:rPr>
    </w:lvl>
    <w:lvl w:ilvl="3" w:tplc="0410000D">
      <w:start w:val="1"/>
      <w:numFmt w:val="bullet"/>
      <w:lvlText w:val=""/>
      <w:lvlJc w:val="left"/>
      <w:pPr>
        <w:tabs>
          <w:tab w:val="num" w:pos="2880"/>
        </w:tabs>
        <w:ind w:left="2880" w:hanging="360"/>
      </w:pPr>
      <w:rPr>
        <w:rFonts w:ascii="Wingdings" w:hAnsi="Wingdings" w:hint="default"/>
      </w:rPr>
    </w:lvl>
    <w:lvl w:ilvl="4" w:tplc="95600676" w:tentative="1">
      <w:start w:val="1"/>
      <w:numFmt w:val="bullet"/>
      <w:lvlText w:val=""/>
      <w:lvlJc w:val="left"/>
      <w:pPr>
        <w:tabs>
          <w:tab w:val="num" w:pos="3600"/>
        </w:tabs>
        <w:ind w:left="3600" w:hanging="360"/>
      </w:pPr>
      <w:rPr>
        <w:rFonts w:ascii="Wingdings" w:hAnsi="Wingdings" w:hint="default"/>
      </w:rPr>
    </w:lvl>
    <w:lvl w:ilvl="5" w:tplc="5832C8F4" w:tentative="1">
      <w:start w:val="1"/>
      <w:numFmt w:val="bullet"/>
      <w:lvlText w:val=""/>
      <w:lvlJc w:val="left"/>
      <w:pPr>
        <w:tabs>
          <w:tab w:val="num" w:pos="4320"/>
        </w:tabs>
        <w:ind w:left="4320" w:hanging="360"/>
      </w:pPr>
      <w:rPr>
        <w:rFonts w:ascii="Wingdings" w:hAnsi="Wingdings" w:hint="default"/>
      </w:rPr>
    </w:lvl>
    <w:lvl w:ilvl="6" w:tplc="E57E8FF4" w:tentative="1">
      <w:start w:val="1"/>
      <w:numFmt w:val="bullet"/>
      <w:lvlText w:val=""/>
      <w:lvlJc w:val="left"/>
      <w:pPr>
        <w:tabs>
          <w:tab w:val="num" w:pos="5040"/>
        </w:tabs>
        <w:ind w:left="5040" w:hanging="360"/>
      </w:pPr>
      <w:rPr>
        <w:rFonts w:ascii="Wingdings" w:hAnsi="Wingdings" w:hint="default"/>
      </w:rPr>
    </w:lvl>
    <w:lvl w:ilvl="7" w:tplc="FDA2E122" w:tentative="1">
      <w:start w:val="1"/>
      <w:numFmt w:val="bullet"/>
      <w:lvlText w:val=""/>
      <w:lvlJc w:val="left"/>
      <w:pPr>
        <w:tabs>
          <w:tab w:val="num" w:pos="5760"/>
        </w:tabs>
        <w:ind w:left="5760" w:hanging="360"/>
      </w:pPr>
      <w:rPr>
        <w:rFonts w:ascii="Wingdings" w:hAnsi="Wingdings" w:hint="default"/>
      </w:rPr>
    </w:lvl>
    <w:lvl w:ilvl="8" w:tplc="7A1E2BE2"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86B4247"/>
    <w:multiLevelType w:val="hybridMultilevel"/>
    <w:tmpl w:val="0666BDDA"/>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475A6F"/>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5" w15:restartNumberingAfterBreak="0">
    <w:nsid w:val="61C04B6F"/>
    <w:multiLevelType w:val="hybridMultilevel"/>
    <w:tmpl w:val="36E44306"/>
    <w:lvl w:ilvl="0" w:tplc="2ED8A20E">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224D5D"/>
    <w:multiLevelType w:val="hybridMultilevel"/>
    <w:tmpl w:val="97226808"/>
    <w:lvl w:ilvl="0" w:tplc="04090017">
      <w:start w:val="1"/>
      <w:numFmt w:val="lowerLetter"/>
      <w:lvlText w:val="%1)"/>
      <w:lvlJc w:val="left"/>
      <w:pPr>
        <w:ind w:left="720" w:hanging="360"/>
      </w:pPr>
    </w:lvl>
    <w:lvl w:ilvl="1" w:tplc="A5AAFBF6">
      <w:start w:val="2017"/>
      <w:numFmt w:val="bullet"/>
      <w:lvlText w:val=""/>
      <w:lvlJc w:val="left"/>
      <w:pPr>
        <w:ind w:left="1440" w:hanging="360"/>
      </w:pPr>
      <w:rPr>
        <w:rFonts w:ascii="Symbol" w:eastAsiaTheme="minorHAnsi" w:hAnsi="Symbol" w:cstheme="minorBidi" w:hint="default"/>
      </w:rPr>
    </w:lvl>
    <w:lvl w:ilvl="2" w:tplc="04090005">
      <w:start w:val="1"/>
      <w:numFmt w:val="bullet"/>
      <w:lvlText w:val=""/>
      <w:lvlJc w:val="left"/>
      <w:pPr>
        <w:ind w:left="2160" w:hanging="180"/>
      </w:pPr>
      <w:rPr>
        <w:rFonts w:ascii="Wingdings" w:hAnsi="Wingding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CF41C71"/>
    <w:multiLevelType w:val="hybridMultilevel"/>
    <w:tmpl w:val="B0A2CB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0AA7FB8"/>
    <w:multiLevelType w:val="hybridMultilevel"/>
    <w:tmpl w:val="6B261F7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 w15:restartNumberingAfterBreak="0">
    <w:nsid w:val="717D1729"/>
    <w:multiLevelType w:val="multilevel"/>
    <w:tmpl w:val="DD906B0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0" w15:restartNumberingAfterBreak="0">
    <w:nsid w:val="73DB5C49"/>
    <w:multiLevelType w:val="hybridMultilevel"/>
    <w:tmpl w:val="64AED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51B5A1B"/>
    <w:multiLevelType w:val="multilevel"/>
    <w:tmpl w:val="FAC2ABB8"/>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7DF68FF"/>
    <w:multiLevelType w:val="hybridMultilevel"/>
    <w:tmpl w:val="F650E1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3" w15:restartNumberingAfterBreak="0">
    <w:nsid w:val="795454AC"/>
    <w:multiLevelType w:val="hybridMultilevel"/>
    <w:tmpl w:val="38440EB0"/>
    <w:lvl w:ilvl="0" w:tplc="04100001">
      <w:start w:val="1"/>
      <w:numFmt w:val="bullet"/>
      <w:lvlText w:val=""/>
      <w:lvlJc w:val="left"/>
      <w:pPr>
        <w:ind w:left="1080" w:hanging="360"/>
      </w:pPr>
      <w:rPr>
        <w:rFonts w:ascii="Symbol" w:hAnsi="Symbol" w:hint="default"/>
      </w:rPr>
    </w:lvl>
    <w:lvl w:ilvl="1" w:tplc="04100003">
      <w:start w:val="1"/>
      <w:numFmt w:val="bullet"/>
      <w:lvlText w:val="o"/>
      <w:lvlJc w:val="left"/>
      <w:pPr>
        <w:ind w:left="1800" w:hanging="360"/>
      </w:pPr>
      <w:rPr>
        <w:rFonts w:ascii="Courier New" w:hAnsi="Courier New" w:cs="Courier New" w:hint="default"/>
      </w:rPr>
    </w:lvl>
    <w:lvl w:ilvl="2" w:tplc="04100005">
      <w:start w:val="1"/>
      <w:numFmt w:val="bullet"/>
      <w:lvlText w:val=""/>
      <w:lvlJc w:val="left"/>
      <w:pPr>
        <w:ind w:left="2520" w:hanging="360"/>
      </w:pPr>
      <w:rPr>
        <w:rFonts w:ascii="Wingdings" w:hAnsi="Wingdings" w:hint="default"/>
      </w:rPr>
    </w:lvl>
    <w:lvl w:ilvl="3" w:tplc="04100001">
      <w:start w:val="1"/>
      <w:numFmt w:val="bullet"/>
      <w:lvlText w:val=""/>
      <w:lvlJc w:val="left"/>
      <w:pPr>
        <w:ind w:left="3240" w:hanging="360"/>
      </w:pPr>
      <w:rPr>
        <w:rFonts w:ascii="Symbol" w:hAnsi="Symbol" w:hint="default"/>
      </w:rPr>
    </w:lvl>
    <w:lvl w:ilvl="4" w:tplc="04100003">
      <w:start w:val="1"/>
      <w:numFmt w:val="bullet"/>
      <w:lvlText w:val="o"/>
      <w:lvlJc w:val="left"/>
      <w:pPr>
        <w:ind w:left="3960" w:hanging="360"/>
      </w:pPr>
      <w:rPr>
        <w:rFonts w:ascii="Courier New" w:hAnsi="Courier New" w:cs="Courier New" w:hint="default"/>
      </w:rPr>
    </w:lvl>
    <w:lvl w:ilvl="5" w:tplc="04100005">
      <w:start w:val="1"/>
      <w:numFmt w:val="bullet"/>
      <w:lvlText w:val=""/>
      <w:lvlJc w:val="left"/>
      <w:pPr>
        <w:ind w:left="4680" w:hanging="360"/>
      </w:pPr>
      <w:rPr>
        <w:rFonts w:ascii="Wingdings" w:hAnsi="Wingdings" w:hint="default"/>
      </w:rPr>
    </w:lvl>
    <w:lvl w:ilvl="6" w:tplc="04100001">
      <w:start w:val="1"/>
      <w:numFmt w:val="bullet"/>
      <w:lvlText w:val=""/>
      <w:lvlJc w:val="left"/>
      <w:pPr>
        <w:ind w:left="5400" w:hanging="360"/>
      </w:pPr>
      <w:rPr>
        <w:rFonts w:ascii="Symbol" w:hAnsi="Symbol" w:hint="default"/>
      </w:rPr>
    </w:lvl>
    <w:lvl w:ilvl="7" w:tplc="04100003">
      <w:start w:val="1"/>
      <w:numFmt w:val="bullet"/>
      <w:lvlText w:val="o"/>
      <w:lvlJc w:val="left"/>
      <w:pPr>
        <w:ind w:left="6120" w:hanging="360"/>
      </w:pPr>
      <w:rPr>
        <w:rFonts w:ascii="Courier New" w:hAnsi="Courier New" w:cs="Courier New" w:hint="default"/>
      </w:rPr>
    </w:lvl>
    <w:lvl w:ilvl="8" w:tplc="04100005">
      <w:start w:val="1"/>
      <w:numFmt w:val="bullet"/>
      <w:lvlText w:val=""/>
      <w:lvlJc w:val="left"/>
      <w:pPr>
        <w:ind w:left="6840" w:hanging="360"/>
      </w:pPr>
      <w:rPr>
        <w:rFonts w:ascii="Wingdings" w:hAnsi="Wingdings" w:hint="default"/>
      </w:rPr>
    </w:lvl>
  </w:abstractNum>
  <w:abstractNum w:abstractNumId="44" w15:restartNumberingAfterBreak="0">
    <w:nsid w:val="797A1C95"/>
    <w:multiLevelType w:val="hybridMultilevel"/>
    <w:tmpl w:val="641029D2"/>
    <w:lvl w:ilvl="0" w:tplc="A5AAFBF6">
      <w:start w:val="2017"/>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E513D4"/>
    <w:multiLevelType w:val="hybridMultilevel"/>
    <w:tmpl w:val="D6C8709A"/>
    <w:lvl w:ilvl="0" w:tplc="EFD69C5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8"/>
  </w:num>
  <w:num w:numId="2">
    <w:abstractNumId w:val="26"/>
  </w:num>
  <w:num w:numId="3">
    <w:abstractNumId w:val="4"/>
  </w:num>
  <w:num w:numId="4">
    <w:abstractNumId w:val="30"/>
  </w:num>
  <w:num w:numId="5">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3"/>
  </w:num>
  <w:num w:numId="8">
    <w:abstractNumId w:val="32"/>
  </w:num>
  <w:num w:numId="9">
    <w:abstractNumId w:val="32"/>
  </w:num>
  <w:num w:numId="10">
    <w:abstractNumId w:val="23"/>
  </w:num>
  <w:num w:numId="11">
    <w:abstractNumId w:val="42"/>
  </w:num>
  <w:num w:numId="12">
    <w:abstractNumId w:val="45"/>
  </w:num>
  <w:num w:numId="13">
    <w:abstractNumId w:val="28"/>
  </w:num>
  <w:num w:numId="14">
    <w:abstractNumId w:val="7"/>
  </w:num>
  <w:num w:numId="15">
    <w:abstractNumId w:val="14"/>
  </w:num>
  <w:num w:numId="16">
    <w:abstractNumId w:val="34"/>
  </w:num>
  <w:num w:numId="17">
    <w:abstractNumId w:val="17"/>
  </w:num>
  <w:num w:numId="18">
    <w:abstractNumId w:val="2"/>
  </w:num>
  <w:num w:numId="19">
    <w:abstractNumId w:val="11"/>
  </w:num>
  <w:num w:numId="20">
    <w:abstractNumId w:val="37"/>
  </w:num>
  <w:num w:numId="21">
    <w:abstractNumId w:val="29"/>
  </w:num>
  <w:num w:numId="22">
    <w:abstractNumId w:val="6"/>
  </w:num>
  <w:num w:numId="23">
    <w:abstractNumId w:val="21"/>
  </w:num>
  <w:num w:numId="24">
    <w:abstractNumId w:val="0"/>
  </w:num>
  <w:num w:numId="25">
    <w:abstractNumId w:val="16"/>
  </w:num>
  <w:num w:numId="26">
    <w:abstractNumId w:val="25"/>
  </w:num>
  <w:num w:numId="27">
    <w:abstractNumId w:val="24"/>
  </w:num>
  <w:num w:numId="28">
    <w:abstractNumId w:val="15"/>
  </w:num>
  <w:num w:numId="29">
    <w:abstractNumId w:val="33"/>
  </w:num>
  <w:num w:numId="30">
    <w:abstractNumId w:val="9"/>
  </w:num>
  <w:num w:numId="31">
    <w:abstractNumId w:val="38"/>
  </w:num>
  <w:num w:numId="32">
    <w:abstractNumId w:val="31"/>
  </w:num>
  <w:num w:numId="33">
    <w:abstractNumId w:val="10"/>
  </w:num>
  <w:num w:numId="34">
    <w:abstractNumId w:val="39"/>
  </w:num>
  <w:num w:numId="35">
    <w:abstractNumId w:val="41"/>
  </w:num>
  <w:num w:numId="36">
    <w:abstractNumId w:val="20"/>
  </w:num>
  <w:num w:numId="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num>
  <w:num w:numId="39">
    <w:abstractNumId w:val="19"/>
  </w:num>
  <w:num w:numId="40">
    <w:abstractNumId w:val="44"/>
  </w:num>
  <w:num w:numId="41">
    <w:abstractNumId w:val="1"/>
  </w:num>
  <w:num w:numId="42">
    <w:abstractNumId w:val="27"/>
  </w:num>
  <w:num w:numId="43">
    <w:abstractNumId w:val="13"/>
  </w:num>
  <w:num w:numId="44">
    <w:abstractNumId w:val="36"/>
  </w:num>
  <w:num w:numId="45">
    <w:abstractNumId w:val="35"/>
  </w:num>
  <w:num w:numId="46">
    <w:abstractNumId w:val="8"/>
  </w:num>
  <w:num w:numId="47">
    <w:abstractNumId w:val="3"/>
  </w:num>
  <w:num w:numId="48">
    <w:abstractNumId w:val="40"/>
  </w:num>
  <w:num w:numId="49">
    <w:abstractNumId w:val="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oNotTrackFormatting/>
  <w:defaultTabStop w:val="720"/>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97A"/>
    <w:rsid w:val="00015C07"/>
    <w:rsid w:val="00031540"/>
    <w:rsid w:val="000324FE"/>
    <w:rsid w:val="0003293D"/>
    <w:rsid w:val="00035471"/>
    <w:rsid w:val="00036685"/>
    <w:rsid w:val="0003741D"/>
    <w:rsid w:val="00042838"/>
    <w:rsid w:val="00050695"/>
    <w:rsid w:val="00055DCE"/>
    <w:rsid w:val="00061D7A"/>
    <w:rsid w:val="00064EF3"/>
    <w:rsid w:val="0006677C"/>
    <w:rsid w:val="00067B7D"/>
    <w:rsid w:val="000715F7"/>
    <w:rsid w:val="0007286C"/>
    <w:rsid w:val="000779E3"/>
    <w:rsid w:val="000819F0"/>
    <w:rsid w:val="00090CF2"/>
    <w:rsid w:val="000A7353"/>
    <w:rsid w:val="000B5887"/>
    <w:rsid w:val="000C090A"/>
    <w:rsid w:val="000D2441"/>
    <w:rsid w:val="000D7727"/>
    <w:rsid w:val="000E408D"/>
    <w:rsid w:val="0010208B"/>
    <w:rsid w:val="00110AFC"/>
    <w:rsid w:val="00110FD9"/>
    <w:rsid w:val="00112AB8"/>
    <w:rsid w:val="00115143"/>
    <w:rsid w:val="001205DE"/>
    <w:rsid w:val="0012198D"/>
    <w:rsid w:val="00122679"/>
    <w:rsid w:val="001251AC"/>
    <w:rsid w:val="00127ACF"/>
    <w:rsid w:val="001331BF"/>
    <w:rsid w:val="001362C4"/>
    <w:rsid w:val="00141011"/>
    <w:rsid w:val="00152CF9"/>
    <w:rsid w:val="00155169"/>
    <w:rsid w:val="00163C75"/>
    <w:rsid w:val="00163D27"/>
    <w:rsid w:val="00170C7D"/>
    <w:rsid w:val="00171F0B"/>
    <w:rsid w:val="001862E8"/>
    <w:rsid w:val="001870C5"/>
    <w:rsid w:val="0018723E"/>
    <w:rsid w:val="001B1D2A"/>
    <w:rsid w:val="001B4B2E"/>
    <w:rsid w:val="001C636E"/>
    <w:rsid w:val="001E0DFD"/>
    <w:rsid w:val="001E3979"/>
    <w:rsid w:val="001F1E85"/>
    <w:rsid w:val="00203B83"/>
    <w:rsid w:val="00212307"/>
    <w:rsid w:val="00226350"/>
    <w:rsid w:val="002414BB"/>
    <w:rsid w:val="002473C3"/>
    <w:rsid w:val="00247CA7"/>
    <w:rsid w:val="00250833"/>
    <w:rsid w:val="00271044"/>
    <w:rsid w:val="002740D6"/>
    <w:rsid w:val="00276323"/>
    <w:rsid w:val="002776F7"/>
    <w:rsid w:val="00291077"/>
    <w:rsid w:val="00297A7C"/>
    <w:rsid w:val="002A074C"/>
    <w:rsid w:val="002A1352"/>
    <w:rsid w:val="002A5BA8"/>
    <w:rsid w:val="002B3299"/>
    <w:rsid w:val="002B7932"/>
    <w:rsid w:val="002C6354"/>
    <w:rsid w:val="002D3C79"/>
    <w:rsid w:val="002E0420"/>
    <w:rsid w:val="002E1D3C"/>
    <w:rsid w:val="002F4A4B"/>
    <w:rsid w:val="003108B6"/>
    <w:rsid w:val="00314D27"/>
    <w:rsid w:val="003237F8"/>
    <w:rsid w:val="0033137C"/>
    <w:rsid w:val="00345A66"/>
    <w:rsid w:val="00345E14"/>
    <w:rsid w:val="00361162"/>
    <w:rsid w:val="00362AD9"/>
    <w:rsid w:val="0036726C"/>
    <w:rsid w:val="0037730C"/>
    <w:rsid w:val="00384325"/>
    <w:rsid w:val="00390424"/>
    <w:rsid w:val="003B1071"/>
    <w:rsid w:val="003B4309"/>
    <w:rsid w:val="003B460E"/>
    <w:rsid w:val="003B795A"/>
    <w:rsid w:val="003E31E5"/>
    <w:rsid w:val="003E57AC"/>
    <w:rsid w:val="003F5322"/>
    <w:rsid w:val="003F5A00"/>
    <w:rsid w:val="00400EC1"/>
    <w:rsid w:val="00406AB3"/>
    <w:rsid w:val="00417B11"/>
    <w:rsid w:val="00425010"/>
    <w:rsid w:val="0042573A"/>
    <w:rsid w:val="00430C4D"/>
    <w:rsid w:val="00430FEC"/>
    <w:rsid w:val="00433827"/>
    <w:rsid w:val="00436DD8"/>
    <w:rsid w:val="00436F64"/>
    <w:rsid w:val="00441838"/>
    <w:rsid w:val="0044255B"/>
    <w:rsid w:val="00442F7A"/>
    <w:rsid w:val="00443012"/>
    <w:rsid w:val="00455387"/>
    <w:rsid w:val="0045684C"/>
    <w:rsid w:val="00457C64"/>
    <w:rsid w:val="004672B3"/>
    <w:rsid w:val="00480363"/>
    <w:rsid w:val="0049058F"/>
    <w:rsid w:val="00492606"/>
    <w:rsid w:val="004D4E81"/>
    <w:rsid w:val="004E032D"/>
    <w:rsid w:val="004E4FC1"/>
    <w:rsid w:val="004F190F"/>
    <w:rsid w:val="004F718C"/>
    <w:rsid w:val="00525055"/>
    <w:rsid w:val="00526F3E"/>
    <w:rsid w:val="00532AE4"/>
    <w:rsid w:val="00533EA0"/>
    <w:rsid w:val="0053435F"/>
    <w:rsid w:val="00537FFB"/>
    <w:rsid w:val="00543D26"/>
    <w:rsid w:val="005460BC"/>
    <w:rsid w:val="0054747D"/>
    <w:rsid w:val="00553B82"/>
    <w:rsid w:val="0056041B"/>
    <w:rsid w:val="005609B4"/>
    <w:rsid w:val="00563A3E"/>
    <w:rsid w:val="00577EB6"/>
    <w:rsid w:val="005856C0"/>
    <w:rsid w:val="0058742B"/>
    <w:rsid w:val="00597120"/>
    <w:rsid w:val="005A04C9"/>
    <w:rsid w:val="005B3904"/>
    <w:rsid w:val="005B6158"/>
    <w:rsid w:val="005C207B"/>
    <w:rsid w:val="005C4F66"/>
    <w:rsid w:val="005C65B1"/>
    <w:rsid w:val="005D4B24"/>
    <w:rsid w:val="005D6456"/>
    <w:rsid w:val="005F0DF6"/>
    <w:rsid w:val="005F5B83"/>
    <w:rsid w:val="00602F0F"/>
    <w:rsid w:val="006101E1"/>
    <w:rsid w:val="00614298"/>
    <w:rsid w:val="0061495F"/>
    <w:rsid w:val="006314D8"/>
    <w:rsid w:val="0063695B"/>
    <w:rsid w:val="0064249A"/>
    <w:rsid w:val="00647376"/>
    <w:rsid w:val="00672FC3"/>
    <w:rsid w:val="006805E9"/>
    <w:rsid w:val="00685C98"/>
    <w:rsid w:val="00691AC7"/>
    <w:rsid w:val="00693507"/>
    <w:rsid w:val="00696136"/>
    <w:rsid w:val="006A6651"/>
    <w:rsid w:val="006A714C"/>
    <w:rsid w:val="006C2316"/>
    <w:rsid w:val="006D3097"/>
    <w:rsid w:val="006E39E2"/>
    <w:rsid w:val="006F2FA9"/>
    <w:rsid w:val="006F3539"/>
    <w:rsid w:val="007030B2"/>
    <w:rsid w:val="00703413"/>
    <w:rsid w:val="00704466"/>
    <w:rsid w:val="007162D0"/>
    <w:rsid w:val="00733B0B"/>
    <w:rsid w:val="00742302"/>
    <w:rsid w:val="0075292F"/>
    <w:rsid w:val="0075427D"/>
    <w:rsid w:val="00756443"/>
    <w:rsid w:val="0075779A"/>
    <w:rsid w:val="0076491A"/>
    <w:rsid w:val="00766CD3"/>
    <w:rsid w:val="0076722D"/>
    <w:rsid w:val="00771847"/>
    <w:rsid w:val="00771C1B"/>
    <w:rsid w:val="0078555E"/>
    <w:rsid w:val="00786971"/>
    <w:rsid w:val="00791808"/>
    <w:rsid w:val="00795EBA"/>
    <w:rsid w:val="00796678"/>
    <w:rsid w:val="00797EF8"/>
    <w:rsid w:val="007A343F"/>
    <w:rsid w:val="007B0832"/>
    <w:rsid w:val="007B27A8"/>
    <w:rsid w:val="007D2F8F"/>
    <w:rsid w:val="007D38A2"/>
    <w:rsid w:val="007D5EED"/>
    <w:rsid w:val="007E2C4C"/>
    <w:rsid w:val="007E3C38"/>
    <w:rsid w:val="0082371C"/>
    <w:rsid w:val="00845782"/>
    <w:rsid w:val="008511A3"/>
    <w:rsid w:val="008573A1"/>
    <w:rsid w:val="00866649"/>
    <w:rsid w:val="00872E88"/>
    <w:rsid w:val="008A6253"/>
    <w:rsid w:val="008B31EE"/>
    <w:rsid w:val="008B3C07"/>
    <w:rsid w:val="008B3C4A"/>
    <w:rsid w:val="008B3F42"/>
    <w:rsid w:val="008B4317"/>
    <w:rsid w:val="008D11EF"/>
    <w:rsid w:val="008D3C45"/>
    <w:rsid w:val="008E1C14"/>
    <w:rsid w:val="008E2556"/>
    <w:rsid w:val="008E2FA9"/>
    <w:rsid w:val="008E46CD"/>
    <w:rsid w:val="008E5321"/>
    <w:rsid w:val="008E7442"/>
    <w:rsid w:val="008F14A5"/>
    <w:rsid w:val="00901A6A"/>
    <w:rsid w:val="00904863"/>
    <w:rsid w:val="00905F7B"/>
    <w:rsid w:val="00907CD2"/>
    <w:rsid w:val="00914B0C"/>
    <w:rsid w:val="0091622E"/>
    <w:rsid w:val="009214E8"/>
    <w:rsid w:val="009219FE"/>
    <w:rsid w:val="00921BC2"/>
    <w:rsid w:val="00927691"/>
    <w:rsid w:val="0094097A"/>
    <w:rsid w:val="00941793"/>
    <w:rsid w:val="00955744"/>
    <w:rsid w:val="009708C9"/>
    <w:rsid w:val="009749E9"/>
    <w:rsid w:val="009857C5"/>
    <w:rsid w:val="00994013"/>
    <w:rsid w:val="00995212"/>
    <w:rsid w:val="009B3AA4"/>
    <w:rsid w:val="009B6E3D"/>
    <w:rsid w:val="009C0B8D"/>
    <w:rsid w:val="009C7727"/>
    <w:rsid w:val="009D30F7"/>
    <w:rsid w:val="009D5ED9"/>
    <w:rsid w:val="009E6966"/>
    <w:rsid w:val="009E7FAD"/>
    <w:rsid w:val="009F1E65"/>
    <w:rsid w:val="009F32D0"/>
    <w:rsid w:val="009F41B5"/>
    <w:rsid w:val="009F6197"/>
    <w:rsid w:val="00A04580"/>
    <w:rsid w:val="00A04C3C"/>
    <w:rsid w:val="00A07500"/>
    <w:rsid w:val="00A109C7"/>
    <w:rsid w:val="00A2214A"/>
    <w:rsid w:val="00A26258"/>
    <w:rsid w:val="00A312D4"/>
    <w:rsid w:val="00A40286"/>
    <w:rsid w:val="00A46067"/>
    <w:rsid w:val="00A655BC"/>
    <w:rsid w:val="00A904BA"/>
    <w:rsid w:val="00AA6FA9"/>
    <w:rsid w:val="00AB3B9D"/>
    <w:rsid w:val="00AB61ED"/>
    <w:rsid w:val="00AC3373"/>
    <w:rsid w:val="00AD3173"/>
    <w:rsid w:val="00AE32BA"/>
    <w:rsid w:val="00AE4485"/>
    <w:rsid w:val="00AE701A"/>
    <w:rsid w:val="00B06589"/>
    <w:rsid w:val="00B07C09"/>
    <w:rsid w:val="00B17C61"/>
    <w:rsid w:val="00B23122"/>
    <w:rsid w:val="00B27942"/>
    <w:rsid w:val="00B312AA"/>
    <w:rsid w:val="00B337B9"/>
    <w:rsid w:val="00B42BD3"/>
    <w:rsid w:val="00B475A1"/>
    <w:rsid w:val="00B51DF2"/>
    <w:rsid w:val="00B55F99"/>
    <w:rsid w:val="00B60D00"/>
    <w:rsid w:val="00B74B0B"/>
    <w:rsid w:val="00B8384E"/>
    <w:rsid w:val="00B86CEB"/>
    <w:rsid w:val="00B95D3D"/>
    <w:rsid w:val="00B969FB"/>
    <w:rsid w:val="00BA179A"/>
    <w:rsid w:val="00BA1A19"/>
    <w:rsid w:val="00BA1F16"/>
    <w:rsid w:val="00BB1B2D"/>
    <w:rsid w:val="00BB3645"/>
    <w:rsid w:val="00BC7C48"/>
    <w:rsid w:val="00BD064F"/>
    <w:rsid w:val="00BD4ED4"/>
    <w:rsid w:val="00BD7709"/>
    <w:rsid w:val="00BE2792"/>
    <w:rsid w:val="00BE5690"/>
    <w:rsid w:val="00BF11C1"/>
    <w:rsid w:val="00BF53D7"/>
    <w:rsid w:val="00BF672A"/>
    <w:rsid w:val="00C0156B"/>
    <w:rsid w:val="00C02F00"/>
    <w:rsid w:val="00C051DE"/>
    <w:rsid w:val="00C06721"/>
    <w:rsid w:val="00C07299"/>
    <w:rsid w:val="00C260E6"/>
    <w:rsid w:val="00C41F2A"/>
    <w:rsid w:val="00C56C0F"/>
    <w:rsid w:val="00C60555"/>
    <w:rsid w:val="00C61C52"/>
    <w:rsid w:val="00C628A3"/>
    <w:rsid w:val="00C64452"/>
    <w:rsid w:val="00C837EA"/>
    <w:rsid w:val="00C848E1"/>
    <w:rsid w:val="00C86CCD"/>
    <w:rsid w:val="00C9634E"/>
    <w:rsid w:val="00CA15D3"/>
    <w:rsid w:val="00CA26F9"/>
    <w:rsid w:val="00CA6ED4"/>
    <w:rsid w:val="00CB04DD"/>
    <w:rsid w:val="00CB4C37"/>
    <w:rsid w:val="00CC1D49"/>
    <w:rsid w:val="00CC4636"/>
    <w:rsid w:val="00CC5FCA"/>
    <w:rsid w:val="00CF56A3"/>
    <w:rsid w:val="00CF7734"/>
    <w:rsid w:val="00CF789E"/>
    <w:rsid w:val="00D00206"/>
    <w:rsid w:val="00D05B4F"/>
    <w:rsid w:val="00D061CD"/>
    <w:rsid w:val="00D11450"/>
    <w:rsid w:val="00D22F2F"/>
    <w:rsid w:val="00D34BA3"/>
    <w:rsid w:val="00D34C79"/>
    <w:rsid w:val="00D3724A"/>
    <w:rsid w:val="00D42716"/>
    <w:rsid w:val="00D46357"/>
    <w:rsid w:val="00D47A6B"/>
    <w:rsid w:val="00D50501"/>
    <w:rsid w:val="00D530AF"/>
    <w:rsid w:val="00D53BEF"/>
    <w:rsid w:val="00D72EC1"/>
    <w:rsid w:val="00D82FAC"/>
    <w:rsid w:val="00D91B58"/>
    <w:rsid w:val="00DA0BAB"/>
    <w:rsid w:val="00DA192F"/>
    <w:rsid w:val="00DA2E5F"/>
    <w:rsid w:val="00DA4DE9"/>
    <w:rsid w:val="00DB0CCC"/>
    <w:rsid w:val="00DB19F3"/>
    <w:rsid w:val="00DB3850"/>
    <w:rsid w:val="00DB59AC"/>
    <w:rsid w:val="00DB6F26"/>
    <w:rsid w:val="00DC4063"/>
    <w:rsid w:val="00DD3059"/>
    <w:rsid w:val="00DD49DE"/>
    <w:rsid w:val="00DE3024"/>
    <w:rsid w:val="00DE6CC3"/>
    <w:rsid w:val="00DE7303"/>
    <w:rsid w:val="00DF6C79"/>
    <w:rsid w:val="00E02BED"/>
    <w:rsid w:val="00E1164E"/>
    <w:rsid w:val="00E275F5"/>
    <w:rsid w:val="00E3097F"/>
    <w:rsid w:val="00E36D78"/>
    <w:rsid w:val="00E5246F"/>
    <w:rsid w:val="00E8454A"/>
    <w:rsid w:val="00E84A97"/>
    <w:rsid w:val="00E90A65"/>
    <w:rsid w:val="00E96A2B"/>
    <w:rsid w:val="00EB350E"/>
    <w:rsid w:val="00EB40FA"/>
    <w:rsid w:val="00EC12FE"/>
    <w:rsid w:val="00EC36B6"/>
    <w:rsid w:val="00EC5761"/>
    <w:rsid w:val="00ED4D48"/>
    <w:rsid w:val="00EF0B9C"/>
    <w:rsid w:val="00EF2C5D"/>
    <w:rsid w:val="00EF3ECB"/>
    <w:rsid w:val="00F0280E"/>
    <w:rsid w:val="00F03EA0"/>
    <w:rsid w:val="00F06CE5"/>
    <w:rsid w:val="00F16BB5"/>
    <w:rsid w:val="00F2206D"/>
    <w:rsid w:val="00F30DD5"/>
    <w:rsid w:val="00F52079"/>
    <w:rsid w:val="00F5764F"/>
    <w:rsid w:val="00F629D2"/>
    <w:rsid w:val="00F70782"/>
    <w:rsid w:val="00F8071D"/>
    <w:rsid w:val="00F8788D"/>
    <w:rsid w:val="00F91255"/>
    <w:rsid w:val="00F93D51"/>
    <w:rsid w:val="00FA6F29"/>
    <w:rsid w:val="00FB4E23"/>
    <w:rsid w:val="00FB4F60"/>
    <w:rsid w:val="00FC1305"/>
    <w:rsid w:val="00FC64E0"/>
    <w:rsid w:val="00FD2E3B"/>
    <w:rsid w:val="00FD384D"/>
    <w:rsid w:val="00FD6AB8"/>
    <w:rsid w:val="00FE0803"/>
    <w:rsid w:val="00FE2C78"/>
    <w:rsid w:val="00FE57CA"/>
    <w:rsid w:val="00FE5A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98061EF"/>
  <w15:docId w15:val="{74483DE0-6BCA-4EAE-8AFB-DCAD5053C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4097A"/>
    <w:pPr>
      <w:spacing w:after="0" w:line="240" w:lineRule="auto"/>
    </w:pPr>
    <w:rPr>
      <w:rFonts w:ascii="Arial" w:eastAsia="Times New Roman" w:hAnsi="Arial" w:cs="Times New Roman"/>
      <w:szCs w:val="24"/>
      <w:lang w:val="en-IE" w:eastAsia="de-DE"/>
    </w:rPr>
  </w:style>
  <w:style w:type="paragraph" w:styleId="Heading1">
    <w:name w:val="heading 1"/>
    <w:basedOn w:val="Normal"/>
    <w:next w:val="Normal"/>
    <w:link w:val="Heading1Char"/>
    <w:uiPriority w:val="9"/>
    <w:qFormat/>
    <w:rsid w:val="0094097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4097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46357"/>
    <w:pPr>
      <w:keepNext/>
      <w:keepLines/>
      <w:spacing w:before="40"/>
      <w:outlineLvl w:val="2"/>
    </w:pPr>
    <w:rPr>
      <w:rFonts w:asciiTheme="majorHAnsi" w:eastAsiaTheme="majorEastAsia" w:hAnsiTheme="majorHAnsi" w:cstheme="majorBidi"/>
      <w:color w:val="1F4D78" w:themeColor="accent1" w:themeShade="7F"/>
      <w:sz w:val="24"/>
    </w:rPr>
  </w:style>
  <w:style w:type="paragraph" w:styleId="Heading4">
    <w:name w:val="heading 4"/>
    <w:basedOn w:val="Normal"/>
    <w:next w:val="Normal"/>
    <w:link w:val="Heading4Char"/>
    <w:uiPriority w:val="9"/>
    <w:unhideWhenUsed/>
    <w:qFormat/>
    <w:rsid w:val="00F8788D"/>
    <w:pPr>
      <w:keepNext/>
      <w:keepLines/>
      <w:spacing w:before="40"/>
      <w:ind w:left="864" w:hanging="864"/>
      <w:outlineLvl w:val="3"/>
    </w:pPr>
    <w:rPr>
      <w:rFonts w:asciiTheme="majorHAnsi" w:eastAsiaTheme="majorEastAsia" w:hAnsiTheme="majorHAnsi" w:cstheme="majorBidi"/>
      <w:i/>
      <w:iCs/>
      <w:color w:val="2E74B5" w:themeColor="accent1" w:themeShade="BF"/>
      <w:szCs w:val="22"/>
      <w:lang w:val="en-GB" w:eastAsia="en-GB"/>
    </w:rPr>
  </w:style>
  <w:style w:type="paragraph" w:styleId="Heading5">
    <w:name w:val="heading 5"/>
    <w:basedOn w:val="Normal"/>
    <w:next w:val="Normal"/>
    <w:link w:val="Heading5Char"/>
    <w:uiPriority w:val="9"/>
    <w:semiHidden/>
    <w:unhideWhenUsed/>
    <w:qFormat/>
    <w:rsid w:val="00F8788D"/>
    <w:pPr>
      <w:keepNext/>
      <w:keepLines/>
      <w:spacing w:before="40"/>
      <w:ind w:left="1008" w:hanging="1008"/>
      <w:outlineLvl w:val="4"/>
    </w:pPr>
    <w:rPr>
      <w:rFonts w:asciiTheme="majorHAnsi" w:eastAsiaTheme="majorEastAsia" w:hAnsiTheme="majorHAnsi" w:cstheme="majorBidi"/>
      <w:color w:val="2E74B5" w:themeColor="accent1" w:themeShade="BF"/>
      <w:szCs w:val="22"/>
      <w:lang w:val="en-GB" w:eastAsia="en-GB"/>
    </w:rPr>
  </w:style>
  <w:style w:type="paragraph" w:styleId="Heading6">
    <w:name w:val="heading 6"/>
    <w:basedOn w:val="Normal"/>
    <w:next w:val="Normal"/>
    <w:link w:val="Heading6Char"/>
    <w:uiPriority w:val="9"/>
    <w:semiHidden/>
    <w:unhideWhenUsed/>
    <w:qFormat/>
    <w:rsid w:val="00F8788D"/>
    <w:pPr>
      <w:keepNext/>
      <w:keepLines/>
      <w:spacing w:before="40"/>
      <w:ind w:left="1152" w:hanging="1152"/>
      <w:outlineLvl w:val="5"/>
    </w:pPr>
    <w:rPr>
      <w:rFonts w:asciiTheme="majorHAnsi" w:eastAsiaTheme="majorEastAsia" w:hAnsiTheme="majorHAnsi" w:cstheme="majorBidi"/>
      <w:color w:val="1F4D78" w:themeColor="accent1" w:themeShade="7F"/>
      <w:szCs w:val="22"/>
      <w:lang w:val="en-GB" w:eastAsia="en-GB"/>
    </w:rPr>
  </w:style>
  <w:style w:type="paragraph" w:styleId="Heading7">
    <w:name w:val="heading 7"/>
    <w:basedOn w:val="Normal"/>
    <w:next w:val="Normal"/>
    <w:link w:val="Heading7Char"/>
    <w:uiPriority w:val="9"/>
    <w:semiHidden/>
    <w:unhideWhenUsed/>
    <w:qFormat/>
    <w:rsid w:val="00F8788D"/>
    <w:pPr>
      <w:keepNext/>
      <w:keepLines/>
      <w:spacing w:before="40"/>
      <w:ind w:left="1296" w:hanging="1296"/>
      <w:outlineLvl w:val="6"/>
    </w:pPr>
    <w:rPr>
      <w:rFonts w:asciiTheme="majorHAnsi" w:eastAsiaTheme="majorEastAsia" w:hAnsiTheme="majorHAnsi" w:cstheme="majorBidi"/>
      <w:i/>
      <w:iCs/>
      <w:color w:val="1F4D78" w:themeColor="accent1" w:themeShade="7F"/>
      <w:szCs w:val="22"/>
      <w:lang w:val="en-GB" w:eastAsia="en-GB"/>
    </w:rPr>
  </w:style>
  <w:style w:type="paragraph" w:styleId="Heading8">
    <w:name w:val="heading 8"/>
    <w:basedOn w:val="Normal"/>
    <w:next w:val="Normal"/>
    <w:link w:val="Heading8Char"/>
    <w:uiPriority w:val="9"/>
    <w:semiHidden/>
    <w:unhideWhenUsed/>
    <w:qFormat/>
    <w:rsid w:val="00F8788D"/>
    <w:pPr>
      <w:keepNext/>
      <w:keepLines/>
      <w:spacing w:before="40"/>
      <w:ind w:left="1440" w:hanging="1440"/>
      <w:outlineLvl w:val="7"/>
    </w:pPr>
    <w:rPr>
      <w:rFonts w:asciiTheme="majorHAnsi" w:eastAsiaTheme="majorEastAsia" w:hAnsiTheme="majorHAnsi" w:cstheme="majorBidi"/>
      <w:color w:val="272727" w:themeColor="text1" w:themeTint="D8"/>
      <w:sz w:val="21"/>
      <w:szCs w:val="21"/>
      <w:lang w:val="en-GB" w:eastAsia="en-GB"/>
    </w:rPr>
  </w:style>
  <w:style w:type="paragraph" w:styleId="Heading9">
    <w:name w:val="heading 9"/>
    <w:basedOn w:val="Normal"/>
    <w:next w:val="Normal"/>
    <w:link w:val="Heading9Char"/>
    <w:uiPriority w:val="9"/>
    <w:semiHidden/>
    <w:unhideWhenUsed/>
    <w:qFormat/>
    <w:rsid w:val="00F8788D"/>
    <w:pPr>
      <w:keepNext/>
      <w:keepLines/>
      <w:spacing w:before="40"/>
      <w:ind w:left="1584" w:hanging="1584"/>
      <w:outlineLvl w:val="8"/>
    </w:pPr>
    <w:rPr>
      <w:rFonts w:asciiTheme="majorHAnsi" w:eastAsiaTheme="majorEastAsia" w:hAnsiTheme="majorHAnsi" w:cstheme="majorBidi"/>
      <w:i/>
      <w:iCs/>
      <w:color w:val="272727" w:themeColor="text1" w:themeTint="D8"/>
      <w:sz w:val="21"/>
      <w:szCs w:val="21"/>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097A"/>
    <w:rPr>
      <w:rFonts w:asciiTheme="majorHAnsi" w:eastAsiaTheme="majorEastAsia" w:hAnsiTheme="majorHAnsi" w:cstheme="majorBidi"/>
      <w:color w:val="2E74B5" w:themeColor="accent1" w:themeShade="BF"/>
      <w:sz w:val="32"/>
      <w:szCs w:val="32"/>
      <w:lang w:val="en-IE" w:eastAsia="de-DE"/>
    </w:rPr>
  </w:style>
  <w:style w:type="paragraph" w:styleId="TOCHeading">
    <w:name w:val="TOC Heading"/>
    <w:basedOn w:val="Heading1"/>
    <w:next w:val="Normal"/>
    <w:uiPriority w:val="39"/>
    <w:unhideWhenUsed/>
    <w:qFormat/>
    <w:rsid w:val="0094097A"/>
    <w:pPr>
      <w:spacing w:line="259" w:lineRule="auto"/>
      <w:outlineLvl w:val="9"/>
    </w:pPr>
    <w:rPr>
      <w:lang w:val="en-US" w:eastAsia="en-US"/>
    </w:rPr>
  </w:style>
  <w:style w:type="character" w:customStyle="1" w:styleId="Heading2Char">
    <w:name w:val="Heading 2 Char"/>
    <w:basedOn w:val="DefaultParagraphFont"/>
    <w:link w:val="Heading2"/>
    <w:uiPriority w:val="9"/>
    <w:rsid w:val="0094097A"/>
    <w:rPr>
      <w:rFonts w:asciiTheme="majorHAnsi" w:eastAsiaTheme="majorEastAsia" w:hAnsiTheme="majorHAnsi" w:cstheme="majorBidi"/>
      <w:color w:val="2E74B5" w:themeColor="accent1" w:themeShade="BF"/>
      <w:sz w:val="26"/>
      <w:szCs w:val="26"/>
      <w:lang w:val="en-IE" w:eastAsia="de-DE"/>
    </w:rPr>
  </w:style>
  <w:style w:type="paragraph" w:styleId="ListParagraph">
    <w:name w:val="List Paragraph"/>
    <w:aliases w:val="Odstavec1,Párrafo de lista,Puce"/>
    <w:basedOn w:val="Normal"/>
    <w:link w:val="ListParagraphChar"/>
    <w:uiPriority w:val="34"/>
    <w:qFormat/>
    <w:rsid w:val="0094097A"/>
    <w:pPr>
      <w:ind w:left="720"/>
      <w:contextualSpacing/>
    </w:pPr>
  </w:style>
  <w:style w:type="paragraph" w:styleId="TOC1">
    <w:name w:val="toc 1"/>
    <w:basedOn w:val="Normal"/>
    <w:next w:val="Normal"/>
    <w:autoRedefine/>
    <w:uiPriority w:val="39"/>
    <w:unhideWhenUsed/>
    <w:rsid w:val="0094097A"/>
    <w:pPr>
      <w:spacing w:after="100"/>
    </w:pPr>
  </w:style>
  <w:style w:type="paragraph" w:styleId="TOC2">
    <w:name w:val="toc 2"/>
    <w:basedOn w:val="Normal"/>
    <w:next w:val="Normal"/>
    <w:autoRedefine/>
    <w:uiPriority w:val="39"/>
    <w:unhideWhenUsed/>
    <w:rsid w:val="0094097A"/>
    <w:pPr>
      <w:spacing w:after="100"/>
      <w:ind w:left="220"/>
    </w:pPr>
  </w:style>
  <w:style w:type="character" w:styleId="Hyperlink">
    <w:name w:val="Hyperlink"/>
    <w:basedOn w:val="DefaultParagraphFont"/>
    <w:uiPriority w:val="99"/>
    <w:unhideWhenUsed/>
    <w:rsid w:val="0094097A"/>
    <w:rPr>
      <w:color w:val="0563C1" w:themeColor="hyperlink"/>
      <w:u w:val="single"/>
    </w:rPr>
  </w:style>
  <w:style w:type="paragraph" w:styleId="FootnoteText">
    <w:name w:val="footnote text"/>
    <w:aliases w:val="footnotes"/>
    <w:basedOn w:val="Normal"/>
    <w:link w:val="FootnoteTextChar"/>
    <w:uiPriority w:val="99"/>
    <w:rsid w:val="00EC5761"/>
    <w:rPr>
      <w:rFonts w:ascii="Times New Roman" w:hAnsi="Times New Roman"/>
      <w:sz w:val="19"/>
      <w:szCs w:val="20"/>
      <w:lang w:val="en-GB"/>
    </w:rPr>
  </w:style>
  <w:style w:type="character" w:customStyle="1" w:styleId="FootnoteTextChar">
    <w:name w:val="Footnote Text Char"/>
    <w:aliases w:val="footnotes Char"/>
    <w:basedOn w:val="DefaultParagraphFont"/>
    <w:link w:val="FootnoteText"/>
    <w:uiPriority w:val="99"/>
    <w:rsid w:val="00EC5761"/>
    <w:rPr>
      <w:rFonts w:ascii="Times New Roman" w:eastAsia="Times New Roman" w:hAnsi="Times New Roman" w:cs="Times New Roman"/>
      <w:sz w:val="19"/>
      <w:szCs w:val="20"/>
      <w:lang w:val="en-GB" w:eastAsia="de-DE"/>
    </w:rPr>
  </w:style>
  <w:style w:type="character" w:styleId="FootnoteReference">
    <w:name w:val="footnote reference"/>
    <w:basedOn w:val="DefaultParagraphFont"/>
    <w:uiPriority w:val="99"/>
    <w:semiHidden/>
    <w:rsid w:val="00EC5761"/>
    <w:rPr>
      <w:vertAlign w:val="superscript"/>
    </w:rPr>
  </w:style>
  <w:style w:type="paragraph" w:customStyle="1" w:styleId="headline3">
    <w:name w:val="headline 3"/>
    <w:basedOn w:val="Normal"/>
    <w:link w:val="headline3Zchn"/>
    <w:qFormat/>
    <w:rsid w:val="00907CD2"/>
    <w:pPr>
      <w:spacing w:after="20"/>
      <w:outlineLvl w:val="2"/>
    </w:pPr>
    <w:rPr>
      <w:b/>
    </w:rPr>
  </w:style>
  <w:style w:type="character" w:customStyle="1" w:styleId="headline3Zchn">
    <w:name w:val="headline 3 Zchn"/>
    <w:basedOn w:val="DefaultParagraphFont"/>
    <w:link w:val="headline3"/>
    <w:rsid w:val="00907CD2"/>
    <w:rPr>
      <w:rFonts w:ascii="Arial" w:eastAsia="Times New Roman" w:hAnsi="Arial" w:cs="Times New Roman"/>
      <w:b/>
      <w:szCs w:val="24"/>
      <w:lang w:val="en-IE" w:eastAsia="de-DE"/>
    </w:rPr>
  </w:style>
  <w:style w:type="paragraph" w:customStyle="1" w:styleId="Copy95pt">
    <w:name w:val="Copy 9.5 pt"/>
    <w:basedOn w:val="Normal"/>
    <w:link w:val="Copy95ptZchn"/>
    <w:qFormat/>
    <w:rsid w:val="00907CD2"/>
    <w:pPr>
      <w:spacing w:after="120" w:line="360" w:lineRule="auto"/>
    </w:pPr>
    <w:rPr>
      <w:rFonts w:ascii="Times New Roman" w:hAnsi="Times New Roman"/>
      <w:sz w:val="20"/>
      <w:szCs w:val="13"/>
      <w:lang w:val="en-GB"/>
    </w:rPr>
  </w:style>
  <w:style w:type="character" w:customStyle="1" w:styleId="Copy95ptZchn">
    <w:name w:val="Copy 9.5 pt Zchn"/>
    <w:basedOn w:val="DefaultParagraphFont"/>
    <w:link w:val="Copy95pt"/>
    <w:rsid w:val="00907CD2"/>
    <w:rPr>
      <w:rFonts w:ascii="Times New Roman" w:eastAsia="Times New Roman" w:hAnsi="Times New Roman" w:cs="Times New Roman"/>
      <w:sz w:val="20"/>
      <w:szCs w:val="13"/>
      <w:lang w:val="en-GB" w:eastAsia="de-DE"/>
    </w:rPr>
  </w:style>
  <w:style w:type="paragraph" w:customStyle="1" w:styleId="textregular">
    <w:name w:val="text regular"/>
    <w:basedOn w:val="Normal"/>
    <w:link w:val="textregularZchn"/>
    <w:qFormat/>
    <w:rsid w:val="00345E14"/>
    <w:pPr>
      <w:spacing w:after="120"/>
    </w:pPr>
    <w:rPr>
      <w:rFonts w:asciiTheme="minorHAnsi" w:eastAsiaTheme="minorHAnsi" w:hAnsiTheme="minorHAnsi" w:cstheme="minorBidi"/>
      <w:szCs w:val="22"/>
      <w:lang w:val="en-GB" w:eastAsia="en-US"/>
    </w:rPr>
  </w:style>
  <w:style w:type="character" w:customStyle="1" w:styleId="textregularZchn">
    <w:name w:val="text regular Zchn"/>
    <w:basedOn w:val="DefaultParagraphFont"/>
    <w:link w:val="textregular"/>
    <w:locked/>
    <w:rsid w:val="00345E14"/>
    <w:rPr>
      <w:lang w:val="en-GB"/>
    </w:rPr>
  </w:style>
  <w:style w:type="character" w:customStyle="1" w:styleId="ListParagraphChar">
    <w:name w:val="List Paragraph Char"/>
    <w:aliases w:val="Odstavec1 Char,Párrafo de lista Char,Puce Char"/>
    <w:basedOn w:val="DefaultParagraphFont"/>
    <w:link w:val="ListParagraph"/>
    <w:uiPriority w:val="34"/>
    <w:locked/>
    <w:rsid w:val="00345E14"/>
    <w:rPr>
      <w:rFonts w:ascii="Arial" w:eastAsia="Times New Roman" w:hAnsi="Arial" w:cs="Times New Roman"/>
      <w:szCs w:val="24"/>
      <w:lang w:val="en-IE" w:eastAsia="de-DE"/>
    </w:rPr>
  </w:style>
  <w:style w:type="paragraph" w:styleId="BalloonText">
    <w:name w:val="Balloon Text"/>
    <w:basedOn w:val="Normal"/>
    <w:link w:val="BalloonTextChar"/>
    <w:uiPriority w:val="99"/>
    <w:semiHidden/>
    <w:unhideWhenUsed/>
    <w:rsid w:val="00345E1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5E14"/>
    <w:rPr>
      <w:rFonts w:ascii="Segoe UI" w:eastAsia="Times New Roman" w:hAnsi="Segoe UI" w:cs="Segoe UI"/>
      <w:sz w:val="18"/>
      <w:szCs w:val="18"/>
      <w:lang w:val="en-IE" w:eastAsia="de-DE"/>
    </w:rPr>
  </w:style>
  <w:style w:type="character" w:styleId="CommentReference">
    <w:name w:val="annotation reference"/>
    <w:basedOn w:val="DefaultParagraphFont"/>
    <w:uiPriority w:val="99"/>
    <w:unhideWhenUsed/>
    <w:rsid w:val="00AE4485"/>
    <w:rPr>
      <w:sz w:val="16"/>
      <w:szCs w:val="16"/>
    </w:rPr>
  </w:style>
  <w:style w:type="paragraph" w:styleId="CommentText">
    <w:name w:val="annotation text"/>
    <w:basedOn w:val="Normal"/>
    <w:link w:val="CommentTextChar"/>
    <w:uiPriority w:val="99"/>
    <w:unhideWhenUsed/>
    <w:rsid w:val="00AE4485"/>
    <w:rPr>
      <w:sz w:val="20"/>
      <w:szCs w:val="20"/>
    </w:rPr>
  </w:style>
  <w:style w:type="character" w:customStyle="1" w:styleId="CommentTextChar">
    <w:name w:val="Comment Text Char"/>
    <w:basedOn w:val="DefaultParagraphFont"/>
    <w:link w:val="CommentText"/>
    <w:uiPriority w:val="99"/>
    <w:rsid w:val="00AE4485"/>
    <w:rPr>
      <w:rFonts w:ascii="Arial" w:eastAsia="Times New Roman" w:hAnsi="Arial" w:cs="Times New Roman"/>
      <w:sz w:val="20"/>
      <w:szCs w:val="20"/>
      <w:lang w:val="en-IE" w:eastAsia="de-DE"/>
    </w:rPr>
  </w:style>
  <w:style w:type="paragraph" w:styleId="Caption">
    <w:name w:val="caption"/>
    <w:basedOn w:val="Normal"/>
    <w:next w:val="Normal"/>
    <w:unhideWhenUsed/>
    <w:qFormat/>
    <w:rsid w:val="00AE4485"/>
    <w:pPr>
      <w:spacing w:after="200"/>
    </w:pPr>
    <w:rPr>
      <w:b/>
      <w:bCs/>
      <w:color w:val="5B9BD5" w:themeColor="accent1"/>
      <w:sz w:val="18"/>
      <w:szCs w:val="18"/>
    </w:rPr>
  </w:style>
  <w:style w:type="paragraph" w:styleId="TOC3">
    <w:name w:val="toc 3"/>
    <w:basedOn w:val="Normal"/>
    <w:next w:val="Normal"/>
    <w:autoRedefine/>
    <w:uiPriority w:val="39"/>
    <w:unhideWhenUsed/>
    <w:rsid w:val="00FE0803"/>
    <w:pPr>
      <w:spacing w:after="100"/>
      <w:ind w:left="440"/>
    </w:pPr>
  </w:style>
  <w:style w:type="table" w:styleId="TableGrid">
    <w:name w:val="Table Grid"/>
    <w:basedOn w:val="TableNormal"/>
    <w:uiPriority w:val="59"/>
    <w:rsid w:val="00442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31">
    <w:name w:val="Grid Table 4 - Accent 31"/>
    <w:basedOn w:val="TableNormal"/>
    <w:uiPriority w:val="49"/>
    <w:rsid w:val="005609B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5Dark-Accent31">
    <w:name w:val="Grid Table 5 Dark - Accent 31"/>
    <w:basedOn w:val="TableNormal"/>
    <w:uiPriority w:val="50"/>
    <w:rsid w:val="005609B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TableofFigures">
    <w:name w:val="table of figures"/>
    <w:basedOn w:val="Normal"/>
    <w:next w:val="Normal"/>
    <w:uiPriority w:val="99"/>
    <w:unhideWhenUsed/>
    <w:rsid w:val="00031540"/>
  </w:style>
  <w:style w:type="paragraph" w:styleId="CommentSubject">
    <w:name w:val="annotation subject"/>
    <w:basedOn w:val="CommentText"/>
    <w:next w:val="CommentText"/>
    <w:link w:val="CommentSubjectChar"/>
    <w:uiPriority w:val="99"/>
    <w:semiHidden/>
    <w:unhideWhenUsed/>
    <w:rsid w:val="00696136"/>
    <w:rPr>
      <w:b/>
      <w:bCs/>
    </w:rPr>
  </w:style>
  <w:style w:type="character" w:customStyle="1" w:styleId="CommentSubjectChar">
    <w:name w:val="Comment Subject Char"/>
    <w:basedOn w:val="CommentTextChar"/>
    <w:link w:val="CommentSubject"/>
    <w:uiPriority w:val="99"/>
    <w:semiHidden/>
    <w:rsid w:val="00696136"/>
    <w:rPr>
      <w:rFonts w:ascii="Arial" w:eastAsia="Times New Roman" w:hAnsi="Arial" w:cs="Times New Roman"/>
      <w:b/>
      <w:bCs/>
      <w:sz w:val="20"/>
      <w:szCs w:val="20"/>
      <w:lang w:val="en-IE" w:eastAsia="de-DE"/>
    </w:rPr>
  </w:style>
  <w:style w:type="character" w:customStyle="1" w:styleId="Heading3Char">
    <w:name w:val="Heading 3 Char"/>
    <w:basedOn w:val="DefaultParagraphFont"/>
    <w:link w:val="Heading3"/>
    <w:uiPriority w:val="9"/>
    <w:rsid w:val="00D46357"/>
    <w:rPr>
      <w:rFonts w:asciiTheme="majorHAnsi" w:eastAsiaTheme="majorEastAsia" w:hAnsiTheme="majorHAnsi" w:cstheme="majorBidi"/>
      <w:color w:val="1F4D78" w:themeColor="accent1" w:themeShade="7F"/>
      <w:sz w:val="24"/>
      <w:szCs w:val="24"/>
      <w:lang w:val="en-IE" w:eastAsia="de-DE"/>
    </w:rPr>
  </w:style>
  <w:style w:type="paragraph" w:customStyle="1" w:styleId="Default">
    <w:name w:val="Default"/>
    <w:rsid w:val="001251AC"/>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5C65B1"/>
    <w:pPr>
      <w:tabs>
        <w:tab w:val="center" w:pos="4680"/>
        <w:tab w:val="right" w:pos="9360"/>
      </w:tabs>
    </w:pPr>
  </w:style>
  <w:style w:type="character" w:customStyle="1" w:styleId="HeaderChar">
    <w:name w:val="Header Char"/>
    <w:basedOn w:val="DefaultParagraphFont"/>
    <w:link w:val="Header"/>
    <w:uiPriority w:val="99"/>
    <w:rsid w:val="005C65B1"/>
    <w:rPr>
      <w:rFonts w:ascii="Arial" w:eastAsia="Times New Roman" w:hAnsi="Arial" w:cs="Times New Roman"/>
      <w:szCs w:val="24"/>
      <w:lang w:val="en-IE" w:eastAsia="de-DE"/>
    </w:rPr>
  </w:style>
  <w:style w:type="paragraph" w:styleId="Footer">
    <w:name w:val="footer"/>
    <w:basedOn w:val="Normal"/>
    <w:link w:val="FooterChar"/>
    <w:uiPriority w:val="99"/>
    <w:unhideWhenUsed/>
    <w:rsid w:val="005C65B1"/>
    <w:pPr>
      <w:tabs>
        <w:tab w:val="center" w:pos="4680"/>
        <w:tab w:val="right" w:pos="9360"/>
      </w:tabs>
    </w:pPr>
  </w:style>
  <w:style w:type="character" w:customStyle="1" w:styleId="FooterChar">
    <w:name w:val="Footer Char"/>
    <w:basedOn w:val="DefaultParagraphFont"/>
    <w:link w:val="Footer"/>
    <w:uiPriority w:val="99"/>
    <w:rsid w:val="005C65B1"/>
    <w:rPr>
      <w:rFonts w:ascii="Arial" w:eastAsia="Times New Roman" w:hAnsi="Arial" w:cs="Times New Roman"/>
      <w:szCs w:val="24"/>
      <w:lang w:val="en-IE" w:eastAsia="de-DE"/>
    </w:rPr>
  </w:style>
  <w:style w:type="paragraph" w:styleId="EndnoteText">
    <w:name w:val="endnote text"/>
    <w:basedOn w:val="Normal"/>
    <w:link w:val="EndnoteTextChar"/>
    <w:uiPriority w:val="99"/>
    <w:semiHidden/>
    <w:unhideWhenUsed/>
    <w:rsid w:val="00BB1B2D"/>
    <w:rPr>
      <w:sz w:val="20"/>
      <w:szCs w:val="20"/>
    </w:rPr>
  </w:style>
  <w:style w:type="character" w:customStyle="1" w:styleId="EndnoteTextChar">
    <w:name w:val="Endnote Text Char"/>
    <w:basedOn w:val="DefaultParagraphFont"/>
    <w:link w:val="EndnoteText"/>
    <w:uiPriority w:val="99"/>
    <w:semiHidden/>
    <w:rsid w:val="00BB1B2D"/>
    <w:rPr>
      <w:rFonts w:ascii="Arial" w:eastAsia="Times New Roman" w:hAnsi="Arial" w:cs="Times New Roman"/>
      <w:sz w:val="20"/>
      <w:szCs w:val="20"/>
      <w:lang w:val="en-IE" w:eastAsia="de-DE"/>
    </w:rPr>
  </w:style>
  <w:style w:type="character" w:styleId="EndnoteReference">
    <w:name w:val="endnote reference"/>
    <w:basedOn w:val="DefaultParagraphFont"/>
    <w:uiPriority w:val="99"/>
    <w:semiHidden/>
    <w:unhideWhenUsed/>
    <w:rsid w:val="00BB1B2D"/>
    <w:rPr>
      <w:vertAlign w:val="superscript"/>
    </w:rPr>
  </w:style>
  <w:style w:type="paragraph" w:styleId="NormalWeb">
    <w:name w:val="Normal (Web)"/>
    <w:basedOn w:val="Normal"/>
    <w:uiPriority w:val="99"/>
    <w:unhideWhenUsed/>
    <w:rsid w:val="003108B6"/>
    <w:pPr>
      <w:spacing w:before="100" w:beforeAutospacing="1" w:after="100" w:afterAutospacing="1"/>
    </w:pPr>
    <w:rPr>
      <w:rFonts w:ascii="Times New Roman" w:hAnsi="Times New Roman"/>
      <w:sz w:val="24"/>
      <w:lang w:val="en-GB" w:eastAsia="en-GB"/>
    </w:rPr>
  </w:style>
  <w:style w:type="character" w:customStyle="1" w:styleId="Heading4Char">
    <w:name w:val="Heading 4 Char"/>
    <w:basedOn w:val="DefaultParagraphFont"/>
    <w:link w:val="Heading4"/>
    <w:uiPriority w:val="9"/>
    <w:rsid w:val="00F8788D"/>
    <w:rPr>
      <w:rFonts w:asciiTheme="majorHAnsi" w:eastAsiaTheme="majorEastAsia" w:hAnsiTheme="majorHAnsi" w:cstheme="majorBidi"/>
      <w:i/>
      <w:iCs/>
      <w:color w:val="2E74B5" w:themeColor="accent1" w:themeShade="BF"/>
      <w:lang w:val="en-GB" w:eastAsia="en-GB"/>
    </w:rPr>
  </w:style>
  <w:style w:type="character" w:customStyle="1" w:styleId="Heading5Char">
    <w:name w:val="Heading 5 Char"/>
    <w:basedOn w:val="DefaultParagraphFont"/>
    <w:link w:val="Heading5"/>
    <w:uiPriority w:val="9"/>
    <w:semiHidden/>
    <w:rsid w:val="00F8788D"/>
    <w:rPr>
      <w:rFonts w:asciiTheme="majorHAnsi" w:eastAsiaTheme="majorEastAsia" w:hAnsiTheme="majorHAnsi" w:cstheme="majorBidi"/>
      <w:color w:val="2E74B5" w:themeColor="accent1" w:themeShade="BF"/>
      <w:lang w:val="en-GB" w:eastAsia="en-GB"/>
    </w:rPr>
  </w:style>
  <w:style w:type="character" w:customStyle="1" w:styleId="Heading6Char">
    <w:name w:val="Heading 6 Char"/>
    <w:basedOn w:val="DefaultParagraphFont"/>
    <w:link w:val="Heading6"/>
    <w:uiPriority w:val="9"/>
    <w:semiHidden/>
    <w:rsid w:val="00F8788D"/>
    <w:rPr>
      <w:rFonts w:asciiTheme="majorHAnsi" w:eastAsiaTheme="majorEastAsia" w:hAnsiTheme="majorHAnsi" w:cstheme="majorBidi"/>
      <w:color w:val="1F4D78" w:themeColor="accent1" w:themeShade="7F"/>
      <w:lang w:val="en-GB" w:eastAsia="en-GB"/>
    </w:rPr>
  </w:style>
  <w:style w:type="character" w:customStyle="1" w:styleId="Heading7Char">
    <w:name w:val="Heading 7 Char"/>
    <w:basedOn w:val="DefaultParagraphFont"/>
    <w:link w:val="Heading7"/>
    <w:uiPriority w:val="9"/>
    <w:semiHidden/>
    <w:rsid w:val="00F8788D"/>
    <w:rPr>
      <w:rFonts w:asciiTheme="majorHAnsi" w:eastAsiaTheme="majorEastAsia" w:hAnsiTheme="majorHAnsi" w:cstheme="majorBidi"/>
      <w:i/>
      <w:iCs/>
      <w:color w:val="1F4D78" w:themeColor="accent1" w:themeShade="7F"/>
      <w:lang w:val="en-GB" w:eastAsia="en-GB"/>
    </w:rPr>
  </w:style>
  <w:style w:type="character" w:customStyle="1" w:styleId="Heading8Char">
    <w:name w:val="Heading 8 Char"/>
    <w:basedOn w:val="DefaultParagraphFont"/>
    <w:link w:val="Heading8"/>
    <w:uiPriority w:val="9"/>
    <w:semiHidden/>
    <w:rsid w:val="00F8788D"/>
    <w:rPr>
      <w:rFonts w:asciiTheme="majorHAnsi" w:eastAsiaTheme="majorEastAsia" w:hAnsiTheme="majorHAnsi" w:cstheme="majorBidi"/>
      <w:color w:val="272727" w:themeColor="text1" w:themeTint="D8"/>
      <w:sz w:val="21"/>
      <w:szCs w:val="21"/>
      <w:lang w:val="en-GB" w:eastAsia="en-GB"/>
    </w:rPr>
  </w:style>
  <w:style w:type="character" w:customStyle="1" w:styleId="Heading9Char">
    <w:name w:val="Heading 9 Char"/>
    <w:basedOn w:val="DefaultParagraphFont"/>
    <w:link w:val="Heading9"/>
    <w:uiPriority w:val="9"/>
    <w:semiHidden/>
    <w:rsid w:val="00F8788D"/>
    <w:rPr>
      <w:rFonts w:asciiTheme="majorHAnsi" w:eastAsiaTheme="majorEastAsia" w:hAnsiTheme="majorHAnsi" w:cstheme="majorBidi"/>
      <w:i/>
      <w:iCs/>
      <w:color w:val="272727" w:themeColor="text1" w:themeTint="D8"/>
      <w:sz w:val="21"/>
      <w:szCs w:val="21"/>
      <w:lang w:val="en-GB" w:eastAsia="en-GB"/>
    </w:rPr>
  </w:style>
  <w:style w:type="paragraph" w:customStyle="1" w:styleId="Department">
    <w:name w:val="Department"/>
    <w:basedOn w:val="DocType"/>
    <w:rsid w:val="00F8788D"/>
  </w:style>
  <w:style w:type="paragraph" w:customStyle="1" w:styleId="DocType">
    <w:name w:val="DocType"/>
    <w:basedOn w:val="Normal"/>
    <w:rsid w:val="00F8788D"/>
    <w:pPr>
      <w:spacing w:before="60" w:after="240"/>
    </w:pPr>
    <w:rPr>
      <w:rFonts w:ascii="Verdana" w:hAnsi="Verdana" w:cs="Calibri"/>
      <w:b/>
      <w:bCs/>
      <w:color w:val="57585A"/>
      <w:szCs w:val="20"/>
      <w:lang w:val="en-GB" w:eastAsia="en-GB"/>
    </w:rPr>
  </w:style>
  <w:style w:type="paragraph" w:customStyle="1" w:styleId="DocTitle">
    <w:name w:val="DocTitle"/>
    <w:basedOn w:val="Normal"/>
    <w:rsid w:val="00F8788D"/>
    <w:rPr>
      <w:rFonts w:cs="Arial"/>
      <w:b/>
      <w:bCs/>
      <w:color w:val="F86613"/>
      <w:sz w:val="36"/>
      <w:szCs w:val="20"/>
      <w:lang w:val="en-GB" w:eastAsia="en-GB"/>
    </w:rPr>
  </w:style>
  <w:style w:type="character" w:styleId="FollowedHyperlink">
    <w:name w:val="FollowedHyperlink"/>
    <w:basedOn w:val="DefaultParagraphFont"/>
    <w:uiPriority w:val="99"/>
    <w:semiHidden/>
    <w:unhideWhenUsed/>
    <w:rsid w:val="00F8788D"/>
    <w:rPr>
      <w:color w:val="954F72" w:themeColor="followedHyperlink"/>
      <w:u w:val="single"/>
    </w:rPr>
  </w:style>
  <w:style w:type="paragraph" w:styleId="Revision">
    <w:name w:val="Revision"/>
    <w:hidden/>
    <w:uiPriority w:val="99"/>
    <w:semiHidden/>
    <w:rsid w:val="00F8788D"/>
    <w:pPr>
      <w:spacing w:after="0" w:line="240" w:lineRule="auto"/>
    </w:pPr>
    <w:rPr>
      <w:rFonts w:eastAsiaTheme="minorEastAsia"/>
      <w:sz w:val="24"/>
      <w:szCs w:val="24"/>
    </w:rPr>
  </w:style>
  <w:style w:type="character" w:customStyle="1" w:styleId="Mention1">
    <w:name w:val="Mention1"/>
    <w:basedOn w:val="DefaultParagraphFont"/>
    <w:uiPriority w:val="99"/>
    <w:semiHidden/>
    <w:unhideWhenUsed/>
    <w:rsid w:val="00F8788D"/>
    <w:rPr>
      <w:color w:val="2B579A"/>
      <w:shd w:val="clear" w:color="auto" w:fill="E6E6E6"/>
    </w:rPr>
  </w:style>
  <w:style w:type="table" w:customStyle="1" w:styleId="TableGrid1">
    <w:name w:val="Table Grid1"/>
    <w:basedOn w:val="TableNormal"/>
    <w:next w:val="TableGrid"/>
    <w:uiPriority w:val="59"/>
    <w:rsid w:val="00F8788D"/>
    <w:pPr>
      <w:spacing w:after="0" w:line="240" w:lineRule="auto"/>
    </w:pPr>
    <w:rPr>
      <w:rFonts w:eastAsiaTheme="minorEastAsia"/>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tion2">
    <w:name w:val="Mention2"/>
    <w:basedOn w:val="DefaultParagraphFont"/>
    <w:uiPriority w:val="99"/>
    <w:semiHidden/>
    <w:unhideWhenUsed/>
    <w:rsid w:val="00F8788D"/>
    <w:rPr>
      <w:color w:val="2B579A"/>
      <w:shd w:val="clear" w:color="auto" w:fill="E6E6E6"/>
    </w:rPr>
  </w:style>
  <w:style w:type="character" w:customStyle="1" w:styleId="Mention3">
    <w:name w:val="Mention3"/>
    <w:basedOn w:val="DefaultParagraphFont"/>
    <w:uiPriority w:val="99"/>
    <w:semiHidden/>
    <w:unhideWhenUsed/>
    <w:rsid w:val="00F8788D"/>
    <w:rPr>
      <w:color w:val="2B579A"/>
      <w:shd w:val="clear" w:color="auto" w:fill="E6E6E6"/>
    </w:rPr>
  </w:style>
  <w:style w:type="character" w:customStyle="1" w:styleId="Mention4">
    <w:name w:val="Mention4"/>
    <w:basedOn w:val="DefaultParagraphFont"/>
    <w:uiPriority w:val="99"/>
    <w:semiHidden/>
    <w:unhideWhenUsed/>
    <w:rsid w:val="00F8788D"/>
    <w:rPr>
      <w:color w:val="2B579A"/>
      <w:shd w:val="clear" w:color="auto" w:fill="E6E6E6"/>
    </w:rPr>
  </w:style>
  <w:style w:type="character" w:customStyle="1" w:styleId="UnresolvedMention1">
    <w:name w:val="Unresolved Mention1"/>
    <w:basedOn w:val="DefaultParagraphFont"/>
    <w:uiPriority w:val="99"/>
    <w:semiHidden/>
    <w:unhideWhenUsed/>
    <w:rsid w:val="00F8788D"/>
    <w:rPr>
      <w:color w:val="808080"/>
      <w:shd w:val="clear" w:color="auto" w:fill="E6E6E6"/>
    </w:rPr>
  </w:style>
  <w:style w:type="character" w:customStyle="1" w:styleId="UnresolvedMention2">
    <w:name w:val="Unresolved Mention2"/>
    <w:basedOn w:val="DefaultParagraphFont"/>
    <w:uiPriority w:val="99"/>
    <w:semiHidden/>
    <w:unhideWhenUsed/>
    <w:rsid w:val="00F8788D"/>
    <w:rPr>
      <w:color w:val="808080"/>
      <w:shd w:val="clear" w:color="auto" w:fill="E6E6E6"/>
    </w:rPr>
  </w:style>
  <w:style w:type="paragraph" w:styleId="NoSpacing">
    <w:name w:val="No Spacing"/>
    <w:uiPriority w:val="1"/>
    <w:qFormat/>
    <w:rsid w:val="00F8788D"/>
    <w:pPr>
      <w:spacing w:after="0" w:line="240" w:lineRule="auto"/>
    </w:pPr>
    <w:rPr>
      <w:rFonts w:ascii="Calibri" w:hAnsi="Calibri" w:cs="Calibri"/>
      <w:lang w:val="en-GB" w:eastAsia="en-GB"/>
    </w:rPr>
  </w:style>
  <w:style w:type="paragraph" w:customStyle="1" w:styleId="paragraph">
    <w:name w:val="paragraph"/>
    <w:basedOn w:val="Normal"/>
    <w:rsid w:val="00F8788D"/>
    <w:pPr>
      <w:spacing w:before="100" w:beforeAutospacing="1" w:after="100" w:afterAutospacing="1"/>
    </w:pPr>
    <w:rPr>
      <w:rFonts w:ascii="Times New Roman" w:hAnsi="Times New Roman"/>
      <w:sz w:val="24"/>
      <w:lang w:val="en-GB" w:eastAsia="en-GB"/>
    </w:rPr>
  </w:style>
  <w:style w:type="paragraph" w:styleId="BodyText">
    <w:name w:val="Body Text"/>
    <w:basedOn w:val="Normal"/>
    <w:link w:val="BodyTextChar"/>
    <w:rsid w:val="00F8788D"/>
    <w:pPr>
      <w:spacing w:after="120" w:line="227" w:lineRule="atLeast"/>
      <w:jc w:val="both"/>
    </w:pPr>
    <w:rPr>
      <w:rFonts w:eastAsia="Lucida Sans Unicode"/>
      <w:sz w:val="18"/>
      <w:szCs w:val="20"/>
      <w:lang w:val="en-GB" w:eastAsia="cs-CZ"/>
    </w:rPr>
  </w:style>
  <w:style w:type="character" w:customStyle="1" w:styleId="BodyTextChar">
    <w:name w:val="Body Text Char"/>
    <w:basedOn w:val="DefaultParagraphFont"/>
    <w:link w:val="BodyText"/>
    <w:rsid w:val="00F8788D"/>
    <w:rPr>
      <w:rFonts w:ascii="Arial" w:eastAsia="Lucida Sans Unicode" w:hAnsi="Arial" w:cs="Times New Roman"/>
      <w:sz w:val="18"/>
      <w:szCs w:val="20"/>
      <w:lang w:val="en-GB" w:eastAsia="cs-CZ"/>
    </w:rPr>
  </w:style>
  <w:style w:type="paragraph" w:customStyle="1" w:styleId="UNITableContent">
    <w:name w:val="UNI Table Content"/>
    <w:basedOn w:val="Normal"/>
    <w:uiPriority w:val="99"/>
    <w:rsid w:val="00F8788D"/>
    <w:pPr>
      <w:suppressAutoHyphens/>
      <w:spacing w:after="113" w:line="278" w:lineRule="atLeast"/>
      <w:jc w:val="both"/>
    </w:pPr>
    <w:rPr>
      <w:spacing w:val="10"/>
      <w:sz w:val="18"/>
      <w:szCs w:val="18"/>
      <w:lang w:val="cs-CZ" w:eastAsia="ar-SA"/>
    </w:rPr>
  </w:style>
  <w:style w:type="character" w:customStyle="1" w:styleId="UnresolvedMention3">
    <w:name w:val="Unresolved Mention3"/>
    <w:basedOn w:val="DefaultParagraphFont"/>
    <w:uiPriority w:val="99"/>
    <w:semiHidden/>
    <w:unhideWhenUsed/>
    <w:rsid w:val="00F8788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31">
      <w:bodyDiv w:val="1"/>
      <w:marLeft w:val="0"/>
      <w:marRight w:val="0"/>
      <w:marTop w:val="0"/>
      <w:marBottom w:val="0"/>
      <w:divBdr>
        <w:top w:val="none" w:sz="0" w:space="0" w:color="auto"/>
        <w:left w:val="none" w:sz="0" w:space="0" w:color="auto"/>
        <w:bottom w:val="none" w:sz="0" w:space="0" w:color="auto"/>
        <w:right w:val="none" w:sz="0" w:space="0" w:color="auto"/>
      </w:divBdr>
    </w:div>
    <w:div w:id="32197181">
      <w:bodyDiv w:val="1"/>
      <w:marLeft w:val="0"/>
      <w:marRight w:val="0"/>
      <w:marTop w:val="0"/>
      <w:marBottom w:val="0"/>
      <w:divBdr>
        <w:top w:val="none" w:sz="0" w:space="0" w:color="auto"/>
        <w:left w:val="none" w:sz="0" w:space="0" w:color="auto"/>
        <w:bottom w:val="none" w:sz="0" w:space="0" w:color="auto"/>
        <w:right w:val="none" w:sz="0" w:space="0" w:color="auto"/>
      </w:divBdr>
    </w:div>
    <w:div w:id="73430213">
      <w:bodyDiv w:val="1"/>
      <w:marLeft w:val="0"/>
      <w:marRight w:val="0"/>
      <w:marTop w:val="0"/>
      <w:marBottom w:val="0"/>
      <w:divBdr>
        <w:top w:val="none" w:sz="0" w:space="0" w:color="auto"/>
        <w:left w:val="none" w:sz="0" w:space="0" w:color="auto"/>
        <w:bottom w:val="none" w:sz="0" w:space="0" w:color="auto"/>
        <w:right w:val="none" w:sz="0" w:space="0" w:color="auto"/>
      </w:divBdr>
    </w:div>
    <w:div w:id="233392634">
      <w:bodyDiv w:val="1"/>
      <w:marLeft w:val="0"/>
      <w:marRight w:val="0"/>
      <w:marTop w:val="0"/>
      <w:marBottom w:val="0"/>
      <w:divBdr>
        <w:top w:val="none" w:sz="0" w:space="0" w:color="auto"/>
        <w:left w:val="none" w:sz="0" w:space="0" w:color="auto"/>
        <w:bottom w:val="none" w:sz="0" w:space="0" w:color="auto"/>
        <w:right w:val="none" w:sz="0" w:space="0" w:color="auto"/>
      </w:divBdr>
    </w:div>
    <w:div w:id="259526884">
      <w:bodyDiv w:val="1"/>
      <w:marLeft w:val="0"/>
      <w:marRight w:val="0"/>
      <w:marTop w:val="0"/>
      <w:marBottom w:val="0"/>
      <w:divBdr>
        <w:top w:val="none" w:sz="0" w:space="0" w:color="auto"/>
        <w:left w:val="none" w:sz="0" w:space="0" w:color="auto"/>
        <w:bottom w:val="none" w:sz="0" w:space="0" w:color="auto"/>
        <w:right w:val="none" w:sz="0" w:space="0" w:color="auto"/>
      </w:divBdr>
    </w:div>
    <w:div w:id="324943856">
      <w:bodyDiv w:val="1"/>
      <w:marLeft w:val="0"/>
      <w:marRight w:val="0"/>
      <w:marTop w:val="0"/>
      <w:marBottom w:val="0"/>
      <w:divBdr>
        <w:top w:val="none" w:sz="0" w:space="0" w:color="auto"/>
        <w:left w:val="none" w:sz="0" w:space="0" w:color="auto"/>
        <w:bottom w:val="none" w:sz="0" w:space="0" w:color="auto"/>
        <w:right w:val="none" w:sz="0" w:space="0" w:color="auto"/>
      </w:divBdr>
    </w:div>
    <w:div w:id="368995457">
      <w:bodyDiv w:val="1"/>
      <w:marLeft w:val="0"/>
      <w:marRight w:val="0"/>
      <w:marTop w:val="0"/>
      <w:marBottom w:val="0"/>
      <w:divBdr>
        <w:top w:val="none" w:sz="0" w:space="0" w:color="auto"/>
        <w:left w:val="none" w:sz="0" w:space="0" w:color="auto"/>
        <w:bottom w:val="none" w:sz="0" w:space="0" w:color="auto"/>
        <w:right w:val="none" w:sz="0" w:space="0" w:color="auto"/>
      </w:divBdr>
    </w:div>
    <w:div w:id="390277334">
      <w:bodyDiv w:val="1"/>
      <w:marLeft w:val="0"/>
      <w:marRight w:val="0"/>
      <w:marTop w:val="0"/>
      <w:marBottom w:val="0"/>
      <w:divBdr>
        <w:top w:val="none" w:sz="0" w:space="0" w:color="auto"/>
        <w:left w:val="none" w:sz="0" w:space="0" w:color="auto"/>
        <w:bottom w:val="none" w:sz="0" w:space="0" w:color="auto"/>
        <w:right w:val="none" w:sz="0" w:space="0" w:color="auto"/>
      </w:divBdr>
    </w:div>
    <w:div w:id="541477225">
      <w:bodyDiv w:val="1"/>
      <w:marLeft w:val="0"/>
      <w:marRight w:val="0"/>
      <w:marTop w:val="0"/>
      <w:marBottom w:val="0"/>
      <w:divBdr>
        <w:top w:val="none" w:sz="0" w:space="0" w:color="auto"/>
        <w:left w:val="none" w:sz="0" w:space="0" w:color="auto"/>
        <w:bottom w:val="none" w:sz="0" w:space="0" w:color="auto"/>
        <w:right w:val="none" w:sz="0" w:space="0" w:color="auto"/>
      </w:divBdr>
    </w:div>
    <w:div w:id="635992097">
      <w:bodyDiv w:val="1"/>
      <w:marLeft w:val="0"/>
      <w:marRight w:val="0"/>
      <w:marTop w:val="0"/>
      <w:marBottom w:val="0"/>
      <w:divBdr>
        <w:top w:val="none" w:sz="0" w:space="0" w:color="auto"/>
        <w:left w:val="none" w:sz="0" w:space="0" w:color="auto"/>
        <w:bottom w:val="none" w:sz="0" w:space="0" w:color="auto"/>
        <w:right w:val="none" w:sz="0" w:space="0" w:color="auto"/>
      </w:divBdr>
    </w:div>
    <w:div w:id="721638639">
      <w:bodyDiv w:val="1"/>
      <w:marLeft w:val="0"/>
      <w:marRight w:val="0"/>
      <w:marTop w:val="0"/>
      <w:marBottom w:val="0"/>
      <w:divBdr>
        <w:top w:val="none" w:sz="0" w:space="0" w:color="auto"/>
        <w:left w:val="none" w:sz="0" w:space="0" w:color="auto"/>
        <w:bottom w:val="none" w:sz="0" w:space="0" w:color="auto"/>
        <w:right w:val="none" w:sz="0" w:space="0" w:color="auto"/>
      </w:divBdr>
    </w:div>
    <w:div w:id="748885687">
      <w:bodyDiv w:val="1"/>
      <w:marLeft w:val="0"/>
      <w:marRight w:val="0"/>
      <w:marTop w:val="0"/>
      <w:marBottom w:val="0"/>
      <w:divBdr>
        <w:top w:val="none" w:sz="0" w:space="0" w:color="auto"/>
        <w:left w:val="none" w:sz="0" w:space="0" w:color="auto"/>
        <w:bottom w:val="none" w:sz="0" w:space="0" w:color="auto"/>
        <w:right w:val="none" w:sz="0" w:space="0" w:color="auto"/>
      </w:divBdr>
    </w:div>
    <w:div w:id="785083322">
      <w:bodyDiv w:val="1"/>
      <w:marLeft w:val="0"/>
      <w:marRight w:val="0"/>
      <w:marTop w:val="0"/>
      <w:marBottom w:val="0"/>
      <w:divBdr>
        <w:top w:val="none" w:sz="0" w:space="0" w:color="auto"/>
        <w:left w:val="none" w:sz="0" w:space="0" w:color="auto"/>
        <w:bottom w:val="none" w:sz="0" w:space="0" w:color="auto"/>
        <w:right w:val="none" w:sz="0" w:space="0" w:color="auto"/>
      </w:divBdr>
    </w:div>
    <w:div w:id="812479464">
      <w:bodyDiv w:val="1"/>
      <w:marLeft w:val="0"/>
      <w:marRight w:val="0"/>
      <w:marTop w:val="0"/>
      <w:marBottom w:val="0"/>
      <w:divBdr>
        <w:top w:val="none" w:sz="0" w:space="0" w:color="auto"/>
        <w:left w:val="none" w:sz="0" w:space="0" w:color="auto"/>
        <w:bottom w:val="none" w:sz="0" w:space="0" w:color="auto"/>
        <w:right w:val="none" w:sz="0" w:space="0" w:color="auto"/>
      </w:divBdr>
    </w:div>
    <w:div w:id="906841654">
      <w:bodyDiv w:val="1"/>
      <w:marLeft w:val="0"/>
      <w:marRight w:val="0"/>
      <w:marTop w:val="0"/>
      <w:marBottom w:val="0"/>
      <w:divBdr>
        <w:top w:val="none" w:sz="0" w:space="0" w:color="auto"/>
        <w:left w:val="none" w:sz="0" w:space="0" w:color="auto"/>
        <w:bottom w:val="none" w:sz="0" w:space="0" w:color="auto"/>
        <w:right w:val="none" w:sz="0" w:space="0" w:color="auto"/>
      </w:divBdr>
    </w:div>
    <w:div w:id="925577388">
      <w:bodyDiv w:val="1"/>
      <w:marLeft w:val="0"/>
      <w:marRight w:val="0"/>
      <w:marTop w:val="0"/>
      <w:marBottom w:val="0"/>
      <w:divBdr>
        <w:top w:val="none" w:sz="0" w:space="0" w:color="auto"/>
        <w:left w:val="none" w:sz="0" w:space="0" w:color="auto"/>
        <w:bottom w:val="none" w:sz="0" w:space="0" w:color="auto"/>
        <w:right w:val="none" w:sz="0" w:space="0" w:color="auto"/>
      </w:divBdr>
    </w:div>
    <w:div w:id="1090465907">
      <w:bodyDiv w:val="1"/>
      <w:marLeft w:val="0"/>
      <w:marRight w:val="0"/>
      <w:marTop w:val="0"/>
      <w:marBottom w:val="0"/>
      <w:divBdr>
        <w:top w:val="none" w:sz="0" w:space="0" w:color="auto"/>
        <w:left w:val="none" w:sz="0" w:space="0" w:color="auto"/>
        <w:bottom w:val="none" w:sz="0" w:space="0" w:color="auto"/>
        <w:right w:val="none" w:sz="0" w:space="0" w:color="auto"/>
      </w:divBdr>
    </w:div>
    <w:div w:id="1172988776">
      <w:bodyDiv w:val="1"/>
      <w:marLeft w:val="0"/>
      <w:marRight w:val="0"/>
      <w:marTop w:val="0"/>
      <w:marBottom w:val="0"/>
      <w:divBdr>
        <w:top w:val="none" w:sz="0" w:space="0" w:color="auto"/>
        <w:left w:val="none" w:sz="0" w:space="0" w:color="auto"/>
        <w:bottom w:val="none" w:sz="0" w:space="0" w:color="auto"/>
        <w:right w:val="none" w:sz="0" w:space="0" w:color="auto"/>
      </w:divBdr>
    </w:div>
    <w:div w:id="1226572796">
      <w:bodyDiv w:val="1"/>
      <w:marLeft w:val="0"/>
      <w:marRight w:val="0"/>
      <w:marTop w:val="0"/>
      <w:marBottom w:val="0"/>
      <w:divBdr>
        <w:top w:val="none" w:sz="0" w:space="0" w:color="auto"/>
        <w:left w:val="none" w:sz="0" w:space="0" w:color="auto"/>
        <w:bottom w:val="none" w:sz="0" w:space="0" w:color="auto"/>
        <w:right w:val="none" w:sz="0" w:space="0" w:color="auto"/>
      </w:divBdr>
    </w:div>
    <w:div w:id="1227646260">
      <w:bodyDiv w:val="1"/>
      <w:marLeft w:val="0"/>
      <w:marRight w:val="0"/>
      <w:marTop w:val="0"/>
      <w:marBottom w:val="0"/>
      <w:divBdr>
        <w:top w:val="none" w:sz="0" w:space="0" w:color="auto"/>
        <w:left w:val="none" w:sz="0" w:space="0" w:color="auto"/>
        <w:bottom w:val="none" w:sz="0" w:space="0" w:color="auto"/>
        <w:right w:val="none" w:sz="0" w:space="0" w:color="auto"/>
      </w:divBdr>
    </w:div>
    <w:div w:id="1378437064">
      <w:bodyDiv w:val="1"/>
      <w:marLeft w:val="0"/>
      <w:marRight w:val="0"/>
      <w:marTop w:val="0"/>
      <w:marBottom w:val="0"/>
      <w:divBdr>
        <w:top w:val="none" w:sz="0" w:space="0" w:color="auto"/>
        <w:left w:val="none" w:sz="0" w:space="0" w:color="auto"/>
        <w:bottom w:val="none" w:sz="0" w:space="0" w:color="auto"/>
        <w:right w:val="none" w:sz="0" w:space="0" w:color="auto"/>
      </w:divBdr>
    </w:div>
    <w:div w:id="1420132085">
      <w:bodyDiv w:val="1"/>
      <w:marLeft w:val="0"/>
      <w:marRight w:val="0"/>
      <w:marTop w:val="0"/>
      <w:marBottom w:val="0"/>
      <w:divBdr>
        <w:top w:val="none" w:sz="0" w:space="0" w:color="auto"/>
        <w:left w:val="none" w:sz="0" w:space="0" w:color="auto"/>
        <w:bottom w:val="none" w:sz="0" w:space="0" w:color="auto"/>
        <w:right w:val="none" w:sz="0" w:space="0" w:color="auto"/>
      </w:divBdr>
    </w:div>
    <w:div w:id="1424376380">
      <w:bodyDiv w:val="1"/>
      <w:marLeft w:val="0"/>
      <w:marRight w:val="0"/>
      <w:marTop w:val="0"/>
      <w:marBottom w:val="0"/>
      <w:divBdr>
        <w:top w:val="none" w:sz="0" w:space="0" w:color="auto"/>
        <w:left w:val="none" w:sz="0" w:space="0" w:color="auto"/>
        <w:bottom w:val="none" w:sz="0" w:space="0" w:color="auto"/>
        <w:right w:val="none" w:sz="0" w:space="0" w:color="auto"/>
      </w:divBdr>
    </w:div>
    <w:div w:id="1495797075">
      <w:bodyDiv w:val="1"/>
      <w:marLeft w:val="0"/>
      <w:marRight w:val="0"/>
      <w:marTop w:val="0"/>
      <w:marBottom w:val="0"/>
      <w:divBdr>
        <w:top w:val="none" w:sz="0" w:space="0" w:color="auto"/>
        <w:left w:val="none" w:sz="0" w:space="0" w:color="auto"/>
        <w:bottom w:val="none" w:sz="0" w:space="0" w:color="auto"/>
        <w:right w:val="none" w:sz="0" w:space="0" w:color="auto"/>
      </w:divBdr>
    </w:div>
    <w:div w:id="1541867419">
      <w:bodyDiv w:val="1"/>
      <w:marLeft w:val="0"/>
      <w:marRight w:val="0"/>
      <w:marTop w:val="0"/>
      <w:marBottom w:val="0"/>
      <w:divBdr>
        <w:top w:val="none" w:sz="0" w:space="0" w:color="auto"/>
        <w:left w:val="none" w:sz="0" w:space="0" w:color="auto"/>
        <w:bottom w:val="none" w:sz="0" w:space="0" w:color="auto"/>
        <w:right w:val="none" w:sz="0" w:space="0" w:color="auto"/>
      </w:divBdr>
    </w:div>
    <w:div w:id="1550798459">
      <w:bodyDiv w:val="1"/>
      <w:marLeft w:val="0"/>
      <w:marRight w:val="0"/>
      <w:marTop w:val="0"/>
      <w:marBottom w:val="0"/>
      <w:divBdr>
        <w:top w:val="none" w:sz="0" w:space="0" w:color="auto"/>
        <w:left w:val="none" w:sz="0" w:space="0" w:color="auto"/>
        <w:bottom w:val="none" w:sz="0" w:space="0" w:color="auto"/>
        <w:right w:val="none" w:sz="0" w:space="0" w:color="auto"/>
      </w:divBdr>
    </w:div>
    <w:div w:id="1604414928">
      <w:bodyDiv w:val="1"/>
      <w:marLeft w:val="0"/>
      <w:marRight w:val="0"/>
      <w:marTop w:val="0"/>
      <w:marBottom w:val="0"/>
      <w:divBdr>
        <w:top w:val="none" w:sz="0" w:space="0" w:color="auto"/>
        <w:left w:val="none" w:sz="0" w:space="0" w:color="auto"/>
        <w:bottom w:val="none" w:sz="0" w:space="0" w:color="auto"/>
        <w:right w:val="none" w:sz="0" w:space="0" w:color="auto"/>
      </w:divBdr>
    </w:div>
    <w:div w:id="1726441466">
      <w:bodyDiv w:val="1"/>
      <w:marLeft w:val="0"/>
      <w:marRight w:val="0"/>
      <w:marTop w:val="0"/>
      <w:marBottom w:val="0"/>
      <w:divBdr>
        <w:top w:val="none" w:sz="0" w:space="0" w:color="auto"/>
        <w:left w:val="none" w:sz="0" w:space="0" w:color="auto"/>
        <w:bottom w:val="none" w:sz="0" w:space="0" w:color="auto"/>
        <w:right w:val="none" w:sz="0" w:space="0" w:color="auto"/>
      </w:divBdr>
    </w:div>
    <w:div w:id="1897155556">
      <w:bodyDiv w:val="1"/>
      <w:marLeft w:val="0"/>
      <w:marRight w:val="0"/>
      <w:marTop w:val="0"/>
      <w:marBottom w:val="0"/>
      <w:divBdr>
        <w:top w:val="none" w:sz="0" w:space="0" w:color="auto"/>
        <w:left w:val="none" w:sz="0" w:space="0" w:color="auto"/>
        <w:bottom w:val="none" w:sz="0" w:space="0" w:color="auto"/>
        <w:right w:val="none" w:sz="0" w:space="0" w:color="auto"/>
      </w:divBdr>
    </w:div>
    <w:div w:id="1971814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bin"/><Relationship Id="rId21" Type="http://schemas.openxmlformats.org/officeDocument/2006/relationships/image" Target="media/image11.emf"/><Relationship Id="rId42" Type="http://schemas.openxmlformats.org/officeDocument/2006/relationships/image" Target="media/image30.wmf"/><Relationship Id="rId47" Type="http://schemas.openxmlformats.org/officeDocument/2006/relationships/image" Target="media/image35.wmf"/><Relationship Id="rId63" Type="http://schemas.openxmlformats.org/officeDocument/2006/relationships/image" Target="media/image51.emf"/><Relationship Id="rId68" Type="http://schemas.openxmlformats.org/officeDocument/2006/relationships/image" Target="media/image56.emf"/><Relationship Id="rId16" Type="http://schemas.openxmlformats.org/officeDocument/2006/relationships/image" Target="media/image6.png"/><Relationship Id="rId11" Type="http://schemas.openxmlformats.org/officeDocument/2006/relationships/image" Target="media/image1.png"/><Relationship Id="rId24" Type="http://schemas.openxmlformats.org/officeDocument/2006/relationships/footer" Target="footer1.xml"/><Relationship Id="rId32" Type="http://schemas.openxmlformats.org/officeDocument/2006/relationships/image" Target="media/image20.wmf"/><Relationship Id="rId37" Type="http://schemas.openxmlformats.org/officeDocument/2006/relationships/image" Target="media/image25.png"/><Relationship Id="rId40" Type="http://schemas.openxmlformats.org/officeDocument/2006/relationships/image" Target="media/image28.wmf"/><Relationship Id="rId45" Type="http://schemas.openxmlformats.org/officeDocument/2006/relationships/image" Target="media/image33.wmf"/><Relationship Id="rId53" Type="http://schemas.openxmlformats.org/officeDocument/2006/relationships/image" Target="media/image41.wmf"/><Relationship Id="rId58" Type="http://schemas.openxmlformats.org/officeDocument/2006/relationships/image" Target="media/image46.wmf"/><Relationship Id="rId66" Type="http://schemas.openxmlformats.org/officeDocument/2006/relationships/image" Target="media/image54.emf"/><Relationship Id="rId74" Type="http://schemas.openxmlformats.org/officeDocument/2006/relationships/image" Target="media/image62.png"/><Relationship Id="rId5" Type="http://schemas.openxmlformats.org/officeDocument/2006/relationships/numbering" Target="numbering.xml"/><Relationship Id="rId61" Type="http://schemas.openxmlformats.org/officeDocument/2006/relationships/image" Target="media/image49.emf"/><Relationship Id="rId19" Type="http://schemas.openxmlformats.org/officeDocument/2006/relationships/image" Target="media/image9.emf"/><Relationship Id="rId14" Type="http://schemas.openxmlformats.org/officeDocument/2006/relationships/image" Target="media/image4.jpg"/><Relationship Id="rId22" Type="http://schemas.openxmlformats.org/officeDocument/2006/relationships/image" Target="media/image12.emf"/><Relationship Id="rId27" Type="http://schemas.openxmlformats.org/officeDocument/2006/relationships/image" Target="media/image15.emf"/><Relationship Id="rId30" Type="http://schemas.openxmlformats.org/officeDocument/2006/relationships/image" Target="media/image18.wmf"/><Relationship Id="rId35" Type="http://schemas.openxmlformats.org/officeDocument/2006/relationships/image" Target="media/image23.wmf"/><Relationship Id="rId43" Type="http://schemas.openxmlformats.org/officeDocument/2006/relationships/image" Target="media/image31.wmf"/><Relationship Id="rId48" Type="http://schemas.openxmlformats.org/officeDocument/2006/relationships/image" Target="media/image36.wmf"/><Relationship Id="rId56" Type="http://schemas.openxmlformats.org/officeDocument/2006/relationships/image" Target="media/image44.emf"/><Relationship Id="rId64" Type="http://schemas.openxmlformats.org/officeDocument/2006/relationships/image" Target="media/image52.emf"/><Relationship Id="rId69" Type="http://schemas.openxmlformats.org/officeDocument/2006/relationships/image" Target="media/image57.emf"/><Relationship Id="rId77"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39.wmf"/><Relationship Id="rId72" Type="http://schemas.openxmlformats.org/officeDocument/2006/relationships/image" Target="media/image60.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4.wmf"/><Relationship Id="rId33" Type="http://schemas.openxmlformats.org/officeDocument/2006/relationships/image" Target="media/image21.wmf"/><Relationship Id="rId38" Type="http://schemas.openxmlformats.org/officeDocument/2006/relationships/image" Target="media/image26.png"/><Relationship Id="rId46" Type="http://schemas.openxmlformats.org/officeDocument/2006/relationships/image" Target="media/image34.wmf"/><Relationship Id="rId59" Type="http://schemas.openxmlformats.org/officeDocument/2006/relationships/image" Target="media/image47.wmf"/><Relationship Id="rId67" Type="http://schemas.openxmlformats.org/officeDocument/2006/relationships/image" Target="media/image55.emf"/><Relationship Id="rId20" Type="http://schemas.openxmlformats.org/officeDocument/2006/relationships/image" Target="media/image10.emf"/><Relationship Id="rId41" Type="http://schemas.openxmlformats.org/officeDocument/2006/relationships/image" Target="media/image29.wmf"/><Relationship Id="rId54" Type="http://schemas.openxmlformats.org/officeDocument/2006/relationships/image" Target="media/image42.wmf"/><Relationship Id="rId62" Type="http://schemas.openxmlformats.org/officeDocument/2006/relationships/image" Target="media/image50.emf"/><Relationship Id="rId70" Type="http://schemas.openxmlformats.org/officeDocument/2006/relationships/image" Target="media/image58.png"/><Relationship Id="rId75" Type="http://schemas.openxmlformats.org/officeDocument/2006/relationships/image" Target="media/image63.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emf"/><Relationship Id="rId23" Type="http://schemas.openxmlformats.org/officeDocument/2006/relationships/image" Target="media/image13.emf"/><Relationship Id="rId28" Type="http://schemas.openxmlformats.org/officeDocument/2006/relationships/image" Target="media/image16.wmf"/><Relationship Id="rId36" Type="http://schemas.openxmlformats.org/officeDocument/2006/relationships/image" Target="media/image24.wmf"/><Relationship Id="rId49" Type="http://schemas.openxmlformats.org/officeDocument/2006/relationships/image" Target="media/image37.wmf"/><Relationship Id="rId57" Type="http://schemas.openxmlformats.org/officeDocument/2006/relationships/image" Target="media/image45.emf"/><Relationship Id="rId10" Type="http://schemas.openxmlformats.org/officeDocument/2006/relationships/endnotes" Target="endnotes.xml"/><Relationship Id="rId31" Type="http://schemas.openxmlformats.org/officeDocument/2006/relationships/image" Target="media/image19.wmf"/><Relationship Id="rId44" Type="http://schemas.openxmlformats.org/officeDocument/2006/relationships/image" Target="media/image32.wmf"/><Relationship Id="rId52" Type="http://schemas.openxmlformats.org/officeDocument/2006/relationships/image" Target="media/image40.wmf"/><Relationship Id="rId60" Type="http://schemas.openxmlformats.org/officeDocument/2006/relationships/image" Target="media/image48.emf"/><Relationship Id="rId65" Type="http://schemas.openxmlformats.org/officeDocument/2006/relationships/image" Target="media/image53.emf"/><Relationship Id="rId73" Type="http://schemas.openxmlformats.org/officeDocument/2006/relationships/image" Target="media/image61.png"/><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7.wmf"/><Relationship Id="rId34" Type="http://schemas.openxmlformats.org/officeDocument/2006/relationships/image" Target="media/image22.wmf"/><Relationship Id="rId50" Type="http://schemas.openxmlformats.org/officeDocument/2006/relationships/image" Target="media/image38.wmf"/><Relationship Id="rId55" Type="http://schemas.openxmlformats.org/officeDocument/2006/relationships/image" Target="media/image43.emf"/><Relationship Id="rId76" Type="http://schemas.openxmlformats.org/officeDocument/2006/relationships/footer" Target="footer2.xml"/><Relationship Id="rId7" Type="http://schemas.openxmlformats.org/officeDocument/2006/relationships/settings" Target="settings.xml"/><Relationship Id="rId71" Type="http://schemas.openxmlformats.org/officeDocument/2006/relationships/image" Target="media/image59.emf"/><Relationship Id="rId2" Type="http://schemas.openxmlformats.org/officeDocument/2006/relationships/customXml" Target="../customXml/item2.xml"/><Relationship Id="rId29" Type="http://schemas.openxmlformats.org/officeDocument/2006/relationships/image" Target="media/image17.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7E13F251F3D664980037DF6DCC9790E" ma:contentTypeVersion="1" ma:contentTypeDescription="Create a new document." ma:contentTypeScope="" ma:versionID="bb892be1defa178b3601a53aed200142">
  <xsd:schema xmlns:xsd="http://www.w3.org/2001/XMLSchema" xmlns:xs="http://www.w3.org/2001/XMLSchema" xmlns:p="http://schemas.microsoft.com/office/2006/metadata/properties" xmlns:ns1="http://schemas.microsoft.com/sharepoint/v3" targetNamespace="http://schemas.microsoft.com/office/2006/metadata/properties" ma:root="true" ma:fieldsID="48c5b5cd9b8d25ff6dd15848836f427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88051CA-64FB-46F4-A79C-C16EA46B6D50}">
  <ds:schemaRefs>
    <ds:schemaRef ds:uri="http://purl.org/dc/dcmitype/"/>
    <ds:schemaRef ds:uri="http://schemas.microsoft.com/sharepoint/v3"/>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 ds:uri="http://purl.org/dc/terms/"/>
    <ds:schemaRef ds:uri="http://purl.org/dc/elements/1.1/"/>
  </ds:schemaRefs>
</ds:datastoreItem>
</file>

<file path=customXml/itemProps2.xml><?xml version="1.0" encoding="utf-8"?>
<ds:datastoreItem xmlns:ds="http://schemas.openxmlformats.org/officeDocument/2006/customXml" ds:itemID="{E4EE0E7C-015E-4FFD-9C51-9AAB82058A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1D2E44-D1D3-40B5-ADBC-A52CE2929BE5}">
  <ds:schemaRefs>
    <ds:schemaRef ds:uri="http://schemas.microsoft.com/sharepoint/v3/contenttype/forms"/>
  </ds:schemaRefs>
</ds:datastoreItem>
</file>

<file path=customXml/itemProps4.xml><?xml version="1.0" encoding="utf-8"?>
<ds:datastoreItem xmlns:ds="http://schemas.openxmlformats.org/officeDocument/2006/customXml" ds:itemID="{F19A201E-5CEB-485B-A470-531B42538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67</Pages>
  <Words>17493</Words>
  <Characters>99714</Characters>
  <Application>Microsoft Office Word</Application>
  <DocSecurity>0</DocSecurity>
  <Lines>830</Lines>
  <Paragraphs>233</Paragraphs>
  <ScaleCrop>false</ScaleCrop>
  <HeadingPairs>
    <vt:vector size="10" baseType="variant">
      <vt:variant>
        <vt:lpstr>Title</vt:lpstr>
      </vt:variant>
      <vt:variant>
        <vt:i4>1</vt:i4>
      </vt:variant>
      <vt:variant>
        <vt:lpstr>Titel</vt:lpstr>
      </vt:variant>
      <vt:variant>
        <vt:i4>1</vt:i4>
      </vt:variant>
      <vt:variant>
        <vt:lpstr>Cím</vt:lpstr>
      </vt:variant>
      <vt:variant>
        <vt:i4>1</vt:i4>
      </vt:variant>
      <vt:variant>
        <vt:lpstr>Názov</vt:lpstr>
      </vt:variant>
      <vt:variant>
        <vt:i4>1</vt:i4>
      </vt:variant>
      <vt:variant>
        <vt:lpstr>Tytuł</vt:lpstr>
      </vt:variant>
      <vt:variant>
        <vt:i4>1</vt:i4>
      </vt:variant>
    </vt:vector>
  </HeadingPairs>
  <TitlesOfParts>
    <vt:vector size="5" baseType="lpstr">
      <vt:lpstr>DA SEC Explanatory Note</vt:lpstr>
      <vt:lpstr>180202 - DA SEC Explanatory Note</vt:lpstr>
      <vt:lpstr>180202 - DA SEC Explanatory Note </vt:lpstr>
      <vt:lpstr>180202 - DA SEC Explanatory Note </vt:lpstr>
      <vt:lpstr>Explanatory Notes:  Day-ahead and Intraday</vt:lpstr>
    </vt:vector>
  </TitlesOfParts>
  <Company>Elia</Company>
  <LinksUpToDate>false</LinksUpToDate>
  <CharactersWithSpaces>116974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 SEC Explanatory Note</dc:title>
  <dc:subject/>
  <dc:creator>Louise Anderson</dc:creator>
  <cp:keywords/>
  <dc:description/>
  <cp:lastModifiedBy>Olivier Aine</cp:lastModifiedBy>
  <cp:revision>2</cp:revision>
  <cp:lastPrinted>2018-02-26T15:22:00Z</cp:lastPrinted>
  <dcterms:created xsi:type="dcterms:W3CDTF">2018-02-26T15:23:00Z</dcterms:created>
  <dcterms:modified xsi:type="dcterms:W3CDTF">2018-02-26T15:23:00Z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0x01010007E13F251F3D664980037DF6DCC9790E</vt:lpwstr>
  </property>
  <property fmtid="{D5CDD505-2E9C-101B-9397-08002B2CF9AE}" pid="4" name="_NewReviewCycle">
    <vt:lpwstr/>
  </property>
  <property fmtid="{D5CDD505-2E9C-101B-9397-08002B2CF9AE}" pid="9" name="PublishingExpirationDate">
    <vt:lpwstr/>
  </property>
  <property fmtid="{D5CDD505-2E9C-101B-9397-08002B2CF9AE}" pid="10" name="PublishingStartDate">
    <vt:lpwstr/>
  </property>
</Properties>
</file>