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6A0" w:firstRow="1" w:lastRow="0" w:firstColumn="1" w:lastColumn="0" w:noHBand="1" w:noVBand="1"/>
      </w:tblPr>
      <w:tblGrid>
        <w:gridCol w:w="9524"/>
      </w:tblGrid>
      <w:tr w:rsidR="00C46743" w:rsidRPr="004034CF" w14:paraId="1F127D15" w14:textId="77777777" w:rsidTr="007144CC">
        <w:tc>
          <w:tcPr>
            <w:tcW w:w="9524" w:type="dxa"/>
            <w:tcMar>
              <w:top w:w="198" w:type="dxa"/>
            </w:tcMar>
          </w:tcPr>
          <w:p w14:paraId="400E90BD" w14:textId="634D4E26" w:rsidR="00696EBB" w:rsidRPr="004034CF" w:rsidRDefault="002B3310" w:rsidP="001B2C21">
            <w:pPr>
              <w:pStyle w:val="headlineheader"/>
              <w:spacing w:before="100" w:beforeAutospacing="1" w:after="100" w:afterAutospacing="1" w:line="276" w:lineRule="auto"/>
              <w:jc w:val="center"/>
              <w:rPr>
                <w:rFonts w:asciiTheme="minorHAnsi" w:hAnsiTheme="minorHAnsi" w:cstheme="minorHAnsi"/>
                <w:color w:val="000000" w:themeColor="text1"/>
                <w:sz w:val="36"/>
                <w:szCs w:val="36"/>
              </w:rPr>
            </w:pPr>
            <w:sdt>
              <w:sdtPr>
                <w:rPr>
                  <w:rFonts w:cstheme="minorHAnsi"/>
                  <w:color w:val="000000" w:themeColor="text1"/>
                  <w:sz w:val="36"/>
                  <w:szCs w:val="36"/>
                </w:rPr>
                <w:alias w:val="Titel"/>
                <w:tag w:val="Titel"/>
                <w:id w:val="32412703"/>
                <w:placeholder>
                  <w:docPart w:val="DD2177B848EC4D8DAAF49E065A155815"/>
                </w:placeholder>
                <w:dataBinding w:prefixMappings="xmlns:ns0='http://purl.org/dc/elements/1.1/' xmlns:ns1='http://schemas.openxmlformats.org/package/2006/metadata/core-properties' " w:xpath="/ns1:coreProperties[1]/ns0:title[1]" w:storeItemID="{6C3C8BC8-F283-45AE-878A-BAB7291924A1}"/>
                <w:text w:multiLine="1"/>
              </w:sdtPr>
              <w:sdtEndPr/>
              <w:sdtContent>
                <w:proofErr w:type="spellStart"/>
                <w:r w:rsidR="00E4279A" w:rsidRPr="00E4279A">
                  <w:rPr>
                    <w:rFonts w:cstheme="minorHAnsi"/>
                    <w:color w:val="000000" w:themeColor="text1"/>
                    <w:sz w:val="36"/>
                    <w:szCs w:val="36"/>
                  </w:rPr>
                  <w:t>Propunerea</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tuturor</w:t>
                </w:r>
                <w:proofErr w:type="spellEnd"/>
                <w:r w:rsidR="00E4279A" w:rsidRPr="00E4279A">
                  <w:rPr>
                    <w:rFonts w:cstheme="minorHAnsi"/>
                    <w:color w:val="000000" w:themeColor="text1"/>
                    <w:sz w:val="36"/>
                    <w:szCs w:val="36"/>
                  </w:rPr>
                  <w:t xml:space="preserve"> OTS-</w:t>
                </w:r>
                <w:proofErr w:type="spellStart"/>
                <w:r w:rsidR="00E4279A" w:rsidRPr="00E4279A">
                  <w:rPr>
                    <w:rFonts w:cstheme="minorHAnsi"/>
                    <w:color w:val="000000" w:themeColor="text1"/>
                    <w:sz w:val="36"/>
                    <w:szCs w:val="36"/>
                  </w:rPr>
                  <w:t>urilor</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privind</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Metodologia</w:t>
                </w:r>
                <w:proofErr w:type="spellEnd"/>
                <w:r w:rsidR="00E4279A" w:rsidRPr="00E4279A">
                  <w:rPr>
                    <w:rFonts w:cstheme="minorHAnsi"/>
                    <w:color w:val="000000" w:themeColor="text1"/>
                    <w:sz w:val="36"/>
                    <w:szCs w:val="36"/>
                  </w:rPr>
                  <w:t xml:space="preserve"> de </w:t>
                </w:r>
                <w:proofErr w:type="spellStart"/>
                <w:r w:rsidR="00E4279A" w:rsidRPr="00E4279A">
                  <w:rPr>
                    <w:rFonts w:cstheme="minorHAnsi"/>
                    <w:color w:val="000000" w:themeColor="text1"/>
                    <w:sz w:val="36"/>
                    <w:szCs w:val="36"/>
                  </w:rPr>
                  <w:t>Calcul</w:t>
                </w:r>
                <w:proofErr w:type="spellEnd"/>
                <w:r w:rsidR="00E4279A" w:rsidRPr="00E4279A">
                  <w:rPr>
                    <w:rFonts w:cstheme="minorHAnsi"/>
                    <w:color w:val="000000" w:themeColor="text1"/>
                    <w:sz w:val="36"/>
                    <w:szCs w:val="36"/>
                  </w:rPr>
                  <w:t xml:space="preserve"> al </w:t>
                </w:r>
                <w:proofErr w:type="spellStart"/>
                <w:r w:rsidR="00E4279A" w:rsidRPr="00E4279A">
                  <w:rPr>
                    <w:rFonts w:cstheme="minorHAnsi"/>
                    <w:color w:val="000000" w:themeColor="text1"/>
                    <w:sz w:val="36"/>
                    <w:szCs w:val="36"/>
                  </w:rPr>
                  <w:t>Schimburilor</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Planificate</w:t>
                </w:r>
                <w:proofErr w:type="spellEnd"/>
                <w:r w:rsidR="00E4279A" w:rsidRPr="00E4279A">
                  <w:rPr>
                    <w:rFonts w:cstheme="minorHAnsi"/>
                    <w:color w:val="000000" w:themeColor="text1"/>
                    <w:sz w:val="36"/>
                    <w:szCs w:val="36"/>
                  </w:rPr>
                  <w:t xml:space="preserve"> care </w:t>
                </w:r>
                <w:proofErr w:type="spellStart"/>
                <w:r w:rsidR="00E4279A" w:rsidRPr="00E4279A">
                  <w:rPr>
                    <w:rFonts w:cstheme="minorHAnsi"/>
                    <w:color w:val="000000" w:themeColor="text1"/>
                    <w:sz w:val="36"/>
                    <w:szCs w:val="36"/>
                  </w:rPr>
                  <w:t>rezultă</w:t>
                </w:r>
                <w:proofErr w:type="spellEnd"/>
                <w:r w:rsidR="00E4279A" w:rsidRPr="00E4279A">
                  <w:rPr>
                    <w:rFonts w:cstheme="minorHAnsi"/>
                    <w:color w:val="000000" w:themeColor="text1"/>
                    <w:sz w:val="36"/>
                    <w:szCs w:val="36"/>
                  </w:rPr>
                  <w:t xml:space="preserve"> din </w:t>
                </w:r>
                <w:proofErr w:type="spellStart"/>
                <w:r w:rsidR="00E4279A" w:rsidRPr="00E4279A">
                  <w:rPr>
                    <w:rFonts w:cstheme="minorHAnsi"/>
                    <w:color w:val="000000" w:themeColor="text1"/>
                    <w:sz w:val="36"/>
                    <w:szCs w:val="36"/>
                  </w:rPr>
                  <w:t>cuplarea</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unică</w:t>
                </w:r>
                <w:proofErr w:type="spellEnd"/>
                <w:r w:rsidR="00E4279A" w:rsidRPr="00E4279A">
                  <w:rPr>
                    <w:rFonts w:cstheme="minorHAnsi"/>
                    <w:color w:val="000000" w:themeColor="text1"/>
                    <w:sz w:val="36"/>
                    <w:szCs w:val="36"/>
                  </w:rPr>
                  <w:t xml:space="preserve"> a </w:t>
                </w:r>
                <w:proofErr w:type="spellStart"/>
                <w:r w:rsidR="00E4279A" w:rsidRPr="00E4279A">
                  <w:rPr>
                    <w:rFonts w:cstheme="minorHAnsi"/>
                    <w:color w:val="000000" w:themeColor="text1"/>
                    <w:sz w:val="36"/>
                    <w:szCs w:val="36"/>
                  </w:rPr>
                  <w:t>piețelor</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pentru</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ziua</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următoare</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în</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conformitate</w:t>
                </w:r>
                <w:proofErr w:type="spellEnd"/>
                <w:r w:rsidR="00E4279A" w:rsidRPr="00E4279A">
                  <w:rPr>
                    <w:rFonts w:cstheme="minorHAnsi"/>
                    <w:color w:val="000000" w:themeColor="text1"/>
                    <w:sz w:val="36"/>
                    <w:szCs w:val="36"/>
                  </w:rPr>
                  <w:t xml:space="preserve"> cu </w:t>
                </w:r>
                <w:proofErr w:type="spellStart"/>
                <w:r w:rsidR="00E4279A" w:rsidRPr="00E4279A">
                  <w:rPr>
                    <w:rFonts w:cstheme="minorHAnsi"/>
                    <w:color w:val="000000" w:themeColor="text1"/>
                    <w:sz w:val="36"/>
                    <w:szCs w:val="36"/>
                  </w:rPr>
                  <w:t>articolul</w:t>
                </w:r>
                <w:proofErr w:type="spellEnd"/>
                <w:r w:rsidR="00E4279A" w:rsidRPr="00E4279A">
                  <w:rPr>
                    <w:rFonts w:cstheme="minorHAnsi"/>
                    <w:color w:val="000000" w:themeColor="text1"/>
                    <w:sz w:val="36"/>
                    <w:szCs w:val="36"/>
                  </w:rPr>
                  <w:t xml:space="preserve"> 43 din </w:t>
                </w:r>
                <w:proofErr w:type="spellStart"/>
                <w:r w:rsidR="00E4279A" w:rsidRPr="00E4279A">
                  <w:rPr>
                    <w:rFonts w:cstheme="minorHAnsi"/>
                    <w:color w:val="000000" w:themeColor="text1"/>
                    <w:sz w:val="36"/>
                    <w:szCs w:val="36"/>
                  </w:rPr>
                  <w:t>Regulamentul</w:t>
                </w:r>
                <w:proofErr w:type="spellEnd"/>
                <w:r w:rsidR="00E4279A" w:rsidRPr="00E4279A">
                  <w:rPr>
                    <w:rFonts w:cstheme="minorHAnsi"/>
                    <w:color w:val="000000" w:themeColor="text1"/>
                    <w:sz w:val="36"/>
                    <w:szCs w:val="36"/>
                  </w:rPr>
                  <w:t xml:space="preserve"> (UE) 2015/1222 al </w:t>
                </w:r>
                <w:proofErr w:type="spellStart"/>
                <w:r w:rsidR="00E4279A" w:rsidRPr="00E4279A">
                  <w:rPr>
                    <w:rFonts w:cstheme="minorHAnsi"/>
                    <w:color w:val="000000" w:themeColor="text1"/>
                    <w:sz w:val="36"/>
                    <w:szCs w:val="36"/>
                  </w:rPr>
                  <w:t>Comisiei</w:t>
                </w:r>
                <w:proofErr w:type="spellEnd"/>
                <w:r w:rsidR="00E4279A" w:rsidRPr="00E4279A">
                  <w:rPr>
                    <w:rFonts w:cstheme="minorHAnsi"/>
                    <w:color w:val="000000" w:themeColor="text1"/>
                    <w:sz w:val="36"/>
                    <w:szCs w:val="36"/>
                  </w:rPr>
                  <w:t xml:space="preserve"> din 24 </w:t>
                </w:r>
                <w:proofErr w:type="spellStart"/>
                <w:r w:rsidR="00E4279A" w:rsidRPr="00E4279A">
                  <w:rPr>
                    <w:rFonts w:cstheme="minorHAnsi"/>
                    <w:color w:val="000000" w:themeColor="text1"/>
                    <w:sz w:val="36"/>
                    <w:szCs w:val="36"/>
                  </w:rPr>
                  <w:t>iulie</w:t>
                </w:r>
                <w:proofErr w:type="spellEnd"/>
                <w:r w:rsidR="00E4279A" w:rsidRPr="00E4279A">
                  <w:rPr>
                    <w:rFonts w:cstheme="minorHAnsi"/>
                    <w:color w:val="000000" w:themeColor="text1"/>
                    <w:sz w:val="36"/>
                    <w:szCs w:val="36"/>
                  </w:rPr>
                  <w:t xml:space="preserve"> 2015 de </w:t>
                </w:r>
                <w:proofErr w:type="spellStart"/>
                <w:r w:rsidR="00E4279A" w:rsidRPr="00E4279A">
                  <w:rPr>
                    <w:rFonts w:cstheme="minorHAnsi"/>
                    <w:color w:val="000000" w:themeColor="text1"/>
                    <w:sz w:val="36"/>
                    <w:szCs w:val="36"/>
                  </w:rPr>
                  <w:t>stabilire</w:t>
                </w:r>
                <w:proofErr w:type="spellEnd"/>
                <w:r w:rsidR="00E4279A" w:rsidRPr="00E4279A">
                  <w:rPr>
                    <w:rFonts w:cstheme="minorHAnsi"/>
                    <w:color w:val="000000" w:themeColor="text1"/>
                    <w:sz w:val="36"/>
                    <w:szCs w:val="36"/>
                  </w:rPr>
                  <w:t xml:space="preserve"> a </w:t>
                </w:r>
                <w:proofErr w:type="spellStart"/>
                <w:r w:rsidR="00E4279A" w:rsidRPr="00E4279A">
                  <w:rPr>
                    <w:rFonts w:cstheme="minorHAnsi"/>
                    <w:color w:val="000000" w:themeColor="text1"/>
                    <w:sz w:val="36"/>
                    <w:szCs w:val="36"/>
                  </w:rPr>
                  <w:t>unor</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linii</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directoare</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privind</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alocarea</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capacităților</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și</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gestionarea</w:t>
                </w:r>
                <w:proofErr w:type="spellEnd"/>
                <w:r w:rsidR="00E4279A" w:rsidRPr="00E4279A">
                  <w:rPr>
                    <w:rFonts w:cstheme="minorHAnsi"/>
                    <w:color w:val="000000" w:themeColor="text1"/>
                    <w:sz w:val="36"/>
                    <w:szCs w:val="36"/>
                  </w:rPr>
                  <w:t xml:space="preserve"> </w:t>
                </w:r>
                <w:proofErr w:type="spellStart"/>
                <w:r w:rsidR="00E4279A" w:rsidRPr="00E4279A">
                  <w:rPr>
                    <w:rFonts w:cstheme="minorHAnsi"/>
                    <w:color w:val="000000" w:themeColor="text1"/>
                    <w:sz w:val="36"/>
                    <w:szCs w:val="36"/>
                  </w:rPr>
                  <w:t>congestiilor</w:t>
                </w:r>
                <w:proofErr w:type="spellEnd"/>
              </w:sdtContent>
            </w:sdt>
          </w:p>
        </w:tc>
      </w:tr>
      <w:tr w:rsidR="00C46743" w:rsidRPr="004034CF" w14:paraId="18461DF3" w14:textId="77777777" w:rsidTr="007144CC">
        <w:tc>
          <w:tcPr>
            <w:tcW w:w="9524" w:type="dxa"/>
            <w:tcMar>
              <w:top w:w="198" w:type="dxa"/>
            </w:tcMar>
          </w:tcPr>
          <w:p w14:paraId="23553E5C" w14:textId="77777777" w:rsidR="00BF6165" w:rsidRPr="004034CF" w:rsidRDefault="00BF6165" w:rsidP="00E210F0">
            <w:pPr>
              <w:pStyle w:val="headlineheader"/>
              <w:spacing w:before="100" w:beforeAutospacing="1" w:after="100" w:afterAutospacing="1" w:line="276" w:lineRule="auto"/>
              <w:jc w:val="center"/>
              <w:rPr>
                <w:rFonts w:asciiTheme="minorHAnsi" w:hAnsiTheme="minorHAnsi" w:cstheme="minorHAnsi"/>
                <w:color w:val="000000" w:themeColor="text1"/>
                <w:sz w:val="40"/>
                <w:szCs w:val="40"/>
              </w:rPr>
            </w:pPr>
          </w:p>
        </w:tc>
      </w:tr>
      <w:tr w:rsidR="00C46743" w:rsidRPr="004034CF" w14:paraId="53FE134A" w14:textId="77777777" w:rsidTr="007144CC">
        <w:trPr>
          <w:trHeight w:val="693"/>
        </w:trPr>
        <w:tc>
          <w:tcPr>
            <w:tcW w:w="9524" w:type="dxa"/>
            <w:tcMar>
              <w:bottom w:w="142" w:type="dxa"/>
            </w:tcMar>
          </w:tcPr>
          <w:p w14:paraId="54F7B48A" w14:textId="77777777" w:rsidR="00CA0C0C" w:rsidRPr="004034CF" w:rsidRDefault="00CA0C0C"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rPr>
            </w:pPr>
          </w:p>
          <w:p w14:paraId="3DD5F3FD" w14:textId="637A04FA" w:rsidR="00696EBB" w:rsidRPr="004034CF" w:rsidRDefault="00DC537C" w:rsidP="00E210F0">
            <w:pPr>
              <w:pStyle w:val="time"/>
              <w:framePr w:hSpace="0" w:vSpace="0" w:wrap="auto" w:vAnchor="margin" w:hAnchor="text" w:xAlign="left" w:yAlign="inline"/>
              <w:spacing w:before="100" w:beforeAutospacing="1" w:after="100" w:afterAutospacing="1" w:line="276" w:lineRule="auto"/>
              <w:rPr>
                <w:rFonts w:asciiTheme="minorHAnsi" w:hAnsiTheme="minorHAnsi" w:cstheme="minorHAnsi"/>
                <w:color w:val="000000" w:themeColor="text1"/>
              </w:rPr>
            </w:pPr>
            <w:r>
              <w:rPr>
                <w:rFonts w:cstheme="minorHAnsi"/>
                <w:color w:val="000000" w:themeColor="text1"/>
                <w:lang w:val="ro"/>
              </w:rPr>
              <w:t>21.02.2018</w:t>
            </w:r>
          </w:p>
        </w:tc>
      </w:tr>
    </w:tbl>
    <w:p w14:paraId="5536EAAD" w14:textId="77777777" w:rsidR="00C107CE" w:rsidRPr="004034CF" w:rsidRDefault="00C107CE" w:rsidP="00E210F0">
      <w:pPr>
        <w:spacing w:before="100" w:beforeAutospacing="1" w:after="100" w:afterAutospacing="1" w:line="276" w:lineRule="auto"/>
        <w:rPr>
          <w:rFonts w:cstheme="minorHAnsi"/>
          <w:color w:val="000000" w:themeColor="text1"/>
        </w:rPr>
      </w:pPr>
    </w:p>
    <w:p w14:paraId="36D5E529" w14:textId="77777777" w:rsidR="00C17E9C" w:rsidRPr="004034CF" w:rsidRDefault="00C17E9C" w:rsidP="00E210F0">
      <w:pPr>
        <w:spacing w:before="100" w:beforeAutospacing="1" w:after="100" w:afterAutospacing="1" w:line="276" w:lineRule="auto"/>
        <w:rPr>
          <w:rFonts w:cstheme="minorHAnsi"/>
          <w:color w:val="000000" w:themeColor="text1"/>
        </w:rPr>
      </w:pPr>
    </w:p>
    <w:p w14:paraId="46C52877" w14:textId="77777777" w:rsidR="005F1580" w:rsidRPr="004034CF" w:rsidRDefault="005F1580" w:rsidP="002112A6">
      <w:pPr>
        <w:spacing w:before="100" w:beforeAutospacing="1" w:after="100" w:afterAutospacing="1" w:line="276" w:lineRule="auto"/>
        <w:rPr>
          <w:rFonts w:cstheme="minorHAnsi"/>
          <w:color w:val="000000" w:themeColor="text1"/>
        </w:rPr>
      </w:pPr>
    </w:p>
    <w:p w14:paraId="14AE3D84" w14:textId="77777777" w:rsidR="005F1580" w:rsidRPr="004034CF" w:rsidRDefault="005F1580" w:rsidP="002112A6">
      <w:pPr>
        <w:spacing w:before="100" w:beforeAutospacing="1" w:after="100" w:afterAutospacing="1" w:line="276" w:lineRule="auto"/>
        <w:rPr>
          <w:rFonts w:cstheme="minorHAnsi"/>
          <w:color w:val="000000" w:themeColor="text1"/>
        </w:rPr>
      </w:pPr>
    </w:p>
    <w:p w14:paraId="7B7AB416" w14:textId="77777777" w:rsidR="005F1580" w:rsidRPr="004034CF" w:rsidRDefault="005F1580" w:rsidP="002112A6">
      <w:pPr>
        <w:spacing w:before="100" w:beforeAutospacing="1" w:after="100" w:afterAutospacing="1" w:line="276" w:lineRule="auto"/>
        <w:rPr>
          <w:rFonts w:cstheme="minorHAnsi"/>
          <w:color w:val="000000" w:themeColor="text1"/>
        </w:rPr>
      </w:pPr>
    </w:p>
    <w:p w14:paraId="2D5BA69B" w14:textId="77777777" w:rsidR="005F1580" w:rsidRPr="004034CF" w:rsidRDefault="005F1580" w:rsidP="002112A6">
      <w:pPr>
        <w:spacing w:before="100" w:beforeAutospacing="1" w:after="100" w:afterAutospacing="1" w:line="276" w:lineRule="auto"/>
        <w:rPr>
          <w:rFonts w:cstheme="minorHAnsi"/>
          <w:color w:val="000000" w:themeColor="text1"/>
        </w:rPr>
      </w:pPr>
    </w:p>
    <w:p w14:paraId="30135077" w14:textId="77777777" w:rsidR="005F1580" w:rsidRPr="004034CF" w:rsidRDefault="005F1580" w:rsidP="002112A6">
      <w:pPr>
        <w:spacing w:before="100" w:beforeAutospacing="1" w:after="100" w:afterAutospacing="1" w:line="276" w:lineRule="auto"/>
        <w:rPr>
          <w:rFonts w:cstheme="minorHAnsi"/>
          <w:b/>
          <w:color w:val="000000" w:themeColor="text1"/>
        </w:rPr>
      </w:pPr>
    </w:p>
    <w:p w14:paraId="7002BBFF" w14:textId="77777777" w:rsidR="004B6993" w:rsidRPr="004034CF" w:rsidRDefault="004B6993" w:rsidP="00E210F0">
      <w:pPr>
        <w:spacing w:before="100" w:beforeAutospacing="1" w:after="100" w:afterAutospacing="1" w:line="276" w:lineRule="auto"/>
        <w:rPr>
          <w:rFonts w:cstheme="minorHAnsi"/>
          <w:color w:val="000000" w:themeColor="text1"/>
        </w:rPr>
      </w:pPr>
    </w:p>
    <w:p w14:paraId="33F30C84" w14:textId="77777777" w:rsidR="004B6993" w:rsidRPr="004034CF" w:rsidRDefault="004B6993" w:rsidP="00E210F0">
      <w:pPr>
        <w:pStyle w:val="textregular"/>
        <w:spacing w:before="100" w:beforeAutospacing="1" w:after="100" w:afterAutospacing="1" w:line="276" w:lineRule="auto"/>
        <w:rPr>
          <w:rFonts w:cstheme="minorHAnsi"/>
          <w:color w:val="000000" w:themeColor="text1"/>
        </w:rPr>
      </w:pPr>
    </w:p>
    <w:sdt>
      <w:sdtPr>
        <w:rPr>
          <w:rFonts w:asciiTheme="minorHAnsi" w:eastAsiaTheme="minorHAnsi" w:hAnsiTheme="minorHAnsi" w:cstheme="minorHAnsi"/>
          <w:b w:val="0"/>
          <w:bCs w:val="0"/>
          <w:color w:val="auto"/>
          <w:sz w:val="22"/>
          <w:szCs w:val="22"/>
        </w:rPr>
        <w:id w:val="907816748"/>
        <w:docPartObj>
          <w:docPartGallery w:val="Table of Contents"/>
          <w:docPartUnique/>
        </w:docPartObj>
      </w:sdtPr>
      <w:sdtEndPr>
        <w:rPr>
          <w:rFonts w:ascii="Calibri" w:hAnsi="Calibri" w:cs="Times New Roman"/>
        </w:rPr>
      </w:sdtEndPr>
      <w:sdtContent>
        <w:p w14:paraId="0E33E691" w14:textId="77777777" w:rsidR="00730769" w:rsidRPr="004034CF" w:rsidRDefault="00730769">
          <w:pPr>
            <w:pStyle w:val="TOCHeading"/>
            <w:rPr>
              <w:rFonts w:asciiTheme="minorHAnsi" w:hAnsiTheme="minorHAnsi" w:cstheme="minorHAnsi"/>
            </w:rPr>
          </w:pPr>
          <w:r>
            <w:rPr>
              <w:rFonts w:asciiTheme="minorHAnsi" w:hAnsiTheme="minorHAnsi" w:cstheme="minorHAnsi"/>
              <w:lang w:val="ro"/>
            </w:rPr>
            <w:t>Cuprins</w:t>
          </w:r>
        </w:p>
        <w:p w14:paraId="41487FE5" w14:textId="72898476" w:rsidR="00E4279A" w:rsidRDefault="00730769">
          <w:pPr>
            <w:pStyle w:val="TOC1"/>
            <w:rPr>
              <w:rFonts w:asciiTheme="minorHAnsi" w:eastAsiaTheme="minorEastAsia" w:hAnsiTheme="minorHAnsi"/>
              <w:noProof/>
              <w:lang w:val="en-US"/>
            </w:rPr>
          </w:pPr>
          <w:r>
            <w:rPr>
              <w:rFonts w:ascii="Calibri" w:hAnsi="Calibri" w:cs="Times New Roman"/>
              <w:lang w:val="ro"/>
            </w:rPr>
            <w:fldChar w:fldCharType="begin"/>
          </w:r>
          <w:r>
            <w:rPr>
              <w:rFonts w:ascii="Calibri" w:hAnsi="Calibri" w:cs="Times New Roman"/>
            </w:rPr>
            <w:instrText xml:space="preserve"> TOC \o "1-3" \h \z \u </w:instrText>
          </w:r>
          <w:r>
            <w:rPr>
              <w:rFonts w:ascii="Calibri" w:hAnsi="Calibri" w:cs="Times New Roman"/>
            </w:rPr>
            <w:fldChar w:fldCharType="separate"/>
          </w:r>
          <w:hyperlink w:anchor="_Toc508618099" w:history="1">
            <w:r w:rsidR="00E4279A" w:rsidRPr="00EB68B0">
              <w:rPr>
                <w:rStyle w:val="Hyperlink"/>
                <w:rFonts w:cstheme="minorHAnsi"/>
                <w:bCs/>
                <w:noProof/>
                <w:lang w:val="ro"/>
              </w:rPr>
              <w:t>Preambul</w:t>
            </w:r>
            <w:r w:rsidR="00E4279A">
              <w:rPr>
                <w:noProof/>
                <w:webHidden/>
              </w:rPr>
              <w:tab/>
            </w:r>
            <w:r w:rsidR="00E4279A">
              <w:rPr>
                <w:noProof/>
                <w:webHidden/>
              </w:rPr>
              <w:fldChar w:fldCharType="begin"/>
            </w:r>
            <w:r w:rsidR="00E4279A">
              <w:rPr>
                <w:noProof/>
                <w:webHidden/>
              </w:rPr>
              <w:instrText xml:space="preserve"> PAGEREF _Toc508618099 \h </w:instrText>
            </w:r>
            <w:r w:rsidR="00E4279A">
              <w:rPr>
                <w:noProof/>
                <w:webHidden/>
              </w:rPr>
            </w:r>
            <w:r w:rsidR="00E4279A">
              <w:rPr>
                <w:noProof/>
                <w:webHidden/>
              </w:rPr>
              <w:fldChar w:fldCharType="separate"/>
            </w:r>
            <w:r w:rsidR="002B3310">
              <w:rPr>
                <w:noProof/>
                <w:webHidden/>
              </w:rPr>
              <w:t>3</w:t>
            </w:r>
            <w:r w:rsidR="00E4279A">
              <w:rPr>
                <w:noProof/>
                <w:webHidden/>
              </w:rPr>
              <w:fldChar w:fldCharType="end"/>
            </w:r>
          </w:hyperlink>
        </w:p>
        <w:p w14:paraId="155F463E" w14:textId="01D86DCA" w:rsidR="00E4279A" w:rsidRDefault="002B3310">
          <w:pPr>
            <w:pStyle w:val="TOC1"/>
            <w:rPr>
              <w:rFonts w:asciiTheme="minorHAnsi" w:eastAsiaTheme="minorEastAsia" w:hAnsiTheme="minorHAnsi"/>
              <w:noProof/>
              <w:lang w:val="en-US"/>
            </w:rPr>
          </w:pPr>
          <w:hyperlink w:anchor="_Toc508618100" w:history="1">
            <w:r w:rsidR="00E4279A" w:rsidRPr="00EB68B0">
              <w:rPr>
                <w:rStyle w:val="Hyperlink"/>
                <w:rFonts w:cstheme="minorHAnsi"/>
                <w:bCs/>
                <w:noProof/>
                <w:lang w:val="ro"/>
              </w:rPr>
              <w:t>Articolul 1 - Obiect și domeniu de aplicare</w:t>
            </w:r>
            <w:r w:rsidR="00E4279A">
              <w:rPr>
                <w:noProof/>
                <w:webHidden/>
              </w:rPr>
              <w:tab/>
            </w:r>
            <w:r w:rsidR="00E4279A">
              <w:rPr>
                <w:noProof/>
                <w:webHidden/>
              </w:rPr>
              <w:fldChar w:fldCharType="begin"/>
            </w:r>
            <w:r w:rsidR="00E4279A">
              <w:rPr>
                <w:noProof/>
                <w:webHidden/>
              </w:rPr>
              <w:instrText xml:space="preserve"> PAGEREF _Toc508618100 \h </w:instrText>
            </w:r>
            <w:r w:rsidR="00E4279A">
              <w:rPr>
                <w:noProof/>
                <w:webHidden/>
              </w:rPr>
            </w:r>
            <w:r w:rsidR="00E4279A">
              <w:rPr>
                <w:noProof/>
                <w:webHidden/>
              </w:rPr>
              <w:fldChar w:fldCharType="separate"/>
            </w:r>
            <w:r>
              <w:rPr>
                <w:noProof/>
                <w:webHidden/>
              </w:rPr>
              <w:t>5</w:t>
            </w:r>
            <w:r w:rsidR="00E4279A">
              <w:rPr>
                <w:noProof/>
                <w:webHidden/>
              </w:rPr>
              <w:fldChar w:fldCharType="end"/>
            </w:r>
          </w:hyperlink>
        </w:p>
        <w:p w14:paraId="03166808" w14:textId="1D032A9B" w:rsidR="00E4279A" w:rsidRDefault="002B3310">
          <w:pPr>
            <w:pStyle w:val="TOC1"/>
            <w:rPr>
              <w:rFonts w:asciiTheme="minorHAnsi" w:eastAsiaTheme="minorEastAsia" w:hAnsiTheme="minorHAnsi"/>
              <w:noProof/>
              <w:lang w:val="en-US"/>
            </w:rPr>
          </w:pPr>
          <w:hyperlink w:anchor="_Toc508618101" w:history="1">
            <w:r w:rsidR="00E4279A" w:rsidRPr="00EB68B0">
              <w:rPr>
                <w:rStyle w:val="Hyperlink"/>
                <w:rFonts w:cstheme="minorHAnsi"/>
                <w:bCs/>
                <w:noProof/>
                <w:lang w:val="ro"/>
              </w:rPr>
              <w:t>Articolul 2 - Definiții și interpretări</w:t>
            </w:r>
            <w:r w:rsidR="00E4279A">
              <w:rPr>
                <w:noProof/>
                <w:webHidden/>
              </w:rPr>
              <w:tab/>
            </w:r>
            <w:r w:rsidR="00E4279A">
              <w:rPr>
                <w:noProof/>
                <w:webHidden/>
              </w:rPr>
              <w:fldChar w:fldCharType="begin"/>
            </w:r>
            <w:r w:rsidR="00E4279A">
              <w:rPr>
                <w:noProof/>
                <w:webHidden/>
              </w:rPr>
              <w:instrText xml:space="preserve"> PAGEREF _Toc508618101 \h </w:instrText>
            </w:r>
            <w:r w:rsidR="00E4279A">
              <w:rPr>
                <w:noProof/>
                <w:webHidden/>
              </w:rPr>
            </w:r>
            <w:r w:rsidR="00E4279A">
              <w:rPr>
                <w:noProof/>
                <w:webHidden/>
              </w:rPr>
              <w:fldChar w:fldCharType="separate"/>
            </w:r>
            <w:r>
              <w:rPr>
                <w:noProof/>
                <w:webHidden/>
              </w:rPr>
              <w:t>6</w:t>
            </w:r>
            <w:r w:rsidR="00E4279A">
              <w:rPr>
                <w:noProof/>
                <w:webHidden/>
              </w:rPr>
              <w:fldChar w:fldCharType="end"/>
            </w:r>
          </w:hyperlink>
        </w:p>
        <w:p w14:paraId="0DA1B488" w14:textId="63F28DE3" w:rsidR="00E4279A" w:rsidRDefault="002B3310">
          <w:pPr>
            <w:pStyle w:val="TOC1"/>
            <w:rPr>
              <w:rFonts w:asciiTheme="minorHAnsi" w:eastAsiaTheme="minorEastAsia" w:hAnsiTheme="minorHAnsi"/>
              <w:noProof/>
              <w:lang w:val="en-US"/>
            </w:rPr>
          </w:pPr>
          <w:hyperlink w:anchor="_Toc508618102" w:history="1">
            <w:r w:rsidR="00E4279A" w:rsidRPr="00EB68B0">
              <w:rPr>
                <w:rStyle w:val="Hyperlink"/>
                <w:rFonts w:cstheme="minorHAnsi"/>
                <w:bCs/>
                <w:noProof/>
                <w:lang w:val="ro"/>
              </w:rPr>
              <w:t>Articolul 3 - Lista cu Informațiile Solicitate de la toate OPEED-urile</w:t>
            </w:r>
            <w:r w:rsidR="00E4279A">
              <w:rPr>
                <w:noProof/>
                <w:webHidden/>
              </w:rPr>
              <w:tab/>
            </w:r>
            <w:r w:rsidR="00E4279A">
              <w:rPr>
                <w:noProof/>
                <w:webHidden/>
              </w:rPr>
              <w:fldChar w:fldCharType="begin"/>
            </w:r>
            <w:r w:rsidR="00E4279A">
              <w:rPr>
                <w:noProof/>
                <w:webHidden/>
              </w:rPr>
              <w:instrText xml:space="preserve"> PAGEREF _Toc508618102 \h </w:instrText>
            </w:r>
            <w:r w:rsidR="00E4279A">
              <w:rPr>
                <w:noProof/>
                <w:webHidden/>
              </w:rPr>
            </w:r>
            <w:r w:rsidR="00E4279A">
              <w:rPr>
                <w:noProof/>
                <w:webHidden/>
              </w:rPr>
              <w:fldChar w:fldCharType="separate"/>
            </w:r>
            <w:r>
              <w:rPr>
                <w:noProof/>
                <w:webHidden/>
              </w:rPr>
              <w:t>7</w:t>
            </w:r>
            <w:r w:rsidR="00E4279A">
              <w:rPr>
                <w:noProof/>
                <w:webHidden/>
              </w:rPr>
              <w:fldChar w:fldCharType="end"/>
            </w:r>
          </w:hyperlink>
        </w:p>
        <w:p w14:paraId="0F976CAD" w14:textId="19223619" w:rsidR="00E4279A" w:rsidRDefault="002B3310">
          <w:pPr>
            <w:pStyle w:val="TOC1"/>
            <w:rPr>
              <w:rFonts w:asciiTheme="minorHAnsi" w:eastAsiaTheme="minorEastAsia" w:hAnsiTheme="minorHAnsi"/>
              <w:noProof/>
              <w:lang w:val="en-US"/>
            </w:rPr>
          </w:pPr>
          <w:hyperlink w:anchor="_Toc508618103" w:history="1">
            <w:r w:rsidR="00E4279A" w:rsidRPr="00EB68B0">
              <w:rPr>
                <w:rStyle w:val="Hyperlink"/>
                <w:rFonts w:cstheme="minorHAnsi"/>
                <w:bCs/>
                <w:noProof/>
                <w:lang w:val="ro"/>
              </w:rPr>
              <w:t>Articolul 4 - Calculatorul Schimburilor Planificate</w:t>
            </w:r>
            <w:r w:rsidR="00E4279A">
              <w:rPr>
                <w:noProof/>
                <w:webHidden/>
              </w:rPr>
              <w:tab/>
            </w:r>
            <w:r w:rsidR="00E4279A">
              <w:rPr>
                <w:noProof/>
                <w:webHidden/>
              </w:rPr>
              <w:fldChar w:fldCharType="begin"/>
            </w:r>
            <w:r w:rsidR="00E4279A">
              <w:rPr>
                <w:noProof/>
                <w:webHidden/>
              </w:rPr>
              <w:instrText xml:space="preserve"> PAGEREF _Toc508618103 \h </w:instrText>
            </w:r>
            <w:r w:rsidR="00E4279A">
              <w:rPr>
                <w:noProof/>
                <w:webHidden/>
              </w:rPr>
            </w:r>
            <w:r w:rsidR="00E4279A">
              <w:rPr>
                <w:noProof/>
                <w:webHidden/>
              </w:rPr>
              <w:fldChar w:fldCharType="separate"/>
            </w:r>
            <w:r>
              <w:rPr>
                <w:noProof/>
                <w:webHidden/>
              </w:rPr>
              <w:t>7</w:t>
            </w:r>
            <w:r w:rsidR="00E4279A">
              <w:rPr>
                <w:noProof/>
                <w:webHidden/>
              </w:rPr>
              <w:fldChar w:fldCharType="end"/>
            </w:r>
          </w:hyperlink>
        </w:p>
        <w:p w14:paraId="3F30D3DB" w14:textId="3BCB0563" w:rsidR="00E4279A" w:rsidRDefault="002B3310">
          <w:pPr>
            <w:pStyle w:val="TOC1"/>
            <w:rPr>
              <w:rFonts w:asciiTheme="minorHAnsi" w:eastAsiaTheme="minorEastAsia" w:hAnsiTheme="minorHAnsi"/>
              <w:noProof/>
              <w:lang w:val="en-US"/>
            </w:rPr>
          </w:pPr>
          <w:hyperlink w:anchor="_Toc508618104" w:history="1">
            <w:r w:rsidR="00E4279A" w:rsidRPr="00EB68B0">
              <w:rPr>
                <w:rStyle w:val="Hyperlink"/>
                <w:rFonts w:cstheme="minorHAnsi"/>
                <w:bCs/>
                <w:noProof/>
                <w:lang w:val="ro"/>
              </w:rPr>
              <w:t>Articolul 5 - Principii Generale pentru Calculul Schimburilor Planificate</w:t>
            </w:r>
            <w:r w:rsidR="00E4279A">
              <w:rPr>
                <w:noProof/>
                <w:webHidden/>
              </w:rPr>
              <w:tab/>
            </w:r>
            <w:r w:rsidR="00E4279A">
              <w:rPr>
                <w:noProof/>
                <w:webHidden/>
              </w:rPr>
              <w:fldChar w:fldCharType="begin"/>
            </w:r>
            <w:r w:rsidR="00E4279A">
              <w:rPr>
                <w:noProof/>
                <w:webHidden/>
              </w:rPr>
              <w:instrText xml:space="preserve"> PAGEREF _Toc508618104 \h </w:instrText>
            </w:r>
            <w:r w:rsidR="00E4279A">
              <w:rPr>
                <w:noProof/>
                <w:webHidden/>
              </w:rPr>
            </w:r>
            <w:r w:rsidR="00E4279A">
              <w:rPr>
                <w:noProof/>
                <w:webHidden/>
              </w:rPr>
              <w:fldChar w:fldCharType="separate"/>
            </w:r>
            <w:r>
              <w:rPr>
                <w:noProof/>
                <w:webHidden/>
              </w:rPr>
              <w:t>7</w:t>
            </w:r>
            <w:r w:rsidR="00E4279A">
              <w:rPr>
                <w:noProof/>
                <w:webHidden/>
              </w:rPr>
              <w:fldChar w:fldCharType="end"/>
            </w:r>
          </w:hyperlink>
        </w:p>
        <w:p w14:paraId="4F3C5C70" w14:textId="74EC21E2" w:rsidR="00E4279A" w:rsidRDefault="002B3310">
          <w:pPr>
            <w:pStyle w:val="TOC1"/>
            <w:rPr>
              <w:rFonts w:asciiTheme="minorHAnsi" w:eastAsiaTheme="minorEastAsia" w:hAnsiTheme="minorHAnsi"/>
              <w:noProof/>
              <w:lang w:val="en-US"/>
            </w:rPr>
          </w:pPr>
          <w:hyperlink w:anchor="_Toc508618105" w:history="1">
            <w:r w:rsidR="00E4279A" w:rsidRPr="00EB68B0">
              <w:rPr>
                <w:rStyle w:val="Hyperlink"/>
                <w:rFonts w:cstheme="minorHAnsi"/>
                <w:bCs/>
                <w:noProof/>
                <w:lang w:val="ro"/>
              </w:rPr>
              <w:t>Articolul 6 - Metodologia de calcul al Schimburilor Planificate între ariile de planificare și zonele de ofertare care rezultă din SDAC utilizând Calculatorul Schimburilor Planificate</w:t>
            </w:r>
            <w:r w:rsidR="00E4279A">
              <w:rPr>
                <w:noProof/>
                <w:webHidden/>
              </w:rPr>
              <w:tab/>
            </w:r>
            <w:r w:rsidR="00E4279A">
              <w:rPr>
                <w:noProof/>
                <w:webHidden/>
              </w:rPr>
              <w:fldChar w:fldCharType="begin"/>
            </w:r>
            <w:r w:rsidR="00E4279A">
              <w:rPr>
                <w:noProof/>
                <w:webHidden/>
              </w:rPr>
              <w:instrText xml:space="preserve"> PAGEREF _Toc508618105 \h </w:instrText>
            </w:r>
            <w:r w:rsidR="00E4279A">
              <w:rPr>
                <w:noProof/>
                <w:webHidden/>
              </w:rPr>
            </w:r>
            <w:r w:rsidR="00E4279A">
              <w:rPr>
                <w:noProof/>
                <w:webHidden/>
              </w:rPr>
              <w:fldChar w:fldCharType="separate"/>
            </w:r>
            <w:r>
              <w:rPr>
                <w:noProof/>
                <w:webHidden/>
              </w:rPr>
              <w:t>8</w:t>
            </w:r>
            <w:r w:rsidR="00E4279A">
              <w:rPr>
                <w:noProof/>
                <w:webHidden/>
              </w:rPr>
              <w:fldChar w:fldCharType="end"/>
            </w:r>
          </w:hyperlink>
        </w:p>
        <w:p w14:paraId="59B31365" w14:textId="11AF7F18" w:rsidR="00E4279A" w:rsidRDefault="002B3310">
          <w:pPr>
            <w:pStyle w:val="TOC1"/>
            <w:rPr>
              <w:rFonts w:asciiTheme="minorHAnsi" w:eastAsiaTheme="minorEastAsia" w:hAnsiTheme="minorHAnsi"/>
              <w:noProof/>
              <w:lang w:val="en-US"/>
            </w:rPr>
          </w:pPr>
          <w:hyperlink w:anchor="_Toc508618106" w:history="1">
            <w:r w:rsidR="00E4279A" w:rsidRPr="00EB68B0">
              <w:rPr>
                <w:rStyle w:val="Hyperlink"/>
                <w:rFonts w:cstheme="minorHAnsi"/>
                <w:bCs/>
                <w:noProof/>
                <w:lang w:val="ro"/>
              </w:rPr>
              <w:t>Articolul 7 - Calculul Schimburi Planificate între zonele de ofertare</w:t>
            </w:r>
            <w:r w:rsidR="00E4279A">
              <w:rPr>
                <w:noProof/>
                <w:webHidden/>
              </w:rPr>
              <w:tab/>
            </w:r>
            <w:r w:rsidR="00E4279A">
              <w:rPr>
                <w:noProof/>
                <w:webHidden/>
              </w:rPr>
              <w:fldChar w:fldCharType="begin"/>
            </w:r>
            <w:r w:rsidR="00E4279A">
              <w:rPr>
                <w:noProof/>
                <w:webHidden/>
              </w:rPr>
              <w:instrText xml:space="preserve"> PAGEREF _Toc508618106 \h </w:instrText>
            </w:r>
            <w:r w:rsidR="00E4279A">
              <w:rPr>
                <w:noProof/>
                <w:webHidden/>
              </w:rPr>
            </w:r>
            <w:r w:rsidR="00E4279A">
              <w:rPr>
                <w:noProof/>
                <w:webHidden/>
              </w:rPr>
              <w:fldChar w:fldCharType="separate"/>
            </w:r>
            <w:r>
              <w:rPr>
                <w:noProof/>
                <w:webHidden/>
              </w:rPr>
              <w:t>9</w:t>
            </w:r>
            <w:r w:rsidR="00E4279A">
              <w:rPr>
                <w:noProof/>
                <w:webHidden/>
              </w:rPr>
              <w:fldChar w:fldCharType="end"/>
            </w:r>
          </w:hyperlink>
        </w:p>
        <w:p w14:paraId="45FBFA4F" w14:textId="33610D4A" w:rsidR="00E4279A" w:rsidRDefault="002B3310">
          <w:pPr>
            <w:pStyle w:val="TOC1"/>
            <w:rPr>
              <w:rFonts w:asciiTheme="minorHAnsi" w:eastAsiaTheme="minorEastAsia" w:hAnsiTheme="minorHAnsi"/>
              <w:noProof/>
              <w:lang w:val="en-US"/>
            </w:rPr>
          </w:pPr>
          <w:hyperlink w:anchor="_Toc508618107" w:history="1">
            <w:r w:rsidR="00E4279A" w:rsidRPr="00EB68B0">
              <w:rPr>
                <w:rStyle w:val="Hyperlink"/>
                <w:rFonts w:cstheme="minorHAnsi"/>
                <w:bCs/>
                <w:noProof/>
                <w:lang w:val="ro"/>
              </w:rPr>
              <w:t>Articolul 8 - Calculul Schimburilor Planificate între ariile de planificare</w:t>
            </w:r>
            <w:r w:rsidR="00E4279A">
              <w:rPr>
                <w:noProof/>
                <w:webHidden/>
              </w:rPr>
              <w:tab/>
            </w:r>
            <w:r w:rsidR="00E4279A">
              <w:rPr>
                <w:noProof/>
                <w:webHidden/>
              </w:rPr>
              <w:fldChar w:fldCharType="begin"/>
            </w:r>
            <w:r w:rsidR="00E4279A">
              <w:rPr>
                <w:noProof/>
                <w:webHidden/>
              </w:rPr>
              <w:instrText xml:space="preserve"> PAGEREF _Toc508618107 \h </w:instrText>
            </w:r>
            <w:r w:rsidR="00E4279A">
              <w:rPr>
                <w:noProof/>
                <w:webHidden/>
              </w:rPr>
            </w:r>
            <w:r w:rsidR="00E4279A">
              <w:rPr>
                <w:noProof/>
                <w:webHidden/>
              </w:rPr>
              <w:fldChar w:fldCharType="separate"/>
            </w:r>
            <w:r>
              <w:rPr>
                <w:noProof/>
                <w:webHidden/>
              </w:rPr>
              <w:t>10</w:t>
            </w:r>
            <w:r w:rsidR="00E4279A">
              <w:rPr>
                <w:noProof/>
                <w:webHidden/>
              </w:rPr>
              <w:fldChar w:fldCharType="end"/>
            </w:r>
          </w:hyperlink>
        </w:p>
        <w:p w14:paraId="6EBE82C3" w14:textId="6C88AFD9" w:rsidR="00E4279A" w:rsidRDefault="002B3310">
          <w:pPr>
            <w:pStyle w:val="TOC1"/>
            <w:rPr>
              <w:rFonts w:asciiTheme="minorHAnsi" w:eastAsiaTheme="minorEastAsia" w:hAnsiTheme="minorHAnsi"/>
              <w:noProof/>
              <w:lang w:val="en-US"/>
            </w:rPr>
          </w:pPr>
          <w:hyperlink w:anchor="_Toc508618108" w:history="1">
            <w:r w:rsidR="00E4279A" w:rsidRPr="00EB68B0">
              <w:rPr>
                <w:rStyle w:val="Hyperlink"/>
                <w:rFonts w:cstheme="minorHAnsi"/>
                <w:bCs/>
                <w:noProof/>
                <w:lang w:val="ro"/>
              </w:rPr>
              <w:t>Articolul 9 - Implementarea Metodologiei DA SEC</w:t>
            </w:r>
            <w:r w:rsidR="00E4279A">
              <w:rPr>
                <w:noProof/>
                <w:webHidden/>
              </w:rPr>
              <w:tab/>
            </w:r>
            <w:r w:rsidR="00E4279A">
              <w:rPr>
                <w:noProof/>
                <w:webHidden/>
              </w:rPr>
              <w:fldChar w:fldCharType="begin"/>
            </w:r>
            <w:r w:rsidR="00E4279A">
              <w:rPr>
                <w:noProof/>
                <w:webHidden/>
              </w:rPr>
              <w:instrText xml:space="preserve"> PAGEREF _Toc508618108 \h </w:instrText>
            </w:r>
            <w:r w:rsidR="00E4279A">
              <w:rPr>
                <w:noProof/>
                <w:webHidden/>
              </w:rPr>
            </w:r>
            <w:r w:rsidR="00E4279A">
              <w:rPr>
                <w:noProof/>
                <w:webHidden/>
              </w:rPr>
              <w:fldChar w:fldCharType="separate"/>
            </w:r>
            <w:r>
              <w:rPr>
                <w:noProof/>
                <w:webHidden/>
              </w:rPr>
              <w:t>11</w:t>
            </w:r>
            <w:r w:rsidR="00E4279A">
              <w:rPr>
                <w:noProof/>
                <w:webHidden/>
              </w:rPr>
              <w:fldChar w:fldCharType="end"/>
            </w:r>
          </w:hyperlink>
        </w:p>
        <w:p w14:paraId="1DAB596B" w14:textId="2C48A66D" w:rsidR="00E4279A" w:rsidRDefault="002B3310">
          <w:pPr>
            <w:pStyle w:val="TOC1"/>
            <w:rPr>
              <w:rFonts w:asciiTheme="minorHAnsi" w:eastAsiaTheme="minorEastAsia" w:hAnsiTheme="minorHAnsi"/>
              <w:noProof/>
              <w:lang w:val="en-US"/>
            </w:rPr>
          </w:pPr>
          <w:hyperlink w:anchor="_Toc508618109" w:history="1">
            <w:r w:rsidR="00E4279A" w:rsidRPr="00EB68B0">
              <w:rPr>
                <w:rStyle w:val="Hyperlink"/>
                <w:rFonts w:cstheme="minorHAnsi"/>
                <w:bCs/>
                <w:noProof/>
                <w:lang w:val="ro"/>
              </w:rPr>
              <w:t>Articolul 10 - Limba</w:t>
            </w:r>
            <w:r w:rsidR="00E4279A">
              <w:rPr>
                <w:noProof/>
                <w:webHidden/>
              </w:rPr>
              <w:tab/>
            </w:r>
            <w:r w:rsidR="00E4279A">
              <w:rPr>
                <w:noProof/>
                <w:webHidden/>
              </w:rPr>
              <w:fldChar w:fldCharType="begin"/>
            </w:r>
            <w:r w:rsidR="00E4279A">
              <w:rPr>
                <w:noProof/>
                <w:webHidden/>
              </w:rPr>
              <w:instrText xml:space="preserve"> PAGEREF _Toc508618109 \h </w:instrText>
            </w:r>
            <w:r w:rsidR="00E4279A">
              <w:rPr>
                <w:noProof/>
                <w:webHidden/>
              </w:rPr>
            </w:r>
            <w:r w:rsidR="00E4279A">
              <w:rPr>
                <w:noProof/>
                <w:webHidden/>
              </w:rPr>
              <w:fldChar w:fldCharType="separate"/>
            </w:r>
            <w:r>
              <w:rPr>
                <w:noProof/>
                <w:webHidden/>
              </w:rPr>
              <w:t>11</w:t>
            </w:r>
            <w:r w:rsidR="00E4279A">
              <w:rPr>
                <w:noProof/>
                <w:webHidden/>
              </w:rPr>
              <w:fldChar w:fldCharType="end"/>
            </w:r>
          </w:hyperlink>
        </w:p>
        <w:p w14:paraId="5CB6DBC5" w14:textId="418FB611" w:rsidR="00730769" w:rsidRPr="004034CF" w:rsidRDefault="00730769">
          <w:pPr>
            <w:rPr>
              <w:rFonts w:ascii="Calibri" w:hAnsi="Calibri" w:cs="Times New Roman"/>
            </w:rPr>
          </w:pPr>
          <w:r>
            <w:rPr>
              <w:rFonts w:ascii="Calibri" w:hAnsi="Calibri" w:cs="Times New Roman"/>
              <w:b/>
              <w:bCs/>
            </w:rPr>
            <w:fldChar w:fldCharType="end"/>
          </w:r>
        </w:p>
      </w:sdtContent>
    </w:sdt>
    <w:p w14:paraId="6E19EEC7" w14:textId="77777777" w:rsidR="005E1BC2" w:rsidRPr="004034CF" w:rsidRDefault="005E1BC2" w:rsidP="00E210F0">
      <w:pPr>
        <w:spacing w:before="100" w:beforeAutospacing="1" w:after="100" w:afterAutospacing="1" w:line="276" w:lineRule="auto"/>
        <w:rPr>
          <w:rFonts w:cstheme="minorHAnsi"/>
          <w:color w:val="000000" w:themeColor="text1"/>
        </w:rPr>
      </w:pPr>
    </w:p>
    <w:p w14:paraId="73EA3CCE" w14:textId="77777777" w:rsidR="004A1545" w:rsidRPr="004034CF" w:rsidRDefault="004B6993" w:rsidP="00E210F0">
      <w:pPr>
        <w:spacing w:before="100" w:beforeAutospacing="1" w:after="100" w:afterAutospacing="1" w:line="276" w:lineRule="auto"/>
        <w:jc w:val="both"/>
        <w:rPr>
          <w:rFonts w:cstheme="minorHAnsi"/>
          <w:color w:val="000000" w:themeColor="text1"/>
        </w:rPr>
      </w:pPr>
      <w:r>
        <w:rPr>
          <w:rFonts w:cstheme="minorHAnsi"/>
          <w:color w:val="000000" w:themeColor="text1"/>
          <w:lang w:val="ro"/>
        </w:rPr>
        <w:br w:type="page"/>
      </w:r>
      <w:bookmarkStart w:id="0" w:name="_Toc378091729"/>
    </w:p>
    <w:p w14:paraId="7C2B960E" w14:textId="77777777" w:rsidR="004A1545" w:rsidRPr="004034CF" w:rsidRDefault="00A91641" w:rsidP="00E210F0">
      <w:pPr>
        <w:spacing w:before="100" w:beforeAutospacing="1" w:after="100" w:afterAutospacing="1" w:line="276" w:lineRule="auto"/>
        <w:jc w:val="both"/>
        <w:rPr>
          <w:rFonts w:cstheme="minorHAnsi"/>
          <w:color w:val="000000" w:themeColor="text1"/>
        </w:rPr>
      </w:pPr>
      <w:r>
        <w:rPr>
          <w:rFonts w:cstheme="minorHAnsi"/>
          <w:color w:val="000000" w:themeColor="text1"/>
          <w:lang w:val="ro"/>
        </w:rPr>
        <w:lastRenderedPageBreak/>
        <w:t>Toți Operatorii de Transport și de Sistem, având în vedere următorul:</w:t>
      </w:r>
    </w:p>
    <w:p w14:paraId="2F289498" w14:textId="77777777" w:rsidR="004A1545" w:rsidRPr="004034CF" w:rsidRDefault="004A1545" w:rsidP="00730769">
      <w:pPr>
        <w:pStyle w:val="headline1"/>
        <w:rPr>
          <w:rFonts w:asciiTheme="minorHAnsi" w:hAnsiTheme="minorHAnsi" w:cstheme="minorHAnsi"/>
        </w:rPr>
      </w:pPr>
      <w:bookmarkStart w:id="1" w:name="_Toc456339227"/>
      <w:bookmarkStart w:id="2" w:name="_Toc508618099"/>
      <w:r>
        <w:rPr>
          <w:rFonts w:asciiTheme="minorHAnsi" w:hAnsiTheme="minorHAnsi" w:cstheme="minorHAnsi"/>
          <w:bCs/>
          <w:lang w:val="ro"/>
        </w:rPr>
        <w:t>Preambul</w:t>
      </w:r>
      <w:bookmarkEnd w:id="1"/>
      <w:bookmarkEnd w:id="2"/>
    </w:p>
    <w:p w14:paraId="42D94849" w14:textId="2C1FE6C2" w:rsidR="00823CEE" w:rsidRPr="004034CF" w:rsidRDefault="004A1545" w:rsidP="00BF3DA8">
      <w:pPr>
        <w:pStyle w:val="ListParagraph"/>
        <w:numPr>
          <w:ilvl w:val="0"/>
          <w:numId w:val="5"/>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Prezentul document reprezintă o propunere comună elaborată de către toți Operatorii de Transport și de Sistem (numiți în continuare „</w:t>
      </w:r>
      <w:r>
        <w:rPr>
          <w:rFonts w:cstheme="minorHAnsi"/>
          <w:b/>
          <w:bCs/>
          <w:color w:val="000000" w:themeColor="text1"/>
          <w:lang w:val="ro"/>
        </w:rPr>
        <w:t>OTS-uri</w:t>
      </w:r>
      <w:r>
        <w:rPr>
          <w:rFonts w:cstheme="minorHAnsi"/>
          <w:color w:val="000000" w:themeColor="text1"/>
          <w:lang w:val="ro"/>
        </w:rPr>
        <w:t xml:space="preserve">”) </w:t>
      </w:r>
      <w:bookmarkStart w:id="3" w:name="_Hlk501366091"/>
      <w:r>
        <w:rPr>
          <w:rFonts w:cstheme="minorHAnsi"/>
          <w:color w:val="000000" w:themeColor="text1"/>
          <w:lang w:val="ro"/>
        </w:rPr>
        <w:t>care intenționează să calculeze Schimburile Planificate care rezultă din cuplarea unică a piețelor pentru ziua următoare (numită în continuare „</w:t>
      </w:r>
      <w:r>
        <w:rPr>
          <w:rFonts w:cstheme="minorHAnsi"/>
          <w:b/>
          <w:bCs/>
          <w:color w:val="000000" w:themeColor="text1"/>
          <w:lang w:val="ro"/>
        </w:rPr>
        <w:t>SDAC</w:t>
      </w:r>
      <w:r>
        <w:rPr>
          <w:rFonts w:cstheme="minorHAnsi"/>
          <w:color w:val="000000" w:themeColor="text1"/>
          <w:lang w:val="ro"/>
        </w:rPr>
        <w:t xml:space="preserve">”) sau care vor utiliza în mod direct rezultatul </w:t>
      </w:r>
      <w:bookmarkEnd w:id="3"/>
      <w:r>
        <w:rPr>
          <w:rFonts w:cstheme="minorHAnsi"/>
          <w:color w:val="000000" w:themeColor="text1"/>
          <w:lang w:val="ro"/>
        </w:rPr>
        <w:t>din SDAC. Prezentul document reprezintă o metodologie pentru calculul Schimburilor Planificate care rezultă din SDAC (numită în continuare „</w:t>
      </w:r>
      <w:r>
        <w:rPr>
          <w:rFonts w:cstheme="minorHAnsi"/>
          <w:b/>
          <w:bCs/>
          <w:color w:val="000000" w:themeColor="text1"/>
          <w:lang w:val="ro"/>
        </w:rPr>
        <w:t>Metodologia DA SEC</w:t>
      </w:r>
      <w:r>
        <w:rPr>
          <w:rFonts w:cstheme="minorHAnsi"/>
          <w:color w:val="000000" w:themeColor="text1"/>
          <w:lang w:val="ro"/>
        </w:rPr>
        <w:t>”) în conformitate cu articolul 43 din Regulamentul (UE) 2015/1222 al Comisiei de stabilire a unor linii directoare privind Alocarea Capacităților și Gestionarea Congestiilor (numit în continuare „</w:t>
      </w:r>
      <w:bookmarkStart w:id="4" w:name="_Hlk501366161"/>
      <w:r>
        <w:rPr>
          <w:rFonts w:cstheme="minorHAnsi"/>
          <w:b/>
          <w:bCs/>
          <w:color w:val="000000" w:themeColor="text1"/>
          <w:lang w:val="ro"/>
        </w:rPr>
        <w:t>Regulamentul CACM</w:t>
      </w:r>
      <w:bookmarkEnd w:id="4"/>
      <w:r>
        <w:rPr>
          <w:rFonts w:cstheme="minorHAnsi"/>
          <w:color w:val="000000" w:themeColor="text1"/>
          <w:lang w:val="ro"/>
        </w:rPr>
        <w:t>”). Prezenta propunere este numită în continuare „</w:t>
      </w:r>
      <w:r>
        <w:rPr>
          <w:rFonts w:cstheme="minorHAnsi"/>
          <w:b/>
          <w:bCs/>
          <w:color w:val="000000" w:themeColor="text1"/>
          <w:lang w:val="ro"/>
        </w:rPr>
        <w:t>Propunerea DA SEC</w:t>
      </w:r>
      <w:r>
        <w:rPr>
          <w:rFonts w:cstheme="minorHAnsi"/>
          <w:color w:val="000000" w:themeColor="text1"/>
          <w:lang w:val="ro"/>
        </w:rPr>
        <w:t>”.</w:t>
      </w:r>
    </w:p>
    <w:p w14:paraId="24B6F3C9" w14:textId="77777777" w:rsidR="00823CEE" w:rsidRPr="004034CF" w:rsidRDefault="00823CEE" w:rsidP="00823CEE">
      <w:pPr>
        <w:pStyle w:val="ListParagraph"/>
        <w:spacing w:after="120" w:line="276" w:lineRule="auto"/>
        <w:ind w:left="1068"/>
        <w:rPr>
          <w:rFonts w:cstheme="minorHAnsi"/>
          <w:color w:val="000000" w:themeColor="text1"/>
        </w:rPr>
      </w:pPr>
    </w:p>
    <w:p w14:paraId="19B322A4" w14:textId="77777777" w:rsidR="00B040EA" w:rsidRPr="004034CF" w:rsidRDefault="00B040EA" w:rsidP="00BF3DA8">
      <w:pPr>
        <w:pStyle w:val="ListParagraph"/>
        <w:numPr>
          <w:ilvl w:val="0"/>
          <w:numId w:val="5"/>
        </w:numPr>
        <w:spacing w:before="100" w:beforeAutospacing="1" w:after="100" w:afterAutospacing="1" w:line="276" w:lineRule="auto"/>
        <w:ind w:left="360"/>
        <w:rPr>
          <w:color w:val="000000"/>
        </w:rPr>
      </w:pPr>
      <w:r>
        <w:rPr>
          <w:rFonts w:cstheme="minorHAnsi"/>
          <w:lang w:val="ro"/>
        </w:rPr>
        <w:t xml:space="preserve">Propunerea DA SEC ia în considerare principiile generale, obiectivele și alte metodologii reflectate în </w:t>
      </w:r>
      <w:r>
        <w:rPr>
          <w:rFonts w:cstheme="minorHAnsi"/>
          <w:color w:val="000000" w:themeColor="text1"/>
          <w:lang w:val="ro"/>
        </w:rPr>
        <w:t>Regulamentul CACM</w:t>
      </w:r>
      <w:r>
        <w:rPr>
          <w:rFonts w:cstheme="minorHAnsi"/>
          <w:lang w:val="ro"/>
        </w:rPr>
        <w:t xml:space="preserve">. Obiectivul Regulamentului CACM este coordonarea și armonizarea calculului și alocării capacităților pe piețele transfrontaliere pentru ziua următoare și </w:t>
      </w:r>
      <w:proofErr w:type="spellStart"/>
      <w:r>
        <w:rPr>
          <w:rFonts w:cstheme="minorHAnsi"/>
          <w:lang w:val="ro"/>
        </w:rPr>
        <w:t>intrazilnice</w:t>
      </w:r>
      <w:proofErr w:type="spellEnd"/>
      <w:r>
        <w:rPr>
          <w:rFonts w:cstheme="minorHAnsi"/>
          <w:lang w:val="ro"/>
        </w:rPr>
        <w:t>.</w:t>
      </w:r>
    </w:p>
    <w:p w14:paraId="08449F09" w14:textId="77777777" w:rsidR="001634B3" w:rsidRPr="004034CF" w:rsidRDefault="001634B3" w:rsidP="001634B3">
      <w:pPr>
        <w:pStyle w:val="ListParagraph"/>
        <w:spacing w:after="120" w:line="276" w:lineRule="auto"/>
        <w:ind w:left="1066"/>
        <w:rPr>
          <w:color w:val="000000"/>
        </w:rPr>
      </w:pPr>
    </w:p>
    <w:p w14:paraId="4B95CB40" w14:textId="70DD4889" w:rsidR="00B040EA" w:rsidRPr="004034CF" w:rsidRDefault="001634B3" w:rsidP="00BF3DA8">
      <w:pPr>
        <w:pStyle w:val="ListParagraph"/>
        <w:numPr>
          <w:ilvl w:val="0"/>
          <w:numId w:val="5"/>
        </w:numPr>
        <w:spacing w:before="100" w:beforeAutospacing="1" w:after="100" w:afterAutospacing="1" w:line="276" w:lineRule="auto"/>
        <w:ind w:left="360"/>
        <w:rPr>
          <w:rFonts w:cstheme="minorHAnsi"/>
          <w:color w:val="000000" w:themeColor="text1"/>
        </w:rPr>
      </w:pPr>
      <w:r>
        <w:rPr>
          <w:rFonts w:cstheme="minorHAnsi"/>
          <w:lang w:val="ro"/>
        </w:rPr>
        <w:t>Propunerea DA SEC, în conformitate cu articolul 45 din Regulamentul CACM, acomodează situațiile în care</w:t>
      </w:r>
      <w:r>
        <w:rPr>
          <w:rFonts w:cstheme="minorHAnsi"/>
          <w:color w:val="000000" w:themeColor="text1"/>
          <w:lang w:val="ro"/>
        </w:rPr>
        <w:t xml:space="preserve"> există mai mult de un Operator al Pieței de Energie Electrică Desemnat (numit în continuare „</w:t>
      </w:r>
      <w:r>
        <w:rPr>
          <w:rFonts w:cstheme="minorHAnsi"/>
          <w:b/>
          <w:bCs/>
          <w:color w:val="000000" w:themeColor="text1"/>
          <w:lang w:val="ro"/>
        </w:rPr>
        <w:t>OPEED</w:t>
      </w:r>
      <w:r>
        <w:rPr>
          <w:rFonts w:cstheme="minorHAnsi"/>
          <w:color w:val="000000" w:themeColor="text1"/>
          <w:lang w:val="ro"/>
        </w:rPr>
        <w:t xml:space="preserve">”) nominalizat și/sau care oferă servicii de tranzacționare pentru ziua următoare într-o anumită zonă geografică. În plus, </w:t>
      </w:r>
      <w:r>
        <w:rPr>
          <w:rFonts w:cstheme="minorHAnsi"/>
          <w:lang w:val="ro"/>
        </w:rPr>
        <w:t>în conformitate cu articolul 4 (1) din Regulamentul CACM, OPEED-urile multiple pot fi desemnate să realizeze SDAC într-un Stat Membru. Pentru</w:t>
      </w:r>
      <w:r>
        <w:rPr>
          <w:rFonts w:cstheme="minorHAnsi"/>
          <w:color w:val="000000" w:themeColor="text1"/>
          <w:lang w:val="ro"/>
        </w:rPr>
        <w:t xml:space="preserve"> fiecare OPEED se atribuie un Punct Central de Tranzacționare al OPEED. Atunci când OPEED-uri multiple operează într-o arie geografică, anumite acorduri ale OPEED-urilor multiple necesită multiple Puncte Centrale de Tranzacționare ale OPEED în respectiva arie geografică.</w:t>
      </w:r>
    </w:p>
    <w:p w14:paraId="4CA32BD1" w14:textId="77777777" w:rsidR="0015747E" w:rsidRPr="004034CF" w:rsidRDefault="0015747E" w:rsidP="0015747E">
      <w:pPr>
        <w:pStyle w:val="ListParagraph"/>
        <w:spacing w:after="120" w:line="276" w:lineRule="auto"/>
        <w:ind w:left="993"/>
        <w:rPr>
          <w:rFonts w:cstheme="minorHAnsi"/>
          <w:color w:val="000000" w:themeColor="text1"/>
        </w:rPr>
      </w:pPr>
    </w:p>
    <w:p w14:paraId="2AD4DB67" w14:textId="77777777" w:rsidR="00745136" w:rsidRPr="004034CF" w:rsidRDefault="00745136" w:rsidP="00BF3DA8">
      <w:pPr>
        <w:pStyle w:val="ListParagraph"/>
        <w:numPr>
          <w:ilvl w:val="0"/>
          <w:numId w:val="5"/>
        </w:numPr>
        <w:spacing w:before="100" w:beforeAutospacing="1" w:after="100" w:afterAutospacing="1" w:line="276" w:lineRule="auto"/>
        <w:ind w:left="360"/>
        <w:rPr>
          <w:rFonts w:cstheme="minorHAnsi"/>
        </w:rPr>
      </w:pPr>
      <w:r>
        <w:rPr>
          <w:rFonts w:cstheme="minorHAnsi"/>
          <w:lang w:val="ro"/>
        </w:rPr>
        <w:t xml:space="preserve">Propunerea DA SEC ia în considerare situațiile în care zona de ofertare este egală cu aria de planificare, precum și cele în care există mai multe arii de planificare în cadrul unei zone de ofertare. </w:t>
      </w:r>
    </w:p>
    <w:p w14:paraId="42F1B62A" w14:textId="77777777" w:rsidR="00B040EA" w:rsidRPr="004034CF" w:rsidRDefault="00B040EA" w:rsidP="00B040EA">
      <w:pPr>
        <w:pStyle w:val="ListParagraph"/>
        <w:rPr>
          <w:color w:val="000000"/>
        </w:rPr>
      </w:pPr>
    </w:p>
    <w:p w14:paraId="4DE6487E" w14:textId="472E371A" w:rsidR="00F01279" w:rsidRDefault="00745136" w:rsidP="00BF3DA8">
      <w:pPr>
        <w:pStyle w:val="ListParagraph"/>
        <w:numPr>
          <w:ilvl w:val="0"/>
          <w:numId w:val="5"/>
        </w:numPr>
        <w:spacing w:before="100" w:beforeAutospacing="1" w:after="100" w:afterAutospacing="1" w:line="276" w:lineRule="auto"/>
        <w:ind w:left="360"/>
        <w:rPr>
          <w:color w:val="000000"/>
        </w:rPr>
      </w:pPr>
      <w:r>
        <w:rPr>
          <w:color w:val="000000"/>
          <w:lang w:val="ro"/>
        </w:rPr>
        <w:t xml:space="preserve">Propunerea DA SEC nu privește calculul schimburilor pentru fiecare Punct Central de Tranzacționare al OPEED. </w:t>
      </w:r>
      <w:r>
        <w:rPr>
          <w:color w:val="000000" w:themeColor="text1"/>
          <w:lang w:val="ro"/>
        </w:rPr>
        <w:t>Este confirmat faptul că un Punct Central de Tranzacționare al OPEED nu reprezintă o zonă geografică și astfel Schimburile Planificate nu privesc Punctul Central de Tranzacționare al OPEED.</w:t>
      </w:r>
      <w:r>
        <w:rPr>
          <w:color w:val="000000"/>
          <w:lang w:val="ro"/>
        </w:rPr>
        <w:t xml:space="preserve"> </w:t>
      </w:r>
    </w:p>
    <w:p w14:paraId="7290107A" w14:textId="77777777" w:rsidR="00C50E50" w:rsidRPr="00C50E50" w:rsidRDefault="00C50E50" w:rsidP="00C50E50">
      <w:pPr>
        <w:pStyle w:val="ListParagraph"/>
        <w:rPr>
          <w:color w:val="000000"/>
        </w:rPr>
      </w:pPr>
    </w:p>
    <w:p w14:paraId="752DA140" w14:textId="2087F51C" w:rsidR="00C50E50" w:rsidRPr="004034CF" w:rsidRDefault="00C50E50" w:rsidP="00BF3DA8">
      <w:pPr>
        <w:pStyle w:val="ListParagraph"/>
        <w:numPr>
          <w:ilvl w:val="0"/>
          <w:numId w:val="5"/>
        </w:numPr>
        <w:spacing w:before="100" w:beforeAutospacing="1" w:after="100" w:afterAutospacing="1" w:line="276" w:lineRule="auto"/>
        <w:ind w:left="360"/>
        <w:rPr>
          <w:color w:val="000000"/>
        </w:rPr>
      </w:pPr>
      <w:r>
        <w:rPr>
          <w:color w:val="000000"/>
          <w:lang w:val="ro"/>
        </w:rPr>
        <w:t xml:space="preserve">Schimburile între Punctele Centrale de Tranzacționare ale OPEED respectă Schimburile Planificate calculate de Calculatorul Schimburilor Planificate. În plus, calculul schimburilor între Punctele Centrale de Tranzacționare ale OPEED respectă Acordurile OPEED-urilor Multiple </w:t>
      </w:r>
      <w:bookmarkStart w:id="5" w:name="_Hlk505857274"/>
      <w:r>
        <w:rPr>
          <w:color w:val="000000"/>
          <w:lang w:val="ro"/>
        </w:rPr>
        <w:t>în conformitate cu articolul 45 din Regulamentul CACM</w:t>
      </w:r>
      <w:bookmarkEnd w:id="5"/>
      <w:r>
        <w:rPr>
          <w:color w:val="000000"/>
          <w:lang w:val="ro"/>
        </w:rPr>
        <w:t>.</w:t>
      </w:r>
    </w:p>
    <w:p w14:paraId="1677DE72" w14:textId="77777777" w:rsidR="0038164D" w:rsidRPr="004034CF" w:rsidRDefault="0038164D" w:rsidP="0038164D">
      <w:pPr>
        <w:pStyle w:val="ListParagraph"/>
        <w:rPr>
          <w:rFonts w:cstheme="minorHAnsi"/>
        </w:rPr>
      </w:pPr>
    </w:p>
    <w:p w14:paraId="0F9D78A2" w14:textId="65421A12" w:rsidR="0039692F" w:rsidRPr="004034CF" w:rsidRDefault="0039692F" w:rsidP="00BF3DA8">
      <w:pPr>
        <w:pStyle w:val="ListParagraph"/>
        <w:numPr>
          <w:ilvl w:val="0"/>
          <w:numId w:val="5"/>
        </w:numPr>
        <w:spacing w:before="100" w:beforeAutospacing="1" w:after="100" w:afterAutospacing="1" w:line="276" w:lineRule="auto"/>
        <w:ind w:left="360"/>
        <w:rPr>
          <w:rStyle w:val="textregularZchn"/>
          <w:rFonts w:cstheme="minorHAnsi"/>
        </w:rPr>
      </w:pPr>
      <w:r>
        <w:rPr>
          <w:rStyle w:val="textregularZchn"/>
          <w:rFonts w:cstheme="minorHAnsi"/>
          <w:color w:val="000000" w:themeColor="text1"/>
          <w:lang w:val="ro"/>
        </w:rPr>
        <w:t xml:space="preserve">Metodologia DA SEC se aplică de către Calculatorul Schimburilor Planificate responsabil cu </w:t>
      </w:r>
      <w:r>
        <w:rPr>
          <w:rStyle w:val="textregularZchn"/>
          <w:rFonts w:cstheme="minorHAnsi"/>
          <w:lang w:val="ro"/>
        </w:rPr>
        <w:t xml:space="preserve">calculul Schimburilor Planificate care rezultă din SDAC în conformitate cu articolul 49 din </w:t>
      </w:r>
      <w:bookmarkStart w:id="6" w:name="_Hlk501367233"/>
      <w:r>
        <w:rPr>
          <w:rStyle w:val="textregularZchn"/>
          <w:rFonts w:cstheme="minorHAnsi"/>
          <w:lang w:val="ro"/>
        </w:rPr>
        <w:t>Regulamentul CACM</w:t>
      </w:r>
      <w:bookmarkEnd w:id="6"/>
      <w:r>
        <w:rPr>
          <w:rStyle w:val="textregularZchn"/>
          <w:rFonts w:cstheme="minorHAnsi"/>
          <w:lang w:val="ro"/>
        </w:rPr>
        <w:t xml:space="preserve">. </w:t>
      </w:r>
      <w:bookmarkStart w:id="7" w:name="_Hlk501367120"/>
      <w:r>
        <w:rPr>
          <w:rStyle w:val="textregularZchn"/>
          <w:rFonts w:cstheme="minorHAnsi"/>
          <w:lang w:val="ro"/>
        </w:rPr>
        <w:t>Prin decizia tuturor OTS-urilor, acest rol poate fi delegat unui prestator de servicii.</w:t>
      </w:r>
      <w:bookmarkEnd w:id="7"/>
    </w:p>
    <w:p w14:paraId="2729A1B0" w14:textId="77777777" w:rsidR="00227078" w:rsidRPr="004034CF" w:rsidRDefault="00227078" w:rsidP="00227078">
      <w:pPr>
        <w:pStyle w:val="ListParagraph"/>
        <w:rPr>
          <w:rStyle w:val="textregularZchn"/>
          <w:rFonts w:cstheme="minorHAnsi"/>
        </w:rPr>
      </w:pPr>
    </w:p>
    <w:p w14:paraId="032CB7AE" w14:textId="460EC531" w:rsidR="00AF7203" w:rsidRPr="004034CF" w:rsidRDefault="00E71757" w:rsidP="00BF3DA8">
      <w:pPr>
        <w:pStyle w:val="ListParagraph"/>
        <w:numPr>
          <w:ilvl w:val="0"/>
          <w:numId w:val="5"/>
        </w:numPr>
        <w:spacing w:before="100" w:beforeAutospacing="1" w:after="100" w:afterAutospacing="1" w:line="276" w:lineRule="auto"/>
        <w:ind w:left="360"/>
        <w:rPr>
          <w:rStyle w:val="textregularZchn"/>
          <w:rFonts w:cstheme="minorHAnsi"/>
        </w:rPr>
      </w:pPr>
      <w:r>
        <w:rPr>
          <w:rStyle w:val="textregularZchn"/>
          <w:rFonts w:cstheme="minorHAnsi"/>
          <w:lang w:val="ro"/>
        </w:rPr>
        <w:t xml:space="preserve">Pozițiile nete și prețurile sunt fixate de rezultatele din SDAC. Mai mult, capacitățile interzonale și restricțiile de alocare au fost deja luate în considerare de algoritmul de cuplare a piețelor. Capacitățile interzonale și restricțiile de alocare nu sunt astfel influențate de Schimburile Planificate calculate. </w:t>
      </w:r>
    </w:p>
    <w:p w14:paraId="658F4069" w14:textId="77777777" w:rsidR="007C4160" w:rsidRPr="004034CF" w:rsidRDefault="007C4160" w:rsidP="007C4160">
      <w:pPr>
        <w:pStyle w:val="ListParagraph"/>
        <w:rPr>
          <w:rStyle w:val="textregularZchn"/>
          <w:rFonts w:cstheme="minorHAnsi"/>
        </w:rPr>
      </w:pPr>
    </w:p>
    <w:p w14:paraId="43A6F0CF" w14:textId="2B500484" w:rsidR="00864F9C" w:rsidRPr="004034CF" w:rsidRDefault="0038164D" w:rsidP="00BF3DA8">
      <w:pPr>
        <w:pStyle w:val="ListParagraph"/>
        <w:numPr>
          <w:ilvl w:val="0"/>
          <w:numId w:val="5"/>
        </w:numPr>
        <w:spacing w:before="100" w:beforeAutospacing="1" w:after="100" w:afterAutospacing="1" w:line="276" w:lineRule="auto"/>
        <w:ind w:left="360"/>
        <w:rPr>
          <w:rFonts w:cstheme="minorHAnsi"/>
        </w:rPr>
      </w:pPr>
      <w:r>
        <w:rPr>
          <w:rStyle w:val="textregularZchn"/>
          <w:rFonts w:cstheme="minorHAnsi"/>
          <w:lang w:val="ro"/>
        </w:rPr>
        <w:t xml:space="preserve">În conformitate cu articolul 9 (9) din Regulamentul CACM, termenul propus pentru implementarea </w:t>
      </w:r>
      <w:r>
        <w:rPr>
          <w:rFonts w:cstheme="minorHAnsi"/>
          <w:color w:val="000000" w:themeColor="text1"/>
          <w:lang w:val="ro"/>
        </w:rPr>
        <w:t xml:space="preserve">Metodologiei DA SEC propusă este inclus în </w:t>
      </w:r>
      <w:r>
        <w:rPr>
          <w:rFonts w:cstheme="minorHAnsi"/>
          <w:lang w:val="ro"/>
        </w:rPr>
        <w:t>Propunerea DA SEC</w:t>
      </w:r>
      <w:r>
        <w:rPr>
          <w:rFonts w:cstheme="minorHAnsi"/>
          <w:color w:val="000000" w:themeColor="text1"/>
          <w:lang w:val="ro"/>
        </w:rPr>
        <w:t xml:space="preserve">. </w:t>
      </w:r>
    </w:p>
    <w:p w14:paraId="76711EEC" w14:textId="77777777" w:rsidR="00BD1996" w:rsidRPr="004034CF" w:rsidRDefault="00BD1996" w:rsidP="00BD1996">
      <w:pPr>
        <w:pStyle w:val="ListParagraph"/>
        <w:rPr>
          <w:rFonts w:cstheme="minorHAnsi"/>
        </w:rPr>
      </w:pPr>
    </w:p>
    <w:p w14:paraId="6CBC28E3" w14:textId="6D2309CC" w:rsidR="0076351D" w:rsidRPr="004034CF" w:rsidRDefault="00BD1996" w:rsidP="00BF3DA8">
      <w:pPr>
        <w:pStyle w:val="ListParagraph"/>
        <w:numPr>
          <w:ilvl w:val="0"/>
          <w:numId w:val="5"/>
        </w:numPr>
        <w:spacing w:before="100" w:beforeAutospacing="1" w:after="100" w:afterAutospacing="1" w:line="276" w:lineRule="auto"/>
        <w:ind w:left="360"/>
        <w:rPr>
          <w:rFonts w:cstheme="minorHAnsi"/>
        </w:rPr>
      </w:pPr>
      <w:r>
        <w:rPr>
          <w:rFonts w:cstheme="minorHAnsi"/>
          <w:lang w:val="ro"/>
        </w:rPr>
        <w:t xml:space="preserve">Implementarea Metodologiei DA SEC ar putea utiliza soluțiile elaborate pentru propunerea de algoritm în conformitate cu articolul 37 din Regulamentul CACM, acordurile elaborate în conformitate cu articolul 45 din Regulamentul CACM pentru mai mult de un OPEED în cadrul unei zone de ofertare și acordurile elaborate pentru compensare și decontare între </w:t>
      </w:r>
      <w:proofErr w:type="spellStart"/>
      <w:r>
        <w:rPr>
          <w:rFonts w:cstheme="minorHAnsi"/>
          <w:lang w:val="ro"/>
        </w:rPr>
        <w:t>contrapărțile</w:t>
      </w:r>
      <w:proofErr w:type="spellEnd"/>
      <w:r>
        <w:rPr>
          <w:rFonts w:cstheme="minorHAnsi"/>
          <w:lang w:val="ro"/>
        </w:rPr>
        <w:t xml:space="preserve"> centrale și agenții de transfer în conformitate cu articolul 77 din Regulamentul CACM. Astfel, implementarea ar trebui să aibă loc în cooperare cu OPEED-urile care aplică soluții comune pentru a asigura consistența și alinierea în calculele fluxurilor.</w:t>
      </w:r>
    </w:p>
    <w:p w14:paraId="09796E8D" w14:textId="77777777" w:rsidR="00864F9C" w:rsidRPr="004034CF" w:rsidRDefault="00864F9C" w:rsidP="00864F9C">
      <w:pPr>
        <w:pStyle w:val="ListParagraph"/>
        <w:rPr>
          <w:rFonts w:cstheme="minorHAnsi"/>
          <w:color w:val="000000" w:themeColor="text1"/>
        </w:rPr>
      </w:pPr>
    </w:p>
    <w:p w14:paraId="1292C1DC" w14:textId="1C2E8249" w:rsidR="0038164D" w:rsidRPr="004034CF" w:rsidRDefault="00864F9C" w:rsidP="00BF3DA8">
      <w:pPr>
        <w:pStyle w:val="ListParagraph"/>
        <w:numPr>
          <w:ilvl w:val="0"/>
          <w:numId w:val="5"/>
        </w:numPr>
        <w:spacing w:before="100" w:beforeAutospacing="1" w:after="100" w:afterAutospacing="1" w:line="276" w:lineRule="auto"/>
        <w:ind w:left="360"/>
        <w:rPr>
          <w:rStyle w:val="textregularZchn"/>
          <w:rFonts w:cstheme="minorHAnsi"/>
        </w:rPr>
      </w:pPr>
      <w:r>
        <w:rPr>
          <w:color w:val="000000" w:themeColor="text1"/>
          <w:lang w:val="ro"/>
        </w:rPr>
        <w:t xml:space="preserve">În conformitate cu articolul 9 (9) din Regulamentul CACM, impactul prevăzut al Metodologiei DA SEC </w:t>
      </w:r>
      <w:r>
        <w:rPr>
          <w:lang w:val="ro"/>
        </w:rPr>
        <w:t>asupra obiectivelor Regulamentului CACM</w:t>
      </w:r>
      <w:r>
        <w:rPr>
          <w:color w:val="000000" w:themeColor="text1"/>
          <w:lang w:val="ro"/>
        </w:rPr>
        <w:t xml:space="preserve"> trebuie să fie descris. </w:t>
      </w:r>
    </w:p>
    <w:p w14:paraId="2323D5F6" w14:textId="77777777" w:rsidR="004A1545" w:rsidRPr="004034CF" w:rsidRDefault="004A1545">
      <w:pPr>
        <w:pStyle w:val="ListParagraph"/>
        <w:spacing w:after="120" w:line="276" w:lineRule="auto"/>
        <w:rPr>
          <w:rStyle w:val="textregularZchn"/>
          <w:rFonts w:cstheme="minorHAnsi"/>
          <w:color w:val="000000" w:themeColor="text1"/>
        </w:rPr>
      </w:pPr>
    </w:p>
    <w:p w14:paraId="30D40B52" w14:textId="604AD745" w:rsidR="00F77B3F"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(a) din </w:t>
      </w:r>
      <w:bookmarkStart w:id="8" w:name="_Hlk501367339"/>
      <w:r>
        <w:rPr>
          <w:rFonts w:cstheme="minorHAnsi"/>
          <w:color w:val="000000" w:themeColor="text1"/>
          <w:lang w:val="ro"/>
        </w:rPr>
        <w:t xml:space="preserve">Regulamentul CACM </w:t>
      </w:r>
      <w:bookmarkEnd w:id="8"/>
      <w:r>
        <w:rPr>
          <w:rFonts w:cstheme="minorHAnsi"/>
          <w:color w:val="000000" w:themeColor="text1"/>
          <w:lang w:val="ro"/>
        </w:rPr>
        <w:t xml:space="preserve">are drept scop promovarea concurenței eficiente în generarea, comercializarea și furnizarea energiei electrice. </w:t>
      </w:r>
    </w:p>
    <w:p w14:paraId="51C3112B" w14:textId="78148A02" w:rsidR="00D066A3"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color w:val="000000" w:themeColor="text1"/>
          <w:lang w:val="ro"/>
        </w:rPr>
        <w:t xml:space="preserve">Metodologia DA SEC, întrucât este derivată din rezultatele SDAC, nu are influență asupra competiției în generarea, comercializarea și furnizarea energiei electrice. </w:t>
      </w:r>
    </w:p>
    <w:p w14:paraId="43768A4B" w14:textId="77777777" w:rsidR="005B3B49" w:rsidRPr="004034CF" w:rsidRDefault="005B3B49" w:rsidP="00097D19">
      <w:pPr>
        <w:pStyle w:val="ListParagraph"/>
        <w:spacing w:after="120" w:line="276" w:lineRule="auto"/>
        <w:ind w:left="1092"/>
        <w:rPr>
          <w:rFonts w:cstheme="minorHAnsi"/>
          <w:color w:val="000000" w:themeColor="text1"/>
        </w:rPr>
      </w:pPr>
    </w:p>
    <w:p w14:paraId="35A439C3" w14:textId="77A41208" w:rsidR="00F77B3F" w:rsidRPr="004034CF" w:rsidRDefault="004A1545" w:rsidP="00A84E39">
      <w:pPr>
        <w:pStyle w:val="ListParagraph"/>
        <w:numPr>
          <w:ilvl w:val="0"/>
          <w:numId w:val="8"/>
        </w:numPr>
        <w:spacing w:after="120" w:line="276" w:lineRule="auto"/>
        <w:ind w:left="720"/>
        <w:rPr>
          <w:rFonts w:cstheme="minorHAnsi"/>
        </w:rPr>
      </w:pPr>
      <w:r>
        <w:rPr>
          <w:rFonts w:cstheme="minorHAnsi"/>
          <w:lang w:val="ro"/>
        </w:rPr>
        <w:t xml:space="preserve">Articolul 3 (b) din </w:t>
      </w:r>
      <w:r>
        <w:rPr>
          <w:rFonts w:cstheme="minorHAnsi"/>
          <w:color w:val="000000" w:themeColor="text1"/>
          <w:lang w:val="ro"/>
        </w:rPr>
        <w:t xml:space="preserve">Regulamentul CACM </w:t>
      </w:r>
      <w:r>
        <w:rPr>
          <w:rFonts w:cstheme="minorHAnsi"/>
          <w:lang w:val="ro"/>
        </w:rPr>
        <w:t xml:space="preserve">are obiectivul de a asigura utilizarea optimă a infrastructurii de transport. </w:t>
      </w:r>
    </w:p>
    <w:p w14:paraId="7848B17F" w14:textId="77777777" w:rsidR="005E77D8" w:rsidRPr="004034CF" w:rsidRDefault="0039692F" w:rsidP="00A84E39">
      <w:pPr>
        <w:pStyle w:val="ListParagraph"/>
        <w:numPr>
          <w:ilvl w:val="1"/>
          <w:numId w:val="8"/>
        </w:numPr>
        <w:spacing w:after="120" w:line="276" w:lineRule="auto"/>
        <w:ind w:left="1440"/>
        <w:rPr>
          <w:rFonts w:cstheme="minorHAnsi"/>
        </w:rPr>
      </w:pPr>
      <w:r>
        <w:rPr>
          <w:rFonts w:cstheme="minorHAnsi"/>
          <w:lang w:val="ro"/>
        </w:rPr>
        <w:t>Schimburile Planificate care rezultă din Metodologia DA SEC sunt derivate din rezultatele cuplării pieței unice pentru ziua următoare, adică acestea se bazează pe:</w:t>
      </w:r>
    </w:p>
    <w:p w14:paraId="17CE562A" w14:textId="3B4503F8" w:rsidR="005E77D8" w:rsidRPr="004034CF" w:rsidRDefault="005E77D8" w:rsidP="00A84E39">
      <w:pPr>
        <w:pStyle w:val="ListParagraph"/>
        <w:numPr>
          <w:ilvl w:val="2"/>
          <w:numId w:val="8"/>
        </w:numPr>
        <w:spacing w:after="120" w:line="276" w:lineRule="auto"/>
        <w:ind w:left="2160"/>
        <w:rPr>
          <w:rFonts w:cstheme="minorHAnsi"/>
        </w:rPr>
      </w:pPr>
      <w:r>
        <w:rPr>
          <w:rFonts w:cstheme="minorHAnsi"/>
          <w:lang w:val="ro"/>
        </w:rPr>
        <w:t xml:space="preserve">Pozițiile nete ale zonelor de ofertare și ariilor de planificare; </w:t>
      </w:r>
    </w:p>
    <w:p w14:paraId="61CC5ADA" w14:textId="77777777" w:rsidR="005E77D8" w:rsidRPr="004034CF" w:rsidRDefault="005E77D8" w:rsidP="00A84E39">
      <w:pPr>
        <w:pStyle w:val="ListParagraph"/>
        <w:numPr>
          <w:ilvl w:val="2"/>
          <w:numId w:val="8"/>
        </w:numPr>
        <w:spacing w:after="120" w:line="276" w:lineRule="auto"/>
        <w:ind w:left="2160"/>
        <w:rPr>
          <w:rFonts w:cstheme="minorHAnsi"/>
        </w:rPr>
      </w:pPr>
      <w:r>
        <w:rPr>
          <w:rFonts w:cstheme="minorHAnsi"/>
          <w:lang w:val="ro"/>
        </w:rPr>
        <w:t xml:space="preserve">Capacitățile alocate sub forma Fluxurilor Planificate între granițele zonei de ofertare. </w:t>
      </w:r>
    </w:p>
    <w:p w14:paraId="77C655FA" w14:textId="77777777" w:rsidR="004A1545" w:rsidRPr="004034CF" w:rsidRDefault="004A1545" w:rsidP="00097D19">
      <w:pPr>
        <w:pStyle w:val="ListParagraph"/>
        <w:spacing w:after="120" w:line="276" w:lineRule="auto"/>
        <w:ind w:left="372"/>
        <w:rPr>
          <w:rFonts w:cstheme="minorHAnsi"/>
          <w:color w:val="000000" w:themeColor="text1"/>
          <w:highlight w:val="red"/>
        </w:rPr>
      </w:pPr>
    </w:p>
    <w:p w14:paraId="0EDD5088" w14:textId="795195AD" w:rsidR="00F77B3F"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(c) din Regulamentul CACM are obiectivul de a asigura siguranța în funcționare. </w:t>
      </w:r>
    </w:p>
    <w:p w14:paraId="5B673CDC" w14:textId="1E91B024" w:rsidR="00AE087E" w:rsidRPr="004034CF" w:rsidRDefault="004A1545" w:rsidP="00A84E39">
      <w:pPr>
        <w:pStyle w:val="ListParagraph"/>
        <w:numPr>
          <w:ilvl w:val="1"/>
          <w:numId w:val="8"/>
        </w:numPr>
        <w:spacing w:after="120" w:line="276" w:lineRule="auto"/>
        <w:ind w:left="1440"/>
        <w:rPr>
          <w:rFonts w:cstheme="minorHAnsi"/>
        </w:rPr>
      </w:pPr>
      <w:r>
        <w:rPr>
          <w:rFonts w:cstheme="minorHAnsi"/>
          <w:lang w:val="ro"/>
        </w:rPr>
        <w:t xml:space="preserve">Metodologia DA SEC </w:t>
      </w:r>
      <w:r>
        <w:rPr>
          <w:rFonts w:cstheme="minorHAnsi"/>
          <w:color w:val="000000" w:themeColor="text1"/>
          <w:lang w:val="ro"/>
        </w:rPr>
        <w:t xml:space="preserve">este realizată de Calculatorul Schimburilor Planificate prin aplicarea directă a rezultatelor SDAC, după primirea datelor de ieșire structurate în cadrul listei de informații solicitate din partea tuturor OPEED-urilor, așa cum se prevede la articolul 3 din prezenta </w:t>
      </w:r>
      <w:r>
        <w:rPr>
          <w:rFonts w:cstheme="minorHAnsi"/>
          <w:lang w:val="ro"/>
        </w:rPr>
        <w:t>Metodologie DA SEC, și capacităților de alocare sub forma Fluxurilor Planificate</w:t>
      </w:r>
      <w:r>
        <w:rPr>
          <w:rFonts w:cstheme="minorHAnsi"/>
          <w:color w:val="000000" w:themeColor="text1"/>
          <w:lang w:val="ro"/>
        </w:rPr>
        <w:t xml:space="preserve">. Lista informațiilor oferite de toate OPEED-urile Calculatorului Schimburilor Planificate și tuturor OTS-urilor rezultă din finalizarea sesiunii de cuplare a pieței unice pentru ziua următoare, cu respectarea tuturor restricțiilor definite de OTS-uri pentru a menține </w:t>
      </w:r>
      <w:r>
        <w:rPr>
          <w:rFonts w:cstheme="minorHAnsi"/>
          <w:lang w:val="ro"/>
        </w:rPr>
        <w:t>siguranța în funcționare</w:t>
      </w:r>
      <w:r>
        <w:rPr>
          <w:rFonts w:cstheme="minorHAnsi"/>
          <w:color w:val="000000" w:themeColor="text1"/>
          <w:lang w:val="ro"/>
        </w:rPr>
        <w:t xml:space="preserve">. </w:t>
      </w:r>
      <w:r>
        <w:rPr>
          <w:rFonts w:cstheme="minorHAnsi"/>
          <w:lang w:val="ro"/>
        </w:rPr>
        <w:t>Metodologia DA SEC este inițiată post-</w:t>
      </w:r>
      <w:r>
        <w:rPr>
          <w:rFonts w:cstheme="minorHAnsi"/>
          <w:color w:val="000000" w:themeColor="text1"/>
          <w:lang w:val="ro"/>
        </w:rPr>
        <w:t>SDAC</w:t>
      </w:r>
      <w:r>
        <w:rPr>
          <w:rFonts w:cstheme="minorHAnsi"/>
          <w:lang w:val="ro"/>
        </w:rPr>
        <w:t xml:space="preserve"> și nu are nicio influență asupra siguranței în funcționare în conformitate cu Regulamentul CACM.</w:t>
      </w:r>
    </w:p>
    <w:p w14:paraId="22969A64" w14:textId="77777777" w:rsidR="0039692F" w:rsidRPr="004034CF" w:rsidRDefault="0039692F" w:rsidP="00097D19">
      <w:pPr>
        <w:pStyle w:val="ListParagraph"/>
        <w:spacing w:after="120" w:line="276" w:lineRule="auto"/>
        <w:ind w:left="1092"/>
        <w:rPr>
          <w:rFonts w:cstheme="minorHAnsi"/>
          <w:color w:val="000000" w:themeColor="text1"/>
        </w:rPr>
      </w:pPr>
    </w:p>
    <w:p w14:paraId="06ADB956" w14:textId="4487E789" w:rsidR="00F77B3F"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(d) din Regulamentul CACM are obiectivul de a optimiza calculul și alocarea capacităților interzonale. </w:t>
      </w:r>
    </w:p>
    <w:p w14:paraId="51ABC4E6" w14:textId="1D85A8C2" w:rsidR="00D05EE6" w:rsidRPr="004034CF" w:rsidRDefault="00D81E7B" w:rsidP="00A84E39">
      <w:pPr>
        <w:pStyle w:val="ListParagraph"/>
        <w:numPr>
          <w:ilvl w:val="1"/>
          <w:numId w:val="8"/>
        </w:numPr>
        <w:spacing w:after="120" w:line="276" w:lineRule="auto"/>
        <w:ind w:left="1440"/>
        <w:rPr>
          <w:rFonts w:cstheme="minorHAnsi"/>
          <w:color w:val="000000" w:themeColor="text1"/>
        </w:rPr>
      </w:pPr>
      <w:r>
        <w:rPr>
          <w:rFonts w:cstheme="minorHAnsi"/>
          <w:lang w:val="ro"/>
        </w:rPr>
        <w:t>Schimburile Planificate care rezultă din SDAC nu modifică ci doar reflectă rezultatele sesiunii cuplării pieței unice pentru ziua următoare.</w:t>
      </w:r>
    </w:p>
    <w:p w14:paraId="45AD8F49" w14:textId="77777777" w:rsidR="0039692F" w:rsidRPr="004034CF" w:rsidRDefault="0039692F" w:rsidP="00097D19">
      <w:pPr>
        <w:pStyle w:val="ListParagraph"/>
        <w:spacing w:after="120" w:line="276" w:lineRule="auto"/>
        <w:ind w:left="1092"/>
        <w:rPr>
          <w:rFonts w:cstheme="minorHAnsi"/>
          <w:color w:val="000000" w:themeColor="text1"/>
        </w:rPr>
      </w:pPr>
    </w:p>
    <w:p w14:paraId="2E5EB44B" w14:textId="73821795" w:rsidR="00631298"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lastRenderedPageBreak/>
        <w:t xml:space="preserve">Articolul 3 (e) din Regulamentul CACM are obiectivul de a asigura un tratament echitabil și nediscriminatoriu pentru OTS-uri, OPEED-uri, agenție, autoritățile de reglementare și participanții la piață. </w:t>
      </w:r>
    </w:p>
    <w:p w14:paraId="023773BF" w14:textId="0AFF0CA0" w:rsidR="004A1545"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este echitabilă, transparentă și bazată pe rezultatele SDAC. </w:t>
      </w:r>
    </w:p>
    <w:p w14:paraId="24601957" w14:textId="77777777" w:rsidR="00313FDF" w:rsidRPr="004034CF" w:rsidRDefault="00313FDF" w:rsidP="00097D19">
      <w:pPr>
        <w:pStyle w:val="ListParagraph"/>
        <w:spacing w:after="120" w:line="276" w:lineRule="auto"/>
        <w:ind w:left="1092"/>
        <w:rPr>
          <w:rFonts w:cstheme="minorHAnsi"/>
          <w:color w:val="000000" w:themeColor="text1"/>
        </w:rPr>
      </w:pPr>
    </w:p>
    <w:p w14:paraId="15B8E5DE" w14:textId="52223F52" w:rsidR="00756FA7"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(f) din Regulamentul CACM are obiectivul de a asigurare și îmbunătăți transparența și fiabilitatea informațiilor. </w:t>
      </w:r>
    </w:p>
    <w:p w14:paraId="71573629" w14:textId="4D14BB3D" w:rsidR="00313FDF"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cuprinde o metodă etapizată, de sus în jos (de la zona de ofertare la aria de planificare) pentru calculul Schimburilor Planificate, ceea ce asigură și îmbunătățește transparența și fiabilitatea </w:t>
      </w:r>
      <w:r>
        <w:rPr>
          <w:rFonts w:cstheme="minorHAnsi"/>
          <w:lang w:val="ro"/>
        </w:rPr>
        <w:t>Metodologiei DA SEC</w:t>
      </w:r>
      <w:r>
        <w:rPr>
          <w:rFonts w:cstheme="minorHAnsi"/>
          <w:color w:val="000000" w:themeColor="text1"/>
          <w:lang w:val="ro"/>
        </w:rPr>
        <w:t xml:space="preserve">. </w:t>
      </w:r>
    </w:p>
    <w:p w14:paraId="39C5ABCB" w14:textId="77777777" w:rsidR="00BE3CE7" w:rsidRPr="004034CF" w:rsidRDefault="004A1545" w:rsidP="00097D19">
      <w:pPr>
        <w:pStyle w:val="ListParagraph"/>
        <w:spacing w:after="120" w:line="276" w:lineRule="auto"/>
        <w:ind w:left="1092"/>
        <w:rPr>
          <w:rFonts w:cstheme="minorHAnsi"/>
          <w:color w:val="000000" w:themeColor="text1"/>
        </w:rPr>
      </w:pPr>
      <w:r>
        <w:rPr>
          <w:rFonts w:cstheme="minorHAnsi"/>
          <w:color w:val="000000" w:themeColor="text1"/>
          <w:lang w:val="ro"/>
        </w:rPr>
        <w:t xml:space="preserve"> </w:t>
      </w:r>
    </w:p>
    <w:p w14:paraId="6F5C6FF9" w14:textId="470B81A0" w:rsidR="00BE3CE7"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(g) din Regulamentul CACM are obiectivul de a contribui la funcționarea și dezvoltarea eficientă și pe termen lung a sistemelor de transport al energiei electrice și a sectorului energiei electrice din Uniune. </w:t>
      </w:r>
    </w:p>
    <w:p w14:paraId="48408C82" w14:textId="2DFF973A" w:rsidR="004A1545"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a fost elaborată în spiritul Codului inter-Rețea pentru a contribui la dezvoltarea eficientă a pieței de electricitate pentru ziua următoare în Europa. </w:t>
      </w:r>
      <w:r>
        <w:rPr>
          <w:rFonts w:cstheme="minorHAnsi"/>
          <w:lang w:val="ro"/>
        </w:rPr>
        <w:t>Metodologia DA SEC</w:t>
      </w:r>
      <w:r>
        <w:rPr>
          <w:rFonts w:cstheme="minorHAnsi"/>
          <w:color w:val="000000" w:themeColor="text1"/>
          <w:lang w:val="ro"/>
        </w:rPr>
        <w:t xml:space="preserve"> facilitează prin structura sa funcționarea și dezvoltarea eficientă și pe termen lung a sistemului de transport european. </w:t>
      </w:r>
    </w:p>
    <w:p w14:paraId="6F5B2407" w14:textId="77777777" w:rsidR="00313FDF" w:rsidRPr="004034CF" w:rsidRDefault="00313FDF" w:rsidP="00097D19">
      <w:pPr>
        <w:pStyle w:val="ListParagraph"/>
        <w:spacing w:after="120" w:line="276" w:lineRule="auto"/>
        <w:ind w:left="1092"/>
        <w:rPr>
          <w:rFonts w:cstheme="minorHAnsi"/>
          <w:color w:val="000000" w:themeColor="text1"/>
        </w:rPr>
      </w:pPr>
    </w:p>
    <w:p w14:paraId="1682015A" w14:textId="5EC09F69" w:rsidR="00A86DBE"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(h) din Regulamentul CACM are obiectivul respectării necesității unei piețe echitabile și ordonate și a unei formări a prețurilor echitabile și ordonate. </w:t>
      </w:r>
    </w:p>
    <w:p w14:paraId="147AA740" w14:textId="6E026A25" w:rsidR="004A1545"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nu intervine asupra și nu compromite anonimitatea participanților la piață, întrucât nu are nicio influență asupra rezultatelor SDAC. </w:t>
      </w:r>
    </w:p>
    <w:p w14:paraId="406EF5A7" w14:textId="77777777" w:rsidR="00E00B0B" w:rsidRPr="004034CF" w:rsidRDefault="00E00B0B" w:rsidP="00097D19">
      <w:pPr>
        <w:pStyle w:val="ListParagraph"/>
        <w:spacing w:after="120" w:line="276" w:lineRule="auto"/>
        <w:ind w:left="1092"/>
        <w:rPr>
          <w:rFonts w:cstheme="minorHAnsi"/>
          <w:color w:val="000000" w:themeColor="text1"/>
        </w:rPr>
      </w:pPr>
    </w:p>
    <w:p w14:paraId="7BD2D25E" w14:textId="5E683711" w:rsidR="00E00B0B"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(i) din Regulamentul CACM are obiectivul de a crea condiții de concurență echitabile pentru OPEED-uri. </w:t>
      </w:r>
    </w:p>
    <w:p w14:paraId="61DD6405" w14:textId="2F444AF8" w:rsidR="00CB73E8" w:rsidRPr="004034CF" w:rsidRDefault="00CB73E8"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creează condiții de concurență echitabilă pentru OPEED-uri și nu are nicio influență asupra rezultatelor SDAC. În plus, </w:t>
      </w:r>
      <w:r>
        <w:rPr>
          <w:rFonts w:cstheme="minorHAnsi"/>
          <w:lang w:val="ro"/>
        </w:rPr>
        <w:t>Metodologia DA SEC</w:t>
      </w:r>
      <w:r>
        <w:rPr>
          <w:rFonts w:cstheme="minorHAnsi"/>
          <w:color w:val="000000" w:themeColor="text1"/>
          <w:lang w:val="ro"/>
        </w:rPr>
        <w:t xml:space="preserve"> permite scenarii în care există OPEED-uri multiple în cadrul unei zone de ofertare sau arii de planificare.</w:t>
      </w:r>
    </w:p>
    <w:p w14:paraId="05530809" w14:textId="77777777" w:rsidR="00E00B0B" w:rsidRPr="004034CF" w:rsidRDefault="00E00B0B" w:rsidP="00097D19">
      <w:pPr>
        <w:pStyle w:val="ListParagraph"/>
        <w:spacing w:after="120" w:line="276" w:lineRule="auto"/>
        <w:ind w:left="1092"/>
        <w:rPr>
          <w:rFonts w:cstheme="minorHAnsi"/>
          <w:color w:val="000000" w:themeColor="text1"/>
        </w:rPr>
      </w:pPr>
    </w:p>
    <w:p w14:paraId="5D67EA2E" w14:textId="5504D329" w:rsidR="00CB73E8" w:rsidRPr="004034CF" w:rsidRDefault="004A1545" w:rsidP="00A84E39">
      <w:pPr>
        <w:pStyle w:val="ListParagraph"/>
        <w:numPr>
          <w:ilvl w:val="0"/>
          <w:numId w:val="8"/>
        </w:numPr>
        <w:spacing w:after="120" w:line="276" w:lineRule="auto"/>
        <w:ind w:left="720"/>
        <w:rPr>
          <w:rFonts w:cstheme="minorHAnsi"/>
          <w:color w:val="000000" w:themeColor="text1"/>
        </w:rPr>
      </w:pPr>
      <w:r>
        <w:rPr>
          <w:rFonts w:cstheme="minorHAnsi"/>
          <w:color w:val="000000" w:themeColor="text1"/>
          <w:lang w:val="ro"/>
        </w:rPr>
        <w:t xml:space="preserve">Articolul 3 (j) din Regulamentul CACM are obiectivul de a oferi acces nediscriminatoriu la capacitatea interzonală. </w:t>
      </w:r>
    </w:p>
    <w:p w14:paraId="768FC74A" w14:textId="77777777" w:rsidR="004A1545" w:rsidRPr="004034CF" w:rsidRDefault="004A1545" w:rsidP="00A84E39">
      <w:pPr>
        <w:pStyle w:val="ListParagraph"/>
        <w:numPr>
          <w:ilvl w:val="1"/>
          <w:numId w:val="8"/>
        </w:numPr>
        <w:spacing w:after="120" w:line="276" w:lineRule="auto"/>
        <w:ind w:left="1440"/>
        <w:rPr>
          <w:rFonts w:cstheme="minorHAnsi"/>
          <w:color w:val="000000" w:themeColor="text1"/>
        </w:rPr>
      </w:pPr>
      <w:r>
        <w:rPr>
          <w:rFonts w:cstheme="minorHAnsi"/>
          <w:lang w:val="ro"/>
        </w:rPr>
        <w:t>Metodologia DA SEC</w:t>
      </w:r>
      <w:r>
        <w:rPr>
          <w:rFonts w:cstheme="minorHAnsi"/>
          <w:color w:val="000000" w:themeColor="text1"/>
          <w:lang w:val="ro"/>
        </w:rPr>
        <w:t xml:space="preserve"> nu intervine asupra furnizării și nici asupra alocării capacității interzonale.</w:t>
      </w:r>
    </w:p>
    <w:p w14:paraId="04DD6742" w14:textId="77777777" w:rsidR="001634B3" w:rsidRPr="004034CF" w:rsidRDefault="001634B3" w:rsidP="001634B3">
      <w:pPr>
        <w:pStyle w:val="ListParagraph"/>
        <w:spacing w:after="120" w:line="276" w:lineRule="auto"/>
        <w:ind w:left="2148"/>
        <w:rPr>
          <w:rFonts w:cstheme="minorHAnsi"/>
          <w:color w:val="000000" w:themeColor="text1"/>
        </w:rPr>
      </w:pPr>
    </w:p>
    <w:p w14:paraId="3CCF0EBE" w14:textId="77777777" w:rsidR="00F85733" w:rsidRPr="004034CF" w:rsidRDefault="00F85733" w:rsidP="00F85733">
      <w:pPr>
        <w:spacing w:after="120" w:line="276" w:lineRule="auto"/>
        <w:rPr>
          <w:rFonts w:cstheme="minorHAnsi"/>
          <w:color w:val="000000" w:themeColor="text1"/>
        </w:rPr>
      </w:pPr>
      <w:r>
        <w:rPr>
          <w:lang w:val="ro"/>
        </w:rPr>
        <w:t>PREZENTA METODOLOGIE DA SEC ESTE ÎNAINTATĂ TUTUROR AUTORITĂȚILOR DE REGLEMENTARE:</w:t>
      </w:r>
    </w:p>
    <w:p w14:paraId="6E75589A" w14:textId="77777777" w:rsidR="008A0967" w:rsidRPr="004034CF" w:rsidRDefault="00D070C8" w:rsidP="00E0645C">
      <w:pPr>
        <w:pStyle w:val="headline1"/>
        <w:keepNext/>
        <w:rPr>
          <w:rFonts w:asciiTheme="minorHAnsi" w:hAnsiTheme="minorHAnsi" w:cstheme="minorHAnsi"/>
        </w:rPr>
      </w:pPr>
      <w:bookmarkStart w:id="9" w:name="_Toc432586789"/>
      <w:bookmarkStart w:id="10" w:name="_Toc432586769"/>
      <w:bookmarkStart w:id="11" w:name="_Toc508618100"/>
      <w:r>
        <w:rPr>
          <w:rFonts w:asciiTheme="minorHAnsi" w:hAnsiTheme="minorHAnsi" w:cstheme="minorHAnsi"/>
          <w:bCs/>
          <w:lang w:val="ro"/>
        </w:rPr>
        <w:t>Articolul 1 - Obiect și domeniu de aplicare</w:t>
      </w:r>
      <w:bookmarkEnd w:id="9"/>
      <w:bookmarkEnd w:id="10"/>
      <w:bookmarkEnd w:id="11"/>
    </w:p>
    <w:p w14:paraId="26D4F406" w14:textId="1D9A00BA" w:rsidR="00A73381" w:rsidRPr="004034CF" w:rsidRDefault="00A73381" w:rsidP="00A84E39">
      <w:pPr>
        <w:pStyle w:val="ListParagraph"/>
        <w:numPr>
          <w:ilvl w:val="0"/>
          <w:numId w:val="18"/>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Toate OTS-urile stipulează în prezenta Propunere DA SEC cerințele privind calculul Schimburilor Planificate</w:t>
      </w:r>
      <w:bookmarkStart w:id="12" w:name="_Hlk501368068"/>
      <w:r>
        <w:rPr>
          <w:rFonts w:cstheme="minorHAnsi"/>
          <w:color w:val="000000" w:themeColor="text1"/>
          <w:lang w:val="ro"/>
        </w:rPr>
        <w:t xml:space="preserve"> care rezultă din SDAC, informațiile necesare din partea tuturor OPEED-urilor pentru calcul, </w:t>
      </w:r>
      <w:r>
        <w:rPr>
          <w:rFonts w:cstheme="minorHAnsi"/>
          <w:color w:val="000000" w:themeColor="text1"/>
          <w:lang w:val="ro"/>
        </w:rPr>
        <w:lastRenderedPageBreak/>
        <w:t>stabilirea Calculatorului Schimburilor Planificate, procesul de calcul, metodologia și descrierea ecuațiilor solicitate.</w:t>
      </w:r>
      <w:bookmarkEnd w:id="12"/>
    </w:p>
    <w:p w14:paraId="52A24932" w14:textId="77777777" w:rsidR="001634B3" w:rsidRPr="004034CF" w:rsidRDefault="001634B3" w:rsidP="001634B3">
      <w:pPr>
        <w:pStyle w:val="ListParagraph"/>
        <w:spacing w:before="100" w:beforeAutospacing="1" w:after="100" w:afterAutospacing="1" w:line="276" w:lineRule="auto"/>
        <w:ind w:left="360"/>
        <w:rPr>
          <w:rFonts w:cstheme="minorHAnsi"/>
          <w:color w:val="000000" w:themeColor="text1"/>
        </w:rPr>
      </w:pPr>
    </w:p>
    <w:p w14:paraId="36DED3CA" w14:textId="77777777" w:rsidR="002B2A81" w:rsidRPr="004034CF" w:rsidRDefault="00D8242A" w:rsidP="00A84E39">
      <w:pPr>
        <w:pStyle w:val="ListParagraph"/>
        <w:numPr>
          <w:ilvl w:val="0"/>
          <w:numId w:val="18"/>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Datele de ieșire pentru Metodologia DA SEC aplicată sunt:</w:t>
      </w:r>
    </w:p>
    <w:p w14:paraId="1D6FB0F2" w14:textId="77777777" w:rsidR="00397038" w:rsidRPr="004034CF" w:rsidRDefault="00397038" w:rsidP="00A84E39">
      <w:pPr>
        <w:pStyle w:val="ListParagraph"/>
        <w:numPr>
          <w:ilvl w:val="0"/>
          <w:numId w:val="10"/>
        </w:numPr>
        <w:spacing w:before="100" w:beforeAutospacing="1" w:after="100" w:afterAutospacing="1" w:line="276" w:lineRule="auto"/>
        <w:rPr>
          <w:rFonts w:cstheme="minorHAnsi"/>
          <w:color w:val="000000" w:themeColor="text1"/>
        </w:rPr>
      </w:pPr>
      <w:r>
        <w:rPr>
          <w:rFonts w:cstheme="minorHAnsi"/>
          <w:color w:val="000000" w:themeColor="text1"/>
          <w:lang w:val="ro"/>
        </w:rPr>
        <w:t>Schimburi Planificate între zonele de ofertare</w:t>
      </w:r>
    </w:p>
    <w:p w14:paraId="60E3EF1B" w14:textId="77777777" w:rsidR="00D8242A" w:rsidRPr="004034CF" w:rsidRDefault="00D81E7B" w:rsidP="00A84E39">
      <w:pPr>
        <w:pStyle w:val="ListParagraph"/>
        <w:numPr>
          <w:ilvl w:val="0"/>
          <w:numId w:val="10"/>
        </w:numPr>
        <w:spacing w:before="100" w:beforeAutospacing="1" w:after="100" w:afterAutospacing="1" w:line="276" w:lineRule="auto"/>
        <w:rPr>
          <w:rFonts w:cstheme="minorHAnsi"/>
          <w:color w:val="000000" w:themeColor="text1"/>
        </w:rPr>
      </w:pPr>
      <w:bookmarkStart w:id="13" w:name="_Hlk505857021"/>
      <w:r>
        <w:rPr>
          <w:rFonts w:cstheme="minorHAnsi"/>
          <w:color w:val="000000" w:themeColor="text1"/>
          <w:lang w:val="ro"/>
        </w:rPr>
        <w:t>Schimburi Planificate între ariile de planificare</w:t>
      </w:r>
      <w:bookmarkEnd w:id="13"/>
    </w:p>
    <w:p w14:paraId="208AA921" w14:textId="77777777" w:rsidR="009B1BD7" w:rsidRPr="004034CF" w:rsidRDefault="009B1BD7" w:rsidP="009B1BD7">
      <w:pPr>
        <w:pStyle w:val="ListParagraph"/>
        <w:spacing w:before="100" w:beforeAutospacing="1" w:after="100" w:afterAutospacing="1" w:line="276" w:lineRule="auto"/>
        <w:rPr>
          <w:rFonts w:cstheme="minorHAnsi"/>
          <w:color w:val="000000" w:themeColor="text1"/>
        </w:rPr>
      </w:pPr>
    </w:p>
    <w:p w14:paraId="02872571" w14:textId="4F95D936" w:rsidR="00245C26" w:rsidRPr="004034CF" w:rsidRDefault="00D22908" w:rsidP="00A84E39">
      <w:pPr>
        <w:pStyle w:val="ListParagraph"/>
        <w:numPr>
          <w:ilvl w:val="0"/>
          <w:numId w:val="18"/>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 xml:space="preserve">Domeniul de aplicare al Metodologiei DA SEC nu include alocarea de roluri și responsabilități către părți specifice. </w:t>
      </w:r>
      <w:bookmarkStart w:id="14" w:name="_Hlk501368189"/>
      <w:r>
        <w:rPr>
          <w:rFonts w:cstheme="minorHAnsi"/>
          <w:color w:val="000000" w:themeColor="text1"/>
          <w:lang w:val="ro"/>
        </w:rPr>
        <w:t>De asemenea, nici cadrul de guvernanță pentru roluri sau responsabilități specifice nu face parte din domeniul de aplicare al</w:t>
      </w:r>
      <w:bookmarkEnd w:id="14"/>
      <w:r>
        <w:rPr>
          <w:rFonts w:cstheme="minorHAnsi"/>
          <w:color w:val="000000" w:themeColor="text1"/>
          <w:lang w:val="ro"/>
        </w:rPr>
        <w:t xml:space="preserve"> Propunerii DA SEC. Aceste aspecte sunt definite de OTS-uri, acolo unde este necesar în conformitate cu articolul 8 (2g) din </w:t>
      </w:r>
      <w:bookmarkStart w:id="15" w:name="_Hlk501368221"/>
      <w:r>
        <w:rPr>
          <w:rFonts w:cstheme="minorHAnsi"/>
          <w:color w:val="000000" w:themeColor="text1"/>
          <w:lang w:val="ro"/>
        </w:rPr>
        <w:t>Regulamentul CACM</w:t>
      </w:r>
      <w:bookmarkEnd w:id="15"/>
      <w:r>
        <w:rPr>
          <w:rFonts w:cstheme="minorHAnsi"/>
          <w:color w:val="000000" w:themeColor="text1"/>
          <w:lang w:val="ro"/>
        </w:rPr>
        <w:t xml:space="preserve">. </w:t>
      </w:r>
      <w:bookmarkStart w:id="16" w:name="_Toc432586790"/>
      <w:bookmarkStart w:id="17" w:name="_Toc432586770"/>
    </w:p>
    <w:p w14:paraId="15B41A59" w14:textId="77777777" w:rsidR="009B1BD7" w:rsidRPr="004034CF" w:rsidRDefault="009B1BD7" w:rsidP="009B1BD7">
      <w:pPr>
        <w:pStyle w:val="ListParagraph"/>
        <w:spacing w:before="100" w:beforeAutospacing="1" w:after="100" w:afterAutospacing="1" w:line="276" w:lineRule="auto"/>
        <w:ind w:left="360"/>
        <w:rPr>
          <w:rFonts w:cstheme="minorHAnsi"/>
          <w:color w:val="000000" w:themeColor="text1"/>
        </w:rPr>
      </w:pPr>
    </w:p>
    <w:p w14:paraId="396387F3" w14:textId="37640F37" w:rsidR="000E0799" w:rsidRPr="004034CF" w:rsidRDefault="004C0185" w:rsidP="00A84E39">
      <w:pPr>
        <w:pStyle w:val="ListParagraph"/>
        <w:numPr>
          <w:ilvl w:val="0"/>
          <w:numId w:val="18"/>
        </w:numPr>
        <w:spacing w:before="100" w:beforeAutospacing="1" w:after="100" w:afterAutospacing="1" w:line="276" w:lineRule="auto"/>
        <w:ind w:left="360"/>
        <w:rPr>
          <w:rFonts w:cstheme="minorHAnsi"/>
          <w:color w:val="000000" w:themeColor="text1"/>
        </w:rPr>
      </w:pPr>
      <w:r>
        <w:rPr>
          <w:rFonts w:cstheme="minorHAnsi"/>
          <w:color w:val="000000" w:themeColor="text1"/>
          <w:lang w:val="ro"/>
        </w:rPr>
        <w:t xml:space="preserve">Metodologia DA SEC se aplică OTS-urilor care intenționează să calculeze Schimburile Planificate </w:t>
      </w:r>
      <w:bookmarkStart w:id="18" w:name="_Hlk501368097"/>
      <w:r>
        <w:rPr>
          <w:rFonts w:cstheme="minorHAnsi"/>
          <w:color w:val="000000" w:themeColor="text1"/>
          <w:lang w:val="ro"/>
        </w:rPr>
        <w:t xml:space="preserve">care rezultă din SDAC </w:t>
      </w:r>
      <w:bookmarkEnd w:id="18"/>
      <w:r>
        <w:rPr>
          <w:rFonts w:cstheme="minorHAnsi"/>
          <w:color w:val="000000" w:themeColor="text1"/>
          <w:lang w:val="ro"/>
        </w:rPr>
        <w:t xml:space="preserve">utilizând </w:t>
      </w:r>
      <w:bookmarkStart w:id="19" w:name="_Hlk501368263"/>
      <w:r>
        <w:rPr>
          <w:rFonts w:cstheme="minorHAnsi"/>
          <w:color w:val="000000" w:themeColor="text1"/>
          <w:lang w:val="ro"/>
        </w:rPr>
        <w:t xml:space="preserve">Calculatorul Schimburilor Planificate pentru calculul Schimburilor Planificate, sau utilizând Fluxurile Planificate calculate de </w:t>
      </w:r>
      <w:bookmarkEnd w:id="19"/>
      <w:r>
        <w:rPr>
          <w:rFonts w:cstheme="minorHAnsi"/>
          <w:color w:val="000000" w:themeColor="text1"/>
          <w:lang w:val="ro"/>
        </w:rPr>
        <w:t>algoritmul de cuplare pentru ziua următoare drept Schimburi Planificate.</w:t>
      </w:r>
    </w:p>
    <w:p w14:paraId="3A6347ED" w14:textId="77777777" w:rsidR="00877DA5" w:rsidRPr="004034CF" w:rsidRDefault="00877DA5" w:rsidP="00245C26">
      <w:pPr>
        <w:pStyle w:val="headline1"/>
        <w:rPr>
          <w:rFonts w:asciiTheme="minorHAnsi" w:hAnsiTheme="minorHAnsi" w:cstheme="minorHAnsi"/>
        </w:rPr>
      </w:pPr>
      <w:bookmarkStart w:id="20" w:name="_Toc508618101"/>
      <w:r>
        <w:rPr>
          <w:rFonts w:asciiTheme="minorHAnsi" w:hAnsiTheme="minorHAnsi" w:cstheme="minorHAnsi"/>
          <w:bCs/>
          <w:lang w:val="ro"/>
        </w:rPr>
        <w:t>Articolul 2 - Definiții și interpretări</w:t>
      </w:r>
      <w:bookmarkEnd w:id="16"/>
      <w:bookmarkEnd w:id="17"/>
      <w:bookmarkEnd w:id="20"/>
    </w:p>
    <w:p w14:paraId="0DCB0FFD" w14:textId="77777777" w:rsidR="00F75E34" w:rsidRPr="004034CF" w:rsidRDefault="00F75E34" w:rsidP="00A84E39">
      <w:pPr>
        <w:pStyle w:val="ListParagraph"/>
        <w:numPr>
          <w:ilvl w:val="0"/>
          <w:numId w:val="12"/>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În sensul prezentei Propuneri DA SEC, termenii utilizați au semnificația definițiilor incluse la articolul 2 din </w:t>
      </w:r>
      <w:bookmarkStart w:id="21" w:name="_Hlk501368362"/>
      <w:r>
        <w:rPr>
          <w:rFonts w:cstheme="minorHAnsi"/>
          <w:color w:val="000000" w:themeColor="text1"/>
          <w:lang w:val="ro"/>
        </w:rPr>
        <w:t>Regulamentul CACM</w:t>
      </w:r>
      <w:bookmarkEnd w:id="21"/>
      <w:r>
        <w:rPr>
          <w:rFonts w:cstheme="minorHAnsi"/>
          <w:color w:val="000000" w:themeColor="text1"/>
          <w:lang w:val="ro"/>
        </w:rPr>
        <w:t>, Regulamentele (UE) 543/2013 și (UE) 1227/2011 ale Comisiei, precum și articolul 3 din Regulamentul (UE) 2017/1485 al Comisiei. În plus, se aplică următoarele definiții:</w:t>
      </w:r>
    </w:p>
    <w:p w14:paraId="42311BED" w14:textId="77777777" w:rsidR="00F75E34" w:rsidRPr="004034CF" w:rsidRDefault="00F75E34" w:rsidP="00E210F0">
      <w:pPr>
        <w:pStyle w:val="ListParagraph"/>
        <w:spacing w:before="100" w:beforeAutospacing="1" w:after="100" w:afterAutospacing="1" w:line="276" w:lineRule="auto"/>
        <w:ind w:left="360"/>
        <w:rPr>
          <w:rFonts w:cstheme="minorHAnsi"/>
          <w:color w:val="000000" w:themeColor="text1"/>
        </w:rPr>
      </w:pPr>
    </w:p>
    <w:p w14:paraId="710923B8" w14:textId="77777777" w:rsidR="002A1ADF" w:rsidRPr="004034CF" w:rsidRDefault="002A1ADF" w:rsidP="00A84E39">
      <w:pPr>
        <w:pStyle w:val="ListParagraph"/>
        <w:numPr>
          <w:ilvl w:val="0"/>
          <w:numId w:val="11"/>
        </w:numPr>
        <w:spacing w:before="100" w:beforeAutospacing="1" w:after="100" w:afterAutospacing="1" w:line="276" w:lineRule="auto"/>
        <w:rPr>
          <w:rFonts w:cstheme="minorHAnsi"/>
          <w:color w:val="000000" w:themeColor="text1"/>
        </w:rPr>
      </w:pPr>
      <w:bookmarkStart w:id="22" w:name="_Hlk501368533"/>
      <w:r>
        <w:rPr>
          <w:rFonts w:cstheme="minorHAnsi"/>
          <w:color w:val="000000" w:themeColor="text1"/>
          <w:lang w:val="ro"/>
        </w:rPr>
        <w:t>„Punct Central de Tranzacționare al OPEED” are semnificația conform definiției din termenele și condițiile sau metodologiile în conformitate cu articolul 37 și articolul 45 din Regulamentul CACM; și</w:t>
      </w:r>
    </w:p>
    <w:p w14:paraId="06AC34C5" w14:textId="4A95C31B" w:rsidR="002A1ADF" w:rsidRPr="004034CF" w:rsidRDefault="002A1ADF" w:rsidP="00A84E39">
      <w:pPr>
        <w:pStyle w:val="ListParagraph"/>
        <w:numPr>
          <w:ilvl w:val="0"/>
          <w:numId w:val="11"/>
        </w:numPr>
      </w:pPr>
      <w:bookmarkStart w:id="23" w:name="_Hlk501368498"/>
      <w:bookmarkEnd w:id="22"/>
      <w:r>
        <w:rPr>
          <w:rFonts w:cstheme="minorHAnsi"/>
          <w:color w:val="000000" w:themeColor="text1"/>
          <w:lang w:val="ro"/>
        </w:rPr>
        <w:t>„Flux Planificat” are semnificația conform definiției din termenele și condițiile sau metodologiile în conformitate cu articolul 37 din Regulamentul CACM elaborat de toate OPEED-urile.</w:t>
      </w:r>
    </w:p>
    <w:p w14:paraId="177124D6" w14:textId="77777777" w:rsidR="003E045D" w:rsidRPr="004034CF" w:rsidRDefault="003E045D" w:rsidP="00443C1F">
      <w:pPr>
        <w:pStyle w:val="ListParagraph"/>
        <w:spacing w:before="100" w:beforeAutospacing="1" w:after="100" w:afterAutospacing="1" w:line="276" w:lineRule="auto"/>
        <w:rPr>
          <w:rFonts w:cstheme="minorHAnsi"/>
          <w:color w:val="000000" w:themeColor="text1"/>
        </w:rPr>
      </w:pPr>
      <w:bookmarkStart w:id="24" w:name="_Hlk501368718"/>
      <w:bookmarkEnd w:id="23"/>
    </w:p>
    <w:bookmarkEnd w:id="24"/>
    <w:p w14:paraId="6A9EF337" w14:textId="13646ABB" w:rsidR="0011218E" w:rsidRPr="003B4745" w:rsidRDefault="00D22908" w:rsidP="00B63491">
      <w:pPr>
        <w:pStyle w:val="ListParagraph"/>
        <w:numPr>
          <w:ilvl w:val="0"/>
          <w:numId w:val="12"/>
        </w:numPr>
        <w:spacing w:before="100" w:beforeAutospacing="1" w:after="100" w:afterAutospacing="1" w:line="276" w:lineRule="auto"/>
        <w:rPr>
          <w:rFonts w:cstheme="minorHAnsi"/>
          <w:color w:val="000000" w:themeColor="text1"/>
        </w:rPr>
      </w:pPr>
      <w:r>
        <w:rPr>
          <w:lang w:val="ro"/>
        </w:rPr>
        <w:t xml:space="preserve">Termenul „Schimb Planificat” este definit la </w:t>
      </w:r>
      <w:r>
        <w:rPr>
          <w:color w:val="000000" w:themeColor="text1"/>
          <w:lang w:val="ro"/>
        </w:rPr>
        <w:t xml:space="preserve">articolul 2 din </w:t>
      </w:r>
      <w:bookmarkStart w:id="25" w:name="_Hlk501368557"/>
      <w:r>
        <w:rPr>
          <w:color w:val="000000" w:themeColor="text1"/>
          <w:lang w:val="ro"/>
        </w:rPr>
        <w:t>Regulamentul CACM</w:t>
      </w:r>
      <w:bookmarkEnd w:id="25"/>
      <w:r>
        <w:rPr>
          <w:color w:val="000000" w:themeColor="text1"/>
          <w:lang w:val="ro"/>
        </w:rPr>
        <w:t>. În scopul Propunerii DA SEC, termenul „arie geografică” înseamnă atât aria de planificare cât și zona de ofertare. Noțiunea de „Punct Central de Tranzacționare al OPEED” este necesară pentru a asigura funcționarea adecvată a proceselor de post-cuplare a piețelor în regimurile de decontare de pe piețele pe care operează OPEED-uri multiple într-o zonă de ofertare sau arie de planificare în conformitate cu cerințele stipulate la articolul 45 din Regulamentul CACM.</w:t>
      </w:r>
    </w:p>
    <w:p w14:paraId="6EE57E23" w14:textId="77777777" w:rsidR="007B3A32" w:rsidRPr="004034CF" w:rsidRDefault="007B3A32" w:rsidP="0011218E">
      <w:pPr>
        <w:pStyle w:val="ListParagraph"/>
        <w:spacing w:before="100" w:beforeAutospacing="1" w:after="100" w:afterAutospacing="1" w:line="276" w:lineRule="auto"/>
        <w:ind w:left="360"/>
        <w:rPr>
          <w:rFonts w:cstheme="minorHAnsi"/>
          <w:color w:val="000000" w:themeColor="text1"/>
        </w:rPr>
      </w:pPr>
    </w:p>
    <w:p w14:paraId="7524F9E6" w14:textId="77777777" w:rsidR="00754FE2" w:rsidRPr="004034CF" w:rsidRDefault="00754FE2" w:rsidP="00A84E39">
      <w:pPr>
        <w:pStyle w:val="ListParagraph"/>
        <w:numPr>
          <w:ilvl w:val="0"/>
          <w:numId w:val="12"/>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În cadrul prezentei Propuneri DA SEC, cu excepția cazului în care se impune diferit în context: </w:t>
      </w:r>
    </w:p>
    <w:p w14:paraId="2693F00E" w14:textId="77777777" w:rsidR="00754FE2" w:rsidRPr="004034CF" w:rsidRDefault="00754FE2" w:rsidP="000E0799">
      <w:pPr>
        <w:pStyle w:val="ListParagraph"/>
        <w:spacing w:before="100" w:beforeAutospacing="1" w:after="100" w:afterAutospacing="1" w:line="276" w:lineRule="auto"/>
        <w:ind w:left="360"/>
        <w:rPr>
          <w:rFonts w:cstheme="minorHAnsi"/>
          <w:color w:val="000000" w:themeColor="text1"/>
        </w:rPr>
      </w:pPr>
    </w:p>
    <w:p w14:paraId="146D1A89" w14:textId="1C91B6E1" w:rsidR="000C7840" w:rsidRPr="004034CF" w:rsidRDefault="000C7840" w:rsidP="000C7840">
      <w:pPr>
        <w:pStyle w:val="ListParagraph"/>
        <w:numPr>
          <w:ilvl w:val="0"/>
          <w:numId w:val="6"/>
        </w:numPr>
        <w:spacing w:before="100" w:beforeAutospacing="1" w:after="100" w:afterAutospacing="1" w:line="276" w:lineRule="auto"/>
        <w:rPr>
          <w:rFonts w:cstheme="minorHAnsi"/>
          <w:color w:val="000000" w:themeColor="text1"/>
        </w:rPr>
      </w:pPr>
      <w:bookmarkStart w:id="26" w:name="_Hlk501368939"/>
      <w:r>
        <w:rPr>
          <w:rFonts w:cstheme="minorHAnsi"/>
          <w:color w:val="000000" w:themeColor="text1"/>
          <w:lang w:val="ro"/>
        </w:rPr>
        <w:t>termenii utilizați se aplică în contextul SDAC</w:t>
      </w:r>
    </w:p>
    <w:bookmarkEnd w:id="26"/>
    <w:p w14:paraId="389FBE41" w14:textId="77777777" w:rsidR="00754FE2" w:rsidRPr="004034CF" w:rsidRDefault="00754FE2" w:rsidP="000C7840">
      <w:pPr>
        <w:pStyle w:val="ListParagraph"/>
        <w:numPr>
          <w:ilvl w:val="0"/>
          <w:numId w:val="6"/>
        </w:numPr>
        <w:spacing w:before="100" w:beforeAutospacing="1" w:after="100" w:afterAutospacing="1" w:line="276" w:lineRule="auto"/>
        <w:rPr>
          <w:rFonts w:cstheme="minorHAnsi"/>
          <w:color w:val="000000" w:themeColor="text1"/>
        </w:rPr>
      </w:pPr>
      <w:r>
        <w:rPr>
          <w:rFonts w:cstheme="minorHAnsi"/>
          <w:color w:val="000000" w:themeColor="text1"/>
          <w:lang w:val="ro"/>
        </w:rPr>
        <w:t>cuprinsul și anteturile sunt incluse doar în scopuri informative și nu vor afecta interpretarea prezentei metodologii; și</w:t>
      </w:r>
    </w:p>
    <w:p w14:paraId="63529E33" w14:textId="77777777" w:rsidR="009D4502" w:rsidRPr="004034CF" w:rsidRDefault="00754FE2" w:rsidP="000C7840">
      <w:pPr>
        <w:pStyle w:val="ListParagraph"/>
        <w:numPr>
          <w:ilvl w:val="0"/>
          <w:numId w:val="6"/>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orice referințe la legislație, regulamente, directive, ordine, instrumente, coduri sau orice alte legiferări includ orice modificare, completare sau repromulgare în vigoare la momentul respectiv. </w:t>
      </w:r>
    </w:p>
    <w:p w14:paraId="738BFB84" w14:textId="77777777" w:rsidR="00C46743" w:rsidRPr="004034CF" w:rsidRDefault="00C46743" w:rsidP="00730769">
      <w:pPr>
        <w:pStyle w:val="headline1"/>
        <w:rPr>
          <w:rFonts w:asciiTheme="minorHAnsi" w:hAnsiTheme="minorHAnsi" w:cstheme="minorHAnsi"/>
        </w:rPr>
      </w:pPr>
      <w:bookmarkStart w:id="27" w:name="_Toc456339232"/>
      <w:bookmarkStart w:id="28" w:name="_Toc508618102"/>
      <w:r>
        <w:rPr>
          <w:rFonts w:asciiTheme="minorHAnsi" w:hAnsiTheme="minorHAnsi" w:cstheme="minorHAnsi"/>
          <w:bCs/>
          <w:lang w:val="ro"/>
        </w:rPr>
        <w:lastRenderedPageBreak/>
        <w:t>Articolul 3 -</w:t>
      </w:r>
      <w:bookmarkEnd w:id="27"/>
      <w:r>
        <w:rPr>
          <w:rFonts w:asciiTheme="minorHAnsi" w:hAnsiTheme="minorHAnsi" w:cstheme="minorHAnsi"/>
          <w:bCs/>
          <w:lang w:val="ro"/>
        </w:rPr>
        <w:t xml:space="preserve"> </w:t>
      </w:r>
      <w:bookmarkStart w:id="29" w:name="_Toc456339233"/>
      <w:bookmarkStart w:id="30" w:name="_Toc453271823"/>
      <w:r>
        <w:rPr>
          <w:rFonts w:asciiTheme="minorHAnsi" w:hAnsiTheme="minorHAnsi" w:cstheme="minorHAnsi"/>
          <w:bCs/>
          <w:lang w:val="ro"/>
        </w:rPr>
        <w:t>Lista cu Informațiile Solicitate de la toate OPEED-urile</w:t>
      </w:r>
      <w:bookmarkEnd w:id="28"/>
      <w:bookmarkEnd w:id="29"/>
      <w:bookmarkEnd w:id="30"/>
    </w:p>
    <w:p w14:paraId="5C3CF3DB" w14:textId="77777777" w:rsidR="00656E21" w:rsidRPr="004034CF" w:rsidRDefault="00395764" w:rsidP="00A84E39">
      <w:pPr>
        <w:pStyle w:val="ListParagraph"/>
        <w:numPr>
          <w:ilvl w:val="0"/>
          <w:numId w:val="19"/>
        </w:numPr>
        <w:spacing w:before="100" w:beforeAutospacing="1" w:after="100" w:afterAutospacing="1" w:line="276" w:lineRule="auto"/>
        <w:rPr>
          <w:rFonts w:cstheme="minorHAnsi"/>
          <w:color w:val="000000" w:themeColor="text1"/>
        </w:rPr>
      </w:pPr>
      <w:bookmarkStart w:id="31" w:name="_Toc453271824"/>
      <w:r>
        <w:rPr>
          <w:rFonts w:cstheme="minorHAnsi"/>
          <w:color w:val="000000" w:themeColor="text1"/>
          <w:lang w:val="ro"/>
        </w:rPr>
        <w:t xml:space="preserve">Toate OPEED-urile transmit următoarele informații care rezultă din algoritmul de cuplare a pieței unice pentru ziua următoare către Calculatorul Schimburilor Planificate și către toate OTS-urile, pentru fiecare unitate de timp a pieței, pentru realizarea </w:t>
      </w:r>
      <w:r>
        <w:rPr>
          <w:rFonts w:cstheme="minorHAnsi"/>
          <w:lang w:val="ro"/>
        </w:rPr>
        <w:t>Calculului Schimburilor Planificate DA</w:t>
      </w:r>
      <w:r>
        <w:rPr>
          <w:rFonts w:cstheme="minorHAnsi"/>
          <w:color w:val="000000" w:themeColor="text1"/>
          <w:lang w:val="ro"/>
        </w:rPr>
        <w:t>:</w:t>
      </w:r>
      <w:bookmarkEnd w:id="31"/>
    </w:p>
    <w:p w14:paraId="296410F8" w14:textId="12100941" w:rsidR="00202AF0" w:rsidRPr="004034CF" w:rsidRDefault="00067623" w:rsidP="005C119B">
      <w:pPr>
        <w:pStyle w:val="ListParagraph"/>
        <w:numPr>
          <w:ilvl w:val="0"/>
          <w:numId w:val="28"/>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Poziția netă nerotunjită pentru fiecare zonă de ofertare; </w:t>
      </w:r>
    </w:p>
    <w:p w14:paraId="7EEBCFF5" w14:textId="2B7FB89F" w:rsidR="00C46743" w:rsidRPr="004034CF" w:rsidRDefault="00067623" w:rsidP="005C119B">
      <w:pPr>
        <w:pStyle w:val="ListParagraph"/>
        <w:numPr>
          <w:ilvl w:val="0"/>
          <w:numId w:val="28"/>
        </w:numPr>
        <w:spacing w:before="100" w:beforeAutospacing="1" w:after="100" w:afterAutospacing="1" w:line="276" w:lineRule="auto"/>
        <w:rPr>
          <w:rFonts w:cstheme="minorHAnsi"/>
          <w:color w:val="000000" w:themeColor="text1"/>
        </w:rPr>
      </w:pPr>
      <w:r>
        <w:rPr>
          <w:rFonts w:cstheme="minorHAnsi"/>
          <w:color w:val="000000" w:themeColor="text1"/>
          <w:lang w:val="ro"/>
        </w:rPr>
        <w:t>Poziția netă nerotunjită pentru fiecare arie de planificare;</w:t>
      </w:r>
    </w:p>
    <w:p w14:paraId="3795F05A" w14:textId="5D817F3C" w:rsidR="00DF1520" w:rsidRPr="00E67299" w:rsidRDefault="00EC366D" w:rsidP="00C4099F">
      <w:pPr>
        <w:pStyle w:val="ListParagraph"/>
        <w:numPr>
          <w:ilvl w:val="0"/>
          <w:numId w:val="28"/>
        </w:numPr>
        <w:spacing w:before="100" w:beforeAutospacing="1" w:after="100" w:afterAutospacing="1" w:line="276" w:lineRule="auto"/>
        <w:rPr>
          <w:rFonts w:cstheme="minorHAnsi"/>
          <w:color w:val="000000" w:themeColor="text1"/>
        </w:rPr>
      </w:pPr>
      <w:r>
        <w:rPr>
          <w:rFonts w:cstheme="minorHAnsi"/>
          <w:color w:val="000000" w:themeColor="text1"/>
          <w:lang w:val="ro"/>
        </w:rPr>
        <w:t>Un preț de închidere unic pentru fiecare zonă de ofertare, exprimat în EUR/MWh; și</w:t>
      </w:r>
    </w:p>
    <w:p w14:paraId="0E327A66" w14:textId="77777777" w:rsidR="00E67299" w:rsidRPr="004034CF" w:rsidRDefault="00E67299" w:rsidP="005C119B">
      <w:pPr>
        <w:pStyle w:val="ListParagraph"/>
        <w:numPr>
          <w:ilvl w:val="0"/>
          <w:numId w:val="28"/>
        </w:numPr>
        <w:spacing w:before="100" w:beforeAutospacing="1" w:after="100" w:afterAutospacing="1" w:line="276" w:lineRule="auto"/>
        <w:rPr>
          <w:rFonts w:cstheme="minorHAnsi"/>
          <w:color w:val="000000" w:themeColor="text1"/>
        </w:rPr>
      </w:pPr>
      <w:r>
        <w:rPr>
          <w:rFonts w:cstheme="minorHAnsi"/>
          <w:color w:val="000000" w:themeColor="text1"/>
          <w:lang w:val="ro"/>
        </w:rPr>
        <w:t>Capacitățile alocate sub forma Fluxurilor Planificate pentru fiecare graniță a zonei de ofertare</w:t>
      </w:r>
    </w:p>
    <w:p w14:paraId="418E5C64" w14:textId="77777777" w:rsidR="00A138E8" w:rsidRPr="004034CF" w:rsidRDefault="00A138E8" w:rsidP="003832F2">
      <w:pPr>
        <w:pStyle w:val="headline1"/>
        <w:rPr>
          <w:rFonts w:asciiTheme="minorHAnsi" w:hAnsiTheme="minorHAnsi" w:cstheme="minorHAnsi"/>
        </w:rPr>
      </w:pPr>
      <w:bookmarkStart w:id="32" w:name="_Toc501615991"/>
      <w:bookmarkStart w:id="33" w:name="_Toc508618103"/>
      <w:bookmarkEnd w:id="32"/>
      <w:r>
        <w:rPr>
          <w:rFonts w:asciiTheme="minorHAnsi" w:hAnsiTheme="minorHAnsi" w:cstheme="minorHAnsi"/>
          <w:bCs/>
          <w:lang w:val="ro"/>
        </w:rPr>
        <w:t>Articolul 4 - Calculatorul Schimburilor Planificate</w:t>
      </w:r>
      <w:bookmarkEnd w:id="33"/>
    </w:p>
    <w:p w14:paraId="0D7B5128" w14:textId="77777777" w:rsidR="0087143B" w:rsidRPr="004034CF" w:rsidRDefault="00D13E8C" w:rsidP="00A84E39">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Calculatorul Schimburilor Planificate calculează Schimburile planificate conform celor definite în prezenta metodologie. </w:t>
      </w:r>
    </w:p>
    <w:p w14:paraId="4EE5236D" w14:textId="77777777" w:rsidR="00897A52" w:rsidRPr="004034CF" w:rsidRDefault="00897A52" w:rsidP="00897A52">
      <w:pPr>
        <w:pStyle w:val="ListParagraph"/>
        <w:spacing w:before="100" w:beforeAutospacing="1" w:after="100" w:afterAutospacing="1" w:line="276" w:lineRule="auto"/>
        <w:ind w:left="360"/>
        <w:rPr>
          <w:rFonts w:cstheme="minorHAnsi"/>
          <w:color w:val="000000" w:themeColor="text1"/>
        </w:rPr>
      </w:pPr>
    </w:p>
    <w:p w14:paraId="478CF9C5" w14:textId="77777777" w:rsidR="00897A52" w:rsidRPr="004034CF" w:rsidRDefault="00A138E8" w:rsidP="002776D1">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OTS-urile elaborează funcționalități de guvernanță pentru Calculatorul Schimburilor Planificate în coordonare cu toate OPEED-urile, în conformitate cu SDAC.</w:t>
      </w:r>
    </w:p>
    <w:p w14:paraId="0656C6FF" w14:textId="77777777" w:rsidR="00E2609D" w:rsidRPr="004034CF" w:rsidRDefault="00E2609D" w:rsidP="00E2609D">
      <w:pPr>
        <w:pStyle w:val="ListParagraph"/>
        <w:rPr>
          <w:rFonts w:cstheme="minorHAnsi"/>
          <w:color w:val="000000" w:themeColor="text1"/>
        </w:rPr>
      </w:pPr>
    </w:p>
    <w:p w14:paraId="4A1CE29A" w14:textId="0E838D63" w:rsidR="001617A1" w:rsidRPr="004034CF" w:rsidRDefault="001617A1" w:rsidP="00A84E39">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Rezultatele Calculului Schimbului Planificat sunt (pentru fiecare unitate de timp a pieței): </w:t>
      </w:r>
    </w:p>
    <w:p w14:paraId="512E101A" w14:textId="1ADCB17B" w:rsidR="001617A1" w:rsidRPr="004034CF" w:rsidRDefault="001617A1" w:rsidP="005C119B">
      <w:pPr>
        <w:pStyle w:val="ListParagraph"/>
        <w:numPr>
          <w:ilvl w:val="0"/>
          <w:numId w:val="29"/>
        </w:numPr>
        <w:spacing w:before="100" w:beforeAutospacing="1" w:after="100" w:afterAutospacing="1" w:line="276" w:lineRule="auto"/>
        <w:rPr>
          <w:rFonts w:cstheme="minorHAnsi"/>
          <w:color w:val="000000" w:themeColor="text1"/>
        </w:rPr>
      </w:pPr>
      <w:r>
        <w:rPr>
          <w:rFonts w:cstheme="minorHAnsi"/>
          <w:color w:val="000000" w:themeColor="text1"/>
          <w:lang w:val="ro"/>
        </w:rPr>
        <w:t>Schimburi Planificate între zonele de ofertare, și</w:t>
      </w:r>
    </w:p>
    <w:p w14:paraId="6F2C8D55" w14:textId="6A84E655" w:rsidR="001617A1" w:rsidRPr="004034CF" w:rsidRDefault="001617A1" w:rsidP="005C119B">
      <w:pPr>
        <w:pStyle w:val="ListParagraph"/>
        <w:numPr>
          <w:ilvl w:val="0"/>
          <w:numId w:val="29"/>
        </w:numPr>
        <w:spacing w:before="100" w:beforeAutospacing="1" w:after="100" w:afterAutospacing="1" w:line="276" w:lineRule="auto"/>
        <w:rPr>
          <w:rFonts w:cstheme="minorHAnsi"/>
          <w:color w:val="000000" w:themeColor="text1"/>
        </w:rPr>
      </w:pPr>
      <w:r>
        <w:rPr>
          <w:rFonts w:cstheme="minorHAnsi"/>
          <w:color w:val="000000" w:themeColor="text1"/>
          <w:lang w:val="ro"/>
        </w:rPr>
        <w:t>Schimburi Planificate între ariile de planificare.</w:t>
      </w:r>
    </w:p>
    <w:p w14:paraId="26EA3109" w14:textId="77777777" w:rsidR="00897A52" w:rsidRPr="004034CF" w:rsidRDefault="00897A52" w:rsidP="00897A52">
      <w:pPr>
        <w:pStyle w:val="ListParagraph"/>
        <w:spacing w:before="100" w:beforeAutospacing="1" w:after="100" w:afterAutospacing="1" w:line="276" w:lineRule="auto"/>
        <w:rPr>
          <w:rFonts w:cstheme="minorHAnsi"/>
          <w:color w:val="000000" w:themeColor="text1"/>
        </w:rPr>
      </w:pPr>
    </w:p>
    <w:p w14:paraId="5E4263CC" w14:textId="77777777" w:rsidR="00CD2EF5" w:rsidRDefault="00395764" w:rsidP="00A84E39">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Toate OPEED-urile furnizează către Calculatorul Schimburilor Planificate și toate OTS-urile informațiile enumerate la articolul 3 din prezenta Metodologie DA SEC sub formă de date de ieșire ale algoritmului de cuplare a piețelor, nu mai târziu de ora 15:30 ora pieței pentru ziua următoare. </w:t>
      </w:r>
    </w:p>
    <w:p w14:paraId="4D71BD10" w14:textId="77777777" w:rsidR="00CD2EF5" w:rsidRDefault="00CD2EF5" w:rsidP="00FF0EFD">
      <w:pPr>
        <w:pStyle w:val="ListParagraph"/>
        <w:spacing w:before="100" w:beforeAutospacing="1" w:after="100" w:afterAutospacing="1" w:line="276" w:lineRule="auto"/>
        <w:ind w:left="360"/>
        <w:rPr>
          <w:rFonts w:cstheme="minorHAnsi"/>
          <w:color w:val="000000" w:themeColor="text1"/>
        </w:rPr>
      </w:pPr>
    </w:p>
    <w:p w14:paraId="0167EAC2" w14:textId="33FB5ED4" w:rsidR="000D0842" w:rsidRPr="004034CF" w:rsidRDefault="00F82462" w:rsidP="00A84E39">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Toate OPEED-urile asigură consistența schimburilor între Punctele Centrale de Tranzacționare ale OPEED și schimburile calculate prin Calculul Schimburilor Planificate. În plus, toate OPEED-urile asigură compatibilitatea cu toate propunerile MNA locale.</w:t>
      </w:r>
    </w:p>
    <w:p w14:paraId="0AA5C8B5" w14:textId="77777777" w:rsidR="00897A52" w:rsidRPr="004034CF" w:rsidRDefault="00897A52" w:rsidP="00897A52">
      <w:pPr>
        <w:pStyle w:val="ListParagraph"/>
        <w:spacing w:before="100" w:beforeAutospacing="1" w:after="100" w:afterAutospacing="1" w:line="276" w:lineRule="auto"/>
        <w:ind w:left="360"/>
        <w:rPr>
          <w:rFonts w:cstheme="minorHAnsi"/>
          <w:color w:val="000000" w:themeColor="text1"/>
        </w:rPr>
      </w:pPr>
    </w:p>
    <w:p w14:paraId="15116C06" w14:textId="567FACA4" w:rsidR="00897A52" w:rsidRPr="004034CF" w:rsidRDefault="00A43FC6" w:rsidP="00EE445B">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Toate OTS-urile, prin intermediul Calculatorului Schimburilor Planificate, inițiază</w:t>
      </w:r>
      <w:r>
        <w:rPr>
          <w:rFonts w:cstheme="minorHAnsi"/>
          <w:lang w:val="ro"/>
        </w:rPr>
        <w:t xml:space="preserve"> Calculul Schimburilor Planificate DA </w:t>
      </w:r>
      <w:r>
        <w:rPr>
          <w:rFonts w:cstheme="minorHAnsi"/>
          <w:color w:val="000000" w:themeColor="text1"/>
          <w:lang w:val="ro"/>
        </w:rPr>
        <w:t>la momentul primirii elementelor incluse pe lista de cerințe din partea tuturor OPEED-urilor, în conformitate cu articolul 3 din prezenta Propunere DA SEC.</w:t>
      </w:r>
    </w:p>
    <w:p w14:paraId="5869DDDC" w14:textId="77777777" w:rsidR="00897A52" w:rsidRPr="004034CF" w:rsidRDefault="00897A52" w:rsidP="00897A52">
      <w:pPr>
        <w:pStyle w:val="ListParagraph"/>
        <w:rPr>
          <w:rFonts w:cstheme="minorHAnsi"/>
          <w:color w:val="000000" w:themeColor="text1"/>
        </w:rPr>
      </w:pPr>
    </w:p>
    <w:p w14:paraId="7071218A" w14:textId="617C7E7A" w:rsidR="004351F3" w:rsidRPr="004034CF" w:rsidRDefault="00A138E8" w:rsidP="00A84E39">
      <w:pPr>
        <w:pStyle w:val="ListParagraph"/>
        <w:numPr>
          <w:ilvl w:val="0"/>
          <w:numId w:val="20"/>
        </w:numPr>
        <w:spacing w:before="100" w:beforeAutospacing="1" w:after="100" w:afterAutospacing="1" w:line="276" w:lineRule="auto"/>
        <w:rPr>
          <w:rFonts w:cstheme="minorHAnsi"/>
          <w:color w:val="000000" w:themeColor="text1"/>
        </w:rPr>
      </w:pPr>
      <w:r>
        <w:rPr>
          <w:rFonts w:cstheme="minorHAnsi"/>
          <w:color w:val="000000" w:themeColor="text1"/>
          <w:lang w:val="ro"/>
        </w:rPr>
        <w:t xml:space="preserve">Calculatorul Schimburilor Planificate notifică rezultatele </w:t>
      </w:r>
      <w:r>
        <w:rPr>
          <w:rFonts w:cstheme="minorHAnsi"/>
          <w:lang w:val="ro"/>
        </w:rPr>
        <w:t>Calculului Schimburilor Planificate DA</w:t>
      </w:r>
      <w:r>
        <w:rPr>
          <w:rFonts w:cstheme="minorHAnsi"/>
          <w:color w:val="000000" w:themeColor="text1"/>
          <w:lang w:val="ro"/>
        </w:rPr>
        <w:t xml:space="preserve"> către toate OPEED-urile, </w:t>
      </w:r>
      <w:proofErr w:type="spellStart"/>
      <w:r>
        <w:rPr>
          <w:rFonts w:cstheme="minorHAnsi"/>
          <w:color w:val="000000" w:themeColor="text1"/>
          <w:lang w:val="ro"/>
        </w:rPr>
        <w:t>contrapărțile</w:t>
      </w:r>
      <w:proofErr w:type="spellEnd"/>
      <w:r>
        <w:rPr>
          <w:rFonts w:cstheme="minorHAnsi"/>
          <w:color w:val="000000" w:themeColor="text1"/>
          <w:lang w:val="ro"/>
        </w:rPr>
        <w:t xml:space="preserve"> centrale, agenții de transfer și OTS-uri pentru ca procesul post-cuplare pentru ziua următoare să poată fi finalizat în timp util. </w:t>
      </w:r>
    </w:p>
    <w:p w14:paraId="3F20A0D8" w14:textId="77777777" w:rsidR="005278AF" w:rsidRPr="004034CF" w:rsidRDefault="008C032F" w:rsidP="00FE61E4">
      <w:pPr>
        <w:pStyle w:val="headline1"/>
        <w:rPr>
          <w:rFonts w:asciiTheme="minorHAnsi" w:hAnsiTheme="minorHAnsi" w:cstheme="minorHAnsi"/>
        </w:rPr>
      </w:pPr>
      <w:bookmarkStart w:id="34" w:name="_Toc508618104"/>
      <w:bookmarkStart w:id="35" w:name="_Toc432586772"/>
      <w:bookmarkStart w:id="36" w:name="_Toc432586792"/>
      <w:r>
        <w:rPr>
          <w:rFonts w:asciiTheme="minorHAnsi" w:hAnsiTheme="minorHAnsi" w:cstheme="minorHAnsi"/>
          <w:bCs/>
          <w:lang w:val="ro"/>
        </w:rPr>
        <w:t>Articolul 5 - Principii Generale pentru Calculul Schimburilor Planificate</w:t>
      </w:r>
      <w:bookmarkEnd w:id="34"/>
    </w:p>
    <w:p w14:paraId="61C76618" w14:textId="4BAE78CF" w:rsidR="00EF7EA0" w:rsidRPr="004034CF" w:rsidRDefault="007C0AD5" w:rsidP="005278AF">
      <w:pPr>
        <w:pStyle w:val="ListParagraph"/>
        <w:numPr>
          <w:ilvl w:val="0"/>
          <w:numId w:val="24"/>
        </w:numPr>
        <w:spacing w:before="100" w:beforeAutospacing="1" w:after="100" w:afterAutospacing="1" w:line="276" w:lineRule="auto"/>
      </w:pPr>
      <w:r>
        <w:rPr>
          <w:color w:val="000000" w:themeColor="text1"/>
          <w:lang w:val="ro"/>
        </w:rPr>
        <w:t xml:space="preserve">Calculatorul Schimburilor Planificate calculează </w:t>
      </w:r>
      <w:r>
        <w:rPr>
          <w:lang w:val="ro"/>
        </w:rPr>
        <w:t>Schimburile Planificate între zonele de ofertare și ariile de planificare în conformitate cu următoarele principii:</w:t>
      </w:r>
    </w:p>
    <w:p w14:paraId="39A48893" w14:textId="77777777" w:rsidR="00EF7EA0" w:rsidRPr="004034CF" w:rsidRDefault="005F0AEA" w:rsidP="00F57BBE">
      <w:pPr>
        <w:pStyle w:val="textregular"/>
        <w:numPr>
          <w:ilvl w:val="0"/>
          <w:numId w:val="14"/>
        </w:numPr>
        <w:rPr>
          <w:rFonts w:cstheme="minorHAnsi"/>
          <w:iCs/>
          <w:color w:val="000000" w:themeColor="text1"/>
        </w:rPr>
      </w:pPr>
      <w:r>
        <w:rPr>
          <w:rFonts w:cstheme="minorHAnsi"/>
          <w:color w:val="000000" w:themeColor="text1"/>
          <w:lang w:val="ro"/>
        </w:rPr>
        <w:t>Doar Calculatorul Schimburilor Planificate calculează Schimburile Planificate.</w:t>
      </w:r>
    </w:p>
    <w:p w14:paraId="781851C8" w14:textId="77777777" w:rsidR="00F54116" w:rsidRPr="004034CF" w:rsidRDefault="00F54116" w:rsidP="00F57BBE">
      <w:pPr>
        <w:pStyle w:val="textregular"/>
        <w:numPr>
          <w:ilvl w:val="0"/>
          <w:numId w:val="14"/>
        </w:numPr>
        <w:rPr>
          <w:rFonts w:cstheme="minorHAnsi"/>
          <w:iCs/>
          <w:color w:val="000000" w:themeColor="text1"/>
        </w:rPr>
      </w:pPr>
      <w:r>
        <w:rPr>
          <w:rFonts w:cstheme="minorHAnsi"/>
          <w:color w:val="000000" w:themeColor="text1"/>
          <w:lang w:val="ro"/>
        </w:rPr>
        <w:lastRenderedPageBreak/>
        <w:t xml:space="preserve">Calculul Schimburilor Planificate se realizează de către Calculatorul Schimburilor Planificate în așa fel încât să se respecte restricțiile descrise la articolul 6 din prezenta Propunere DA SEC. </w:t>
      </w:r>
    </w:p>
    <w:p w14:paraId="58065273" w14:textId="1F03C6FD" w:rsidR="00FD27F7" w:rsidRPr="004034CF" w:rsidRDefault="00727F68" w:rsidP="00F57BBE">
      <w:pPr>
        <w:pStyle w:val="textregular"/>
        <w:numPr>
          <w:ilvl w:val="0"/>
          <w:numId w:val="14"/>
        </w:numPr>
        <w:rPr>
          <w:rFonts w:cstheme="minorHAnsi"/>
          <w:iCs/>
          <w:color w:val="000000" w:themeColor="text1"/>
        </w:rPr>
      </w:pPr>
      <w:r>
        <w:rPr>
          <w:rFonts w:cstheme="minorHAnsi"/>
          <w:color w:val="000000" w:themeColor="text1"/>
          <w:lang w:val="ro"/>
        </w:rPr>
        <w:t xml:space="preserve">Calculul Schimburilor Planificate DA, conform celor descrise la articolele 6, 7 și 8 din prezenta Propunere DA SEC, respectă poziția netă a ariei de planificare și zonei de ofertare și capacitățile alocate, sub forma Fluxurilor Planificate care rezultă din SDAC. </w:t>
      </w:r>
    </w:p>
    <w:p w14:paraId="0595FC18" w14:textId="4778809E" w:rsidR="008D4276" w:rsidRPr="004034CF" w:rsidRDefault="00FD27F7" w:rsidP="00F57BBE">
      <w:pPr>
        <w:pStyle w:val="textregular"/>
        <w:numPr>
          <w:ilvl w:val="0"/>
          <w:numId w:val="14"/>
        </w:numPr>
        <w:rPr>
          <w:rFonts w:cstheme="minorHAnsi"/>
          <w:iCs/>
          <w:color w:val="000000" w:themeColor="text1"/>
        </w:rPr>
      </w:pPr>
      <w:r>
        <w:rPr>
          <w:rFonts w:cstheme="minorHAnsi"/>
          <w:color w:val="000000" w:themeColor="text1"/>
          <w:lang w:val="ro"/>
        </w:rPr>
        <w:t xml:space="preserve">Pentru interconexiunile </w:t>
      </w:r>
      <w:proofErr w:type="spellStart"/>
      <w:r>
        <w:rPr>
          <w:rFonts w:cstheme="minorHAnsi"/>
          <w:color w:val="000000" w:themeColor="text1"/>
          <w:lang w:val="ro"/>
        </w:rPr>
        <w:t>c.c.</w:t>
      </w:r>
      <w:proofErr w:type="spellEnd"/>
      <w:r>
        <w:rPr>
          <w:rFonts w:cstheme="minorHAnsi"/>
          <w:color w:val="000000" w:themeColor="text1"/>
          <w:lang w:val="ro"/>
        </w:rPr>
        <w:t xml:space="preserve"> transfrontaliere din cadrul unei arii care aplică metoda bazată pe fluxuri de energie și acolo unde se ia în considerare impactul unui schimb prin </w:t>
      </w:r>
      <w:bookmarkStart w:id="37" w:name="_Hlk501374190"/>
      <w:r>
        <w:rPr>
          <w:rFonts w:cstheme="minorHAnsi"/>
          <w:color w:val="000000" w:themeColor="text1"/>
          <w:lang w:val="ro"/>
        </w:rPr>
        <w:t xml:space="preserve">Interconexiunea </w:t>
      </w:r>
      <w:proofErr w:type="spellStart"/>
      <w:r>
        <w:rPr>
          <w:rFonts w:cstheme="minorHAnsi"/>
          <w:color w:val="000000" w:themeColor="text1"/>
          <w:lang w:val="ro"/>
        </w:rPr>
        <w:t>c.c.</w:t>
      </w:r>
      <w:proofErr w:type="spellEnd"/>
      <w:r>
        <w:rPr>
          <w:rFonts w:cstheme="minorHAnsi"/>
          <w:color w:val="000000" w:themeColor="text1"/>
          <w:lang w:val="ro"/>
        </w:rPr>
        <w:t xml:space="preserve"> </w:t>
      </w:r>
      <w:bookmarkEnd w:id="37"/>
      <w:r>
        <w:rPr>
          <w:rFonts w:cstheme="minorHAnsi"/>
          <w:color w:val="000000" w:themeColor="text1"/>
          <w:lang w:val="ro"/>
        </w:rPr>
        <w:t xml:space="preserve">în timpul alocării bazate pe fluxuri de energie, Schimburile Planificate la respectiva graniță a zonei de ofertare se pot abate față de Fluxul Planificat la interconexiune pentru a asigura o soluție optimă în conformitate cu prezenta Propunere DA SEC. Dacă există o configurație în acest sens, aceasta permite calculul bazat doar pe pozițiile nete ale ariei de planificare și zonei de ofertare, un set de restricții și capacități alocate sub forma Fluxurilor Planificate la granițele relevante ale zonei de ofertare (precum și pentru alte interconexiuni </w:t>
      </w:r>
      <w:proofErr w:type="spellStart"/>
      <w:r>
        <w:rPr>
          <w:rFonts w:cstheme="minorHAnsi"/>
          <w:color w:val="000000" w:themeColor="text1"/>
          <w:lang w:val="ro"/>
        </w:rPr>
        <w:t>c.a.</w:t>
      </w:r>
      <w:proofErr w:type="spellEnd"/>
      <w:r>
        <w:rPr>
          <w:rFonts w:cstheme="minorHAnsi"/>
          <w:color w:val="000000" w:themeColor="text1"/>
          <w:lang w:val="ro"/>
        </w:rPr>
        <w:t xml:space="preserve">). </w:t>
      </w:r>
    </w:p>
    <w:p w14:paraId="65F4D0ED" w14:textId="77777777" w:rsidR="00F664A3" w:rsidRPr="004034CF" w:rsidRDefault="00F664A3" w:rsidP="00F57BBE">
      <w:pPr>
        <w:pStyle w:val="textregular"/>
        <w:numPr>
          <w:ilvl w:val="0"/>
          <w:numId w:val="14"/>
        </w:numPr>
        <w:rPr>
          <w:rFonts w:cstheme="minorHAnsi"/>
          <w:color w:val="000000" w:themeColor="text1"/>
        </w:rPr>
      </w:pPr>
      <w:r>
        <w:rPr>
          <w:rFonts w:cstheme="minorHAnsi"/>
          <w:color w:val="000000" w:themeColor="text1"/>
          <w:lang w:val="ro"/>
        </w:rPr>
        <w:t>Schimburile Planificate între zonele de ofertare, în cazul în care o zonă de ofertare are arii de planificare multiple, sunt consistente, adică Schimburile Planificate se calculează de către Calculatorul Schimburilor Planificate iar suma Schimburilor Planificate la granițele ariei de planificare care corespunde cu această zonă de ofertare este egală cu Schimbul Planificat la această graniță a zonei de ofertare.</w:t>
      </w:r>
    </w:p>
    <w:bookmarkEnd w:id="35"/>
    <w:bookmarkEnd w:id="36"/>
    <w:p w14:paraId="7BFFF461" w14:textId="77777777" w:rsidR="005278AF" w:rsidRPr="004034CF" w:rsidRDefault="005278AF" w:rsidP="005278AF">
      <w:pPr>
        <w:pStyle w:val="ListParagraph"/>
        <w:rPr>
          <w:rFonts w:cstheme="minorHAnsi"/>
          <w:color w:val="000000" w:themeColor="text1"/>
        </w:rPr>
      </w:pPr>
    </w:p>
    <w:p w14:paraId="254F16BD" w14:textId="0D2B98F6" w:rsidR="002B00FB" w:rsidRPr="004034CF" w:rsidRDefault="006A3655" w:rsidP="00471CC7">
      <w:pPr>
        <w:pStyle w:val="ListParagraph"/>
        <w:numPr>
          <w:ilvl w:val="0"/>
          <w:numId w:val="24"/>
        </w:numPr>
        <w:spacing w:before="100" w:beforeAutospacing="1" w:after="100" w:afterAutospacing="1" w:line="276" w:lineRule="auto"/>
      </w:pPr>
      <w:r>
        <w:rPr>
          <w:lang w:val="ro"/>
        </w:rPr>
        <w:t xml:space="preserve">Capacitățile alocate sub forma Fluxurilor Planificate între granițele zonei de ofertare se calculează drept date de ieșire ale algoritmului de cuplare pentru ziua următoare: </w:t>
      </w:r>
    </w:p>
    <w:p w14:paraId="662820E8" w14:textId="60E51EB1" w:rsidR="0097176C" w:rsidRPr="004034CF" w:rsidRDefault="0097176C" w:rsidP="00A21311">
      <w:pPr>
        <w:pStyle w:val="textregular"/>
        <w:numPr>
          <w:ilvl w:val="0"/>
          <w:numId w:val="31"/>
        </w:numPr>
        <w:rPr>
          <w:rFonts w:cstheme="minorHAnsi"/>
          <w:iCs/>
          <w:color w:val="000000" w:themeColor="text1"/>
        </w:rPr>
      </w:pPr>
      <w:r>
        <w:rPr>
          <w:rFonts w:cstheme="minorHAnsi"/>
          <w:color w:val="000000" w:themeColor="text1"/>
          <w:lang w:val="ro"/>
        </w:rPr>
        <w:t xml:space="preserve">OTS-urile care nu folosesc Calculatorul Schimburilor Planificate pentru calculul Schimburilor Planificate, utilizează capacitățile alocate sub forma Fluxurilor Planificate primite de la OPEED-uri, așa cum se prevede la articolul 3 din prezenta Metodologie DA SEC, și calculate în conformitate cu articolul 37 din Regulamentul CACM. </w:t>
      </w:r>
    </w:p>
    <w:p w14:paraId="2C8352BA" w14:textId="14278C6B" w:rsidR="004E0E85" w:rsidRPr="004034CF" w:rsidRDefault="004E0E85" w:rsidP="00A21311">
      <w:pPr>
        <w:pStyle w:val="textregular"/>
        <w:numPr>
          <w:ilvl w:val="0"/>
          <w:numId w:val="31"/>
        </w:numPr>
        <w:rPr>
          <w:rFonts w:cstheme="minorHAnsi"/>
        </w:rPr>
      </w:pPr>
      <w:r>
        <w:rPr>
          <w:rFonts w:cstheme="minorHAnsi"/>
          <w:lang w:val="ro"/>
        </w:rPr>
        <w:t xml:space="preserve">Aceste fluxuri sunt validate de OTS-urile care nu utilizează Calculatorul Schimburilor Planificate pentru calculul Schimburilor Planificate, și sunt utilizate drept schimburile planificate care rezultă din SDAC pentru acea unitate de timp a pieței. </w:t>
      </w:r>
    </w:p>
    <w:p w14:paraId="4509795E" w14:textId="1ABD24A8" w:rsidR="00490B5E" w:rsidRPr="004034CF" w:rsidRDefault="00490B5E" w:rsidP="00E0645C">
      <w:pPr>
        <w:pStyle w:val="headline1"/>
        <w:spacing w:line="240" w:lineRule="auto"/>
        <w:rPr>
          <w:rFonts w:asciiTheme="minorHAnsi" w:hAnsiTheme="minorHAnsi" w:cstheme="minorHAnsi"/>
        </w:rPr>
      </w:pPr>
      <w:bookmarkStart w:id="38" w:name="_Toc508618105"/>
      <w:r>
        <w:rPr>
          <w:rFonts w:asciiTheme="minorHAnsi" w:hAnsiTheme="minorHAnsi" w:cstheme="minorHAnsi"/>
          <w:bCs/>
          <w:lang w:val="ro"/>
        </w:rPr>
        <w:t>Articolul 6 - Metodologia de calcul al Schimburilor Planificate între ariile de planificare și zonele de ofertare care rezultă din SDAC utilizând Calculatorul Schimburilor Planificate</w:t>
      </w:r>
      <w:bookmarkEnd w:id="38"/>
    </w:p>
    <w:p w14:paraId="1781F626" w14:textId="54C2C98C" w:rsidR="008642B4" w:rsidRPr="004034CF" w:rsidRDefault="00A45633" w:rsidP="00CB6873">
      <w:pPr>
        <w:pStyle w:val="ListParagraph"/>
        <w:numPr>
          <w:ilvl w:val="0"/>
          <w:numId w:val="25"/>
        </w:numPr>
        <w:spacing w:before="100" w:beforeAutospacing="1" w:after="100" w:afterAutospacing="1" w:line="276" w:lineRule="auto"/>
      </w:pPr>
      <w:r>
        <w:rPr>
          <w:rStyle w:val="textregularZchn"/>
          <w:rFonts w:cstheme="minorHAnsi"/>
          <w:color w:val="000000" w:themeColor="text1"/>
          <w:lang w:val="ro"/>
        </w:rPr>
        <w:t>Metodologia DA SEC</w:t>
      </w:r>
      <w:r>
        <w:rPr>
          <w:color w:val="000000" w:themeColor="text1"/>
          <w:lang w:val="ro"/>
        </w:rPr>
        <w:t xml:space="preserve"> se bazează pe un </w:t>
      </w:r>
      <w:r>
        <w:rPr>
          <w:lang w:val="ro"/>
        </w:rPr>
        <w:t>Calcul al Schimburilor Planificate DA etapizat.</w:t>
      </w:r>
      <w:r>
        <w:rPr>
          <w:color w:val="000000" w:themeColor="text1"/>
          <w:lang w:val="ro"/>
        </w:rPr>
        <w:t xml:space="preserve"> </w:t>
      </w:r>
      <w:bookmarkStart w:id="39" w:name="_Hlk501374870"/>
      <w:r>
        <w:rPr>
          <w:lang w:val="ro"/>
        </w:rPr>
        <w:t xml:space="preserve">Calculatorul Schimburilor Planificate </w:t>
      </w:r>
      <w:bookmarkStart w:id="40" w:name="_Hlk501374880"/>
      <w:bookmarkEnd w:id="39"/>
      <w:r>
        <w:rPr>
          <w:lang w:val="ro"/>
        </w:rPr>
        <w:t xml:space="preserve">respectă principiile definite la articolul 5 din prezenta Propunere DA SEC. </w:t>
      </w:r>
    </w:p>
    <w:p w14:paraId="6FCCD1F7" w14:textId="77777777" w:rsidR="001864B5" w:rsidRPr="004034CF" w:rsidRDefault="001864B5" w:rsidP="001864B5">
      <w:pPr>
        <w:pStyle w:val="ListParagraph"/>
        <w:spacing w:before="100" w:beforeAutospacing="1" w:after="100" w:afterAutospacing="1" w:line="276" w:lineRule="auto"/>
        <w:ind w:left="360"/>
      </w:pPr>
    </w:p>
    <w:p w14:paraId="1F9FD97C" w14:textId="77777777" w:rsidR="00490B5E" w:rsidRPr="004034CF" w:rsidRDefault="002A7F61" w:rsidP="00144DF3">
      <w:pPr>
        <w:pStyle w:val="ListParagraph"/>
        <w:numPr>
          <w:ilvl w:val="0"/>
          <w:numId w:val="25"/>
        </w:numPr>
        <w:spacing w:before="100" w:beforeAutospacing="1" w:after="100" w:afterAutospacing="1" w:line="276" w:lineRule="auto"/>
      </w:pPr>
      <w:bookmarkStart w:id="41" w:name="_Hlk503201327"/>
      <w:r>
        <w:rPr>
          <w:lang w:val="ro"/>
        </w:rPr>
        <w:t xml:space="preserve">Calculul se realizează </w:t>
      </w:r>
      <w:bookmarkEnd w:id="40"/>
      <w:bookmarkEnd w:id="41"/>
      <w:r>
        <w:rPr>
          <w:lang w:val="ro"/>
        </w:rPr>
        <w:t>pentru fiecare unitate de timp a pieței:</w:t>
      </w:r>
    </w:p>
    <w:p w14:paraId="52671AF9" w14:textId="7552BCD4" w:rsidR="00875065" w:rsidRPr="004034CF" w:rsidRDefault="00875065" w:rsidP="00F57BBE">
      <w:pPr>
        <w:pStyle w:val="textregular"/>
        <w:numPr>
          <w:ilvl w:val="0"/>
          <w:numId w:val="30"/>
        </w:numPr>
      </w:pPr>
      <w:r>
        <w:rPr>
          <w:lang w:val="ro"/>
        </w:rPr>
        <w:t xml:space="preserve">Calculatorul Schimburilor Planificate calculează în mod etapizat </w:t>
      </w:r>
      <w:bookmarkStart w:id="42" w:name="_Hlk501374929"/>
      <w:r>
        <w:rPr>
          <w:lang w:val="ro"/>
        </w:rPr>
        <w:t xml:space="preserve">Schimburile Planificate </w:t>
      </w:r>
      <w:bookmarkStart w:id="43" w:name="_Hlk501374915"/>
      <w:bookmarkEnd w:id="42"/>
      <w:r>
        <w:rPr>
          <w:lang w:val="ro"/>
        </w:rPr>
        <w:t>respective pentru cele două niveluri (zone de ofertare, arii de planificare), în baza datelor de intrare disponibile conform celor definite la ariilor articolul 3 din prezenta Propunere DA SEC;</w:t>
      </w:r>
      <w:bookmarkEnd w:id="43"/>
      <w:r>
        <w:rPr>
          <w:lang w:val="ro"/>
        </w:rPr>
        <w:t xml:space="preserve"> </w:t>
      </w:r>
    </w:p>
    <w:p w14:paraId="5882B3BF" w14:textId="77777777" w:rsidR="007452DF" w:rsidRPr="004034CF" w:rsidRDefault="007452DF" w:rsidP="00F57BBE">
      <w:pPr>
        <w:pStyle w:val="textregular"/>
        <w:numPr>
          <w:ilvl w:val="0"/>
          <w:numId w:val="30"/>
        </w:numPr>
      </w:pPr>
      <w:bookmarkStart w:id="44" w:name="_Hlk501374946"/>
      <w:r>
        <w:rPr>
          <w:lang w:val="ro"/>
        </w:rPr>
        <w:t xml:space="preserve">Fiecare etapă subsecventă preia sub formă de restricție datele de ieșire din etapa anterioară; </w:t>
      </w:r>
    </w:p>
    <w:p w14:paraId="293698CE" w14:textId="44244709" w:rsidR="00EB40E5" w:rsidRPr="004034CF" w:rsidRDefault="00EB40E5" w:rsidP="00F57BBE">
      <w:pPr>
        <w:pStyle w:val="textregular"/>
        <w:numPr>
          <w:ilvl w:val="0"/>
          <w:numId w:val="30"/>
        </w:numPr>
      </w:pPr>
      <w:bookmarkStart w:id="45" w:name="_Hlk501374980"/>
      <w:bookmarkEnd w:id="44"/>
      <w:r>
        <w:rPr>
          <w:lang w:val="ro"/>
        </w:rPr>
        <w:t xml:space="preserve">Calculul Schimburilor Planificate între zonele de ofertare urmează principiile descrise la articolul 7 din prezenta Propunere DA SEC; </w:t>
      </w:r>
    </w:p>
    <w:p w14:paraId="2E90D853" w14:textId="55B7ED3A" w:rsidR="00AF17BB" w:rsidRPr="004034CF" w:rsidRDefault="00C02889" w:rsidP="00F57BBE">
      <w:pPr>
        <w:pStyle w:val="textregular"/>
        <w:numPr>
          <w:ilvl w:val="0"/>
          <w:numId w:val="30"/>
        </w:numPr>
      </w:pPr>
      <w:r>
        <w:rPr>
          <w:lang w:val="ro"/>
        </w:rPr>
        <w:t>Calculul Schimburilor Planificate între ariile de planificare urmează principiile descrise la articolul 8 din prezenta Propunere DA SEC; și</w:t>
      </w:r>
    </w:p>
    <w:p w14:paraId="59FFCF3D" w14:textId="77777777" w:rsidR="009D1AFD" w:rsidRPr="004034CF" w:rsidRDefault="007E476B" w:rsidP="00F57BBE">
      <w:pPr>
        <w:pStyle w:val="textregular"/>
        <w:numPr>
          <w:ilvl w:val="0"/>
          <w:numId w:val="30"/>
        </w:numPr>
      </w:pPr>
      <w:r>
        <w:rPr>
          <w:lang w:val="ro"/>
        </w:rPr>
        <w:lastRenderedPageBreak/>
        <w:t>Schimburile Planificate se calculează mereu pentru o direcție specifică, adică schimbul planificat de la / la.</w:t>
      </w:r>
    </w:p>
    <w:p w14:paraId="2F6CFC04" w14:textId="77777777" w:rsidR="008C032F" w:rsidRPr="004034CF" w:rsidRDefault="008C032F" w:rsidP="008C032F">
      <w:pPr>
        <w:pStyle w:val="headline1"/>
        <w:rPr>
          <w:rFonts w:asciiTheme="minorHAnsi" w:hAnsiTheme="minorHAnsi" w:cstheme="minorHAnsi"/>
        </w:rPr>
      </w:pPr>
      <w:bookmarkStart w:id="46" w:name="_Toc508618106"/>
      <w:bookmarkEnd w:id="45"/>
      <w:r>
        <w:rPr>
          <w:rFonts w:asciiTheme="minorHAnsi" w:hAnsiTheme="minorHAnsi" w:cstheme="minorHAnsi"/>
          <w:bCs/>
          <w:lang w:val="ro"/>
        </w:rPr>
        <w:t>Articolul 7 - Calculul Schimburi Planificate între zonele de ofertare</w:t>
      </w:r>
      <w:bookmarkEnd w:id="46"/>
    </w:p>
    <w:p w14:paraId="030CE093" w14:textId="633A4AFC" w:rsidR="00E94622" w:rsidRDefault="00D85F3E" w:rsidP="001F1148">
      <w:pPr>
        <w:pStyle w:val="ListParagraph"/>
        <w:numPr>
          <w:ilvl w:val="0"/>
          <w:numId w:val="35"/>
        </w:numPr>
        <w:spacing w:before="100" w:beforeAutospacing="1" w:after="100" w:afterAutospacing="1" w:line="276" w:lineRule="auto"/>
      </w:pPr>
      <w:r>
        <w:rPr>
          <w:lang w:val="ro"/>
        </w:rPr>
        <w:t>Calculatorul Schimburilor Planificate calculează Schimburile Planificate între zonele de ofertare în baza pozițiilor nete ale zonei de ofertare furnizate de toate OPEED-urile în conformitate cu articolul 3 din prezenta Propunere DA SEC.</w:t>
      </w:r>
    </w:p>
    <w:p w14:paraId="201026F2" w14:textId="77777777" w:rsidR="00BC3208" w:rsidRPr="00BC3208" w:rsidRDefault="00BC3208" w:rsidP="00BC3208">
      <w:pPr>
        <w:pStyle w:val="ListParagraph"/>
        <w:ind w:left="0"/>
        <w:rPr>
          <w:rFonts w:cstheme="minorHAnsi"/>
          <w:color w:val="000000" w:themeColor="text1"/>
        </w:rPr>
      </w:pPr>
    </w:p>
    <w:p w14:paraId="26B2C698" w14:textId="77777777" w:rsidR="00240F01" w:rsidRDefault="001A0C74" w:rsidP="001F1148">
      <w:pPr>
        <w:pStyle w:val="ListParagraph"/>
        <w:numPr>
          <w:ilvl w:val="0"/>
          <w:numId w:val="35"/>
        </w:numPr>
        <w:spacing w:before="100" w:beforeAutospacing="1" w:after="100" w:afterAutospacing="1" w:line="276" w:lineRule="auto"/>
      </w:pPr>
      <w:r>
        <w:rPr>
          <w:lang w:val="ro"/>
        </w:rPr>
        <w:t xml:space="preserve">Când vorbim despre Metoda bazată pe Capacitatea Netă de Transport Coordonată </w:t>
      </w:r>
      <w:bookmarkStart w:id="47" w:name="_Hlk501375068"/>
      <w:r>
        <w:rPr>
          <w:lang w:val="ro"/>
        </w:rPr>
        <w:t>(numită în continuare „</w:t>
      </w:r>
      <w:r>
        <w:rPr>
          <w:b/>
          <w:bCs/>
          <w:lang w:val="ro"/>
        </w:rPr>
        <w:t>CNTC</w:t>
      </w:r>
      <w:r>
        <w:rPr>
          <w:lang w:val="ro"/>
        </w:rPr>
        <w:t>”)</w:t>
      </w:r>
      <w:bookmarkEnd w:id="47"/>
      <w:r>
        <w:rPr>
          <w:lang w:val="ro"/>
        </w:rPr>
        <w:t xml:space="preserve">, dacă există o diferență de preț între două zone de ofertare, fie capacitatea disponibilă a fost utilizată în întregime, sau o altă restricție de alocare (de ex. restricție de </w:t>
      </w:r>
      <w:proofErr w:type="spellStart"/>
      <w:r>
        <w:rPr>
          <w:lang w:val="ro"/>
        </w:rPr>
        <w:t>ramping</w:t>
      </w:r>
      <w:proofErr w:type="spellEnd"/>
      <w:r>
        <w:rPr>
          <w:lang w:val="ro"/>
        </w:rPr>
        <w:t xml:space="preserve">) a fost activă. Astfel, dacă există o diferență de preț între două zone de ofertare în cadrul unei CCR care aplică CNTC, Schimbul Planificat este egal cu Fluxurile Planificate de la granița respectivei zone de ofertare. </w:t>
      </w:r>
    </w:p>
    <w:p w14:paraId="337973EF" w14:textId="77777777" w:rsidR="00BC3208" w:rsidRPr="00BC3208" w:rsidRDefault="00BC3208" w:rsidP="00BC3208">
      <w:pPr>
        <w:pStyle w:val="ListParagraph"/>
        <w:ind w:left="0"/>
        <w:rPr>
          <w:rFonts w:cstheme="minorHAnsi"/>
          <w:color w:val="000000" w:themeColor="text1"/>
        </w:rPr>
      </w:pPr>
    </w:p>
    <w:p w14:paraId="556172F0" w14:textId="591CFA59" w:rsidR="00976185" w:rsidRPr="004034CF" w:rsidRDefault="00AF77E7" w:rsidP="001F1148">
      <w:pPr>
        <w:pStyle w:val="ListParagraph"/>
        <w:numPr>
          <w:ilvl w:val="0"/>
          <w:numId w:val="35"/>
        </w:numPr>
        <w:spacing w:before="100" w:beforeAutospacing="1" w:after="100" w:afterAutospacing="1" w:line="276" w:lineRule="auto"/>
      </w:pPr>
      <w:r>
        <w:rPr>
          <w:lang w:val="ro"/>
        </w:rPr>
        <w:t>Dacă alocarea capacităților transfrontaliere se bazează pe pozițiile nete ale zonelor de ofertare (de ex. alocarea bazată pe fluxuri de energie), sau în cazul în care există nedeterminări</w:t>
      </w:r>
      <w:r>
        <w:rPr>
          <w:rStyle w:val="FootnoteReference"/>
          <w:lang w:val="ro"/>
        </w:rPr>
        <w:footnoteReference w:id="2"/>
      </w:r>
      <w:r>
        <w:rPr>
          <w:lang w:val="ro"/>
        </w:rPr>
        <w:t xml:space="preserve">, sunt posibile o serie de rute. Optimizarea Schimburilor Planificate are astfel obiectivul de a minimiza Schimburile Planificate între zonele de ofertare implicate, luând în considerare principiile de la articolul 5.1 din prezenta Propunere DA SEC. Pentru această minimizare, Schimburile Planificate între zonele de ofertare implicate sunt utilizate drept un set de variabile pentru minimizarea următoarei funcții țintă: </w:t>
      </w:r>
    </w:p>
    <w:p w14:paraId="0110975F" w14:textId="77777777" w:rsidR="00F62427" w:rsidRPr="004034CF" w:rsidRDefault="00F62427" w:rsidP="00F62427">
      <w:pPr>
        <w:pStyle w:val="ListParagraph"/>
        <w:ind w:left="1080"/>
      </w:pPr>
    </w:p>
    <w:p w14:paraId="748BCDC2" w14:textId="77777777" w:rsidR="00F62427" w:rsidRPr="004034CF" w:rsidRDefault="002B3310" w:rsidP="00F62427">
      <w:pPr>
        <w:pStyle w:val="ListParagraph"/>
        <w:ind w:left="1080"/>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04644565" w14:textId="77777777" w:rsidR="00F62427" w:rsidRPr="004034CF" w:rsidRDefault="00F62427" w:rsidP="00F62427">
      <w:pPr>
        <w:pStyle w:val="ListParagraph"/>
        <w:ind w:left="1080"/>
      </w:pPr>
    </w:p>
    <w:p w14:paraId="15C6F0D6" w14:textId="77777777" w:rsidR="00F62427" w:rsidRPr="004034CF" w:rsidRDefault="00F62427" w:rsidP="00F62427">
      <w:pPr>
        <w:pStyle w:val="ListParagraph"/>
        <w:ind w:left="1080"/>
      </w:pPr>
      <w:r>
        <w:rPr>
          <w:lang w:val="ro"/>
        </w:rPr>
        <w:t>Unde:</w:t>
      </w:r>
    </w:p>
    <w:p w14:paraId="0C11FD9D" w14:textId="77777777" w:rsidR="00F62427" w:rsidRPr="004034CF" w:rsidRDefault="002B3310" w:rsidP="00A84E39">
      <w:pPr>
        <w:pStyle w:val="ListParagraph"/>
        <w:numPr>
          <w:ilvl w:val="2"/>
          <w:numId w:val="15"/>
        </w:numPr>
        <w:spacing w:after="0" w:line="240" w:lineRule="auto"/>
        <w:jc w:val="left"/>
      </w:pPr>
      <m:oMath>
        <m:sSub>
          <m:sSubPr>
            <m:ctrlPr>
              <w:rPr>
                <w:rFonts w:ascii="Cambria Math" w:hAnsi="Cambria Math"/>
                <w:i/>
                <w:iCs/>
              </w:rPr>
            </m:ctrlPr>
          </m:sSubPr>
          <m:e>
            <m:r>
              <w:rPr>
                <w:rFonts w:ascii="Cambria Math" w:hAnsi="Cambria Math"/>
              </w:rPr>
              <m:t>lc</m:t>
            </m:r>
          </m:e>
          <m:sub>
            <m:r>
              <w:rPr>
                <w:rFonts w:ascii="Cambria Math" w:hAnsi="Cambria Math"/>
              </w:rPr>
              <m:t>i,h</m:t>
            </m:r>
          </m:sub>
        </m:sSub>
        <m:r>
          <w:rPr>
            <w:rFonts w:ascii="Cambria Math" w:hAnsi="Cambria Math"/>
          </w:rPr>
          <m:t xml:space="preserve"> </m:t>
        </m:r>
      </m:oMath>
      <w:r w:rsidR="00DC537C">
        <w:rPr>
          <w:lang w:val="ro"/>
        </w:rPr>
        <w:t>= coeficientul liniar de cost asociat interconexiunii i pentru unitatea de timp a pieței h</w:t>
      </w:r>
    </w:p>
    <w:p w14:paraId="4ADE5F5F" w14:textId="2C8BF557" w:rsidR="00F62427" w:rsidRPr="004034CF" w:rsidRDefault="002B3310" w:rsidP="00A84E39">
      <w:pPr>
        <w:pStyle w:val="ListParagraph"/>
        <w:numPr>
          <w:ilvl w:val="2"/>
          <w:numId w:val="15"/>
        </w:numPr>
        <w:spacing w:after="0" w:line="240" w:lineRule="auto"/>
        <w:jc w:val="left"/>
      </w:pPr>
      <m:oMath>
        <m:sSub>
          <m:sSubPr>
            <m:ctrlPr>
              <w:rPr>
                <w:rFonts w:ascii="Cambria Math" w:hAnsi="Cambria Math"/>
                <w:i/>
                <w:iCs/>
              </w:rPr>
            </m:ctrlPr>
          </m:sSubPr>
          <m:e>
            <m:r>
              <w:rPr>
                <w:rFonts w:ascii="Cambria Math" w:hAnsi="Cambria Math"/>
              </w:rPr>
              <m:t>qc</m:t>
            </m:r>
          </m:e>
          <m:sub>
            <m:r>
              <w:rPr>
                <w:rFonts w:ascii="Cambria Math" w:hAnsi="Cambria Math"/>
              </w:rPr>
              <m:t>i,h</m:t>
            </m:r>
          </m:sub>
        </m:sSub>
      </m:oMath>
      <w:r w:rsidR="00DC537C">
        <w:rPr>
          <w:lang w:val="ro"/>
        </w:rPr>
        <w:t xml:space="preserve"> = coeficientul pătratic de cost asociat interconexiunii i pentru unitatea de timp a pieței h</w:t>
      </w:r>
    </w:p>
    <w:p w14:paraId="237BF77F" w14:textId="12F9CE9A" w:rsidR="00F62427" w:rsidRPr="00E06A8C" w:rsidRDefault="002B3310" w:rsidP="00A84E39">
      <w:pPr>
        <w:pStyle w:val="ListParagraph"/>
        <w:numPr>
          <w:ilvl w:val="2"/>
          <w:numId w:val="15"/>
        </w:numPr>
        <w:spacing w:after="0" w:line="240" w:lineRule="auto"/>
        <w:jc w:val="left"/>
      </w:pPr>
      <m:oMath>
        <m:sSub>
          <m:sSubPr>
            <m:ctrlPr>
              <w:rPr>
                <w:rFonts w:ascii="Cambria Math" w:hAnsi="Cambria Math"/>
                <w:i/>
                <w:iCs/>
              </w:rPr>
            </m:ctrlPr>
          </m:sSubPr>
          <m:e>
            <m:r>
              <w:rPr>
                <w:rFonts w:ascii="Cambria Math" w:hAnsi="Cambria Math"/>
              </w:rPr>
              <m:t>φ</m:t>
            </m:r>
          </m:e>
          <m:sub>
            <m:r>
              <w:rPr>
                <w:rFonts w:ascii="Cambria Math" w:hAnsi="Cambria Math"/>
              </w:rPr>
              <m:t>i,h</m:t>
            </m:r>
          </m:sub>
        </m:sSub>
        <m:r>
          <m:rPr>
            <m:nor/>
          </m:rPr>
          <w:rPr>
            <w:rFonts w:ascii="Cambria Math" w:hAnsi="Cambria Math"/>
          </w:rPr>
          <m:t xml:space="preserve"> = flux pe interconexiune i pentru unitatea de timp a pieței h</m:t>
        </m:r>
      </m:oMath>
    </w:p>
    <w:p w14:paraId="05897900" w14:textId="77777777" w:rsidR="00E06A8C" w:rsidRPr="004034CF" w:rsidRDefault="00E06A8C" w:rsidP="00E06A8C">
      <w:pPr>
        <w:pStyle w:val="ListParagraph"/>
        <w:numPr>
          <w:ilvl w:val="2"/>
          <w:numId w:val="15"/>
        </w:numPr>
        <w:spacing w:after="0" w:line="240" w:lineRule="auto"/>
        <w:jc w:val="left"/>
      </w:pPr>
      <m:oMath>
        <m:r>
          <w:rPr>
            <w:rFonts w:ascii="Cambria Math" w:hAnsi="Cambria Math"/>
          </w:rPr>
          <m:t>i=</m:t>
        </m:r>
        <m:r>
          <m:rPr>
            <m:nor/>
          </m:rPr>
          <w:rPr>
            <w:iCs/>
          </w:rPr>
          <m:t>interconexiune reprezentând o graniță a zonei de ofertare dată</m:t>
        </m:r>
        <m:r>
          <w:rPr>
            <w:rFonts w:ascii="Cambria Math" w:hAnsi="Cambria Math"/>
          </w:rPr>
          <m:t xml:space="preserve"> </m:t>
        </m:r>
      </m:oMath>
    </w:p>
    <w:p w14:paraId="05F3BBA9" w14:textId="77777777" w:rsidR="0016087D" w:rsidRPr="004034CF" w:rsidRDefault="0016087D" w:rsidP="00D679C8">
      <w:pPr>
        <w:pStyle w:val="textregular"/>
      </w:pPr>
    </w:p>
    <w:p w14:paraId="727300E2" w14:textId="14C9ABB4" w:rsidR="00F62427" w:rsidRPr="004034CF" w:rsidRDefault="005077B3" w:rsidP="001F1148">
      <w:pPr>
        <w:pStyle w:val="ListParagraph"/>
        <w:numPr>
          <w:ilvl w:val="0"/>
          <w:numId w:val="35"/>
        </w:numPr>
        <w:spacing w:before="100" w:beforeAutospacing="1" w:after="100" w:afterAutospacing="1" w:line="276" w:lineRule="auto"/>
      </w:pPr>
      <w:r>
        <w:rPr>
          <w:lang w:val="ro"/>
        </w:rPr>
        <w:t>Coeficienții de cost (atât liniari cât și pătratici) asociați fiecărei granițe a zonei de ofertare sunt puși la dispoziție drept date de intrare de către OTS-uri. Coeficienții de cost sunt ficși pentru o topologie a pieței dată (set de granițe ale zonei de ofertare) și nu se modifică pentru fiecare unitate de timp a pieței. Coeficienții de cost sunt determinați astfel încât să se îndeplinească următoarele obiective:</w:t>
      </w:r>
    </w:p>
    <w:p w14:paraId="40F5CAAC" w14:textId="77777777" w:rsidR="00826F97" w:rsidRPr="004034CF" w:rsidRDefault="00516E2D" w:rsidP="00A84E39">
      <w:pPr>
        <w:pStyle w:val="textregular"/>
        <w:numPr>
          <w:ilvl w:val="0"/>
          <w:numId w:val="16"/>
        </w:numPr>
      </w:pPr>
      <w:r>
        <w:rPr>
          <w:lang w:val="ro"/>
        </w:rPr>
        <w:t>Unicitate prin introducerea unui coeficient de cost pătratic</w:t>
      </w:r>
    </w:p>
    <w:p w14:paraId="306D09F8" w14:textId="77777777" w:rsidR="00516E2D" w:rsidRPr="004034CF" w:rsidRDefault="00D6745E" w:rsidP="00A84E39">
      <w:pPr>
        <w:pStyle w:val="textregular"/>
        <w:numPr>
          <w:ilvl w:val="0"/>
          <w:numId w:val="16"/>
        </w:numPr>
      </w:pPr>
      <w:r>
        <w:rPr>
          <w:lang w:val="ro"/>
        </w:rPr>
        <w:t>Regula celei mai scurte căi pentru a evita buclele și pentru a asigura minimizarea tranziturilor dintre regiuni prin stabilirea coeficientului liniar de cost.</w:t>
      </w:r>
    </w:p>
    <w:p w14:paraId="62242EA2" w14:textId="77777777" w:rsidR="0056226F" w:rsidRPr="004034CF" w:rsidRDefault="00C91F97" w:rsidP="00A84E39">
      <w:pPr>
        <w:pStyle w:val="textregular"/>
        <w:numPr>
          <w:ilvl w:val="0"/>
          <w:numId w:val="16"/>
        </w:numPr>
      </w:pPr>
      <w:r>
        <w:rPr>
          <w:lang w:val="ro"/>
        </w:rPr>
        <w:lastRenderedPageBreak/>
        <w:t xml:space="preserve">Regula de stabilire a priorităților pentru a acorda prioritate anumitor interconexiuni pentru a asigura minimizarea Schimburilor Planificate între zonele de ofertare implicate </w:t>
      </w:r>
    </w:p>
    <w:p w14:paraId="211DD7E4" w14:textId="77777777" w:rsidR="008642B4" w:rsidRPr="004034CF" w:rsidRDefault="008642B4" w:rsidP="00C91F97">
      <w:pPr>
        <w:pStyle w:val="textregular"/>
      </w:pPr>
    </w:p>
    <w:p w14:paraId="10F013E8" w14:textId="77777777" w:rsidR="00E2609D" w:rsidRPr="004034CF" w:rsidRDefault="004C0281" w:rsidP="001F1148">
      <w:pPr>
        <w:pStyle w:val="ListParagraph"/>
        <w:numPr>
          <w:ilvl w:val="0"/>
          <w:numId w:val="35"/>
        </w:numPr>
        <w:spacing w:before="100" w:beforeAutospacing="1" w:after="100" w:afterAutospacing="1" w:line="276" w:lineRule="auto"/>
      </w:pPr>
      <w:r>
        <w:rPr>
          <w:lang w:val="ro"/>
        </w:rPr>
        <w:t xml:space="preserve">Coeficienții de cost sunt determinați astfel încât comportarea generală a optimizării să fie echilibrată și să se respecte obiectivele. Astfel, raportul dintre diferiții coeficienți de cost la fiecare graniță a zonei de ofertare este mai important decât valoarea exactă a coeficientului de cost. </w:t>
      </w:r>
      <w:bookmarkStart w:id="48" w:name="_Hlk500254827"/>
    </w:p>
    <w:p w14:paraId="65386918" w14:textId="77777777" w:rsidR="00E2609D" w:rsidRPr="004034CF" w:rsidRDefault="00E2609D" w:rsidP="00E2609D">
      <w:pPr>
        <w:pStyle w:val="ListParagraph"/>
        <w:spacing w:before="100" w:beforeAutospacing="1" w:after="100" w:afterAutospacing="1" w:line="276" w:lineRule="auto"/>
        <w:ind w:left="360"/>
      </w:pPr>
    </w:p>
    <w:p w14:paraId="4024B84D" w14:textId="123039CE" w:rsidR="00023A5C" w:rsidRPr="004034CF" w:rsidRDefault="0010778D" w:rsidP="001F1148">
      <w:pPr>
        <w:pStyle w:val="ListParagraph"/>
        <w:numPr>
          <w:ilvl w:val="0"/>
          <w:numId w:val="35"/>
        </w:numPr>
        <w:spacing w:before="100" w:beforeAutospacing="1" w:after="100" w:afterAutospacing="1" w:line="276" w:lineRule="auto"/>
      </w:pPr>
      <w:r>
        <w:rPr>
          <w:lang w:val="ro"/>
        </w:rPr>
        <w:t xml:space="preserve">În plus, acolo unde este relevant, trebuie să se asigure că Schimburile Planificate sunt definite de la ariile cu preț scăzut la ariile cu preț ridicat. Astfel, între zonele de ofertare se aplică o restricție de planificare privind caracterul intuitiv. Restricția de planificare cu privire la caracterul intuitiv dintre zona de ofertare A și zona de ofertare B este descrisă după cum urmează: </w:t>
      </w:r>
    </w:p>
    <w:p w14:paraId="5BBF421B" w14:textId="77777777" w:rsidR="00240F01" w:rsidRPr="004034CF" w:rsidRDefault="002B3310" w:rsidP="00D679C8">
      <w:pPr>
        <w:pStyle w:val="textregular"/>
        <w:rPr>
          <w:rFonts w:eastAsiaTheme="minorEastAsia"/>
        </w:rPr>
      </w:pPr>
      <m:oMathPara>
        <m:oMath>
          <m:sSub>
            <m:sSubPr>
              <m:ctrlPr>
                <w:rPr>
                  <w:rFonts w:ascii="Cambria Math" w:hAnsi="Cambria Math"/>
                  <w:i/>
                </w:rPr>
              </m:ctrlPr>
            </m:sSubPr>
            <m:e>
              <m:r>
                <w:rPr>
                  <w:rFonts w:ascii="Cambria Math" w:hAnsi="Cambria Math"/>
                </w:rPr>
                <m:t>(Preț</m:t>
              </m:r>
            </m:e>
            <m:sub>
              <m:r>
                <w:rPr>
                  <w:rFonts w:ascii="Cambria Math" w:hAnsi="Cambria Math"/>
                </w:rPr>
                <m:t>BZ B</m:t>
              </m:r>
            </m:sub>
          </m:sSub>
          <m:r>
            <w:rPr>
              <w:rFonts w:ascii="Cambria Math" w:hAnsi="Cambria Math"/>
            </w:rPr>
            <m:t xml:space="preserve">- </m:t>
          </m:r>
          <m:sSub>
            <m:sSubPr>
              <m:ctrlPr>
                <w:rPr>
                  <w:rFonts w:ascii="Cambria Math" w:hAnsi="Cambria Math"/>
                  <w:i/>
                </w:rPr>
              </m:ctrlPr>
            </m:sSubPr>
            <m:e>
              <m:r>
                <w:rPr>
                  <w:rFonts w:ascii="Cambria Math" w:hAnsi="Cambria Math"/>
                </w:rPr>
                <m:t>Preț</m:t>
              </m:r>
            </m:e>
            <m:sub>
              <m:r>
                <w:rPr>
                  <w:rFonts w:ascii="Cambria Math" w:hAnsi="Cambria Math"/>
                </w:rPr>
                <m:t>BZ A</m:t>
              </m:r>
            </m:sub>
          </m:sSub>
          <m:r>
            <w:rPr>
              <w:rFonts w:ascii="Cambria Math" w:hAnsi="Cambria Math"/>
            </w:rPr>
            <m:t>)*</m:t>
          </m:r>
          <m:sSub>
            <m:sSubPr>
              <m:ctrlPr>
                <w:rPr>
                  <w:rFonts w:ascii="Cambria Math" w:hAnsi="Cambria Math"/>
                  <w:i/>
                </w:rPr>
              </m:ctrlPr>
            </m:sSubPr>
            <m:e>
              <m:r>
                <w:rPr>
                  <w:rFonts w:ascii="Cambria Math" w:hAnsi="Cambria Math"/>
                </w:rPr>
                <m:t>Schimburi Planificate</m:t>
              </m:r>
            </m:e>
            <m:sub>
              <m:r>
                <w:rPr>
                  <w:rFonts w:ascii="Cambria Math" w:hAnsi="Cambria Math"/>
                </w:rPr>
                <m:t>A→B</m:t>
              </m:r>
            </m:sub>
          </m:sSub>
          <m:r>
            <w:rPr>
              <w:rFonts w:ascii="Cambria Math" w:hAnsi="Cambria Math"/>
            </w:rPr>
            <m:t xml:space="preserve"> ≥0</m:t>
          </m:r>
        </m:oMath>
      </m:oMathPara>
    </w:p>
    <w:p w14:paraId="4F7BAFE5" w14:textId="77777777" w:rsidR="007A4FC0" w:rsidRPr="004034CF" w:rsidRDefault="007A4FC0" w:rsidP="007A4FC0">
      <w:pPr>
        <w:pStyle w:val="textregular"/>
      </w:pPr>
    </w:p>
    <w:p w14:paraId="5717C7FF" w14:textId="30921667" w:rsidR="00497693" w:rsidRPr="004034CF" w:rsidRDefault="007A4FC0" w:rsidP="001F1148">
      <w:pPr>
        <w:pStyle w:val="ListParagraph"/>
        <w:numPr>
          <w:ilvl w:val="0"/>
          <w:numId w:val="35"/>
        </w:numPr>
        <w:spacing w:before="100" w:beforeAutospacing="1" w:after="100" w:afterAutospacing="1" w:line="276" w:lineRule="auto"/>
        <w:rPr>
          <w:rFonts w:eastAsiaTheme="minorEastAsia"/>
        </w:rPr>
      </w:pPr>
      <w:r>
        <w:rPr>
          <w:lang w:val="ro"/>
        </w:rPr>
        <w:t>Schimburile Planificate calculate între zonele de ofertare sunt consistente cu Pozițiile Nete ale zonei de ofertare furnizate de OPEED-uri în conformitate cu articolul 3 din prezenta Propunere DA SEC.</w:t>
      </w:r>
    </w:p>
    <w:p w14:paraId="46605961" w14:textId="77777777" w:rsidR="008C032F" w:rsidRPr="004034CF" w:rsidRDefault="008C032F" w:rsidP="008C032F">
      <w:pPr>
        <w:pStyle w:val="headline1"/>
        <w:rPr>
          <w:rFonts w:asciiTheme="minorHAnsi" w:hAnsiTheme="minorHAnsi" w:cstheme="minorHAnsi"/>
        </w:rPr>
      </w:pPr>
      <w:bookmarkStart w:id="49" w:name="_Toc508618107"/>
      <w:bookmarkEnd w:id="48"/>
      <w:r>
        <w:rPr>
          <w:rFonts w:asciiTheme="minorHAnsi" w:hAnsiTheme="minorHAnsi" w:cstheme="minorHAnsi"/>
          <w:bCs/>
          <w:lang w:val="ro"/>
        </w:rPr>
        <w:t>Articolul 8 - Calculul Schimburilor Planificate între ariile de planificare</w:t>
      </w:r>
      <w:bookmarkEnd w:id="49"/>
    </w:p>
    <w:p w14:paraId="7951AC9C" w14:textId="77777777" w:rsidR="0015202E" w:rsidRPr="004034CF" w:rsidRDefault="00821692" w:rsidP="001F1148">
      <w:pPr>
        <w:pStyle w:val="ListParagraph"/>
        <w:numPr>
          <w:ilvl w:val="0"/>
          <w:numId w:val="36"/>
        </w:numPr>
        <w:spacing w:before="100" w:beforeAutospacing="1" w:after="100" w:afterAutospacing="1" w:line="276" w:lineRule="auto"/>
        <w:rPr>
          <w:rFonts w:cstheme="minorHAnsi"/>
        </w:rPr>
      </w:pPr>
      <w:bookmarkStart w:id="50" w:name="_Hlk501375220"/>
      <w:r>
        <w:rPr>
          <w:rFonts w:cstheme="minorHAnsi"/>
          <w:lang w:val="ro"/>
        </w:rPr>
        <w:t xml:space="preserve">După calculul Schimburilor Planificate între zonele de ofertare, Calculatorul Schimburilor Planificate calculează Schimburile Planificate între ariile de planificare, acolo unde este cazul. În cazul în care ariile de planificare sunt egale cu zonele de ofertare, Schimburile Planificate între două zone de ofertare sunt egale cu Schimburile Planificate între două arii de planificare. </w:t>
      </w:r>
    </w:p>
    <w:p w14:paraId="4D57DCB9" w14:textId="77777777" w:rsidR="002776D1" w:rsidRPr="004034CF" w:rsidRDefault="002776D1" w:rsidP="002776D1">
      <w:pPr>
        <w:pStyle w:val="ListParagraph"/>
        <w:spacing w:before="100" w:beforeAutospacing="1" w:after="100" w:afterAutospacing="1" w:line="276" w:lineRule="auto"/>
        <w:ind w:left="360"/>
        <w:rPr>
          <w:rFonts w:cstheme="minorHAnsi"/>
        </w:rPr>
      </w:pPr>
    </w:p>
    <w:bookmarkEnd w:id="50"/>
    <w:p w14:paraId="3EBB8F61" w14:textId="77777777" w:rsidR="00440441" w:rsidRPr="004034CF" w:rsidRDefault="00440441" w:rsidP="001F1148">
      <w:pPr>
        <w:pStyle w:val="ListParagraph"/>
        <w:numPr>
          <w:ilvl w:val="0"/>
          <w:numId w:val="36"/>
        </w:numPr>
        <w:spacing w:before="100" w:beforeAutospacing="1" w:after="100" w:afterAutospacing="1" w:line="276" w:lineRule="auto"/>
      </w:pPr>
      <w:r>
        <w:rPr>
          <w:lang w:val="ro"/>
        </w:rPr>
        <w:t>În cazul în care există mai mult de o arie de planificare în cadrul unei zone de ofertare, atunci:</w:t>
      </w:r>
    </w:p>
    <w:p w14:paraId="3C7864D7" w14:textId="6E63CF6C" w:rsidR="00066725" w:rsidRPr="004034CF" w:rsidRDefault="00440441" w:rsidP="00A84E39">
      <w:pPr>
        <w:pStyle w:val="ListParagraph"/>
        <w:numPr>
          <w:ilvl w:val="0"/>
          <w:numId w:val="17"/>
        </w:numPr>
        <w:spacing w:before="100" w:beforeAutospacing="1" w:after="100" w:afterAutospacing="1" w:line="276" w:lineRule="auto"/>
      </w:pPr>
      <w:r>
        <w:rPr>
          <w:lang w:val="ro"/>
        </w:rPr>
        <w:t>Calculatorul Schimburilor Planificate calculează Schimburile Planificate între ariile de planificare utilizând Pozițiile Nete ale ariei de planificare furnizate în conformitate cu articolul 3 din prezenta Propunere DA SEC.</w:t>
      </w:r>
    </w:p>
    <w:p w14:paraId="71C15575" w14:textId="77777777" w:rsidR="003D791B" w:rsidRPr="004034CF" w:rsidRDefault="003D791B" w:rsidP="00A84E39">
      <w:pPr>
        <w:pStyle w:val="ListParagraph"/>
        <w:numPr>
          <w:ilvl w:val="0"/>
          <w:numId w:val="17"/>
        </w:numPr>
        <w:spacing w:before="100" w:beforeAutospacing="1" w:after="100" w:afterAutospacing="1" w:line="276" w:lineRule="auto"/>
      </w:pPr>
      <w:r>
        <w:rPr>
          <w:lang w:val="ro"/>
        </w:rPr>
        <w:t>Pentru calculul Schimburilor Planificate între ariile de planificare, se aplică aceeași metodă de optimizare ca în cazul Schimburilor Planificate între zonele de ofertare, după cum urmează:</w:t>
      </w:r>
    </w:p>
    <w:p w14:paraId="20F8630A" w14:textId="2A23F240" w:rsidR="003D791B" w:rsidRPr="004034CF" w:rsidRDefault="003D791B" w:rsidP="003D791B">
      <w:pPr>
        <w:pStyle w:val="textregular"/>
        <w:spacing w:line="276" w:lineRule="auto"/>
        <w:ind w:left="1428"/>
      </w:pPr>
      <w:r>
        <w:rPr>
          <w:lang w:val="ro"/>
        </w:rPr>
        <w:object w:dxaOrig="5020" w:dyaOrig="600" w14:anchorId="2E644D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30pt" o:ole="">
            <v:imagedata r:id="rId11" o:title=""/>
          </v:shape>
          <o:OLEObject Type="Embed" ProgID="Equation.3" ShapeID="_x0000_i1025" DrawAspect="Content" ObjectID="_1582361160" r:id="rId12"/>
        </w:object>
      </w:r>
    </w:p>
    <w:p w14:paraId="736F7AE5" w14:textId="73BB2037" w:rsidR="00195392" w:rsidRPr="004034CF" w:rsidRDefault="00195392" w:rsidP="003D791B">
      <w:pPr>
        <w:pStyle w:val="textregular"/>
        <w:spacing w:line="276" w:lineRule="auto"/>
        <w:ind w:left="1428"/>
      </w:pPr>
      <w:r>
        <w:rPr>
          <w:lang w:val="ro"/>
        </w:rPr>
        <w:t xml:space="preserve">Unde </w:t>
      </w:r>
    </w:p>
    <w:p w14:paraId="16CA9D2D" w14:textId="54488F0F" w:rsidR="00195392" w:rsidRPr="004034CF" w:rsidRDefault="00195392" w:rsidP="00195392">
      <w:pPr>
        <w:ind w:left="1418"/>
      </w:pPr>
      <w:r>
        <w:rPr>
          <w:lang w:val="ro"/>
        </w:rPr>
        <w:object w:dxaOrig="980" w:dyaOrig="380" w14:anchorId="4F5ED514">
          <v:shape id="_x0000_i1026" type="#_x0000_t75" style="width:47.4pt;height:24.6pt" o:ole="">
            <v:imagedata r:id="rId13" o:title=""/>
          </v:shape>
          <o:OLEObject Type="Embed" ProgID="Equation.3" ShapeID="_x0000_i1026" DrawAspect="Content" ObjectID="_1582361161" r:id="rId14"/>
        </w:object>
      </w:r>
      <w:r>
        <w:rPr>
          <w:lang w:val="ro"/>
        </w:rPr>
        <w:t xml:space="preserve"> este Fluxul Planificat între ariile de planificare sa1 și sa2, </w:t>
      </w:r>
    </w:p>
    <w:p w14:paraId="347B839B" w14:textId="724D1A9C" w:rsidR="00195392" w:rsidRPr="004034CF" w:rsidRDefault="00195392" w:rsidP="00195392">
      <w:pPr>
        <w:ind w:left="1418"/>
      </w:pPr>
      <w:r>
        <w:rPr>
          <w:lang w:val="ro"/>
        </w:rPr>
        <w:object w:dxaOrig="620" w:dyaOrig="380" w14:anchorId="65D2195F">
          <v:shape id="_x0000_i1027" type="#_x0000_t75" style="width:29.4pt;height:24.6pt" o:ole="">
            <v:imagedata r:id="rId15" o:title=""/>
          </v:shape>
          <o:OLEObject Type="Embed" ProgID="Equation.3" ShapeID="_x0000_i1027" DrawAspect="Content" ObjectID="_1582361162" r:id="rId16"/>
        </w:object>
      </w:r>
      <w:r>
        <w:rPr>
          <w:lang w:val="ro"/>
        </w:rPr>
        <w:t xml:space="preserve"> este coeficientul liniar de cost între ariile de planificare sa1 și sa2, </w:t>
      </w:r>
    </w:p>
    <w:p w14:paraId="6A4470C2" w14:textId="2B30D292" w:rsidR="00195392" w:rsidRPr="004034CF" w:rsidRDefault="00195392" w:rsidP="00195392">
      <w:pPr>
        <w:ind w:left="1418"/>
      </w:pPr>
      <w:r>
        <w:rPr>
          <w:lang w:val="ro"/>
        </w:rPr>
        <w:object w:dxaOrig="639" w:dyaOrig="380" w14:anchorId="007055CD">
          <v:shape id="_x0000_i1028" type="#_x0000_t75" style="width:30pt;height:24.6pt" o:ole="">
            <v:imagedata r:id="rId17" o:title=""/>
          </v:shape>
          <o:OLEObject Type="Embed" ProgID="Equation.3" ShapeID="_x0000_i1028" DrawAspect="Content" ObjectID="_1582361163" r:id="rId18"/>
        </w:object>
      </w:r>
      <w:r>
        <w:rPr>
          <w:lang w:val="ro"/>
        </w:rPr>
        <w:t xml:space="preserve"> este coeficientul pătratic de cost între ariile de planificare sa1 și sa2, </w:t>
      </w:r>
    </w:p>
    <w:p w14:paraId="5FB6F682" w14:textId="77777777" w:rsidR="00195392" w:rsidRPr="004034CF" w:rsidRDefault="00195392" w:rsidP="00195392">
      <w:pPr>
        <w:pStyle w:val="textregular"/>
        <w:spacing w:line="276" w:lineRule="auto"/>
        <w:ind w:left="1418"/>
      </w:pPr>
    </w:p>
    <w:p w14:paraId="091BC5E0" w14:textId="77777777" w:rsidR="00195392" w:rsidRPr="004034CF" w:rsidRDefault="00195392" w:rsidP="00A84E39">
      <w:pPr>
        <w:pStyle w:val="ListParagraph"/>
        <w:numPr>
          <w:ilvl w:val="0"/>
          <w:numId w:val="17"/>
        </w:numPr>
        <w:spacing w:before="100" w:beforeAutospacing="1" w:after="100" w:afterAutospacing="1" w:line="276" w:lineRule="auto"/>
      </w:pPr>
      <w:r>
        <w:rPr>
          <w:lang w:val="ro"/>
        </w:rPr>
        <w:lastRenderedPageBreak/>
        <w:t xml:space="preserve">În cazul în care există mai multe arii de planificare pe una (sau ambele) parte(ți) a(le) graniței zonei de ofertare, Schimburile Planificate între ariile de planificare pe granița zonei de ofertare se atribuie fiecărei granițe a ariei de planificare proporțional cu capacitatea termică instalată a interconexiunilor, după cum urmează: </w:t>
      </w:r>
    </w:p>
    <w:p w14:paraId="0982E464" w14:textId="77777777" w:rsidR="001771A1" w:rsidRPr="004034CF" w:rsidRDefault="001771A1" w:rsidP="00E80269">
      <w:pPr>
        <w:pStyle w:val="textregular"/>
        <w:spacing w:line="276" w:lineRule="auto"/>
        <w:ind w:left="1560"/>
      </w:pPr>
      <w:r>
        <w:rPr>
          <w:lang w:val="ro"/>
        </w:rPr>
        <w:object w:dxaOrig="3660" w:dyaOrig="1040" w14:anchorId="56E73CC5">
          <v:shape id="_x0000_i1029" type="#_x0000_t75" style="width:180.6pt;height:47.4pt" o:ole="">
            <v:imagedata r:id="rId19" o:title=""/>
          </v:shape>
          <o:OLEObject Type="Embed" ProgID="Equation.3" ShapeID="_x0000_i1029" DrawAspect="Content" ObjectID="_1582361164" r:id="rId20"/>
        </w:object>
      </w:r>
    </w:p>
    <w:p w14:paraId="2655B122" w14:textId="77777777" w:rsidR="001771A1" w:rsidRPr="004034CF" w:rsidRDefault="00E80269" w:rsidP="003D791B">
      <w:pPr>
        <w:pStyle w:val="textregular"/>
        <w:spacing w:line="276" w:lineRule="auto"/>
        <w:ind w:left="1428"/>
      </w:pPr>
      <w:r>
        <w:rPr>
          <w:lang w:val="ro"/>
        </w:rPr>
        <w:t>Unde</w:t>
      </w:r>
    </w:p>
    <w:p w14:paraId="40792591" w14:textId="2B89E516" w:rsidR="00E80269" w:rsidRPr="004034CF" w:rsidRDefault="00E80269" w:rsidP="00E80269">
      <w:pPr>
        <w:ind w:left="1560"/>
      </w:pPr>
      <w:r>
        <w:rPr>
          <w:lang w:val="ro"/>
        </w:rPr>
        <w:object w:dxaOrig="800" w:dyaOrig="380" w14:anchorId="61C5CBBF">
          <v:shape id="_x0000_i1030" type="#_x0000_t75" style="width:36.6pt;height:24.6pt" o:ole="">
            <v:imagedata r:id="rId21" o:title=""/>
          </v:shape>
          <o:OLEObject Type="Embed" ProgID="Equation.3" ShapeID="_x0000_i1030" DrawAspect="Content" ObjectID="_1582361165" r:id="rId22"/>
        </w:object>
      </w:r>
      <w:r>
        <w:rPr>
          <w:lang w:val="ro"/>
        </w:rPr>
        <w:t xml:space="preserve"> este capacitatea termică instalată la granița dintre sa1 și sa2,</w:t>
      </w:r>
    </w:p>
    <w:p w14:paraId="477DFB82" w14:textId="35ED5C80" w:rsidR="00E80269" w:rsidRPr="004034CF" w:rsidRDefault="00412309" w:rsidP="003D791B">
      <w:pPr>
        <w:pStyle w:val="textregular"/>
        <w:spacing w:line="276" w:lineRule="auto"/>
        <w:ind w:left="1428"/>
      </w:pPr>
      <w:r>
        <w:rPr>
          <w:lang w:val="ro"/>
        </w:rPr>
        <w:object w:dxaOrig="859" w:dyaOrig="420" w14:anchorId="32C2D0E0">
          <v:shape id="_x0000_i1031" type="#_x0000_t75" style="width:42.6pt;height:24.6pt" o:ole="">
            <v:imagedata r:id="rId23" o:title=""/>
          </v:shape>
          <o:OLEObject Type="Embed" ProgID="Equation.3" ShapeID="_x0000_i1031" DrawAspect="Content" ObjectID="_1582361166" r:id="rId24"/>
        </w:object>
      </w:r>
      <w:r>
        <w:rPr>
          <w:lang w:val="ro"/>
        </w:rPr>
        <w:t xml:space="preserve"> este Fluxul Planificat între zonele de ofertare z1 și z2, </w:t>
      </w:r>
    </w:p>
    <w:p w14:paraId="156D21AB" w14:textId="37917D34" w:rsidR="00E80269" w:rsidRPr="004034CF" w:rsidRDefault="00917794" w:rsidP="00A84E39">
      <w:pPr>
        <w:pStyle w:val="ListParagraph"/>
        <w:numPr>
          <w:ilvl w:val="0"/>
          <w:numId w:val="17"/>
        </w:numPr>
        <w:spacing w:before="100" w:beforeAutospacing="1" w:after="100" w:afterAutospacing="1" w:line="276" w:lineRule="auto"/>
      </w:pPr>
      <w:r>
        <w:rPr>
          <w:lang w:val="ro"/>
        </w:rPr>
        <w:t>Schimburile Planificate calculate între ariile de planificare sunt consistente cu pozițiile nete ale ariei de planificare furnizate de OPEED-uri în conformitate cu articolul 3 din prezenta Propunere DA SEC:</w:t>
      </w:r>
    </w:p>
    <w:p w14:paraId="16B1594B" w14:textId="77777777" w:rsidR="001771A1" w:rsidRPr="004034CF" w:rsidRDefault="008C032F" w:rsidP="003D791B">
      <w:pPr>
        <w:pStyle w:val="textregular"/>
        <w:spacing w:line="276" w:lineRule="auto"/>
        <w:ind w:left="1428"/>
      </w:pPr>
      <w:r>
        <w:rPr>
          <w:lang w:val="ro"/>
        </w:rPr>
        <w:object w:dxaOrig="4760" w:dyaOrig="580" w14:anchorId="5ADE9E50">
          <v:shape id="_x0000_i1032" type="#_x0000_t75" style="width:329.4pt;height:29.4pt" o:ole="">
            <v:imagedata r:id="rId25" o:title=""/>
          </v:shape>
          <o:OLEObject Type="Embed" ProgID="Equation.3" ShapeID="_x0000_i1032" DrawAspect="Content" ObjectID="_1582361167" r:id="rId26"/>
        </w:object>
      </w:r>
    </w:p>
    <w:p w14:paraId="3706416A" w14:textId="77777777" w:rsidR="001771A1" w:rsidRPr="004034CF" w:rsidRDefault="00E80269" w:rsidP="003D791B">
      <w:pPr>
        <w:pStyle w:val="textregular"/>
        <w:spacing w:line="276" w:lineRule="auto"/>
        <w:ind w:left="1428"/>
      </w:pPr>
      <w:r>
        <w:rPr>
          <w:lang w:val="ro"/>
        </w:rPr>
        <w:t xml:space="preserve">Unde: </w:t>
      </w:r>
    </w:p>
    <w:p w14:paraId="06083FCD" w14:textId="77777777" w:rsidR="00D76460" w:rsidRPr="004034CF" w:rsidRDefault="00D76460" w:rsidP="00E80269">
      <w:pPr>
        <w:ind w:left="1418"/>
      </w:pPr>
      <w:r>
        <w:rPr>
          <w:lang w:val="ro"/>
        </w:rPr>
        <w:cr/>
      </w:r>
      <w:r>
        <w:rPr>
          <w:lang w:val="ro"/>
        </w:rPr>
        <w:object w:dxaOrig="560" w:dyaOrig="340" w14:anchorId="0C1C1D5B">
          <v:shape id="_x0000_i1033" type="#_x0000_t75" style="width:30pt;height:11.4pt" o:ole="">
            <v:imagedata r:id="rId27" o:title=""/>
          </v:shape>
          <o:OLEObject Type="Embed" ProgID="Equation.3" ShapeID="_x0000_i1033" DrawAspect="Content" ObjectID="_1582361168" r:id="rId28"/>
        </w:object>
      </w:r>
      <w:r>
        <w:rPr>
          <w:lang w:val="ro"/>
        </w:rPr>
        <w:t xml:space="preserve"> este poziția netă a ariei de planificare sa </w:t>
      </w:r>
    </w:p>
    <w:p w14:paraId="44792E88" w14:textId="77777777" w:rsidR="00D76460" w:rsidRPr="004034CF" w:rsidRDefault="00D76460" w:rsidP="003D791B"/>
    <w:p w14:paraId="27E0F46A" w14:textId="067658AF" w:rsidR="003832F2" w:rsidRPr="004034CF" w:rsidRDefault="00455A91" w:rsidP="003832F2">
      <w:pPr>
        <w:pStyle w:val="headline1"/>
        <w:rPr>
          <w:rFonts w:asciiTheme="minorHAnsi" w:hAnsiTheme="minorHAnsi" w:cstheme="minorHAnsi"/>
        </w:rPr>
      </w:pPr>
      <w:bookmarkStart w:id="51" w:name="_Toc432586805"/>
      <w:bookmarkStart w:id="52" w:name="_Toc432586785"/>
      <w:bookmarkStart w:id="53" w:name="_Toc426468206"/>
      <w:bookmarkStart w:id="54" w:name="_Toc422749331"/>
      <w:bookmarkStart w:id="55" w:name="_Toc422742328"/>
      <w:bookmarkStart w:id="56" w:name="_Toc422337372"/>
      <w:bookmarkStart w:id="57" w:name="_Toc508618108"/>
      <w:bookmarkStart w:id="58" w:name="_Toc413748339"/>
      <w:r>
        <w:rPr>
          <w:rFonts w:asciiTheme="minorHAnsi" w:hAnsiTheme="minorHAnsi" w:cstheme="minorHAnsi"/>
          <w:bCs/>
          <w:lang w:val="ro"/>
        </w:rPr>
        <w:t xml:space="preserve">Articolul </w:t>
      </w:r>
      <w:bookmarkEnd w:id="51"/>
      <w:bookmarkEnd w:id="52"/>
      <w:bookmarkEnd w:id="53"/>
      <w:bookmarkEnd w:id="54"/>
      <w:bookmarkEnd w:id="55"/>
      <w:bookmarkEnd w:id="56"/>
      <w:r>
        <w:rPr>
          <w:rFonts w:asciiTheme="minorHAnsi" w:hAnsiTheme="minorHAnsi" w:cstheme="minorHAnsi"/>
          <w:bCs/>
          <w:lang w:val="ro"/>
        </w:rPr>
        <w:t>9 - Implementarea Metodologiei DA SEC</w:t>
      </w:r>
      <w:bookmarkEnd w:id="57"/>
    </w:p>
    <w:p w14:paraId="7C0D4EE3" w14:textId="77777777" w:rsidR="00A842D3" w:rsidRPr="004034CF" w:rsidRDefault="00A842D3" w:rsidP="00A964CF">
      <w:pPr>
        <w:pStyle w:val="ListParagraph"/>
        <w:numPr>
          <w:ilvl w:val="0"/>
          <w:numId w:val="26"/>
        </w:numPr>
        <w:spacing w:before="100" w:beforeAutospacing="1" w:after="120" w:afterAutospacing="1" w:line="276" w:lineRule="auto"/>
        <w:rPr>
          <w:rFonts w:cs="Arial"/>
        </w:rPr>
      </w:pPr>
      <w:r>
        <w:rPr>
          <w:lang w:val="ro"/>
        </w:rPr>
        <w:t xml:space="preserve">OTS-urile implementează </w:t>
      </w:r>
      <w:r>
        <w:rPr>
          <w:color w:val="000000" w:themeColor="text1"/>
          <w:lang w:val="ro"/>
        </w:rPr>
        <w:t xml:space="preserve">Propunerea DA SEC atunci când </w:t>
      </w:r>
      <w:r>
        <w:rPr>
          <w:lang w:val="ro"/>
        </w:rPr>
        <w:t xml:space="preserve">la fiecare zonă de ofertare și la granițele acesteia se implementează funcția de operator de cuplare a piețelor pentru ziua următoare, elaborată în conformitate cu articolul 7 (3) din Regulamentul CACM, Algoritmul de Cuplare prin Preț în conformitate cu articolul 37 (5) din Regulamentul CACM și, acolo unde este relevant, acordurile cu privire la OPEED-uri multiple în conformitate cu articolul 45 din Regulamentul CACM. </w:t>
      </w:r>
    </w:p>
    <w:p w14:paraId="25984624" w14:textId="11EB7A9C" w:rsidR="00B90FA6" w:rsidRPr="004034CF" w:rsidRDefault="00442D45" w:rsidP="00730769">
      <w:pPr>
        <w:pStyle w:val="headline1"/>
        <w:rPr>
          <w:rFonts w:asciiTheme="minorHAnsi" w:hAnsiTheme="minorHAnsi" w:cstheme="minorHAnsi"/>
        </w:rPr>
      </w:pPr>
      <w:bookmarkStart w:id="59" w:name="_Toc432586806"/>
      <w:bookmarkStart w:id="60" w:name="_Toc432586786"/>
      <w:bookmarkStart w:id="61" w:name="_Toc508618109"/>
      <w:r>
        <w:rPr>
          <w:rFonts w:asciiTheme="minorHAnsi" w:hAnsiTheme="minorHAnsi" w:cstheme="minorHAnsi"/>
          <w:bCs/>
          <w:lang w:val="ro"/>
        </w:rPr>
        <w:t>Articolul 10 - Limba</w:t>
      </w:r>
      <w:bookmarkEnd w:id="59"/>
      <w:bookmarkEnd w:id="60"/>
      <w:bookmarkEnd w:id="61"/>
    </w:p>
    <w:p w14:paraId="5DC7874D" w14:textId="77777777" w:rsidR="00913615" w:rsidRPr="004034CF" w:rsidRDefault="00913615" w:rsidP="00A964CF">
      <w:pPr>
        <w:pStyle w:val="ListParagraph"/>
        <w:numPr>
          <w:ilvl w:val="0"/>
          <w:numId w:val="27"/>
        </w:numPr>
        <w:spacing w:before="100" w:beforeAutospacing="1" w:after="100" w:afterAutospacing="1" w:line="276" w:lineRule="auto"/>
        <w:rPr>
          <w:rFonts w:cstheme="minorHAnsi"/>
          <w:color w:val="000000" w:themeColor="text1"/>
        </w:rPr>
      </w:pPr>
      <w:r>
        <w:rPr>
          <w:rFonts w:cstheme="minorHAnsi"/>
          <w:color w:val="000000" w:themeColor="text1"/>
          <w:lang w:val="ro"/>
        </w:rPr>
        <w:t>Limba de referință pentru prezenta Propunere DA SEC este limba engleză. Pentru a evita orice interpretare, în cazul în care OTS-urile au nevoie să traducă prezenta Propunere DA SEC în limba/limbile lor naționale, în eventualitatea unor neconcordanțe între ve</w:t>
      </w:r>
      <w:bookmarkStart w:id="62" w:name="_GoBack"/>
      <w:bookmarkEnd w:id="62"/>
      <w:r>
        <w:rPr>
          <w:rFonts w:cstheme="minorHAnsi"/>
          <w:color w:val="000000" w:themeColor="text1"/>
          <w:lang w:val="ro"/>
        </w:rPr>
        <w:t xml:space="preserve">rsiunea în limba engleză publicată de către OTS-uri conform articolului 9 (14) din </w:t>
      </w:r>
      <w:bookmarkStart w:id="63" w:name="_Hlk501375403"/>
      <w:r>
        <w:rPr>
          <w:rFonts w:cstheme="minorHAnsi"/>
          <w:color w:val="000000" w:themeColor="text1"/>
          <w:lang w:val="ro"/>
        </w:rPr>
        <w:t xml:space="preserve">Regulamentul CACM </w:t>
      </w:r>
      <w:bookmarkEnd w:id="63"/>
      <w:r>
        <w:rPr>
          <w:rFonts w:cstheme="minorHAnsi"/>
          <w:color w:val="000000" w:themeColor="text1"/>
          <w:lang w:val="ro"/>
        </w:rPr>
        <w:t xml:space="preserve">și orice versiune în altă limbă, OTS-urile relevante sunt obligate să elimine orice neconcordanțe prin furnizarea unei traduceri revizuite a prezentei Propuneri DA SEC către autoritățile naționale de reglementare relevante. </w:t>
      </w:r>
      <w:bookmarkEnd w:id="0"/>
      <w:bookmarkEnd w:id="58"/>
    </w:p>
    <w:sectPr w:rsidR="00913615" w:rsidRPr="004034CF" w:rsidSect="008E6BAB">
      <w:headerReference w:type="default" r:id="rId29"/>
      <w:footerReference w:type="default" r:id="rId30"/>
      <w:headerReference w:type="first" r:id="rId31"/>
      <w:footerReference w:type="first" r:id="rId32"/>
      <w:pgSz w:w="11906" w:h="16838"/>
      <w:pgMar w:top="1928" w:right="1021" w:bottom="1701" w:left="1361" w:header="709"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BA63D" w14:textId="77777777" w:rsidR="008D139C" w:rsidRDefault="008D139C" w:rsidP="00B04144">
      <w:r>
        <w:separator/>
      </w:r>
    </w:p>
  </w:endnote>
  <w:endnote w:type="continuationSeparator" w:id="0">
    <w:p w14:paraId="32867F60" w14:textId="77777777" w:rsidR="008D139C" w:rsidRDefault="008D139C" w:rsidP="00B04144">
      <w:r>
        <w:continuationSeparator/>
      </w:r>
    </w:p>
  </w:endnote>
  <w:endnote w:type="continuationNotice" w:id="1">
    <w:p w14:paraId="349FE031" w14:textId="77777777" w:rsidR="008D139C" w:rsidRDefault="008D13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4566DE" w:rsidRPr="00DC537C" w14:paraId="1170CA4A" w14:textId="77777777" w:rsidTr="003D0965">
      <w:trPr>
        <w:trHeight w:hRule="exact" w:val="284"/>
      </w:trPr>
      <w:tc>
        <w:tcPr>
          <w:tcW w:w="9923" w:type="dxa"/>
          <w:vAlign w:val="center"/>
        </w:tcPr>
        <w:p w14:paraId="50380DA8" w14:textId="77777777" w:rsidR="004566DE" w:rsidRPr="003D0965" w:rsidRDefault="004566DE" w:rsidP="00CD009F">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w:t>
          </w:r>
          <w:proofErr w:type="spellStart"/>
          <w:r>
            <w:rPr>
              <w:rFonts w:asciiTheme="majorHAnsi" w:hAnsiTheme="majorHAnsi" w:cstheme="majorHAnsi"/>
              <w:sz w:val="14"/>
              <w:szCs w:val="14"/>
              <w:lang w:val="ro"/>
            </w:rPr>
            <w:t>Avenue</w:t>
          </w:r>
          <w:proofErr w:type="spellEnd"/>
          <w:r>
            <w:rPr>
              <w:rFonts w:asciiTheme="majorHAnsi" w:hAnsiTheme="majorHAnsi" w:cstheme="majorHAnsi"/>
              <w:sz w:val="14"/>
              <w:szCs w:val="14"/>
              <w:lang w:val="ro"/>
            </w:rPr>
            <w:t xml:space="preserve"> de </w:t>
          </w:r>
          <w:proofErr w:type="spellStart"/>
          <w:r>
            <w:rPr>
              <w:rFonts w:asciiTheme="majorHAnsi" w:hAnsiTheme="majorHAnsi" w:cstheme="majorHAnsi"/>
              <w:sz w:val="14"/>
              <w:szCs w:val="14"/>
              <w:lang w:val="ro"/>
            </w:rPr>
            <w:t>Cortenbergh</w:t>
          </w:r>
          <w:proofErr w:type="spellEnd"/>
          <w:r>
            <w:rPr>
              <w:rFonts w:asciiTheme="majorHAnsi" w:hAnsiTheme="majorHAnsi" w:cstheme="majorHAnsi"/>
              <w:sz w:val="14"/>
              <w:szCs w:val="14"/>
              <w:lang w:val="ro"/>
            </w:rPr>
            <w:t xml:space="preserve"> 100 • 1000 Bruxelles • Belgia • Tel + 32 2 741 09 50 • Fax + 32 2 741 09 51 • info@entsoe.eu • www. entsoe.eu</w:t>
          </w:r>
        </w:p>
      </w:tc>
    </w:tr>
  </w:tbl>
  <w:tbl>
    <w:tblPr>
      <w:tblStyle w:val="TableGrid"/>
      <w:tblpPr w:leftFromText="142" w:rightFromText="142" w:vertAnchor="page" w:horzAnchor="margin" w:tblpXSpec="right" w:tblpY="157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4"/>
    </w:tblGrid>
    <w:tr w:rsidR="004566DE" w14:paraId="279F54C5" w14:textId="77777777" w:rsidTr="006E5DF6">
      <w:trPr>
        <w:trHeight w:hRule="exact" w:val="284"/>
      </w:trPr>
      <w:tc>
        <w:tcPr>
          <w:tcW w:w="624" w:type="dxa"/>
        </w:tcPr>
        <w:p w14:paraId="2F0D2DB5" w14:textId="75E0A4FE" w:rsidR="004566DE" w:rsidRDefault="004566DE" w:rsidP="00B0464F">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11</w:t>
          </w:r>
          <w:r>
            <w:rPr>
              <w:noProof/>
              <w:lang w:val="ro"/>
            </w:rPr>
            <w:fldChar w:fldCharType="end"/>
          </w:r>
        </w:p>
      </w:tc>
    </w:tr>
  </w:tbl>
  <w:p w14:paraId="2683BF24" w14:textId="77777777" w:rsidR="004566DE" w:rsidRPr="003D0965" w:rsidRDefault="004566DE" w:rsidP="003D0965">
    <w:pPr>
      <w:pStyle w:val="Footer"/>
    </w:pPr>
    <w:r>
      <w:rPr>
        <w:noProof/>
        <w:lang w:val="ro"/>
      </w:rPr>
      <w:drawing>
        <wp:anchor distT="0" distB="0" distL="114300" distR="114300" simplePos="0" relativeHeight="251658242" behindDoc="1" locked="1" layoutInCell="1" allowOverlap="1" wp14:anchorId="63DB6020" wp14:editId="7203A156">
          <wp:simplePos x="0" y="0"/>
          <wp:positionH relativeFrom="page">
            <wp:posOffset>0</wp:posOffset>
          </wp:positionH>
          <wp:positionV relativeFrom="page">
            <wp:posOffset>9725025</wp:posOffset>
          </wp:positionV>
          <wp:extent cx="7000875" cy="426085"/>
          <wp:effectExtent l="0" t="0" r="9525" b="0"/>
          <wp:wrapNone/>
          <wp:docPr id="11"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7000875" cy="426085"/>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vertAnchor="page" w:horzAnchor="page" w:tblpX="1362" w:tblpY="1613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3"/>
    </w:tblGrid>
    <w:tr w:rsidR="004566DE" w:rsidRPr="00DC537C" w14:paraId="74D5D1B3" w14:textId="77777777" w:rsidTr="003D0965">
      <w:trPr>
        <w:trHeight w:hRule="exact" w:val="284"/>
      </w:trPr>
      <w:tc>
        <w:tcPr>
          <w:tcW w:w="9923" w:type="dxa"/>
          <w:vAlign w:val="center"/>
        </w:tcPr>
        <w:p w14:paraId="726A5899" w14:textId="77777777" w:rsidR="004566DE" w:rsidRPr="00A10F07" w:rsidRDefault="004566DE" w:rsidP="003D0965">
          <w:pPr>
            <w:pStyle w:val="Footer"/>
            <w:rPr>
              <w:rFonts w:asciiTheme="majorHAnsi" w:hAnsiTheme="majorHAnsi" w:cstheme="majorHAnsi"/>
              <w:sz w:val="14"/>
              <w:szCs w:val="14"/>
            </w:rPr>
          </w:pPr>
          <w:r>
            <w:rPr>
              <w:rFonts w:asciiTheme="majorHAnsi" w:hAnsiTheme="majorHAnsi" w:cstheme="majorHAnsi"/>
              <w:sz w:val="14"/>
              <w:szCs w:val="14"/>
              <w:lang w:val="ro"/>
            </w:rPr>
            <w:t xml:space="preserve">ENTSO-E </w:t>
          </w:r>
          <w:r>
            <w:rPr>
              <w:rFonts w:asciiTheme="majorHAnsi" w:hAnsiTheme="majorHAnsi" w:cstheme="majorHAnsi"/>
              <w:sz w:val="10"/>
              <w:szCs w:val="14"/>
              <w:lang w:val="ro"/>
            </w:rPr>
            <w:t>AISBL</w:t>
          </w:r>
          <w:r>
            <w:rPr>
              <w:rFonts w:asciiTheme="majorHAnsi" w:hAnsiTheme="majorHAnsi" w:cstheme="majorHAnsi"/>
              <w:sz w:val="14"/>
              <w:szCs w:val="14"/>
              <w:lang w:val="ro"/>
            </w:rPr>
            <w:t xml:space="preserve"> • </w:t>
          </w:r>
          <w:proofErr w:type="spellStart"/>
          <w:r>
            <w:rPr>
              <w:rFonts w:asciiTheme="majorHAnsi" w:hAnsiTheme="majorHAnsi" w:cstheme="majorHAnsi"/>
              <w:sz w:val="14"/>
              <w:szCs w:val="14"/>
              <w:lang w:val="ro"/>
            </w:rPr>
            <w:t>Avenue</w:t>
          </w:r>
          <w:proofErr w:type="spellEnd"/>
          <w:r>
            <w:rPr>
              <w:rFonts w:asciiTheme="majorHAnsi" w:hAnsiTheme="majorHAnsi" w:cstheme="majorHAnsi"/>
              <w:sz w:val="14"/>
              <w:szCs w:val="14"/>
              <w:lang w:val="ro"/>
            </w:rPr>
            <w:t xml:space="preserve"> de </w:t>
          </w:r>
          <w:proofErr w:type="spellStart"/>
          <w:r>
            <w:rPr>
              <w:rFonts w:asciiTheme="majorHAnsi" w:hAnsiTheme="majorHAnsi" w:cstheme="majorHAnsi"/>
              <w:sz w:val="14"/>
              <w:szCs w:val="14"/>
              <w:lang w:val="ro"/>
            </w:rPr>
            <w:t>Cortenbergh</w:t>
          </w:r>
          <w:proofErr w:type="spellEnd"/>
          <w:r>
            <w:rPr>
              <w:rFonts w:asciiTheme="majorHAnsi" w:hAnsiTheme="majorHAnsi" w:cstheme="majorHAnsi"/>
              <w:sz w:val="14"/>
              <w:szCs w:val="14"/>
              <w:lang w:val="ro"/>
            </w:rPr>
            <w:t xml:space="preserve"> 100 • 1000 Bruxelles • Belgia • Tel + 32 2 741 09 50 • Fax + 32 2 741 09 51 • info@entsoe.eu • www. entsoe.eu</w:t>
          </w:r>
        </w:p>
      </w:tc>
    </w:tr>
  </w:tbl>
  <w:p w14:paraId="49DAC46D" w14:textId="77777777" w:rsidR="004566DE" w:rsidRDefault="004566DE">
    <w:pPr>
      <w:pStyle w:val="Footer"/>
    </w:pPr>
    <w:r>
      <w:rPr>
        <w:noProof/>
        <w:lang w:val="ro"/>
      </w:rPr>
      <mc:AlternateContent>
        <mc:Choice Requires="wps">
          <w:drawing>
            <wp:anchor distT="0" distB="0" distL="114300" distR="114300" simplePos="0" relativeHeight="251658246" behindDoc="1" locked="0" layoutInCell="1" allowOverlap="1" wp14:anchorId="30831A19" wp14:editId="308CEEE6">
              <wp:simplePos x="0" y="0"/>
              <wp:positionH relativeFrom="column">
                <wp:posOffset>-864235</wp:posOffset>
              </wp:positionH>
              <wp:positionV relativeFrom="paragraph">
                <wp:posOffset>-298450</wp:posOffset>
              </wp:positionV>
              <wp:extent cx="6991350" cy="638175"/>
              <wp:effectExtent l="0" t="0" r="0" b="952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1350" cy="638175"/>
                      </a:xfrm>
                      <a:prstGeom prst="rect">
                        <a:avLst/>
                      </a:prstGeom>
                      <a:solidFill>
                        <a:schemeClr val="bg1">
                          <a:lumMod val="100000"/>
                          <a:lumOff val="0"/>
                        </a:schemeClr>
                      </a:solidFill>
                      <a:ln>
                        <a:noFill/>
                      </a:ln>
                      <a:extLst>
                        <a:ext uri="{91240B29-F687-4F45-9708-019B960494DF}">
                          <a14:hiddenLine xmlns:a14="http://schemas.microsoft.com/office/drawing/2010/main" w="9525">
                            <a:solidFill>
                              <a:schemeClr val="accent3">
                                <a:lumMod val="100000"/>
                                <a:lumOff val="0"/>
                              </a:schemeClr>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58662B" id="Rectangle 6" o:spid="_x0000_s1026" style="position:absolute;margin-left:-68.05pt;margin-top:-23.5pt;width:550.5pt;height:50.25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" fillcolor="white [3212]" stroked="f" strokecolor="#7f5a9b [3206]"/>
          </w:pict>
        </mc:Fallback>
      </mc:AlternateContent>
    </w:r>
    <w:r>
      <w:rPr>
        <w:noProof/>
        <w:lang w:val="ro"/>
      </w:rPr>
      <mc:AlternateContent>
        <mc:Choice Requires="wps">
          <w:drawing>
            <wp:anchor distT="0" distB="0" distL="114300" distR="114300" simplePos="0" relativeHeight="251658244" behindDoc="1" locked="1" layoutInCell="1" allowOverlap="1" wp14:anchorId="29B5C1C7" wp14:editId="3CD7A910">
              <wp:simplePos x="0" y="0"/>
              <wp:positionH relativeFrom="page">
                <wp:posOffset>0</wp:posOffset>
              </wp:positionH>
              <wp:positionV relativeFrom="page">
                <wp:posOffset>6642735</wp:posOffset>
              </wp:positionV>
              <wp:extent cx="7578090" cy="3834130"/>
              <wp:effectExtent l="0" t="0" r="3810" b="0"/>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78090" cy="3834130"/>
                      </a:xfrm>
                      <a:prstGeom prst="rect">
                        <a:avLst/>
                      </a:prstGeom>
                      <a:gradFill rotWithShape="1">
                        <a:gsLst>
                          <a:gs pos="0">
                            <a:srgbClr val="FFFFFF">
                              <a:alpha val="25000"/>
                            </a:srgbClr>
                          </a:gs>
                          <a:gs pos="100000">
                            <a:srgbClr val="DCDCDC"/>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FC4EB1" id="Rectangle 5" o:spid="_x0000_s1026" style="position:absolute;margin-left:0;margin-top:523.05pt;width:596.7pt;height:301.9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" stroked="f">
              <v:fill opacity=".25" color2="#dcdcdc" rotate="t" focus="100%" type="gradient"/>
              <w10:wrap anchorx="page" anchory="page"/>
              <w10:anchorlock/>
            </v:rect>
          </w:pict>
        </mc:Fallback>
      </mc:AlternateContent>
    </w:r>
    <w:r>
      <w:rPr>
        <w:noProof/>
        <w:lang w:val="ro"/>
      </w:rPr>
      <w:drawing>
        <wp:anchor distT="0" distB="0" distL="114300" distR="114300" simplePos="0" relativeHeight="251658245" behindDoc="1" locked="1" layoutInCell="1" allowOverlap="1" wp14:anchorId="387DA660" wp14:editId="4764895D">
          <wp:simplePos x="0" y="0"/>
          <wp:positionH relativeFrom="page">
            <wp:posOffset>0</wp:posOffset>
          </wp:positionH>
          <wp:positionV relativeFrom="page">
            <wp:posOffset>9725025</wp:posOffset>
          </wp:positionV>
          <wp:extent cx="6994525" cy="426085"/>
          <wp:effectExtent l="0" t="0" r="0" b="0"/>
          <wp:wrapNone/>
          <wp:docPr id="13" name="Grafik 3" descr="Footer.wm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wmf"/>
                  <pic:cNvPicPr/>
                </pic:nvPicPr>
                <pic:blipFill>
                  <a:blip r:embed="rId1"/>
                  <a:stretch>
                    <a:fillRect/>
                  </a:stretch>
                </pic:blipFill>
                <pic:spPr>
                  <a:xfrm>
                    <a:off x="0" y="0"/>
                    <a:ext cx="6994525" cy="4260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451E8" w14:textId="77777777" w:rsidR="008D139C" w:rsidRDefault="008D139C" w:rsidP="00B04144">
      <w:r>
        <w:separator/>
      </w:r>
    </w:p>
  </w:footnote>
  <w:footnote w:type="continuationSeparator" w:id="0">
    <w:p w14:paraId="3C0AEE5D" w14:textId="77777777" w:rsidR="008D139C" w:rsidRDefault="008D139C" w:rsidP="00B04144">
      <w:r>
        <w:continuationSeparator/>
      </w:r>
    </w:p>
  </w:footnote>
  <w:footnote w:type="continuationNotice" w:id="1">
    <w:p w14:paraId="3409A56E" w14:textId="77777777" w:rsidR="008D139C" w:rsidRDefault="008D139C"/>
  </w:footnote>
  <w:footnote w:id="2">
    <w:p w14:paraId="35F70990" w14:textId="77777777" w:rsidR="004566DE" w:rsidRPr="00EC2296" w:rsidRDefault="004566DE">
      <w:pPr>
        <w:pStyle w:val="FootnoteText"/>
      </w:pPr>
      <w:r>
        <w:rPr>
          <w:rStyle w:val="FootnoteReference"/>
          <w:lang w:val="ro"/>
        </w:rPr>
        <w:footnoteRef/>
      </w:r>
      <w:r>
        <w:rPr>
          <w:lang w:val="ro"/>
        </w:rPr>
        <w:t xml:space="preserve"> În cazul în care nu există congestii între două sau mai multe zone de ofertare care aplică metoda CNTC (adică nicio restricție de alocare nu a fost activă iar prețurile zonei de ofertare sunt egale), atunci sunt disponibile rute multiple.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66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663"/>
    </w:tblGrid>
    <w:tr w:rsidR="004566DE" w:rsidRPr="00696EBB" w14:paraId="3C36EE67" w14:textId="77777777" w:rsidTr="009D64BC">
      <w:trPr>
        <w:trHeight w:hRule="exact" w:val="907"/>
      </w:trPr>
      <w:sdt>
        <w:sdtPr>
          <w:rPr>
            <w:sz w:val="20"/>
          </w:rPr>
          <w:alias w:val="Titel"/>
          <w:tag w:val="Titel"/>
          <w:id w:val="142390586"/>
          <w:dataBinding w:prefixMappings="xmlns:ns0='http://purl.org/dc/elements/1.1/' xmlns:ns1='http://schemas.openxmlformats.org/package/2006/metadata/core-properties' " w:xpath="/ns1:coreProperties[1]/ns0:title[1]" w:storeItemID="{6C3C8BC8-F283-45AE-878A-BAB7291924A1}"/>
          <w:text w:multiLine="1"/>
        </w:sdtPr>
        <w:sdtEndPr/>
        <w:sdtContent>
          <w:tc>
            <w:tcPr>
              <w:tcW w:w="6663" w:type="dxa"/>
            </w:tcPr>
            <w:p w14:paraId="3E862B46" w14:textId="6C84CD11" w:rsidR="004566DE" w:rsidRPr="00992ABA" w:rsidRDefault="00E4279A" w:rsidP="00CA0C0C">
              <w:proofErr w:type="spellStart"/>
              <w:r>
                <w:rPr>
                  <w:sz w:val="20"/>
                </w:rPr>
                <w:t>Propunerea</w:t>
              </w:r>
              <w:proofErr w:type="spellEnd"/>
              <w:r>
                <w:rPr>
                  <w:sz w:val="20"/>
                </w:rPr>
                <w:t xml:space="preserve"> </w:t>
              </w:r>
              <w:proofErr w:type="spellStart"/>
              <w:r>
                <w:rPr>
                  <w:sz w:val="20"/>
                </w:rPr>
                <w:t>tuturor</w:t>
              </w:r>
              <w:proofErr w:type="spellEnd"/>
              <w:r>
                <w:rPr>
                  <w:sz w:val="20"/>
                </w:rPr>
                <w:t xml:space="preserve"> OTS-</w:t>
              </w:r>
              <w:proofErr w:type="spellStart"/>
              <w:r>
                <w:rPr>
                  <w:sz w:val="20"/>
                </w:rPr>
                <w:t>urilor</w:t>
              </w:r>
              <w:proofErr w:type="spellEnd"/>
              <w:r>
                <w:rPr>
                  <w:sz w:val="20"/>
                </w:rPr>
                <w:t xml:space="preserve"> </w:t>
              </w:r>
              <w:proofErr w:type="spellStart"/>
              <w:r>
                <w:rPr>
                  <w:sz w:val="20"/>
                </w:rPr>
                <w:t>privind</w:t>
              </w:r>
              <w:proofErr w:type="spellEnd"/>
              <w:r>
                <w:rPr>
                  <w:sz w:val="20"/>
                </w:rPr>
                <w:t xml:space="preserve"> </w:t>
              </w:r>
              <w:proofErr w:type="spellStart"/>
              <w:r>
                <w:rPr>
                  <w:sz w:val="20"/>
                </w:rPr>
                <w:t>Metodologia</w:t>
              </w:r>
              <w:proofErr w:type="spellEnd"/>
              <w:r>
                <w:rPr>
                  <w:sz w:val="20"/>
                </w:rPr>
                <w:t xml:space="preserve"> de </w:t>
              </w:r>
              <w:proofErr w:type="spellStart"/>
              <w:r>
                <w:rPr>
                  <w:sz w:val="20"/>
                </w:rPr>
                <w:t>Calcul</w:t>
              </w:r>
              <w:proofErr w:type="spellEnd"/>
              <w:r>
                <w:rPr>
                  <w:sz w:val="20"/>
                </w:rPr>
                <w:t xml:space="preserve"> al </w:t>
              </w:r>
              <w:proofErr w:type="spellStart"/>
              <w:r>
                <w:rPr>
                  <w:sz w:val="20"/>
                </w:rPr>
                <w:t>Schimburilor</w:t>
              </w:r>
              <w:proofErr w:type="spellEnd"/>
              <w:r>
                <w:rPr>
                  <w:sz w:val="20"/>
                </w:rPr>
                <w:t xml:space="preserve"> </w:t>
              </w:r>
              <w:proofErr w:type="spellStart"/>
              <w:r>
                <w:rPr>
                  <w:sz w:val="20"/>
                </w:rPr>
                <w:t>Planificate</w:t>
              </w:r>
              <w:proofErr w:type="spellEnd"/>
              <w:r>
                <w:rPr>
                  <w:sz w:val="20"/>
                </w:rPr>
                <w:t xml:space="preserve"> care </w:t>
              </w:r>
              <w:proofErr w:type="spellStart"/>
              <w:r>
                <w:rPr>
                  <w:sz w:val="20"/>
                </w:rPr>
                <w:t>rezultă</w:t>
              </w:r>
              <w:proofErr w:type="spellEnd"/>
              <w:r>
                <w:rPr>
                  <w:sz w:val="20"/>
                </w:rPr>
                <w:t xml:space="preserve"> din </w:t>
              </w:r>
              <w:proofErr w:type="spellStart"/>
              <w:r>
                <w:rPr>
                  <w:sz w:val="20"/>
                </w:rPr>
                <w:t>cuplarea</w:t>
              </w:r>
              <w:proofErr w:type="spellEnd"/>
              <w:r>
                <w:rPr>
                  <w:sz w:val="20"/>
                </w:rPr>
                <w:t xml:space="preserve"> </w:t>
              </w:r>
              <w:proofErr w:type="spellStart"/>
              <w:r>
                <w:rPr>
                  <w:sz w:val="20"/>
                </w:rPr>
                <w:t>unică</w:t>
              </w:r>
              <w:proofErr w:type="spellEnd"/>
              <w:r>
                <w:rPr>
                  <w:sz w:val="20"/>
                </w:rPr>
                <w:t xml:space="preserve"> a </w:t>
              </w:r>
              <w:proofErr w:type="spellStart"/>
              <w:r>
                <w:rPr>
                  <w:sz w:val="20"/>
                </w:rPr>
                <w:t>piețelor</w:t>
              </w:r>
              <w:proofErr w:type="spellEnd"/>
              <w:r>
                <w:rPr>
                  <w:sz w:val="20"/>
                </w:rPr>
                <w:t xml:space="preserve"> </w:t>
              </w:r>
              <w:proofErr w:type="spellStart"/>
              <w:r>
                <w:rPr>
                  <w:sz w:val="20"/>
                </w:rPr>
                <w:t>pentru</w:t>
              </w:r>
              <w:proofErr w:type="spellEnd"/>
              <w:r>
                <w:rPr>
                  <w:sz w:val="20"/>
                </w:rPr>
                <w:t xml:space="preserve"> </w:t>
              </w:r>
              <w:proofErr w:type="spellStart"/>
              <w:r>
                <w:rPr>
                  <w:sz w:val="20"/>
                </w:rPr>
                <w:t>ziua</w:t>
              </w:r>
              <w:proofErr w:type="spellEnd"/>
              <w:r>
                <w:rPr>
                  <w:sz w:val="20"/>
                </w:rPr>
                <w:t xml:space="preserve"> </w:t>
              </w:r>
              <w:proofErr w:type="spellStart"/>
              <w:r>
                <w:rPr>
                  <w:sz w:val="20"/>
                </w:rPr>
                <w:t>următoare</w:t>
              </w:r>
              <w:proofErr w:type="spellEnd"/>
              <w:r>
                <w:rPr>
                  <w:sz w:val="20"/>
                </w:rPr>
                <w:t xml:space="preserve">, </w:t>
              </w:r>
              <w:proofErr w:type="spellStart"/>
              <w:r>
                <w:rPr>
                  <w:sz w:val="20"/>
                </w:rPr>
                <w:t>în</w:t>
              </w:r>
              <w:proofErr w:type="spellEnd"/>
              <w:r>
                <w:rPr>
                  <w:sz w:val="20"/>
                </w:rPr>
                <w:t xml:space="preserve"> </w:t>
              </w:r>
              <w:proofErr w:type="spellStart"/>
              <w:r>
                <w:rPr>
                  <w:sz w:val="20"/>
                </w:rPr>
                <w:t>conformitate</w:t>
              </w:r>
              <w:proofErr w:type="spellEnd"/>
              <w:r>
                <w:rPr>
                  <w:sz w:val="20"/>
                </w:rPr>
                <w:t xml:space="preserve"> cu </w:t>
              </w:r>
              <w:proofErr w:type="spellStart"/>
              <w:r>
                <w:rPr>
                  <w:sz w:val="20"/>
                </w:rPr>
                <w:t>articolul</w:t>
              </w:r>
              <w:proofErr w:type="spellEnd"/>
              <w:r>
                <w:rPr>
                  <w:sz w:val="20"/>
                </w:rPr>
                <w:t xml:space="preserve"> 43 din </w:t>
              </w:r>
              <w:proofErr w:type="spellStart"/>
              <w:r>
                <w:rPr>
                  <w:sz w:val="20"/>
                </w:rPr>
                <w:t>Regulamentul</w:t>
              </w:r>
              <w:proofErr w:type="spellEnd"/>
              <w:r>
                <w:rPr>
                  <w:sz w:val="20"/>
                </w:rPr>
                <w:t xml:space="preserve"> (UE) 2015/1222 al </w:t>
              </w:r>
              <w:proofErr w:type="spellStart"/>
              <w:r>
                <w:rPr>
                  <w:sz w:val="20"/>
                </w:rPr>
                <w:t>Comisiei</w:t>
              </w:r>
              <w:proofErr w:type="spellEnd"/>
              <w:r>
                <w:rPr>
                  <w:sz w:val="20"/>
                </w:rPr>
                <w:t xml:space="preserve"> din 24 </w:t>
              </w:r>
              <w:proofErr w:type="spellStart"/>
              <w:r>
                <w:rPr>
                  <w:sz w:val="20"/>
                </w:rPr>
                <w:t>iulie</w:t>
              </w:r>
              <w:proofErr w:type="spellEnd"/>
              <w:r>
                <w:rPr>
                  <w:sz w:val="20"/>
                </w:rPr>
                <w:t xml:space="preserve"> 2015 de </w:t>
              </w:r>
              <w:proofErr w:type="spellStart"/>
              <w:r>
                <w:rPr>
                  <w:sz w:val="20"/>
                </w:rPr>
                <w:t>stabilire</w:t>
              </w:r>
              <w:proofErr w:type="spellEnd"/>
              <w:r>
                <w:rPr>
                  <w:sz w:val="20"/>
                </w:rPr>
                <w:t xml:space="preserve"> a </w:t>
              </w:r>
              <w:proofErr w:type="spellStart"/>
              <w:r>
                <w:rPr>
                  <w:sz w:val="20"/>
                </w:rPr>
                <w:t>unor</w:t>
              </w:r>
              <w:proofErr w:type="spellEnd"/>
              <w:r>
                <w:rPr>
                  <w:sz w:val="20"/>
                </w:rPr>
                <w:t xml:space="preserve"> </w:t>
              </w:r>
              <w:proofErr w:type="spellStart"/>
              <w:r>
                <w:rPr>
                  <w:sz w:val="20"/>
                </w:rPr>
                <w:t>linii</w:t>
              </w:r>
              <w:proofErr w:type="spellEnd"/>
              <w:r>
                <w:rPr>
                  <w:sz w:val="20"/>
                </w:rPr>
                <w:t xml:space="preserve"> </w:t>
              </w:r>
              <w:proofErr w:type="spellStart"/>
              <w:r>
                <w:rPr>
                  <w:sz w:val="20"/>
                </w:rPr>
                <w:t>directoare</w:t>
              </w:r>
              <w:proofErr w:type="spellEnd"/>
              <w:r>
                <w:rPr>
                  <w:sz w:val="20"/>
                </w:rPr>
                <w:t xml:space="preserve"> </w:t>
              </w:r>
              <w:proofErr w:type="spellStart"/>
              <w:r>
                <w:rPr>
                  <w:sz w:val="20"/>
                </w:rPr>
                <w:t>privind</w:t>
              </w:r>
              <w:proofErr w:type="spellEnd"/>
              <w:r>
                <w:rPr>
                  <w:sz w:val="20"/>
                </w:rPr>
                <w:t xml:space="preserve"> </w:t>
              </w:r>
              <w:proofErr w:type="spellStart"/>
              <w:r>
                <w:rPr>
                  <w:sz w:val="20"/>
                </w:rPr>
                <w:t>alocarea</w:t>
              </w:r>
              <w:proofErr w:type="spellEnd"/>
              <w:r>
                <w:rPr>
                  <w:sz w:val="20"/>
                </w:rPr>
                <w:t xml:space="preserve"> </w:t>
              </w:r>
              <w:proofErr w:type="spellStart"/>
              <w:r>
                <w:rPr>
                  <w:sz w:val="20"/>
                </w:rPr>
                <w:t>capacităților</w:t>
              </w:r>
              <w:proofErr w:type="spellEnd"/>
              <w:r>
                <w:rPr>
                  <w:sz w:val="20"/>
                </w:rPr>
                <w:t xml:space="preserve"> </w:t>
              </w:r>
              <w:proofErr w:type="spellStart"/>
              <w:r>
                <w:rPr>
                  <w:sz w:val="20"/>
                </w:rPr>
                <w:t>și</w:t>
              </w:r>
              <w:proofErr w:type="spellEnd"/>
              <w:r>
                <w:rPr>
                  <w:sz w:val="20"/>
                </w:rPr>
                <w:t xml:space="preserve"> </w:t>
              </w:r>
              <w:proofErr w:type="spellStart"/>
              <w:r>
                <w:rPr>
                  <w:sz w:val="20"/>
                </w:rPr>
                <w:t>gestionarea</w:t>
              </w:r>
              <w:proofErr w:type="spellEnd"/>
              <w:r>
                <w:rPr>
                  <w:sz w:val="20"/>
                </w:rPr>
                <w:t xml:space="preserve"> </w:t>
              </w:r>
              <w:proofErr w:type="spellStart"/>
              <w:r>
                <w:rPr>
                  <w:sz w:val="20"/>
                </w:rPr>
                <w:t>congestiilor</w:t>
              </w:r>
              <w:proofErr w:type="spellEnd"/>
            </w:p>
          </w:tc>
        </w:sdtContent>
      </w:sdt>
    </w:tr>
  </w:tbl>
  <w:p w14:paraId="2264B452" w14:textId="77777777" w:rsidR="004566DE" w:rsidRDefault="004566DE" w:rsidP="003D0965">
    <w:pPr>
      <w:pStyle w:val="Footer"/>
    </w:pPr>
    <w:r>
      <w:rPr>
        <w:noProof/>
        <w:lang w:val="ro"/>
      </w:rPr>
      <mc:AlternateContent>
        <mc:Choice Requires="wps">
          <w:drawing>
            <wp:anchor distT="4294967294" distB="4294967294" distL="114300" distR="114300" simplePos="0" relativeHeight="251658241" behindDoc="0" locked="1" layoutInCell="1" allowOverlap="1" wp14:anchorId="5476D073" wp14:editId="6D27A2EB">
              <wp:simplePos x="0" y="0"/>
              <wp:positionH relativeFrom="page">
                <wp:posOffset>864235</wp:posOffset>
              </wp:positionH>
              <wp:positionV relativeFrom="page">
                <wp:posOffset>1062354</wp:posOffset>
              </wp:positionV>
              <wp:extent cx="6047740" cy="0"/>
              <wp:effectExtent l="0" t="0" r="2921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D4B927" id="_x0000_t32" coordsize="21600,21600" o:spt="32" o:oned="t" path="m,l21600,21600e" filled="f">
              <v:path arrowok="t" fillok="f" o:connecttype="none"/>
              <o:lock v:ext="edit" shapetype="t"/>
            </v:shapetype>
            <v:shape id="AutoShape 8" o:spid="_x0000_s1026" type="#_x0000_t32" style="position:absolute;margin-left:68.05pt;margin-top:83.65pt;width:476.2pt;height:0;z-index:251658241;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" strokecolor="#23236e [3215]" strokeweight="1pt">
              <w10:wrap anchorx="page" anchory="page"/>
              <w10:anchorlock/>
            </v:shape>
          </w:pict>
        </mc:Fallback>
      </mc:AlternateContent>
    </w:r>
    <w:r>
      <w:rPr>
        <w:noProof/>
        <w:lang w:val="ro"/>
      </w:rPr>
      <w:drawing>
        <wp:anchor distT="0" distB="0" distL="114300" distR="114300" simplePos="0" relativeHeight="251658240" behindDoc="0" locked="1" layoutInCell="1" allowOverlap="1" wp14:anchorId="24A1F4BA" wp14:editId="74365803">
          <wp:simplePos x="0" y="0"/>
          <wp:positionH relativeFrom="page">
            <wp:posOffset>5483225</wp:posOffset>
          </wp:positionH>
          <wp:positionV relativeFrom="page">
            <wp:posOffset>360045</wp:posOffset>
          </wp:positionV>
          <wp:extent cx="1514475" cy="381000"/>
          <wp:effectExtent l="0" t="0" r="9525" b="0"/>
          <wp:wrapNone/>
          <wp:docPr id="7"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42" w:rightFromText="142" w:topFromText="5528" w:vertAnchor="page" w:horzAnchor="page" w:tblpX="1362" w:tblpY="5104"/>
      <w:tblW w:w="0" w:type="auto"/>
      <w:tblBorders>
        <w:top w:val="single" w:sz="8" w:space="0" w:color="23236E" w:themeColor="text2"/>
        <w:left w:val="none" w:sz="0" w:space="0" w:color="auto"/>
        <w:bottom w:val="single" w:sz="8"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524"/>
    </w:tblGrid>
    <w:tr w:rsidR="004566DE" w14:paraId="32DA4A7E" w14:textId="77777777" w:rsidTr="006A737C">
      <w:tc>
        <w:tcPr>
          <w:tcW w:w="9524" w:type="dxa"/>
          <w:tcMar>
            <w:top w:w="198" w:type="dxa"/>
          </w:tcMar>
        </w:tcPr>
        <w:p w14:paraId="27BDAE73" w14:textId="77777777" w:rsidR="004566DE" w:rsidRDefault="004566DE" w:rsidP="00696EBB">
          <w:pPr>
            <w:pStyle w:val="headlineheader"/>
          </w:pPr>
        </w:p>
      </w:tc>
    </w:tr>
    <w:tr w:rsidR="004566DE" w14:paraId="77CF5D91" w14:textId="77777777" w:rsidTr="006A737C">
      <w:tc>
        <w:tcPr>
          <w:tcW w:w="9524" w:type="dxa"/>
        </w:tcPr>
        <w:p w14:paraId="7B68A002" w14:textId="77777777" w:rsidR="004566DE" w:rsidRPr="00AF06B7" w:rsidRDefault="004566DE" w:rsidP="006A737C">
          <w:pPr>
            <w:pStyle w:val="textheader"/>
          </w:pPr>
        </w:p>
      </w:tc>
    </w:tr>
    <w:tr w:rsidR="004566DE" w14:paraId="284BFE3B" w14:textId="77777777" w:rsidTr="006A737C">
      <w:tc>
        <w:tcPr>
          <w:tcW w:w="9524" w:type="dxa"/>
        </w:tcPr>
        <w:p w14:paraId="694572A4" w14:textId="77777777" w:rsidR="004566DE" w:rsidRPr="007A686E" w:rsidRDefault="004566DE" w:rsidP="006A737C">
          <w:pPr>
            <w:pStyle w:val="textheader"/>
          </w:pPr>
        </w:p>
      </w:tc>
    </w:tr>
    <w:tr w:rsidR="004566DE" w:rsidRPr="00903B95" w14:paraId="69B9F23F" w14:textId="77777777" w:rsidTr="006A737C">
      <w:tc>
        <w:tcPr>
          <w:tcW w:w="9524" w:type="dxa"/>
          <w:tcMar>
            <w:bottom w:w="142" w:type="dxa"/>
          </w:tcMar>
        </w:tcPr>
        <w:p w14:paraId="0664F28E" w14:textId="77777777" w:rsidR="004566DE" w:rsidRPr="00256312" w:rsidRDefault="004566DE" w:rsidP="006A737C">
          <w:pPr>
            <w:pStyle w:val="time"/>
            <w:framePr w:hSpace="0" w:vSpace="0" w:wrap="auto" w:vAnchor="margin" w:hAnchor="text" w:xAlign="left" w:yAlign="inline"/>
          </w:pPr>
        </w:p>
      </w:tc>
    </w:tr>
  </w:tbl>
  <w:p w14:paraId="1D8F51BA" w14:textId="77777777" w:rsidR="004566DE" w:rsidRDefault="004566DE">
    <w:pPr>
      <w:pStyle w:val="Header"/>
    </w:pPr>
    <w:r>
      <w:rPr>
        <w:noProof/>
        <w:lang w:val="ro"/>
      </w:rPr>
      <w:drawing>
        <wp:anchor distT="0" distB="0" distL="114300" distR="114300" simplePos="0" relativeHeight="251658243" behindDoc="0" locked="1" layoutInCell="1" allowOverlap="1" wp14:anchorId="105147CC" wp14:editId="193C11C9">
          <wp:simplePos x="0" y="0"/>
          <wp:positionH relativeFrom="page">
            <wp:posOffset>4068445</wp:posOffset>
          </wp:positionH>
          <wp:positionV relativeFrom="page">
            <wp:posOffset>720090</wp:posOffset>
          </wp:positionV>
          <wp:extent cx="2930400" cy="383059"/>
          <wp:effectExtent l="19050" t="0" r="3300" b="0"/>
          <wp:wrapNone/>
          <wp:docPr id="12"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tretch>
                    <a:fillRect/>
                  </a:stretch>
                </pic:blipFill>
                <pic:spPr>
                  <a:xfrm>
                    <a:off x="0" y="0"/>
                    <a:ext cx="2930400" cy="3830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44F59"/>
    <w:multiLevelType w:val="hybridMultilevel"/>
    <w:tmpl w:val="A4F01AA0"/>
    <w:lvl w:ilvl="0" w:tplc="47E0AEB4">
      <w:numFmt w:val="bullet"/>
      <w:lvlText w:val="-"/>
      <w:lvlJc w:val="left"/>
      <w:pPr>
        <w:ind w:left="720" w:hanging="360"/>
      </w:pPr>
      <w:rPr>
        <w:rFonts w:ascii="Times New Roman" w:eastAsiaTheme="minorHAnsi" w:hAnsi="Times New Roman" w:cs="Times New Roman"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D5A6F85"/>
    <w:multiLevelType w:val="hybridMultilevel"/>
    <w:tmpl w:val="F2F06B1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1055E1"/>
    <w:multiLevelType w:val="hybridMultilevel"/>
    <w:tmpl w:val="A9467520"/>
    <w:lvl w:ilvl="0" w:tplc="0813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E2E4A"/>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4" w15:restartNumberingAfterBreak="0">
    <w:nsid w:val="16711767"/>
    <w:multiLevelType w:val="hybridMultilevel"/>
    <w:tmpl w:val="CDCA5262"/>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97F459D"/>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9E6707"/>
    <w:multiLevelType w:val="hybridMultilevel"/>
    <w:tmpl w:val="F41EE4B0"/>
    <w:lvl w:ilvl="0" w:tplc="0813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3507228"/>
    <w:multiLevelType w:val="hybridMultilevel"/>
    <w:tmpl w:val="C5FE3D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B66E9"/>
    <w:multiLevelType w:val="multilevel"/>
    <w:tmpl w:val="169CC5E8"/>
    <w:styleLink w:val="XXXtextbullets"/>
    <w:lvl w:ilvl="0">
      <w:start w:val="1"/>
      <w:numFmt w:val="bullet"/>
      <w:pStyle w:val="textbullets"/>
      <w:lvlText w:val="‒"/>
      <w:lvlJc w:val="left"/>
      <w:pPr>
        <w:ind w:left="397" w:hanging="397"/>
      </w:pPr>
      <w:rPr>
        <w:rFonts w:ascii="Calibri" w:hAnsi="Calibri" w:hint="default"/>
        <w:color w:val="auto"/>
      </w:rPr>
    </w:lvl>
    <w:lvl w:ilvl="1">
      <w:start w:val="1"/>
      <w:numFmt w:val="bullet"/>
      <w:lvlText w:val="‒"/>
      <w:lvlJc w:val="left"/>
      <w:pPr>
        <w:ind w:left="794" w:hanging="397"/>
      </w:pPr>
      <w:rPr>
        <w:rFonts w:ascii="Calibri" w:hAnsi="Calibri" w:hint="default"/>
        <w:color w:val="auto"/>
      </w:rPr>
    </w:lvl>
    <w:lvl w:ilvl="2">
      <w:start w:val="1"/>
      <w:numFmt w:val="bullet"/>
      <w:lvlText w:val="‒"/>
      <w:lvlJc w:val="left"/>
      <w:pPr>
        <w:ind w:left="1191" w:hanging="397"/>
      </w:pPr>
      <w:rPr>
        <w:rFonts w:ascii="Calibri" w:hAnsi="Calibri" w:hint="default"/>
        <w:color w:val="auto"/>
      </w:rPr>
    </w:lvl>
    <w:lvl w:ilvl="3">
      <w:start w:val="1"/>
      <w:numFmt w:val="bullet"/>
      <w:lvlText w:val="‒"/>
      <w:lvlJc w:val="left"/>
      <w:pPr>
        <w:ind w:left="1588" w:hanging="397"/>
      </w:pPr>
      <w:rPr>
        <w:rFonts w:ascii="Calibri" w:hAnsi="Calibri" w:hint="default"/>
        <w:color w:val="auto"/>
      </w:rPr>
    </w:lvl>
    <w:lvl w:ilvl="4">
      <w:start w:val="1"/>
      <w:numFmt w:val="bullet"/>
      <w:lvlText w:val="‒"/>
      <w:lvlJc w:val="left"/>
      <w:pPr>
        <w:ind w:left="1985" w:hanging="397"/>
      </w:pPr>
      <w:rPr>
        <w:rFonts w:ascii="Calibri" w:hAnsi="Calibri" w:hint="default"/>
        <w:color w:val="auto"/>
      </w:rPr>
    </w:lvl>
    <w:lvl w:ilvl="5">
      <w:start w:val="1"/>
      <w:numFmt w:val="bullet"/>
      <w:lvlText w:val="‒"/>
      <w:lvlJc w:val="left"/>
      <w:pPr>
        <w:ind w:left="2325" w:hanging="340"/>
      </w:pPr>
      <w:rPr>
        <w:rFonts w:ascii="Calibri" w:hAnsi="Calibri" w:hint="default"/>
        <w:color w:val="auto"/>
      </w:rPr>
    </w:lvl>
    <w:lvl w:ilvl="6">
      <w:start w:val="1"/>
      <w:numFmt w:val="bullet"/>
      <w:lvlText w:val="‒"/>
      <w:lvlJc w:val="left"/>
      <w:pPr>
        <w:ind w:left="2722" w:hanging="397"/>
      </w:pPr>
      <w:rPr>
        <w:rFonts w:ascii="Calibri" w:hAnsi="Calibri" w:hint="default"/>
        <w:color w:val="auto"/>
      </w:rPr>
    </w:lvl>
    <w:lvl w:ilvl="7">
      <w:start w:val="1"/>
      <w:numFmt w:val="bullet"/>
      <w:lvlText w:val="‒"/>
      <w:lvlJc w:val="left"/>
      <w:pPr>
        <w:ind w:left="3119" w:hanging="397"/>
      </w:pPr>
      <w:rPr>
        <w:rFonts w:ascii="Calibri" w:hAnsi="Calibri" w:hint="default"/>
        <w:color w:val="auto"/>
      </w:rPr>
    </w:lvl>
    <w:lvl w:ilvl="8">
      <w:start w:val="1"/>
      <w:numFmt w:val="bullet"/>
      <w:lvlText w:val="‒"/>
      <w:lvlJc w:val="left"/>
      <w:pPr>
        <w:ind w:left="3459" w:hanging="340"/>
      </w:pPr>
      <w:rPr>
        <w:rFonts w:ascii="Calibri" w:hAnsi="Calibri" w:hint="default"/>
        <w:color w:val="auto"/>
      </w:rPr>
    </w:lvl>
  </w:abstractNum>
  <w:abstractNum w:abstractNumId="10" w15:restartNumberingAfterBreak="0">
    <w:nsid w:val="290A2BBB"/>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B411B3B"/>
    <w:multiLevelType w:val="hybridMultilevel"/>
    <w:tmpl w:val="F288D35C"/>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2DA14555"/>
    <w:multiLevelType w:val="hybridMultilevel"/>
    <w:tmpl w:val="3134E5D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49139F"/>
    <w:multiLevelType w:val="hybridMultilevel"/>
    <w:tmpl w:val="FC3E9992"/>
    <w:lvl w:ilvl="0" w:tplc="04090001">
      <w:start w:val="1"/>
      <w:numFmt w:val="bullet"/>
      <w:lvlText w:val=""/>
      <w:lvlJc w:val="left"/>
      <w:pPr>
        <w:ind w:left="720" w:hanging="360"/>
      </w:pPr>
      <w:rPr>
        <w:rFonts w:ascii="Symbol" w:hAnsi="Symbol" w:hint="default"/>
      </w:rPr>
    </w:lvl>
    <w:lvl w:ilvl="1" w:tplc="0813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D6F62"/>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29B09A9"/>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44D61839"/>
    <w:multiLevelType w:val="hybridMultilevel"/>
    <w:tmpl w:val="FFF87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585C1F"/>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6FD1529"/>
    <w:multiLevelType w:val="hybridMultilevel"/>
    <w:tmpl w:val="F5D0DDD8"/>
    <w:lvl w:ilvl="0" w:tplc="FFDC201A">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485A5A2D"/>
    <w:multiLevelType w:val="hybridMultilevel"/>
    <w:tmpl w:val="5AD4F018"/>
    <w:lvl w:ilvl="0" w:tplc="0813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6B3248"/>
    <w:multiLevelType w:val="hybridMultilevel"/>
    <w:tmpl w:val="625257D4"/>
    <w:lvl w:ilvl="0" w:tplc="0409001B">
      <w:start w:val="1"/>
      <w:numFmt w:val="lowerRoman"/>
      <w:lvlText w:val="%1."/>
      <w:lvlJc w:val="righ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1" w15:restartNumberingAfterBreak="0">
    <w:nsid w:val="4A914F8D"/>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4D224F14"/>
    <w:multiLevelType w:val="hybridMultilevel"/>
    <w:tmpl w:val="B742FB12"/>
    <w:lvl w:ilvl="0" w:tplc="75C68B7C">
      <w:numFmt w:val="bullet"/>
      <w:lvlText w:val="-"/>
      <w:lvlJc w:val="left"/>
      <w:pPr>
        <w:ind w:left="720" w:hanging="360"/>
      </w:pPr>
      <w:rPr>
        <w:rFonts w:ascii="Times New Roman" w:eastAsiaTheme="minorHAnsi" w:hAnsi="Times New Roman" w:cs="Times New Roman" w:hint="default"/>
        <w:color w:val="FF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4D5C78EE"/>
    <w:multiLevelType w:val="multilevel"/>
    <w:tmpl w:val="0E80C546"/>
    <w:styleLink w:val="XXXNummerierung"/>
    <w:lvl w:ilvl="0">
      <w:start w:val="1"/>
      <w:numFmt w:val="decimal"/>
      <w:pStyle w:val="textenumeration"/>
      <w:lvlText w:val="%1."/>
      <w:lvlJc w:val="left"/>
      <w:pPr>
        <w:ind w:left="357" w:hanging="357"/>
      </w:pPr>
      <w:rPr>
        <w:rFonts w:ascii="Times New Roman" w:hAnsi="Times New Roman"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4"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B86E49"/>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6043038"/>
    <w:multiLevelType w:val="hybridMultilevel"/>
    <w:tmpl w:val="3F10A496"/>
    <w:lvl w:ilvl="0" w:tplc="04090017">
      <w:start w:val="1"/>
      <w:numFmt w:val="lowerLetter"/>
      <w:lvlText w:val="%1)"/>
      <w:lvlJc w:val="left"/>
      <w:pPr>
        <w:ind w:left="720" w:hanging="360"/>
      </w:pPr>
    </w:lvl>
    <w:lvl w:ilvl="1" w:tplc="6C0A2FA8">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7" w15:restartNumberingAfterBreak="0">
    <w:nsid w:val="58CA1657"/>
    <w:multiLevelType w:val="hybridMultilevel"/>
    <w:tmpl w:val="CDCA5262"/>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C422662"/>
    <w:multiLevelType w:val="hybridMultilevel"/>
    <w:tmpl w:val="4B1CE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4A3354"/>
    <w:multiLevelType w:val="multilevel"/>
    <w:tmpl w:val="080C001F"/>
    <w:styleLink w:val="XXXList"/>
    <w:lvl w:ilvl="0">
      <w:start w:val="1"/>
      <w:numFmt w:val="decimal"/>
      <w:lvlText w:val="%1."/>
      <w:lvlJc w:val="left"/>
      <w:pPr>
        <w:ind w:left="360" w:hanging="360"/>
      </w:pPr>
      <w:rPr>
        <w:rFonts w:hint="default"/>
        <w:b/>
        <w:i w:val="0"/>
        <w:color w:val="23236E" w:themeColor="text2"/>
        <w:sz w:val="28"/>
        <w:u w:color="23236E" w:themeColor="text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b/>
        <w:i w:val="0"/>
        <w:color w:val="23236E" w:themeColor="text2"/>
        <w:sz w:val="28"/>
        <w:u w:color="23236E" w:themeColor="text2"/>
      </w:rPr>
    </w:lvl>
  </w:abstractNum>
  <w:abstractNum w:abstractNumId="30" w15:restartNumberingAfterBreak="0">
    <w:nsid w:val="5E547AC5"/>
    <w:multiLevelType w:val="hybridMultilevel"/>
    <w:tmpl w:val="B608DB92"/>
    <w:lvl w:ilvl="0" w:tplc="0409001B">
      <w:start w:val="1"/>
      <w:numFmt w:val="lowerRoman"/>
      <w:lvlText w:val="%1."/>
      <w:lvlJc w:val="righ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5EA1093A"/>
    <w:multiLevelType w:val="hybridMultilevel"/>
    <w:tmpl w:val="74AC81F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EF63C7D"/>
    <w:multiLevelType w:val="multilevel"/>
    <w:tmpl w:val="F9A00892"/>
    <w:styleLink w:val="XXXBulletList"/>
    <w:lvl w:ilvl="0">
      <w:start w:val="1"/>
      <w:numFmt w:val="bullet"/>
      <w:pStyle w:val="decisionbullet1"/>
      <w:lvlText w:val="‒"/>
      <w:lvlJc w:val="left"/>
      <w:pPr>
        <w:ind w:left="357" w:hanging="357"/>
      </w:pPr>
      <w:rPr>
        <w:rFonts w:ascii="Calibri" w:hAnsi="Calibri" w:hint="default"/>
        <w:color w:val="auto"/>
        <w:sz w:val="22"/>
      </w:rPr>
    </w:lvl>
    <w:lvl w:ilvl="1">
      <w:start w:val="1"/>
      <w:numFmt w:val="bullet"/>
      <w:pStyle w:val="decisionbullet2"/>
      <w:lvlText w:val="‒"/>
      <w:lvlJc w:val="left"/>
      <w:pPr>
        <w:ind w:left="374" w:hanging="17"/>
      </w:pPr>
      <w:rPr>
        <w:rFonts w:ascii="Times New Roman" w:hAnsi="Times New Roman" w:cs="Times New Roman" w:hint="default"/>
        <w:color w:val="auto"/>
        <w:sz w:val="22"/>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3" w15:restartNumberingAfterBreak="0">
    <w:nsid w:val="68043140"/>
    <w:multiLevelType w:val="hybridMultilevel"/>
    <w:tmpl w:val="07046B6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E614CB5"/>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3A965C3"/>
    <w:multiLevelType w:val="hybridMultilevel"/>
    <w:tmpl w:val="874624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4617C99"/>
    <w:multiLevelType w:val="hybridMultilevel"/>
    <w:tmpl w:val="DD52112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69B7121"/>
    <w:multiLevelType w:val="hybridMultilevel"/>
    <w:tmpl w:val="14344F6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9"/>
  </w:num>
  <w:num w:numId="2">
    <w:abstractNumId w:val="32"/>
  </w:num>
  <w:num w:numId="3">
    <w:abstractNumId w:val="23"/>
  </w:num>
  <w:num w:numId="4">
    <w:abstractNumId w:val="9"/>
  </w:num>
  <w:num w:numId="5">
    <w:abstractNumId w:val="4"/>
  </w:num>
  <w:num w:numId="6">
    <w:abstractNumId w:val="26"/>
  </w:num>
  <w:num w:numId="7">
    <w:abstractNumId w:val="7"/>
  </w:num>
  <w:num w:numId="8">
    <w:abstractNumId w:val="11"/>
  </w:num>
  <w:num w:numId="9">
    <w:abstractNumId w:val="16"/>
  </w:num>
  <w:num w:numId="10">
    <w:abstractNumId w:val="12"/>
  </w:num>
  <w:num w:numId="11">
    <w:abstractNumId w:val="8"/>
  </w:num>
  <w:num w:numId="12">
    <w:abstractNumId w:val="33"/>
  </w:num>
  <w:num w:numId="13">
    <w:abstractNumId w:val="20"/>
  </w:num>
  <w:num w:numId="14">
    <w:abstractNumId w:val="15"/>
  </w:num>
  <w:num w:numId="15">
    <w:abstractNumId w:val="24"/>
  </w:num>
  <w:num w:numId="16">
    <w:abstractNumId w:val="21"/>
  </w:num>
  <w:num w:numId="17">
    <w:abstractNumId w:val="3"/>
  </w:num>
  <w:num w:numId="18">
    <w:abstractNumId w:val="27"/>
  </w:num>
  <w:num w:numId="19">
    <w:abstractNumId w:val="36"/>
  </w:num>
  <w:num w:numId="20">
    <w:abstractNumId w:val="5"/>
  </w:num>
  <w:num w:numId="21">
    <w:abstractNumId w:val="28"/>
  </w:num>
  <w:num w:numId="22">
    <w:abstractNumId w:val="6"/>
  </w:num>
  <w:num w:numId="23">
    <w:abstractNumId w:val="13"/>
  </w:num>
  <w:num w:numId="24">
    <w:abstractNumId w:val="1"/>
  </w:num>
  <w:num w:numId="25">
    <w:abstractNumId w:val="31"/>
  </w:num>
  <w:num w:numId="26">
    <w:abstractNumId w:val="17"/>
  </w:num>
  <w:num w:numId="27">
    <w:abstractNumId w:val="25"/>
  </w:num>
  <w:num w:numId="28">
    <w:abstractNumId w:val="19"/>
  </w:num>
  <w:num w:numId="29">
    <w:abstractNumId w:val="2"/>
  </w:num>
  <w:num w:numId="30">
    <w:abstractNumId w:val="10"/>
  </w:num>
  <w:num w:numId="31">
    <w:abstractNumId w:val="30"/>
  </w:num>
  <w:num w:numId="32">
    <w:abstractNumId w:val="0"/>
  </w:num>
  <w:num w:numId="33">
    <w:abstractNumId w:val="22"/>
  </w:num>
  <w:num w:numId="34">
    <w:abstractNumId w:val="18"/>
  </w:num>
  <w:num w:numId="35">
    <w:abstractNumId w:val="34"/>
  </w:num>
  <w:num w:numId="36">
    <w:abstractNumId w:val="14"/>
  </w:num>
  <w:num w:numId="37">
    <w:abstractNumId w:val="37"/>
  </w:num>
  <w:num w:numId="38">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NotTrackFormatting/>
  <w:defaultTabStop w:val="708"/>
  <w:hyphenationZone w:val="425"/>
  <w:drawingGridHorizontalSpacing w:val="110"/>
  <w:displayHorizontalDrawingGridEvery w:val="2"/>
  <w:characterSpacingControl w:val="doNotCompress"/>
  <w:hdrShapeDefaults>
    <o:shapedefaults v:ext="edit" spidmax="4097" style="mso-position-horizontal-relative:page;mso-position-vertical-relative:page" strokecolor="none [3215]">
      <v:stroke color="none [3215]" weight="1p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0F07"/>
    <w:rsid w:val="00000169"/>
    <w:rsid w:val="00000249"/>
    <w:rsid w:val="000003B9"/>
    <w:rsid w:val="000005BD"/>
    <w:rsid w:val="0000065C"/>
    <w:rsid w:val="000011B0"/>
    <w:rsid w:val="00001EE3"/>
    <w:rsid w:val="00002150"/>
    <w:rsid w:val="00006873"/>
    <w:rsid w:val="00007F4F"/>
    <w:rsid w:val="00010408"/>
    <w:rsid w:val="000118B0"/>
    <w:rsid w:val="00012A1C"/>
    <w:rsid w:val="000137EB"/>
    <w:rsid w:val="000140AC"/>
    <w:rsid w:val="00015488"/>
    <w:rsid w:val="00015B72"/>
    <w:rsid w:val="00016903"/>
    <w:rsid w:val="000173D6"/>
    <w:rsid w:val="000179C1"/>
    <w:rsid w:val="00020055"/>
    <w:rsid w:val="000204A2"/>
    <w:rsid w:val="00021313"/>
    <w:rsid w:val="00022D11"/>
    <w:rsid w:val="000235E9"/>
    <w:rsid w:val="00023A5C"/>
    <w:rsid w:val="00023C94"/>
    <w:rsid w:val="00024957"/>
    <w:rsid w:val="000255FA"/>
    <w:rsid w:val="000275DC"/>
    <w:rsid w:val="00027B57"/>
    <w:rsid w:val="00030180"/>
    <w:rsid w:val="00031212"/>
    <w:rsid w:val="00032424"/>
    <w:rsid w:val="00032639"/>
    <w:rsid w:val="0003392C"/>
    <w:rsid w:val="000357A0"/>
    <w:rsid w:val="000359DC"/>
    <w:rsid w:val="00035A65"/>
    <w:rsid w:val="00035E73"/>
    <w:rsid w:val="00036823"/>
    <w:rsid w:val="00036B01"/>
    <w:rsid w:val="00036F87"/>
    <w:rsid w:val="00040C71"/>
    <w:rsid w:val="00042115"/>
    <w:rsid w:val="000429D4"/>
    <w:rsid w:val="00042D86"/>
    <w:rsid w:val="00044996"/>
    <w:rsid w:val="00045313"/>
    <w:rsid w:val="00045E03"/>
    <w:rsid w:val="00046D0D"/>
    <w:rsid w:val="00046F36"/>
    <w:rsid w:val="00046FC1"/>
    <w:rsid w:val="00047992"/>
    <w:rsid w:val="00050398"/>
    <w:rsid w:val="000508B7"/>
    <w:rsid w:val="000510CE"/>
    <w:rsid w:val="000528A3"/>
    <w:rsid w:val="00053056"/>
    <w:rsid w:val="00054050"/>
    <w:rsid w:val="000561DA"/>
    <w:rsid w:val="000626F6"/>
    <w:rsid w:val="00062E48"/>
    <w:rsid w:val="00063861"/>
    <w:rsid w:val="00063E5E"/>
    <w:rsid w:val="000640E2"/>
    <w:rsid w:val="0006467A"/>
    <w:rsid w:val="00064F0B"/>
    <w:rsid w:val="00066254"/>
    <w:rsid w:val="00066725"/>
    <w:rsid w:val="000675D9"/>
    <w:rsid w:val="00067623"/>
    <w:rsid w:val="00070604"/>
    <w:rsid w:val="0007274E"/>
    <w:rsid w:val="00072E73"/>
    <w:rsid w:val="0007338A"/>
    <w:rsid w:val="000735DF"/>
    <w:rsid w:val="00073620"/>
    <w:rsid w:val="00073BFD"/>
    <w:rsid w:val="000763F9"/>
    <w:rsid w:val="00076649"/>
    <w:rsid w:val="0008019E"/>
    <w:rsid w:val="00082BB9"/>
    <w:rsid w:val="00083F22"/>
    <w:rsid w:val="00084461"/>
    <w:rsid w:val="00085222"/>
    <w:rsid w:val="00085425"/>
    <w:rsid w:val="00085C0F"/>
    <w:rsid w:val="00087731"/>
    <w:rsid w:val="000877E3"/>
    <w:rsid w:val="000920AE"/>
    <w:rsid w:val="00092C31"/>
    <w:rsid w:val="00093484"/>
    <w:rsid w:val="0009375D"/>
    <w:rsid w:val="0009502C"/>
    <w:rsid w:val="00095B96"/>
    <w:rsid w:val="000961F8"/>
    <w:rsid w:val="00097D19"/>
    <w:rsid w:val="00097E8E"/>
    <w:rsid w:val="000A0308"/>
    <w:rsid w:val="000A11C8"/>
    <w:rsid w:val="000A25FB"/>
    <w:rsid w:val="000A28B8"/>
    <w:rsid w:val="000A2C78"/>
    <w:rsid w:val="000A3A13"/>
    <w:rsid w:val="000A3FB8"/>
    <w:rsid w:val="000A45F7"/>
    <w:rsid w:val="000A5765"/>
    <w:rsid w:val="000A7492"/>
    <w:rsid w:val="000A7B19"/>
    <w:rsid w:val="000A7F43"/>
    <w:rsid w:val="000B23F1"/>
    <w:rsid w:val="000B2D2E"/>
    <w:rsid w:val="000B3D5F"/>
    <w:rsid w:val="000B5F21"/>
    <w:rsid w:val="000B6BD7"/>
    <w:rsid w:val="000B7651"/>
    <w:rsid w:val="000B7A6B"/>
    <w:rsid w:val="000B7DDB"/>
    <w:rsid w:val="000C02AA"/>
    <w:rsid w:val="000C081E"/>
    <w:rsid w:val="000C1901"/>
    <w:rsid w:val="000C282A"/>
    <w:rsid w:val="000C4633"/>
    <w:rsid w:val="000C50C7"/>
    <w:rsid w:val="000C5A1D"/>
    <w:rsid w:val="000C5D9C"/>
    <w:rsid w:val="000C5F91"/>
    <w:rsid w:val="000C6465"/>
    <w:rsid w:val="000C6F84"/>
    <w:rsid w:val="000C777B"/>
    <w:rsid w:val="000C7840"/>
    <w:rsid w:val="000C7929"/>
    <w:rsid w:val="000C7C91"/>
    <w:rsid w:val="000D0842"/>
    <w:rsid w:val="000D19EE"/>
    <w:rsid w:val="000D1A83"/>
    <w:rsid w:val="000D2604"/>
    <w:rsid w:val="000D360E"/>
    <w:rsid w:val="000D4552"/>
    <w:rsid w:val="000D4815"/>
    <w:rsid w:val="000D5C38"/>
    <w:rsid w:val="000D6CF2"/>
    <w:rsid w:val="000D6DDD"/>
    <w:rsid w:val="000D7AA3"/>
    <w:rsid w:val="000D7E96"/>
    <w:rsid w:val="000E04B1"/>
    <w:rsid w:val="000E0799"/>
    <w:rsid w:val="000E0873"/>
    <w:rsid w:val="000E1BB6"/>
    <w:rsid w:val="000E268A"/>
    <w:rsid w:val="000E32FA"/>
    <w:rsid w:val="000E41B2"/>
    <w:rsid w:val="000E4CD5"/>
    <w:rsid w:val="000E5E19"/>
    <w:rsid w:val="000E6149"/>
    <w:rsid w:val="000E7214"/>
    <w:rsid w:val="000E773E"/>
    <w:rsid w:val="000F0261"/>
    <w:rsid w:val="000F0523"/>
    <w:rsid w:val="000F08CA"/>
    <w:rsid w:val="000F0DE4"/>
    <w:rsid w:val="000F105D"/>
    <w:rsid w:val="000F1582"/>
    <w:rsid w:val="000F1606"/>
    <w:rsid w:val="000F1D46"/>
    <w:rsid w:val="000F1F21"/>
    <w:rsid w:val="000F2416"/>
    <w:rsid w:val="000F2853"/>
    <w:rsid w:val="000F2DFC"/>
    <w:rsid w:val="000F3D7D"/>
    <w:rsid w:val="000F415F"/>
    <w:rsid w:val="000F4510"/>
    <w:rsid w:val="000F45F8"/>
    <w:rsid w:val="000F51E7"/>
    <w:rsid w:val="000F5893"/>
    <w:rsid w:val="000F693C"/>
    <w:rsid w:val="000F6F31"/>
    <w:rsid w:val="0010092F"/>
    <w:rsid w:val="00101814"/>
    <w:rsid w:val="00102A02"/>
    <w:rsid w:val="00102C27"/>
    <w:rsid w:val="001043D2"/>
    <w:rsid w:val="0010511E"/>
    <w:rsid w:val="00107537"/>
    <w:rsid w:val="0010762F"/>
    <w:rsid w:val="0010778D"/>
    <w:rsid w:val="00107A15"/>
    <w:rsid w:val="00111AFC"/>
    <w:rsid w:val="00111F9E"/>
    <w:rsid w:val="00112014"/>
    <w:rsid w:val="0011218E"/>
    <w:rsid w:val="001124B6"/>
    <w:rsid w:val="00112580"/>
    <w:rsid w:val="0011332D"/>
    <w:rsid w:val="00113784"/>
    <w:rsid w:val="00114EF0"/>
    <w:rsid w:val="001158C8"/>
    <w:rsid w:val="001170AF"/>
    <w:rsid w:val="00120464"/>
    <w:rsid w:val="001206D1"/>
    <w:rsid w:val="00120818"/>
    <w:rsid w:val="00121263"/>
    <w:rsid w:val="00121783"/>
    <w:rsid w:val="00121815"/>
    <w:rsid w:val="001220EC"/>
    <w:rsid w:val="00122521"/>
    <w:rsid w:val="001227E8"/>
    <w:rsid w:val="00122F33"/>
    <w:rsid w:val="0012310C"/>
    <w:rsid w:val="001246DB"/>
    <w:rsid w:val="00124B64"/>
    <w:rsid w:val="00124E0F"/>
    <w:rsid w:val="00125210"/>
    <w:rsid w:val="00125519"/>
    <w:rsid w:val="00134271"/>
    <w:rsid w:val="00135071"/>
    <w:rsid w:val="00142539"/>
    <w:rsid w:val="0014258F"/>
    <w:rsid w:val="00143192"/>
    <w:rsid w:val="0014576E"/>
    <w:rsid w:val="0014697D"/>
    <w:rsid w:val="00150168"/>
    <w:rsid w:val="00151B4A"/>
    <w:rsid w:val="00151D7B"/>
    <w:rsid w:val="0015202E"/>
    <w:rsid w:val="00152963"/>
    <w:rsid w:val="00152CAE"/>
    <w:rsid w:val="001540CD"/>
    <w:rsid w:val="00155F93"/>
    <w:rsid w:val="00156976"/>
    <w:rsid w:val="0015747E"/>
    <w:rsid w:val="00157A4A"/>
    <w:rsid w:val="0016087D"/>
    <w:rsid w:val="001608DF"/>
    <w:rsid w:val="001617A1"/>
    <w:rsid w:val="00161CD5"/>
    <w:rsid w:val="00162B68"/>
    <w:rsid w:val="0016301B"/>
    <w:rsid w:val="00163319"/>
    <w:rsid w:val="001634B3"/>
    <w:rsid w:val="00165BCE"/>
    <w:rsid w:val="00165F77"/>
    <w:rsid w:val="00165FDE"/>
    <w:rsid w:val="00166888"/>
    <w:rsid w:val="001675C6"/>
    <w:rsid w:val="00167C50"/>
    <w:rsid w:val="00170027"/>
    <w:rsid w:val="0017018B"/>
    <w:rsid w:val="00170D5E"/>
    <w:rsid w:val="00170F1D"/>
    <w:rsid w:val="00172A5E"/>
    <w:rsid w:val="001735E0"/>
    <w:rsid w:val="00175575"/>
    <w:rsid w:val="00176FC9"/>
    <w:rsid w:val="001771A1"/>
    <w:rsid w:val="001779B1"/>
    <w:rsid w:val="0018178A"/>
    <w:rsid w:val="00182308"/>
    <w:rsid w:val="001827D8"/>
    <w:rsid w:val="0018322B"/>
    <w:rsid w:val="00184B03"/>
    <w:rsid w:val="001853A1"/>
    <w:rsid w:val="0018540A"/>
    <w:rsid w:val="001864B5"/>
    <w:rsid w:val="00186689"/>
    <w:rsid w:val="00186BD1"/>
    <w:rsid w:val="00186C7D"/>
    <w:rsid w:val="0018757E"/>
    <w:rsid w:val="00191310"/>
    <w:rsid w:val="001919A3"/>
    <w:rsid w:val="001933F9"/>
    <w:rsid w:val="00193D7A"/>
    <w:rsid w:val="00194D05"/>
    <w:rsid w:val="00195169"/>
    <w:rsid w:val="00195392"/>
    <w:rsid w:val="00195466"/>
    <w:rsid w:val="00195F56"/>
    <w:rsid w:val="00196528"/>
    <w:rsid w:val="00197B69"/>
    <w:rsid w:val="00197F68"/>
    <w:rsid w:val="001A0A9B"/>
    <w:rsid w:val="001A0C74"/>
    <w:rsid w:val="001A0EFF"/>
    <w:rsid w:val="001A1787"/>
    <w:rsid w:val="001A1989"/>
    <w:rsid w:val="001A1BB5"/>
    <w:rsid w:val="001A2330"/>
    <w:rsid w:val="001A2C09"/>
    <w:rsid w:val="001A4765"/>
    <w:rsid w:val="001A4B10"/>
    <w:rsid w:val="001A51C2"/>
    <w:rsid w:val="001A55A2"/>
    <w:rsid w:val="001A5F96"/>
    <w:rsid w:val="001A70EC"/>
    <w:rsid w:val="001A736A"/>
    <w:rsid w:val="001A7C3B"/>
    <w:rsid w:val="001A7CD8"/>
    <w:rsid w:val="001B1D50"/>
    <w:rsid w:val="001B1F19"/>
    <w:rsid w:val="001B2C21"/>
    <w:rsid w:val="001B2EB0"/>
    <w:rsid w:val="001B35ED"/>
    <w:rsid w:val="001B3A9B"/>
    <w:rsid w:val="001B3D82"/>
    <w:rsid w:val="001B4C4A"/>
    <w:rsid w:val="001B4F2D"/>
    <w:rsid w:val="001B57E7"/>
    <w:rsid w:val="001B5E44"/>
    <w:rsid w:val="001B646F"/>
    <w:rsid w:val="001B7C05"/>
    <w:rsid w:val="001C02BD"/>
    <w:rsid w:val="001C064F"/>
    <w:rsid w:val="001C09F1"/>
    <w:rsid w:val="001C1D51"/>
    <w:rsid w:val="001C1DF6"/>
    <w:rsid w:val="001C238F"/>
    <w:rsid w:val="001C268D"/>
    <w:rsid w:val="001C2ED2"/>
    <w:rsid w:val="001C4169"/>
    <w:rsid w:val="001C560B"/>
    <w:rsid w:val="001C69AF"/>
    <w:rsid w:val="001C72A5"/>
    <w:rsid w:val="001D03F1"/>
    <w:rsid w:val="001D050F"/>
    <w:rsid w:val="001D0606"/>
    <w:rsid w:val="001D178A"/>
    <w:rsid w:val="001D1B82"/>
    <w:rsid w:val="001D26F7"/>
    <w:rsid w:val="001D42AD"/>
    <w:rsid w:val="001D46C2"/>
    <w:rsid w:val="001D4CB4"/>
    <w:rsid w:val="001D5544"/>
    <w:rsid w:val="001D56D4"/>
    <w:rsid w:val="001D713B"/>
    <w:rsid w:val="001E07F1"/>
    <w:rsid w:val="001E0D37"/>
    <w:rsid w:val="001E1B29"/>
    <w:rsid w:val="001E2E2D"/>
    <w:rsid w:val="001E3DFD"/>
    <w:rsid w:val="001E55C0"/>
    <w:rsid w:val="001E5F7C"/>
    <w:rsid w:val="001E636E"/>
    <w:rsid w:val="001E637B"/>
    <w:rsid w:val="001E6652"/>
    <w:rsid w:val="001E6868"/>
    <w:rsid w:val="001E6BEF"/>
    <w:rsid w:val="001F098D"/>
    <w:rsid w:val="001F09FA"/>
    <w:rsid w:val="001F0B88"/>
    <w:rsid w:val="001F1148"/>
    <w:rsid w:val="001F13A6"/>
    <w:rsid w:val="001F28B9"/>
    <w:rsid w:val="001F5DBD"/>
    <w:rsid w:val="001F60FF"/>
    <w:rsid w:val="001F6977"/>
    <w:rsid w:val="001F6D8C"/>
    <w:rsid w:val="001F79E4"/>
    <w:rsid w:val="001F7DA6"/>
    <w:rsid w:val="002006EC"/>
    <w:rsid w:val="002021B1"/>
    <w:rsid w:val="00202AF0"/>
    <w:rsid w:val="0020346F"/>
    <w:rsid w:val="00204595"/>
    <w:rsid w:val="002045AF"/>
    <w:rsid w:val="00204643"/>
    <w:rsid w:val="0020685A"/>
    <w:rsid w:val="00207EC8"/>
    <w:rsid w:val="002106B3"/>
    <w:rsid w:val="00210F80"/>
    <w:rsid w:val="002112A6"/>
    <w:rsid w:val="00211914"/>
    <w:rsid w:val="00211D7E"/>
    <w:rsid w:val="00212104"/>
    <w:rsid w:val="00214558"/>
    <w:rsid w:val="0021591E"/>
    <w:rsid w:val="00216130"/>
    <w:rsid w:val="00216EE9"/>
    <w:rsid w:val="00217B68"/>
    <w:rsid w:val="002204E4"/>
    <w:rsid w:val="00220937"/>
    <w:rsid w:val="002215F2"/>
    <w:rsid w:val="00221A91"/>
    <w:rsid w:val="00221FC8"/>
    <w:rsid w:val="00223F13"/>
    <w:rsid w:val="0022424E"/>
    <w:rsid w:val="00225492"/>
    <w:rsid w:val="002263BD"/>
    <w:rsid w:val="00227078"/>
    <w:rsid w:val="002275CF"/>
    <w:rsid w:val="0023120A"/>
    <w:rsid w:val="00231B5C"/>
    <w:rsid w:val="00231CA6"/>
    <w:rsid w:val="00231F6C"/>
    <w:rsid w:val="002332FB"/>
    <w:rsid w:val="00236B08"/>
    <w:rsid w:val="002371B7"/>
    <w:rsid w:val="002376B1"/>
    <w:rsid w:val="00237F76"/>
    <w:rsid w:val="00240F01"/>
    <w:rsid w:val="0024169C"/>
    <w:rsid w:val="00241BDA"/>
    <w:rsid w:val="0024239E"/>
    <w:rsid w:val="002423DE"/>
    <w:rsid w:val="002436FB"/>
    <w:rsid w:val="00244559"/>
    <w:rsid w:val="00245C26"/>
    <w:rsid w:val="00246321"/>
    <w:rsid w:val="00247325"/>
    <w:rsid w:val="00247449"/>
    <w:rsid w:val="00250379"/>
    <w:rsid w:val="00250A18"/>
    <w:rsid w:val="002517E8"/>
    <w:rsid w:val="00251C3B"/>
    <w:rsid w:val="00251EBB"/>
    <w:rsid w:val="002522CF"/>
    <w:rsid w:val="00252414"/>
    <w:rsid w:val="00252CF4"/>
    <w:rsid w:val="002549B0"/>
    <w:rsid w:val="00254AD7"/>
    <w:rsid w:val="00255204"/>
    <w:rsid w:val="00255697"/>
    <w:rsid w:val="0026179B"/>
    <w:rsid w:val="002624B9"/>
    <w:rsid w:val="002628DE"/>
    <w:rsid w:val="00266360"/>
    <w:rsid w:val="00267EAD"/>
    <w:rsid w:val="00267FB2"/>
    <w:rsid w:val="002704D4"/>
    <w:rsid w:val="0027088B"/>
    <w:rsid w:val="00273A50"/>
    <w:rsid w:val="002748F5"/>
    <w:rsid w:val="0027521B"/>
    <w:rsid w:val="002752A9"/>
    <w:rsid w:val="00275B12"/>
    <w:rsid w:val="002766B2"/>
    <w:rsid w:val="00276B65"/>
    <w:rsid w:val="002771C3"/>
    <w:rsid w:val="002776D1"/>
    <w:rsid w:val="00277F1E"/>
    <w:rsid w:val="00280367"/>
    <w:rsid w:val="00280618"/>
    <w:rsid w:val="002811AE"/>
    <w:rsid w:val="002832A5"/>
    <w:rsid w:val="00285B00"/>
    <w:rsid w:val="00286B4E"/>
    <w:rsid w:val="00290620"/>
    <w:rsid w:val="00293430"/>
    <w:rsid w:val="002934D5"/>
    <w:rsid w:val="00293CFD"/>
    <w:rsid w:val="00294933"/>
    <w:rsid w:val="00294F1F"/>
    <w:rsid w:val="00295216"/>
    <w:rsid w:val="00295AA0"/>
    <w:rsid w:val="002964F8"/>
    <w:rsid w:val="00296C02"/>
    <w:rsid w:val="00296D01"/>
    <w:rsid w:val="002A1ADF"/>
    <w:rsid w:val="002A1FC2"/>
    <w:rsid w:val="002A28E6"/>
    <w:rsid w:val="002A3E99"/>
    <w:rsid w:val="002A4598"/>
    <w:rsid w:val="002A4DDC"/>
    <w:rsid w:val="002A55F3"/>
    <w:rsid w:val="002A5603"/>
    <w:rsid w:val="002A560C"/>
    <w:rsid w:val="002A59DA"/>
    <w:rsid w:val="002A64BB"/>
    <w:rsid w:val="002A7432"/>
    <w:rsid w:val="002A76A8"/>
    <w:rsid w:val="002A7EA8"/>
    <w:rsid w:val="002A7F61"/>
    <w:rsid w:val="002B00FB"/>
    <w:rsid w:val="002B14B8"/>
    <w:rsid w:val="002B1B54"/>
    <w:rsid w:val="002B2718"/>
    <w:rsid w:val="002B2A81"/>
    <w:rsid w:val="002B3310"/>
    <w:rsid w:val="002B3B73"/>
    <w:rsid w:val="002B4BF6"/>
    <w:rsid w:val="002B4DBF"/>
    <w:rsid w:val="002B58F7"/>
    <w:rsid w:val="002B7CB7"/>
    <w:rsid w:val="002C00E4"/>
    <w:rsid w:val="002C01CE"/>
    <w:rsid w:val="002C0DC8"/>
    <w:rsid w:val="002C3F14"/>
    <w:rsid w:val="002C4DC9"/>
    <w:rsid w:val="002C54AF"/>
    <w:rsid w:val="002C54D8"/>
    <w:rsid w:val="002C5555"/>
    <w:rsid w:val="002C565C"/>
    <w:rsid w:val="002C58A2"/>
    <w:rsid w:val="002C5F0B"/>
    <w:rsid w:val="002C64DA"/>
    <w:rsid w:val="002C70DF"/>
    <w:rsid w:val="002D0372"/>
    <w:rsid w:val="002D0B7D"/>
    <w:rsid w:val="002D0CAB"/>
    <w:rsid w:val="002D1A22"/>
    <w:rsid w:val="002D2A1B"/>
    <w:rsid w:val="002D322B"/>
    <w:rsid w:val="002D3868"/>
    <w:rsid w:val="002D47C5"/>
    <w:rsid w:val="002D6AE2"/>
    <w:rsid w:val="002D7945"/>
    <w:rsid w:val="002E0E19"/>
    <w:rsid w:val="002E1684"/>
    <w:rsid w:val="002E16AB"/>
    <w:rsid w:val="002E189E"/>
    <w:rsid w:val="002E2A8C"/>
    <w:rsid w:val="002E34E9"/>
    <w:rsid w:val="002E470A"/>
    <w:rsid w:val="002E4F8E"/>
    <w:rsid w:val="002E537D"/>
    <w:rsid w:val="002E5CE0"/>
    <w:rsid w:val="002E6C99"/>
    <w:rsid w:val="002E6D8E"/>
    <w:rsid w:val="002E7452"/>
    <w:rsid w:val="002F08DD"/>
    <w:rsid w:val="002F3569"/>
    <w:rsid w:val="002F3CEC"/>
    <w:rsid w:val="002F403D"/>
    <w:rsid w:val="002F49B4"/>
    <w:rsid w:val="002F4D6E"/>
    <w:rsid w:val="002F55D1"/>
    <w:rsid w:val="002F5EFD"/>
    <w:rsid w:val="002F5F91"/>
    <w:rsid w:val="002F664C"/>
    <w:rsid w:val="002F6B92"/>
    <w:rsid w:val="002F6F02"/>
    <w:rsid w:val="003000B2"/>
    <w:rsid w:val="00300310"/>
    <w:rsid w:val="0030235A"/>
    <w:rsid w:val="003024C9"/>
    <w:rsid w:val="0030366B"/>
    <w:rsid w:val="003037F3"/>
    <w:rsid w:val="00306BB5"/>
    <w:rsid w:val="00307033"/>
    <w:rsid w:val="003108E2"/>
    <w:rsid w:val="00312018"/>
    <w:rsid w:val="003128FE"/>
    <w:rsid w:val="00312961"/>
    <w:rsid w:val="00312ABB"/>
    <w:rsid w:val="003130C8"/>
    <w:rsid w:val="00313FDF"/>
    <w:rsid w:val="003164E8"/>
    <w:rsid w:val="0031773D"/>
    <w:rsid w:val="0032132C"/>
    <w:rsid w:val="00321683"/>
    <w:rsid w:val="0032180B"/>
    <w:rsid w:val="00323886"/>
    <w:rsid w:val="00323DF2"/>
    <w:rsid w:val="00324221"/>
    <w:rsid w:val="00325452"/>
    <w:rsid w:val="0032618D"/>
    <w:rsid w:val="0032652F"/>
    <w:rsid w:val="00326C23"/>
    <w:rsid w:val="00327044"/>
    <w:rsid w:val="00327281"/>
    <w:rsid w:val="003274A2"/>
    <w:rsid w:val="00330B78"/>
    <w:rsid w:val="00331048"/>
    <w:rsid w:val="003314D0"/>
    <w:rsid w:val="00331DA0"/>
    <w:rsid w:val="003369E9"/>
    <w:rsid w:val="00336BDA"/>
    <w:rsid w:val="00337FDE"/>
    <w:rsid w:val="00340EA7"/>
    <w:rsid w:val="00344367"/>
    <w:rsid w:val="0034449C"/>
    <w:rsid w:val="00344901"/>
    <w:rsid w:val="00344AD2"/>
    <w:rsid w:val="00345787"/>
    <w:rsid w:val="00345F7E"/>
    <w:rsid w:val="00347D5E"/>
    <w:rsid w:val="0035028A"/>
    <w:rsid w:val="00350B7D"/>
    <w:rsid w:val="0035245F"/>
    <w:rsid w:val="00352F2A"/>
    <w:rsid w:val="00353037"/>
    <w:rsid w:val="00354269"/>
    <w:rsid w:val="003560E9"/>
    <w:rsid w:val="00356595"/>
    <w:rsid w:val="00356D38"/>
    <w:rsid w:val="0035703A"/>
    <w:rsid w:val="00357A7E"/>
    <w:rsid w:val="00360D60"/>
    <w:rsid w:val="003633CF"/>
    <w:rsid w:val="003636A7"/>
    <w:rsid w:val="003636D0"/>
    <w:rsid w:val="00364B63"/>
    <w:rsid w:val="00364B68"/>
    <w:rsid w:val="00364DB7"/>
    <w:rsid w:val="00364FF5"/>
    <w:rsid w:val="00365C79"/>
    <w:rsid w:val="003662AB"/>
    <w:rsid w:val="00367938"/>
    <w:rsid w:val="0037079F"/>
    <w:rsid w:val="00370ACD"/>
    <w:rsid w:val="0037308F"/>
    <w:rsid w:val="00373ABB"/>
    <w:rsid w:val="00373E92"/>
    <w:rsid w:val="00374C72"/>
    <w:rsid w:val="003763C6"/>
    <w:rsid w:val="003765C1"/>
    <w:rsid w:val="00376708"/>
    <w:rsid w:val="00380111"/>
    <w:rsid w:val="0038164D"/>
    <w:rsid w:val="00382253"/>
    <w:rsid w:val="00382D1D"/>
    <w:rsid w:val="003832F2"/>
    <w:rsid w:val="00383B2E"/>
    <w:rsid w:val="00383F69"/>
    <w:rsid w:val="00384749"/>
    <w:rsid w:val="0038669D"/>
    <w:rsid w:val="00387A66"/>
    <w:rsid w:val="00390A85"/>
    <w:rsid w:val="00390DE4"/>
    <w:rsid w:val="003911EE"/>
    <w:rsid w:val="00392E34"/>
    <w:rsid w:val="00393A55"/>
    <w:rsid w:val="003950BD"/>
    <w:rsid w:val="00395764"/>
    <w:rsid w:val="00395F96"/>
    <w:rsid w:val="0039692F"/>
    <w:rsid w:val="00397038"/>
    <w:rsid w:val="003A0B3A"/>
    <w:rsid w:val="003A1F20"/>
    <w:rsid w:val="003A260E"/>
    <w:rsid w:val="003A2884"/>
    <w:rsid w:val="003A50DB"/>
    <w:rsid w:val="003A61A1"/>
    <w:rsid w:val="003A7B3C"/>
    <w:rsid w:val="003B012B"/>
    <w:rsid w:val="003B18D1"/>
    <w:rsid w:val="003B3054"/>
    <w:rsid w:val="003B4745"/>
    <w:rsid w:val="003B495F"/>
    <w:rsid w:val="003B50AE"/>
    <w:rsid w:val="003B5B08"/>
    <w:rsid w:val="003B6A4B"/>
    <w:rsid w:val="003C0C0A"/>
    <w:rsid w:val="003C245E"/>
    <w:rsid w:val="003C2EED"/>
    <w:rsid w:val="003C5D67"/>
    <w:rsid w:val="003C5EDD"/>
    <w:rsid w:val="003C66B3"/>
    <w:rsid w:val="003C6E2F"/>
    <w:rsid w:val="003C712A"/>
    <w:rsid w:val="003D0366"/>
    <w:rsid w:val="003D0965"/>
    <w:rsid w:val="003D09D2"/>
    <w:rsid w:val="003D0B4D"/>
    <w:rsid w:val="003D0E89"/>
    <w:rsid w:val="003D10E1"/>
    <w:rsid w:val="003D16BD"/>
    <w:rsid w:val="003D172F"/>
    <w:rsid w:val="003D1830"/>
    <w:rsid w:val="003D30E9"/>
    <w:rsid w:val="003D3585"/>
    <w:rsid w:val="003D5000"/>
    <w:rsid w:val="003D5350"/>
    <w:rsid w:val="003D6149"/>
    <w:rsid w:val="003D74BA"/>
    <w:rsid w:val="003D791B"/>
    <w:rsid w:val="003D7C54"/>
    <w:rsid w:val="003E01C0"/>
    <w:rsid w:val="003E045D"/>
    <w:rsid w:val="003E170C"/>
    <w:rsid w:val="003E4407"/>
    <w:rsid w:val="003E58CE"/>
    <w:rsid w:val="003E72D6"/>
    <w:rsid w:val="003E7350"/>
    <w:rsid w:val="003F1C9E"/>
    <w:rsid w:val="003F4045"/>
    <w:rsid w:val="003F55AB"/>
    <w:rsid w:val="003F7AC2"/>
    <w:rsid w:val="00401845"/>
    <w:rsid w:val="00402733"/>
    <w:rsid w:val="00402C48"/>
    <w:rsid w:val="004034CF"/>
    <w:rsid w:val="004038AE"/>
    <w:rsid w:val="00406E7E"/>
    <w:rsid w:val="00407D33"/>
    <w:rsid w:val="004104D9"/>
    <w:rsid w:val="00410A3C"/>
    <w:rsid w:val="00410D3F"/>
    <w:rsid w:val="00410D76"/>
    <w:rsid w:val="00412309"/>
    <w:rsid w:val="00412590"/>
    <w:rsid w:val="00412B54"/>
    <w:rsid w:val="00412EAE"/>
    <w:rsid w:val="004131DA"/>
    <w:rsid w:val="00413324"/>
    <w:rsid w:val="00415136"/>
    <w:rsid w:val="004153EC"/>
    <w:rsid w:val="00415A76"/>
    <w:rsid w:val="00415FFF"/>
    <w:rsid w:val="00416028"/>
    <w:rsid w:val="00416120"/>
    <w:rsid w:val="00416E54"/>
    <w:rsid w:val="0041787F"/>
    <w:rsid w:val="00423C51"/>
    <w:rsid w:val="004250D3"/>
    <w:rsid w:val="004251EC"/>
    <w:rsid w:val="00425ED5"/>
    <w:rsid w:val="00426632"/>
    <w:rsid w:val="00426DBC"/>
    <w:rsid w:val="004306DF"/>
    <w:rsid w:val="00430C89"/>
    <w:rsid w:val="00431F55"/>
    <w:rsid w:val="00433669"/>
    <w:rsid w:val="004347A1"/>
    <w:rsid w:val="004351F3"/>
    <w:rsid w:val="0043549B"/>
    <w:rsid w:val="00436525"/>
    <w:rsid w:val="00436631"/>
    <w:rsid w:val="0043682A"/>
    <w:rsid w:val="00436908"/>
    <w:rsid w:val="00440441"/>
    <w:rsid w:val="00440B93"/>
    <w:rsid w:val="00440FF6"/>
    <w:rsid w:val="00441E84"/>
    <w:rsid w:val="004428A3"/>
    <w:rsid w:val="00442D45"/>
    <w:rsid w:val="00443C1F"/>
    <w:rsid w:val="004469F1"/>
    <w:rsid w:val="00447ED3"/>
    <w:rsid w:val="00451ECF"/>
    <w:rsid w:val="0045209B"/>
    <w:rsid w:val="0045210E"/>
    <w:rsid w:val="0045241A"/>
    <w:rsid w:val="0045336B"/>
    <w:rsid w:val="0045376C"/>
    <w:rsid w:val="00454C64"/>
    <w:rsid w:val="00455A91"/>
    <w:rsid w:val="00455E41"/>
    <w:rsid w:val="00456041"/>
    <w:rsid w:val="0045635C"/>
    <w:rsid w:val="004566DE"/>
    <w:rsid w:val="00460510"/>
    <w:rsid w:val="004635E3"/>
    <w:rsid w:val="00463A0B"/>
    <w:rsid w:val="00463D90"/>
    <w:rsid w:val="00465953"/>
    <w:rsid w:val="004664E1"/>
    <w:rsid w:val="00470F74"/>
    <w:rsid w:val="00471CC7"/>
    <w:rsid w:val="00473947"/>
    <w:rsid w:val="00473949"/>
    <w:rsid w:val="00474E1F"/>
    <w:rsid w:val="00475A98"/>
    <w:rsid w:val="00476125"/>
    <w:rsid w:val="004764C0"/>
    <w:rsid w:val="004819A4"/>
    <w:rsid w:val="00481F16"/>
    <w:rsid w:val="00482400"/>
    <w:rsid w:val="004836D0"/>
    <w:rsid w:val="0048389E"/>
    <w:rsid w:val="00485275"/>
    <w:rsid w:val="00485554"/>
    <w:rsid w:val="004857D1"/>
    <w:rsid w:val="00485997"/>
    <w:rsid w:val="00490093"/>
    <w:rsid w:val="00490B5E"/>
    <w:rsid w:val="00490D92"/>
    <w:rsid w:val="00492089"/>
    <w:rsid w:val="00492466"/>
    <w:rsid w:val="00492578"/>
    <w:rsid w:val="00494030"/>
    <w:rsid w:val="00494AEC"/>
    <w:rsid w:val="00496106"/>
    <w:rsid w:val="00497693"/>
    <w:rsid w:val="0049784F"/>
    <w:rsid w:val="00497B29"/>
    <w:rsid w:val="004A095A"/>
    <w:rsid w:val="004A0968"/>
    <w:rsid w:val="004A1545"/>
    <w:rsid w:val="004A39B6"/>
    <w:rsid w:val="004A5D6F"/>
    <w:rsid w:val="004A675F"/>
    <w:rsid w:val="004A7EA5"/>
    <w:rsid w:val="004B0092"/>
    <w:rsid w:val="004B1024"/>
    <w:rsid w:val="004B42F2"/>
    <w:rsid w:val="004B48F6"/>
    <w:rsid w:val="004B6993"/>
    <w:rsid w:val="004B7B56"/>
    <w:rsid w:val="004B7FD7"/>
    <w:rsid w:val="004C0185"/>
    <w:rsid w:val="004C0281"/>
    <w:rsid w:val="004C0FCF"/>
    <w:rsid w:val="004C2BA4"/>
    <w:rsid w:val="004C378A"/>
    <w:rsid w:val="004C3B9C"/>
    <w:rsid w:val="004C4614"/>
    <w:rsid w:val="004C471E"/>
    <w:rsid w:val="004C57FB"/>
    <w:rsid w:val="004D201F"/>
    <w:rsid w:val="004D22E4"/>
    <w:rsid w:val="004D38BE"/>
    <w:rsid w:val="004D3B71"/>
    <w:rsid w:val="004D4557"/>
    <w:rsid w:val="004D4B21"/>
    <w:rsid w:val="004D50A7"/>
    <w:rsid w:val="004D517C"/>
    <w:rsid w:val="004D787A"/>
    <w:rsid w:val="004E0E85"/>
    <w:rsid w:val="004E13CA"/>
    <w:rsid w:val="004E3E4A"/>
    <w:rsid w:val="004E3E72"/>
    <w:rsid w:val="004E4B71"/>
    <w:rsid w:val="004E4BEF"/>
    <w:rsid w:val="004E78EB"/>
    <w:rsid w:val="004E7FAE"/>
    <w:rsid w:val="004F0DBB"/>
    <w:rsid w:val="004F1D1D"/>
    <w:rsid w:val="004F24FF"/>
    <w:rsid w:val="004F2CE6"/>
    <w:rsid w:val="004F403B"/>
    <w:rsid w:val="004F490B"/>
    <w:rsid w:val="004F4991"/>
    <w:rsid w:val="004F5361"/>
    <w:rsid w:val="004F5A1B"/>
    <w:rsid w:val="004F6B5F"/>
    <w:rsid w:val="004F7D30"/>
    <w:rsid w:val="00500215"/>
    <w:rsid w:val="0050086A"/>
    <w:rsid w:val="0050091B"/>
    <w:rsid w:val="00501B16"/>
    <w:rsid w:val="00502668"/>
    <w:rsid w:val="00503E58"/>
    <w:rsid w:val="00504A30"/>
    <w:rsid w:val="00505AA3"/>
    <w:rsid w:val="00507160"/>
    <w:rsid w:val="00507703"/>
    <w:rsid w:val="005077B3"/>
    <w:rsid w:val="00510F1E"/>
    <w:rsid w:val="00512C27"/>
    <w:rsid w:val="00512EAD"/>
    <w:rsid w:val="00513350"/>
    <w:rsid w:val="005140BC"/>
    <w:rsid w:val="00514797"/>
    <w:rsid w:val="00514820"/>
    <w:rsid w:val="00514C5F"/>
    <w:rsid w:val="00516527"/>
    <w:rsid w:val="00516E2D"/>
    <w:rsid w:val="00517632"/>
    <w:rsid w:val="00520AFE"/>
    <w:rsid w:val="00521D87"/>
    <w:rsid w:val="0052329A"/>
    <w:rsid w:val="005234C9"/>
    <w:rsid w:val="0052357A"/>
    <w:rsid w:val="00523A83"/>
    <w:rsid w:val="0052468B"/>
    <w:rsid w:val="005256C4"/>
    <w:rsid w:val="005258F1"/>
    <w:rsid w:val="005273F8"/>
    <w:rsid w:val="00527845"/>
    <w:rsid w:val="005278AF"/>
    <w:rsid w:val="00530285"/>
    <w:rsid w:val="00530894"/>
    <w:rsid w:val="005319D4"/>
    <w:rsid w:val="00532172"/>
    <w:rsid w:val="0053286E"/>
    <w:rsid w:val="005329B5"/>
    <w:rsid w:val="00532E8C"/>
    <w:rsid w:val="00533398"/>
    <w:rsid w:val="0053447F"/>
    <w:rsid w:val="0053455C"/>
    <w:rsid w:val="00534D81"/>
    <w:rsid w:val="0053579F"/>
    <w:rsid w:val="005358A6"/>
    <w:rsid w:val="00536822"/>
    <w:rsid w:val="00537D0E"/>
    <w:rsid w:val="00540221"/>
    <w:rsid w:val="005407D8"/>
    <w:rsid w:val="00542A73"/>
    <w:rsid w:val="005432EA"/>
    <w:rsid w:val="0054429D"/>
    <w:rsid w:val="00545B24"/>
    <w:rsid w:val="00546950"/>
    <w:rsid w:val="00547043"/>
    <w:rsid w:val="005473E2"/>
    <w:rsid w:val="0055007A"/>
    <w:rsid w:val="005508ED"/>
    <w:rsid w:val="005520D9"/>
    <w:rsid w:val="00552C72"/>
    <w:rsid w:val="00553000"/>
    <w:rsid w:val="005536DA"/>
    <w:rsid w:val="0055458F"/>
    <w:rsid w:val="00554D8B"/>
    <w:rsid w:val="0055586B"/>
    <w:rsid w:val="00556772"/>
    <w:rsid w:val="005570A0"/>
    <w:rsid w:val="005578B4"/>
    <w:rsid w:val="00557D8E"/>
    <w:rsid w:val="00557FBF"/>
    <w:rsid w:val="0056114B"/>
    <w:rsid w:val="005614EE"/>
    <w:rsid w:val="0056152A"/>
    <w:rsid w:val="0056226F"/>
    <w:rsid w:val="00562A4D"/>
    <w:rsid w:val="00562D09"/>
    <w:rsid w:val="005634C2"/>
    <w:rsid w:val="00564744"/>
    <w:rsid w:val="00565E00"/>
    <w:rsid w:val="005667EB"/>
    <w:rsid w:val="00570B83"/>
    <w:rsid w:val="00570C66"/>
    <w:rsid w:val="00572069"/>
    <w:rsid w:val="0057300E"/>
    <w:rsid w:val="005742E2"/>
    <w:rsid w:val="00574542"/>
    <w:rsid w:val="00575101"/>
    <w:rsid w:val="00575177"/>
    <w:rsid w:val="0057655C"/>
    <w:rsid w:val="00576E3D"/>
    <w:rsid w:val="005770F9"/>
    <w:rsid w:val="00577C13"/>
    <w:rsid w:val="005803AB"/>
    <w:rsid w:val="005815EC"/>
    <w:rsid w:val="00581A76"/>
    <w:rsid w:val="00581B14"/>
    <w:rsid w:val="00583584"/>
    <w:rsid w:val="00583DB7"/>
    <w:rsid w:val="005840A1"/>
    <w:rsid w:val="00584BE3"/>
    <w:rsid w:val="00585336"/>
    <w:rsid w:val="005860DD"/>
    <w:rsid w:val="00586628"/>
    <w:rsid w:val="0058674F"/>
    <w:rsid w:val="00587B9D"/>
    <w:rsid w:val="00590383"/>
    <w:rsid w:val="00590A19"/>
    <w:rsid w:val="0059106B"/>
    <w:rsid w:val="00592DC2"/>
    <w:rsid w:val="00594DD6"/>
    <w:rsid w:val="00594E8C"/>
    <w:rsid w:val="00595095"/>
    <w:rsid w:val="00596FE1"/>
    <w:rsid w:val="005A0E21"/>
    <w:rsid w:val="005A1709"/>
    <w:rsid w:val="005A1DE2"/>
    <w:rsid w:val="005A2795"/>
    <w:rsid w:val="005A2DDF"/>
    <w:rsid w:val="005A3188"/>
    <w:rsid w:val="005A3475"/>
    <w:rsid w:val="005A4AE9"/>
    <w:rsid w:val="005A5DC8"/>
    <w:rsid w:val="005A73F8"/>
    <w:rsid w:val="005B13C0"/>
    <w:rsid w:val="005B1A9C"/>
    <w:rsid w:val="005B33FC"/>
    <w:rsid w:val="005B37E0"/>
    <w:rsid w:val="005B3B49"/>
    <w:rsid w:val="005B4A48"/>
    <w:rsid w:val="005B4D99"/>
    <w:rsid w:val="005B4F8D"/>
    <w:rsid w:val="005B6697"/>
    <w:rsid w:val="005B6CB3"/>
    <w:rsid w:val="005B77A3"/>
    <w:rsid w:val="005B783F"/>
    <w:rsid w:val="005C0746"/>
    <w:rsid w:val="005C0B1C"/>
    <w:rsid w:val="005C119B"/>
    <w:rsid w:val="005C160B"/>
    <w:rsid w:val="005C1731"/>
    <w:rsid w:val="005C3A79"/>
    <w:rsid w:val="005C3E9C"/>
    <w:rsid w:val="005C498A"/>
    <w:rsid w:val="005C5312"/>
    <w:rsid w:val="005C5C98"/>
    <w:rsid w:val="005C5C9E"/>
    <w:rsid w:val="005C5FB8"/>
    <w:rsid w:val="005C610E"/>
    <w:rsid w:val="005D0002"/>
    <w:rsid w:val="005D04FD"/>
    <w:rsid w:val="005D1ED1"/>
    <w:rsid w:val="005D5061"/>
    <w:rsid w:val="005D626B"/>
    <w:rsid w:val="005D6D0D"/>
    <w:rsid w:val="005D76BA"/>
    <w:rsid w:val="005D7D74"/>
    <w:rsid w:val="005E1BC2"/>
    <w:rsid w:val="005E1F13"/>
    <w:rsid w:val="005E3ABC"/>
    <w:rsid w:val="005E4485"/>
    <w:rsid w:val="005E4A18"/>
    <w:rsid w:val="005E4C6F"/>
    <w:rsid w:val="005E51A3"/>
    <w:rsid w:val="005E5A4E"/>
    <w:rsid w:val="005E6847"/>
    <w:rsid w:val="005E75C0"/>
    <w:rsid w:val="005E77D8"/>
    <w:rsid w:val="005E7D4B"/>
    <w:rsid w:val="005F0AEA"/>
    <w:rsid w:val="005F117E"/>
    <w:rsid w:val="005F1580"/>
    <w:rsid w:val="005F336C"/>
    <w:rsid w:val="005F342A"/>
    <w:rsid w:val="005F40DA"/>
    <w:rsid w:val="005F45D3"/>
    <w:rsid w:val="005F4E7B"/>
    <w:rsid w:val="005F5A9C"/>
    <w:rsid w:val="005F5BC0"/>
    <w:rsid w:val="005F5D04"/>
    <w:rsid w:val="005F5DD9"/>
    <w:rsid w:val="005F6A13"/>
    <w:rsid w:val="005F6D7D"/>
    <w:rsid w:val="00600DDF"/>
    <w:rsid w:val="006016A8"/>
    <w:rsid w:val="00601972"/>
    <w:rsid w:val="00602101"/>
    <w:rsid w:val="006024D2"/>
    <w:rsid w:val="006045A5"/>
    <w:rsid w:val="00604BB9"/>
    <w:rsid w:val="00604D46"/>
    <w:rsid w:val="00606038"/>
    <w:rsid w:val="00606345"/>
    <w:rsid w:val="006066DE"/>
    <w:rsid w:val="0060678E"/>
    <w:rsid w:val="006074A4"/>
    <w:rsid w:val="006134BE"/>
    <w:rsid w:val="00613D66"/>
    <w:rsid w:val="006157B9"/>
    <w:rsid w:val="0061591E"/>
    <w:rsid w:val="00615D8C"/>
    <w:rsid w:val="00615E11"/>
    <w:rsid w:val="00616D4E"/>
    <w:rsid w:val="00617395"/>
    <w:rsid w:val="00617C64"/>
    <w:rsid w:val="00617CFD"/>
    <w:rsid w:val="00620CAF"/>
    <w:rsid w:val="006212C9"/>
    <w:rsid w:val="0062178A"/>
    <w:rsid w:val="006218DB"/>
    <w:rsid w:val="00621DE5"/>
    <w:rsid w:val="00622304"/>
    <w:rsid w:val="006229D2"/>
    <w:rsid w:val="006234EC"/>
    <w:rsid w:val="006237AE"/>
    <w:rsid w:val="00624F73"/>
    <w:rsid w:val="006279DB"/>
    <w:rsid w:val="00627B50"/>
    <w:rsid w:val="00627B9D"/>
    <w:rsid w:val="0063067E"/>
    <w:rsid w:val="00631210"/>
    <w:rsid w:val="00631298"/>
    <w:rsid w:val="0063152E"/>
    <w:rsid w:val="00631C1E"/>
    <w:rsid w:val="0063224C"/>
    <w:rsid w:val="00632C8A"/>
    <w:rsid w:val="00635566"/>
    <w:rsid w:val="006357A2"/>
    <w:rsid w:val="00636353"/>
    <w:rsid w:val="006364C9"/>
    <w:rsid w:val="006371F6"/>
    <w:rsid w:val="00637334"/>
    <w:rsid w:val="006375C4"/>
    <w:rsid w:val="0064058C"/>
    <w:rsid w:val="00640DC1"/>
    <w:rsid w:val="006418DC"/>
    <w:rsid w:val="00644562"/>
    <w:rsid w:val="00644791"/>
    <w:rsid w:val="0064656D"/>
    <w:rsid w:val="006467EC"/>
    <w:rsid w:val="006472A5"/>
    <w:rsid w:val="00647373"/>
    <w:rsid w:val="00651EE6"/>
    <w:rsid w:val="00652C6A"/>
    <w:rsid w:val="00652C7D"/>
    <w:rsid w:val="00653AF9"/>
    <w:rsid w:val="00653B83"/>
    <w:rsid w:val="0065400D"/>
    <w:rsid w:val="00656E21"/>
    <w:rsid w:val="00656E3B"/>
    <w:rsid w:val="00657076"/>
    <w:rsid w:val="00657727"/>
    <w:rsid w:val="00660A93"/>
    <w:rsid w:val="00661460"/>
    <w:rsid w:val="00662D39"/>
    <w:rsid w:val="00663649"/>
    <w:rsid w:val="00663793"/>
    <w:rsid w:val="00663D86"/>
    <w:rsid w:val="0066488A"/>
    <w:rsid w:val="00664EA6"/>
    <w:rsid w:val="0066506A"/>
    <w:rsid w:val="0066523F"/>
    <w:rsid w:val="0066599F"/>
    <w:rsid w:val="00665CBD"/>
    <w:rsid w:val="00666172"/>
    <w:rsid w:val="0066727E"/>
    <w:rsid w:val="00670ED8"/>
    <w:rsid w:val="006712DF"/>
    <w:rsid w:val="00671621"/>
    <w:rsid w:val="00672F13"/>
    <w:rsid w:val="006730B6"/>
    <w:rsid w:val="00673520"/>
    <w:rsid w:val="00676432"/>
    <w:rsid w:val="006774DF"/>
    <w:rsid w:val="0068192A"/>
    <w:rsid w:val="00682DE2"/>
    <w:rsid w:val="00682EF8"/>
    <w:rsid w:val="00683CED"/>
    <w:rsid w:val="0068447A"/>
    <w:rsid w:val="00684C1F"/>
    <w:rsid w:val="0068636C"/>
    <w:rsid w:val="00687835"/>
    <w:rsid w:val="00687E97"/>
    <w:rsid w:val="00687FF0"/>
    <w:rsid w:val="0069027A"/>
    <w:rsid w:val="006910BF"/>
    <w:rsid w:val="006912C5"/>
    <w:rsid w:val="00691A4E"/>
    <w:rsid w:val="006937CB"/>
    <w:rsid w:val="006944F3"/>
    <w:rsid w:val="00696EBB"/>
    <w:rsid w:val="00697488"/>
    <w:rsid w:val="006A00E9"/>
    <w:rsid w:val="006A0CC6"/>
    <w:rsid w:val="006A1C42"/>
    <w:rsid w:val="006A294A"/>
    <w:rsid w:val="006A3655"/>
    <w:rsid w:val="006A47B4"/>
    <w:rsid w:val="006A4C13"/>
    <w:rsid w:val="006A52C3"/>
    <w:rsid w:val="006A609B"/>
    <w:rsid w:val="006A737C"/>
    <w:rsid w:val="006A774E"/>
    <w:rsid w:val="006A77BB"/>
    <w:rsid w:val="006B16F2"/>
    <w:rsid w:val="006B24C4"/>
    <w:rsid w:val="006B3C6B"/>
    <w:rsid w:val="006B3C8D"/>
    <w:rsid w:val="006B4668"/>
    <w:rsid w:val="006B5E0B"/>
    <w:rsid w:val="006B72BD"/>
    <w:rsid w:val="006C21A1"/>
    <w:rsid w:val="006C29A2"/>
    <w:rsid w:val="006C2E0B"/>
    <w:rsid w:val="006C3C9F"/>
    <w:rsid w:val="006C42BE"/>
    <w:rsid w:val="006C6004"/>
    <w:rsid w:val="006C7790"/>
    <w:rsid w:val="006C7C2E"/>
    <w:rsid w:val="006D0FC0"/>
    <w:rsid w:val="006D2559"/>
    <w:rsid w:val="006D3393"/>
    <w:rsid w:val="006D4130"/>
    <w:rsid w:val="006D5B9C"/>
    <w:rsid w:val="006D65D3"/>
    <w:rsid w:val="006D66E0"/>
    <w:rsid w:val="006D6D16"/>
    <w:rsid w:val="006D739F"/>
    <w:rsid w:val="006E1F48"/>
    <w:rsid w:val="006E282A"/>
    <w:rsid w:val="006E2C9B"/>
    <w:rsid w:val="006E31FD"/>
    <w:rsid w:val="006E4FEA"/>
    <w:rsid w:val="006E5DF6"/>
    <w:rsid w:val="006E614B"/>
    <w:rsid w:val="006E6408"/>
    <w:rsid w:val="006E6CE9"/>
    <w:rsid w:val="006E7258"/>
    <w:rsid w:val="006E7EA7"/>
    <w:rsid w:val="006F021A"/>
    <w:rsid w:val="006F0C67"/>
    <w:rsid w:val="006F1BB2"/>
    <w:rsid w:val="006F3D8E"/>
    <w:rsid w:val="006F5F92"/>
    <w:rsid w:val="006F6192"/>
    <w:rsid w:val="00700104"/>
    <w:rsid w:val="007014B4"/>
    <w:rsid w:val="00701741"/>
    <w:rsid w:val="00704866"/>
    <w:rsid w:val="0070626B"/>
    <w:rsid w:val="00707775"/>
    <w:rsid w:val="007102D5"/>
    <w:rsid w:val="007106BE"/>
    <w:rsid w:val="00713148"/>
    <w:rsid w:val="0071317E"/>
    <w:rsid w:val="007144CC"/>
    <w:rsid w:val="007147A8"/>
    <w:rsid w:val="00714CF1"/>
    <w:rsid w:val="00715E1A"/>
    <w:rsid w:val="0071702B"/>
    <w:rsid w:val="00720FDC"/>
    <w:rsid w:val="00723AE9"/>
    <w:rsid w:val="00724269"/>
    <w:rsid w:val="00726EA6"/>
    <w:rsid w:val="00727F68"/>
    <w:rsid w:val="00730421"/>
    <w:rsid w:val="00730434"/>
    <w:rsid w:val="00730769"/>
    <w:rsid w:val="00730A57"/>
    <w:rsid w:val="00731173"/>
    <w:rsid w:val="00732158"/>
    <w:rsid w:val="00734933"/>
    <w:rsid w:val="00735014"/>
    <w:rsid w:val="00735762"/>
    <w:rsid w:val="00736814"/>
    <w:rsid w:val="00737198"/>
    <w:rsid w:val="00737B91"/>
    <w:rsid w:val="007400E0"/>
    <w:rsid w:val="00740DD8"/>
    <w:rsid w:val="0074178D"/>
    <w:rsid w:val="00741A5F"/>
    <w:rsid w:val="00741CA8"/>
    <w:rsid w:val="00743E39"/>
    <w:rsid w:val="00744178"/>
    <w:rsid w:val="007441BC"/>
    <w:rsid w:val="007442CD"/>
    <w:rsid w:val="00744901"/>
    <w:rsid w:val="00745136"/>
    <w:rsid w:val="007452DF"/>
    <w:rsid w:val="0074542B"/>
    <w:rsid w:val="00745E9F"/>
    <w:rsid w:val="00746256"/>
    <w:rsid w:val="00746AFD"/>
    <w:rsid w:val="007470C0"/>
    <w:rsid w:val="0075000C"/>
    <w:rsid w:val="00750962"/>
    <w:rsid w:val="00750E9E"/>
    <w:rsid w:val="00751106"/>
    <w:rsid w:val="0075126F"/>
    <w:rsid w:val="0075191D"/>
    <w:rsid w:val="0075388F"/>
    <w:rsid w:val="00754B28"/>
    <w:rsid w:val="00754EBC"/>
    <w:rsid w:val="00754FE2"/>
    <w:rsid w:val="00755F00"/>
    <w:rsid w:val="007560BF"/>
    <w:rsid w:val="00756761"/>
    <w:rsid w:val="00756A0A"/>
    <w:rsid w:val="00756FA7"/>
    <w:rsid w:val="00756FE9"/>
    <w:rsid w:val="00761820"/>
    <w:rsid w:val="00761AE6"/>
    <w:rsid w:val="00762198"/>
    <w:rsid w:val="0076250E"/>
    <w:rsid w:val="00763228"/>
    <w:rsid w:val="007632AF"/>
    <w:rsid w:val="0076351D"/>
    <w:rsid w:val="00764311"/>
    <w:rsid w:val="007652E8"/>
    <w:rsid w:val="00765A00"/>
    <w:rsid w:val="00765C82"/>
    <w:rsid w:val="007669BF"/>
    <w:rsid w:val="00766AED"/>
    <w:rsid w:val="00767F4D"/>
    <w:rsid w:val="007704D7"/>
    <w:rsid w:val="00771582"/>
    <w:rsid w:val="00771F91"/>
    <w:rsid w:val="00772173"/>
    <w:rsid w:val="007737CA"/>
    <w:rsid w:val="00774A4F"/>
    <w:rsid w:val="007774B5"/>
    <w:rsid w:val="007775F5"/>
    <w:rsid w:val="00780647"/>
    <w:rsid w:val="00781417"/>
    <w:rsid w:val="007824AB"/>
    <w:rsid w:val="00784D79"/>
    <w:rsid w:val="00784F57"/>
    <w:rsid w:val="00786BEA"/>
    <w:rsid w:val="007905F7"/>
    <w:rsid w:val="007910CB"/>
    <w:rsid w:val="00792AA9"/>
    <w:rsid w:val="00792C7D"/>
    <w:rsid w:val="00793F75"/>
    <w:rsid w:val="00794298"/>
    <w:rsid w:val="007A1848"/>
    <w:rsid w:val="007A24A3"/>
    <w:rsid w:val="007A2736"/>
    <w:rsid w:val="007A4AAA"/>
    <w:rsid w:val="007A4FC0"/>
    <w:rsid w:val="007A63A6"/>
    <w:rsid w:val="007A686E"/>
    <w:rsid w:val="007A6E8A"/>
    <w:rsid w:val="007A7021"/>
    <w:rsid w:val="007A75B5"/>
    <w:rsid w:val="007B12FB"/>
    <w:rsid w:val="007B3222"/>
    <w:rsid w:val="007B3455"/>
    <w:rsid w:val="007B3A32"/>
    <w:rsid w:val="007B3D1D"/>
    <w:rsid w:val="007B5FAE"/>
    <w:rsid w:val="007B64A4"/>
    <w:rsid w:val="007B70D4"/>
    <w:rsid w:val="007B79CD"/>
    <w:rsid w:val="007C0667"/>
    <w:rsid w:val="007C0AD5"/>
    <w:rsid w:val="007C240E"/>
    <w:rsid w:val="007C3F89"/>
    <w:rsid w:val="007C4146"/>
    <w:rsid w:val="007C4160"/>
    <w:rsid w:val="007C4BA4"/>
    <w:rsid w:val="007C538C"/>
    <w:rsid w:val="007C5813"/>
    <w:rsid w:val="007C72F1"/>
    <w:rsid w:val="007D1B44"/>
    <w:rsid w:val="007D25D3"/>
    <w:rsid w:val="007D4407"/>
    <w:rsid w:val="007D4B49"/>
    <w:rsid w:val="007D4C7B"/>
    <w:rsid w:val="007D56BD"/>
    <w:rsid w:val="007D590C"/>
    <w:rsid w:val="007D5B17"/>
    <w:rsid w:val="007D7D53"/>
    <w:rsid w:val="007E1C6A"/>
    <w:rsid w:val="007E38EA"/>
    <w:rsid w:val="007E476B"/>
    <w:rsid w:val="007E4B69"/>
    <w:rsid w:val="007E6984"/>
    <w:rsid w:val="007E6BA1"/>
    <w:rsid w:val="007E7351"/>
    <w:rsid w:val="007F0E5E"/>
    <w:rsid w:val="007F2107"/>
    <w:rsid w:val="007F25D0"/>
    <w:rsid w:val="007F3266"/>
    <w:rsid w:val="007F3F2A"/>
    <w:rsid w:val="007F46B8"/>
    <w:rsid w:val="007F4917"/>
    <w:rsid w:val="007F4F0D"/>
    <w:rsid w:val="007F5BD3"/>
    <w:rsid w:val="007F64FB"/>
    <w:rsid w:val="007F7177"/>
    <w:rsid w:val="007F7350"/>
    <w:rsid w:val="008001AC"/>
    <w:rsid w:val="00800A15"/>
    <w:rsid w:val="008013AE"/>
    <w:rsid w:val="00804210"/>
    <w:rsid w:val="00805E9C"/>
    <w:rsid w:val="0080631B"/>
    <w:rsid w:val="008078DC"/>
    <w:rsid w:val="00807DC5"/>
    <w:rsid w:val="00810EAA"/>
    <w:rsid w:val="0081150F"/>
    <w:rsid w:val="00811D05"/>
    <w:rsid w:val="00812852"/>
    <w:rsid w:val="00813484"/>
    <w:rsid w:val="00813617"/>
    <w:rsid w:val="00813ADF"/>
    <w:rsid w:val="00813C12"/>
    <w:rsid w:val="0081407C"/>
    <w:rsid w:val="008140A0"/>
    <w:rsid w:val="00815EBC"/>
    <w:rsid w:val="00816C4E"/>
    <w:rsid w:val="00816C99"/>
    <w:rsid w:val="00816CD8"/>
    <w:rsid w:val="00821692"/>
    <w:rsid w:val="00821BDA"/>
    <w:rsid w:val="008220BB"/>
    <w:rsid w:val="008223C0"/>
    <w:rsid w:val="00822C59"/>
    <w:rsid w:val="00823A2C"/>
    <w:rsid w:val="00823CEE"/>
    <w:rsid w:val="00825667"/>
    <w:rsid w:val="008266E6"/>
    <w:rsid w:val="00826819"/>
    <w:rsid w:val="00826F97"/>
    <w:rsid w:val="00832F93"/>
    <w:rsid w:val="0083323A"/>
    <w:rsid w:val="008333E9"/>
    <w:rsid w:val="008333EA"/>
    <w:rsid w:val="00833A4C"/>
    <w:rsid w:val="0083592C"/>
    <w:rsid w:val="0084000C"/>
    <w:rsid w:val="0084049E"/>
    <w:rsid w:val="00841C97"/>
    <w:rsid w:val="00842496"/>
    <w:rsid w:val="00842577"/>
    <w:rsid w:val="00842896"/>
    <w:rsid w:val="00842C25"/>
    <w:rsid w:val="00842EA4"/>
    <w:rsid w:val="00843F71"/>
    <w:rsid w:val="00845F44"/>
    <w:rsid w:val="00846170"/>
    <w:rsid w:val="00846C2C"/>
    <w:rsid w:val="00847059"/>
    <w:rsid w:val="00850117"/>
    <w:rsid w:val="00851065"/>
    <w:rsid w:val="008521DF"/>
    <w:rsid w:val="0085259B"/>
    <w:rsid w:val="00853418"/>
    <w:rsid w:val="0085355F"/>
    <w:rsid w:val="00853FC9"/>
    <w:rsid w:val="00855165"/>
    <w:rsid w:val="008564B2"/>
    <w:rsid w:val="00857EFE"/>
    <w:rsid w:val="008600BB"/>
    <w:rsid w:val="008608C3"/>
    <w:rsid w:val="00860989"/>
    <w:rsid w:val="0086193A"/>
    <w:rsid w:val="008642B4"/>
    <w:rsid w:val="00864B8C"/>
    <w:rsid w:val="00864DEB"/>
    <w:rsid w:val="00864E46"/>
    <w:rsid w:val="00864F9C"/>
    <w:rsid w:val="00864FC5"/>
    <w:rsid w:val="00865A6E"/>
    <w:rsid w:val="008669C4"/>
    <w:rsid w:val="00867616"/>
    <w:rsid w:val="008700FC"/>
    <w:rsid w:val="0087143B"/>
    <w:rsid w:val="008720CE"/>
    <w:rsid w:val="008727E0"/>
    <w:rsid w:val="008743C7"/>
    <w:rsid w:val="00874DD0"/>
    <w:rsid w:val="00875065"/>
    <w:rsid w:val="00876D5E"/>
    <w:rsid w:val="00877DA5"/>
    <w:rsid w:val="00880370"/>
    <w:rsid w:val="008804D3"/>
    <w:rsid w:val="008822DC"/>
    <w:rsid w:val="008827CD"/>
    <w:rsid w:val="00882BDC"/>
    <w:rsid w:val="00882F19"/>
    <w:rsid w:val="008832CE"/>
    <w:rsid w:val="00883ACD"/>
    <w:rsid w:val="0088446E"/>
    <w:rsid w:val="00885898"/>
    <w:rsid w:val="00886A7B"/>
    <w:rsid w:val="008871D6"/>
    <w:rsid w:val="0088737D"/>
    <w:rsid w:val="008921D1"/>
    <w:rsid w:val="0089280F"/>
    <w:rsid w:val="00893726"/>
    <w:rsid w:val="00893CB1"/>
    <w:rsid w:val="008947BD"/>
    <w:rsid w:val="00894F9C"/>
    <w:rsid w:val="008959BF"/>
    <w:rsid w:val="00895B01"/>
    <w:rsid w:val="0089642C"/>
    <w:rsid w:val="00897A52"/>
    <w:rsid w:val="008A0967"/>
    <w:rsid w:val="008A0F48"/>
    <w:rsid w:val="008A19F7"/>
    <w:rsid w:val="008A1FCC"/>
    <w:rsid w:val="008A35C4"/>
    <w:rsid w:val="008A459E"/>
    <w:rsid w:val="008A5392"/>
    <w:rsid w:val="008A63F3"/>
    <w:rsid w:val="008A75A0"/>
    <w:rsid w:val="008A7953"/>
    <w:rsid w:val="008B0933"/>
    <w:rsid w:val="008B0C7C"/>
    <w:rsid w:val="008B1532"/>
    <w:rsid w:val="008B37C5"/>
    <w:rsid w:val="008B4CB0"/>
    <w:rsid w:val="008B4D69"/>
    <w:rsid w:val="008B5FB5"/>
    <w:rsid w:val="008B68AE"/>
    <w:rsid w:val="008B710C"/>
    <w:rsid w:val="008C032F"/>
    <w:rsid w:val="008C038C"/>
    <w:rsid w:val="008C1A44"/>
    <w:rsid w:val="008C2D9D"/>
    <w:rsid w:val="008C427A"/>
    <w:rsid w:val="008C4FC7"/>
    <w:rsid w:val="008C6C9D"/>
    <w:rsid w:val="008C6FB6"/>
    <w:rsid w:val="008D0F44"/>
    <w:rsid w:val="008D139C"/>
    <w:rsid w:val="008D1567"/>
    <w:rsid w:val="008D28EE"/>
    <w:rsid w:val="008D3597"/>
    <w:rsid w:val="008D394C"/>
    <w:rsid w:val="008D4276"/>
    <w:rsid w:val="008D456E"/>
    <w:rsid w:val="008D6A4D"/>
    <w:rsid w:val="008D71B7"/>
    <w:rsid w:val="008E0564"/>
    <w:rsid w:val="008E2B50"/>
    <w:rsid w:val="008E3DE8"/>
    <w:rsid w:val="008E5451"/>
    <w:rsid w:val="008E5AC9"/>
    <w:rsid w:val="008E6426"/>
    <w:rsid w:val="008E6BAB"/>
    <w:rsid w:val="008E7539"/>
    <w:rsid w:val="008F0704"/>
    <w:rsid w:val="008F0FF0"/>
    <w:rsid w:val="008F2516"/>
    <w:rsid w:val="008F30DB"/>
    <w:rsid w:val="008F369B"/>
    <w:rsid w:val="008F42BF"/>
    <w:rsid w:val="008F449D"/>
    <w:rsid w:val="008F4E13"/>
    <w:rsid w:val="008F5023"/>
    <w:rsid w:val="008F5797"/>
    <w:rsid w:val="008F59C3"/>
    <w:rsid w:val="008F6168"/>
    <w:rsid w:val="008F744F"/>
    <w:rsid w:val="009010AD"/>
    <w:rsid w:val="00902CD9"/>
    <w:rsid w:val="00903B95"/>
    <w:rsid w:val="0090642B"/>
    <w:rsid w:val="00907666"/>
    <w:rsid w:val="009076AB"/>
    <w:rsid w:val="009109D9"/>
    <w:rsid w:val="00911CA6"/>
    <w:rsid w:val="009134C5"/>
    <w:rsid w:val="00913615"/>
    <w:rsid w:val="00913BD9"/>
    <w:rsid w:val="00915564"/>
    <w:rsid w:val="00917794"/>
    <w:rsid w:val="00917D34"/>
    <w:rsid w:val="00917EC5"/>
    <w:rsid w:val="00920370"/>
    <w:rsid w:val="0092054D"/>
    <w:rsid w:val="009205E4"/>
    <w:rsid w:val="00921397"/>
    <w:rsid w:val="009215C0"/>
    <w:rsid w:val="00921BB7"/>
    <w:rsid w:val="00922A3D"/>
    <w:rsid w:val="00922C7B"/>
    <w:rsid w:val="0092412B"/>
    <w:rsid w:val="00926984"/>
    <w:rsid w:val="00926D40"/>
    <w:rsid w:val="009276FE"/>
    <w:rsid w:val="00927B49"/>
    <w:rsid w:val="00927F59"/>
    <w:rsid w:val="009317FF"/>
    <w:rsid w:val="00931E38"/>
    <w:rsid w:val="00932269"/>
    <w:rsid w:val="009325C3"/>
    <w:rsid w:val="009328EE"/>
    <w:rsid w:val="00935219"/>
    <w:rsid w:val="0093524E"/>
    <w:rsid w:val="00937FF7"/>
    <w:rsid w:val="00940048"/>
    <w:rsid w:val="00940308"/>
    <w:rsid w:val="00940558"/>
    <w:rsid w:val="00941583"/>
    <w:rsid w:val="00941C9F"/>
    <w:rsid w:val="00941E96"/>
    <w:rsid w:val="009426AF"/>
    <w:rsid w:val="00942AA1"/>
    <w:rsid w:val="00942F64"/>
    <w:rsid w:val="00943152"/>
    <w:rsid w:val="00943731"/>
    <w:rsid w:val="009437D1"/>
    <w:rsid w:val="00944DF9"/>
    <w:rsid w:val="00946AAA"/>
    <w:rsid w:val="009500D6"/>
    <w:rsid w:val="009524AA"/>
    <w:rsid w:val="00952531"/>
    <w:rsid w:val="009536AC"/>
    <w:rsid w:val="00953718"/>
    <w:rsid w:val="00953900"/>
    <w:rsid w:val="009554EE"/>
    <w:rsid w:val="009575F1"/>
    <w:rsid w:val="00961802"/>
    <w:rsid w:val="00963F54"/>
    <w:rsid w:val="00964416"/>
    <w:rsid w:val="0096480A"/>
    <w:rsid w:val="009653B1"/>
    <w:rsid w:val="0096650C"/>
    <w:rsid w:val="00967AE4"/>
    <w:rsid w:val="00967FB8"/>
    <w:rsid w:val="009705DF"/>
    <w:rsid w:val="0097176C"/>
    <w:rsid w:val="00971973"/>
    <w:rsid w:val="00975412"/>
    <w:rsid w:val="00976185"/>
    <w:rsid w:val="00977123"/>
    <w:rsid w:val="0097791F"/>
    <w:rsid w:val="009817AE"/>
    <w:rsid w:val="00981CAA"/>
    <w:rsid w:val="0098264C"/>
    <w:rsid w:val="009834DF"/>
    <w:rsid w:val="009838DA"/>
    <w:rsid w:val="009842AB"/>
    <w:rsid w:val="00984E78"/>
    <w:rsid w:val="00985011"/>
    <w:rsid w:val="00985E5E"/>
    <w:rsid w:val="009866EF"/>
    <w:rsid w:val="009867B7"/>
    <w:rsid w:val="009902F4"/>
    <w:rsid w:val="00990BFA"/>
    <w:rsid w:val="00991E8A"/>
    <w:rsid w:val="00992536"/>
    <w:rsid w:val="00992927"/>
    <w:rsid w:val="00992ABA"/>
    <w:rsid w:val="0099378F"/>
    <w:rsid w:val="00993AAF"/>
    <w:rsid w:val="00993B7F"/>
    <w:rsid w:val="009953F6"/>
    <w:rsid w:val="00996A53"/>
    <w:rsid w:val="009A01DD"/>
    <w:rsid w:val="009A2602"/>
    <w:rsid w:val="009A26F5"/>
    <w:rsid w:val="009A3371"/>
    <w:rsid w:val="009A479F"/>
    <w:rsid w:val="009A4F10"/>
    <w:rsid w:val="009A5598"/>
    <w:rsid w:val="009A656E"/>
    <w:rsid w:val="009A6725"/>
    <w:rsid w:val="009A7FAA"/>
    <w:rsid w:val="009B0393"/>
    <w:rsid w:val="009B04A6"/>
    <w:rsid w:val="009B1BD7"/>
    <w:rsid w:val="009B2DC6"/>
    <w:rsid w:val="009B4539"/>
    <w:rsid w:val="009B48E1"/>
    <w:rsid w:val="009B513D"/>
    <w:rsid w:val="009B526B"/>
    <w:rsid w:val="009B6777"/>
    <w:rsid w:val="009B765D"/>
    <w:rsid w:val="009C17D8"/>
    <w:rsid w:val="009C2270"/>
    <w:rsid w:val="009C317B"/>
    <w:rsid w:val="009C3479"/>
    <w:rsid w:val="009C4126"/>
    <w:rsid w:val="009C5987"/>
    <w:rsid w:val="009D0A5F"/>
    <w:rsid w:val="009D1AFD"/>
    <w:rsid w:val="009D3F43"/>
    <w:rsid w:val="009D4502"/>
    <w:rsid w:val="009D5AB1"/>
    <w:rsid w:val="009D5AC5"/>
    <w:rsid w:val="009D64BC"/>
    <w:rsid w:val="009D723D"/>
    <w:rsid w:val="009E037E"/>
    <w:rsid w:val="009E1F4A"/>
    <w:rsid w:val="009E2FCA"/>
    <w:rsid w:val="009E3ACA"/>
    <w:rsid w:val="009E4230"/>
    <w:rsid w:val="009E5F3B"/>
    <w:rsid w:val="009E6BA4"/>
    <w:rsid w:val="009F10E6"/>
    <w:rsid w:val="009F2A08"/>
    <w:rsid w:val="009F3806"/>
    <w:rsid w:val="009F4F37"/>
    <w:rsid w:val="009F5445"/>
    <w:rsid w:val="009F554A"/>
    <w:rsid w:val="009F57BF"/>
    <w:rsid w:val="009F5A83"/>
    <w:rsid w:val="009F5A93"/>
    <w:rsid w:val="009F6BDE"/>
    <w:rsid w:val="009F77D6"/>
    <w:rsid w:val="00A0012F"/>
    <w:rsid w:val="00A00C7F"/>
    <w:rsid w:val="00A01913"/>
    <w:rsid w:val="00A02559"/>
    <w:rsid w:val="00A07012"/>
    <w:rsid w:val="00A07968"/>
    <w:rsid w:val="00A1036E"/>
    <w:rsid w:val="00A1045A"/>
    <w:rsid w:val="00A10F07"/>
    <w:rsid w:val="00A1101A"/>
    <w:rsid w:val="00A11F7D"/>
    <w:rsid w:val="00A123A8"/>
    <w:rsid w:val="00A12422"/>
    <w:rsid w:val="00A1265E"/>
    <w:rsid w:val="00A138E8"/>
    <w:rsid w:val="00A142B1"/>
    <w:rsid w:val="00A1536B"/>
    <w:rsid w:val="00A15B67"/>
    <w:rsid w:val="00A1664F"/>
    <w:rsid w:val="00A16DBE"/>
    <w:rsid w:val="00A17B4B"/>
    <w:rsid w:val="00A21311"/>
    <w:rsid w:val="00A2151C"/>
    <w:rsid w:val="00A21C13"/>
    <w:rsid w:val="00A21F94"/>
    <w:rsid w:val="00A237F1"/>
    <w:rsid w:val="00A239D0"/>
    <w:rsid w:val="00A23D29"/>
    <w:rsid w:val="00A24D9A"/>
    <w:rsid w:val="00A24EBD"/>
    <w:rsid w:val="00A24FF9"/>
    <w:rsid w:val="00A25161"/>
    <w:rsid w:val="00A25813"/>
    <w:rsid w:val="00A26359"/>
    <w:rsid w:val="00A26502"/>
    <w:rsid w:val="00A26774"/>
    <w:rsid w:val="00A26922"/>
    <w:rsid w:val="00A26B5E"/>
    <w:rsid w:val="00A26BCF"/>
    <w:rsid w:val="00A27931"/>
    <w:rsid w:val="00A306DA"/>
    <w:rsid w:val="00A31C94"/>
    <w:rsid w:val="00A31FFF"/>
    <w:rsid w:val="00A329D6"/>
    <w:rsid w:val="00A32E44"/>
    <w:rsid w:val="00A32FBF"/>
    <w:rsid w:val="00A3496A"/>
    <w:rsid w:val="00A35FDA"/>
    <w:rsid w:val="00A3703E"/>
    <w:rsid w:val="00A37165"/>
    <w:rsid w:val="00A373D9"/>
    <w:rsid w:val="00A37528"/>
    <w:rsid w:val="00A37FB8"/>
    <w:rsid w:val="00A412A7"/>
    <w:rsid w:val="00A41C71"/>
    <w:rsid w:val="00A43FC6"/>
    <w:rsid w:val="00A4450A"/>
    <w:rsid w:val="00A44A1F"/>
    <w:rsid w:val="00A44C3E"/>
    <w:rsid w:val="00A45633"/>
    <w:rsid w:val="00A4565E"/>
    <w:rsid w:val="00A46166"/>
    <w:rsid w:val="00A46564"/>
    <w:rsid w:val="00A46C79"/>
    <w:rsid w:val="00A46D65"/>
    <w:rsid w:val="00A470C1"/>
    <w:rsid w:val="00A47D69"/>
    <w:rsid w:val="00A526F1"/>
    <w:rsid w:val="00A5293F"/>
    <w:rsid w:val="00A5314F"/>
    <w:rsid w:val="00A55277"/>
    <w:rsid w:val="00A5657A"/>
    <w:rsid w:val="00A566D3"/>
    <w:rsid w:val="00A57632"/>
    <w:rsid w:val="00A57FCB"/>
    <w:rsid w:val="00A601B9"/>
    <w:rsid w:val="00A62A70"/>
    <w:rsid w:val="00A64DF9"/>
    <w:rsid w:val="00A6516E"/>
    <w:rsid w:val="00A6604B"/>
    <w:rsid w:val="00A66D30"/>
    <w:rsid w:val="00A66D56"/>
    <w:rsid w:val="00A6738F"/>
    <w:rsid w:val="00A701E9"/>
    <w:rsid w:val="00A70CB3"/>
    <w:rsid w:val="00A71CAF"/>
    <w:rsid w:val="00A72294"/>
    <w:rsid w:val="00A73381"/>
    <w:rsid w:val="00A742BA"/>
    <w:rsid w:val="00A74514"/>
    <w:rsid w:val="00A74FCA"/>
    <w:rsid w:val="00A7542A"/>
    <w:rsid w:val="00A756FA"/>
    <w:rsid w:val="00A75D68"/>
    <w:rsid w:val="00A76BA0"/>
    <w:rsid w:val="00A77A38"/>
    <w:rsid w:val="00A77B99"/>
    <w:rsid w:val="00A77C79"/>
    <w:rsid w:val="00A77D79"/>
    <w:rsid w:val="00A8111E"/>
    <w:rsid w:val="00A8181E"/>
    <w:rsid w:val="00A81A8E"/>
    <w:rsid w:val="00A81E0F"/>
    <w:rsid w:val="00A823FA"/>
    <w:rsid w:val="00A82706"/>
    <w:rsid w:val="00A842D3"/>
    <w:rsid w:val="00A84580"/>
    <w:rsid w:val="00A84E39"/>
    <w:rsid w:val="00A85C8D"/>
    <w:rsid w:val="00A86053"/>
    <w:rsid w:val="00A86DBE"/>
    <w:rsid w:val="00A872A2"/>
    <w:rsid w:val="00A8788A"/>
    <w:rsid w:val="00A91641"/>
    <w:rsid w:val="00A92AD0"/>
    <w:rsid w:val="00A934A6"/>
    <w:rsid w:val="00A93586"/>
    <w:rsid w:val="00A93853"/>
    <w:rsid w:val="00A93C3F"/>
    <w:rsid w:val="00A93E39"/>
    <w:rsid w:val="00A947F7"/>
    <w:rsid w:val="00A95689"/>
    <w:rsid w:val="00A956D2"/>
    <w:rsid w:val="00A9577A"/>
    <w:rsid w:val="00A95A4C"/>
    <w:rsid w:val="00A95B29"/>
    <w:rsid w:val="00A964CF"/>
    <w:rsid w:val="00A96873"/>
    <w:rsid w:val="00AA1330"/>
    <w:rsid w:val="00AA1966"/>
    <w:rsid w:val="00AA26DD"/>
    <w:rsid w:val="00AA2D33"/>
    <w:rsid w:val="00AA34E0"/>
    <w:rsid w:val="00AA3CA5"/>
    <w:rsid w:val="00AA4949"/>
    <w:rsid w:val="00AA4E86"/>
    <w:rsid w:val="00AA514A"/>
    <w:rsid w:val="00AA5D41"/>
    <w:rsid w:val="00AA76AF"/>
    <w:rsid w:val="00AA7AAB"/>
    <w:rsid w:val="00AA7B5D"/>
    <w:rsid w:val="00AA7FBE"/>
    <w:rsid w:val="00AB0F58"/>
    <w:rsid w:val="00AB33B9"/>
    <w:rsid w:val="00AB6806"/>
    <w:rsid w:val="00AB707F"/>
    <w:rsid w:val="00AC023F"/>
    <w:rsid w:val="00AC0DFD"/>
    <w:rsid w:val="00AC10BA"/>
    <w:rsid w:val="00AC2CF1"/>
    <w:rsid w:val="00AC2DC3"/>
    <w:rsid w:val="00AC41F3"/>
    <w:rsid w:val="00AC6915"/>
    <w:rsid w:val="00AC794E"/>
    <w:rsid w:val="00AD02A8"/>
    <w:rsid w:val="00AD2305"/>
    <w:rsid w:val="00AD3208"/>
    <w:rsid w:val="00AD370A"/>
    <w:rsid w:val="00AD5B75"/>
    <w:rsid w:val="00AD7A8E"/>
    <w:rsid w:val="00AD7BAE"/>
    <w:rsid w:val="00AE087E"/>
    <w:rsid w:val="00AE088D"/>
    <w:rsid w:val="00AE1863"/>
    <w:rsid w:val="00AE4F1F"/>
    <w:rsid w:val="00AE68F7"/>
    <w:rsid w:val="00AE778E"/>
    <w:rsid w:val="00AF00B2"/>
    <w:rsid w:val="00AF017A"/>
    <w:rsid w:val="00AF06B7"/>
    <w:rsid w:val="00AF1354"/>
    <w:rsid w:val="00AF17BB"/>
    <w:rsid w:val="00AF4B80"/>
    <w:rsid w:val="00AF5BE0"/>
    <w:rsid w:val="00AF5C4B"/>
    <w:rsid w:val="00AF7203"/>
    <w:rsid w:val="00AF77E5"/>
    <w:rsid w:val="00AF77E7"/>
    <w:rsid w:val="00B0017F"/>
    <w:rsid w:val="00B02535"/>
    <w:rsid w:val="00B0292D"/>
    <w:rsid w:val="00B03B12"/>
    <w:rsid w:val="00B040EA"/>
    <w:rsid w:val="00B04144"/>
    <w:rsid w:val="00B0426B"/>
    <w:rsid w:val="00B043F4"/>
    <w:rsid w:val="00B0464F"/>
    <w:rsid w:val="00B04AC9"/>
    <w:rsid w:val="00B05183"/>
    <w:rsid w:val="00B05DA0"/>
    <w:rsid w:val="00B063F3"/>
    <w:rsid w:val="00B06D03"/>
    <w:rsid w:val="00B07276"/>
    <w:rsid w:val="00B131B4"/>
    <w:rsid w:val="00B13929"/>
    <w:rsid w:val="00B13C3D"/>
    <w:rsid w:val="00B15314"/>
    <w:rsid w:val="00B15385"/>
    <w:rsid w:val="00B15703"/>
    <w:rsid w:val="00B208D9"/>
    <w:rsid w:val="00B21D59"/>
    <w:rsid w:val="00B234BE"/>
    <w:rsid w:val="00B23AA9"/>
    <w:rsid w:val="00B23BDF"/>
    <w:rsid w:val="00B23FB8"/>
    <w:rsid w:val="00B244CF"/>
    <w:rsid w:val="00B24EE3"/>
    <w:rsid w:val="00B25066"/>
    <w:rsid w:val="00B259A6"/>
    <w:rsid w:val="00B26DC7"/>
    <w:rsid w:val="00B26E68"/>
    <w:rsid w:val="00B27C18"/>
    <w:rsid w:val="00B30836"/>
    <w:rsid w:val="00B30D59"/>
    <w:rsid w:val="00B312E5"/>
    <w:rsid w:val="00B319CF"/>
    <w:rsid w:val="00B329CC"/>
    <w:rsid w:val="00B32C9D"/>
    <w:rsid w:val="00B35085"/>
    <w:rsid w:val="00B3509F"/>
    <w:rsid w:val="00B36519"/>
    <w:rsid w:val="00B37311"/>
    <w:rsid w:val="00B3744D"/>
    <w:rsid w:val="00B40988"/>
    <w:rsid w:val="00B4114A"/>
    <w:rsid w:val="00B41722"/>
    <w:rsid w:val="00B41E39"/>
    <w:rsid w:val="00B41E6F"/>
    <w:rsid w:val="00B42060"/>
    <w:rsid w:val="00B42949"/>
    <w:rsid w:val="00B43861"/>
    <w:rsid w:val="00B43CBB"/>
    <w:rsid w:val="00B45906"/>
    <w:rsid w:val="00B4661B"/>
    <w:rsid w:val="00B469A3"/>
    <w:rsid w:val="00B46A8A"/>
    <w:rsid w:val="00B503DD"/>
    <w:rsid w:val="00B50543"/>
    <w:rsid w:val="00B505E9"/>
    <w:rsid w:val="00B51EF7"/>
    <w:rsid w:val="00B52E7D"/>
    <w:rsid w:val="00B5343F"/>
    <w:rsid w:val="00B5750A"/>
    <w:rsid w:val="00B606B3"/>
    <w:rsid w:val="00B60B10"/>
    <w:rsid w:val="00B6339E"/>
    <w:rsid w:val="00B634F6"/>
    <w:rsid w:val="00B644AA"/>
    <w:rsid w:val="00B64680"/>
    <w:rsid w:val="00B65243"/>
    <w:rsid w:val="00B65532"/>
    <w:rsid w:val="00B7033E"/>
    <w:rsid w:val="00B705B3"/>
    <w:rsid w:val="00B70BBF"/>
    <w:rsid w:val="00B717A1"/>
    <w:rsid w:val="00B72693"/>
    <w:rsid w:val="00B74759"/>
    <w:rsid w:val="00B772AE"/>
    <w:rsid w:val="00B7747F"/>
    <w:rsid w:val="00B80FC2"/>
    <w:rsid w:val="00B81865"/>
    <w:rsid w:val="00B81D6F"/>
    <w:rsid w:val="00B8500A"/>
    <w:rsid w:val="00B85EFB"/>
    <w:rsid w:val="00B86262"/>
    <w:rsid w:val="00B868E7"/>
    <w:rsid w:val="00B86F23"/>
    <w:rsid w:val="00B872C5"/>
    <w:rsid w:val="00B87AB4"/>
    <w:rsid w:val="00B90B0F"/>
    <w:rsid w:val="00B90D74"/>
    <w:rsid w:val="00B90DCA"/>
    <w:rsid w:val="00B90FA6"/>
    <w:rsid w:val="00B91534"/>
    <w:rsid w:val="00B91B32"/>
    <w:rsid w:val="00B931B4"/>
    <w:rsid w:val="00B94173"/>
    <w:rsid w:val="00B96301"/>
    <w:rsid w:val="00B96CEC"/>
    <w:rsid w:val="00B96FB2"/>
    <w:rsid w:val="00BA00BD"/>
    <w:rsid w:val="00BA1AD6"/>
    <w:rsid w:val="00BA1B63"/>
    <w:rsid w:val="00BA1BB6"/>
    <w:rsid w:val="00BA2556"/>
    <w:rsid w:val="00BA2699"/>
    <w:rsid w:val="00BA35C6"/>
    <w:rsid w:val="00BA3BAF"/>
    <w:rsid w:val="00BA71A4"/>
    <w:rsid w:val="00BB04DC"/>
    <w:rsid w:val="00BB1195"/>
    <w:rsid w:val="00BB206A"/>
    <w:rsid w:val="00BB28F2"/>
    <w:rsid w:val="00BB3CBD"/>
    <w:rsid w:val="00BB529E"/>
    <w:rsid w:val="00BB5A9C"/>
    <w:rsid w:val="00BB7606"/>
    <w:rsid w:val="00BC0271"/>
    <w:rsid w:val="00BC0867"/>
    <w:rsid w:val="00BC0C49"/>
    <w:rsid w:val="00BC1679"/>
    <w:rsid w:val="00BC1961"/>
    <w:rsid w:val="00BC2216"/>
    <w:rsid w:val="00BC2AA6"/>
    <w:rsid w:val="00BC3208"/>
    <w:rsid w:val="00BC3453"/>
    <w:rsid w:val="00BC35D6"/>
    <w:rsid w:val="00BC4927"/>
    <w:rsid w:val="00BC553E"/>
    <w:rsid w:val="00BC55EE"/>
    <w:rsid w:val="00BD17F1"/>
    <w:rsid w:val="00BD1996"/>
    <w:rsid w:val="00BD1C64"/>
    <w:rsid w:val="00BD21C2"/>
    <w:rsid w:val="00BD2BA0"/>
    <w:rsid w:val="00BD2D11"/>
    <w:rsid w:val="00BD3778"/>
    <w:rsid w:val="00BD4657"/>
    <w:rsid w:val="00BD4F54"/>
    <w:rsid w:val="00BD5779"/>
    <w:rsid w:val="00BD66EE"/>
    <w:rsid w:val="00BD7C3E"/>
    <w:rsid w:val="00BD7D6F"/>
    <w:rsid w:val="00BE08DC"/>
    <w:rsid w:val="00BE1C1B"/>
    <w:rsid w:val="00BE2701"/>
    <w:rsid w:val="00BE2A26"/>
    <w:rsid w:val="00BE3A9A"/>
    <w:rsid w:val="00BE3CE7"/>
    <w:rsid w:val="00BE77DF"/>
    <w:rsid w:val="00BF18DC"/>
    <w:rsid w:val="00BF2666"/>
    <w:rsid w:val="00BF39A7"/>
    <w:rsid w:val="00BF3DA8"/>
    <w:rsid w:val="00BF43B9"/>
    <w:rsid w:val="00BF4792"/>
    <w:rsid w:val="00BF5C26"/>
    <w:rsid w:val="00BF6165"/>
    <w:rsid w:val="00BF73FE"/>
    <w:rsid w:val="00BF7CCA"/>
    <w:rsid w:val="00BF7F12"/>
    <w:rsid w:val="00C00E1F"/>
    <w:rsid w:val="00C011FC"/>
    <w:rsid w:val="00C015B5"/>
    <w:rsid w:val="00C018A2"/>
    <w:rsid w:val="00C02889"/>
    <w:rsid w:val="00C02F9C"/>
    <w:rsid w:val="00C035D2"/>
    <w:rsid w:val="00C0639F"/>
    <w:rsid w:val="00C0693E"/>
    <w:rsid w:val="00C07541"/>
    <w:rsid w:val="00C07E7F"/>
    <w:rsid w:val="00C100B4"/>
    <w:rsid w:val="00C107CE"/>
    <w:rsid w:val="00C11AC0"/>
    <w:rsid w:val="00C145F6"/>
    <w:rsid w:val="00C14890"/>
    <w:rsid w:val="00C150D1"/>
    <w:rsid w:val="00C158DE"/>
    <w:rsid w:val="00C16308"/>
    <w:rsid w:val="00C175B3"/>
    <w:rsid w:val="00C178EA"/>
    <w:rsid w:val="00C17E9C"/>
    <w:rsid w:val="00C2004D"/>
    <w:rsid w:val="00C20385"/>
    <w:rsid w:val="00C20AB7"/>
    <w:rsid w:val="00C21920"/>
    <w:rsid w:val="00C21E46"/>
    <w:rsid w:val="00C22098"/>
    <w:rsid w:val="00C22742"/>
    <w:rsid w:val="00C24017"/>
    <w:rsid w:val="00C24EF5"/>
    <w:rsid w:val="00C26866"/>
    <w:rsid w:val="00C27BB9"/>
    <w:rsid w:val="00C302F8"/>
    <w:rsid w:val="00C30CAB"/>
    <w:rsid w:val="00C312DF"/>
    <w:rsid w:val="00C31F48"/>
    <w:rsid w:val="00C31FCE"/>
    <w:rsid w:val="00C3279E"/>
    <w:rsid w:val="00C327BE"/>
    <w:rsid w:val="00C33374"/>
    <w:rsid w:val="00C33C3A"/>
    <w:rsid w:val="00C33E58"/>
    <w:rsid w:val="00C3555F"/>
    <w:rsid w:val="00C36140"/>
    <w:rsid w:val="00C36F1C"/>
    <w:rsid w:val="00C407C4"/>
    <w:rsid w:val="00C40AC8"/>
    <w:rsid w:val="00C40CFD"/>
    <w:rsid w:val="00C40E93"/>
    <w:rsid w:val="00C41348"/>
    <w:rsid w:val="00C4219D"/>
    <w:rsid w:val="00C42246"/>
    <w:rsid w:val="00C43E09"/>
    <w:rsid w:val="00C43F8C"/>
    <w:rsid w:val="00C441D7"/>
    <w:rsid w:val="00C46743"/>
    <w:rsid w:val="00C467BE"/>
    <w:rsid w:val="00C46FAF"/>
    <w:rsid w:val="00C470CA"/>
    <w:rsid w:val="00C47694"/>
    <w:rsid w:val="00C500B2"/>
    <w:rsid w:val="00C50E50"/>
    <w:rsid w:val="00C5173B"/>
    <w:rsid w:val="00C53436"/>
    <w:rsid w:val="00C54619"/>
    <w:rsid w:val="00C54AD2"/>
    <w:rsid w:val="00C55EDB"/>
    <w:rsid w:val="00C56962"/>
    <w:rsid w:val="00C57494"/>
    <w:rsid w:val="00C57A52"/>
    <w:rsid w:val="00C60510"/>
    <w:rsid w:val="00C607C2"/>
    <w:rsid w:val="00C60E82"/>
    <w:rsid w:val="00C618C6"/>
    <w:rsid w:val="00C61933"/>
    <w:rsid w:val="00C62018"/>
    <w:rsid w:val="00C630FB"/>
    <w:rsid w:val="00C6436F"/>
    <w:rsid w:val="00C64A2E"/>
    <w:rsid w:val="00C64C78"/>
    <w:rsid w:val="00C66FE3"/>
    <w:rsid w:val="00C67D97"/>
    <w:rsid w:val="00C67DF3"/>
    <w:rsid w:val="00C71DA8"/>
    <w:rsid w:val="00C74FC1"/>
    <w:rsid w:val="00C75D0A"/>
    <w:rsid w:val="00C8170A"/>
    <w:rsid w:val="00C81908"/>
    <w:rsid w:val="00C82F9F"/>
    <w:rsid w:val="00C830C6"/>
    <w:rsid w:val="00C835B0"/>
    <w:rsid w:val="00C87A5F"/>
    <w:rsid w:val="00C902AB"/>
    <w:rsid w:val="00C90C67"/>
    <w:rsid w:val="00C90DB3"/>
    <w:rsid w:val="00C91A79"/>
    <w:rsid w:val="00C91F97"/>
    <w:rsid w:val="00C92D1E"/>
    <w:rsid w:val="00C92D8F"/>
    <w:rsid w:val="00C931D9"/>
    <w:rsid w:val="00C93838"/>
    <w:rsid w:val="00C93847"/>
    <w:rsid w:val="00C95B7A"/>
    <w:rsid w:val="00C95B7B"/>
    <w:rsid w:val="00C961D1"/>
    <w:rsid w:val="00C96425"/>
    <w:rsid w:val="00C964AF"/>
    <w:rsid w:val="00C97443"/>
    <w:rsid w:val="00CA0C0C"/>
    <w:rsid w:val="00CA1EDA"/>
    <w:rsid w:val="00CA2CF7"/>
    <w:rsid w:val="00CA308E"/>
    <w:rsid w:val="00CA36FA"/>
    <w:rsid w:val="00CA3BCB"/>
    <w:rsid w:val="00CA4418"/>
    <w:rsid w:val="00CA44FC"/>
    <w:rsid w:val="00CA4E20"/>
    <w:rsid w:val="00CA5851"/>
    <w:rsid w:val="00CB0837"/>
    <w:rsid w:val="00CB09E6"/>
    <w:rsid w:val="00CB0AC4"/>
    <w:rsid w:val="00CB0E77"/>
    <w:rsid w:val="00CB1C0B"/>
    <w:rsid w:val="00CB3C89"/>
    <w:rsid w:val="00CB598E"/>
    <w:rsid w:val="00CB5AE6"/>
    <w:rsid w:val="00CB62AA"/>
    <w:rsid w:val="00CB64A5"/>
    <w:rsid w:val="00CB73E8"/>
    <w:rsid w:val="00CB7F8C"/>
    <w:rsid w:val="00CC1708"/>
    <w:rsid w:val="00CC255C"/>
    <w:rsid w:val="00CC29D9"/>
    <w:rsid w:val="00CC406A"/>
    <w:rsid w:val="00CC53F9"/>
    <w:rsid w:val="00CC5D63"/>
    <w:rsid w:val="00CC7A30"/>
    <w:rsid w:val="00CD009F"/>
    <w:rsid w:val="00CD1860"/>
    <w:rsid w:val="00CD1E75"/>
    <w:rsid w:val="00CD2791"/>
    <w:rsid w:val="00CD2EF5"/>
    <w:rsid w:val="00CD3AC2"/>
    <w:rsid w:val="00CD57CE"/>
    <w:rsid w:val="00CD61F6"/>
    <w:rsid w:val="00CD64CB"/>
    <w:rsid w:val="00CD6D85"/>
    <w:rsid w:val="00CD7D33"/>
    <w:rsid w:val="00CE203F"/>
    <w:rsid w:val="00CE23FE"/>
    <w:rsid w:val="00CE3C63"/>
    <w:rsid w:val="00CE4D47"/>
    <w:rsid w:val="00CE5509"/>
    <w:rsid w:val="00CE680E"/>
    <w:rsid w:val="00CE7EF4"/>
    <w:rsid w:val="00CF12DF"/>
    <w:rsid w:val="00CF1A21"/>
    <w:rsid w:val="00CF2451"/>
    <w:rsid w:val="00CF2ACE"/>
    <w:rsid w:val="00CF5293"/>
    <w:rsid w:val="00CF59B7"/>
    <w:rsid w:val="00CF6EAB"/>
    <w:rsid w:val="00CF7E9D"/>
    <w:rsid w:val="00D018D1"/>
    <w:rsid w:val="00D01BCB"/>
    <w:rsid w:val="00D02812"/>
    <w:rsid w:val="00D028AB"/>
    <w:rsid w:val="00D02E1D"/>
    <w:rsid w:val="00D03046"/>
    <w:rsid w:val="00D034AD"/>
    <w:rsid w:val="00D03A7A"/>
    <w:rsid w:val="00D03B0B"/>
    <w:rsid w:val="00D03BF6"/>
    <w:rsid w:val="00D03EE0"/>
    <w:rsid w:val="00D042EA"/>
    <w:rsid w:val="00D049C8"/>
    <w:rsid w:val="00D04D9A"/>
    <w:rsid w:val="00D0529E"/>
    <w:rsid w:val="00D0537B"/>
    <w:rsid w:val="00D05EE6"/>
    <w:rsid w:val="00D06665"/>
    <w:rsid w:val="00D066A3"/>
    <w:rsid w:val="00D0688E"/>
    <w:rsid w:val="00D06E58"/>
    <w:rsid w:val="00D070C8"/>
    <w:rsid w:val="00D070DA"/>
    <w:rsid w:val="00D077C2"/>
    <w:rsid w:val="00D10B14"/>
    <w:rsid w:val="00D13E8C"/>
    <w:rsid w:val="00D15D3B"/>
    <w:rsid w:val="00D15F1C"/>
    <w:rsid w:val="00D162F5"/>
    <w:rsid w:val="00D16B2C"/>
    <w:rsid w:val="00D16BDD"/>
    <w:rsid w:val="00D16E1E"/>
    <w:rsid w:val="00D16F2F"/>
    <w:rsid w:val="00D22668"/>
    <w:rsid w:val="00D22908"/>
    <w:rsid w:val="00D22931"/>
    <w:rsid w:val="00D23A3D"/>
    <w:rsid w:val="00D243EC"/>
    <w:rsid w:val="00D24964"/>
    <w:rsid w:val="00D24BA0"/>
    <w:rsid w:val="00D25607"/>
    <w:rsid w:val="00D27152"/>
    <w:rsid w:val="00D27514"/>
    <w:rsid w:val="00D301AC"/>
    <w:rsid w:val="00D3065A"/>
    <w:rsid w:val="00D320BB"/>
    <w:rsid w:val="00D32561"/>
    <w:rsid w:val="00D3258E"/>
    <w:rsid w:val="00D33184"/>
    <w:rsid w:val="00D35957"/>
    <w:rsid w:val="00D36E7C"/>
    <w:rsid w:val="00D370ED"/>
    <w:rsid w:val="00D4155F"/>
    <w:rsid w:val="00D42133"/>
    <w:rsid w:val="00D4299C"/>
    <w:rsid w:val="00D43048"/>
    <w:rsid w:val="00D44026"/>
    <w:rsid w:val="00D448C6"/>
    <w:rsid w:val="00D45DCF"/>
    <w:rsid w:val="00D46295"/>
    <w:rsid w:val="00D466FC"/>
    <w:rsid w:val="00D47946"/>
    <w:rsid w:val="00D50AD6"/>
    <w:rsid w:val="00D51747"/>
    <w:rsid w:val="00D53FE2"/>
    <w:rsid w:val="00D548E3"/>
    <w:rsid w:val="00D5584E"/>
    <w:rsid w:val="00D5671C"/>
    <w:rsid w:val="00D60CAD"/>
    <w:rsid w:val="00D61E9A"/>
    <w:rsid w:val="00D62106"/>
    <w:rsid w:val="00D628F1"/>
    <w:rsid w:val="00D629B2"/>
    <w:rsid w:val="00D639D1"/>
    <w:rsid w:val="00D64AA1"/>
    <w:rsid w:val="00D65013"/>
    <w:rsid w:val="00D6529C"/>
    <w:rsid w:val="00D656F7"/>
    <w:rsid w:val="00D6583D"/>
    <w:rsid w:val="00D65F80"/>
    <w:rsid w:val="00D66EDB"/>
    <w:rsid w:val="00D6701A"/>
    <w:rsid w:val="00D6745E"/>
    <w:rsid w:val="00D679C8"/>
    <w:rsid w:val="00D67D03"/>
    <w:rsid w:val="00D702B9"/>
    <w:rsid w:val="00D71412"/>
    <w:rsid w:val="00D7190A"/>
    <w:rsid w:val="00D71EF5"/>
    <w:rsid w:val="00D73ECD"/>
    <w:rsid w:val="00D74BD5"/>
    <w:rsid w:val="00D74C08"/>
    <w:rsid w:val="00D74EC4"/>
    <w:rsid w:val="00D760A8"/>
    <w:rsid w:val="00D763BD"/>
    <w:rsid w:val="00D76460"/>
    <w:rsid w:val="00D766ED"/>
    <w:rsid w:val="00D8188F"/>
    <w:rsid w:val="00D81E7B"/>
    <w:rsid w:val="00D8242A"/>
    <w:rsid w:val="00D83540"/>
    <w:rsid w:val="00D83EF3"/>
    <w:rsid w:val="00D85622"/>
    <w:rsid w:val="00D8562D"/>
    <w:rsid w:val="00D858FD"/>
    <w:rsid w:val="00D85F3E"/>
    <w:rsid w:val="00D868FD"/>
    <w:rsid w:val="00D908E7"/>
    <w:rsid w:val="00D928DD"/>
    <w:rsid w:val="00D92FE1"/>
    <w:rsid w:val="00D933F2"/>
    <w:rsid w:val="00D94273"/>
    <w:rsid w:val="00D942C2"/>
    <w:rsid w:val="00D943C8"/>
    <w:rsid w:val="00D9486F"/>
    <w:rsid w:val="00D94F76"/>
    <w:rsid w:val="00D96640"/>
    <w:rsid w:val="00D97CD3"/>
    <w:rsid w:val="00D97E2C"/>
    <w:rsid w:val="00DA1ACA"/>
    <w:rsid w:val="00DA1CA6"/>
    <w:rsid w:val="00DA2E33"/>
    <w:rsid w:val="00DA31B6"/>
    <w:rsid w:val="00DA3B2D"/>
    <w:rsid w:val="00DA3CDA"/>
    <w:rsid w:val="00DA3E20"/>
    <w:rsid w:val="00DA4BBA"/>
    <w:rsid w:val="00DA4CE3"/>
    <w:rsid w:val="00DA5164"/>
    <w:rsid w:val="00DA5530"/>
    <w:rsid w:val="00DA5B3D"/>
    <w:rsid w:val="00DB0030"/>
    <w:rsid w:val="00DB0160"/>
    <w:rsid w:val="00DB38B0"/>
    <w:rsid w:val="00DB3A36"/>
    <w:rsid w:val="00DB40F2"/>
    <w:rsid w:val="00DB49D9"/>
    <w:rsid w:val="00DB60D4"/>
    <w:rsid w:val="00DB65C5"/>
    <w:rsid w:val="00DB6F6C"/>
    <w:rsid w:val="00DB745F"/>
    <w:rsid w:val="00DC0427"/>
    <w:rsid w:val="00DC1469"/>
    <w:rsid w:val="00DC1C4F"/>
    <w:rsid w:val="00DC1D82"/>
    <w:rsid w:val="00DC2855"/>
    <w:rsid w:val="00DC4F63"/>
    <w:rsid w:val="00DC537C"/>
    <w:rsid w:val="00DC54AB"/>
    <w:rsid w:val="00DC5D6E"/>
    <w:rsid w:val="00DC6ACC"/>
    <w:rsid w:val="00DC7A72"/>
    <w:rsid w:val="00DD09AA"/>
    <w:rsid w:val="00DD0BB9"/>
    <w:rsid w:val="00DD0D97"/>
    <w:rsid w:val="00DD0E8A"/>
    <w:rsid w:val="00DD1036"/>
    <w:rsid w:val="00DD1717"/>
    <w:rsid w:val="00DD18C2"/>
    <w:rsid w:val="00DD21DF"/>
    <w:rsid w:val="00DD2CD9"/>
    <w:rsid w:val="00DD39C3"/>
    <w:rsid w:val="00DD3A1E"/>
    <w:rsid w:val="00DD4450"/>
    <w:rsid w:val="00DD4A6E"/>
    <w:rsid w:val="00DD5322"/>
    <w:rsid w:val="00DD540D"/>
    <w:rsid w:val="00DD6466"/>
    <w:rsid w:val="00DD6564"/>
    <w:rsid w:val="00DD66BD"/>
    <w:rsid w:val="00DD7548"/>
    <w:rsid w:val="00DE0C21"/>
    <w:rsid w:val="00DE133F"/>
    <w:rsid w:val="00DE14D7"/>
    <w:rsid w:val="00DE161A"/>
    <w:rsid w:val="00DE450E"/>
    <w:rsid w:val="00DE4FD2"/>
    <w:rsid w:val="00DF06D9"/>
    <w:rsid w:val="00DF1520"/>
    <w:rsid w:val="00DF2456"/>
    <w:rsid w:val="00DF3344"/>
    <w:rsid w:val="00DF4CE1"/>
    <w:rsid w:val="00DF688A"/>
    <w:rsid w:val="00DF7400"/>
    <w:rsid w:val="00DF7E8C"/>
    <w:rsid w:val="00E00B0B"/>
    <w:rsid w:val="00E015E5"/>
    <w:rsid w:val="00E03398"/>
    <w:rsid w:val="00E03551"/>
    <w:rsid w:val="00E04F6D"/>
    <w:rsid w:val="00E062F3"/>
    <w:rsid w:val="00E0645C"/>
    <w:rsid w:val="00E06A8C"/>
    <w:rsid w:val="00E06E09"/>
    <w:rsid w:val="00E11BC2"/>
    <w:rsid w:val="00E12539"/>
    <w:rsid w:val="00E13B68"/>
    <w:rsid w:val="00E1620F"/>
    <w:rsid w:val="00E16819"/>
    <w:rsid w:val="00E2000C"/>
    <w:rsid w:val="00E2006C"/>
    <w:rsid w:val="00E210F0"/>
    <w:rsid w:val="00E212B6"/>
    <w:rsid w:val="00E22D31"/>
    <w:rsid w:val="00E22E15"/>
    <w:rsid w:val="00E2301F"/>
    <w:rsid w:val="00E248E1"/>
    <w:rsid w:val="00E24E52"/>
    <w:rsid w:val="00E2609D"/>
    <w:rsid w:val="00E26AC4"/>
    <w:rsid w:val="00E27520"/>
    <w:rsid w:val="00E303E0"/>
    <w:rsid w:val="00E30943"/>
    <w:rsid w:val="00E31341"/>
    <w:rsid w:val="00E3141E"/>
    <w:rsid w:val="00E35370"/>
    <w:rsid w:val="00E3541D"/>
    <w:rsid w:val="00E35F42"/>
    <w:rsid w:val="00E36B5A"/>
    <w:rsid w:val="00E377D1"/>
    <w:rsid w:val="00E40636"/>
    <w:rsid w:val="00E413E8"/>
    <w:rsid w:val="00E41818"/>
    <w:rsid w:val="00E421EF"/>
    <w:rsid w:val="00E4279A"/>
    <w:rsid w:val="00E43659"/>
    <w:rsid w:val="00E4503E"/>
    <w:rsid w:val="00E45224"/>
    <w:rsid w:val="00E45EA5"/>
    <w:rsid w:val="00E47E51"/>
    <w:rsid w:val="00E50189"/>
    <w:rsid w:val="00E503B7"/>
    <w:rsid w:val="00E50482"/>
    <w:rsid w:val="00E50C14"/>
    <w:rsid w:val="00E517BB"/>
    <w:rsid w:val="00E5376D"/>
    <w:rsid w:val="00E54D0F"/>
    <w:rsid w:val="00E554E6"/>
    <w:rsid w:val="00E55CCE"/>
    <w:rsid w:val="00E56850"/>
    <w:rsid w:val="00E56E05"/>
    <w:rsid w:val="00E572D6"/>
    <w:rsid w:val="00E60B7B"/>
    <w:rsid w:val="00E60C97"/>
    <w:rsid w:val="00E618A3"/>
    <w:rsid w:val="00E63582"/>
    <w:rsid w:val="00E64155"/>
    <w:rsid w:val="00E6416B"/>
    <w:rsid w:val="00E6489A"/>
    <w:rsid w:val="00E64C02"/>
    <w:rsid w:val="00E651A8"/>
    <w:rsid w:val="00E65946"/>
    <w:rsid w:val="00E66981"/>
    <w:rsid w:val="00E67299"/>
    <w:rsid w:val="00E67CB4"/>
    <w:rsid w:val="00E70842"/>
    <w:rsid w:val="00E71731"/>
    <w:rsid w:val="00E71757"/>
    <w:rsid w:val="00E727AF"/>
    <w:rsid w:val="00E72E56"/>
    <w:rsid w:val="00E7480B"/>
    <w:rsid w:val="00E74FC4"/>
    <w:rsid w:val="00E75C80"/>
    <w:rsid w:val="00E76BA1"/>
    <w:rsid w:val="00E7785F"/>
    <w:rsid w:val="00E80197"/>
    <w:rsid w:val="00E80269"/>
    <w:rsid w:val="00E80A8E"/>
    <w:rsid w:val="00E80FE4"/>
    <w:rsid w:val="00E81A69"/>
    <w:rsid w:val="00E841D5"/>
    <w:rsid w:val="00E84528"/>
    <w:rsid w:val="00E877B1"/>
    <w:rsid w:val="00E87ED2"/>
    <w:rsid w:val="00E90C6B"/>
    <w:rsid w:val="00E918A8"/>
    <w:rsid w:val="00E9275A"/>
    <w:rsid w:val="00E92802"/>
    <w:rsid w:val="00E93426"/>
    <w:rsid w:val="00E9426B"/>
    <w:rsid w:val="00E94622"/>
    <w:rsid w:val="00E94FC4"/>
    <w:rsid w:val="00E9527C"/>
    <w:rsid w:val="00EA06A4"/>
    <w:rsid w:val="00EA16AC"/>
    <w:rsid w:val="00EA25C6"/>
    <w:rsid w:val="00EA34E8"/>
    <w:rsid w:val="00EA4A98"/>
    <w:rsid w:val="00EA5014"/>
    <w:rsid w:val="00EA5391"/>
    <w:rsid w:val="00EA5719"/>
    <w:rsid w:val="00EA58A3"/>
    <w:rsid w:val="00EA59C6"/>
    <w:rsid w:val="00EA671B"/>
    <w:rsid w:val="00EA7B40"/>
    <w:rsid w:val="00EA7CFB"/>
    <w:rsid w:val="00EB03AC"/>
    <w:rsid w:val="00EB0887"/>
    <w:rsid w:val="00EB18A2"/>
    <w:rsid w:val="00EB1AF1"/>
    <w:rsid w:val="00EB1E61"/>
    <w:rsid w:val="00EB21B9"/>
    <w:rsid w:val="00EB28F4"/>
    <w:rsid w:val="00EB29A1"/>
    <w:rsid w:val="00EB40E5"/>
    <w:rsid w:val="00EB4900"/>
    <w:rsid w:val="00EB59E7"/>
    <w:rsid w:val="00EC008B"/>
    <w:rsid w:val="00EC0368"/>
    <w:rsid w:val="00EC0A16"/>
    <w:rsid w:val="00EC0D14"/>
    <w:rsid w:val="00EC1329"/>
    <w:rsid w:val="00EC2296"/>
    <w:rsid w:val="00EC2908"/>
    <w:rsid w:val="00EC2C09"/>
    <w:rsid w:val="00EC366D"/>
    <w:rsid w:val="00EC60F5"/>
    <w:rsid w:val="00EC6858"/>
    <w:rsid w:val="00EC7FBE"/>
    <w:rsid w:val="00ED04D6"/>
    <w:rsid w:val="00ED0A3E"/>
    <w:rsid w:val="00ED15E7"/>
    <w:rsid w:val="00ED269E"/>
    <w:rsid w:val="00ED2E52"/>
    <w:rsid w:val="00ED400D"/>
    <w:rsid w:val="00ED45F6"/>
    <w:rsid w:val="00ED6574"/>
    <w:rsid w:val="00ED6B87"/>
    <w:rsid w:val="00ED6D71"/>
    <w:rsid w:val="00ED7EA6"/>
    <w:rsid w:val="00EE2F48"/>
    <w:rsid w:val="00EE445B"/>
    <w:rsid w:val="00EE5951"/>
    <w:rsid w:val="00EE5F89"/>
    <w:rsid w:val="00EE6A0B"/>
    <w:rsid w:val="00EF31B3"/>
    <w:rsid w:val="00EF3E0A"/>
    <w:rsid w:val="00EF56E3"/>
    <w:rsid w:val="00EF5AED"/>
    <w:rsid w:val="00EF62D5"/>
    <w:rsid w:val="00EF7275"/>
    <w:rsid w:val="00EF7EA0"/>
    <w:rsid w:val="00F00645"/>
    <w:rsid w:val="00F01279"/>
    <w:rsid w:val="00F01598"/>
    <w:rsid w:val="00F01D97"/>
    <w:rsid w:val="00F026FF"/>
    <w:rsid w:val="00F0347F"/>
    <w:rsid w:val="00F0494E"/>
    <w:rsid w:val="00F05B2B"/>
    <w:rsid w:val="00F05CC4"/>
    <w:rsid w:val="00F06052"/>
    <w:rsid w:val="00F0648A"/>
    <w:rsid w:val="00F06C53"/>
    <w:rsid w:val="00F07B98"/>
    <w:rsid w:val="00F11EDF"/>
    <w:rsid w:val="00F12AFF"/>
    <w:rsid w:val="00F12ECA"/>
    <w:rsid w:val="00F1430D"/>
    <w:rsid w:val="00F21479"/>
    <w:rsid w:val="00F23501"/>
    <w:rsid w:val="00F235DD"/>
    <w:rsid w:val="00F23798"/>
    <w:rsid w:val="00F23E81"/>
    <w:rsid w:val="00F248F1"/>
    <w:rsid w:val="00F25682"/>
    <w:rsid w:val="00F25AE0"/>
    <w:rsid w:val="00F25F29"/>
    <w:rsid w:val="00F26566"/>
    <w:rsid w:val="00F30245"/>
    <w:rsid w:val="00F30778"/>
    <w:rsid w:val="00F30FA2"/>
    <w:rsid w:val="00F3116A"/>
    <w:rsid w:val="00F31634"/>
    <w:rsid w:val="00F31C02"/>
    <w:rsid w:val="00F31DAA"/>
    <w:rsid w:val="00F328BE"/>
    <w:rsid w:val="00F33662"/>
    <w:rsid w:val="00F35573"/>
    <w:rsid w:val="00F35878"/>
    <w:rsid w:val="00F362CC"/>
    <w:rsid w:val="00F36F95"/>
    <w:rsid w:val="00F42722"/>
    <w:rsid w:val="00F42BB8"/>
    <w:rsid w:val="00F448B0"/>
    <w:rsid w:val="00F44C62"/>
    <w:rsid w:val="00F44F33"/>
    <w:rsid w:val="00F456C5"/>
    <w:rsid w:val="00F458D3"/>
    <w:rsid w:val="00F45CBB"/>
    <w:rsid w:val="00F46084"/>
    <w:rsid w:val="00F463F5"/>
    <w:rsid w:val="00F476F7"/>
    <w:rsid w:val="00F47A54"/>
    <w:rsid w:val="00F50795"/>
    <w:rsid w:val="00F51E46"/>
    <w:rsid w:val="00F51EE9"/>
    <w:rsid w:val="00F52A37"/>
    <w:rsid w:val="00F53C7C"/>
    <w:rsid w:val="00F54116"/>
    <w:rsid w:val="00F5593E"/>
    <w:rsid w:val="00F55BC7"/>
    <w:rsid w:val="00F57BBE"/>
    <w:rsid w:val="00F60201"/>
    <w:rsid w:val="00F61E50"/>
    <w:rsid w:val="00F62427"/>
    <w:rsid w:val="00F6279D"/>
    <w:rsid w:val="00F62F28"/>
    <w:rsid w:val="00F64116"/>
    <w:rsid w:val="00F64314"/>
    <w:rsid w:val="00F65B42"/>
    <w:rsid w:val="00F65EEA"/>
    <w:rsid w:val="00F664A3"/>
    <w:rsid w:val="00F66999"/>
    <w:rsid w:val="00F67DC1"/>
    <w:rsid w:val="00F70AE5"/>
    <w:rsid w:val="00F70ED6"/>
    <w:rsid w:val="00F721EB"/>
    <w:rsid w:val="00F7224D"/>
    <w:rsid w:val="00F72317"/>
    <w:rsid w:val="00F73A40"/>
    <w:rsid w:val="00F73D75"/>
    <w:rsid w:val="00F74745"/>
    <w:rsid w:val="00F75515"/>
    <w:rsid w:val="00F75E34"/>
    <w:rsid w:val="00F761B2"/>
    <w:rsid w:val="00F76871"/>
    <w:rsid w:val="00F76974"/>
    <w:rsid w:val="00F76B32"/>
    <w:rsid w:val="00F77352"/>
    <w:rsid w:val="00F77413"/>
    <w:rsid w:val="00F77B3F"/>
    <w:rsid w:val="00F80150"/>
    <w:rsid w:val="00F80655"/>
    <w:rsid w:val="00F8207D"/>
    <w:rsid w:val="00F82462"/>
    <w:rsid w:val="00F82AE6"/>
    <w:rsid w:val="00F83540"/>
    <w:rsid w:val="00F847BC"/>
    <w:rsid w:val="00F8493C"/>
    <w:rsid w:val="00F84B87"/>
    <w:rsid w:val="00F84C5E"/>
    <w:rsid w:val="00F85581"/>
    <w:rsid w:val="00F85693"/>
    <w:rsid w:val="00F85733"/>
    <w:rsid w:val="00F867F3"/>
    <w:rsid w:val="00F87219"/>
    <w:rsid w:val="00F926F8"/>
    <w:rsid w:val="00F94B7B"/>
    <w:rsid w:val="00FA054E"/>
    <w:rsid w:val="00FA153E"/>
    <w:rsid w:val="00FA19F4"/>
    <w:rsid w:val="00FA1C08"/>
    <w:rsid w:val="00FA1CA5"/>
    <w:rsid w:val="00FA1E36"/>
    <w:rsid w:val="00FA20CE"/>
    <w:rsid w:val="00FA2235"/>
    <w:rsid w:val="00FA4202"/>
    <w:rsid w:val="00FA522B"/>
    <w:rsid w:val="00FA6161"/>
    <w:rsid w:val="00FA7EB7"/>
    <w:rsid w:val="00FB0477"/>
    <w:rsid w:val="00FB10BF"/>
    <w:rsid w:val="00FB15B0"/>
    <w:rsid w:val="00FB2816"/>
    <w:rsid w:val="00FB32D6"/>
    <w:rsid w:val="00FB39B2"/>
    <w:rsid w:val="00FB3FA0"/>
    <w:rsid w:val="00FB414A"/>
    <w:rsid w:val="00FB44AB"/>
    <w:rsid w:val="00FB53C3"/>
    <w:rsid w:val="00FB60A6"/>
    <w:rsid w:val="00FB61AC"/>
    <w:rsid w:val="00FB726A"/>
    <w:rsid w:val="00FB7B45"/>
    <w:rsid w:val="00FB7B4A"/>
    <w:rsid w:val="00FB7DEE"/>
    <w:rsid w:val="00FC01B1"/>
    <w:rsid w:val="00FC0E63"/>
    <w:rsid w:val="00FC11F6"/>
    <w:rsid w:val="00FC2D89"/>
    <w:rsid w:val="00FC3460"/>
    <w:rsid w:val="00FC353C"/>
    <w:rsid w:val="00FC4336"/>
    <w:rsid w:val="00FC5501"/>
    <w:rsid w:val="00FC5C86"/>
    <w:rsid w:val="00FC62C9"/>
    <w:rsid w:val="00FC6DB4"/>
    <w:rsid w:val="00FC6F23"/>
    <w:rsid w:val="00FC7696"/>
    <w:rsid w:val="00FC7E90"/>
    <w:rsid w:val="00FD001B"/>
    <w:rsid w:val="00FD05DF"/>
    <w:rsid w:val="00FD09FE"/>
    <w:rsid w:val="00FD27F7"/>
    <w:rsid w:val="00FD34C2"/>
    <w:rsid w:val="00FD362B"/>
    <w:rsid w:val="00FD3794"/>
    <w:rsid w:val="00FD44B1"/>
    <w:rsid w:val="00FE1E6F"/>
    <w:rsid w:val="00FE1EC5"/>
    <w:rsid w:val="00FE23DA"/>
    <w:rsid w:val="00FE35E4"/>
    <w:rsid w:val="00FE3634"/>
    <w:rsid w:val="00FE36F2"/>
    <w:rsid w:val="00FE492C"/>
    <w:rsid w:val="00FE4B61"/>
    <w:rsid w:val="00FE4E2D"/>
    <w:rsid w:val="00FE5306"/>
    <w:rsid w:val="00FE61E4"/>
    <w:rsid w:val="00FE64B2"/>
    <w:rsid w:val="00FE6632"/>
    <w:rsid w:val="00FE7AEE"/>
    <w:rsid w:val="00FF05C5"/>
    <w:rsid w:val="00FF0EFD"/>
    <w:rsid w:val="00FF163C"/>
    <w:rsid w:val="00FF189F"/>
    <w:rsid w:val="00FF1F3F"/>
    <w:rsid w:val="00FF32D0"/>
    <w:rsid w:val="00FF379D"/>
    <w:rsid w:val="00FF5D21"/>
    <w:rsid w:val="00FF77BE"/>
    <w:rsid w:val="64B49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style="mso-position-horizontal-relative:page;mso-position-vertical-relative:page" strokecolor="none [3215]">
      <v:stroke color="none [3215]" weight="1pt"/>
    </o:shapedefaults>
    <o:shapelayout v:ext="edit">
      <o:idmap v:ext="edit" data="1"/>
    </o:shapelayout>
  </w:shapeDefaults>
  <w:decimalSymbol w:val="."/>
  <w:listSeparator w:val=","/>
  <w14:docId w14:val="4143FAD4"/>
  <w15:docId w15:val="{36FBC809-3286-4322-B6C4-EB44A3FB9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emiHidden/>
    <w:qFormat/>
    <w:rsid w:val="00CD009F"/>
    <w:rPr>
      <w:lang w:val="en-GB"/>
    </w:rPr>
  </w:style>
  <w:style w:type="paragraph" w:styleId="Heading1">
    <w:name w:val="heading 1"/>
    <w:basedOn w:val="Normal"/>
    <w:next w:val="Normal"/>
    <w:link w:val="Heading1Char"/>
    <w:uiPriority w:val="9"/>
    <w:qFormat/>
    <w:rsid w:val="004B6993"/>
    <w:pPr>
      <w:keepNext/>
      <w:keepLines/>
      <w:spacing w:before="480"/>
      <w:outlineLvl w:val="0"/>
    </w:pPr>
    <w:rPr>
      <w:rFonts w:asciiTheme="majorHAnsi" w:eastAsiaTheme="majorEastAsia" w:hAnsiTheme="majorHAnsi" w:cstheme="majorBidi"/>
      <w:b/>
      <w:bCs/>
      <w:color w:val="424477" w:themeColor="accent1" w:themeShade="BF"/>
      <w:sz w:val="28"/>
      <w:szCs w:val="28"/>
    </w:rPr>
  </w:style>
  <w:style w:type="paragraph" w:styleId="Heading2">
    <w:name w:val="heading 2"/>
    <w:basedOn w:val="Normal"/>
    <w:next w:val="Normal"/>
    <w:link w:val="Heading2Char"/>
    <w:uiPriority w:val="9"/>
    <w:semiHidden/>
    <w:qFormat/>
    <w:rsid w:val="002C565C"/>
    <w:pPr>
      <w:keepNext/>
      <w:keepLines/>
      <w:spacing w:before="40"/>
      <w:outlineLvl w:val="1"/>
    </w:pPr>
    <w:rPr>
      <w:rFonts w:asciiTheme="majorHAnsi" w:eastAsiaTheme="majorEastAsia" w:hAnsiTheme="majorHAnsi" w:cstheme="majorBidi"/>
      <w:color w:val="424477"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F4F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regular">
    <w:name w:val="text regular"/>
    <w:basedOn w:val="Normal"/>
    <w:link w:val="textregularZchn"/>
    <w:qFormat/>
    <w:rsid w:val="00F46084"/>
    <w:pPr>
      <w:spacing w:after="120"/>
    </w:pPr>
  </w:style>
  <w:style w:type="paragraph" w:styleId="Header">
    <w:name w:val="header"/>
    <w:basedOn w:val="Normal"/>
    <w:link w:val="HeaderChar"/>
    <w:uiPriority w:val="99"/>
    <w:unhideWhenUsed/>
    <w:rsid w:val="00B04144"/>
    <w:pPr>
      <w:tabs>
        <w:tab w:val="center" w:pos="4536"/>
        <w:tab w:val="right" w:pos="9072"/>
      </w:tabs>
    </w:pPr>
  </w:style>
  <w:style w:type="character" w:customStyle="1" w:styleId="HeaderChar">
    <w:name w:val="Header Char"/>
    <w:basedOn w:val="DefaultParagraphFont"/>
    <w:link w:val="Header"/>
    <w:uiPriority w:val="99"/>
    <w:rsid w:val="00B04144"/>
  </w:style>
  <w:style w:type="paragraph" w:styleId="Footer">
    <w:name w:val="footer"/>
    <w:basedOn w:val="Normal"/>
    <w:link w:val="FooterChar"/>
    <w:uiPriority w:val="99"/>
    <w:rsid w:val="00B04144"/>
    <w:pPr>
      <w:tabs>
        <w:tab w:val="center" w:pos="4536"/>
        <w:tab w:val="right" w:pos="9072"/>
      </w:tabs>
    </w:pPr>
  </w:style>
  <w:style w:type="character" w:customStyle="1" w:styleId="FooterChar">
    <w:name w:val="Footer Char"/>
    <w:basedOn w:val="DefaultParagraphFont"/>
    <w:link w:val="Footer"/>
    <w:uiPriority w:val="99"/>
    <w:rsid w:val="00CD009F"/>
    <w:rPr>
      <w:lang w:val="en-GB"/>
    </w:rPr>
  </w:style>
  <w:style w:type="paragraph" w:styleId="BalloonText">
    <w:name w:val="Balloon Text"/>
    <w:basedOn w:val="Normal"/>
    <w:link w:val="BalloonTextChar"/>
    <w:uiPriority w:val="99"/>
    <w:semiHidden/>
    <w:unhideWhenUsed/>
    <w:rsid w:val="00B04144"/>
    <w:rPr>
      <w:rFonts w:ascii="Tahoma" w:hAnsi="Tahoma" w:cs="Tahoma"/>
      <w:sz w:val="16"/>
      <w:szCs w:val="16"/>
    </w:rPr>
  </w:style>
  <w:style w:type="character" w:customStyle="1" w:styleId="BalloonTextChar">
    <w:name w:val="Balloon Text Char"/>
    <w:basedOn w:val="DefaultParagraphFont"/>
    <w:link w:val="BalloonText"/>
    <w:uiPriority w:val="99"/>
    <w:semiHidden/>
    <w:rsid w:val="00B04144"/>
    <w:rPr>
      <w:rFonts w:ascii="Tahoma" w:hAnsi="Tahoma" w:cs="Tahoma"/>
      <w:sz w:val="16"/>
      <w:szCs w:val="16"/>
    </w:rPr>
  </w:style>
  <w:style w:type="paragraph" w:customStyle="1" w:styleId="headlineheader">
    <w:name w:val="headline header"/>
    <w:basedOn w:val="textregular"/>
    <w:uiPriority w:val="1"/>
    <w:qFormat/>
    <w:rsid w:val="007A686E"/>
    <w:pPr>
      <w:spacing w:after="280" w:line="600" w:lineRule="exact"/>
    </w:pPr>
    <w:rPr>
      <w:rFonts w:asciiTheme="majorHAnsi" w:hAnsiTheme="majorHAnsi" w:cstheme="majorHAnsi"/>
      <w:b/>
      <w:color w:val="23236E" w:themeColor="text2"/>
      <w:sz w:val="57"/>
      <w:szCs w:val="57"/>
    </w:rPr>
  </w:style>
  <w:style w:type="paragraph" w:customStyle="1" w:styleId="textheader">
    <w:name w:val="text header"/>
    <w:basedOn w:val="textregular"/>
    <w:uiPriority w:val="1"/>
    <w:qFormat/>
    <w:rsid w:val="00B30D59"/>
    <w:pPr>
      <w:spacing w:after="400" w:line="500" w:lineRule="exact"/>
    </w:pPr>
    <w:rPr>
      <w:rFonts w:asciiTheme="majorHAnsi" w:hAnsiTheme="majorHAnsi" w:cstheme="majorHAnsi"/>
      <w:color w:val="23236E" w:themeColor="text2"/>
      <w:sz w:val="40"/>
      <w:szCs w:val="40"/>
      <w:lang w:val="en-US"/>
    </w:rPr>
  </w:style>
  <w:style w:type="paragraph" w:customStyle="1" w:styleId="time">
    <w:name w:val="time"/>
    <w:basedOn w:val="textregular"/>
    <w:uiPriority w:val="1"/>
    <w:qFormat/>
    <w:rsid w:val="007A686E"/>
    <w:pPr>
      <w:framePr w:hSpace="142" w:vSpace="5528" w:wrap="around" w:vAnchor="page" w:hAnchor="page" w:x="1362" w:y="5104"/>
      <w:spacing w:after="0" w:line="320" w:lineRule="exact"/>
    </w:pPr>
    <w:rPr>
      <w:rFonts w:asciiTheme="majorHAnsi" w:hAnsiTheme="majorHAnsi" w:cstheme="majorHAnsi"/>
      <w:sz w:val="29"/>
      <w:szCs w:val="29"/>
      <w:lang w:val="en-US"/>
    </w:rPr>
  </w:style>
  <w:style w:type="character" w:styleId="PlaceholderText">
    <w:name w:val="Placeholder Text"/>
    <w:basedOn w:val="DefaultParagraphFont"/>
    <w:uiPriority w:val="99"/>
    <w:semiHidden/>
    <w:rsid w:val="00903B95"/>
    <w:rPr>
      <w:color w:val="808080"/>
    </w:rPr>
  </w:style>
  <w:style w:type="paragraph" w:customStyle="1" w:styleId="headline1">
    <w:name w:val="headline 1"/>
    <w:basedOn w:val="textregular"/>
    <w:uiPriority w:val="2"/>
    <w:qFormat/>
    <w:rsid w:val="00FF163C"/>
    <w:pPr>
      <w:spacing w:before="400" w:line="340" w:lineRule="exact"/>
      <w:jc w:val="center"/>
      <w:outlineLvl w:val="0"/>
    </w:pPr>
    <w:rPr>
      <w:rFonts w:ascii="Times New Roman" w:hAnsi="Times New Roman" w:cstheme="majorHAnsi"/>
      <w:b/>
      <w:color w:val="23236E" w:themeColor="text2"/>
      <w:sz w:val="24"/>
      <w:szCs w:val="28"/>
    </w:rPr>
  </w:style>
  <w:style w:type="numbering" w:customStyle="1" w:styleId="XXXList">
    <w:name w:val="XXX_List"/>
    <w:basedOn w:val="NoList"/>
    <w:uiPriority w:val="99"/>
    <w:rsid w:val="00D9486F"/>
    <w:pPr>
      <w:numPr>
        <w:numId w:val="1"/>
      </w:numPr>
    </w:pPr>
  </w:style>
  <w:style w:type="character" w:customStyle="1" w:styleId="Heading1Char">
    <w:name w:val="Heading 1 Char"/>
    <w:basedOn w:val="DefaultParagraphFont"/>
    <w:link w:val="Heading1"/>
    <w:uiPriority w:val="9"/>
    <w:rsid w:val="004B6993"/>
    <w:rPr>
      <w:rFonts w:asciiTheme="majorHAnsi" w:eastAsiaTheme="majorEastAsia" w:hAnsiTheme="majorHAnsi" w:cstheme="majorBidi"/>
      <w:b/>
      <w:bCs/>
      <w:color w:val="424477" w:themeColor="accent1" w:themeShade="BF"/>
      <w:sz w:val="28"/>
      <w:szCs w:val="28"/>
    </w:rPr>
  </w:style>
  <w:style w:type="paragraph" w:styleId="TOC1">
    <w:name w:val="toc 1"/>
    <w:basedOn w:val="Normal"/>
    <w:next w:val="Normal"/>
    <w:autoRedefine/>
    <w:uiPriority w:val="39"/>
    <w:unhideWhenUsed/>
    <w:rsid w:val="005F336C"/>
    <w:pPr>
      <w:tabs>
        <w:tab w:val="right" w:leader="dot" w:pos="9514"/>
      </w:tabs>
      <w:spacing w:after="100"/>
    </w:pPr>
    <w:rPr>
      <w:rFonts w:asciiTheme="majorHAnsi" w:hAnsiTheme="majorHAnsi"/>
    </w:rPr>
  </w:style>
  <w:style w:type="paragraph" w:styleId="TOCHeading">
    <w:name w:val="TOC Heading"/>
    <w:basedOn w:val="Heading1"/>
    <w:next w:val="Normal"/>
    <w:uiPriority w:val="39"/>
    <w:unhideWhenUsed/>
    <w:qFormat/>
    <w:rsid w:val="004B6993"/>
    <w:pPr>
      <w:spacing w:line="276" w:lineRule="auto"/>
      <w:outlineLvl w:val="9"/>
    </w:pPr>
  </w:style>
  <w:style w:type="character" w:styleId="Hyperlink">
    <w:name w:val="Hyperlink"/>
    <w:basedOn w:val="DefaultParagraphFont"/>
    <w:uiPriority w:val="99"/>
    <w:rsid w:val="0099378F"/>
    <w:rPr>
      <w:color w:val="0000FF" w:themeColor="hyperlink"/>
      <w:u w:val="single"/>
    </w:rPr>
  </w:style>
  <w:style w:type="paragraph" w:customStyle="1" w:styleId="decisionhead">
    <w:name w:val="decision head"/>
    <w:basedOn w:val="textregular"/>
    <w:uiPriority w:val="3"/>
    <w:qFormat/>
    <w:rsid w:val="00CD009F"/>
    <w:pPr>
      <w:pBdr>
        <w:top w:val="single" w:sz="24" w:space="1" w:color="B4B4C8" w:themeColor="accent4"/>
        <w:left w:val="single" w:sz="24" w:space="4" w:color="B4B4C8" w:themeColor="accent4"/>
        <w:bottom w:val="single" w:sz="24" w:space="1" w:color="B4B4C8" w:themeColor="accent4"/>
        <w:right w:val="single" w:sz="24" w:space="4" w:color="B4B4C8" w:themeColor="accent4"/>
      </w:pBdr>
      <w:shd w:val="clear" w:color="auto" w:fill="B4B4C8" w:themeFill="accent4"/>
      <w:spacing w:after="0" w:line="260" w:lineRule="exact"/>
      <w:ind w:left="170" w:right="170"/>
    </w:pPr>
    <w:rPr>
      <w:rFonts w:asciiTheme="majorHAnsi" w:hAnsiTheme="majorHAnsi" w:cstheme="majorHAnsi"/>
      <w:b/>
      <w:color w:val="23236E" w:themeColor="text2"/>
      <w:sz w:val="24"/>
      <w:szCs w:val="24"/>
    </w:rPr>
  </w:style>
  <w:style w:type="numbering" w:customStyle="1" w:styleId="XXXBulletList">
    <w:name w:val="XXX_Bullet List"/>
    <w:basedOn w:val="NoList"/>
    <w:uiPriority w:val="99"/>
    <w:rsid w:val="00590A19"/>
    <w:pPr>
      <w:numPr>
        <w:numId w:val="2"/>
      </w:numPr>
    </w:pPr>
  </w:style>
  <w:style w:type="paragraph" w:customStyle="1" w:styleId="decisionbullet1">
    <w:name w:val="decision bullet 1"/>
    <w:basedOn w:val="textregular"/>
    <w:uiPriority w:val="4"/>
    <w:qFormat/>
    <w:rsid w:val="00CD009F"/>
    <w:pPr>
      <w:numPr>
        <w:numId w:val="2"/>
      </w:numPr>
      <w:pBdr>
        <w:top w:val="single" w:sz="24" w:space="0" w:color="B4B4C8" w:themeColor="accent4"/>
        <w:left w:val="single" w:sz="24" w:space="4" w:color="B4B4C8" w:themeColor="accent4"/>
        <w:bottom w:val="single" w:sz="24" w:space="0" w:color="B4B4C8" w:themeColor="accent4"/>
        <w:right w:val="single" w:sz="24" w:space="4" w:color="B4B4C8" w:themeColor="accent4"/>
      </w:pBdr>
      <w:shd w:val="clear" w:color="auto" w:fill="B4B4C8" w:themeFill="accent4"/>
      <w:spacing w:after="0"/>
      <w:ind w:left="499" w:right="170"/>
    </w:pPr>
  </w:style>
  <w:style w:type="paragraph" w:customStyle="1" w:styleId="decisionbullet2">
    <w:name w:val="decision bullet 2"/>
    <w:basedOn w:val="textregular"/>
    <w:uiPriority w:val="4"/>
    <w:qFormat/>
    <w:rsid w:val="00B30D59"/>
    <w:pPr>
      <w:numPr>
        <w:ilvl w:val="1"/>
        <w:numId w:val="2"/>
      </w:numPr>
      <w:pBdr>
        <w:top w:val="single" w:sz="24" w:space="1" w:color="B4B4C8" w:themeColor="accent4"/>
        <w:left w:val="single" w:sz="24" w:space="21" w:color="B4B4C8" w:themeColor="accent4"/>
        <w:bottom w:val="single" w:sz="24" w:space="1" w:color="B4B4C8" w:themeColor="accent4"/>
        <w:right w:val="single" w:sz="24" w:space="4" w:color="B4B4C8" w:themeColor="accent4"/>
      </w:pBdr>
      <w:shd w:val="clear" w:color="auto" w:fill="B4B4C8" w:themeFill="accent4"/>
      <w:spacing w:after="0"/>
      <w:ind w:left="851" w:right="170" w:hanging="369"/>
    </w:pPr>
  </w:style>
  <w:style w:type="paragraph" w:customStyle="1" w:styleId="headline3">
    <w:name w:val="headline 3"/>
    <w:basedOn w:val="textregular"/>
    <w:uiPriority w:val="2"/>
    <w:qFormat/>
    <w:rsid w:val="000F693C"/>
    <w:pPr>
      <w:spacing w:after="20"/>
      <w:outlineLvl w:val="2"/>
    </w:pPr>
    <w:rPr>
      <w:b/>
    </w:rPr>
  </w:style>
  <w:style w:type="numbering" w:customStyle="1" w:styleId="XXXNummerierung">
    <w:name w:val="XXX_Nummerierung"/>
    <w:basedOn w:val="NoList"/>
    <w:uiPriority w:val="99"/>
    <w:rsid w:val="00E7480B"/>
    <w:pPr>
      <w:numPr>
        <w:numId w:val="3"/>
      </w:numPr>
    </w:pPr>
  </w:style>
  <w:style w:type="paragraph" w:customStyle="1" w:styleId="textenumeration">
    <w:name w:val="text enumeration"/>
    <w:basedOn w:val="textregular"/>
    <w:uiPriority w:val="4"/>
    <w:qFormat/>
    <w:rsid w:val="00E7480B"/>
    <w:pPr>
      <w:numPr>
        <w:numId w:val="3"/>
      </w:numPr>
      <w:contextualSpacing/>
    </w:pPr>
  </w:style>
  <w:style w:type="paragraph" w:customStyle="1" w:styleId="headline2">
    <w:name w:val="headline 2"/>
    <w:basedOn w:val="textregular"/>
    <w:uiPriority w:val="2"/>
    <w:qFormat/>
    <w:rsid w:val="003F4045"/>
    <w:pPr>
      <w:spacing w:line="260" w:lineRule="exact"/>
      <w:jc w:val="center"/>
      <w:outlineLvl w:val="1"/>
    </w:pPr>
    <w:rPr>
      <w:rFonts w:ascii="Times New Roman" w:hAnsi="Times New Roman" w:cstheme="majorHAnsi"/>
      <w:b/>
      <w:color w:val="23236E" w:themeColor="text2"/>
      <w:sz w:val="24"/>
      <w:szCs w:val="24"/>
    </w:rPr>
  </w:style>
  <w:style w:type="numbering" w:customStyle="1" w:styleId="XXXtextbullets">
    <w:name w:val="XXX_text bullets"/>
    <w:basedOn w:val="NoList"/>
    <w:uiPriority w:val="99"/>
    <w:rsid w:val="000961F8"/>
    <w:pPr>
      <w:numPr>
        <w:numId w:val="4"/>
      </w:numPr>
    </w:pPr>
  </w:style>
  <w:style w:type="paragraph" w:customStyle="1" w:styleId="textbullets">
    <w:name w:val="text bullets"/>
    <w:basedOn w:val="textregular"/>
    <w:uiPriority w:val="5"/>
    <w:qFormat/>
    <w:rsid w:val="000961F8"/>
    <w:pPr>
      <w:numPr>
        <w:numId w:val="4"/>
      </w:numPr>
      <w:contextualSpacing/>
    </w:pPr>
  </w:style>
  <w:style w:type="table" w:customStyle="1" w:styleId="EntsoeeinfacheTabelle">
    <w:name w:val="Entsoe | einfache Tabelle"/>
    <w:basedOn w:val="TableNormal"/>
    <w:uiPriority w:val="99"/>
    <w:qFormat/>
    <w:rsid w:val="00922A3D"/>
    <w:tblPr>
      <w:tblStyleRowBandSize w:val="1"/>
      <w:tblBorders>
        <w:insideV w:val="single" w:sz="12" w:space="0" w:color="FFFFFF" w:themeColor="background1"/>
      </w:tblBorders>
      <w:tblCellMar>
        <w:top w:w="28" w:type="dxa"/>
      </w:tblCellMar>
    </w:tblPr>
    <w:tblStylePr w:type="firstRow">
      <w:pPr>
        <w:wordWrap/>
        <w:spacing w:afterLines="0" w:afterAutospacing="0" w:line="340" w:lineRule="exact"/>
      </w:pPr>
      <w:rPr>
        <w:rFonts w:asciiTheme="majorHAnsi" w:hAnsiTheme="majorHAnsi"/>
        <w:b/>
        <w:color w:val="23236E" w:themeColor="text2"/>
        <w:sz w:val="28"/>
      </w:rPr>
    </w:tblStylePr>
    <w:tblStylePr w:type="band1Horz">
      <w:tblPr/>
      <w:tcPr>
        <w:shd w:val="clear" w:color="auto" w:fill="D9D9D9" w:themeFill="background1" w:themeFillShade="D9"/>
      </w:tcPr>
    </w:tblStylePr>
  </w:style>
  <w:style w:type="paragraph" w:customStyle="1" w:styleId="footnote1">
    <w:name w:val="footnote 1"/>
    <w:basedOn w:val="textregular"/>
    <w:uiPriority w:val="6"/>
    <w:qFormat/>
    <w:rsid w:val="007E6984"/>
    <w:pPr>
      <w:pBdr>
        <w:top w:val="single" w:sz="8" w:space="11" w:color="auto"/>
      </w:pBdr>
      <w:spacing w:after="0"/>
    </w:pPr>
    <w:rPr>
      <w:sz w:val="19"/>
    </w:rPr>
  </w:style>
  <w:style w:type="paragraph" w:customStyle="1" w:styleId="footnote2">
    <w:name w:val="footnote 2"/>
    <w:basedOn w:val="textregular"/>
    <w:uiPriority w:val="6"/>
    <w:qFormat/>
    <w:rsid w:val="007E6984"/>
    <w:pPr>
      <w:spacing w:after="0"/>
    </w:pPr>
    <w:rPr>
      <w:sz w:val="19"/>
    </w:rPr>
  </w:style>
  <w:style w:type="paragraph" w:styleId="TOC3">
    <w:name w:val="toc 3"/>
    <w:basedOn w:val="Normal"/>
    <w:next w:val="Normal"/>
    <w:autoRedefine/>
    <w:uiPriority w:val="39"/>
    <w:unhideWhenUsed/>
    <w:rsid w:val="000F693C"/>
    <w:pPr>
      <w:spacing w:after="100"/>
      <w:ind w:left="440"/>
    </w:pPr>
  </w:style>
  <w:style w:type="paragraph" w:styleId="TOC2">
    <w:name w:val="toc 2"/>
    <w:basedOn w:val="Normal"/>
    <w:next w:val="Normal"/>
    <w:autoRedefine/>
    <w:uiPriority w:val="39"/>
    <w:unhideWhenUsed/>
    <w:rsid w:val="000F693C"/>
    <w:pPr>
      <w:spacing w:after="100"/>
      <w:ind w:left="220"/>
    </w:pPr>
  </w:style>
  <w:style w:type="character" w:styleId="CommentReference">
    <w:name w:val="annotation reference"/>
    <w:basedOn w:val="DefaultParagraphFont"/>
    <w:uiPriority w:val="99"/>
    <w:semiHidden/>
    <w:unhideWhenUsed/>
    <w:rsid w:val="00E377D1"/>
    <w:rPr>
      <w:sz w:val="16"/>
      <w:szCs w:val="16"/>
    </w:rPr>
  </w:style>
  <w:style w:type="paragraph" w:styleId="CommentText">
    <w:name w:val="annotation text"/>
    <w:basedOn w:val="Normal"/>
    <w:link w:val="CommentTextChar"/>
    <w:uiPriority w:val="99"/>
    <w:unhideWhenUsed/>
    <w:rsid w:val="00E377D1"/>
    <w:rPr>
      <w:sz w:val="20"/>
      <w:szCs w:val="20"/>
    </w:rPr>
  </w:style>
  <w:style w:type="character" w:customStyle="1" w:styleId="CommentTextChar">
    <w:name w:val="Comment Text Char"/>
    <w:basedOn w:val="DefaultParagraphFont"/>
    <w:link w:val="CommentText"/>
    <w:uiPriority w:val="99"/>
    <w:rsid w:val="00E377D1"/>
    <w:rPr>
      <w:sz w:val="20"/>
      <w:szCs w:val="20"/>
      <w:lang w:val="en-GB"/>
    </w:rPr>
  </w:style>
  <w:style w:type="paragraph" w:styleId="Title">
    <w:name w:val="Title"/>
    <w:basedOn w:val="Normal"/>
    <w:next w:val="Normal"/>
    <w:link w:val="TitleChar"/>
    <w:uiPriority w:val="10"/>
    <w:qFormat/>
    <w:rsid w:val="00E377D1"/>
    <w:pPr>
      <w:contextualSpacing/>
    </w:pPr>
    <w:rPr>
      <w:rFonts w:asciiTheme="majorHAnsi" w:eastAsiaTheme="majorEastAsia" w:hAnsiTheme="majorHAnsi" w:cstheme="majorBidi"/>
      <w:spacing w:val="-10"/>
      <w:kern w:val="28"/>
      <w:sz w:val="56"/>
      <w:szCs w:val="56"/>
      <w:lang w:val="fi-FI"/>
    </w:rPr>
  </w:style>
  <w:style w:type="character" w:customStyle="1" w:styleId="TitleChar">
    <w:name w:val="Title Char"/>
    <w:basedOn w:val="DefaultParagraphFont"/>
    <w:link w:val="Title"/>
    <w:uiPriority w:val="10"/>
    <w:rsid w:val="00E377D1"/>
    <w:rPr>
      <w:rFonts w:asciiTheme="majorHAnsi" w:eastAsiaTheme="majorEastAsia" w:hAnsiTheme="majorHAnsi" w:cstheme="majorBidi"/>
      <w:spacing w:val="-10"/>
      <w:kern w:val="28"/>
      <w:sz w:val="56"/>
      <w:szCs w:val="56"/>
      <w:lang w:val="fi-FI"/>
    </w:rPr>
  </w:style>
  <w:style w:type="paragraph" w:styleId="FootnoteText">
    <w:name w:val="footnote text"/>
    <w:aliases w:val="footnotes"/>
    <w:basedOn w:val="Normal"/>
    <w:link w:val="FootnoteTextChar"/>
    <w:unhideWhenUsed/>
    <w:rsid w:val="006A737C"/>
    <w:rPr>
      <w:sz w:val="20"/>
      <w:szCs w:val="20"/>
    </w:rPr>
  </w:style>
  <w:style w:type="character" w:customStyle="1" w:styleId="FootnoteTextChar">
    <w:name w:val="Footnote Text Char"/>
    <w:aliases w:val="footnotes Char"/>
    <w:basedOn w:val="DefaultParagraphFont"/>
    <w:link w:val="FootnoteText"/>
    <w:rsid w:val="006A737C"/>
    <w:rPr>
      <w:sz w:val="20"/>
      <w:szCs w:val="20"/>
      <w:lang w:val="en-GB"/>
    </w:rPr>
  </w:style>
  <w:style w:type="character" w:styleId="FootnoteReference">
    <w:name w:val="footnote reference"/>
    <w:basedOn w:val="DefaultParagraphFont"/>
    <w:semiHidden/>
    <w:unhideWhenUsed/>
    <w:rsid w:val="006A737C"/>
    <w:rPr>
      <w:vertAlign w:val="superscript"/>
    </w:rPr>
  </w:style>
  <w:style w:type="paragraph" w:styleId="CommentSubject">
    <w:name w:val="annotation subject"/>
    <w:basedOn w:val="CommentText"/>
    <w:next w:val="CommentText"/>
    <w:link w:val="CommentSubjectChar"/>
    <w:uiPriority w:val="99"/>
    <w:semiHidden/>
    <w:unhideWhenUsed/>
    <w:rsid w:val="006A737C"/>
    <w:pPr>
      <w:spacing w:after="160"/>
    </w:pPr>
    <w:rPr>
      <w:b/>
      <w:bCs/>
      <w:lang w:val="fi-FI"/>
    </w:rPr>
  </w:style>
  <w:style w:type="character" w:customStyle="1" w:styleId="CommentSubjectChar">
    <w:name w:val="Comment Subject Char"/>
    <w:basedOn w:val="CommentTextChar"/>
    <w:link w:val="CommentSubject"/>
    <w:uiPriority w:val="99"/>
    <w:semiHidden/>
    <w:rsid w:val="006A737C"/>
    <w:rPr>
      <w:b/>
      <w:bCs/>
      <w:sz w:val="20"/>
      <w:szCs w:val="20"/>
      <w:lang w:val="fi-FI"/>
    </w:rPr>
  </w:style>
  <w:style w:type="character" w:customStyle="1" w:styleId="KommentintekstiChar">
    <w:name w:val="Kommentin teksti Char"/>
    <w:basedOn w:val="DefaultParagraphFont"/>
    <w:uiPriority w:val="99"/>
    <w:rsid w:val="006A737C"/>
    <w:rPr>
      <w:sz w:val="20"/>
      <w:szCs w:val="20"/>
    </w:rPr>
  </w:style>
  <w:style w:type="paragraph" w:styleId="ListParagraph">
    <w:name w:val="List Paragraph"/>
    <w:aliases w:val="Odstavec1,Puce"/>
    <w:basedOn w:val="Normal"/>
    <w:link w:val="ListParagraphChar"/>
    <w:uiPriority w:val="34"/>
    <w:qFormat/>
    <w:rsid w:val="004038AE"/>
    <w:pPr>
      <w:spacing w:after="160" w:line="259" w:lineRule="auto"/>
      <w:ind w:left="720"/>
      <w:contextualSpacing/>
      <w:jc w:val="both"/>
    </w:pPr>
    <w:rPr>
      <w:lang w:val="fi-FI"/>
    </w:rPr>
  </w:style>
  <w:style w:type="paragraph" w:customStyle="1" w:styleId="Default">
    <w:name w:val="Default"/>
    <w:rsid w:val="006A737C"/>
    <w:pPr>
      <w:autoSpaceDE w:val="0"/>
      <w:autoSpaceDN w:val="0"/>
      <w:adjustRightInd w:val="0"/>
    </w:pPr>
    <w:rPr>
      <w:rFonts w:ascii="EUAlbertina" w:hAnsi="EUAlbertina" w:cs="EUAlbertina"/>
      <w:color w:val="000000"/>
      <w:sz w:val="24"/>
      <w:szCs w:val="24"/>
      <w:lang w:val="de-AT"/>
    </w:rPr>
  </w:style>
  <w:style w:type="character" w:customStyle="1" w:styleId="AlaviitteentekstiChar">
    <w:name w:val="Alaviitteen teksti Char"/>
    <w:basedOn w:val="DefaultParagraphFont"/>
    <w:uiPriority w:val="99"/>
    <w:semiHidden/>
    <w:rsid w:val="006A737C"/>
    <w:rPr>
      <w:sz w:val="20"/>
      <w:szCs w:val="20"/>
    </w:rPr>
  </w:style>
  <w:style w:type="character" w:customStyle="1" w:styleId="descriptionid1siteid2571">
    <w:name w:val="descriptionid1siteid2571"/>
    <w:basedOn w:val="DefaultParagraphFont"/>
    <w:rsid w:val="006A737C"/>
    <w:rPr>
      <w:rFonts w:ascii="Arial" w:hAnsi="Arial" w:cs="Arial" w:hint="default"/>
      <w:color w:val="666666"/>
      <w:sz w:val="18"/>
      <w:szCs w:val="18"/>
    </w:rPr>
  </w:style>
  <w:style w:type="paragraph" w:customStyle="1" w:styleId="Normln1">
    <w:name w:val="Normální1"/>
    <w:aliases w:val="ČEPS Arial"/>
    <w:basedOn w:val="Normal"/>
    <w:rsid w:val="006A737C"/>
    <w:rPr>
      <w:rFonts w:ascii="Calibri" w:hAnsi="Calibri" w:cs="Times New Roman"/>
      <w:lang w:val="pl-PL"/>
    </w:rPr>
  </w:style>
  <w:style w:type="character" w:styleId="FollowedHyperlink">
    <w:name w:val="FollowedHyperlink"/>
    <w:basedOn w:val="DefaultParagraphFont"/>
    <w:uiPriority w:val="99"/>
    <w:semiHidden/>
    <w:unhideWhenUsed/>
    <w:rsid w:val="006A737C"/>
    <w:rPr>
      <w:color w:val="800080" w:themeColor="followedHyperlink"/>
      <w:u w:val="single"/>
    </w:rPr>
  </w:style>
  <w:style w:type="paragraph" w:styleId="Revision">
    <w:name w:val="Revision"/>
    <w:hidden/>
    <w:uiPriority w:val="99"/>
    <w:semiHidden/>
    <w:rsid w:val="006A737C"/>
    <w:rPr>
      <w:lang w:val="fi-FI"/>
    </w:rPr>
  </w:style>
  <w:style w:type="character" w:customStyle="1" w:styleId="textregularZchn">
    <w:name w:val="text regular Zchn"/>
    <w:basedOn w:val="DefaultParagraphFont"/>
    <w:link w:val="textregular"/>
    <w:locked/>
    <w:rsid w:val="00FA1C08"/>
    <w:rPr>
      <w:lang w:val="en-GB"/>
    </w:rPr>
  </w:style>
  <w:style w:type="paragraph" w:styleId="NormalWeb">
    <w:name w:val="Normal (Web)"/>
    <w:basedOn w:val="Normal"/>
    <w:uiPriority w:val="99"/>
    <w:unhideWhenUsed/>
    <w:rsid w:val="007C72F1"/>
    <w:pPr>
      <w:spacing w:before="100" w:beforeAutospacing="1" w:after="100" w:afterAutospacing="1"/>
    </w:pPr>
    <w:rPr>
      <w:rFonts w:ascii="Times New Roman" w:eastAsia="Times New Roman" w:hAnsi="Times New Roman" w:cs="Times New Roman"/>
      <w:sz w:val="24"/>
      <w:szCs w:val="24"/>
      <w:lang w:val="en-US"/>
    </w:rPr>
  </w:style>
  <w:style w:type="character" w:customStyle="1" w:styleId="ListParagraphChar">
    <w:name w:val="List Paragraph Char"/>
    <w:aliases w:val="Odstavec1 Char,Puce Char"/>
    <w:basedOn w:val="DefaultParagraphFont"/>
    <w:link w:val="ListParagraph"/>
    <w:uiPriority w:val="34"/>
    <w:locked/>
    <w:rsid w:val="007C72F1"/>
    <w:rPr>
      <w:lang w:val="fi-FI"/>
    </w:rPr>
  </w:style>
  <w:style w:type="paragraph" w:customStyle="1" w:styleId="NumPar1">
    <w:name w:val="NumPar 1"/>
    <w:basedOn w:val="Normal"/>
    <w:next w:val="Normal"/>
    <w:rsid w:val="004A1545"/>
    <w:pPr>
      <w:numPr>
        <w:numId w:val="7"/>
      </w:numPr>
      <w:spacing w:before="120" w:after="120"/>
      <w:jc w:val="both"/>
    </w:pPr>
    <w:rPr>
      <w:rFonts w:ascii="Times New Roman" w:hAnsi="Times New Roman" w:cs="Times New Roman"/>
      <w:sz w:val="24"/>
    </w:rPr>
  </w:style>
  <w:style w:type="paragraph" w:customStyle="1" w:styleId="NumPar2">
    <w:name w:val="NumPar 2"/>
    <w:basedOn w:val="Normal"/>
    <w:next w:val="Normal"/>
    <w:rsid w:val="004A1545"/>
    <w:pPr>
      <w:numPr>
        <w:ilvl w:val="1"/>
        <w:numId w:val="7"/>
      </w:numPr>
      <w:spacing w:before="120" w:after="120"/>
      <w:jc w:val="both"/>
    </w:pPr>
    <w:rPr>
      <w:rFonts w:ascii="Times New Roman" w:hAnsi="Times New Roman" w:cs="Times New Roman"/>
      <w:sz w:val="24"/>
    </w:rPr>
  </w:style>
  <w:style w:type="paragraph" w:customStyle="1" w:styleId="NumPar3">
    <w:name w:val="NumPar 3"/>
    <w:basedOn w:val="Normal"/>
    <w:next w:val="Normal"/>
    <w:rsid w:val="004A1545"/>
    <w:pPr>
      <w:numPr>
        <w:ilvl w:val="2"/>
        <w:numId w:val="7"/>
      </w:numPr>
      <w:spacing w:before="120" w:after="120"/>
      <w:jc w:val="both"/>
    </w:pPr>
    <w:rPr>
      <w:rFonts w:ascii="Times New Roman" w:hAnsi="Times New Roman" w:cs="Times New Roman"/>
      <w:sz w:val="24"/>
    </w:rPr>
  </w:style>
  <w:style w:type="paragraph" w:customStyle="1" w:styleId="NumPar4">
    <w:name w:val="NumPar 4"/>
    <w:basedOn w:val="Normal"/>
    <w:next w:val="Normal"/>
    <w:rsid w:val="004A1545"/>
    <w:pPr>
      <w:numPr>
        <w:ilvl w:val="3"/>
        <w:numId w:val="7"/>
      </w:numPr>
      <w:spacing w:before="120" w:after="120"/>
      <w:jc w:val="both"/>
    </w:pPr>
    <w:rPr>
      <w:rFonts w:ascii="Times New Roman" w:hAnsi="Times New Roman" w:cs="Times New Roman"/>
      <w:sz w:val="24"/>
    </w:rPr>
  </w:style>
  <w:style w:type="paragraph" w:styleId="Caption">
    <w:name w:val="caption"/>
    <w:basedOn w:val="Normal"/>
    <w:next w:val="Normal"/>
    <w:uiPriority w:val="35"/>
    <w:unhideWhenUsed/>
    <w:qFormat/>
    <w:rsid w:val="000E773E"/>
    <w:pPr>
      <w:spacing w:after="200"/>
    </w:pPr>
    <w:rPr>
      <w:i/>
      <w:iCs/>
      <w:color w:val="23236E" w:themeColor="text2"/>
      <w:sz w:val="18"/>
      <w:szCs w:val="18"/>
    </w:rPr>
  </w:style>
  <w:style w:type="character" w:styleId="LineNumber">
    <w:name w:val="line number"/>
    <w:basedOn w:val="DefaultParagraphFont"/>
    <w:uiPriority w:val="99"/>
    <w:semiHidden/>
    <w:unhideWhenUsed/>
    <w:rsid w:val="003024C9"/>
  </w:style>
  <w:style w:type="character" w:customStyle="1" w:styleId="Heading2Char">
    <w:name w:val="Heading 2 Char"/>
    <w:basedOn w:val="DefaultParagraphFont"/>
    <w:link w:val="Heading2"/>
    <w:uiPriority w:val="9"/>
    <w:semiHidden/>
    <w:rsid w:val="002C565C"/>
    <w:rPr>
      <w:rFonts w:asciiTheme="majorHAnsi" w:eastAsiaTheme="majorEastAsia" w:hAnsiTheme="majorHAnsi" w:cstheme="majorBidi"/>
      <w:color w:val="424477"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8124">
      <w:bodyDiv w:val="1"/>
      <w:marLeft w:val="0"/>
      <w:marRight w:val="0"/>
      <w:marTop w:val="0"/>
      <w:marBottom w:val="0"/>
      <w:divBdr>
        <w:top w:val="none" w:sz="0" w:space="0" w:color="auto"/>
        <w:left w:val="none" w:sz="0" w:space="0" w:color="auto"/>
        <w:bottom w:val="none" w:sz="0" w:space="0" w:color="auto"/>
        <w:right w:val="none" w:sz="0" w:space="0" w:color="auto"/>
      </w:divBdr>
    </w:div>
    <w:div w:id="188225808">
      <w:bodyDiv w:val="1"/>
      <w:marLeft w:val="0"/>
      <w:marRight w:val="0"/>
      <w:marTop w:val="0"/>
      <w:marBottom w:val="0"/>
      <w:divBdr>
        <w:top w:val="none" w:sz="0" w:space="0" w:color="auto"/>
        <w:left w:val="none" w:sz="0" w:space="0" w:color="auto"/>
        <w:bottom w:val="none" w:sz="0" w:space="0" w:color="auto"/>
        <w:right w:val="none" w:sz="0" w:space="0" w:color="auto"/>
      </w:divBdr>
    </w:div>
    <w:div w:id="302084168">
      <w:bodyDiv w:val="1"/>
      <w:marLeft w:val="0"/>
      <w:marRight w:val="0"/>
      <w:marTop w:val="0"/>
      <w:marBottom w:val="0"/>
      <w:divBdr>
        <w:top w:val="none" w:sz="0" w:space="0" w:color="auto"/>
        <w:left w:val="none" w:sz="0" w:space="0" w:color="auto"/>
        <w:bottom w:val="none" w:sz="0" w:space="0" w:color="auto"/>
        <w:right w:val="none" w:sz="0" w:space="0" w:color="auto"/>
      </w:divBdr>
    </w:div>
    <w:div w:id="401604933">
      <w:bodyDiv w:val="1"/>
      <w:marLeft w:val="0"/>
      <w:marRight w:val="0"/>
      <w:marTop w:val="0"/>
      <w:marBottom w:val="0"/>
      <w:divBdr>
        <w:top w:val="none" w:sz="0" w:space="0" w:color="auto"/>
        <w:left w:val="none" w:sz="0" w:space="0" w:color="auto"/>
        <w:bottom w:val="none" w:sz="0" w:space="0" w:color="auto"/>
        <w:right w:val="none" w:sz="0" w:space="0" w:color="auto"/>
      </w:divBdr>
    </w:div>
    <w:div w:id="642392771">
      <w:bodyDiv w:val="1"/>
      <w:marLeft w:val="0"/>
      <w:marRight w:val="0"/>
      <w:marTop w:val="0"/>
      <w:marBottom w:val="0"/>
      <w:divBdr>
        <w:top w:val="none" w:sz="0" w:space="0" w:color="auto"/>
        <w:left w:val="none" w:sz="0" w:space="0" w:color="auto"/>
        <w:bottom w:val="none" w:sz="0" w:space="0" w:color="auto"/>
        <w:right w:val="none" w:sz="0" w:space="0" w:color="auto"/>
      </w:divBdr>
    </w:div>
    <w:div w:id="761298046">
      <w:bodyDiv w:val="1"/>
      <w:marLeft w:val="0"/>
      <w:marRight w:val="0"/>
      <w:marTop w:val="0"/>
      <w:marBottom w:val="0"/>
      <w:divBdr>
        <w:top w:val="none" w:sz="0" w:space="0" w:color="auto"/>
        <w:left w:val="none" w:sz="0" w:space="0" w:color="auto"/>
        <w:bottom w:val="none" w:sz="0" w:space="0" w:color="auto"/>
        <w:right w:val="none" w:sz="0" w:space="0" w:color="auto"/>
      </w:divBdr>
    </w:div>
    <w:div w:id="802579339">
      <w:bodyDiv w:val="1"/>
      <w:marLeft w:val="0"/>
      <w:marRight w:val="0"/>
      <w:marTop w:val="0"/>
      <w:marBottom w:val="0"/>
      <w:divBdr>
        <w:top w:val="none" w:sz="0" w:space="0" w:color="auto"/>
        <w:left w:val="none" w:sz="0" w:space="0" w:color="auto"/>
        <w:bottom w:val="none" w:sz="0" w:space="0" w:color="auto"/>
        <w:right w:val="none" w:sz="0" w:space="0" w:color="auto"/>
      </w:divBdr>
      <w:divsChild>
        <w:div w:id="240527733">
          <w:marLeft w:val="547"/>
          <w:marRight w:val="0"/>
          <w:marTop w:val="0"/>
          <w:marBottom w:val="0"/>
          <w:divBdr>
            <w:top w:val="none" w:sz="0" w:space="0" w:color="auto"/>
            <w:left w:val="none" w:sz="0" w:space="0" w:color="auto"/>
            <w:bottom w:val="none" w:sz="0" w:space="0" w:color="auto"/>
            <w:right w:val="none" w:sz="0" w:space="0" w:color="auto"/>
          </w:divBdr>
        </w:div>
        <w:div w:id="333382749">
          <w:marLeft w:val="547"/>
          <w:marRight w:val="0"/>
          <w:marTop w:val="0"/>
          <w:marBottom w:val="0"/>
          <w:divBdr>
            <w:top w:val="none" w:sz="0" w:space="0" w:color="auto"/>
            <w:left w:val="none" w:sz="0" w:space="0" w:color="auto"/>
            <w:bottom w:val="none" w:sz="0" w:space="0" w:color="auto"/>
            <w:right w:val="none" w:sz="0" w:space="0" w:color="auto"/>
          </w:divBdr>
        </w:div>
        <w:div w:id="161624788">
          <w:marLeft w:val="547"/>
          <w:marRight w:val="0"/>
          <w:marTop w:val="0"/>
          <w:marBottom w:val="0"/>
          <w:divBdr>
            <w:top w:val="none" w:sz="0" w:space="0" w:color="auto"/>
            <w:left w:val="none" w:sz="0" w:space="0" w:color="auto"/>
            <w:bottom w:val="none" w:sz="0" w:space="0" w:color="auto"/>
            <w:right w:val="none" w:sz="0" w:space="0" w:color="auto"/>
          </w:divBdr>
        </w:div>
        <w:div w:id="2092314378">
          <w:marLeft w:val="547"/>
          <w:marRight w:val="0"/>
          <w:marTop w:val="0"/>
          <w:marBottom w:val="0"/>
          <w:divBdr>
            <w:top w:val="none" w:sz="0" w:space="0" w:color="auto"/>
            <w:left w:val="none" w:sz="0" w:space="0" w:color="auto"/>
            <w:bottom w:val="none" w:sz="0" w:space="0" w:color="auto"/>
            <w:right w:val="none" w:sz="0" w:space="0" w:color="auto"/>
          </w:divBdr>
        </w:div>
      </w:divsChild>
    </w:div>
    <w:div w:id="915163957">
      <w:bodyDiv w:val="1"/>
      <w:marLeft w:val="0"/>
      <w:marRight w:val="0"/>
      <w:marTop w:val="0"/>
      <w:marBottom w:val="0"/>
      <w:divBdr>
        <w:top w:val="none" w:sz="0" w:space="0" w:color="auto"/>
        <w:left w:val="none" w:sz="0" w:space="0" w:color="auto"/>
        <w:bottom w:val="none" w:sz="0" w:space="0" w:color="auto"/>
        <w:right w:val="none" w:sz="0" w:space="0" w:color="auto"/>
      </w:divBdr>
      <w:divsChild>
        <w:div w:id="1190072783">
          <w:marLeft w:val="547"/>
          <w:marRight w:val="0"/>
          <w:marTop w:val="0"/>
          <w:marBottom w:val="0"/>
          <w:divBdr>
            <w:top w:val="none" w:sz="0" w:space="0" w:color="auto"/>
            <w:left w:val="none" w:sz="0" w:space="0" w:color="auto"/>
            <w:bottom w:val="none" w:sz="0" w:space="0" w:color="auto"/>
            <w:right w:val="none" w:sz="0" w:space="0" w:color="auto"/>
          </w:divBdr>
        </w:div>
      </w:divsChild>
    </w:div>
    <w:div w:id="989332079">
      <w:bodyDiv w:val="1"/>
      <w:marLeft w:val="0"/>
      <w:marRight w:val="0"/>
      <w:marTop w:val="0"/>
      <w:marBottom w:val="0"/>
      <w:divBdr>
        <w:top w:val="none" w:sz="0" w:space="0" w:color="auto"/>
        <w:left w:val="none" w:sz="0" w:space="0" w:color="auto"/>
        <w:bottom w:val="none" w:sz="0" w:space="0" w:color="auto"/>
        <w:right w:val="none" w:sz="0" w:space="0" w:color="auto"/>
      </w:divBdr>
      <w:divsChild>
        <w:div w:id="803545482">
          <w:marLeft w:val="0"/>
          <w:marRight w:val="0"/>
          <w:marTop w:val="0"/>
          <w:marBottom w:val="0"/>
          <w:divBdr>
            <w:top w:val="none" w:sz="0" w:space="0" w:color="auto"/>
            <w:left w:val="none" w:sz="0" w:space="0" w:color="auto"/>
            <w:bottom w:val="none" w:sz="0" w:space="0" w:color="auto"/>
            <w:right w:val="none" w:sz="0" w:space="0" w:color="auto"/>
          </w:divBdr>
          <w:divsChild>
            <w:div w:id="1195926843">
              <w:marLeft w:val="0"/>
              <w:marRight w:val="0"/>
              <w:marTop w:val="0"/>
              <w:marBottom w:val="0"/>
              <w:divBdr>
                <w:top w:val="none" w:sz="0" w:space="0" w:color="auto"/>
                <w:left w:val="none" w:sz="0" w:space="0" w:color="auto"/>
                <w:bottom w:val="none" w:sz="0" w:space="0" w:color="auto"/>
                <w:right w:val="none" w:sz="0" w:space="0" w:color="auto"/>
              </w:divBdr>
              <w:divsChild>
                <w:div w:id="790707383">
                  <w:marLeft w:val="0"/>
                  <w:marRight w:val="0"/>
                  <w:marTop w:val="0"/>
                  <w:marBottom w:val="0"/>
                  <w:divBdr>
                    <w:top w:val="none" w:sz="0" w:space="0" w:color="auto"/>
                    <w:left w:val="none" w:sz="0" w:space="0" w:color="auto"/>
                    <w:bottom w:val="none" w:sz="0" w:space="0" w:color="auto"/>
                    <w:right w:val="none" w:sz="0" w:space="0" w:color="auto"/>
                  </w:divBdr>
                  <w:divsChild>
                    <w:div w:id="1348096397">
                      <w:marLeft w:val="1"/>
                      <w:marRight w:val="1"/>
                      <w:marTop w:val="0"/>
                      <w:marBottom w:val="0"/>
                      <w:divBdr>
                        <w:top w:val="none" w:sz="0" w:space="0" w:color="auto"/>
                        <w:left w:val="none" w:sz="0" w:space="0" w:color="auto"/>
                        <w:bottom w:val="none" w:sz="0" w:space="0" w:color="auto"/>
                        <w:right w:val="none" w:sz="0" w:space="0" w:color="auto"/>
                      </w:divBdr>
                      <w:divsChild>
                        <w:div w:id="612177350">
                          <w:marLeft w:val="0"/>
                          <w:marRight w:val="0"/>
                          <w:marTop w:val="0"/>
                          <w:marBottom w:val="0"/>
                          <w:divBdr>
                            <w:top w:val="none" w:sz="0" w:space="0" w:color="auto"/>
                            <w:left w:val="none" w:sz="0" w:space="0" w:color="auto"/>
                            <w:bottom w:val="none" w:sz="0" w:space="0" w:color="auto"/>
                            <w:right w:val="none" w:sz="0" w:space="0" w:color="auto"/>
                          </w:divBdr>
                          <w:divsChild>
                            <w:div w:id="374433226">
                              <w:marLeft w:val="0"/>
                              <w:marRight w:val="0"/>
                              <w:marTop w:val="0"/>
                              <w:marBottom w:val="360"/>
                              <w:divBdr>
                                <w:top w:val="none" w:sz="0" w:space="0" w:color="auto"/>
                                <w:left w:val="none" w:sz="0" w:space="0" w:color="auto"/>
                                <w:bottom w:val="none" w:sz="0" w:space="0" w:color="auto"/>
                                <w:right w:val="none" w:sz="0" w:space="0" w:color="auto"/>
                              </w:divBdr>
                              <w:divsChild>
                                <w:div w:id="1660844595">
                                  <w:marLeft w:val="0"/>
                                  <w:marRight w:val="0"/>
                                  <w:marTop w:val="0"/>
                                  <w:marBottom w:val="0"/>
                                  <w:divBdr>
                                    <w:top w:val="none" w:sz="0" w:space="0" w:color="auto"/>
                                    <w:left w:val="none" w:sz="0" w:space="0" w:color="auto"/>
                                    <w:bottom w:val="none" w:sz="0" w:space="0" w:color="auto"/>
                                    <w:right w:val="none" w:sz="0" w:space="0" w:color="auto"/>
                                  </w:divBdr>
                                  <w:divsChild>
                                    <w:div w:id="507061106">
                                      <w:marLeft w:val="0"/>
                                      <w:marRight w:val="0"/>
                                      <w:marTop w:val="0"/>
                                      <w:marBottom w:val="0"/>
                                      <w:divBdr>
                                        <w:top w:val="none" w:sz="0" w:space="0" w:color="auto"/>
                                        <w:left w:val="none" w:sz="0" w:space="0" w:color="auto"/>
                                        <w:bottom w:val="none" w:sz="0" w:space="0" w:color="auto"/>
                                        <w:right w:val="none" w:sz="0" w:space="0" w:color="auto"/>
                                      </w:divBdr>
                                      <w:divsChild>
                                        <w:div w:id="821695890">
                                          <w:marLeft w:val="0"/>
                                          <w:marRight w:val="0"/>
                                          <w:marTop w:val="0"/>
                                          <w:marBottom w:val="0"/>
                                          <w:divBdr>
                                            <w:top w:val="none" w:sz="0" w:space="0" w:color="auto"/>
                                            <w:left w:val="none" w:sz="0" w:space="0" w:color="auto"/>
                                            <w:bottom w:val="none" w:sz="0" w:space="0" w:color="auto"/>
                                            <w:right w:val="none" w:sz="0" w:space="0" w:color="auto"/>
                                          </w:divBdr>
                                          <w:divsChild>
                                            <w:div w:id="1351419836">
                                              <w:marLeft w:val="0"/>
                                              <w:marRight w:val="0"/>
                                              <w:marTop w:val="0"/>
                                              <w:marBottom w:val="0"/>
                                              <w:divBdr>
                                                <w:top w:val="none" w:sz="0" w:space="0" w:color="auto"/>
                                                <w:left w:val="none" w:sz="0" w:space="0" w:color="auto"/>
                                                <w:bottom w:val="none" w:sz="0" w:space="0" w:color="auto"/>
                                                <w:right w:val="none" w:sz="0" w:space="0" w:color="auto"/>
                                              </w:divBdr>
                                              <w:divsChild>
                                                <w:div w:id="3862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3911758">
      <w:bodyDiv w:val="1"/>
      <w:marLeft w:val="0"/>
      <w:marRight w:val="0"/>
      <w:marTop w:val="0"/>
      <w:marBottom w:val="0"/>
      <w:divBdr>
        <w:top w:val="none" w:sz="0" w:space="0" w:color="auto"/>
        <w:left w:val="none" w:sz="0" w:space="0" w:color="auto"/>
        <w:bottom w:val="none" w:sz="0" w:space="0" w:color="auto"/>
        <w:right w:val="none" w:sz="0" w:space="0" w:color="auto"/>
      </w:divBdr>
    </w:div>
    <w:div w:id="1170565438">
      <w:bodyDiv w:val="1"/>
      <w:marLeft w:val="0"/>
      <w:marRight w:val="0"/>
      <w:marTop w:val="0"/>
      <w:marBottom w:val="0"/>
      <w:divBdr>
        <w:top w:val="none" w:sz="0" w:space="0" w:color="auto"/>
        <w:left w:val="none" w:sz="0" w:space="0" w:color="auto"/>
        <w:bottom w:val="none" w:sz="0" w:space="0" w:color="auto"/>
        <w:right w:val="none" w:sz="0" w:space="0" w:color="auto"/>
      </w:divBdr>
    </w:div>
    <w:div w:id="1489129744">
      <w:bodyDiv w:val="1"/>
      <w:marLeft w:val="0"/>
      <w:marRight w:val="0"/>
      <w:marTop w:val="0"/>
      <w:marBottom w:val="0"/>
      <w:divBdr>
        <w:top w:val="none" w:sz="0" w:space="0" w:color="auto"/>
        <w:left w:val="none" w:sz="0" w:space="0" w:color="auto"/>
        <w:bottom w:val="none" w:sz="0" w:space="0" w:color="auto"/>
        <w:right w:val="none" w:sz="0" w:space="0" w:color="auto"/>
      </w:divBdr>
    </w:div>
    <w:div w:id="1518807986">
      <w:bodyDiv w:val="1"/>
      <w:marLeft w:val="0"/>
      <w:marRight w:val="0"/>
      <w:marTop w:val="0"/>
      <w:marBottom w:val="0"/>
      <w:divBdr>
        <w:top w:val="none" w:sz="0" w:space="0" w:color="auto"/>
        <w:left w:val="none" w:sz="0" w:space="0" w:color="auto"/>
        <w:bottom w:val="none" w:sz="0" w:space="0" w:color="auto"/>
        <w:right w:val="none" w:sz="0" w:space="0" w:color="auto"/>
      </w:divBdr>
    </w:div>
    <w:div w:id="1520923059">
      <w:bodyDiv w:val="1"/>
      <w:marLeft w:val="0"/>
      <w:marRight w:val="0"/>
      <w:marTop w:val="0"/>
      <w:marBottom w:val="0"/>
      <w:divBdr>
        <w:top w:val="none" w:sz="0" w:space="0" w:color="auto"/>
        <w:left w:val="none" w:sz="0" w:space="0" w:color="auto"/>
        <w:bottom w:val="none" w:sz="0" w:space="0" w:color="auto"/>
        <w:right w:val="none" w:sz="0" w:space="0" w:color="auto"/>
      </w:divBdr>
    </w:div>
    <w:div w:id="1528522219">
      <w:bodyDiv w:val="1"/>
      <w:marLeft w:val="0"/>
      <w:marRight w:val="0"/>
      <w:marTop w:val="0"/>
      <w:marBottom w:val="0"/>
      <w:divBdr>
        <w:top w:val="none" w:sz="0" w:space="0" w:color="auto"/>
        <w:left w:val="none" w:sz="0" w:space="0" w:color="auto"/>
        <w:bottom w:val="none" w:sz="0" w:space="0" w:color="auto"/>
        <w:right w:val="none" w:sz="0" w:space="0" w:color="auto"/>
      </w:divBdr>
    </w:div>
    <w:div w:id="1627152331">
      <w:bodyDiv w:val="1"/>
      <w:marLeft w:val="0"/>
      <w:marRight w:val="0"/>
      <w:marTop w:val="0"/>
      <w:marBottom w:val="0"/>
      <w:divBdr>
        <w:top w:val="none" w:sz="0" w:space="0" w:color="auto"/>
        <w:left w:val="none" w:sz="0" w:space="0" w:color="auto"/>
        <w:bottom w:val="none" w:sz="0" w:space="0" w:color="auto"/>
        <w:right w:val="none" w:sz="0" w:space="0" w:color="auto"/>
      </w:divBdr>
    </w:div>
    <w:div w:id="1744371995">
      <w:bodyDiv w:val="1"/>
      <w:marLeft w:val="0"/>
      <w:marRight w:val="0"/>
      <w:marTop w:val="0"/>
      <w:marBottom w:val="0"/>
      <w:divBdr>
        <w:top w:val="none" w:sz="0" w:space="0" w:color="auto"/>
        <w:left w:val="none" w:sz="0" w:space="0" w:color="auto"/>
        <w:bottom w:val="none" w:sz="0" w:space="0" w:color="auto"/>
        <w:right w:val="none" w:sz="0" w:space="0" w:color="auto"/>
      </w:divBdr>
    </w:div>
    <w:div w:id="1745567611">
      <w:bodyDiv w:val="1"/>
      <w:marLeft w:val="0"/>
      <w:marRight w:val="0"/>
      <w:marTop w:val="0"/>
      <w:marBottom w:val="0"/>
      <w:divBdr>
        <w:top w:val="none" w:sz="0" w:space="0" w:color="auto"/>
        <w:left w:val="none" w:sz="0" w:space="0" w:color="auto"/>
        <w:bottom w:val="none" w:sz="0" w:space="0" w:color="auto"/>
        <w:right w:val="none" w:sz="0" w:space="0" w:color="auto"/>
      </w:divBdr>
    </w:div>
    <w:div w:id="1790390886">
      <w:bodyDiv w:val="1"/>
      <w:marLeft w:val="0"/>
      <w:marRight w:val="0"/>
      <w:marTop w:val="0"/>
      <w:marBottom w:val="0"/>
      <w:divBdr>
        <w:top w:val="none" w:sz="0" w:space="0" w:color="auto"/>
        <w:left w:val="none" w:sz="0" w:space="0" w:color="auto"/>
        <w:bottom w:val="none" w:sz="0" w:space="0" w:color="auto"/>
        <w:right w:val="none" w:sz="0" w:space="0" w:color="auto"/>
      </w:divBdr>
    </w:div>
    <w:div w:id="1910455048">
      <w:bodyDiv w:val="1"/>
      <w:marLeft w:val="0"/>
      <w:marRight w:val="0"/>
      <w:marTop w:val="0"/>
      <w:marBottom w:val="0"/>
      <w:divBdr>
        <w:top w:val="none" w:sz="0" w:space="0" w:color="auto"/>
        <w:left w:val="none" w:sz="0" w:space="0" w:color="auto"/>
        <w:bottom w:val="none" w:sz="0" w:space="0" w:color="auto"/>
        <w:right w:val="none" w:sz="0" w:space="0" w:color="auto"/>
      </w:divBdr>
    </w:div>
    <w:div w:id="1957053994">
      <w:bodyDiv w:val="1"/>
      <w:marLeft w:val="0"/>
      <w:marRight w:val="0"/>
      <w:marTop w:val="0"/>
      <w:marBottom w:val="0"/>
      <w:divBdr>
        <w:top w:val="none" w:sz="0" w:space="0" w:color="auto"/>
        <w:left w:val="none" w:sz="0" w:space="0" w:color="auto"/>
        <w:bottom w:val="none" w:sz="0" w:space="0" w:color="auto"/>
        <w:right w:val="none" w:sz="0" w:space="0" w:color="auto"/>
      </w:divBdr>
    </w:div>
    <w:div w:id="2044398351">
      <w:bodyDiv w:val="1"/>
      <w:marLeft w:val="0"/>
      <w:marRight w:val="0"/>
      <w:marTop w:val="0"/>
      <w:marBottom w:val="0"/>
      <w:divBdr>
        <w:top w:val="none" w:sz="0" w:space="0" w:color="auto"/>
        <w:left w:val="none" w:sz="0" w:space="0" w:color="auto"/>
        <w:bottom w:val="none" w:sz="0" w:space="0" w:color="auto"/>
        <w:right w:val="none" w:sz="0" w:space="0" w:color="auto"/>
      </w:divBdr>
    </w:div>
    <w:div w:id="2072580184">
      <w:bodyDiv w:val="1"/>
      <w:marLeft w:val="0"/>
      <w:marRight w:val="0"/>
      <w:marTop w:val="0"/>
      <w:marBottom w:val="0"/>
      <w:divBdr>
        <w:top w:val="none" w:sz="0" w:space="0" w:color="auto"/>
        <w:left w:val="none" w:sz="0" w:space="0" w:color="auto"/>
        <w:bottom w:val="none" w:sz="0" w:space="0" w:color="auto"/>
        <w:right w:val="none" w:sz="0" w:space="0" w:color="auto"/>
      </w:divBdr>
    </w:div>
    <w:div w:id="207978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 Type="http://schemas.openxmlformats.org/officeDocument/2006/relationships/customXml" Target="../customXml/item3.xml"/><Relationship Id="rId21" Type="http://schemas.openxmlformats.org/officeDocument/2006/relationships/image" Target="media/image6.wmf"/><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footer" Target="footer1.xml"/><Relationship Id="rId35"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1.wmf"/></Relationships>
</file>

<file path=word/_rels/footer2.xml.rels><?xml version="1.0" encoding="UTF-8" standalone="yes"?>
<Relationships xmlns="http://schemas.openxmlformats.org/package/2006/relationships"><Relationship Id="rId1" Type="http://schemas.openxmlformats.org/officeDocument/2006/relationships/image" Target="media/image11.wmf"/></Relationships>
</file>

<file path=word/_rels/header1.xml.rels><?xml version="1.0" encoding="UTF-8" standalone="yes"?>
<Relationships xmlns="http://schemas.openxmlformats.org/package/2006/relationships"><Relationship Id="rId1" Type="http://schemas.openxmlformats.org/officeDocument/2006/relationships/image" Target="media/image10.wmf"/></Relationships>
</file>

<file path=word/_rels/header2.xml.rels><?xml version="1.0" encoding="UTF-8" standalone="yes"?>
<Relationships xmlns="http://schemas.openxmlformats.org/package/2006/relationships"><Relationship Id="rId1" Type="http://schemas.openxmlformats.org/officeDocument/2006/relationships/image" Target="media/image10.wmf"/></Relationships>
</file>

<file path=word/_rels/settings.xml.rels><?xml version="1.0" encoding="UTF-8" standalone="yes"?>
<Relationships xmlns="http://schemas.openxmlformats.org/package/2006/relationships"><Relationship Id="rId1" Type="http://schemas.openxmlformats.org/officeDocument/2006/relationships/attachedTemplate" Target="file:///D:\Company\Users\vveramyeva\AppData\Roaming\Microsoft\Templates\ENTSOE\140121_ENTSO-E_Template_Report_no%20LSPp.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D2177B848EC4D8DAAF49E065A155815"/>
        <w:category>
          <w:name w:val="General"/>
          <w:gallery w:val="placeholder"/>
        </w:category>
        <w:types>
          <w:type w:val="bbPlcHdr"/>
        </w:types>
        <w:behaviors>
          <w:behavior w:val="content"/>
        </w:behaviors>
        <w:guid w:val="{C939558C-28CB-4FF5-AA96-886B91BCB2B4}"/>
      </w:docPartPr>
      <w:docPartBody>
        <w:p w:rsidR="00544909" w:rsidRDefault="00061F71" w:rsidP="00061F71">
          <w:pPr>
            <w:pStyle w:val="DD2177B848EC4D8DAAF49E065A155815"/>
          </w:pPr>
          <w:r w:rsidRPr="000C30E5">
            <w:rPr>
              <w:rStyle w:val="Placeholde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inkAnnotations="0"/>
  <w:defaultTabStop w:val="720"/>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C1702"/>
    <w:rsid w:val="00030F2C"/>
    <w:rsid w:val="0004080D"/>
    <w:rsid w:val="00050A72"/>
    <w:rsid w:val="00061F71"/>
    <w:rsid w:val="0006451E"/>
    <w:rsid w:val="00074807"/>
    <w:rsid w:val="000C1702"/>
    <w:rsid w:val="000D39C1"/>
    <w:rsid w:val="0012119C"/>
    <w:rsid w:val="001212EA"/>
    <w:rsid w:val="00127C44"/>
    <w:rsid w:val="00146659"/>
    <w:rsid w:val="00157173"/>
    <w:rsid w:val="001761B0"/>
    <w:rsid w:val="00184531"/>
    <w:rsid w:val="001D574B"/>
    <w:rsid w:val="001E6A55"/>
    <w:rsid w:val="00212F67"/>
    <w:rsid w:val="00224DE2"/>
    <w:rsid w:val="00243D3A"/>
    <w:rsid w:val="0024712D"/>
    <w:rsid w:val="00254C04"/>
    <w:rsid w:val="00276AC9"/>
    <w:rsid w:val="00286C41"/>
    <w:rsid w:val="002B055A"/>
    <w:rsid w:val="002C327B"/>
    <w:rsid w:val="002E6C1F"/>
    <w:rsid w:val="002E6F92"/>
    <w:rsid w:val="002F769D"/>
    <w:rsid w:val="003001DF"/>
    <w:rsid w:val="00331E5B"/>
    <w:rsid w:val="00340C16"/>
    <w:rsid w:val="00353B7E"/>
    <w:rsid w:val="0037162F"/>
    <w:rsid w:val="00390FCC"/>
    <w:rsid w:val="003A447C"/>
    <w:rsid w:val="003B0C68"/>
    <w:rsid w:val="003C3806"/>
    <w:rsid w:val="003E3D5F"/>
    <w:rsid w:val="004012BD"/>
    <w:rsid w:val="004101BB"/>
    <w:rsid w:val="00411232"/>
    <w:rsid w:val="004239FB"/>
    <w:rsid w:val="00426CFD"/>
    <w:rsid w:val="0044376D"/>
    <w:rsid w:val="00482B0D"/>
    <w:rsid w:val="00484179"/>
    <w:rsid w:val="00491855"/>
    <w:rsid w:val="00495AFD"/>
    <w:rsid w:val="005025EE"/>
    <w:rsid w:val="005428DA"/>
    <w:rsid w:val="00544909"/>
    <w:rsid w:val="005630F1"/>
    <w:rsid w:val="005954E8"/>
    <w:rsid w:val="005A2217"/>
    <w:rsid w:val="005A26A3"/>
    <w:rsid w:val="005C02AF"/>
    <w:rsid w:val="005D43D5"/>
    <w:rsid w:val="005D66E1"/>
    <w:rsid w:val="005E464A"/>
    <w:rsid w:val="00604EDC"/>
    <w:rsid w:val="006217A6"/>
    <w:rsid w:val="00622305"/>
    <w:rsid w:val="0065152A"/>
    <w:rsid w:val="0065619D"/>
    <w:rsid w:val="00657CA0"/>
    <w:rsid w:val="00666A3B"/>
    <w:rsid w:val="006A4E51"/>
    <w:rsid w:val="006A5F7B"/>
    <w:rsid w:val="006B7F56"/>
    <w:rsid w:val="006F0D0D"/>
    <w:rsid w:val="00700E72"/>
    <w:rsid w:val="00702D9E"/>
    <w:rsid w:val="007031E9"/>
    <w:rsid w:val="007045D1"/>
    <w:rsid w:val="00707A70"/>
    <w:rsid w:val="00746202"/>
    <w:rsid w:val="00751447"/>
    <w:rsid w:val="007572A6"/>
    <w:rsid w:val="007B030A"/>
    <w:rsid w:val="007B6273"/>
    <w:rsid w:val="007C202E"/>
    <w:rsid w:val="007D20DE"/>
    <w:rsid w:val="007F7CEE"/>
    <w:rsid w:val="00801837"/>
    <w:rsid w:val="00801CA6"/>
    <w:rsid w:val="008448E9"/>
    <w:rsid w:val="008511D8"/>
    <w:rsid w:val="00861F6D"/>
    <w:rsid w:val="0087550D"/>
    <w:rsid w:val="00883482"/>
    <w:rsid w:val="00893A56"/>
    <w:rsid w:val="008C1480"/>
    <w:rsid w:val="008C5782"/>
    <w:rsid w:val="00916986"/>
    <w:rsid w:val="00935465"/>
    <w:rsid w:val="009936C7"/>
    <w:rsid w:val="00A10954"/>
    <w:rsid w:val="00A1347B"/>
    <w:rsid w:val="00A14A99"/>
    <w:rsid w:val="00A51B02"/>
    <w:rsid w:val="00A55839"/>
    <w:rsid w:val="00A75640"/>
    <w:rsid w:val="00A93123"/>
    <w:rsid w:val="00B01E6E"/>
    <w:rsid w:val="00B32697"/>
    <w:rsid w:val="00B34BD9"/>
    <w:rsid w:val="00B40B9F"/>
    <w:rsid w:val="00B51CCE"/>
    <w:rsid w:val="00B53701"/>
    <w:rsid w:val="00B82BF7"/>
    <w:rsid w:val="00B87DA8"/>
    <w:rsid w:val="00BC3453"/>
    <w:rsid w:val="00BF3305"/>
    <w:rsid w:val="00BF76A4"/>
    <w:rsid w:val="00C364C0"/>
    <w:rsid w:val="00C77F2D"/>
    <w:rsid w:val="00CA3C0B"/>
    <w:rsid w:val="00CB0136"/>
    <w:rsid w:val="00CF16BF"/>
    <w:rsid w:val="00CF3B6D"/>
    <w:rsid w:val="00D04A0A"/>
    <w:rsid w:val="00D37EAF"/>
    <w:rsid w:val="00D41E98"/>
    <w:rsid w:val="00D446DB"/>
    <w:rsid w:val="00D450F2"/>
    <w:rsid w:val="00D47262"/>
    <w:rsid w:val="00D75D4E"/>
    <w:rsid w:val="00D910EA"/>
    <w:rsid w:val="00DB7881"/>
    <w:rsid w:val="00DD2100"/>
    <w:rsid w:val="00DE06A8"/>
    <w:rsid w:val="00E0523E"/>
    <w:rsid w:val="00E11AE1"/>
    <w:rsid w:val="00E214D3"/>
    <w:rsid w:val="00E263A2"/>
    <w:rsid w:val="00E6204C"/>
    <w:rsid w:val="00E74AD7"/>
    <w:rsid w:val="00E9098C"/>
    <w:rsid w:val="00E935B5"/>
    <w:rsid w:val="00EE3A76"/>
    <w:rsid w:val="00F009BE"/>
    <w:rsid w:val="00F0401F"/>
    <w:rsid w:val="00F23389"/>
    <w:rsid w:val="00F4137D"/>
    <w:rsid w:val="00F52621"/>
    <w:rsid w:val="00F57006"/>
    <w:rsid w:val="00F673CA"/>
    <w:rsid w:val="00F73DC9"/>
    <w:rsid w:val="00F76323"/>
    <w:rsid w:val="00F82F17"/>
    <w:rsid w:val="00F91158"/>
    <w:rsid w:val="00F93E60"/>
    <w:rsid w:val="00FB2057"/>
    <w:rsid w:val="00FB3EC8"/>
    <w:rsid w:val="00FC088D"/>
    <w:rsid w:val="00FD4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A9B6E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0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07A70"/>
    <w:rPr>
      <w:color w:val="808080"/>
    </w:rPr>
  </w:style>
  <w:style w:type="paragraph" w:customStyle="1" w:styleId="CDFDBB588FF544A2BE4B07EF265F4079">
    <w:name w:val="CDFDBB588FF544A2BE4B07EF265F4079"/>
    <w:rsid w:val="007C202E"/>
  </w:style>
  <w:style w:type="paragraph" w:customStyle="1" w:styleId="E4808C9FD07C476C8EEE44B0023B0EA1">
    <w:name w:val="E4808C9FD07C476C8EEE44B0023B0EA1"/>
    <w:rsid w:val="007C202E"/>
  </w:style>
  <w:style w:type="paragraph" w:customStyle="1" w:styleId="6A213B2B9CDA4A7D9AD80267A67DE97B">
    <w:name w:val="6A213B2B9CDA4A7D9AD80267A67DE97B"/>
    <w:rsid w:val="00861F6D"/>
  </w:style>
  <w:style w:type="paragraph" w:customStyle="1" w:styleId="C3E2D64D79544F05964D1032302263CA">
    <w:name w:val="C3E2D64D79544F05964D1032302263CA"/>
    <w:rsid w:val="00861F6D"/>
  </w:style>
  <w:style w:type="paragraph" w:customStyle="1" w:styleId="61DE4AE60CCB44C898F9278ADA225A7F">
    <w:name w:val="61DE4AE60CCB44C898F9278ADA225A7F"/>
    <w:rsid w:val="00861F6D"/>
  </w:style>
  <w:style w:type="paragraph" w:customStyle="1" w:styleId="3761179C89C24EE3A2D6537CA53132F6">
    <w:name w:val="3761179C89C24EE3A2D6537CA53132F6"/>
    <w:rsid w:val="00061F71"/>
  </w:style>
  <w:style w:type="paragraph" w:customStyle="1" w:styleId="DD2177B848EC4D8DAAF49E065A155815">
    <w:name w:val="DD2177B848EC4D8DAAF49E065A155815"/>
    <w:rsid w:val="00061F71"/>
  </w:style>
  <w:style w:type="paragraph" w:customStyle="1" w:styleId="078E53168CDE41F6A0E1054BFA46CD8A">
    <w:name w:val="078E53168CDE41F6A0E1054BFA46CD8A"/>
    <w:rsid w:val="00061F71"/>
  </w:style>
  <w:style w:type="paragraph" w:customStyle="1" w:styleId="0C65DDC7C16B4CCAA6E295AFF143C8E6">
    <w:name w:val="0C65DDC7C16B4CCAA6E295AFF143C8E6"/>
    <w:rsid w:val="00061F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Entsoe">
      <a:dk1>
        <a:sysClr val="windowText" lastClr="000000"/>
      </a:dk1>
      <a:lt1>
        <a:sysClr val="window" lastClr="FFFFFF"/>
      </a:lt1>
      <a:dk2>
        <a:srgbClr val="23236E"/>
      </a:dk2>
      <a:lt2>
        <a:srgbClr val="636466"/>
      </a:lt2>
      <a:accent1>
        <a:srgbClr val="585C9F"/>
      </a:accent1>
      <a:accent2>
        <a:srgbClr val="797BB7"/>
      </a:accent2>
      <a:accent3>
        <a:srgbClr val="7F5A9B"/>
      </a:accent3>
      <a:accent4>
        <a:srgbClr val="B4B4C8"/>
      </a:accent4>
      <a:accent5>
        <a:srgbClr val="487BB4"/>
      </a:accent5>
      <a:accent6>
        <a:srgbClr val="9EBF57"/>
      </a:accent6>
      <a:hlink>
        <a:srgbClr val="0000FF"/>
      </a:hlink>
      <a:folHlink>
        <a:srgbClr val="800080"/>
      </a:folHlink>
    </a:clrScheme>
    <a:fontScheme name="Entsoe">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40056C-A517-4123-B0B0-0297228A982A}">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7898AF70-9683-4331-9854-0FCE3C15A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13020-ED37-46CE-86BF-CA854E2F0300}">
  <ds:schemaRefs>
    <ds:schemaRef ds:uri="http://schemas.microsoft.com/sharepoint/v3/contenttype/forms"/>
  </ds:schemaRefs>
</ds:datastoreItem>
</file>

<file path=customXml/itemProps4.xml><?xml version="1.0" encoding="utf-8"?>
<ds:datastoreItem xmlns:ds="http://schemas.openxmlformats.org/officeDocument/2006/customXml" ds:itemID="{BEC447F6-70DA-41C0-8A8B-EB611D77D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140121_ENTSO-E_Template_Report_no LSPp</Template>
  <TotalTime>14</TotalTime>
  <Pages>11</Pages>
  <Words>3754</Words>
  <Characters>22564</Characters>
  <Application>Microsoft Office Word</Application>
  <DocSecurity>0</DocSecurity>
  <Lines>402</Lines>
  <Paragraphs>166</Paragraphs>
  <ScaleCrop>false</ScaleCrop>
  <HeadingPairs>
    <vt:vector size="20" baseType="variant">
      <vt:variant>
        <vt:lpstr>Title</vt:lpstr>
      </vt:variant>
      <vt:variant>
        <vt:i4>1</vt:i4>
      </vt:variant>
      <vt:variant>
        <vt:lpstr>Názov</vt:lpstr>
      </vt:variant>
      <vt:variant>
        <vt:i4>1</vt:i4>
      </vt:variant>
      <vt:variant>
        <vt:lpstr>Titel</vt:lpstr>
      </vt:variant>
      <vt:variant>
        <vt:i4>1</vt:i4>
      </vt:variant>
      <vt:variant>
        <vt:lpstr>Título</vt:lpstr>
      </vt:variant>
      <vt:variant>
        <vt:i4>1</vt:i4>
      </vt:variant>
      <vt:variant>
        <vt:lpstr>Tytuł</vt:lpstr>
      </vt:variant>
      <vt:variant>
        <vt:i4>1</vt:i4>
      </vt:variant>
      <vt:variant>
        <vt:lpstr>Rubrik</vt:lpstr>
      </vt:variant>
      <vt:variant>
        <vt:i4>1</vt:i4>
      </vt:variant>
      <vt:variant>
        <vt:lpstr>Cím</vt:lpstr>
      </vt:variant>
      <vt:variant>
        <vt:i4>1</vt:i4>
      </vt:variant>
      <vt:variant>
        <vt:lpstr>Titre</vt:lpstr>
      </vt:variant>
      <vt:variant>
        <vt:i4>1</vt:i4>
      </vt:variant>
      <vt:variant>
        <vt:lpstr>Otsikko</vt:lpstr>
      </vt:variant>
      <vt:variant>
        <vt:i4>1</vt:i4>
      </vt:variant>
      <vt:variant>
        <vt:lpstr>Název</vt:lpstr>
      </vt:variant>
      <vt:variant>
        <vt:i4>1</vt:i4>
      </vt:variant>
    </vt:vector>
  </HeadingPairs>
  <TitlesOfParts>
    <vt:vector size="10" baseType="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day-ahead coupling in accordance with Article 43 of the Commission Regulation (EU) 2015/1222 of 24 July 2015 establishing a guideline on capacity allocation and</vt:lpstr>
      <vt:lpstr>All TSOs’ proposal for a Methodology for Calculating Scheduled Exchanges resulting from single day ahead coupling in accordance with Article 43 of the Commission Regulation (EU) 2015/1222 of 24 July 2015 establishing a guideline on capacity allocation and</vt:lpstr>
      <vt:lpstr>Draft methodology for calculating Scheduled Exchanges resulting from single day-ahead coupling</vt:lpstr>
      <vt:lpstr>Draft methodology for calculating scheduled exchanges resulting from single day ahead coupling</vt:lpstr>
      <vt:lpstr>Draft methodology for calculating scheduled exchanges resulting from single day ahead coupling</vt:lpstr>
      <vt:lpstr>All TSOs’ proposal for the day-ahead firmness deadline (DAFD) in accordance with Article 69 of the Commission Regulation (EU) 2015/1222 of 24 July 2015 establishing a guideline on capacity allocation and congestion management</vt:lpstr>
      <vt:lpstr>All TSOs’ proposal for Capacity Calculation Regions (CCRs)</vt:lpstr>
    </vt:vector>
  </TitlesOfParts>
  <Company>HP</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Propunerea tuturor OTS-urilor privind Metodologia de Calcul al Schimburilor Planificate care rezultă din cuplarea unică a piețelor pentru ziua următoare, în conformitate cu articolul 43 din Regulamentul (UE) 2015/1222 al Comisiei din 24 iulie 2015 de stabilire a unor linii directoare privind alocarea capacităților și gestionarea congestiilor</dc:title>
  <dc:creator>Volha Veramyeva</dc:creator>
  <cp:lastModifiedBy>Admin</cp:lastModifiedBy>
  <cp:revision>21</cp:revision>
  <cp:lastPrinted>2018-01-25T11:14:00Z</cp:lastPrinted>
  <dcterms:created xsi:type="dcterms:W3CDTF">2018-01-25T09:01:00Z</dcterms:created>
  <dcterms:modified xsi:type="dcterms:W3CDTF">2018-03-12T09:59:00Z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0x01010007E13F251F3D664980037DF6DCC9790E</vt:lpwstr>
  </property>
  <property fmtid="{D5CDD505-2E9C-101B-9397-08002B2CF9AE}" pid="4" name="TaxKeyword">
    <vt:lpwstr/>
  </property>
  <property fmtid="{D5CDD505-2E9C-101B-9397-08002B2CF9AE}" pid="5" name="m21e1f176c4a4ad491d679d83442a8a3">
    <vt:lpwstr/>
  </property>
  <property fmtid="{D5CDD505-2E9C-101B-9397-08002B2CF9AE}" pid="6" name="b">
    <vt:lpwstr/>
  </property>
  <property fmtid="{D5CDD505-2E9C-101B-9397-08002B2CF9AE}" pid="7" name="Addo_DocID">
    <vt:lpwstr>6fbf3a3b-6786-4633-b863-d335d3e7fcf8</vt:lpwstr>
  </property>
</Properties>
</file>