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topFromText="5528" w:vertAnchor="page" w:horzAnchor="page" w:tblpX="1362" w:tblpY="5104"/>
        <w:tblW w:w="0" w:type="auto"/>
        <w:tblBorders>
          <w:top w:val="single" w:sz="8" w:space="0" w:color="23236E" w:themeColor="text2"/>
          <w:left w:val="none" w:sz="0" w:space="0" w:color="auto"/>
          <w:bottom w:val="single" w:sz="8" w:space="0" w:color="auto"/>
          <w:right w:val="none" w:sz="0" w:space="0" w:color="auto"/>
          <w:insideH w:val="none" w:sz="0" w:space="0" w:color="auto"/>
          <w:insideV w:val="none" w:sz="0" w:space="0" w:color="auto"/>
        </w:tblBorders>
        <w:tblLayout w:type="fixed"/>
        <w:tblCellMar>
          <w:left w:w="0" w:type="dxa"/>
          <w:right w:w="0" w:type="dxa"/>
        </w:tblCellMar>
        <w:tblLook w:val="06A0" w:firstRow="1" w:lastRow="0" w:firstColumn="1" w:lastColumn="0" w:noHBand="1" w:noVBand="1"/>
      </w:tblPr>
      <w:tblGrid>
        <w:gridCol w:w="9524"/>
      </w:tblGrid>
      <w:tr w:rsidR="00C46743" w:rsidRPr="00370ACD" w14:paraId="2A89DAD4" w14:textId="77777777" w:rsidTr="007144CC">
        <w:tc>
          <w:tcPr>
            <w:tcW w:w="9524" w:type="dxa"/>
            <w:tcMar>
              <w:top w:w="198" w:type="dxa"/>
            </w:tcMar>
          </w:tcPr>
          <w:p w14:paraId="617D9A00" w14:textId="77777777" w:rsidR="00696EBB" w:rsidRPr="00370ACD" w:rsidRDefault="00700B3B" w:rsidP="00662DEC">
            <w:pPr>
              <w:pStyle w:val="headlineheader"/>
              <w:spacing w:before="100" w:beforeAutospacing="1" w:after="100" w:afterAutospacing="1" w:line="276" w:lineRule="auto"/>
              <w:jc w:val="center"/>
              <w:rPr>
                <w:rFonts w:asciiTheme="minorHAnsi" w:hAnsiTheme="minorHAnsi" w:cstheme="minorHAnsi"/>
                <w:color w:val="000000" w:themeColor="text1"/>
                <w:sz w:val="36"/>
                <w:szCs w:val="36"/>
              </w:rPr>
            </w:pPr>
            <w:sdt>
              <w:sdtPr>
                <w:rPr>
                  <w:rFonts w:cstheme="minorHAnsi"/>
                  <w:color w:val="000000" w:themeColor="text1"/>
                  <w:sz w:val="36"/>
                  <w:szCs w:val="36"/>
                </w:rPr>
                <w:alias w:val="Titel"/>
                <w:tag w:val="Titel"/>
                <w:id w:val="32412703"/>
                <w:placeholder>
                  <w:docPart w:val="DD2177B848EC4D8DAAF49E065A155815"/>
                </w:placeholder>
                <w:dataBinding w:prefixMappings="xmlns:ns0='http://purl.org/dc/elements/1.1/' xmlns:ns1='http://schemas.openxmlformats.org/package/2006/metadata/core-properties' " w:xpath="/ns1:coreProperties[1]/ns0:title[1]" w:storeItemID="{6C3C8BC8-F283-45AE-878A-BAB7291924A1}"/>
                <w:text w:multiLine="1"/>
              </w:sdtPr>
              <w:sdtEndPr/>
              <w:sdtContent>
                <w:r w:rsidR="00A74CB1" w:rsidRPr="00A74CB1">
                  <w:rPr>
                    <w:rFonts w:cstheme="minorHAnsi"/>
                    <w:color w:val="000000" w:themeColor="text1"/>
                    <w:sz w:val="36"/>
                    <w:szCs w:val="36"/>
                  </w:rPr>
                  <w:t>All TSOs’ proposal for a Methodology for Calculating Scheduled Exchanges resulting from single intra-day coupling in accordance with Article 56 of the Commission Regulation (EU) 2015/1222 of 24 July 2015 establishing a guideline on capacity allocation and congestion management</w:t>
                </w:r>
              </w:sdtContent>
            </w:sdt>
          </w:p>
        </w:tc>
      </w:tr>
      <w:tr w:rsidR="00C46743" w:rsidRPr="00370ACD" w14:paraId="66EF0DD0" w14:textId="77777777" w:rsidTr="007144CC">
        <w:tc>
          <w:tcPr>
            <w:tcW w:w="9524" w:type="dxa"/>
            <w:tcMar>
              <w:top w:w="198" w:type="dxa"/>
            </w:tcMar>
          </w:tcPr>
          <w:p w14:paraId="059CAEEB" w14:textId="77777777" w:rsidR="00BF6165" w:rsidRPr="00370ACD" w:rsidRDefault="00BF6165" w:rsidP="00E210F0">
            <w:pPr>
              <w:pStyle w:val="headlineheader"/>
              <w:spacing w:before="100" w:beforeAutospacing="1" w:after="100" w:afterAutospacing="1" w:line="276" w:lineRule="auto"/>
              <w:jc w:val="center"/>
              <w:rPr>
                <w:rFonts w:asciiTheme="minorHAnsi" w:hAnsiTheme="minorHAnsi" w:cstheme="minorHAnsi"/>
                <w:color w:val="000000" w:themeColor="text1"/>
                <w:sz w:val="40"/>
                <w:szCs w:val="40"/>
              </w:rPr>
            </w:pPr>
          </w:p>
        </w:tc>
      </w:tr>
      <w:tr w:rsidR="00C46743" w:rsidRPr="00370ACD" w14:paraId="23A5D46A" w14:textId="77777777" w:rsidTr="007144CC">
        <w:trPr>
          <w:trHeight w:val="693"/>
        </w:trPr>
        <w:tc>
          <w:tcPr>
            <w:tcW w:w="9524" w:type="dxa"/>
            <w:tcMar>
              <w:bottom w:w="142" w:type="dxa"/>
            </w:tcMar>
          </w:tcPr>
          <w:p w14:paraId="7BF1D759" w14:textId="77777777" w:rsidR="00CA0C0C" w:rsidRDefault="00CA0C0C" w:rsidP="00E210F0">
            <w:pPr>
              <w:pStyle w:val="time"/>
              <w:framePr w:hSpace="0" w:vSpace="0" w:wrap="auto" w:vAnchor="margin" w:hAnchor="text" w:xAlign="left" w:yAlign="inline"/>
              <w:spacing w:before="100" w:beforeAutospacing="1" w:after="100" w:afterAutospacing="1" w:line="276" w:lineRule="auto"/>
              <w:rPr>
                <w:rFonts w:asciiTheme="minorHAnsi" w:hAnsiTheme="minorHAnsi" w:cstheme="minorHAnsi"/>
                <w:color w:val="000000" w:themeColor="text1"/>
                <w:lang w:val="en-GB"/>
              </w:rPr>
            </w:pPr>
          </w:p>
          <w:p w14:paraId="07DF7C07" w14:textId="478B5F09" w:rsidR="00696EBB" w:rsidRPr="00370ACD" w:rsidRDefault="00700B3B" w:rsidP="00E210F0">
            <w:pPr>
              <w:pStyle w:val="time"/>
              <w:framePr w:hSpace="0" w:vSpace="0" w:wrap="auto" w:vAnchor="margin" w:hAnchor="text" w:xAlign="left" w:yAlign="inline"/>
              <w:spacing w:before="100" w:beforeAutospacing="1" w:after="100" w:afterAutospacing="1" w:line="276" w:lineRule="auto"/>
              <w:rPr>
                <w:rFonts w:asciiTheme="minorHAnsi" w:hAnsiTheme="minorHAnsi" w:cstheme="minorHAnsi"/>
                <w:color w:val="000000" w:themeColor="text1"/>
                <w:lang w:val="en-GB"/>
              </w:rPr>
            </w:pPr>
            <w:r>
              <w:rPr>
                <w:rFonts w:asciiTheme="minorHAnsi" w:hAnsiTheme="minorHAnsi" w:cstheme="minorHAnsi"/>
                <w:color w:val="000000" w:themeColor="text1"/>
                <w:lang w:val="en-GB"/>
              </w:rPr>
              <w:t>21</w:t>
            </w:r>
            <w:bookmarkStart w:id="0" w:name="_GoBack"/>
            <w:bookmarkEnd w:id="0"/>
            <w:r w:rsidR="00022D11">
              <w:rPr>
                <w:rFonts w:asciiTheme="minorHAnsi" w:hAnsiTheme="minorHAnsi" w:cstheme="minorHAnsi"/>
                <w:color w:val="000000" w:themeColor="text1"/>
                <w:lang w:val="en-GB"/>
              </w:rPr>
              <w:t>/</w:t>
            </w:r>
            <w:r w:rsidR="00D53737">
              <w:rPr>
                <w:rFonts w:asciiTheme="minorHAnsi" w:hAnsiTheme="minorHAnsi" w:cstheme="minorHAnsi"/>
                <w:color w:val="000000" w:themeColor="text1"/>
                <w:lang w:val="en-GB"/>
              </w:rPr>
              <w:t>02</w:t>
            </w:r>
            <w:r w:rsidR="008333E9">
              <w:rPr>
                <w:rFonts w:asciiTheme="minorHAnsi" w:hAnsiTheme="minorHAnsi" w:cstheme="minorHAnsi"/>
                <w:color w:val="000000" w:themeColor="text1"/>
                <w:lang w:val="en-GB"/>
              </w:rPr>
              <w:t>/</w:t>
            </w:r>
            <w:r w:rsidR="00022D11">
              <w:rPr>
                <w:rFonts w:asciiTheme="minorHAnsi" w:hAnsiTheme="minorHAnsi" w:cstheme="minorHAnsi"/>
                <w:color w:val="000000" w:themeColor="text1"/>
                <w:lang w:val="en-GB"/>
              </w:rPr>
              <w:t>201</w:t>
            </w:r>
            <w:r w:rsidR="00D53737">
              <w:rPr>
                <w:rFonts w:asciiTheme="minorHAnsi" w:hAnsiTheme="minorHAnsi" w:cstheme="minorHAnsi"/>
                <w:color w:val="000000" w:themeColor="text1"/>
                <w:lang w:val="en-GB"/>
              </w:rPr>
              <w:t>8</w:t>
            </w:r>
          </w:p>
        </w:tc>
      </w:tr>
    </w:tbl>
    <w:p w14:paraId="2BD29F01" w14:textId="77777777" w:rsidR="00C107CE" w:rsidRPr="00370ACD" w:rsidRDefault="00C107CE" w:rsidP="00E210F0">
      <w:pPr>
        <w:spacing w:before="100" w:beforeAutospacing="1" w:after="100" w:afterAutospacing="1" w:line="276" w:lineRule="auto"/>
        <w:rPr>
          <w:rFonts w:cstheme="minorHAnsi"/>
          <w:color w:val="000000" w:themeColor="text1"/>
        </w:rPr>
      </w:pPr>
    </w:p>
    <w:p w14:paraId="4A2AC18E" w14:textId="77777777" w:rsidR="00C17E9C" w:rsidRPr="00370ACD" w:rsidRDefault="00C17E9C" w:rsidP="00E210F0">
      <w:pPr>
        <w:spacing w:before="100" w:beforeAutospacing="1" w:after="100" w:afterAutospacing="1" w:line="276" w:lineRule="auto"/>
        <w:rPr>
          <w:rFonts w:cstheme="minorHAnsi"/>
          <w:color w:val="000000" w:themeColor="text1"/>
        </w:rPr>
      </w:pPr>
    </w:p>
    <w:p w14:paraId="65503668" w14:textId="77777777" w:rsidR="00C17E9C" w:rsidRPr="00370ACD" w:rsidRDefault="00C17E9C" w:rsidP="00E210F0">
      <w:pPr>
        <w:spacing w:before="100" w:beforeAutospacing="1" w:after="100" w:afterAutospacing="1" w:line="276" w:lineRule="auto"/>
        <w:rPr>
          <w:rFonts w:cstheme="minorHAnsi"/>
          <w:color w:val="000000" w:themeColor="text1"/>
        </w:rPr>
      </w:pPr>
    </w:p>
    <w:p w14:paraId="51441B1B" w14:textId="77777777" w:rsidR="00DB6484" w:rsidRPr="00370ACD" w:rsidRDefault="00DB6484" w:rsidP="00DB6484">
      <w:pPr>
        <w:spacing w:before="100" w:beforeAutospacing="1" w:after="100" w:afterAutospacing="1" w:line="276" w:lineRule="auto"/>
        <w:rPr>
          <w:rFonts w:cstheme="minorHAnsi"/>
          <w:color w:val="000000" w:themeColor="text1"/>
        </w:rPr>
      </w:pPr>
    </w:p>
    <w:p w14:paraId="3CD0C728" w14:textId="77777777" w:rsidR="00DB6484" w:rsidRPr="00370ACD" w:rsidRDefault="00DB6484" w:rsidP="00DB6484">
      <w:pPr>
        <w:spacing w:before="100" w:beforeAutospacing="1" w:after="100" w:afterAutospacing="1" w:line="276" w:lineRule="auto"/>
        <w:rPr>
          <w:rFonts w:cstheme="minorHAnsi"/>
          <w:color w:val="000000" w:themeColor="text1"/>
        </w:rPr>
      </w:pPr>
    </w:p>
    <w:p w14:paraId="30751609" w14:textId="77777777" w:rsidR="00C17E9C" w:rsidRPr="00370ACD" w:rsidRDefault="00C17E9C" w:rsidP="00E210F0">
      <w:pPr>
        <w:spacing w:before="100" w:beforeAutospacing="1" w:after="100" w:afterAutospacing="1" w:line="276" w:lineRule="auto"/>
        <w:rPr>
          <w:rFonts w:cstheme="minorHAnsi"/>
          <w:color w:val="000000" w:themeColor="text1"/>
        </w:rPr>
      </w:pPr>
    </w:p>
    <w:p w14:paraId="16DB1C35" w14:textId="77777777" w:rsidR="002A7EA8" w:rsidRPr="00370ACD" w:rsidRDefault="002A7EA8" w:rsidP="00E210F0">
      <w:pPr>
        <w:spacing w:before="100" w:beforeAutospacing="1" w:after="100" w:afterAutospacing="1" w:line="276" w:lineRule="auto"/>
        <w:rPr>
          <w:rFonts w:cstheme="minorHAnsi"/>
          <w:color w:val="000000" w:themeColor="text1"/>
        </w:rPr>
      </w:pPr>
    </w:p>
    <w:p w14:paraId="6ED5D4EC" w14:textId="77777777" w:rsidR="004B6993" w:rsidRPr="00370ACD" w:rsidRDefault="004B6993" w:rsidP="00E210F0">
      <w:pPr>
        <w:spacing w:before="100" w:beforeAutospacing="1" w:after="100" w:afterAutospacing="1" w:line="276" w:lineRule="auto"/>
        <w:rPr>
          <w:rFonts w:cstheme="minorHAnsi"/>
          <w:color w:val="000000" w:themeColor="text1"/>
        </w:rPr>
      </w:pPr>
    </w:p>
    <w:p w14:paraId="1C56605E" w14:textId="77777777" w:rsidR="004B6993" w:rsidRPr="00370ACD" w:rsidRDefault="004B6993" w:rsidP="00E210F0">
      <w:pPr>
        <w:pStyle w:val="textregular"/>
        <w:spacing w:before="100" w:beforeAutospacing="1" w:after="100" w:afterAutospacing="1" w:line="276" w:lineRule="auto"/>
        <w:rPr>
          <w:rFonts w:cstheme="minorHAnsi"/>
          <w:color w:val="000000" w:themeColor="text1"/>
        </w:rPr>
      </w:pPr>
    </w:p>
    <w:sdt>
      <w:sdtPr>
        <w:rPr>
          <w:rFonts w:asciiTheme="minorHAnsi" w:eastAsiaTheme="minorHAnsi" w:hAnsiTheme="minorHAnsi" w:cstheme="minorHAnsi"/>
          <w:b w:val="0"/>
          <w:bCs w:val="0"/>
          <w:color w:val="auto"/>
          <w:sz w:val="22"/>
          <w:szCs w:val="22"/>
        </w:rPr>
        <w:id w:val="907816748"/>
        <w:docPartObj>
          <w:docPartGallery w:val="Table of Contents"/>
          <w:docPartUnique/>
        </w:docPartObj>
      </w:sdtPr>
      <w:sdtEndPr>
        <w:rPr>
          <w:rFonts w:ascii="Calibri" w:hAnsi="Calibri" w:cs="Times New Roman"/>
        </w:rPr>
      </w:sdtEndPr>
      <w:sdtContent>
        <w:p w14:paraId="38BBA8BA" w14:textId="77777777" w:rsidR="00730769" w:rsidRPr="00370ACD" w:rsidRDefault="00730769">
          <w:pPr>
            <w:pStyle w:val="TOCHeading"/>
            <w:rPr>
              <w:rFonts w:asciiTheme="minorHAnsi" w:hAnsiTheme="minorHAnsi" w:cstheme="minorHAnsi"/>
            </w:rPr>
          </w:pPr>
          <w:r w:rsidRPr="00370ACD">
            <w:rPr>
              <w:rFonts w:asciiTheme="minorHAnsi" w:hAnsiTheme="minorHAnsi" w:cstheme="minorHAnsi"/>
            </w:rPr>
            <w:t>Contents</w:t>
          </w:r>
        </w:p>
        <w:p w14:paraId="2E4E8840" w14:textId="23EFFD66" w:rsidR="00102BB0" w:rsidRDefault="00730769">
          <w:pPr>
            <w:pStyle w:val="TOC1"/>
            <w:rPr>
              <w:rFonts w:asciiTheme="minorHAnsi" w:eastAsiaTheme="minorEastAsia" w:hAnsiTheme="minorHAnsi"/>
              <w:noProof/>
              <w:lang w:val="en-US"/>
            </w:rPr>
          </w:pPr>
          <w:r w:rsidRPr="003832F2">
            <w:rPr>
              <w:rFonts w:ascii="Calibri" w:hAnsi="Calibri" w:cs="Times New Roman"/>
            </w:rPr>
            <w:fldChar w:fldCharType="begin"/>
          </w:r>
          <w:r w:rsidRPr="003832F2">
            <w:rPr>
              <w:rFonts w:ascii="Calibri" w:hAnsi="Calibri" w:cs="Times New Roman"/>
            </w:rPr>
            <w:instrText xml:space="preserve"> TOC \o "1-3" \h \z \u </w:instrText>
          </w:r>
          <w:r w:rsidRPr="003832F2">
            <w:rPr>
              <w:rFonts w:ascii="Calibri" w:hAnsi="Calibri" w:cs="Times New Roman"/>
            </w:rPr>
            <w:fldChar w:fldCharType="separate"/>
          </w:r>
          <w:hyperlink w:anchor="_Toc505855484" w:history="1">
            <w:r w:rsidR="00102BB0" w:rsidRPr="001C6E0D">
              <w:rPr>
                <w:rStyle w:val="Hyperlink"/>
                <w:rFonts w:cstheme="minorHAnsi"/>
                <w:noProof/>
              </w:rPr>
              <w:t>Whereas</w:t>
            </w:r>
            <w:r w:rsidR="00102BB0">
              <w:rPr>
                <w:noProof/>
                <w:webHidden/>
              </w:rPr>
              <w:tab/>
            </w:r>
            <w:r w:rsidR="00102BB0">
              <w:rPr>
                <w:noProof/>
                <w:webHidden/>
              </w:rPr>
              <w:fldChar w:fldCharType="begin"/>
            </w:r>
            <w:r w:rsidR="00102BB0">
              <w:rPr>
                <w:noProof/>
                <w:webHidden/>
              </w:rPr>
              <w:instrText xml:space="preserve"> PAGEREF _Toc505855484 \h </w:instrText>
            </w:r>
            <w:r w:rsidR="00102BB0">
              <w:rPr>
                <w:noProof/>
                <w:webHidden/>
              </w:rPr>
            </w:r>
            <w:r w:rsidR="00102BB0">
              <w:rPr>
                <w:noProof/>
                <w:webHidden/>
              </w:rPr>
              <w:fldChar w:fldCharType="separate"/>
            </w:r>
            <w:r w:rsidR="00102BB0">
              <w:rPr>
                <w:noProof/>
                <w:webHidden/>
              </w:rPr>
              <w:t>3</w:t>
            </w:r>
            <w:r w:rsidR="00102BB0">
              <w:rPr>
                <w:noProof/>
                <w:webHidden/>
              </w:rPr>
              <w:fldChar w:fldCharType="end"/>
            </w:r>
          </w:hyperlink>
        </w:p>
        <w:p w14:paraId="15CDC4B6" w14:textId="56CD0206" w:rsidR="00102BB0" w:rsidRDefault="00700B3B">
          <w:pPr>
            <w:pStyle w:val="TOC1"/>
            <w:rPr>
              <w:rFonts w:asciiTheme="minorHAnsi" w:eastAsiaTheme="minorEastAsia" w:hAnsiTheme="minorHAnsi"/>
              <w:noProof/>
              <w:lang w:val="en-US"/>
            </w:rPr>
          </w:pPr>
          <w:hyperlink w:anchor="_Toc505855485" w:history="1">
            <w:r w:rsidR="00102BB0" w:rsidRPr="001C6E0D">
              <w:rPr>
                <w:rStyle w:val="Hyperlink"/>
                <w:rFonts w:cstheme="minorHAnsi"/>
                <w:noProof/>
              </w:rPr>
              <w:t>Article 1 - Subject matter and scope</w:t>
            </w:r>
            <w:r w:rsidR="00102BB0">
              <w:rPr>
                <w:noProof/>
                <w:webHidden/>
              </w:rPr>
              <w:tab/>
            </w:r>
            <w:r w:rsidR="00102BB0">
              <w:rPr>
                <w:noProof/>
                <w:webHidden/>
              </w:rPr>
              <w:fldChar w:fldCharType="begin"/>
            </w:r>
            <w:r w:rsidR="00102BB0">
              <w:rPr>
                <w:noProof/>
                <w:webHidden/>
              </w:rPr>
              <w:instrText xml:space="preserve"> PAGEREF _Toc505855485 \h </w:instrText>
            </w:r>
            <w:r w:rsidR="00102BB0">
              <w:rPr>
                <w:noProof/>
                <w:webHidden/>
              </w:rPr>
            </w:r>
            <w:r w:rsidR="00102BB0">
              <w:rPr>
                <w:noProof/>
                <w:webHidden/>
              </w:rPr>
              <w:fldChar w:fldCharType="separate"/>
            </w:r>
            <w:r w:rsidR="00102BB0">
              <w:rPr>
                <w:noProof/>
                <w:webHidden/>
              </w:rPr>
              <w:t>5</w:t>
            </w:r>
            <w:r w:rsidR="00102BB0">
              <w:rPr>
                <w:noProof/>
                <w:webHidden/>
              </w:rPr>
              <w:fldChar w:fldCharType="end"/>
            </w:r>
          </w:hyperlink>
        </w:p>
        <w:p w14:paraId="12003C35" w14:textId="38F432E0" w:rsidR="00102BB0" w:rsidRDefault="00700B3B">
          <w:pPr>
            <w:pStyle w:val="TOC1"/>
            <w:rPr>
              <w:rFonts w:asciiTheme="minorHAnsi" w:eastAsiaTheme="minorEastAsia" w:hAnsiTheme="minorHAnsi"/>
              <w:noProof/>
              <w:lang w:val="en-US"/>
            </w:rPr>
          </w:pPr>
          <w:hyperlink w:anchor="_Toc505855486" w:history="1">
            <w:r w:rsidR="00102BB0" w:rsidRPr="001C6E0D">
              <w:rPr>
                <w:rStyle w:val="Hyperlink"/>
                <w:rFonts w:cstheme="minorHAnsi"/>
                <w:noProof/>
              </w:rPr>
              <w:t>Article 2 - Definitions and interpretation</w:t>
            </w:r>
            <w:r w:rsidR="00102BB0">
              <w:rPr>
                <w:noProof/>
                <w:webHidden/>
              </w:rPr>
              <w:tab/>
            </w:r>
            <w:r w:rsidR="00102BB0">
              <w:rPr>
                <w:noProof/>
                <w:webHidden/>
              </w:rPr>
              <w:fldChar w:fldCharType="begin"/>
            </w:r>
            <w:r w:rsidR="00102BB0">
              <w:rPr>
                <w:noProof/>
                <w:webHidden/>
              </w:rPr>
              <w:instrText xml:space="preserve"> PAGEREF _Toc505855486 \h </w:instrText>
            </w:r>
            <w:r w:rsidR="00102BB0">
              <w:rPr>
                <w:noProof/>
                <w:webHidden/>
              </w:rPr>
            </w:r>
            <w:r w:rsidR="00102BB0">
              <w:rPr>
                <w:noProof/>
                <w:webHidden/>
              </w:rPr>
              <w:fldChar w:fldCharType="separate"/>
            </w:r>
            <w:r w:rsidR="00102BB0">
              <w:rPr>
                <w:noProof/>
                <w:webHidden/>
              </w:rPr>
              <w:t>5</w:t>
            </w:r>
            <w:r w:rsidR="00102BB0">
              <w:rPr>
                <w:noProof/>
                <w:webHidden/>
              </w:rPr>
              <w:fldChar w:fldCharType="end"/>
            </w:r>
          </w:hyperlink>
        </w:p>
        <w:p w14:paraId="2E1278AC" w14:textId="7C4C8DA3" w:rsidR="00102BB0" w:rsidRDefault="00700B3B">
          <w:pPr>
            <w:pStyle w:val="TOC1"/>
            <w:rPr>
              <w:rFonts w:asciiTheme="minorHAnsi" w:eastAsiaTheme="minorEastAsia" w:hAnsiTheme="minorHAnsi"/>
              <w:noProof/>
              <w:lang w:val="en-US"/>
            </w:rPr>
          </w:pPr>
          <w:hyperlink w:anchor="_Toc505855487" w:history="1">
            <w:r w:rsidR="00102BB0" w:rsidRPr="001C6E0D">
              <w:rPr>
                <w:rStyle w:val="Hyperlink"/>
                <w:rFonts w:cstheme="minorHAnsi"/>
                <w:noProof/>
              </w:rPr>
              <w:t>Article 3 - List of Information Required from Relevant NEMOs</w:t>
            </w:r>
            <w:r w:rsidR="00102BB0">
              <w:rPr>
                <w:noProof/>
                <w:webHidden/>
              </w:rPr>
              <w:tab/>
            </w:r>
            <w:r w:rsidR="00102BB0">
              <w:rPr>
                <w:noProof/>
                <w:webHidden/>
              </w:rPr>
              <w:fldChar w:fldCharType="begin"/>
            </w:r>
            <w:r w:rsidR="00102BB0">
              <w:rPr>
                <w:noProof/>
                <w:webHidden/>
              </w:rPr>
              <w:instrText xml:space="preserve"> PAGEREF _Toc505855487 \h </w:instrText>
            </w:r>
            <w:r w:rsidR="00102BB0">
              <w:rPr>
                <w:noProof/>
                <w:webHidden/>
              </w:rPr>
            </w:r>
            <w:r w:rsidR="00102BB0">
              <w:rPr>
                <w:noProof/>
                <w:webHidden/>
              </w:rPr>
              <w:fldChar w:fldCharType="separate"/>
            </w:r>
            <w:r w:rsidR="00102BB0">
              <w:rPr>
                <w:noProof/>
                <w:webHidden/>
              </w:rPr>
              <w:t>6</w:t>
            </w:r>
            <w:r w:rsidR="00102BB0">
              <w:rPr>
                <w:noProof/>
                <w:webHidden/>
              </w:rPr>
              <w:fldChar w:fldCharType="end"/>
            </w:r>
          </w:hyperlink>
        </w:p>
        <w:p w14:paraId="15AC39E6" w14:textId="60D0D2DB" w:rsidR="00102BB0" w:rsidRDefault="00700B3B">
          <w:pPr>
            <w:pStyle w:val="TOC1"/>
            <w:rPr>
              <w:rFonts w:asciiTheme="minorHAnsi" w:eastAsiaTheme="minorEastAsia" w:hAnsiTheme="minorHAnsi"/>
              <w:noProof/>
              <w:lang w:val="en-US"/>
            </w:rPr>
          </w:pPr>
          <w:hyperlink w:anchor="_Toc505855488" w:history="1">
            <w:r w:rsidR="00102BB0" w:rsidRPr="001C6E0D">
              <w:rPr>
                <w:rStyle w:val="Hyperlink"/>
                <w:rFonts w:cstheme="minorHAnsi"/>
                <w:noProof/>
              </w:rPr>
              <w:t>Article 4 - Calculation of Scheduled Exchanges between bidding zones and scheduling areas</w:t>
            </w:r>
            <w:r w:rsidR="00102BB0">
              <w:rPr>
                <w:noProof/>
                <w:webHidden/>
              </w:rPr>
              <w:tab/>
            </w:r>
            <w:r w:rsidR="00102BB0">
              <w:rPr>
                <w:noProof/>
                <w:webHidden/>
              </w:rPr>
              <w:fldChar w:fldCharType="begin"/>
            </w:r>
            <w:r w:rsidR="00102BB0">
              <w:rPr>
                <w:noProof/>
                <w:webHidden/>
              </w:rPr>
              <w:instrText xml:space="preserve"> PAGEREF _Toc505855488 \h </w:instrText>
            </w:r>
            <w:r w:rsidR="00102BB0">
              <w:rPr>
                <w:noProof/>
                <w:webHidden/>
              </w:rPr>
            </w:r>
            <w:r w:rsidR="00102BB0">
              <w:rPr>
                <w:noProof/>
                <w:webHidden/>
              </w:rPr>
              <w:fldChar w:fldCharType="separate"/>
            </w:r>
            <w:r w:rsidR="00102BB0">
              <w:rPr>
                <w:noProof/>
                <w:webHidden/>
              </w:rPr>
              <w:t>6</w:t>
            </w:r>
            <w:r w:rsidR="00102BB0">
              <w:rPr>
                <w:noProof/>
                <w:webHidden/>
              </w:rPr>
              <w:fldChar w:fldCharType="end"/>
            </w:r>
          </w:hyperlink>
        </w:p>
        <w:p w14:paraId="0B35F71D" w14:textId="665D513B" w:rsidR="00102BB0" w:rsidRDefault="00700B3B">
          <w:pPr>
            <w:pStyle w:val="TOC1"/>
            <w:rPr>
              <w:rFonts w:asciiTheme="minorHAnsi" w:eastAsiaTheme="minorEastAsia" w:hAnsiTheme="minorHAnsi"/>
              <w:noProof/>
              <w:lang w:val="en-US"/>
            </w:rPr>
          </w:pPr>
          <w:hyperlink w:anchor="_Toc505855489" w:history="1">
            <w:r w:rsidR="00102BB0" w:rsidRPr="001C6E0D">
              <w:rPr>
                <w:rStyle w:val="Hyperlink"/>
                <w:rFonts w:cstheme="minorHAnsi"/>
                <w:noProof/>
              </w:rPr>
              <w:t>Article 5 - Implementation of the ID SEC Proposal</w:t>
            </w:r>
            <w:r w:rsidR="00102BB0">
              <w:rPr>
                <w:noProof/>
                <w:webHidden/>
              </w:rPr>
              <w:tab/>
            </w:r>
            <w:r w:rsidR="00102BB0">
              <w:rPr>
                <w:noProof/>
                <w:webHidden/>
              </w:rPr>
              <w:fldChar w:fldCharType="begin"/>
            </w:r>
            <w:r w:rsidR="00102BB0">
              <w:rPr>
                <w:noProof/>
                <w:webHidden/>
              </w:rPr>
              <w:instrText xml:space="preserve"> PAGEREF _Toc505855489 \h </w:instrText>
            </w:r>
            <w:r w:rsidR="00102BB0">
              <w:rPr>
                <w:noProof/>
                <w:webHidden/>
              </w:rPr>
            </w:r>
            <w:r w:rsidR="00102BB0">
              <w:rPr>
                <w:noProof/>
                <w:webHidden/>
              </w:rPr>
              <w:fldChar w:fldCharType="separate"/>
            </w:r>
            <w:r w:rsidR="00102BB0">
              <w:rPr>
                <w:noProof/>
                <w:webHidden/>
              </w:rPr>
              <w:t>6</w:t>
            </w:r>
            <w:r w:rsidR="00102BB0">
              <w:rPr>
                <w:noProof/>
                <w:webHidden/>
              </w:rPr>
              <w:fldChar w:fldCharType="end"/>
            </w:r>
          </w:hyperlink>
        </w:p>
        <w:p w14:paraId="3055BCBF" w14:textId="2D91F045" w:rsidR="00102BB0" w:rsidRDefault="00700B3B">
          <w:pPr>
            <w:pStyle w:val="TOC1"/>
            <w:rPr>
              <w:rFonts w:asciiTheme="minorHAnsi" w:eastAsiaTheme="minorEastAsia" w:hAnsiTheme="minorHAnsi"/>
              <w:noProof/>
              <w:lang w:val="en-US"/>
            </w:rPr>
          </w:pPr>
          <w:hyperlink w:anchor="_Toc505855490" w:history="1">
            <w:r w:rsidR="00102BB0" w:rsidRPr="001C6E0D">
              <w:rPr>
                <w:rStyle w:val="Hyperlink"/>
                <w:rFonts w:cstheme="minorHAnsi"/>
                <w:noProof/>
              </w:rPr>
              <w:t>Article 6 - Language</w:t>
            </w:r>
            <w:r w:rsidR="00102BB0">
              <w:rPr>
                <w:noProof/>
                <w:webHidden/>
              </w:rPr>
              <w:tab/>
            </w:r>
            <w:r w:rsidR="00102BB0">
              <w:rPr>
                <w:noProof/>
                <w:webHidden/>
              </w:rPr>
              <w:fldChar w:fldCharType="begin"/>
            </w:r>
            <w:r w:rsidR="00102BB0">
              <w:rPr>
                <w:noProof/>
                <w:webHidden/>
              </w:rPr>
              <w:instrText xml:space="preserve"> PAGEREF _Toc505855490 \h </w:instrText>
            </w:r>
            <w:r w:rsidR="00102BB0">
              <w:rPr>
                <w:noProof/>
                <w:webHidden/>
              </w:rPr>
            </w:r>
            <w:r w:rsidR="00102BB0">
              <w:rPr>
                <w:noProof/>
                <w:webHidden/>
              </w:rPr>
              <w:fldChar w:fldCharType="separate"/>
            </w:r>
            <w:r w:rsidR="00102BB0">
              <w:rPr>
                <w:noProof/>
                <w:webHidden/>
              </w:rPr>
              <w:t>6</w:t>
            </w:r>
            <w:r w:rsidR="00102BB0">
              <w:rPr>
                <w:noProof/>
                <w:webHidden/>
              </w:rPr>
              <w:fldChar w:fldCharType="end"/>
            </w:r>
          </w:hyperlink>
        </w:p>
        <w:p w14:paraId="42099219" w14:textId="6FD73664" w:rsidR="00730769" w:rsidRPr="003832F2" w:rsidRDefault="00730769">
          <w:pPr>
            <w:rPr>
              <w:rFonts w:ascii="Calibri" w:hAnsi="Calibri" w:cs="Times New Roman"/>
            </w:rPr>
          </w:pPr>
          <w:r w:rsidRPr="003832F2">
            <w:rPr>
              <w:rFonts w:ascii="Calibri" w:hAnsi="Calibri" w:cs="Times New Roman"/>
              <w:b/>
              <w:bCs/>
            </w:rPr>
            <w:fldChar w:fldCharType="end"/>
          </w:r>
        </w:p>
      </w:sdtContent>
    </w:sdt>
    <w:p w14:paraId="04369164" w14:textId="77777777" w:rsidR="005E1BC2" w:rsidRPr="00370ACD" w:rsidRDefault="005E1BC2" w:rsidP="00E210F0">
      <w:pPr>
        <w:spacing w:before="100" w:beforeAutospacing="1" w:after="100" w:afterAutospacing="1" w:line="276" w:lineRule="auto"/>
        <w:rPr>
          <w:rFonts w:cstheme="minorHAnsi"/>
          <w:color w:val="000000" w:themeColor="text1"/>
        </w:rPr>
      </w:pPr>
    </w:p>
    <w:p w14:paraId="3C7467AB" w14:textId="77777777" w:rsidR="004A1545" w:rsidRPr="00370ACD" w:rsidRDefault="004B6993" w:rsidP="00E210F0">
      <w:pPr>
        <w:spacing w:before="100" w:beforeAutospacing="1" w:after="100" w:afterAutospacing="1" w:line="276" w:lineRule="auto"/>
        <w:jc w:val="both"/>
        <w:rPr>
          <w:rFonts w:cstheme="minorHAnsi"/>
          <w:color w:val="000000" w:themeColor="text1"/>
        </w:rPr>
      </w:pPr>
      <w:r w:rsidRPr="00370ACD">
        <w:rPr>
          <w:rFonts w:cstheme="minorHAnsi"/>
          <w:color w:val="000000" w:themeColor="text1"/>
        </w:rPr>
        <w:br w:type="page"/>
      </w:r>
      <w:bookmarkStart w:id="1" w:name="_Toc378091729"/>
    </w:p>
    <w:p w14:paraId="58B9E9C1" w14:textId="77777777" w:rsidR="004A1545" w:rsidRPr="00370ACD" w:rsidRDefault="00202413" w:rsidP="00E210F0">
      <w:pPr>
        <w:spacing w:before="100" w:beforeAutospacing="1" w:after="100" w:afterAutospacing="1" w:line="276" w:lineRule="auto"/>
        <w:jc w:val="both"/>
        <w:rPr>
          <w:rFonts w:cstheme="minorHAnsi"/>
          <w:color w:val="000000" w:themeColor="text1"/>
        </w:rPr>
      </w:pPr>
      <w:r>
        <w:rPr>
          <w:rFonts w:cstheme="minorHAnsi"/>
          <w:color w:val="000000" w:themeColor="text1"/>
        </w:rPr>
        <w:t xml:space="preserve">All </w:t>
      </w:r>
      <w:r w:rsidR="00B26A79">
        <w:rPr>
          <w:rFonts w:cstheme="minorHAnsi"/>
          <w:color w:val="000000" w:themeColor="text1"/>
        </w:rPr>
        <w:t>Transmission System Operators</w:t>
      </w:r>
      <w:r w:rsidR="00823CEE">
        <w:rPr>
          <w:rFonts w:cstheme="minorHAnsi"/>
          <w:color w:val="000000" w:themeColor="text1"/>
        </w:rPr>
        <w:t xml:space="preserve"> </w:t>
      </w:r>
      <w:r w:rsidR="004A1545" w:rsidRPr="00370ACD">
        <w:rPr>
          <w:rFonts w:cstheme="minorHAnsi"/>
          <w:color w:val="000000" w:themeColor="text1"/>
        </w:rPr>
        <w:t>taking into account the following</w:t>
      </w:r>
      <w:r w:rsidR="00D53737">
        <w:rPr>
          <w:rFonts w:cstheme="minorHAnsi"/>
          <w:color w:val="000000" w:themeColor="text1"/>
        </w:rPr>
        <w:t>:</w:t>
      </w:r>
    </w:p>
    <w:p w14:paraId="6F497AC2" w14:textId="77777777" w:rsidR="004A1545" w:rsidRPr="00370ACD" w:rsidRDefault="004A1545" w:rsidP="00730769">
      <w:pPr>
        <w:pStyle w:val="headline1"/>
        <w:rPr>
          <w:rFonts w:asciiTheme="minorHAnsi" w:hAnsiTheme="minorHAnsi" w:cstheme="minorHAnsi"/>
        </w:rPr>
      </w:pPr>
      <w:bookmarkStart w:id="2" w:name="_Toc456339227"/>
      <w:bookmarkStart w:id="3" w:name="_Toc505249293"/>
      <w:bookmarkStart w:id="4" w:name="_Toc505855484"/>
      <w:r w:rsidRPr="00370ACD">
        <w:rPr>
          <w:rFonts w:asciiTheme="minorHAnsi" w:hAnsiTheme="minorHAnsi" w:cstheme="minorHAnsi"/>
        </w:rPr>
        <w:t>Whereas</w:t>
      </w:r>
      <w:bookmarkEnd w:id="2"/>
      <w:bookmarkEnd w:id="3"/>
      <w:bookmarkEnd w:id="4"/>
    </w:p>
    <w:p w14:paraId="70F76906" w14:textId="5486C0F4" w:rsidR="00823CEE" w:rsidRDefault="004A1545" w:rsidP="00E36258">
      <w:pPr>
        <w:pStyle w:val="ListParagraph"/>
        <w:numPr>
          <w:ilvl w:val="0"/>
          <w:numId w:val="5"/>
        </w:numPr>
        <w:spacing w:before="100" w:beforeAutospacing="1" w:after="100" w:afterAutospacing="1" w:line="276" w:lineRule="auto"/>
        <w:ind w:left="360"/>
        <w:rPr>
          <w:rFonts w:cstheme="minorHAnsi"/>
          <w:color w:val="000000" w:themeColor="text1"/>
          <w:lang w:val="en-GB"/>
        </w:rPr>
      </w:pPr>
      <w:r w:rsidRPr="00370ACD">
        <w:rPr>
          <w:rFonts w:cstheme="minorHAnsi"/>
          <w:color w:val="000000" w:themeColor="text1"/>
          <w:lang w:val="en-GB"/>
        </w:rPr>
        <w:t xml:space="preserve">This document is a common proposal developed by </w:t>
      </w:r>
      <w:r w:rsidR="00B108C8">
        <w:rPr>
          <w:rFonts w:cstheme="minorHAnsi"/>
          <w:color w:val="000000" w:themeColor="text1"/>
          <w:lang w:val="en-GB"/>
        </w:rPr>
        <w:t>a</w:t>
      </w:r>
      <w:r w:rsidR="00872EC5">
        <w:rPr>
          <w:rFonts w:cstheme="minorHAnsi"/>
          <w:color w:val="000000" w:themeColor="text1"/>
          <w:lang w:val="en-GB"/>
        </w:rPr>
        <w:t>ll</w:t>
      </w:r>
      <w:r w:rsidR="00872EC5" w:rsidRPr="00370ACD">
        <w:rPr>
          <w:rFonts w:cstheme="minorHAnsi"/>
          <w:color w:val="000000" w:themeColor="text1"/>
          <w:lang w:val="en-GB"/>
        </w:rPr>
        <w:t xml:space="preserve"> </w:t>
      </w:r>
      <w:r w:rsidRPr="00370ACD">
        <w:rPr>
          <w:rFonts w:cstheme="minorHAnsi"/>
          <w:color w:val="000000" w:themeColor="text1"/>
          <w:lang w:val="en-GB"/>
        </w:rPr>
        <w:t>Transmission System Operators (hereafter referred to as “</w:t>
      </w:r>
      <w:r w:rsidRPr="00D01668">
        <w:rPr>
          <w:rFonts w:cstheme="minorHAnsi"/>
          <w:b/>
          <w:color w:val="000000" w:themeColor="text1"/>
          <w:lang w:val="en-GB"/>
        </w:rPr>
        <w:t>TSOs</w:t>
      </w:r>
      <w:r w:rsidRPr="00370ACD">
        <w:rPr>
          <w:rFonts w:cstheme="minorHAnsi"/>
          <w:color w:val="000000" w:themeColor="text1"/>
          <w:lang w:val="en-GB"/>
        </w:rPr>
        <w:t>”)</w:t>
      </w:r>
      <w:r w:rsidR="00823CEE">
        <w:rPr>
          <w:rFonts w:cstheme="minorHAnsi"/>
          <w:color w:val="000000" w:themeColor="text1"/>
          <w:lang w:val="en-GB"/>
        </w:rPr>
        <w:t xml:space="preserve">, </w:t>
      </w:r>
      <w:r w:rsidR="00D01668">
        <w:rPr>
          <w:rFonts w:cstheme="minorHAnsi"/>
          <w:color w:val="000000" w:themeColor="text1"/>
          <w:lang w:val="en-GB"/>
        </w:rPr>
        <w:t xml:space="preserve">which intend to calculate Scheduled Exchanges resulting from single intraday coupling </w:t>
      </w:r>
      <w:r w:rsidR="00E30DB8">
        <w:rPr>
          <w:rFonts w:cstheme="minorHAnsi"/>
          <w:color w:val="000000" w:themeColor="text1"/>
          <w:lang w:val="en-GB"/>
        </w:rPr>
        <w:t>(hereafter referred to as “</w:t>
      </w:r>
      <w:r w:rsidR="00E30DB8" w:rsidRPr="006B16F2">
        <w:rPr>
          <w:rFonts w:cstheme="minorHAnsi"/>
          <w:b/>
          <w:color w:val="000000" w:themeColor="text1"/>
          <w:lang w:val="en-GB"/>
        </w:rPr>
        <w:t>S</w:t>
      </w:r>
      <w:r w:rsidR="00E30DB8">
        <w:rPr>
          <w:rFonts w:cstheme="minorHAnsi"/>
          <w:b/>
          <w:color w:val="000000" w:themeColor="text1"/>
          <w:lang w:val="en-GB"/>
        </w:rPr>
        <w:t>ID</w:t>
      </w:r>
      <w:r w:rsidR="00E30DB8" w:rsidRPr="006B16F2">
        <w:rPr>
          <w:rFonts w:cstheme="minorHAnsi"/>
          <w:b/>
          <w:color w:val="000000" w:themeColor="text1"/>
          <w:lang w:val="en-GB"/>
        </w:rPr>
        <w:t>C</w:t>
      </w:r>
      <w:r w:rsidR="00E30DB8">
        <w:rPr>
          <w:rFonts w:cstheme="minorHAnsi"/>
          <w:color w:val="000000" w:themeColor="text1"/>
          <w:lang w:val="en-GB"/>
        </w:rPr>
        <w:t xml:space="preserve">”) </w:t>
      </w:r>
      <w:r w:rsidR="00D01668">
        <w:rPr>
          <w:rFonts w:cstheme="minorHAnsi"/>
          <w:color w:val="000000" w:themeColor="text1"/>
          <w:lang w:val="en-GB"/>
        </w:rPr>
        <w:t xml:space="preserve">or which will use directly the result </w:t>
      </w:r>
      <w:r w:rsidR="00823CEE">
        <w:rPr>
          <w:rFonts w:cstheme="minorHAnsi"/>
          <w:color w:val="000000" w:themeColor="text1"/>
          <w:lang w:val="en-GB"/>
        </w:rPr>
        <w:t xml:space="preserve">from </w:t>
      </w:r>
      <w:r w:rsidR="00E30DB8">
        <w:rPr>
          <w:rFonts w:cstheme="minorHAnsi"/>
          <w:color w:val="000000" w:themeColor="text1"/>
          <w:lang w:val="en-GB"/>
        </w:rPr>
        <w:t>SIDC</w:t>
      </w:r>
      <w:r w:rsidR="00076649">
        <w:rPr>
          <w:rFonts w:cstheme="minorHAnsi"/>
          <w:color w:val="000000" w:themeColor="text1"/>
          <w:lang w:val="en-GB"/>
        </w:rPr>
        <w:t xml:space="preserve">. The document provides a </w:t>
      </w:r>
      <w:r w:rsidRPr="00370ACD">
        <w:rPr>
          <w:rFonts w:cstheme="minorHAnsi"/>
          <w:color w:val="000000" w:themeColor="text1"/>
          <w:lang w:val="en-GB"/>
        </w:rPr>
        <w:t xml:space="preserve">methodology for calculating </w:t>
      </w:r>
      <w:r w:rsidR="00D81E7B">
        <w:rPr>
          <w:rFonts w:cstheme="minorHAnsi"/>
          <w:color w:val="000000" w:themeColor="text1"/>
          <w:lang w:val="en-GB"/>
        </w:rPr>
        <w:t>Scheduled Exchanges</w:t>
      </w:r>
      <w:r w:rsidRPr="00370ACD">
        <w:rPr>
          <w:rFonts w:cstheme="minorHAnsi"/>
          <w:color w:val="000000" w:themeColor="text1"/>
          <w:lang w:val="en-GB"/>
        </w:rPr>
        <w:t xml:space="preserve"> resulting from </w:t>
      </w:r>
      <w:r w:rsidR="00412EAE" w:rsidRPr="00370ACD">
        <w:rPr>
          <w:rFonts w:cstheme="minorHAnsi"/>
          <w:color w:val="000000" w:themeColor="text1"/>
          <w:lang w:val="en-GB"/>
        </w:rPr>
        <w:t xml:space="preserve">the </w:t>
      </w:r>
      <w:r w:rsidR="00E30DB8">
        <w:rPr>
          <w:rFonts w:cstheme="minorHAnsi"/>
          <w:color w:val="000000" w:themeColor="text1"/>
          <w:lang w:val="en-GB"/>
        </w:rPr>
        <w:t>SIDC</w:t>
      </w:r>
      <w:r w:rsidR="004E4BEF" w:rsidRPr="00370ACD">
        <w:rPr>
          <w:rFonts w:cstheme="minorHAnsi"/>
          <w:color w:val="000000" w:themeColor="text1"/>
          <w:lang w:val="en-GB"/>
        </w:rPr>
        <w:t xml:space="preserve"> (”hereafter referred to as ”</w:t>
      </w:r>
      <w:r w:rsidR="00395E09" w:rsidRPr="005667D6">
        <w:rPr>
          <w:rFonts w:cstheme="minorHAnsi"/>
          <w:b/>
          <w:color w:val="000000" w:themeColor="text1"/>
          <w:lang w:val="en-GB"/>
        </w:rPr>
        <w:t xml:space="preserve">ID </w:t>
      </w:r>
      <w:r w:rsidR="005667D6" w:rsidRPr="005667D6">
        <w:rPr>
          <w:rFonts w:cstheme="minorHAnsi"/>
          <w:b/>
          <w:color w:val="000000" w:themeColor="text1"/>
          <w:lang w:val="en-GB"/>
        </w:rPr>
        <w:t>SEC</w:t>
      </w:r>
      <w:r w:rsidR="004E4BEF" w:rsidRPr="005667D6">
        <w:rPr>
          <w:rFonts w:cstheme="minorHAnsi"/>
          <w:b/>
          <w:color w:val="000000" w:themeColor="text1"/>
          <w:lang w:val="en-GB"/>
        </w:rPr>
        <w:t xml:space="preserve"> Methodology</w:t>
      </w:r>
      <w:r w:rsidR="004E4BEF" w:rsidRPr="00370ACD">
        <w:rPr>
          <w:rFonts w:cstheme="minorHAnsi"/>
          <w:color w:val="000000" w:themeColor="text1"/>
          <w:lang w:val="en-GB"/>
        </w:rPr>
        <w:t xml:space="preserve">”) in accordance with Article </w:t>
      </w:r>
      <w:r w:rsidR="00140797">
        <w:rPr>
          <w:rFonts w:cstheme="minorHAnsi"/>
          <w:color w:val="000000" w:themeColor="text1"/>
          <w:lang w:val="en-GB"/>
        </w:rPr>
        <w:t>56</w:t>
      </w:r>
      <w:r w:rsidR="00A55277" w:rsidRPr="00370ACD">
        <w:rPr>
          <w:rFonts w:cstheme="minorHAnsi"/>
          <w:color w:val="000000" w:themeColor="text1"/>
          <w:lang w:val="en-GB"/>
        </w:rPr>
        <w:t xml:space="preserve"> </w:t>
      </w:r>
      <w:r w:rsidR="004E4BEF" w:rsidRPr="00370ACD">
        <w:rPr>
          <w:rFonts w:cstheme="minorHAnsi"/>
          <w:color w:val="000000" w:themeColor="text1"/>
          <w:lang w:val="en-GB"/>
        </w:rPr>
        <w:t>of Commission Regulation (EU) 2015/1222 establishing a guideline on Capacity Allocation and Congestion Management (hereafter referred to as</w:t>
      </w:r>
      <w:r w:rsidR="00A138E8" w:rsidRPr="00370ACD">
        <w:rPr>
          <w:rFonts w:cstheme="minorHAnsi"/>
          <w:color w:val="000000" w:themeColor="text1"/>
          <w:lang w:val="en-GB"/>
        </w:rPr>
        <w:t xml:space="preserve"> </w:t>
      </w:r>
      <w:r w:rsidR="004E4BEF" w:rsidRPr="00370ACD">
        <w:rPr>
          <w:rFonts w:cstheme="minorHAnsi"/>
          <w:color w:val="000000" w:themeColor="text1"/>
          <w:lang w:val="en-GB"/>
        </w:rPr>
        <w:t>”</w:t>
      </w:r>
      <w:r w:rsidR="005667D6" w:rsidRPr="000C6F84">
        <w:rPr>
          <w:rFonts w:cstheme="minorHAnsi"/>
          <w:b/>
          <w:color w:val="000000" w:themeColor="text1"/>
          <w:lang w:val="en-GB"/>
        </w:rPr>
        <w:t>CACM Regulation</w:t>
      </w:r>
      <w:r w:rsidR="004E4BEF" w:rsidRPr="00370ACD">
        <w:rPr>
          <w:rFonts w:cstheme="minorHAnsi"/>
          <w:color w:val="000000" w:themeColor="text1"/>
          <w:lang w:val="en-GB"/>
        </w:rPr>
        <w:t xml:space="preserve">”). This proposal is hereafter referred to </w:t>
      </w:r>
      <w:r w:rsidR="00076649" w:rsidRPr="00370ACD">
        <w:rPr>
          <w:rFonts w:cstheme="minorHAnsi"/>
          <w:color w:val="000000" w:themeColor="text1"/>
          <w:lang w:val="en-GB"/>
        </w:rPr>
        <w:t>as</w:t>
      </w:r>
      <w:r w:rsidR="00076649">
        <w:rPr>
          <w:rFonts w:cstheme="minorHAnsi"/>
          <w:color w:val="000000" w:themeColor="text1"/>
          <w:lang w:val="en-GB"/>
        </w:rPr>
        <w:t xml:space="preserve"> ”</w:t>
      </w:r>
      <w:r w:rsidR="00395E09" w:rsidRPr="005667D6">
        <w:rPr>
          <w:rFonts w:cstheme="minorHAnsi"/>
          <w:b/>
          <w:color w:val="000000" w:themeColor="text1"/>
          <w:lang w:val="en-GB"/>
        </w:rPr>
        <w:t xml:space="preserve">ID </w:t>
      </w:r>
      <w:r w:rsidR="005667D6" w:rsidRPr="005667D6">
        <w:rPr>
          <w:rFonts w:cstheme="minorHAnsi"/>
          <w:b/>
          <w:color w:val="000000" w:themeColor="text1"/>
          <w:lang w:val="en-GB"/>
        </w:rPr>
        <w:t>SEC</w:t>
      </w:r>
      <w:r w:rsidR="004E4BEF" w:rsidRPr="005667D6">
        <w:rPr>
          <w:rFonts w:cstheme="minorHAnsi"/>
          <w:b/>
          <w:color w:val="000000" w:themeColor="text1"/>
          <w:lang w:val="en-GB"/>
        </w:rPr>
        <w:t xml:space="preserve"> Proposal</w:t>
      </w:r>
      <w:r w:rsidR="004E4BEF" w:rsidRPr="00370ACD">
        <w:rPr>
          <w:rFonts w:cstheme="minorHAnsi"/>
          <w:color w:val="000000" w:themeColor="text1"/>
          <w:lang w:val="en-GB"/>
        </w:rPr>
        <w:t>”.</w:t>
      </w:r>
      <w:r w:rsidR="00A34884">
        <w:rPr>
          <w:rFonts w:cstheme="minorHAnsi"/>
          <w:color w:val="000000" w:themeColor="text1"/>
          <w:lang w:val="en-GB"/>
        </w:rPr>
        <w:t xml:space="preserve"> However, </w:t>
      </w:r>
      <w:bookmarkStart w:id="5" w:name="_Hlk504487470"/>
      <w:r w:rsidR="00A34884">
        <w:rPr>
          <w:rFonts w:cstheme="minorHAnsi"/>
          <w:color w:val="000000" w:themeColor="text1"/>
          <w:lang w:val="en-GB"/>
        </w:rPr>
        <w:t xml:space="preserve">all TSOs will use directly the results from </w:t>
      </w:r>
      <w:r w:rsidR="00E30DB8">
        <w:rPr>
          <w:rFonts w:cstheme="minorHAnsi"/>
          <w:color w:val="000000" w:themeColor="text1"/>
          <w:lang w:val="en-GB"/>
        </w:rPr>
        <w:t>SIDC</w:t>
      </w:r>
      <w:r w:rsidR="00A34884">
        <w:rPr>
          <w:rFonts w:cstheme="minorHAnsi"/>
          <w:color w:val="000000" w:themeColor="text1"/>
          <w:lang w:val="en-GB"/>
        </w:rPr>
        <w:t xml:space="preserve"> and there is no intention to calculate Scheduled Exchanges resulting from </w:t>
      </w:r>
      <w:r w:rsidR="00E30DB8">
        <w:rPr>
          <w:rFonts w:cstheme="minorHAnsi"/>
          <w:color w:val="000000" w:themeColor="text1"/>
          <w:lang w:val="en-GB"/>
        </w:rPr>
        <w:t>SIDC</w:t>
      </w:r>
      <w:bookmarkEnd w:id="5"/>
      <w:r w:rsidR="00A34884">
        <w:rPr>
          <w:rFonts w:cstheme="minorHAnsi"/>
          <w:color w:val="000000" w:themeColor="text1"/>
          <w:lang w:val="en-GB"/>
        </w:rPr>
        <w:t xml:space="preserve">. </w:t>
      </w:r>
    </w:p>
    <w:p w14:paraId="5E84F175" w14:textId="77777777" w:rsidR="00823CEE" w:rsidRDefault="00823CEE" w:rsidP="00823CEE">
      <w:pPr>
        <w:pStyle w:val="ListParagraph"/>
        <w:spacing w:after="120" w:line="276" w:lineRule="auto"/>
        <w:ind w:left="1068"/>
        <w:rPr>
          <w:rFonts w:cstheme="minorHAnsi"/>
          <w:color w:val="000000" w:themeColor="text1"/>
          <w:lang w:val="en-GB"/>
        </w:rPr>
      </w:pPr>
    </w:p>
    <w:p w14:paraId="2D2FED19" w14:textId="77777777" w:rsidR="005667D6" w:rsidRDefault="005667D6" w:rsidP="00E36258">
      <w:pPr>
        <w:pStyle w:val="ListParagraph"/>
        <w:numPr>
          <w:ilvl w:val="0"/>
          <w:numId w:val="5"/>
        </w:numPr>
        <w:spacing w:before="100" w:beforeAutospacing="1" w:after="100" w:afterAutospacing="1" w:line="276" w:lineRule="auto"/>
        <w:ind w:left="360"/>
        <w:rPr>
          <w:rFonts w:cstheme="minorHAnsi"/>
          <w:lang w:val="en-GB"/>
        </w:rPr>
      </w:pPr>
      <w:r w:rsidRPr="00370ACD">
        <w:rPr>
          <w:rFonts w:cstheme="minorHAnsi"/>
          <w:lang w:val="en-GB"/>
        </w:rPr>
        <w:t xml:space="preserve">The </w:t>
      </w:r>
      <w:r>
        <w:rPr>
          <w:rFonts w:cstheme="minorHAnsi"/>
          <w:lang w:val="en-GB"/>
        </w:rPr>
        <w:t>ID SEC</w:t>
      </w:r>
      <w:r w:rsidRPr="00370ACD">
        <w:rPr>
          <w:rFonts w:cstheme="minorHAnsi"/>
          <w:lang w:val="en-GB"/>
        </w:rPr>
        <w:t xml:space="preserve"> Proposal takes into account the general principles, goals and other methodologies reflected in </w:t>
      </w:r>
      <w:r>
        <w:rPr>
          <w:rFonts w:cstheme="minorHAnsi"/>
          <w:color w:val="000000" w:themeColor="text1"/>
          <w:lang w:val="en-GB"/>
        </w:rPr>
        <w:t>CACM Regulation</w:t>
      </w:r>
      <w:r w:rsidRPr="00370ACD">
        <w:rPr>
          <w:rFonts w:cstheme="minorHAnsi"/>
          <w:lang w:val="en-GB"/>
        </w:rPr>
        <w:t xml:space="preserve">. The goal of </w:t>
      </w:r>
      <w:r>
        <w:rPr>
          <w:rFonts w:cstheme="minorHAnsi"/>
          <w:color w:val="000000" w:themeColor="text1"/>
          <w:lang w:val="en-GB"/>
        </w:rPr>
        <w:t>CACM Regulation</w:t>
      </w:r>
      <w:r w:rsidRPr="00370ACD" w:rsidDel="005667D6">
        <w:rPr>
          <w:rFonts w:cstheme="minorHAnsi"/>
          <w:lang w:val="en-GB"/>
        </w:rPr>
        <w:t xml:space="preserve"> </w:t>
      </w:r>
      <w:r w:rsidRPr="00370ACD">
        <w:rPr>
          <w:rFonts w:cstheme="minorHAnsi"/>
          <w:lang w:val="en-GB"/>
        </w:rPr>
        <w:t xml:space="preserve">is the coordination and harmonisation of capacity calculation and allocation in the </w:t>
      </w:r>
      <w:r>
        <w:rPr>
          <w:rFonts w:cstheme="minorHAnsi"/>
          <w:lang w:val="en-GB"/>
        </w:rPr>
        <w:t>day-ahead</w:t>
      </w:r>
      <w:r w:rsidRPr="00370ACD">
        <w:rPr>
          <w:rFonts w:cstheme="minorHAnsi"/>
          <w:lang w:val="en-GB"/>
        </w:rPr>
        <w:t xml:space="preserve"> and intraday cross-border markets.</w:t>
      </w:r>
    </w:p>
    <w:p w14:paraId="22A79886" w14:textId="77777777" w:rsidR="005667D6" w:rsidRPr="005667D6" w:rsidRDefault="005667D6" w:rsidP="005667D6">
      <w:pPr>
        <w:pStyle w:val="ListParagraph"/>
        <w:rPr>
          <w:rFonts w:cstheme="minorHAnsi"/>
          <w:lang w:val="en-GB"/>
        </w:rPr>
      </w:pPr>
    </w:p>
    <w:p w14:paraId="12930840" w14:textId="0F371846" w:rsidR="005667D6" w:rsidRDefault="00823CEE" w:rsidP="00E36258">
      <w:pPr>
        <w:pStyle w:val="ListParagraph"/>
        <w:numPr>
          <w:ilvl w:val="0"/>
          <w:numId w:val="5"/>
        </w:numPr>
        <w:spacing w:before="100" w:beforeAutospacing="1" w:after="100" w:afterAutospacing="1" w:line="276" w:lineRule="auto"/>
        <w:ind w:left="360"/>
        <w:rPr>
          <w:rFonts w:cstheme="minorHAnsi"/>
          <w:color w:val="000000" w:themeColor="text1"/>
          <w:lang w:val="en-GB"/>
        </w:rPr>
      </w:pPr>
      <w:r w:rsidRPr="005667D6">
        <w:rPr>
          <w:rFonts w:cstheme="minorHAnsi"/>
          <w:color w:val="000000" w:themeColor="text1"/>
          <w:lang w:val="en-GB"/>
        </w:rPr>
        <w:t xml:space="preserve">The </w:t>
      </w:r>
      <w:r w:rsidR="00395E09" w:rsidRPr="005667D6">
        <w:rPr>
          <w:rFonts w:cstheme="minorHAnsi"/>
          <w:color w:val="000000" w:themeColor="text1"/>
          <w:lang w:val="en-GB"/>
        </w:rPr>
        <w:t xml:space="preserve">ID </w:t>
      </w:r>
      <w:r w:rsidR="005667D6" w:rsidRPr="005667D6">
        <w:rPr>
          <w:rFonts w:cstheme="minorHAnsi"/>
          <w:color w:val="000000" w:themeColor="text1"/>
          <w:lang w:val="en-GB"/>
        </w:rPr>
        <w:t>SEC</w:t>
      </w:r>
      <w:r w:rsidRPr="005667D6">
        <w:rPr>
          <w:rFonts w:cstheme="minorHAnsi"/>
          <w:color w:val="000000" w:themeColor="text1"/>
          <w:lang w:val="en-GB"/>
        </w:rPr>
        <w:t xml:space="preserve"> Proposal, in line with Article </w:t>
      </w:r>
      <w:r w:rsidR="009C1F56" w:rsidRPr="005667D6">
        <w:rPr>
          <w:rFonts w:cstheme="minorHAnsi"/>
          <w:color w:val="000000" w:themeColor="text1"/>
          <w:lang w:val="en-GB"/>
        </w:rPr>
        <w:t>56</w:t>
      </w:r>
      <w:r w:rsidRPr="005667D6">
        <w:rPr>
          <w:rFonts w:cstheme="minorHAnsi"/>
          <w:color w:val="000000" w:themeColor="text1"/>
          <w:lang w:val="en-GB"/>
        </w:rPr>
        <w:t xml:space="preserve"> </w:t>
      </w:r>
      <w:r w:rsidR="00652C7D" w:rsidRPr="005667D6">
        <w:rPr>
          <w:rFonts w:cstheme="minorHAnsi"/>
          <w:color w:val="000000" w:themeColor="text1"/>
          <w:lang w:val="en-GB"/>
        </w:rPr>
        <w:t xml:space="preserve">of </w:t>
      </w:r>
      <w:r w:rsidR="005667D6">
        <w:rPr>
          <w:rFonts w:cstheme="minorHAnsi"/>
          <w:color w:val="000000" w:themeColor="text1"/>
          <w:lang w:val="en-GB"/>
        </w:rPr>
        <w:t>CACM Regulation</w:t>
      </w:r>
      <w:r w:rsidRPr="005667D6">
        <w:rPr>
          <w:rFonts w:cstheme="minorHAnsi"/>
          <w:color w:val="000000" w:themeColor="text1"/>
          <w:lang w:val="en-GB"/>
        </w:rPr>
        <w:t xml:space="preserve">, accommodates situations where there are more than one </w:t>
      </w:r>
      <w:r w:rsidR="00F30245" w:rsidRPr="005667D6">
        <w:rPr>
          <w:rFonts w:cstheme="minorHAnsi"/>
          <w:color w:val="000000" w:themeColor="text1"/>
          <w:lang w:val="en-GB"/>
        </w:rPr>
        <w:t>Nominated Electricity Market Operator (hereafter referred to as “</w:t>
      </w:r>
      <w:r w:rsidRPr="005667D6">
        <w:rPr>
          <w:rFonts w:cstheme="minorHAnsi"/>
          <w:color w:val="000000" w:themeColor="text1"/>
          <w:lang w:val="en-GB"/>
        </w:rPr>
        <w:t>NEMO</w:t>
      </w:r>
      <w:r w:rsidR="00F30245" w:rsidRPr="005667D6">
        <w:rPr>
          <w:rFonts w:cstheme="minorHAnsi"/>
          <w:color w:val="000000" w:themeColor="text1"/>
          <w:lang w:val="en-GB"/>
        </w:rPr>
        <w:t>”)</w:t>
      </w:r>
      <w:r w:rsidRPr="005667D6">
        <w:rPr>
          <w:rFonts w:cstheme="minorHAnsi"/>
          <w:color w:val="000000" w:themeColor="text1"/>
          <w:lang w:val="en-GB"/>
        </w:rPr>
        <w:t xml:space="preserve"> designated and/or offering </w:t>
      </w:r>
      <w:r w:rsidR="00E47C73" w:rsidRPr="005667D6">
        <w:rPr>
          <w:rFonts w:cstheme="minorHAnsi"/>
          <w:color w:val="000000" w:themeColor="text1"/>
          <w:lang w:val="en-GB"/>
        </w:rPr>
        <w:t>intraday</w:t>
      </w:r>
      <w:r w:rsidR="00C20AB7" w:rsidRPr="005667D6">
        <w:rPr>
          <w:rFonts w:cstheme="minorHAnsi"/>
          <w:color w:val="000000" w:themeColor="text1"/>
          <w:lang w:val="en-GB"/>
        </w:rPr>
        <w:t xml:space="preserve"> trading services </w:t>
      </w:r>
      <w:r w:rsidRPr="005667D6">
        <w:rPr>
          <w:rFonts w:cstheme="minorHAnsi"/>
          <w:color w:val="000000" w:themeColor="text1"/>
          <w:lang w:val="en-GB"/>
        </w:rPr>
        <w:t xml:space="preserve">in a </w:t>
      </w:r>
      <w:r w:rsidR="00D05EE6" w:rsidRPr="005667D6">
        <w:rPr>
          <w:rFonts w:cstheme="minorHAnsi"/>
          <w:color w:val="000000" w:themeColor="text1"/>
          <w:lang w:val="en-GB"/>
        </w:rPr>
        <w:t>particular geographic area</w:t>
      </w:r>
      <w:r w:rsidR="00E30DB8">
        <w:rPr>
          <w:rFonts w:cstheme="minorHAnsi"/>
          <w:color w:val="000000" w:themeColor="text1"/>
          <w:lang w:val="en-GB"/>
        </w:rPr>
        <w:t>.</w:t>
      </w:r>
      <w:r w:rsidRPr="005667D6">
        <w:rPr>
          <w:rFonts w:cstheme="minorHAnsi"/>
          <w:color w:val="000000" w:themeColor="text1"/>
          <w:lang w:val="en-GB"/>
        </w:rPr>
        <w:t xml:space="preserve"> </w:t>
      </w:r>
      <w:r w:rsidR="00F23E81" w:rsidRPr="005667D6">
        <w:rPr>
          <w:rFonts w:cstheme="minorHAnsi"/>
          <w:color w:val="000000" w:themeColor="text1"/>
          <w:lang w:val="en-GB"/>
        </w:rPr>
        <w:t xml:space="preserve">In addition, </w:t>
      </w:r>
      <w:r w:rsidR="00F23E81" w:rsidRPr="005667D6">
        <w:rPr>
          <w:rFonts w:cstheme="minorHAnsi"/>
          <w:lang w:val="en-GB"/>
        </w:rPr>
        <w:t xml:space="preserve">according to Article 4(1) of </w:t>
      </w:r>
      <w:r w:rsidR="005667D6">
        <w:rPr>
          <w:rFonts w:cstheme="minorHAnsi"/>
          <w:color w:val="000000" w:themeColor="text1"/>
          <w:lang w:val="en-GB"/>
        </w:rPr>
        <w:t>CACM Regulation</w:t>
      </w:r>
      <w:r w:rsidR="00F23E81" w:rsidRPr="005667D6">
        <w:rPr>
          <w:rFonts w:cstheme="minorHAnsi"/>
          <w:lang w:val="en-GB"/>
        </w:rPr>
        <w:t xml:space="preserve">, multiple NEMOs can be designated to perform </w:t>
      </w:r>
      <w:r w:rsidR="00E30DB8">
        <w:rPr>
          <w:rFonts w:cstheme="minorHAnsi"/>
          <w:lang w:val="en-GB"/>
        </w:rPr>
        <w:t>SIDC</w:t>
      </w:r>
      <w:r w:rsidR="00F23E81" w:rsidRPr="005667D6">
        <w:rPr>
          <w:rFonts w:cstheme="minorHAnsi"/>
          <w:lang w:val="en-GB"/>
        </w:rPr>
        <w:t xml:space="preserve"> in a Member State. </w:t>
      </w:r>
      <w:r w:rsidR="00D05EE6" w:rsidRPr="005667D6">
        <w:rPr>
          <w:rFonts w:cstheme="minorHAnsi"/>
          <w:lang w:val="en-GB"/>
        </w:rPr>
        <w:t>For</w:t>
      </w:r>
      <w:r w:rsidR="00364FF5" w:rsidRPr="005667D6">
        <w:rPr>
          <w:rFonts w:cstheme="minorHAnsi"/>
          <w:color w:val="000000" w:themeColor="text1"/>
          <w:lang w:val="en-GB"/>
        </w:rPr>
        <w:t xml:space="preserve"> each </w:t>
      </w:r>
      <w:r w:rsidR="00BF73FE" w:rsidRPr="005667D6">
        <w:rPr>
          <w:rFonts w:cstheme="minorHAnsi"/>
          <w:color w:val="000000" w:themeColor="text1"/>
          <w:lang w:val="en-GB"/>
        </w:rPr>
        <w:t>NEMO</w:t>
      </w:r>
      <w:r w:rsidR="00364FF5" w:rsidRPr="005667D6">
        <w:rPr>
          <w:rFonts w:cstheme="minorHAnsi"/>
          <w:color w:val="000000" w:themeColor="text1"/>
          <w:lang w:val="en-GB"/>
        </w:rPr>
        <w:t xml:space="preserve">, a </w:t>
      </w:r>
      <w:r w:rsidR="005B13C0" w:rsidRPr="005667D6">
        <w:rPr>
          <w:rFonts w:cstheme="minorHAnsi"/>
          <w:color w:val="000000" w:themeColor="text1"/>
          <w:lang w:val="en-GB"/>
        </w:rPr>
        <w:t xml:space="preserve">NEMO Trading </w:t>
      </w:r>
      <w:r w:rsidR="00DD0D97" w:rsidRPr="005667D6">
        <w:rPr>
          <w:rFonts w:cstheme="minorHAnsi"/>
          <w:color w:val="000000" w:themeColor="text1"/>
          <w:lang w:val="en-GB"/>
        </w:rPr>
        <w:t>H</w:t>
      </w:r>
      <w:r w:rsidR="005B13C0" w:rsidRPr="005667D6">
        <w:rPr>
          <w:rFonts w:cstheme="minorHAnsi"/>
          <w:color w:val="000000" w:themeColor="text1"/>
          <w:lang w:val="en-GB"/>
        </w:rPr>
        <w:t>ub</w:t>
      </w:r>
      <w:r w:rsidR="00364FF5" w:rsidRPr="005667D6">
        <w:rPr>
          <w:rFonts w:cstheme="minorHAnsi"/>
          <w:color w:val="000000" w:themeColor="text1"/>
          <w:lang w:val="en-GB"/>
        </w:rPr>
        <w:t xml:space="preserve"> </w:t>
      </w:r>
      <w:r w:rsidR="00F23E81" w:rsidRPr="005667D6">
        <w:rPr>
          <w:rFonts w:cstheme="minorHAnsi"/>
          <w:color w:val="000000" w:themeColor="text1"/>
          <w:lang w:val="en-GB"/>
        </w:rPr>
        <w:t>shall be</w:t>
      </w:r>
      <w:r w:rsidR="00364FF5" w:rsidRPr="005667D6">
        <w:rPr>
          <w:rFonts w:cstheme="minorHAnsi"/>
          <w:color w:val="000000" w:themeColor="text1"/>
          <w:lang w:val="en-GB"/>
        </w:rPr>
        <w:t xml:space="preserve"> </w:t>
      </w:r>
      <w:r w:rsidR="005667D6">
        <w:rPr>
          <w:rFonts w:cstheme="minorHAnsi"/>
          <w:color w:val="000000" w:themeColor="text1"/>
          <w:lang w:val="en-GB"/>
        </w:rPr>
        <w:t>assig</w:t>
      </w:r>
      <w:r w:rsidR="005667D6" w:rsidRPr="005667D6">
        <w:rPr>
          <w:rFonts w:cstheme="minorHAnsi"/>
          <w:color w:val="000000" w:themeColor="text1"/>
          <w:lang w:val="en-GB"/>
        </w:rPr>
        <w:t>ned</w:t>
      </w:r>
      <w:r w:rsidR="00364FF5" w:rsidRPr="005667D6">
        <w:rPr>
          <w:rFonts w:cstheme="minorHAnsi"/>
          <w:color w:val="000000" w:themeColor="text1"/>
          <w:lang w:val="en-GB"/>
        </w:rPr>
        <w:t xml:space="preserve">. Where multiple </w:t>
      </w:r>
      <w:r w:rsidR="00BF73FE" w:rsidRPr="005667D6">
        <w:rPr>
          <w:rFonts w:cstheme="minorHAnsi"/>
          <w:color w:val="000000" w:themeColor="text1"/>
          <w:lang w:val="en-GB"/>
        </w:rPr>
        <w:t>NEMO</w:t>
      </w:r>
      <w:r w:rsidR="00364FF5" w:rsidRPr="005667D6">
        <w:rPr>
          <w:rFonts w:cstheme="minorHAnsi"/>
          <w:color w:val="000000" w:themeColor="text1"/>
          <w:lang w:val="en-GB"/>
        </w:rPr>
        <w:t>s operate with</w:t>
      </w:r>
      <w:r w:rsidRPr="005667D6">
        <w:rPr>
          <w:rFonts w:cstheme="minorHAnsi"/>
          <w:color w:val="000000" w:themeColor="text1"/>
          <w:lang w:val="en-GB"/>
        </w:rPr>
        <w:t>in a geographic area, there shall</w:t>
      </w:r>
      <w:r w:rsidR="00364FF5" w:rsidRPr="005667D6">
        <w:rPr>
          <w:rFonts w:cstheme="minorHAnsi"/>
          <w:color w:val="000000" w:themeColor="text1"/>
          <w:lang w:val="en-GB"/>
        </w:rPr>
        <w:t xml:space="preserve"> be multiple </w:t>
      </w:r>
      <w:r w:rsidR="005B13C0" w:rsidRPr="005667D6">
        <w:rPr>
          <w:rFonts w:cstheme="minorHAnsi"/>
          <w:color w:val="000000" w:themeColor="text1"/>
          <w:lang w:val="en-GB"/>
        </w:rPr>
        <w:t xml:space="preserve">NEMO Trading </w:t>
      </w:r>
      <w:r w:rsidR="00DD0D97" w:rsidRPr="005667D6">
        <w:rPr>
          <w:rFonts w:cstheme="minorHAnsi"/>
          <w:color w:val="000000" w:themeColor="text1"/>
          <w:lang w:val="en-GB"/>
        </w:rPr>
        <w:t>H</w:t>
      </w:r>
      <w:r w:rsidR="005B13C0" w:rsidRPr="005667D6">
        <w:rPr>
          <w:rFonts w:cstheme="minorHAnsi"/>
          <w:color w:val="000000" w:themeColor="text1"/>
          <w:lang w:val="en-GB"/>
        </w:rPr>
        <w:t>ub</w:t>
      </w:r>
      <w:r w:rsidR="00364FF5" w:rsidRPr="005667D6">
        <w:rPr>
          <w:rFonts w:cstheme="minorHAnsi"/>
          <w:color w:val="000000" w:themeColor="text1"/>
          <w:lang w:val="en-GB"/>
        </w:rPr>
        <w:t xml:space="preserve">s </w:t>
      </w:r>
      <w:r w:rsidR="00FB61AC" w:rsidRPr="005667D6">
        <w:rPr>
          <w:rFonts w:cstheme="minorHAnsi"/>
          <w:color w:val="000000" w:themeColor="text1"/>
          <w:lang w:val="en-GB"/>
        </w:rPr>
        <w:t>with</w:t>
      </w:r>
      <w:r w:rsidR="00364FF5" w:rsidRPr="005667D6">
        <w:rPr>
          <w:rFonts w:cstheme="minorHAnsi"/>
          <w:color w:val="000000" w:themeColor="text1"/>
          <w:lang w:val="en-GB"/>
        </w:rPr>
        <w:t>in that geographic area.</w:t>
      </w:r>
    </w:p>
    <w:p w14:paraId="2DB0423D" w14:textId="77777777" w:rsidR="0061521A" w:rsidRPr="005667D6" w:rsidRDefault="0061521A" w:rsidP="00B108C8">
      <w:pPr>
        <w:pStyle w:val="ListParagraph"/>
        <w:spacing w:after="120" w:line="276" w:lineRule="auto"/>
        <w:ind w:left="1068"/>
        <w:rPr>
          <w:rFonts w:cstheme="minorHAnsi"/>
          <w:color w:val="000000" w:themeColor="text1"/>
          <w:lang w:val="en-GB"/>
        </w:rPr>
      </w:pPr>
    </w:p>
    <w:p w14:paraId="5DE9E078" w14:textId="77777777" w:rsidR="005667D6" w:rsidRDefault="005667D6" w:rsidP="00E36258">
      <w:pPr>
        <w:pStyle w:val="ListParagraph"/>
        <w:numPr>
          <w:ilvl w:val="0"/>
          <w:numId w:val="5"/>
        </w:numPr>
        <w:spacing w:before="100" w:beforeAutospacing="1" w:after="100" w:afterAutospacing="1" w:line="276" w:lineRule="auto"/>
        <w:ind w:left="360"/>
        <w:rPr>
          <w:rFonts w:cstheme="minorHAnsi"/>
          <w:color w:val="000000" w:themeColor="text1"/>
          <w:lang w:val="en-GB"/>
        </w:rPr>
      </w:pPr>
      <w:r w:rsidRPr="00B108C8">
        <w:rPr>
          <w:rFonts w:cstheme="minorHAnsi"/>
          <w:color w:val="000000" w:themeColor="text1"/>
          <w:lang w:val="en-GB"/>
        </w:rPr>
        <w:t xml:space="preserve">The ID SEC Proposal shall consider situations where the bidding zone is equal to the scheduling area, as well as where there are multiple scheduling areas within a bidding zone. </w:t>
      </w:r>
    </w:p>
    <w:p w14:paraId="70555247" w14:textId="77777777" w:rsidR="00B108C8" w:rsidRPr="00B108C8" w:rsidRDefault="00B108C8" w:rsidP="00B108C8">
      <w:pPr>
        <w:pStyle w:val="ListParagraph"/>
        <w:spacing w:after="120" w:line="276" w:lineRule="auto"/>
        <w:ind w:left="1068"/>
        <w:rPr>
          <w:rFonts w:cstheme="minorHAnsi"/>
          <w:color w:val="000000" w:themeColor="text1"/>
          <w:lang w:val="en-GB"/>
        </w:rPr>
      </w:pPr>
    </w:p>
    <w:p w14:paraId="14426335" w14:textId="4C973EA0" w:rsidR="00F01D32" w:rsidRPr="008F02FE" w:rsidRDefault="0061521A" w:rsidP="001E3E0B">
      <w:pPr>
        <w:pStyle w:val="ListParagraph"/>
        <w:numPr>
          <w:ilvl w:val="0"/>
          <w:numId w:val="5"/>
        </w:numPr>
        <w:spacing w:before="100" w:beforeAutospacing="1" w:after="100" w:afterAutospacing="1" w:line="276" w:lineRule="auto"/>
        <w:ind w:left="360"/>
        <w:rPr>
          <w:rFonts w:cstheme="minorHAnsi"/>
          <w:color w:val="000000" w:themeColor="text1"/>
          <w:lang w:val="en-GB"/>
        </w:rPr>
      </w:pPr>
      <w:r w:rsidRPr="008F02FE">
        <w:rPr>
          <w:rFonts w:cstheme="minorHAnsi"/>
          <w:color w:val="000000" w:themeColor="text1"/>
          <w:lang w:val="en-GB"/>
        </w:rPr>
        <w:t xml:space="preserve">This ID SEC Proposal </w:t>
      </w:r>
      <w:r w:rsidR="00862846">
        <w:rPr>
          <w:rFonts w:cstheme="minorHAnsi"/>
          <w:color w:val="000000" w:themeColor="text1"/>
          <w:lang w:val="en-GB"/>
        </w:rPr>
        <w:t>does not</w:t>
      </w:r>
      <w:r w:rsidR="00862846" w:rsidRPr="008F02FE">
        <w:rPr>
          <w:rFonts w:cstheme="minorHAnsi"/>
          <w:color w:val="000000" w:themeColor="text1"/>
          <w:lang w:val="en-GB"/>
        </w:rPr>
        <w:t xml:space="preserve"> </w:t>
      </w:r>
      <w:r w:rsidRPr="008F02FE">
        <w:rPr>
          <w:rFonts w:cstheme="minorHAnsi"/>
          <w:color w:val="000000" w:themeColor="text1"/>
          <w:lang w:val="en-GB"/>
        </w:rPr>
        <w:t>provide for the calculation of Scheduled Exchange</w:t>
      </w:r>
      <w:r w:rsidR="00E30DB8">
        <w:rPr>
          <w:rFonts w:cstheme="minorHAnsi"/>
          <w:color w:val="000000" w:themeColor="text1"/>
          <w:lang w:val="en-GB"/>
        </w:rPr>
        <w:t xml:space="preserve">s per NEMO Trading Hub. </w:t>
      </w:r>
      <w:r w:rsidR="00AC67DF" w:rsidRPr="003B4745">
        <w:rPr>
          <w:rFonts w:cstheme="minorHAnsi"/>
          <w:color w:val="000000" w:themeColor="text1"/>
          <w:lang w:val="en-GB"/>
        </w:rPr>
        <w:t xml:space="preserve">It is acknowledged that the NEMO Trading Hub is not equal to a geographic area, </w:t>
      </w:r>
      <w:r w:rsidR="00AC67DF">
        <w:rPr>
          <w:rFonts w:cstheme="minorHAnsi"/>
          <w:color w:val="000000" w:themeColor="text1"/>
          <w:lang w:val="en-GB"/>
        </w:rPr>
        <w:t xml:space="preserve">therefore, Scheduled Exchange do not concern </w:t>
      </w:r>
      <w:r w:rsidR="00AC67DF" w:rsidRPr="003B4745">
        <w:rPr>
          <w:rFonts w:cstheme="minorHAnsi"/>
          <w:color w:val="000000" w:themeColor="text1"/>
          <w:lang w:val="en-GB"/>
        </w:rPr>
        <w:t>NEMO Trading Hub.</w:t>
      </w:r>
      <w:r w:rsidR="00AC67DF" w:rsidRPr="004034CF">
        <w:rPr>
          <w:color w:val="000000"/>
          <w:lang w:val="en-GB"/>
        </w:rPr>
        <w:t xml:space="preserve"> </w:t>
      </w:r>
    </w:p>
    <w:p w14:paraId="51E4B401" w14:textId="77777777" w:rsidR="004306DF" w:rsidRPr="004306DF" w:rsidRDefault="004306DF" w:rsidP="004306DF">
      <w:pPr>
        <w:pStyle w:val="ListParagraph"/>
        <w:rPr>
          <w:rStyle w:val="textregularZchn"/>
          <w:rFonts w:cstheme="minorHAnsi"/>
        </w:rPr>
      </w:pPr>
    </w:p>
    <w:p w14:paraId="4DDA7CB4" w14:textId="0DB8CFAC" w:rsidR="00864F9C" w:rsidRPr="0076351D" w:rsidRDefault="0038164D" w:rsidP="00E36258">
      <w:pPr>
        <w:pStyle w:val="ListParagraph"/>
        <w:numPr>
          <w:ilvl w:val="0"/>
          <w:numId w:val="5"/>
        </w:numPr>
        <w:spacing w:before="100" w:beforeAutospacing="1" w:after="100" w:afterAutospacing="1" w:line="276" w:lineRule="auto"/>
        <w:ind w:left="360"/>
        <w:rPr>
          <w:rFonts w:cstheme="minorHAnsi"/>
          <w:lang w:val="en-GB"/>
        </w:rPr>
      </w:pPr>
      <w:r w:rsidRPr="00370ACD">
        <w:rPr>
          <w:rStyle w:val="textregularZchn"/>
          <w:rFonts w:cstheme="minorHAnsi"/>
        </w:rPr>
        <w:t>A</w:t>
      </w:r>
      <w:r w:rsidR="0039692F" w:rsidRPr="00370ACD">
        <w:rPr>
          <w:rStyle w:val="textregularZchn"/>
          <w:rFonts w:cstheme="minorHAnsi"/>
        </w:rPr>
        <w:t>ccording to Article 9</w:t>
      </w:r>
      <w:r w:rsidRPr="00370ACD">
        <w:rPr>
          <w:rStyle w:val="textregularZchn"/>
          <w:rFonts w:cstheme="minorHAnsi"/>
        </w:rPr>
        <w:t xml:space="preserve">(9) of </w:t>
      </w:r>
      <w:r w:rsidR="0061521A">
        <w:rPr>
          <w:rStyle w:val="textregularZchn"/>
          <w:rFonts w:cstheme="minorHAnsi"/>
        </w:rPr>
        <w:t>CACM Regulation</w:t>
      </w:r>
      <w:r w:rsidRPr="00370ACD">
        <w:rPr>
          <w:rStyle w:val="textregularZchn"/>
          <w:rFonts w:cstheme="minorHAnsi"/>
        </w:rPr>
        <w:t xml:space="preserve">, the proposed timescale for the implementation of the proposed </w:t>
      </w:r>
      <w:r w:rsidR="00395E09">
        <w:rPr>
          <w:rFonts w:cstheme="minorHAnsi"/>
          <w:color w:val="000000" w:themeColor="text1"/>
          <w:lang w:val="en-GB"/>
        </w:rPr>
        <w:t xml:space="preserve">ID </w:t>
      </w:r>
      <w:r w:rsidR="0061521A">
        <w:rPr>
          <w:rFonts w:cstheme="minorHAnsi"/>
          <w:color w:val="000000" w:themeColor="text1"/>
          <w:lang w:val="en-GB"/>
        </w:rPr>
        <w:t xml:space="preserve">SEC </w:t>
      </w:r>
      <w:r w:rsidR="00140797">
        <w:rPr>
          <w:rFonts w:cstheme="minorHAnsi"/>
          <w:color w:val="000000" w:themeColor="text1"/>
          <w:lang w:val="en-GB"/>
        </w:rPr>
        <w:t>Methodology</w:t>
      </w:r>
      <w:r w:rsidRPr="00370ACD">
        <w:rPr>
          <w:rFonts w:cstheme="minorHAnsi"/>
          <w:color w:val="000000" w:themeColor="text1"/>
          <w:lang w:val="en-GB"/>
        </w:rPr>
        <w:t xml:space="preserve"> shall be included</w:t>
      </w:r>
      <w:r w:rsidR="00864F9C" w:rsidRPr="00370ACD">
        <w:rPr>
          <w:rFonts w:cstheme="minorHAnsi"/>
          <w:color w:val="000000" w:themeColor="text1"/>
          <w:lang w:val="en-GB"/>
        </w:rPr>
        <w:t xml:space="preserve"> </w:t>
      </w:r>
      <w:r w:rsidR="00345215">
        <w:rPr>
          <w:rFonts w:cstheme="minorHAnsi"/>
          <w:color w:val="000000" w:themeColor="text1"/>
          <w:lang w:val="en-GB"/>
        </w:rPr>
        <w:t xml:space="preserve">in </w:t>
      </w:r>
      <w:r w:rsidR="006A0CC6">
        <w:rPr>
          <w:rFonts w:cstheme="minorHAnsi"/>
          <w:color w:val="000000" w:themeColor="text1"/>
          <w:lang w:val="en-GB"/>
        </w:rPr>
        <w:t xml:space="preserve">the </w:t>
      </w:r>
      <w:r w:rsidR="00395E09">
        <w:rPr>
          <w:rFonts w:cstheme="minorHAnsi"/>
          <w:lang w:val="en-GB"/>
        </w:rPr>
        <w:t xml:space="preserve">ID </w:t>
      </w:r>
      <w:r w:rsidR="0061521A">
        <w:rPr>
          <w:rFonts w:cstheme="minorHAnsi"/>
          <w:lang w:val="en-GB"/>
        </w:rPr>
        <w:t>SEC</w:t>
      </w:r>
      <w:r w:rsidR="006A0CC6" w:rsidRPr="00370ACD">
        <w:rPr>
          <w:rFonts w:cstheme="minorHAnsi"/>
          <w:lang w:val="en-GB"/>
        </w:rPr>
        <w:t xml:space="preserve"> Proposal</w:t>
      </w:r>
      <w:r w:rsidR="00E30DB8">
        <w:rPr>
          <w:rFonts w:cstheme="minorHAnsi"/>
          <w:color w:val="000000" w:themeColor="text1"/>
          <w:lang w:val="en-GB"/>
        </w:rPr>
        <w:t>.</w:t>
      </w:r>
    </w:p>
    <w:p w14:paraId="51EEE646" w14:textId="77777777" w:rsidR="0076351D" w:rsidRPr="0076351D" w:rsidRDefault="0076351D" w:rsidP="0076351D">
      <w:pPr>
        <w:pStyle w:val="ListParagraph"/>
        <w:rPr>
          <w:rFonts w:cstheme="minorHAnsi"/>
          <w:lang w:val="en-GB"/>
        </w:rPr>
      </w:pPr>
    </w:p>
    <w:p w14:paraId="5504DFF3" w14:textId="37472903" w:rsidR="0076351D" w:rsidRPr="0076351D" w:rsidRDefault="00EE1FFE" w:rsidP="00E36258">
      <w:pPr>
        <w:pStyle w:val="ListParagraph"/>
        <w:numPr>
          <w:ilvl w:val="0"/>
          <w:numId w:val="5"/>
        </w:numPr>
        <w:spacing w:before="100" w:beforeAutospacing="1" w:after="100" w:afterAutospacing="1" w:line="276" w:lineRule="auto"/>
        <w:ind w:left="360"/>
        <w:rPr>
          <w:rFonts w:cstheme="minorHAnsi"/>
          <w:lang w:val="en-GB"/>
        </w:rPr>
      </w:pPr>
      <w:r>
        <w:rPr>
          <w:rFonts w:cstheme="minorHAnsi"/>
          <w:lang w:val="en-GB"/>
        </w:rPr>
        <w:t xml:space="preserve">The implementation of ID </w:t>
      </w:r>
      <w:r w:rsidR="0061521A">
        <w:rPr>
          <w:rFonts w:cstheme="minorHAnsi"/>
          <w:lang w:val="en-GB"/>
        </w:rPr>
        <w:t>SEC</w:t>
      </w:r>
      <w:r>
        <w:rPr>
          <w:rFonts w:cstheme="minorHAnsi"/>
          <w:lang w:val="en-GB"/>
        </w:rPr>
        <w:t xml:space="preserve"> Methodology </w:t>
      </w:r>
      <w:r w:rsidR="00345215">
        <w:rPr>
          <w:rFonts w:cstheme="minorHAnsi"/>
          <w:lang w:val="en-GB"/>
        </w:rPr>
        <w:t>use</w:t>
      </w:r>
      <w:r w:rsidR="00ED033F">
        <w:rPr>
          <w:rFonts w:cstheme="minorHAnsi"/>
          <w:lang w:val="en-GB"/>
        </w:rPr>
        <w:t>s</w:t>
      </w:r>
      <w:r>
        <w:rPr>
          <w:rFonts w:cstheme="minorHAnsi"/>
          <w:lang w:val="en-GB"/>
        </w:rPr>
        <w:t xml:space="preserve"> the solutions developed for algorithm proposal in accordance with Article 37</w:t>
      </w:r>
      <w:r w:rsidR="00AC67DF" w:rsidRPr="00AC67DF">
        <w:rPr>
          <w:rStyle w:val="textregularZchn"/>
          <w:rFonts w:cstheme="minorHAnsi"/>
        </w:rPr>
        <w:t xml:space="preserve"> </w:t>
      </w:r>
      <w:r w:rsidR="00AC67DF" w:rsidRPr="00370ACD">
        <w:rPr>
          <w:rStyle w:val="textregularZchn"/>
          <w:rFonts w:cstheme="minorHAnsi"/>
        </w:rPr>
        <w:t xml:space="preserve">of </w:t>
      </w:r>
      <w:r w:rsidR="00AC67DF">
        <w:rPr>
          <w:rStyle w:val="textregularZchn"/>
          <w:rFonts w:cstheme="minorHAnsi"/>
        </w:rPr>
        <w:t>CACM Regulation</w:t>
      </w:r>
      <w:r>
        <w:rPr>
          <w:rFonts w:cstheme="minorHAnsi"/>
          <w:lang w:val="en-GB"/>
        </w:rPr>
        <w:t xml:space="preserve">, arrangements developed in accordance with Article </w:t>
      </w:r>
      <w:r w:rsidR="003B667D">
        <w:rPr>
          <w:rFonts w:cstheme="minorHAnsi"/>
          <w:lang w:val="en-GB"/>
        </w:rPr>
        <w:t>57</w:t>
      </w:r>
      <w:r>
        <w:rPr>
          <w:rFonts w:cstheme="minorHAnsi"/>
          <w:lang w:val="en-GB"/>
        </w:rPr>
        <w:t xml:space="preserve"> </w:t>
      </w:r>
      <w:r w:rsidR="00AC67DF" w:rsidRPr="00370ACD">
        <w:rPr>
          <w:rStyle w:val="textregularZchn"/>
          <w:rFonts w:cstheme="minorHAnsi"/>
        </w:rPr>
        <w:t xml:space="preserve">of </w:t>
      </w:r>
      <w:r w:rsidR="00AC67DF">
        <w:rPr>
          <w:rStyle w:val="textregularZchn"/>
          <w:rFonts w:cstheme="minorHAnsi"/>
        </w:rPr>
        <w:t>CACM Regulation</w:t>
      </w:r>
      <w:r w:rsidR="00AC67DF">
        <w:rPr>
          <w:rFonts w:cstheme="minorHAnsi"/>
          <w:lang w:val="en-GB"/>
        </w:rPr>
        <w:t xml:space="preserve"> </w:t>
      </w:r>
      <w:r>
        <w:rPr>
          <w:rFonts w:cstheme="minorHAnsi"/>
          <w:lang w:val="en-GB"/>
        </w:rPr>
        <w:t xml:space="preserve">for more than one NEMO within a </w:t>
      </w:r>
      <w:r w:rsidR="002A1799">
        <w:rPr>
          <w:rFonts w:cstheme="minorHAnsi"/>
          <w:lang w:val="en-GB"/>
        </w:rPr>
        <w:t>B</w:t>
      </w:r>
      <w:r>
        <w:rPr>
          <w:rFonts w:cstheme="minorHAnsi"/>
          <w:lang w:val="en-GB"/>
        </w:rPr>
        <w:t xml:space="preserve">idding </w:t>
      </w:r>
      <w:r w:rsidR="002A1799">
        <w:rPr>
          <w:rFonts w:cstheme="minorHAnsi"/>
          <w:lang w:val="en-GB"/>
        </w:rPr>
        <w:t>Z</w:t>
      </w:r>
      <w:r>
        <w:rPr>
          <w:rFonts w:cstheme="minorHAnsi"/>
          <w:lang w:val="en-GB"/>
        </w:rPr>
        <w:t>one and arrangements developed for clearing and settlement between central counter parties and shipping agents in accordance with Article 77</w:t>
      </w:r>
      <w:r w:rsidR="00AC67DF" w:rsidRPr="00AC67DF">
        <w:rPr>
          <w:rStyle w:val="textregularZchn"/>
          <w:rFonts w:cstheme="minorHAnsi"/>
        </w:rPr>
        <w:t xml:space="preserve"> </w:t>
      </w:r>
      <w:r w:rsidR="00AC67DF" w:rsidRPr="00370ACD">
        <w:rPr>
          <w:rStyle w:val="textregularZchn"/>
          <w:rFonts w:cstheme="minorHAnsi"/>
        </w:rPr>
        <w:t xml:space="preserve">of </w:t>
      </w:r>
      <w:r w:rsidR="00AC67DF">
        <w:rPr>
          <w:rStyle w:val="textregularZchn"/>
          <w:rFonts w:cstheme="minorHAnsi"/>
        </w:rPr>
        <w:t>CACM Regulation</w:t>
      </w:r>
      <w:r>
        <w:rPr>
          <w:rFonts w:cstheme="minorHAnsi"/>
          <w:lang w:val="en-GB"/>
        </w:rPr>
        <w:t xml:space="preserve">. Thus the implementation should happen in co-operation with NEMOs applying common solutions </w:t>
      </w:r>
      <w:r w:rsidR="00AE3D88">
        <w:rPr>
          <w:rFonts w:cstheme="minorHAnsi"/>
          <w:lang w:val="en-GB"/>
        </w:rPr>
        <w:t>to ensure consistency and align</w:t>
      </w:r>
      <w:r>
        <w:rPr>
          <w:rFonts w:cstheme="minorHAnsi"/>
          <w:lang w:val="en-GB"/>
        </w:rPr>
        <w:t>ment in flow calculations</w:t>
      </w:r>
      <w:r w:rsidR="002B1CE5">
        <w:rPr>
          <w:rFonts w:cstheme="minorHAnsi"/>
          <w:lang w:val="en-GB"/>
        </w:rPr>
        <w:t>.</w:t>
      </w:r>
    </w:p>
    <w:p w14:paraId="371042EC" w14:textId="77777777" w:rsidR="00864F9C" w:rsidRPr="00370ACD" w:rsidRDefault="00864F9C" w:rsidP="00864F9C">
      <w:pPr>
        <w:pStyle w:val="ListParagraph"/>
        <w:rPr>
          <w:rFonts w:cstheme="minorHAnsi"/>
          <w:color w:val="000000" w:themeColor="text1"/>
          <w:lang w:val="en-GB"/>
        </w:rPr>
      </w:pPr>
    </w:p>
    <w:p w14:paraId="05E422D1" w14:textId="6C45074B" w:rsidR="0038164D" w:rsidRPr="00370ACD" w:rsidRDefault="00864F9C" w:rsidP="00E36258">
      <w:pPr>
        <w:pStyle w:val="ListParagraph"/>
        <w:numPr>
          <w:ilvl w:val="0"/>
          <w:numId w:val="5"/>
        </w:numPr>
        <w:spacing w:before="100" w:beforeAutospacing="1" w:after="100" w:afterAutospacing="1" w:line="276" w:lineRule="auto"/>
        <w:ind w:left="360"/>
        <w:rPr>
          <w:rStyle w:val="textregularZchn"/>
          <w:rFonts w:cstheme="minorHAnsi"/>
        </w:rPr>
      </w:pPr>
      <w:r w:rsidRPr="00370ACD">
        <w:rPr>
          <w:rFonts w:cstheme="minorHAnsi"/>
          <w:color w:val="000000" w:themeColor="text1"/>
          <w:lang w:val="en-GB"/>
        </w:rPr>
        <w:t>A</w:t>
      </w:r>
      <w:r w:rsidR="0038164D" w:rsidRPr="00370ACD">
        <w:rPr>
          <w:rFonts w:cstheme="minorHAnsi"/>
          <w:color w:val="000000" w:themeColor="text1"/>
          <w:lang w:val="en-GB"/>
        </w:rPr>
        <w:t xml:space="preserve">ccording to Article 9(9) of </w:t>
      </w:r>
      <w:r w:rsidR="00C7439A">
        <w:rPr>
          <w:rFonts w:cstheme="minorHAnsi"/>
          <w:color w:val="000000" w:themeColor="text1"/>
          <w:lang w:val="en-GB"/>
        </w:rPr>
        <w:t>CACM Regulation</w:t>
      </w:r>
      <w:r w:rsidR="0038164D" w:rsidRPr="00370ACD">
        <w:rPr>
          <w:rFonts w:cstheme="minorHAnsi"/>
          <w:color w:val="000000" w:themeColor="text1"/>
          <w:lang w:val="en-GB"/>
        </w:rPr>
        <w:t>, the</w:t>
      </w:r>
      <w:r w:rsidR="00D0688E" w:rsidRPr="00370ACD">
        <w:rPr>
          <w:rFonts w:cstheme="minorHAnsi"/>
          <w:color w:val="000000" w:themeColor="text1"/>
          <w:lang w:val="en-GB"/>
        </w:rPr>
        <w:t xml:space="preserve"> expected impact of the</w:t>
      </w:r>
      <w:r w:rsidR="0038164D" w:rsidRPr="00370ACD">
        <w:rPr>
          <w:rFonts w:cstheme="minorHAnsi"/>
          <w:color w:val="000000" w:themeColor="text1"/>
          <w:lang w:val="en-GB"/>
        </w:rPr>
        <w:t xml:space="preserve"> </w:t>
      </w:r>
      <w:r w:rsidR="00D0688E" w:rsidRPr="00370ACD">
        <w:rPr>
          <w:rFonts w:cstheme="minorHAnsi"/>
          <w:color w:val="000000" w:themeColor="text1"/>
          <w:lang w:val="en-GB"/>
        </w:rPr>
        <w:t xml:space="preserve">proposed </w:t>
      </w:r>
      <w:r w:rsidR="00395E09">
        <w:rPr>
          <w:rFonts w:cstheme="minorHAnsi"/>
          <w:color w:val="000000" w:themeColor="text1"/>
          <w:lang w:val="en-GB"/>
        </w:rPr>
        <w:t xml:space="preserve">ID </w:t>
      </w:r>
      <w:r w:rsidR="00F7731E">
        <w:rPr>
          <w:rFonts w:cstheme="minorHAnsi"/>
          <w:color w:val="000000" w:themeColor="text1"/>
          <w:lang w:val="en-GB"/>
        </w:rPr>
        <w:t>SEC</w:t>
      </w:r>
      <w:r w:rsidR="00140797">
        <w:rPr>
          <w:rFonts w:cstheme="minorHAnsi"/>
          <w:color w:val="000000" w:themeColor="text1"/>
          <w:lang w:val="en-GB"/>
        </w:rPr>
        <w:t xml:space="preserve"> Methodology</w:t>
      </w:r>
      <w:r w:rsidR="00A123A8">
        <w:rPr>
          <w:rFonts w:cstheme="minorHAnsi"/>
          <w:color w:val="000000" w:themeColor="text1"/>
          <w:lang w:val="en-GB"/>
        </w:rPr>
        <w:t xml:space="preserve">, </w:t>
      </w:r>
      <w:r w:rsidR="00A123A8" w:rsidRPr="0096441E">
        <w:rPr>
          <w:bCs/>
          <w:lang w:val="en-US"/>
        </w:rPr>
        <w:t xml:space="preserve">on the objectives of </w:t>
      </w:r>
      <w:r w:rsidR="00F7731E">
        <w:rPr>
          <w:rFonts w:cstheme="minorHAnsi"/>
          <w:color w:val="000000" w:themeColor="text1"/>
          <w:lang w:val="en-GB"/>
        </w:rPr>
        <w:t>CACM Regulation</w:t>
      </w:r>
      <w:r w:rsidR="00A123A8" w:rsidRPr="0096441E">
        <w:rPr>
          <w:bCs/>
          <w:lang w:val="en-US"/>
        </w:rPr>
        <w:t>,</w:t>
      </w:r>
      <w:r w:rsidR="0038164D" w:rsidRPr="00370ACD">
        <w:rPr>
          <w:rFonts w:cstheme="minorHAnsi"/>
          <w:color w:val="000000" w:themeColor="text1"/>
          <w:lang w:val="en-GB"/>
        </w:rPr>
        <w:t xml:space="preserve"> shall be described.</w:t>
      </w:r>
    </w:p>
    <w:p w14:paraId="1C185F8E" w14:textId="77777777" w:rsidR="004A1545" w:rsidRPr="00370ACD" w:rsidRDefault="004A1545">
      <w:pPr>
        <w:pStyle w:val="ListParagraph"/>
        <w:spacing w:after="120" w:line="276" w:lineRule="auto"/>
        <w:rPr>
          <w:rStyle w:val="textregularZchn"/>
          <w:rFonts w:cstheme="minorHAnsi"/>
          <w:color w:val="000000" w:themeColor="text1"/>
        </w:rPr>
      </w:pPr>
    </w:p>
    <w:p w14:paraId="6E1683D4" w14:textId="3376AB5D" w:rsidR="00F77B3F" w:rsidRPr="00370ACD" w:rsidRDefault="004A1545" w:rsidP="00F66A58">
      <w:pPr>
        <w:pStyle w:val="ListParagraph"/>
        <w:numPr>
          <w:ilvl w:val="0"/>
          <w:numId w:val="7"/>
        </w:numPr>
        <w:spacing w:after="120" w:line="276" w:lineRule="auto"/>
        <w:rPr>
          <w:rFonts w:cstheme="minorHAnsi"/>
          <w:color w:val="000000" w:themeColor="text1"/>
          <w:lang w:val="en-GB"/>
        </w:rPr>
      </w:pPr>
      <w:r w:rsidRPr="00FB61AC">
        <w:rPr>
          <w:rFonts w:cstheme="minorHAnsi"/>
          <w:color w:val="000000" w:themeColor="text1"/>
          <w:lang w:val="en-GB"/>
        </w:rPr>
        <w:t xml:space="preserve">Article 3(a) </w:t>
      </w:r>
      <w:r w:rsidR="0039692F" w:rsidRPr="00FB61AC">
        <w:rPr>
          <w:rFonts w:cstheme="minorHAnsi"/>
          <w:color w:val="000000" w:themeColor="text1"/>
          <w:lang w:val="en-GB"/>
        </w:rPr>
        <w:t>of</w:t>
      </w:r>
      <w:r w:rsidR="0039692F" w:rsidRPr="00370ACD">
        <w:rPr>
          <w:rFonts w:cstheme="minorHAnsi"/>
          <w:color w:val="000000" w:themeColor="text1"/>
          <w:lang w:val="en-GB"/>
        </w:rPr>
        <w:t xml:space="preserve"> </w:t>
      </w:r>
      <w:r w:rsidR="0061521A">
        <w:rPr>
          <w:rFonts w:cstheme="minorHAnsi"/>
          <w:color w:val="000000" w:themeColor="text1"/>
          <w:lang w:val="en-GB"/>
        </w:rPr>
        <w:t>CACM Regulation</w:t>
      </w:r>
      <w:r w:rsidR="0061521A" w:rsidRPr="00370ACD">
        <w:rPr>
          <w:rFonts w:cstheme="minorHAnsi"/>
          <w:color w:val="000000" w:themeColor="text1"/>
          <w:lang w:val="en-GB"/>
        </w:rPr>
        <w:t xml:space="preserve"> </w:t>
      </w:r>
      <w:r w:rsidR="003B4CC0">
        <w:rPr>
          <w:rFonts w:cstheme="minorHAnsi"/>
          <w:color w:val="000000" w:themeColor="text1"/>
          <w:lang w:val="en-GB"/>
        </w:rPr>
        <w:t xml:space="preserve">aims at </w:t>
      </w:r>
      <w:r w:rsidRPr="00370ACD">
        <w:rPr>
          <w:rFonts w:cstheme="minorHAnsi"/>
          <w:color w:val="000000" w:themeColor="text1"/>
          <w:lang w:val="en-GB"/>
        </w:rPr>
        <w:t>promoting effective competition in the generation, trad</w:t>
      </w:r>
      <w:r w:rsidR="00E30DB8">
        <w:rPr>
          <w:rFonts w:cstheme="minorHAnsi"/>
          <w:color w:val="000000" w:themeColor="text1"/>
          <w:lang w:val="en-GB"/>
        </w:rPr>
        <w:t>ing and supply of electricity.</w:t>
      </w:r>
    </w:p>
    <w:p w14:paraId="70CC5386" w14:textId="2CD9C38B" w:rsidR="00D066A3" w:rsidRPr="00370ACD" w:rsidRDefault="004A1545" w:rsidP="00F66A58">
      <w:pPr>
        <w:pStyle w:val="ListParagraph"/>
        <w:numPr>
          <w:ilvl w:val="1"/>
          <w:numId w:val="7"/>
        </w:numPr>
        <w:spacing w:after="120" w:line="276" w:lineRule="auto"/>
        <w:rPr>
          <w:rFonts w:cstheme="minorHAnsi"/>
          <w:color w:val="000000" w:themeColor="text1"/>
          <w:lang w:val="en-GB"/>
        </w:rPr>
      </w:pPr>
      <w:r w:rsidRPr="00370ACD">
        <w:rPr>
          <w:rFonts w:cstheme="minorHAnsi"/>
          <w:color w:val="000000" w:themeColor="text1"/>
          <w:lang w:val="en-GB"/>
        </w:rPr>
        <w:t xml:space="preserve">The </w:t>
      </w:r>
      <w:r w:rsidR="00395E09">
        <w:rPr>
          <w:rFonts w:cstheme="minorHAnsi"/>
          <w:color w:val="000000" w:themeColor="text1"/>
          <w:lang w:val="en-GB"/>
        </w:rPr>
        <w:t xml:space="preserve">ID </w:t>
      </w:r>
      <w:r w:rsidR="00F7731E">
        <w:rPr>
          <w:rFonts w:cstheme="minorHAnsi"/>
          <w:color w:val="000000" w:themeColor="text1"/>
          <w:lang w:val="en-GB"/>
        </w:rPr>
        <w:t>SEC</w:t>
      </w:r>
      <w:r w:rsidR="00140797">
        <w:rPr>
          <w:rFonts w:cstheme="minorHAnsi"/>
          <w:color w:val="000000" w:themeColor="text1"/>
          <w:lang w:val="en-GB"/>
        </w:rPr>
        <w:t xml:space="preserve"> Methodology</w:t>
      </w:r>
      <w:r w:rsidR="00FB61AC">
        <w:rPr>
          <w:rFonts w:cstheme="minorHAnsi"/>
          <w:color w:val="000000" w:themeColor="text1"/>
          <w:lang w:val="en-GB"/>
        </w:rPr>
        <w:t xml:space="preserve">, as it </w:t>
      </w:r>
      <w:r w:rsidR="00345215">
        <w:rPr>
          <w:rFonts w:cstheme="minorHAnsi"/>
          <w:color w:val="000000" w:themeColor="text1"/>
          <w:lang w:val="en-GB"/>
        </w:rPr>
        <w:t xml:space="preserve">will use directly the results from </w:t>
      </w:r>
      <w:r w:rsidR="00E30DB8">
        <w:rPr>
          <w:rFonts w:cstheme="minorHAnsi"/>
          <w:color w:val="000000" w:themeColor="text1"/>
          <w:lang w:val="en-GB"/>
        </w:rPr>
        <w:t>SIDC</w:t>
      </w:r>
      <w:r w:rsidR="00AE4F1F">
        <w:rPr>
          <w:rFonts w:cstheme="minorHAnsi"/>
          <w:color w:val="000000" w:themeColor="text1"/>
          <w:lang w:val="en-GB"/>
        </w:rPr>
        <w:t xml:space="preserve"> </w:t>
      </w:r>
      <w:r w:rsidR="00FB61AC">
        <w:rPr>
          <w:rFonts w:cstheme="minorHAnsi"/>
          <w:color w:val="000000" w:themeColor="text1"/>
          <w:lang w:val="en-GB"/>
        </w:rPr>
        <w:t xml:space="preserve">does not impact on </w:t>
      </w:r>
      <w:r w:rsidR="00FB60A6" w:rsidRPr="00370ACD">
        <w:rPr>
          <w:rFonts w:cstheme="minorHAnsi"/>
          <w:color w:val="000000" w:themeColor="text1"/>
          <w:lang w:val="en-GB"/>
        </w:rPr>
        <w:t>competition in</w:t>
      </w:r>
      <w:r w:rsidR="00D066A3" w:rsidRPr="00370ACD">
        <w:rPr>
          <w:rFonts w:cstheme="minorHAnsi"/>
          <w:color w:val="000000" w:themeColor="text1"/>
          <w:lang w:val="en-GB"/>
        </w:rPr>
        <w:t xml:space="preserve"> the generation, trading and supply of electricity.</w:t>
      </w:r>
    </w:p>
    <w:p w14:paraId="69AD3117" w14:textId="77777777" w:rsidR="005B3B49" w:rsidRPr="00370ACD" w:rsidRDefault="005B3B49" w:rsidP="008B710C">
      <w:pPr>
        <w:pStyle w:val="ListParagraph"/>
        <w:spacing w:after="120" w:line="276" w:lineRule="auto"/>
        <w:ind w:left="1800"/>
        <w:rPr>
          <w:rFonts w:cstheme="minorHAnsi"/>
          <w:color w:val="000000" w:themeColor="text1"/>
          <w:lang w:val="en-GB"/>
        </w:rPr>
      </w:pPr>
    </w:p>
    <w:p w14:paraId="34413179" w14:textId="5C1083C7" w:rsidR="00F77B3F" w:rsidRPr="00370ACD" w:rsidRDefault="004A1545" w:rsidP="00F66A58">
      <w:pPr>
        <w:pStyle w:val="ListParagraph"/>
        <w:numPr>
          <w:ilvl w:val="0"/>
          <w:numId w:val="7"/>
        </w:numPr>
        <w:spacing w:after="120" w:line="276" w:lineRule="auto"/>
        <w:rPr>
          <w:rFonts w:cstheme="minorHAnsi"/>
          <w:lang w:val="en-GB"/>
        </w:rPr>
      </w:pPr>
      <w:r w:rsidRPr="00370ACD">
        <w:rPr>
          <w:rFonts w:cstheme="minorHAnsi"/>
          <w:lang w:val="en-GB"/>
        </w:rPr>
        <w:t xml:space="preserve">Article 3(b) </w:t>
      </w:r>
      <w:r w:rsidR="00313FDF" w:rsidRPr="00370ACD">
        <w:rPr>
          <w:rFonts w:cstheme="minorHAnsi"/>
          <w:color w:val="000000" w:themeColor="text1"/>
          <w:lang w:val="en-GB"/>
        </w:rPr>
        <w:t xml:space="preserve">of </w:t>
      </w:r>
      <w:r w:rsidR="00F7731E">
        <w:rPr>
          <w:rFonts w:cstheme="minorHAnsi"/>
          <w:color w:val="000000" w:themeColor="text1"/>
          <w:lang w:val="en-GB"/>
        </w:rPr>
        <w:t>CACM Regulation</w:t>
      </w:r>
      <w:r w:rsidR="00F7731E" w:rsidRPr="00370ACD">
        <w:rPr>
          <w:rFonts w:cstheme="minorHAnsi"/>
          <w:color w:val="000000" w:themeColor="text1"/>
          <w:lang w:val="en-GB"/>
        </w:rPr>
        <w:t xml:space="preserve"> </w:t>
      </w:r>
      <w:r w:rsidRPr="00370ACD">
        <w:rPr>
          <w:rFonts w:cstheme="minorHAnsi"/>
          <w:lang w:val="en-GB"/>
        </w:rPr>
        <w:t>aims at ensuring optimal use of th</w:t>
      </w:r>
      <w:r w:rsidR="00E30DB8">
        <w:rPr>
          <w:rFonts w:cstheme="minorHAnsi"/>
          <w:lang w:val="en-GB"/>
        </w:rPr>
        <w:t>e transmission infrastructure.</w:t>
      </w:r>
    </w:p>
    <w:p w14:paraId="4413BAEF" w14:textId="22F6658A" w:rsidR="003B4CC0" w:rsidRPr="003B4CC0" w:rsidRDefault="0039692F" w:rsidP="00F66A58">
      <w:pPr>
        <w:pStyle w:val="ListParagraph"/>
        <w:numPr>
          <w:ilvl w:val="1"/>
          <w:numId w:val="7"/>
        </w:numPr>
        <w:spacing w:after="120" w:line="276" w:lineRule="auto"/>
        <w:rPr>
          <w:rFonts w:cstheme="minorHAnsi"/>
          <w:lang w:val="en-GB"/>
        </w:rPr>
      </w:pPr>
      <w:r w:rsidRPr="00370ACD">
        <w:rPr>
          <w:rFonts w:cstheme="minorHAnsi"/>
          <w:lang w:val="en-GB"/>
        </w:rPr>
        <w:t xml:space="preserve">The </w:t>
      </w:r>
      <w:r w:rsidR="00D81E7B">
        <w:rPr>
          <w:rFonts w:cstheme="minorHAnsi"/>
          <w:lang w:val="en-GB"/>
        </w:rPr>
        <w:t>Scheduled Exchanges</w:t>
      </w:r>
      <w:r w:rsidRPr="00370ACD">
        <w:rPr>
          <w:rFonts w:cstheme="minorHAnsi"/>
          <w:lang w:val="en-GB"/>
        </w:rPr>
        <w:t xml:space="preserve"> resulting from the </w:t>
      </w:r>
      <w:r w:rsidR="00395E09">
        <w:rPr>
          <w:rFonts w:cstheme="minorHAnsi"/>
          <w:lang w:val="en-GB"/>
        </w:rPr>
        <w:t xml:space="preserve">ID </w:t>
      </w:r>
      <w:r w:rsidR="00F7731E">
        <w:rPr>
          <w:rFonts w:cstheme="minorHAnsi"/>
          <w:lang w:val="en-GB"/>
        </w:rPr>
        <w:t>SEC</w:t>
      </w:r>
      <w:r w:rsidR="00140797">
        <w:rPr>
          <w:rFonts w:cstheme="minorHAnsi"/>
          <w:lang w:val="en-GB"/>
        </w:rPr>
        <w:t xml:space="preserve"> Methodology</w:t>
      </w:r>
      <w:r w:rsidR="004A1545" w:rsidRPr="00370ACD">
        <w:rPr>
          <w:rFonts w:cstheme="minorHAnsi"/>
          <w:lang w:val="en-GB"/>
        </w:rPr>
        <w:t xml:space="preserve"> </w:t>
      </w:r>
      <w:r w:rsidRPr="00370ACD">
        <w:rPr>
          <w:rFonts w:cstheme="minorHAnsi"/>
          <w:lang w:val="en-GB"/>
        </w:rPr>
        <w:t xml:space="preserve">are </w:t>
      </w:r>
      <w:r w:rsidR="00345215">
        <w:rPr>
          <w:rFonts w:cstheme="minorHAnsi"/>
          <w:color w:val="000000" w:themeColor="text1"/>
          <w:lang w:val="en-GB"/>
        </w:rPr>
        <w:t xml:space="preserve">will use directly the results from </w:t>
      </w:r>
      <w:r w:rsidR="00E30DB8">
        <w:rPr>
          <w:rFonts w:cstheme="minorHAnsi"/>
          <w:color w:val="000000" w:themeColor="text1"/>
          <w:lang w:val="en-GB"/>
        </w:rPr>
        <w:t>SIDC</w:t>
      </w:r>
      <w:r w:rsidR="00345215">
        <w:rPr>
          <w:rFonts w:cstheme="minorHAnsi"/>
          <w:color w:val="000000" w:themeColor="text1"/>
          <w:lang w:val="en-GB"/>
        </w:rPr>
        <w:t xml:space="preserve"> </w:t>
      </w:r>
      <w:r w:rsidR="00AE087E" w:rsidRPr="0096441E">
        <w:rPr>
          <w:rFonts w:cstheme="minorHAnsi"/>
          <w:lang w:val="en-US"/>
        </w:rPr>
        <w:t xml:space="preserve">i.e they </w:t>
      </w:r>
      <w:r w:rsidRPr="0096441E">
        <w:rPr>
          <w:rFonts w:cstheme="minorHAnsi"/>
          <w:lang w:val="en-US"/>
        </w:rPr>
        <w:t>are</w:t>
      </w:r>
      <w:r w:rsidR="00AE087E" w:rsidRPr="0096441E">
        <w:rPr>
          <w:rFonts w:cstheme="minorHAnsi"/>
          <w:lang w:val="en-US"/>
        </w:rPr>
        <w:t xml:space="preserve"> </w:t>
      </w:r>
      <w:r w:rsidRPr="0096441E">
        <w:rPr>
          <w:rFonts w:cstheme="minorHAnsi"/>
          <w:lang w:val="en-US"/>
        </w:rPr>
        <w:t>based upon</w:t>
      </w:r>
      <w:r w:rsidR="00345215">
        <w:rPr>
          <w:rFonts w:cstheme="minorHAnsi"/>
          <w:lang w:val="en-US"/>
        </w:rPr>
        <w:t xml:space="preserve"> allocated capacities in the form of Sc</w:t>
      </w:r>
      <w:r w:rsidR="00ED033F">
        <w:rPr>
          <w:rFonts w:cstheme="minorHAnsi"/>
          <w:lang w:val="en-US"/>
        </w:rPr>
        <w:t>he</w:t>
      </w:r>
      <w:r w:rsidR="00345215">
        <w:rPr>
          <w:rFonts w:cstheme="minorHAnsi"/>
          <w:lang w:val="en-US"/>
        </w:rPr>
        <w:t>duled Flows between bidding zones</w:t>
      </w:r>
    </w:p>
    <w:p w14:paraId="43F743B5" w14:textId="77777777" w:rsidR="004A1545" w:rsidRPr="00370ACD" w:rsidRDefault="004A1545" w:rsidP="008B710C">
      <w:pPr>
        <w:pStyle w:val="ListParagraph"/>
        <w:spacing w:after="120" w:line="276" w:lineRule="auto"/>
        <w:ind w:left="1080"/>
        <w:rPr>
          <w:rFonts w:cstheme="minorHAnsi"/>
          <w:color w:val="000000" w:themeColor="text1"/>
          <w:highlight w:val="red"/>
          <w:lang w:val="en-GB"/>
        </w:rPr>
      </w:pPr>
    </w:p>
    <w:p w14:paraId="7FED4B45" w14:textId="5CDE502A" w:rsidR="00F77B3F" w:rsidRPr="00370ACD" w:rsidRDefault="004A1545" w:rsidP="00F66A58">
      <w:pPr>
        <w:pStyle w:val="ListParagraph"/>
        <w:numPr>
          <w:ilvl w:val="0"/>
          <w:numId w:val="7"/>
        </w:numPr>
        <w:spacing w:after="120" w:line="276" w:lineRule="auto"/>
        <w:rPr>
          <w:rFonts w:cstheme="minorHAnsi"/>
          <w:color w:val="000000" w:themeColor="text1"/>
          <w:lang w:val="en-GB"/>
        </w:rPr>
      </w:pPr>
      <w:r w:rsidRPr="00C77FA5">
        <w:rPr>
          <w:rFonts w:cstheme="minorHAnsi"/>
          <w:color w:val="000000" w:themeColor="text1"/>
          <w:lang w:val="en-GB"/>
        </w:rPr>
        <w:t xml:space="preserve">Article 3(c) </w:t>
      </w:r>
      <w:r w:rsidR="00313FDF" w:rsidRPr="00C77FA5">
        <w:rPr>
          <w:rFonts w:cstheme="minorHAnsi"/>
          <w:color w:val="000000" w:themeColor="text1"/>
          <w:lang w:val="en-GB"/>
        </w:rPr>
        <w:t>of</w:t>
      </w:r>
      <w:r w:rsidR="00313FDF" w:rsidRPr="00370ACD">
        <w:rPr>
          <w:rFonts w:cstheme="minorHAnsi"/>
          <w:color w:val="000000" w:themeColor="text1"/>
          <w:lang w:val="en-GB"/>
        </w:rPr>
        <w:t xml:space="preserve"> </w:t>
      </w:r>
      <w:r w:rsidR="00F7731E">
        <w:rPr>
          <w:rFonts w:cstheme="minorHAnsi"/>
          <w:color w:val="000000" w:themeColor="text1"/>
          <w:lang w:val="en-GB"/>
        </w:rPr>
        <w:t>CACM Regulation</w:t>
      </w:r>
      <w:r w:rsidR="00F7731E" w:rsidRPr="00370ACD">
        <w:rPr>
          <w:rFonts w:cstheme="minorHAnsi"/>
          <w:color w:val="000000" w:themeColor="text1"/>
          <w:lang w:val="en-GB"/>
        </w:rPr>
        <w:t xml:space="preserve"> </w:t>
      </w:r>
      <w:r w:rsidRPr="00370ACD">
        <w:rPr>
          <w:rFonts w:cstheme="minorHAnsi"/>
          <w:color w:val="000000" w:themeColor="text1"/>
          <w:lang w:val="en-GB"/>
        </w:rPr>
        <w:t xml:space="preserve">aims at ensuring operational security. </w:t>
      </w:r>
    </w:p>
    <w:p w14:paraId="4D6D9212" w14:textId="39DC334A" w:rsidR="00AE087E" w:rsidRDefault="004A1545" w:rsidP="00F66A58">
      <w:pPr>
        <w:pStyle w:val="ListParagraph"/>
        <w:numPr>
          <w:ilvl w:val="1"/>
          <w:numId w:val="7"/>
        </w:numPr>
        <w:spacing w:after="120" w:line="276" w:lineRule="auto"/>
        <w:rPr>
          <w:rFonts w:cstheme="minorHAnsi"/>
          <w:lang w:val="en-GB"/>
        </w:rPr>
      </w:pPr>
      <w:r w:rsidRPr="00AE087E">
        <w:rPr>
          <w:rFonts w:cstheme="minorHAnsi"/>
          <w:color w:val="000000" w:themeColor="text1"/>
          <w:lang w:val="en-GB"/>
        </w:rPr>
        <w:t xml:space="preserve">The </w:t>
      </w:r>
      <w:r w:rsidR="00395E09">
        <w:rPr>
          <w:rFonts w:cstheme="minorHAnsi"/>
          <w:lang w:val="en-GB"/>
        </w:rPr>
        <w:t xml:space="preserve">ID </w:t>
      </w:r>
      <w:r w:rsidR="00F7731E">
        <w:rPr>
          <w:rFonts w:cstheme="minorHAnsi"/>
          <w:lang w:val="en-GB"/>
        </w:rPr>
        <w:t>SEC</w:t>
      </w:r>
      <w:r w:rsidR="00140797">
        <w:rPr>
          <w:rFonts w:cstheme="minorHAnsi"/>
          <w:lang w:val="en-GB"/>
        </w:rPr>
        <w:t xml:space="preserve"> Methodology</w:t>
      </w:r>
      <w:r w:rsidR="00370ACD" w:rsidRPr="00AE087E">
        <w:rPr>
          <w:rFonts w:cstheme="minorHAnsi"/>
          <w:lang w:val="en-GB"/>
        </w:rPr>
        <w:t xml:space="preserve"> </w:t>
      </w:r>
      <w:r w:rsidR="00345215">
        <w:rPr>
          <w:rFonts w:cstheme="minorHAnsi"/>
          <w:color w:val="000000" w:themeColor="text1"/>
          <w:lang w:val="en-US"/>
        </w:rPr>
        <w:t>applies</w:t>
      </w:r>
      <w:r w:rsidR="00345215">
        <w:rPr>
          <w:rFonts w:cstheme="minorHAnsi"/>
          <w:color w:val="000000" w:themeColor="text1"/>
          <w:lang w:val="en-GB"/>
        </w:rPr>
        <w:t xml:space="preserve"> directly the results from </w:t>
      </w:r>
      <w:r w:rsidR="00E30DB8">
        <w:rPr>
          <w:rFonts w:cstheme="minorHAnsi"/>
          <w:color w:val="000000" w:themeColor="text1"/>
          <w:lang w:val="en-GB"/>
        </w:rPr>
        <w:t>SIDC.</w:t>
      </w:r>
      <w:r w:rsidR="00345215">
        <w:rPr>
          <w:rFonts w:cstheme="minorHAnsi"/>
          <w:color w:val="000000" w:themeColor="text1"/>
          <w:lang w:val="en-GB"/>
        </w:rPr>
        <w:t xml:space="preserve"> </w:t>
      </w:r>
      <w:r w:rsidR="00AE087E" w:rsidRPr="00AE087E">
        <w:rPr>
          <w:rFonts w:cstheme="minorHAnsi"/>
          <w:color w:val="000000" w:themeColor="text1"/>
          <w:lang w:val="en-GB"/>
        </w:rPr>
        <w:t xml:space="preserve">The </w:t>
      </w:r>
      <w:r w:rsidR="00395E09">
        <w:rPr>
          <w:rFonts w:cstheme="minorHAnsi"/>
          <w:lang w:val="en-GB"/>
        </w:rPr>
        <w:t xml:space="preserve">ID </w:t>
      </w:r>
      <w:r w:rsidR="00F7731E">
        <w:rPr>
          <w:rFonts w:cstheme="minorHAnsi"/>
          <w:lang w:val="en-GB"/>
        </w:rPr>
        <w:t>SEC</w:t>
      </w:r>
      <w:r w:rsidR="00140797">
        <w:rPr>
          <w:rFonts w:cstheme="minorHAnsi"/>
          <w:lang w:val="en-GB"/>
        </w:rPr>
        <w:t xml:space="preserve"> Methodology</w:t>
      </w:r>
      <w:r w:rsidR="00AE087E" w:rsidRPr="00AE087E">
        <w:rPr>
          <w:rFonts w:cstheme="minorHAnsi"/>
          <w:lang w:val="en-GB"/>
        </w:rPr>
        <w:t xml:space="preserve"> shall be</w:t>
      </w:r>
      <w:r w:rsidR="00D05EE6">
        <w:rPr>
          <w:rFonts w:cstheme="minorHAnsi"/>
          <w:lang w:val="en-GB"/>
        </w:rPr>
        <w:t xml:space="preserve"> initiated </w:t>
      </w:r>
      <w:r w:rsidR="00345215">
        <w:rPr>
          <w:rFonts w:cstheme="minorHAnsi"/>
          <w:lang w:val="en-GB"/>
        </w:rPr>
        <w:t xml:space="preserve">as </w:t>
      </w:r>
      <w:r w:rsidR="00D05EE6">
        <w:rPr>
          <w:rFonts w:cstheme="minorHAnsi"/>
          <w:lang w:val="en-GB"/>
        </w:rPr>
        <w:t xml:space="preserve">post </w:t>
      </w:r>
      <w:r w:rsidR="00E30DB8">
        <w:rPr>
          <w:rFonts w:cstheme="minorHAnsi"/>
          <w:color w:val="000000" w:themeColor="text1"/>
          <w:lang w:val="en-GB"/>
        </w:rPr>
        <w:t xml:space="preserve">SIDC </w:t>
      </w:r>
      <w:r w:rsidR="00D05EE6">
        <w:rPr>
          <w:rFonts w:cstheme="minorHAnsi"/>
          <w:lang w:val="en-GB"/>
        </w:rPr>
        <w:t xml:space="preserve">and shall have no influence on operational security under </w:t>
      </w:r>
      <w:r w:rsidR="00F7731E">
        <w:rPr>
          <w:rFonts w:cstheme="minorHAnsi"/>
          <w:color w:val="000000" w:themeColor="text1"/>
          <w:lang w:val="en-GB"/>
        </w:rPr>
        <w:t>CACM Regulation</w:t>
      </w:r>
      <w:r w:rsidR="00D05EE6">
        <w:rPr>
          <w:rFonts w:cstheme="minorHAnsi"/>
          <w:lang w:val="en-GB"/>
        </w:rPr>
        <w:t>.</w:t>
      </w:r>
    </w:p>
    <w:p w14:paraId="7F89AE0D" w14:textId="77777777" w:rsidR="0039692F" w:rsidRPr="00370ACD" w:rsidRDefault="0039692F" w:rsidP="00AE087E">
      <w:pPr>
        <w:pStyle w:val="ListParagraph"/>
        <w:spacing w:after="120" w:line="276" w:lineRule="auto"/>
        <w:ind w:left="1800"/>
        <w:rPr>
          <w:rFonts w:cstheme="minorHAnsi"/>
          <w:color w:val="000000" w:themeColor="text1"/>
          <w:lang w:val="en-GB"/>
        </w:rPr>
      </w:pPr>
    </w:p>
    <w:p w14:paraId="5FE7300B" w14:textId="3DEA9AFD" w:rsidR="00F77B3F" w:rsidRPr="00370ACD" w:rsidRDefault="004A1545" w:rsidP="00F66A58">
      <w:pPr>
        <w:pStyle w:val="ListParagraph"/>
        <w:numPr>
          <w:ilvl w:val="0"/>
          <w:numId w:val="7"/>
        </w:numPr>
        <w:spacing w:after="120" w:line="276" w:lineRule="auto"/>
        <w:rPr>
          <w:rFonts w:cstheme="minorHAnsi"/>
          <w:color w:val="000000" w:themeColor="text1"/>
          <w:lang w:val="en-GB"/>
        </w:rPr>
      </w:pPr>
      <w:r w:rsidRPr="00370ACD">
        <w:rPr>
          <w:rFonts w:cstheme="minorHAnsi"/>
          <w:color w:val="000000" w:themeColor="text1"/>
          <w:lang w:val="en-GB"/>
        </w:rPr>
        <w:t xml:space="preserve">Article 3(d) </w:t>
      </w:r>
      <w:r w:rsidR="00313FDF" w:rsidRPr="00370ACD">
        <w:rPr>
          <w:rFonts w:cstheme="minorHAnsi"/>
          <w:color w:val="000000" w:themeColor="text1"/>
          <w:lang w:val="en-GB"/>
        </w:rPr>
        <w:t xml:space="preserve">of </w:t>
      </w:r>
      <w:r w:rsidR="00F7731E">
        <w:rPr>
          <w:rFonts w:cstheme="minorHAnsi"/>
          <w:color w:val="000000" w:themeColor="text1"/>
          <w:lang w:val="en-GB"/>
        </w:rPr>
        <w:t>CACM Regulation</w:t>
      </w:r>
      <w:r w:rsidR="00F7731E" w:rsidRPr="00370ACD">
        <w:rPr>
          <w:rFonts w:cstheme="minorHAnsi"/>
          <w:color w:val="000000" w:themeColor="text1"/>
          <w:lang w:val="en-GB"/>
        </w:rPr>
        <w:t xml:space="preserve"> </w:t>
      </w:r>
      <w:r w:rsidRPr="00370ACD">
        <w:rPr>
          <w:rFonts w:cstheme="minorHAnsi"/>
          <w:color w:val="000000" w:themeColor="text1"/>
          <w:lang w:val="en-GB"/>
        </w:rPr>
        <w:t xml:space="preserve">aims at optimising the calculation and allocation of cross zonal capacity. </w:t>
      </w:r>
    </w:p>
    <w:p w14:paraId="432AF1A2" w14:textId="60223E4D" w:rsidR="00D05EE6" w:rsidRPr="00D05EE6" w:rsidRDefault="00D81E7B" w:rsidP="00F66A58">
      <w:pPr>
        <w:pStyle w:val="ListParagraph"/>
        <w:numPr>
          <w:ilvl w:val="1"/>
          <w:numId w:val="7"/>
        </w:numPr>
        <w:spacing w:after="120" w:line="276" w:lineRule="auto"/>
        <w:ind w:left="2127"/>
        <w:rPr>
          <w:rFonts w:cstheme="minorHAnsi"/>
          <w:color w:val="000000" w:themeColor="text1"/>
          <w:lang w:val="en-GB"/>
        </w:rPr>
      </w:pPr>
      <w:r>
        <w:rPr>
          <w:rFonts w:cstheme="minorHAnsi"/>
          <w:lang w:val="en-GB"/>
        </w:rPr>
        <w:t>Scheduled Exchanges</w:t>
      </w:r>
      <w:r w:rsidR="00FA6161" w:rsidRPr="00D05EE6">
        <w:rPr>
          <w:rFonts w:cstheme="minorHAnsi"/>
          <w:lang w:val="en-GB"/>
        </w:rPr>
        <w:t xml:space="preserve"> resulting from </w:t>
      </w:r>
      <w:r w:rsidR="00E30DB8">
        <w:rPr>
          <w:rFonts w:cstheme="minorHAnsi"/>
          <w:lang w:val="en-GB"/>
        </w:rPr>
        <w:t>SIDC</w:t>
      </w:r>
      <w:r w:rsidR="00FA6161" w:rsidRPr="00D05EE6">
        <w:rPr>
          <w:rFonts w:cstheme="minorHAnsi"/>
          <w:lang w:val="en-GB"/>
        </w:rPr>
        <w:t xml:space="preserve"> </w:t>
      </w:r>
      <w:r w:rsidR="00D05EE6" w:rsidRPr="00D05EE6">
        <w:rPr>
          <w:rFonts w:cstheme="minorHAnsi"/>
          <w:lang w:val="en-GB"/>
        </w:rPr>
        <w:t>shall not</w:t>
      </w:r>
      <w:r w:rsidR="00FA6161" w:rsidRPr="00D05EE6">
        <w:rPr>
          <w:rFonts w:cstheme="minorHAnsi"/>
          <w:lang w:val="en-GB"/>
        </w:rPr>
        <w:t xml:space="preserve"> modify</w:t>
      </w:r>
      <w:r w:rsidR="00E30DB8">
        <w:rPr>
          <w:rFonts w:cstheme="minorHAnsi"/>
          <w:lang w:val="en-GB"/>
        </w:rPr>
        <w:t xml:space="preserve"> </w:t>
      </w:r>
      <w:r w:rsidR="00FA6161" w:rsidRPr="00D05EE6">
        <w:rPr>
          <w:rFonts w:cstheme="minorHAnsi"/>
          <w:lang w:val="en-GB"/>
        </w:rPr>
        <w:t>the results of the</w:t>
      </w:r>
      <w:r w:rsidR="00C77FA5">
        <w:rPr>
          <w:rFonts w:cstheme="minorHAnsi"/>
          <w:lang w:val="en-GB"/>
        </w:rPr>
        <w:t xml:space="preserve"> single intraday</w:t>
      </w:r>
      <w:r w:rsidR="00FA6161" w:rsidRPr="00D05EE6">
        <w:rPr>
          <w:rFonts w:cstheme="minorHAnsi"/>
          <w:lang w:val="en-GB"/>
        </w:rPr>
        <w:t xml:space="preserve"> </w:t>
      </w:r>
      <w:r w:rsidR="00D05EE6">
        <w:rPr>
          <w:rFonts w:cstheme="minorHAnsi"/>
          <w:lang w:val="en-GB"/>
        </w:rPr>
        <w:t>market coupling session.</w:t>
      </w:r>
    </w:p>
    <w:p w14:paraId="6184B34F" w14:textId="77777777" w:rsidR="0039692F" w:rsidRPr="00D05EE6" w:rsidRDefault="0039692F" w:rsidP="00D05EE6">
      <w:pPr>
        <w:pStyle w:val="ListParagraph"/>
        <w:spacing w:after="120" w:line="276" w:lineRule="auto"/>
        <w:ind w:left="1800"/>
        <w:rPr>
          <w:rFonts w:cstheme="minorHAnsi"/>
          <w:color w:val="000000" w:themeColor="text1"/>
          <w:lang w:val="en-GB"/>
        </w:rPr>
      </w:pPr>
    </w:p>
    <w:p w14:paraId="3ADFC746" w14:textId="75AE0A9A" w:rsidR="00631298" w:rsidRPr="00370ACD" w:rsidRDefault="004A1545" w:rsidP="00F66A58">
      <w:pPr>
        <w:pStyle w:val="ListParagraph"/>
        <w:numPr>
          <w:ilvl w:val="0"/>
          <w:numId w:val="7"/>
        </w:numPr>
        <w:spacing w:after="120" w:line="276" w:lineRule="auto"/>
        <w:rPr>
          <w:rFonts w:cstheme="minorHAnsi"/>
          <w:color w:val="000000" w:themeColor="text1"/>
          <w:lang w:val="en-GB"/>
        </w:rPr>
      </w:pPr>
      <w:r w:rsidRPr="00370ACD">
        <w:rPr>
          <w:rFonts w:cstheme="minorHAnsi"/>
          <w:color w:val="000000" w:themeColor="text1"/>
          <w:lang w:val="en-GB"/>
        </w:rPr>
        <w:t xml:space="preserve">Article 3(e) </w:t>
      </w:r>
      <w:r w:rsidR="00313FDF" w:rsidRPr="00370ACD">
        <w:rPr>
          <w:rFonts w:cstheme="minorHAnsi"/>
          <w:color w:val="000000" w:themeColor="text1"/>
          <w:lang w:val="en-GB"/>
        </w:rPr>
        <w:t xml:space="preserve">of </w:t>
      </w:r>
      <w:r w:rsidR="00F7731E">
        <w:rPr>
          <w:rFonts w:cstheme="minorHAnsi"/>
          <w:color w:val="000000" w:themeColor="text1"/>
          <w:lang w:val="en-GB"/>
        </w:rPr>
        <w:t>CACM Regulation</w:t>
      </w:r>
      <w:r w:rsidR="00F7731E" w:rsidRPr="00370ACD">
        <w:rPr>
          <w:rFonts w:cstheme="minorHAnsi"/>
          <w:color w:val="000000" w:themeColor="text1"/>
          <w:lang w:val="en-GB"/>
        </w:rPr>
        <w:t xml:space="preserve"> </w:t>
      </w:r>
      <w:r w:rsidRPr="00370ACD">
        <w:rPr>
          <w:rFonts w:cstheme="minorHAnsi"/>
          <w:color w:val="000000" w:themeColor="text1"/>
          <w:lang w:val="en-GB"/>
        </w:rPr>
        <w:t xml:space="preserve">aims at ensuring fair and non-discriminatory treatment of TSOs, </w:t>
      </w:r>
      <w:r w:rsidR="00BF73FE">
        <w:rPr>
          <w:rFonts w:cstheme="minorHAnsi"/>
          <w:color w:val="000000" w:themeColor="text1"/>
          <w:lang w:val="en-GB"/>
        </w:rPr>
        <w:t>NEMO</w:t>
      </w:r>
      <w:r w:rsidRPr="00370ACD">
        <w:rPr>
          <w:rFonts w:cstheme="minorHAnsi"/>
          <w:color w:val="000000" w:themeColor="text1"/>
          <w:lang w:val="en-GB"/>
        </w:rPr>
        <w:t xml:space="preserve">s, the Agency, regulatory authorities and market participants. </w:t>
      </w:r>
    </w:p>
    <w:p w14:paraId="35EC9FA6" w14:textId="6967EA97" w:rsidR="004A1545" w:rsidRPr="00370ACD" w:rsidRDefault="004A1545" w:rsidP="00F66A58">
      <w:pPr>
        <w:pStyle w:val="ListParagraph"/>
        <w:numPr>
          <w:ilvl w:val="1"/>
          <w:numId w:val="7"/>
        </w:numPr>
        <w:spacing w:after="120" w:line="276" w:lineRule="auto"/>
        <w:rPr>
          <w:rFonts w:cstheme="minorHAnsi"/>
          <w:color w:val="000000" w:themeColor="text1"/>
          <w:lang w:val="en-GB"/>
        </w:rPr>
      </w:pPr>
      <w:r w:rsidRPr="00370ACD">
        <w:rPr>
          <w:rFonts w:cstheme="minorHAnsi"/>
          <w:color w:val="000000" w:themeColor="text1"/>
          <w:lang w:val="en-GB"/>
        </w:rPr>
        <w:t xml:space="preserve">The </w:t>
      </w:r>
      <w:r w:rsidR="00395E09">
        <w:rPr>
          <w:rFonts w:cstheme="minorHAnsi"/>
          <w:lang w:val="en-GB"/>
        </w:rPr>
        <w:t xml:space="preserve">ID </w:t>
      </w:r>
      <w:r w:rsidR="00F7731E">
        <w:rPr>
          <w:rFonts w:cstheme="minorHAnsi"/>
          <w:lang w:val="en-GB"/>
        </w:rPr>
        <w:t>SEC</w:t>
      </w:r>
      <w:r w:rsidR="00140797">
        <w:rPr>
          <w:rFonts w:cstheme="minorHAnsi"/>
          <w:lang w:val="en-GB"/>
        </w:rPr>
        <w:t xml:space="preserve"> Methodology</w:t>
      </w:r>
      <w:r w:rsidR="00313FDF" w:rsidRPr="00370ACD">
        <w:rPr>
          <w:rFonts w:cstheme="minorHAnsi"/>
          <w:color w:val="000000" w:themeColor="text1"/>
          <w:lang w:val="en-GB"/>
        </w:rPr>
        <w:t xml:space="preserve"> </w:t>
      </w:r>
      <w:r w:rsidR="00D05EE6">
        <w:rPr>
          <w:rFonts w:cstheme="minorHAnsi"/>
          <w:color w:val="000000" w:themeColor="text1"/>
          <w:lang w:val="en-GB"/>
        </w:rPr>
        <w:t>shall be</w:t>
      </w:r>
      <w:r w:rsidR="0021591E" w:rsidRPr="00370ACD">
        <w:rPr>
          <w:rFonts w:cstheme="minorHAnsi"/>
          <w:color w:val="000000" w:themeColor="text1"/>
          <w:lang w:val="en-GB"/>
        </w:rPr>
        <w:t xml:space="preserve"> fair</w:t>
      </w:r>
      <w:r w:rsidR="008B45EB">
        <w:rPr>
          <w:rFonts w:cstheme="minorHAnsi"/>
          <w:color w:val="000000" w:themeColor="text1"/>
          <w:lang w:val="en-GB"/>
        </w:rPr>
        <w:t>,</w:t>
      </w:r>
      <w:r w:rsidR="0021591E" w:rsidRPr="00370ACD">
        <w:rPr>
          <w:rFonts w:cstheme="minorHAnsi"/>
          <w:color w:val="000000" w:themeColor="text1"/>
          <w:lang w:val="en-GB"/>
        </w:rPr>
        <w:t xml:space="preserve"> transparent </w:t>
      </w:r>
      <w:r w:rsidR="008B45EB">
        <w:rPr>
          <w:rFonts w:cstheme="minorHAnsi"/>
          <w:color w:val="000000" w:themeColor="text1"/>
          <w:lang w:val="en-GB"/>
        </w:rPr>
        <w:t xml:space="preserve">and </w:t>
      </w:r>
      <w:r w:rsidR="0021591E" w:rsidRPr="00370ACD">
        <w:rPr>
          <w:rFonts w:cstheme="minorHAnsi"/>
          <w:color w:val="000000" w:themeColor="text1"/>
          <w:lang w:val="en-GB"/>
        </w:rPr>
        <w:t xml:space="preserve">based on the results of </w:t>
      </w:r>
      <w:r w:rsidR="00E30DB8">
        <w:rPr>
          <w:rFonts w:cstheme="minorHAnsi"/>
          <w:color w:val="000000" w:themeColor="text1"/>
          <w:lang w:val="en-GB"/>
        </w:rPr>
        <w:t>SIDC</w:t>
      </w:r>
      <w:r w:rsidR="00D05EE6">
        <w:rPr>
          <w:rFonts w:cstheme="minorHAnsi"/>
          <w:color w:val="000000" w:themeColor="text1"/>
          <w:lang w:val="en-GB"/>
        </w:rPr>
        <w:t>.</w:t>
      </w:r>
    </w:p>
    <w:p w14:paraId="51B56744" w14:textId="77777777" w:rsidR="00313FDF" w:rsidRPr="00370ACD" w:rsidRDefault="00313FDF" w:rsidP="00313FDF">
      <w:pPr>
        <w:pStyle w:val="ListParagraph"/>
        <w:spacing w:after="120" w:line="276" w:lineRule="auto"/>
        <w:ind w:left="1800"/>
        <w:rPr>
          <w:rFonts w:cstheme="minorHAnsi"/>
          <w:color w:val="000000" w:themeColor="text1"/>
          <w:lang w:val="en-GB"/>
        </w:rPr>
      </w:pPr>
    </w:p>
    <w:p w14:paraId="37476BE1" w14:textId="6A824EA1" w:rsidR="00756FA7" w:rsidRPr="00370ACD" w:rsidRDefault="004A1545" w:rsidP="00F66A58">
      <w:pPr>
        <w:pStyle w:val="ListParagraph"/>
        <w:numPr>
          <w:ilvl w:val="0"/>
          <w:numId w:val="7"/>
        </w:numPr>
        <w:spacing w:after="120" w:line="276" w:lineRule="auto"/>
        <w:rPr>
          <w:rFonts w:cstheme="minorHAnsi"/>
          <w:color w:val="000000" w:themeColor="text1"/>
          <w:lang w:val="en-GB"/>
        </w:rPr>
      </w:pPr>
      <w:r w:rsidRPr="00397038">
        <w:rPr>
          <w:rFonts w:cstheme="minorHAnsi"/>
          <w:color w:val="000000" w:themeColor="text1"/>
          <w:lang w:val="en-GB"/>
        </w:rPr>
        <w:t xml:space="preserve">Article 3(f) </w:t>
      </w:r>
      <w:r w:rsidR="00313FDF" w:rsidRPr="00397038">
        <w:rPr>
          <w:rFonts w:cstheme="minorHAnsi"/>
          <w:color w:val="000000" w:themeColor="text1"/>
          <w:lang w:val="en-GB"/>
        </w:rPr>
        <w:t>of</w:t>
      </w:r>
      <w:r w:rsidR="00313FDF" w:rsidRPr="00370ACD">
        <w:rPr>
          <w:rFonts w:cstheme="minorHAnsi"/>
          <w:color w:val="000000" w:themeColor="text1"/>
          <w:lang w:val="en-GB"/>
        </w:rPr>
        <w:t xml:space="preserve"> </w:t>
      </w:r>
      <w:r w:rsidR="00F7731E">
        <w:rPr>
          <w:rFonts w:cstheme="minorHAnsi"/>
          <w:color w:val="000000" w:themeColor="text1"/>
          <w:lang w:val="en-GB"/>
        </w:rPr>
        <w:t>CACM Regulation</w:t>
      </w:r>
      <w:r w:rsidR="00F7731E" w:rsidRPr="00370ACD">
        <w:rPr>
          <w:rFonts w:cstheme="minorHAnsi"/>
          <w:color w:val="000000" w:themeColor="text1"/>
          <w:lang w:val="en-GB"/>
        </w:rPr>
        <w:t xml:space="preserve"> </w:t>
      </w:r>
      <w:r w:rsidRPr="00370ACD">
        <w:rPr>
          <w:rFonts w:cstheme="minorHAnsi"/>
          <w:color w:val="000000" w:themeColor="text1"/>
          <w:lang w:val="en-GB"/>
        </w:rPr>
        <w:t xml:space="preserve">aims at ensuring and enhancing the transparency and reliability of information. </w:t>
      </w:r>
    </w:p>
    <w:p w14:paraId="4A0257DA" w14:textId="684645A2" w:rsidR="00313FDF" w:rsidRPr="00370ACD" w:rsidRDefault="004A1545" w:rsidP="00F66A58">
      <w:pPr>
        <w:pStyle w:val="ListParagraph"/>
        <w:numPr>
          <w:ilvl w:val="1"/>
          <w:numId w:val="7"/>
        </w:numPr>
        <w:spacing w:after="120" w:line="276" w:lineRule="auto"/>
        <w:rPr>
          <w:rFonts w:cstheme="minorHAnsi"/>
          <w:color w:val="000000" w:themeColor="text1"/>
          <w:lang w:val="en-GB"/>
        </w:rPr>
      </w:pPr>
      <w:r w:rsidRPr="00370ACD">
        <w:rPr>
          <w:rFonts w:cstheme="minorHAnsi"/>
          <w:color w:val="000000" w:themeColor="text1"/>
          <w:lang w:val="en-GB"/>
        </w:rPr>
        <w:t xml:space="preserve">The </w:t>
      </w:r>
      <w:r w:rsidR="00395E09">
        <w:rPr>
          <w:rFonts w:cstheme="minorHAnsi"/>
          <w:lang w:val="en-GB"/>
        </w:rPr>
        <w:t xml:space="preserve">ID </w:t>
      </w:r>
      <w:r w:rsidR="00F7731E">
        <w:rPr>
          <w:rFonts w:cstheme="minorHAnsi"/>
          <w:lang w:val="en-GB"/>
        </w:rPr>
        <w:t>SEC</w:t>
      </w:r>
      <w:r w:rsidR="00140797">
        <w:rPr>
          <w:rFonts w:cstheme="minorHAnsi"/>
          <w:lang w:val="en-GB"/>
        </w:rPr>
        <w:t xml:space="preserve"> Methodology</w:t>
      </w:r>
      <w:r w:rsidRPr="00370ACD">
        <w:rPr>
          <w:rFonts w:cstheme="minorHAnsi"/>
          <w:color w:val="000000" w:themeColor="text1"/>
          <w:lang w:val="en-GB"/>
        </w:rPr>
        <w:t xml:space="preserve"> </w:t>
      </w:r>
      <w:r w:rsidR="00BE3CE7" w:rsidRPr="00370ACD">
        <w:rPr>
          <w:rFonts w:cstheme="minorHAnsi"/>
          <w:color w:val="000000" w:themeColor="text1"/>
          <w:lang w:val="en-GB"/>
        </w:rPr>
        <w:t>comprises</w:t>
      </w:r>
      <w:r w:rsidRPr="00370ACD">
        <w:rPr>
          <w:rFonts w:cstheme="minorHAnsi"/>
          <w:color w:val="000000" w:themeColor="text1"/>
          <w:lang w:val="en-GB"/>
        </w:rPr>
        <w:t xml:space="preserve"> a </w:t>
      </w:r>
      <w:r w:rsidR="00A26774">
        <w:rPr>
          <w:rFonts w:cstheme="minorHAnsi"/>
          <w:color w:val="000000" w:themeColor="text1"/>
          <w:lang w:val="en-GB"/>
        </w:rPr>
        <w:t xml:space="preserve">step-wise, </w:t>
      </w:r>
      <w:r w:rsidR="00DD786F">
        <w:rPr>
          <w:rFonts w:cstheme="minorHAnsi"/>
          <w:color w:val="000000" w:themeColor="text1"/>
          <w:lang w:val="en-GB"/>
        </w:rPr>
        <w:t>bottom-up</w:t>
      </w:r>
      <w:r w:rsidR="0021591E" w:rsidRPr="00370ACD">
        <w:rPr>
          <w:rFonts w:cstheme="minorHAnsi"/>
          <w:color w:val="000000" w:themeColor="text1"/>
          <w:lang w:val="en-GB"/>
        </w:rPr>
        <w:t xml:space="preserve"> </w:t>
      </w:r>
      <w:r w:rsidRPr="00370ACD">
        <w:rPr>
          <w:rFonts w:cstheme="minorHAnsi"/>
          <w:color w:val="000000" w:themeColor="text1"/>
          <w:lang w:val="en-GB"/>
        </w:rPr>
        <w:t>approach</w:t>
      </w:r>
      <w:r w:rsidR="00A77B99" w:rsidRPr="00370ACD">
        <w:rPr>
          <w:rFonts w:cstheme="minorHAnsi"/>
          <w:color w:val="000000" w:themeColor="text1"/>
          <w:lang w:val="en-GB"/>
        </w:rPr>
        <w:t xml:space="preserve"> </w:t>
      </w:r>
      <w:r w:rsidR="00397038">
        <w:rPr>
          <w:rFonts w:cstheme="minorHAnsi"/>
          <w:color w:val="000000" w:themeColor="text1"/>
          <w:lang w:val="en-GB"/>
        </w:rPr>
        <w:t>(</w:t>
      </w:r>
      <w:r w:rsidR="00DD786F">
        <w:rPr>
          <w:rFonts w:cstheme="minorHAnsi"/>
          <w:color w:val="000000" w:themeColor="text1"/>
          <w:lang w:val="en-GB"/>
        </w:rPr>
        <w:t>from each trade to be aggregated to</w:t>
      </w:r>
      <w:r w:rsidR="00E91213">
        <w:rPr>
          <w:rFonts w:cstheme="minorHAnsi"/>
          <w:color w:val="000000" w:themeColor="text1"/>
          <w:lang w:val="en-GB"/>
        </w:rPr>
        <w:t>bidding zone</w:t>
      </w:r>
      <w:r w:rsidR="00397038">
        <w:rPr>
          <w:rFonts w:cstheme="minorHAnsi"/>
          <w:color w:val="000000" w:themeColor="text1"/>
          <w:lang w:val="en-GB"/>
        </w:rPr>
        <w:t xml:space="preserve">, to </w:t>
      </w:r>
      <w:r w:rsidR="00E91213">
        <w:rPr>
          <w:rFonts w:cstheme="minorHAnsi"/>
          <w:color w:val="000000" w:themeColor="text1"/>
          <w:lang w:val="en-GB"/>
        </w:rPr>
        <w:t>scheduling area</w:t>
      </w:r>
      <w:r w:rsidR="00397038">
        <w:rPr>
          <w:rFonts w:cstheme="minorHAnsi"/>
          <w:color w:val="000000" w:themeColor="text1"/>
          <w:lang w:val="en-GB"/>
        </w:rPr>
        <w:t xml:space="preserve">) </w:t>
      </w:r>
      <w:r w:rsidRPr="0096441E">
        <w:rPr>
          <w:rFonts w:cstheme="minorHAnsi"/>
          <w:color w:val="000000" w:themeColor="text1"/>
          <w:lang w:val="en-US"/>
        </w:rPr>
        <w:t xml:space="preserve">for the calculation of </w:t>
      </w:r>
      <w:r w:rsidR="00D81E7B" w:rsidRPr="0096441E">
        <w:rPr>
          <w:rFonts w:cstheme="minorHAnsi"/>
          <w:color w:val="000000" w:themeColor="text1"/>
          <w:lang w:val="en-US"/>
        </w:rPr>
        <w:t>Scheduled Exchanges</w:t>
      </w:r>
      <w:r w:rsidRPr="0096441E">
        <w:rPr>
          <w:rFonts w:cstheme="minorHAnsi"/>
          <w:color w:val="000000" w:themeColor="text1"/>
          <w:lang w:val="en-US"/>
        </w:rPr>
        <w:t xml:space="preserve"> which </w:t>
      </w:r>
      <w:r w:rsidR="00BE3CE7" w:rsidRPr="0096441E">
        <w:rPr>
          <w:rFonts w:cstheme="minorHAnsi"/>
          <w:color w:val="000000" w:themeColor="text1"/>
          <w:lang w:val="en-US"/>
        </w:rPr>
        <w:t>ensure</w:t>
      </w:r>
      <w:r w:rsidR="00327044" w:rsidRPr="0096441E">
        <w:rPr>
          <w:rFonts w:cstheme="minorHAnsi"/>
          <w:color w:val="000000" w:themeColor="text1"/>
          <w:lang w:val="en-US"/>
        </w:rPr>
        <w:t>s</w:t>
      </w:r>
      <w:r w:rsidR="00BE3CE7" w:rsidRPr="0096441E">
        <w:rPr>
          <w:rFonts w:cstheme="minorHAnsi"/>
          <w:color w:val="000000" w:themeColor="text1"/>
          <w:lang w:val="en-US"/>
        </w:rPr>
        <w:t xml:space="preserve"> and enhance</w:t>
      </w:r>
      <w:r w:rsidR="00327044" w:rsidRPr="0096441E">
        <w:rPr>
          <w:rFonts w:cstheme="minorHAnsi"/>
          <w:color w:val="000000" w:themeColor="text1"/>
          <w:lang w:val="en-US"/>
        </w:rPr>
        <w:t>s</w:t>
      </w:r>
      <w:r w:rsidR="00BE3CE7" w:rsidRPr="0096441E">
        <w:rPr>
          <w:rFonts w:cstheme="minorHAnsi"/>
          <w:color w:val="000000" w:themeColor="text1"/>
          <w:lang w:val="en-US"/>
        </w:rPr>
        <w:t xml:space="preserve"> the transparency and reliability of the </w:t>
      </w:r>
      <w:r w:rsidR="00395E09" w:rsidRPr="0096441E">
        <w:rPr>
          <w:rFonts w:cstheme="minorHAnsi"/>
          <w:lang w:val="en-US"/>
        </w:rPr>
        <w:t xml:space="preserve">ID </w:t>
      </w:r>
      <w:r w:rsidR="00F7731E">
        <w:rPr>
          <w:rFonts w:cstheme="minorHAnsi"/>
          <w:lang w:val="en-US"/>
        </w:rPr>
        <w:t>SEC</w:t>
      </w:r>
      <w:r w:rsidR="00140797" w:rsidRPr="0096441E">
        <w:rPr>
          <w:rFonts w:cstheme="minorHAnsi"/>
          <w:lang w:val="en-US"/>
        </w:rPr>
        <w:t xml:space="preserve"> Methodology</w:t>
      </w:r>
      <w:r w:rsidR="00D05EE6" w:rsidRPr="0096441E">
        <w:rPr>
          <w:rFonts w:cstheme="minorHAnsi"/>
          <w:color w:val="000000" w:themeColor="text1"/>
          <w:lang w:val="en-US"/>
        </w:rPr>
        <w:t>.</w:t>
      </w:r>
      <w:r w:rsidR="00397038">
        <w:rPr>
          <w:rFonts w:cstheme="minorHAnsi"/>
          <w:color w:val="000000" w:themeColor="text1"/>
          <w:lang w:val="en-GB"/>
        </w:rPr>
        <w:t xml:space="preserve"> </w:t>
      </w:r>
    </w:p>
    <w:p w14:paraId="56F11A1D" w14:textId="77777777" w:rsidR="00BE3CE7" w:rsidRPr="00370ACD" w:rsidRDefault="004A1545" w:rsidP="007E0A5D">
      <w:pPr>
        <w:pStyle w:val="ListParagraph"/>
        <w:spacing w:after="120" w:line="276" w:lineRule="auto"/>
        <w:ind w:left="1800"/>
        <w:rPr>
          <w:rFonts w:cstheme="minorHAnsi"/>
          <w:color w:val="000000" w:themeColor="text1"/>
          <w:lang w:val="en-GB"/>
        </w:rPr>
      </w:pPr>
      <w:r w:rsidRPr="00370ACD">
        <w:rPr>
          <w:rFonts w:cstheme="minorHAnsi"/>
          <w:color w:val="000000" w:themeColor="text1"/>
          <w:lang w:val="en-GB"/>
        </w:rPr>
        <w:t xml:space="preserve"> </w:t>
      </w:r>
    </w:p>
    <w:p w14:paraId="7A83B528" w14:textId="0F9C2D4F" w:rsidR="00BE3CE7" w:rsidRPr="00370ACD" w:rsidRDefault="004A1545" w:rsidP="00F66A58">
      <w:pPr>
        <w:pStyle w:val="ListParagraph"/>
        <w:numPr>
          <w:ilvl w:val="0"/>
          <w:numId w:val="7"/>
        </w:numPr>
        <w:spacing w:after="120" w:line="276" w:lineRule="auto"/>
        <w:rPr>
          <w:rFonts w:cstheme="minorHAnsi"/>
          <w:color w:val="000000" w:themeColor="text1"/>
          <w:lang w:val="en-GB"/>
        </w:rPr>
      </w:pPr>
      <w:r w:rsidRPr="00397038">
        <w:rPr>
          <w:rFonts w:cstheme="minorHAnsi"/>
          <w:color w:val="000000" w:themeColor="text1"/>
          <w:lang w:val="en-GB"/>
        </w:rPr>
        <w:t xml:space="preserve">Article 3(g) </w:t>
      </w:r>
      <w:r w:rsidR="00313FDF" w:rsidRPr="00397038">
        <w:rPr>
          <w:rFonts w:cstheme="minorHAnsi"/>
          <w:color w:val="000000" w:themeColor="text1"/>
          <w:lang w:val="en-GB"/>
        </w:rPr>
        <w:t xml:space="preserve">of </w:t>
      </w:r>
      <w:r w:rsidR="00F7731E">
        <w:rPr>
          <w:rFonts w:cstheme="minorHAnsi"/>
          <w:color w:val="000000" w:themeColor="text1"/>
          <w:lang w:val="en-GB"/>
        </w:rPr>
        <w:t>CACM Regulation</w:t>
      </w:r>
      <w:r w:rsidR="00F7731E" w:rsidRPr="00370ACD">
        <w:rPr>
          <w:rFonts w:cstheme="minorHAnsi"/>
          <w:color w:val="000000" w:themeColor="text1"/>
          <w:lang w:val="en-GB"/>
        </w:rPr>
        <w:t xml:space="preserve"> </w:t>
      </w:r>
      <w:r w:rsidRPr="00370ACD">
        <w:rPr>
          <w:rFonts w:cstheme="minorHAnsi"/>
          <w:color w:val="000000" w:themeColor="text1"/>
          <w:lang w:val="en-GB"/>
        </w:rPr>
        <w:t xml:space="preserve">aims at contributing to the efficient long-term operation and development of the electricity transmission system and electricity sector in the Union. </w:t>
      </w:r>
    </w:p>
    <w:p w14:paraId="29C9AB94" w14:textId="2D9625B2" w:rsidR="004A1545" w:rsidRPr="00370ACD" w:rsidRDefault="004A1545" w:rsidP="00F66A58">
      <w:pPr>
        <w:pStyle w:val="ListParagraph"/>
        <w:numPr>
          <w:ilvl w:val="1"/>
          <w:numId w:val="7"/>
        </w:numPr>
        <w:spacing w:after="120" w:line="276" w:lineRule="auto"/>
        <w:rPr>
          <w:rFonts w:cstheme="minorHAnsi"/>
          <w:color w:val="000000" w:themeColor="text1"/>
          <w:lang w:val="en-GB"/>
        </w:rPr>
      </w:pPr>
      <w:r w:rsidRPr="00370ACD">
        <w:rPr>
          <w:rFonts w:cstheme="minorHAnsi"/>
          <w:color w:val="000000" w:themeColor="text1"/>
          <w:lang w:val="en-GB"/>
        </w:rPr>
        <w:t xml:space="preserve">The </w:t>
      </w:r>
      <w:r w:rsidR="00395E09">
        <w:rPr>
          <w:rFonts w:cstheme="minorHAnsi"/>
          <w:lang w:val="en-GB"/>
        </w:rPr>
        <w:t xml:space="preserve">ID </w:t>
      </w:r>
      <w:r w:rsidR="00F7731E">
        <w:rPr>
          <w:rFonts w:cstheme="minorHAnsi"/>
          <w:lang w:val="en-GB"/>
        </w:rPr>
        <w:t>SEC</w:t>
      </w:r>
      <w:r w:rsidR="00140797">
        <w:rPr>
          <w:rFonts w:cstheme="minorHAnsi"/>
          <w:lang w:val="en-GB"/>
        </w:rPr>
        <w:t xml:space="preserve"> Methodology</w:t>
      </w:r>
      <w:r w:rsidR="00313FDF" w:rsidRPr="00370ACD">
        <w:rPr>
          <w:rFonts w:cstheme="minorHAnsi"/>
          <w:color w:val="000000" w:themeColor="text1"/>
          <w:lang w:val="en-GB"/>
        </w:rPr>
        <w:t xml:space="preserve"> </w:t>
      </w:r>
      <w:r w:rsidRPr="00370ACD">
        <w:rPr>
          <w:rFonts w:cstheme="minorHAnsi"/>
          <w:color w:val="000000" w:themeColor="text1"/>
          <w:lang w:val="en-GB"/>
        </w:rPr>
        <w:t xml:space="preserve">shows clear cross-Network Code thinking in order to contribute to the efficient development of a single </w:t>
      </w:r>
      <w:r w:rsidR="00C77FA5">
        <w:rPr>
          <w:rFonts w:cstheme="minorHAnsi"/>
          <w:color w:val="000000" w:themeColor="text1"/>
          <w:lang w:val="en-GB"/>
        </w:rPr>
        <w:t>intraday</w:t>
      </w:r>
      <w:r w:rsidRPr="00370ACD">
        <w:rPr>
          <w:rFonts w:cstheme="minorHAnsi"/>
          <w:color w:val="000000" w:themeColor="text1"/>
          <w:lang w:val="en-GB"/>
        </w:rPr>
        <w:t xml:space="preserve"> electricity market in Europe. </w:t>
      </w:r>
      <w:r w:rsidR="00A86DBE" w:rsidRPr="00370ACD">
        <w:rPr>
          <w:rFonts w:cstheme="minorHAnsi"/>
          <w:color w:val="000000" w:themeColor="text1"/>
          <w:lang w:val="en-GB"/>
        </w:rPr>
        <w:t xml:space="preserve">The </w:t>
      </w:r>
      <w:r w:rsidR="00395E09">
        <w:rPr>
          <w:rFonts w:cstheme="minorHAnsi"/>
          <w:lang w:val="en-GB"/>
        </w:rPr>
        <w:t xml:space="preserve">ID </w:t>
      </w:r>
      <w:r w:rsidR="00F7731E">
        <w:rPr>
          <w:rFonts w:cstheme="minorHAnsi"/>
          <w:lang w:val="en-GB"/>
        </w:rPr>
        <w:t>SEC</w:t>
      </w:r>
      <w:r w:rsidR="00140797">
        <w:rPr>
          <w:rFonts w:cstheme="minorHAnsi"/>
          <w:lang w:val="en-GB"/>
        </w:rPr>
        <w:t xml:space="preserve"> Methodology</w:t>
      </w:r>
      <w:r w:rsidR="00313FDF" w:rsidRPr="00370ACD">
        <w:rPr>
          <w:rFonts w:cstheme="minorHAnsi"/>
          <w:lang w:val="en-GB"/>
        </w:rPr>
        <w:t>,</w:t>
      </w:r>
      <w:r w:rsidR="00313FDF" w:rsidRPr="00370ACD">
        <w:rPr>
          <w:rFonts w:cstheme="minorHAnsi"/>
          <w:color w:val="000000" w:themeColor="text1"/>
          <w:lang w:val="en-GB"/>
        </w:rPr>
        <w:t xml:space="preserve"> </w:t>
      </w:r>
      <w:r w:rsidR="00A86DBE" w:rsidRPr="00370ACD">
        <w:rPr>
          <w:rFonts w:cstheme="minorHAnsi"/>
          <w:color w:val="000000" w:themeColor="text1"/>
          <w:lang w:val="en-GB"/>
        </w:rPr>
        <w:t xml:space="preserve">through its construction </w:t>
      </w:r>
      <w:r w:rsidR="00397038">
        <w:rPr>
          <w:rFonts w:cstheme="minorHAnsi"/>
          <w:color w:val="000000" w:themeColor="text1"/>
          <w:lang w:val="en-GB"/>
        </w:rPr>
        <w:t>facilitates the</w:t>
      </w:r>
      <w:r w:rsidR="00A86DBE" w:rsidRPr="00370ACD">
        <w:rPr>
          <w:rFonts w:cstheme="minorHAnsi"/>
          <w:color w:val="000000" w:themeColor="text1"/>
          <w:lang w:val="en-GB"/>
        </w:rPr>
        <w:t xml:space="preserve"> efficient long-term operation and development of the </w:t>
      </w:r>
      <w:r w:rsidR="000C7C91" w:rsidRPr="00370ACD">
        <w:rPr>
          <w:rFonts w:cstheme="minorHAnsi"/>
          <w:color w:val="000000" w:themeColor="text1"/>
          <w:lang w:val="en-GB"/>
        </w:rPr>
        <w:t xml:space="preserve">European </w:t>
      </w:r>
      <w:r w:rsidR="00A86DBE" w:rsidRPr="00370ACD">
        <w:rPr>
          <w:rFonts w:cstheme="minorHAnsi"/>
          <w:color w:val="000000" w:themeColor="text1"/>
          <w:lang w:val="en-GB"/>
        </w:rPr>
        <w:t xml:space="preserve">transmission system. </w:t>
      </w:r>
    </w:p>
    <w:p w14:paraId="38C823E8" w14:textId="77777777" w:rsidR="00313FDF" w:rsidRPr="00370ACD" w:rsidRDefault="00313FDF" w:rsidP="007E0A5D">
      <w:pPr>
        <w:pStyle w:val="ListParagraph"/>
        <w:spacing w:after="120" w:line="276" w:lineRule="auto"/>
        <w:ind w:left="1800"/>
        <w:rPr>
          <w:rFonts w:cstheme="minorHAnsi"/>
          <w:color w:val="000000" w:themeColor="text1"/>
          <w:lang w:val="en-GB"/>
        </w:rPr>
      </w:pPr>
    </w:p>
    <w:p w14:paraId="71165EA2" w14:textId="7F5BBC74" w:rsidR="00A86DBE" w:rsidRPr="00370ACD" w:rsidRDefault="004A1545" w:rsidP="00F66A58">
      <w:pPr>
        <w:pStyle w:val="ListParagraph"/>
        <w:numPr>
          <w:ilvl w:val="0"/>
          <w:numId w:val="7"/>
        </w:numPr>
        <w:spacing w:after="120" w:line="276" w:lineRule="auto"/>
        <w:rPr>
          <w:rFonts w:cstheme="minorHAnsi"/>
          <w:color w:val="000000" w:themeColor="text1"/>
          <w:lang w:val="en-GB"/>
        </w:rPr>
      </w:pPr>
      <w:r w:rsidRPr="00370ACD">
        <w:rPr>
          <w:rFonts w:cstheme="minorHAnsi"/>
          <w:color w:val="000000" w:themeColor="text1"/>
          <w:lang w:val="en-GB"/>
        </w:rPr>
        <w:t xml:space="preserve">Article 3(h) </w:t>
      </w:r>
      <w:r w:rsidR="00313FDF" w:rsidRPr="00370ACD">
        <w:rPr>
          <w:rFonts w:cstheme="minorHAnsi"/>
          <w:color w:val="000000" w:themeColor="text1"/>
          <w:lang w:val="en-GB"/>
        </w:rPr>
        <w:t xml:space="preserve">of </w:t>
      </w:r>
      <w:r w:rsidR="00F7731E">
        <w:rPr>
          <w:rFonts w:cstheme="minorHAnsi"/>
          <w:color w:val="000000" w:themeColor="text1"/>
          <w:lang w:val="en-GB"/>
        </w:rPr>
        <w:t>CACM Regulation</w:t>
      </w:r>
      <w:r w:rsidR="00F7731E" w:rsidRPr="00370ACD">
        <w:rPr>
          <w:rFonts w:cstheme="minorHAnsi"/>
          <w:color w:val="000000" w:themeColor="text1"/>
          <w:lang w:val="en-GB"/>
        </w:rPr>
        <w:t xml:space="preserve"> </w:t>
      </w:r>
      <w:r w:rsidRPr="00370ACD">
        <w:rPr>
          <w:rFonts w:cstheme="minorHAnsi"/>
          <w:color w:val="000000" w:themeColor="text1"/>
          <w:lang w:val="en-GB"/>
        </w:rPr>
        <w:t xml:space="preserve">aims at respecting the need for a fair and orderly market and fair and orderly price formation. </w:t>
      </w:r>
    </w:p>
    <w:p w14:paraId="02396783" w14:textId="6B363555" w:rsidR="004A1545" w:rsidRPr="00370ACD" w:rsidRDefault="004A1545" w:rsidP="00F66A58">
      <w:pPr>
        <w:pStyle w:val="ListParagraph"/>
        <w:numPr>
          <w:ilvl w:val="1"/>
          <w:numId w:val="7"/>
        </w:numPr>
        <w:spacing w:after="120" w:line="276" w:lineRule="auto"/>
        <w:rPr>
          <w:rFonts w:cstheme="minorHAnsi"/>
          <w:color w:val="000000" w:themeColor="text1"/>
          <w:lang w:val="en-GB"/>
        </w:rPr>
      </w:pPr>
      <w:r w:rsidRPr="00370ACD">
        <w:rPr>
          <w:rFonts w:cstheme="minorHAnsi"/>
          <w:color w:val="000000" w:themeColor="text1"/>
          <w:lang w:val="en-GB"/>
        </w:rPr>
        <w:t xml:space="preserve">The </w:t>
      </w:r>
      <w:r w:rsidR="00395E09">
        <w:rPr>
          <w:rFonts w:cstheme="minorHAnsi"/>
          <w:lang w:val="en-GB"/>
        </w:rPr>
        <w:t xml:space="preserve">ID </w:t>
      </w:r>
      <w:r w:rsidR="00F7731E">
        <w:rPr>
          <w:rFonts w:cstheme="minorHAnsi"/>
          <w:lang w:val="en-GB"/>
        </w:rPr>
        <w:t>SEC</w:t>
      </w:r>
      <w:r w:rsidR="00140797">
        <w:rPr>
          <w:rFonts w:cstheme="minorHAnsi"/>
          <w:lang w:val="en-GB"/>
        </w:rPr>
        <w:t xml:space="preserve"> Methodology</w:t>
      </w:r>
      <w:r w:rsidR="00313FDF" w:rsidRPr="00370ACD">
        <w:rPr>
          <w:rFonts w:cstheme="minorHAnsi"/>
          <w:color w:val="000000" w:themeColor="text1"/>
          <w:lang w:val="en-GB"/>
        </w:rPr>
        <w:t xml:space="preserve"> </w:t>
      </w:r>
      <w:r w:rsidR="00E00B0B" w:rsidRPr="00370ACD">
        <w:rPr>
          <w:rFonts w:cstheme="minorHAnsi"/>
          <w:color w:val="000000" w:themeColor="text1"/>
          <w:lang w:val="en-GB"/>
        </w:rPr>
        <w:t>does</w:t>
      </w:r>
      <w:r w:rsidRPr="00370ACD">
        <w:rPr>
          <w:rFonts w:cstheme="minorHAnsi"/>
          <w:color w:val="000000" w:themeColor="text1"/>
          <w:lang w:val="en-GB"/>
        </w:rPr>
        <w:t xml:space="preserve"> not interfere with</w:t>
      </w:r>
      <w:r w:rsidR="00E00B0B" w:rsidRPr="00370ACD">
        <w:rPr>
          <w:rFonts w:cstheme="minorHAnsi"/>
          <w:color w:val="000000" w:themeColor="text1"/>
          <w:lang w:val="en-GB"/>
        </w:rPr>
        <w:t xml:space="preserve"> or compr</w:t>
      </w:r>
      <w:r w:rsidR="000137EB" w:rsidRPr="00370ACD">
        <w:rPr>
          <w:rFonts w:cstheme="minorHAnsi"/>
          <w:color w:val="000000" w:themeColor="text1"/>
          <w:lang w:val="en-GB"/>
        </w:rPr>
        <w:t>om</w:t>
      </w:r>
      <w:r w:rsidR="00E00B0B" w:rsidRPr="00370ACD">
        <w:rPr>
          <w:rFonts w:cstheme="minorHAnsi"/>
          <w:color w:val="000000" w:themeColor="text1"/>
          <w:lang w:val="en-GB"/>
        </w:rPr>
        <w:t>ise</w:t>
      </w:r>
      <w:r w:rsidRPr="00370ACD">
        <w:rPr>
          <w:rFonts w:cstheme="minorHAnsi"/>
          <w:color w:val="000000" w:themeColor="text1"/>
          <w:lang w:val="en-GB"/>
        </w:rPr>
        <w:t xml:space="preserve"> </w:t>
      </w:r>
      <w:r w:rsidR="004A16AE">
        <w:rPr>
          <w:rFonts w:cstheme="minorHAnsi"/>
          <w:color w:val="000000" w:themeColor="text1"/>
          <w:lang w:val="en-GB"/>
        </w:rPr>
        <w:t>a fair and orderly market and price formation</w:t>
      </w:r>
      <w:r w:rsidRPr="00370ACD">
        <w:rPr>
          <w:rFonts w:cstheme="minorHAnsi"/>
          <w:color w:val="000000" w:themeColor="text1"/>
          <w:lang w:val="en-GB"/>
        </w:rPr>
        <w:t xml:space="preserve"> </w:t>
      </w:r>
      <w:r w:rsidR="00E00B0B" w:rsidRPr="00370ACD">
        <w:rPr>
          <w:rFonts w:cstheme="minorHAnsi"/>
          <w:color w:val="000000" w:themeColor="text1"/>
          <w:lang w:val="en-GB"/>
        </w:rPr>
        <w:t xml:space="preserve">as it has no influence on the results of </w:t>
      </w:r>
      <w:r w:rsidR="00E30DB8">
        <w:rPr>
          <w:rFonts w:cstheme="minorHAnsi"/>
          <w:color w:val="000000" w:themeColor="text1"/>
          <w:lang w:val="en-GB"/>
        </w:rPr>
        <w:t>SIDC</w:t>
      </w:r>
      <w:r w:rsidR="00E00B0B" w:rsidRPr="00370ACD">
        <w:rPr>
          <w:rFonts w:cstheme="minorHAnsi"/>
          <w:color w:val="000000" w:themeColor="text1"/>
          <w:lang w:val="en-GB"/>
        </w:rPr>
        <w:t xml:space="preserve">. </w:t>
      </w:r>
    </w:p>
    <w:p w14:paraId="6F44CD66" w14:textId="77777777" w:rsidR="00E00B0B" w:rsidRPr="00370ACD" w:rsidRDefault="00E00B0B" w:rsidP="007E0A5D">
      <w:pPr>
        <w:pStyle w:val="ListParagraph"/>
        <w:spacing w:after="120" w:line="276" w:lineRule="auto"/>
        <w:ind w:left="1800"/>
        <w:rPr>
          <w:rFonts w:cstheme="minorHAnsi"/>
          <w:color w:val="000000" w:themeColor="text1"/>
          <w:lang w:val="en-GB"/>
        </w:rPr>
      </w:pPr>
    </w:p>
    <w:p w14:paraId="3D88C6D5" w14:textId="7F1DCC3C" w:rsidR="00E00B0B" w:rsidRPr="00370ACD" w:rsidRDefault="004A1545" w:rsidP="00F66A58">
      <w:pPr>
        <w:pStyle w:val="ListParagraph"/>
        <w:numPr>
          <w:ilvl w:val="0"/>
          <w:numId w:val="7"/>
        </w:numPr>
        <w:spacing w:after="120" w:line="276" w:lineRule="auto"/>
        <w:rPr>
          <w:rFonts w:cstheme="minorHAnsi"/>
          <w:color w:val="000000" w:themeColor="text1"/>
          <w:lang w:val="en-GB"/>
        </w:rPr>
      </w:pPr>
      <w:r w:rsidRPr="00370ACD">
        <w:rPr>
          <w:rFonts w:cstheme="minorHAnsi"/>
          <w:color w:val="000000" w:themeColor="text1"/>
          <w:lang w:val="en-GB"/>
        </w:rPr>
        <w:t xml:space="preserve">Article 3(i) </w:t>
      </w:r>
      <w:r w:rsidR="00313FDF" w:rsidRPr="00370ACD">
        <w:rPr>
          <w:rFonts w:cstheme="minorHAnsi"/>
          <w:color w:val="000000" w:themeColor="text1"/>
          <w:lang w:val="en-GB"/>
        </w:rPr>
        <w:t xml:space="preserve">of </w:t>
      </w:r>
      <w:r w:rsidR="00F7731E">
        <w:rPr>
          <w:rFonts w:cstheme="minorHAnsi"/>
          <w:color w:val="000000" w:themeColor="text1"/>
          <w:lang w:val="en-GB"/>
        </w:rPr>
        <w:t>CACM Regulation</w:t>
      </w:r>
      <w:r w:rsidR="00F7731E" w:rsidRPr="00370ACD">
        <w:rPr>
          <w:rFonts w:cstheme="minorHAnsi"/>
          <w:color w:val="000000" w:themeColor="text1"/>
          <w:lang w:val="en-GB"/>
        </w:rPr>
        <w:t xml:space="preserve"> </w:t>
      </w:r>
      <w:r w:rsidRPr="00370ACD">
        <w:rPr>
          <w:rFonts w:cstheme="minorHAnsi"/>
          <w:color w:val="000000" w:themeColor="text1"/>
          <w:lang w:val="en-GB"/>
        </w:rPr>
        <w:t xml:space="preserve">aims at creating a level playing field for </w:t>
      </w:r>
      <w:r w:rsidR="00BF73FE">
        <w:rPr>
          <w:rFonts w:cstheme="minorHAnsi"/>
          <w:color w:val="000000" w:themeColor="text1"/>
          <w:lang w:val="en-GB"/>
        </w:rPr>
        <w:t>NEMO</w:t>
      </w:r>
      <w:r w:rsidRPr="00370ACD">
        <w:rPr>
          <w:rFonts w:cstheme="minorHAnsi"/>
          <w:color w:val="000000" w:themeColor="text1"/>
          <w:lang w:val="en-GB"/>
        </w:rPr>
        <w:t xml:space="preserve">s. </w:t>
      </w:r>
    </w:p>
    <w:p w14:paraId="43409ED6" w14:textId="64EBE747" w:rsidR="00CB73E8" w:rsidRPr="00370ACD" w:rsidRDefault="00CB73E8" w:rsidP="00F66A58">
      <w:pPr>
        <w:pStyle w:val="ListParagraph"/>
        <w:numPr>
          <w:ilvl w:val="1"/>
          <w:numId w:val="7"/>
        </w:numPr>
        <w:spacing w:after="120" w:line="276" w:lineRule="auto"/>
        <w:rPr>
          <w:rFonts w:cstheme="minorHAnsi"/>
          <w:color w:val="000000" w:themeColor="text1"/>
          <w:lang w:val="en-GB"/>
        </w:rPr>
      </w:pPr>
      <w:r w:rsidRPr="00370ACD">
        <w:rPr>
          <w:rFonts w:cstheme="minorHAnsi"/>
          <w:color w:val="000000" w:themeColor="text1"/>
          <w:lang w:val="en-GB"/>
        </w:rPr>
        <w:t xml:space="preserve">The </w:t>
      </w:r>
      <w:r w:rsidR="00395E09">
        <w:rPr>
          <w:rFonts w:cstheme="minorHAnsi"/>
          <w:lang w:val="en-GB"/>
        </w:rPr>
        <w:t xml:space="preserve">ID </w:t>
      </w:r>
      <w:r w:rsidR="00F7731E">
        <w:rPr>
          <w:rFonts w:cstheme="minorHAnsi"/>
          <w:lang w:val="en-GB"/>
        </w:rPr>
        <w:t>SEC</w:t>
      </w:r>
      <w:r w:rsidR="00140797">
        <w:rPr>
          <w:rFonts w:cstheme="minorHAnsi"/>
          <w:lang w:val="en-GB"/>
        </w:rPr>
        <w:t xml:space="preserve"> Methodology</w:t>
      </w:r>
      <w:r w:rsidRPr="00370ACD">
        <w:rPr>
          <w:rFonts w:cstheme="minorHAnsi"/>
          <w:color w:val="000000" w:themeColor="text1"/>
          <w:lang w:val="en-GB"/>
        </w:rPr>
        <w:t xml:space="preserve"> creates a level playing field for </w:t>
      </w:r>
      <w:r w:rsidR="00BF73FE">
        <w:rPr>
          <w:rFonts w:cstheme="minorHAnsi"/>
          <w:color w:val="000000" w:themeColor="text1"/>
          <w:lang w:val="en-GB"/>
        </w:rPr>
        <w:t>NEMO</w:t>
      </w:r>
      <w:r w:rsidRPr="00370ACD">
        <w:rPr>
          <w:rFonts w:cstheme="minorHAnsi"/>
          <w:color w:val="000000" w:themeColor="text1"/>
          <w:lang w:val="en-GB"/>
        </w:rPr>
        <w:t xml:space="preserve">s as it has no influence on the results of </w:t>
      </w:r>
      <w:r w:rsidR="00E30DB8">
        <w:rPr>
          <w:rFonts w:cstheme="minorHAnsi"/>
          <w:color w:val="000000" w:themeColor="text1"/>
          <w:lang w:val="en-GB"/>
        </w:rPr>
        <w:t>SIDC</w:t>
      </w:r>
      <w:r w:rsidRPr="00370ACD">
        <w:rPr>
          <w:rFonts w:cstheme="minorHAnsi"/>
          <w:color w:val="000000" w:themeColor="text1"/>
          <w:lang w:val="en-GB"/>
        </w:rPr>
        <w:t xml:space="preserve">. Additionally, the </w:t>
      </w:r>
      <w:r w:rsidR="00395E09">
        <w:rPr>
          <w:rFonts w:cstheme="minorHAnsi"/>
          <w:lang w:val="en-GB"/>
        </w:rPr>
        <w:t xml:space="preserve">ID </w:t>
      </w:r>
      <w:r w:rsidR="00F7731E">
        <w:rPr>
          <w:rFonts w:cstheme="minorHAnsi"/>
          <w:lang w:val="en-GB"/>
        </w:rPr>
        <w:t>SEC</w:t>
      </w:r>
      <w:r w:rsidR="00140797">
        <w:rPr>
          <w:rFonts w:cstheme="minorHAnsi"/>
          <w:lang w:val="en-GB"/>
        </w:rPr>
        <w:t xml:space="preserve"> Methodology</w:t>
      </w:r>
      <w:r w:rsidR="006A00E9" w:rsidRPr="00370ACD">
        <w:rPr>
          <w:rFonts w:cstheme="minorHAnsi"/>
          <w:color w:val="000000" w:themeColor="text1"/>
          <w:lang w:val="en-GB"/>
        </w:rPr>
        <w:t xml:space="preserve"> </w:t>
      </w:r>
      <w:r w:rsidRPr="00370ACD">
        <w:rPr>
          <w:rFonts w:cstheme="minorHAnsi"/>
          <w:color w:val="000000" w:themeColor="text1"/>
          <w:lang w:val="en-GB"/>
        </w:rPr>
        <w:t xml:space="preserve">supports </w:t>
      </w:r>
      <w:r w:rsidR="00D05EE6">
        <w:rPr>
          <w:rFonts w:cstheme="minorHAnsi"/>
          <w:color w:val="000000" w:themeColor="text1"/>
          <w:lang w:val="en-GB"/>
        </w:rPr>
        <w:t xml:space="preserve">scenarios where there are </w:t>
      </w:r>
      <w:r w:rsidRPr="00370ACD">
        <w:rPr>
          <w:rFonts w:cstheme="minorHAnsi"/>
          <w:color w:val="000000" w:themeColor="text1"/>
          <w:lang w:val="en-GB"/>
        </w:rPr>
        <w:t xml:space="preserve">multiple </w:t>
      </w:r>
      <w:r w:rsidR="00BF73FE">
        <w:rPr>
          <w:rFonts w:cstheme="minorHAnsi"/>
          <w:color w:val="000000" w:themeColor="text1"/>
          <w:lang w:val="en-GB"/>
        </w:rPr>
        <w:t>NEMO</w:t>
      </w:r>
      <w:r w:rsidRPr="00370ACD">
        <w:rPr>
          <w:rFonts w:cstheme="minorHAnsi"/>
          <w:color w:val="000000" w:themeColor="text1"/>
          <w:lang w:val="en-GB"/>
        </w:rPr>
        <w:t>s</w:t>
      </w:r>
      <w:r w:rsidR="00313FDF" w:rsidRPr="00370ACD">
        <w:rPr>
          <w:rFonts w:cstheme="minorHAnsi"/>
          <w:color w:val="000000" w:themeColor="text1"/>
          <w:lang w:val="en-GB"/>
        </w:rPr>
        <w:t xml:space="preserve"> within a </w:t>
      </w:r>
      <w:r w:rsidR="00E91213">
        <w:rPr>
          <w:rFonts w:cstheme="minorHAnsi"/>
          <w:color w:val="000000" w:themeColor="text1"/>
          <w:lang w:val="en-GB"/>
        </w:rPr>
        <w:t>bidding zone</w:t>
      </w:r>
      <w:r w:rsidR="00A26774">
        <w:rPr>
          <w:rFonts w:cstheme="minorHAnsi"/>
          <w:color w:val="000000" w:themeColor="text1"/>
          <w:lang w:val="en-GB"/>
        </w:rPr>
        <w:t xml:space="preserve"> or </w:t>
      </w:r>
      <w:r w:rsidR="00E91213">
        <w:rPr>
          <w:rFonts w:cstheme="minorHAnsi"/>
          <w:color w:val="000000" w:themeColor="text1"/>
          <w:lang w:val="en-GB"/>
        </w:rPr>
        <w:t>scheduling area</w:t>
      </w:r>
      <w:r w:rsidRPr="00370ACD">
        <w:rPr>
          <w:rFonts w:cstheme="minorHAnsi"/>
          <w:color w:val="000000" w:themeColor="text1"/>
          <w:lang w:val="en-GB"/>
        </w:rPr>
        <w:t>.</w:t>
      </w:r>
    </w:p>
    <w:p w14:paraId="211A6032" w14:textId="77777777" w:rsidR="00E00B0B" w:rsidRPr="00370ACD" w:rsidRDefault="00E00B0B" w:rsidP="007E0A5D">
      <w:pPr>
        <w:pStyle w:val="ListParagraph"/>
        <w:spacing w:after="120" w:line="276" w:lineRule="auto"/>
        <w:ind w:left="1800"/>
        <w:rPr>
          <w:rFonts w:cstheme="minorHAnsi"/>
          <w:color w:val="000000" w:themeColor="text1"/>
          <w:lang w:val="en-GB"/>
        </w:rPr>
      </w:pPr>
    </w:p>
    <w:p w14:paraId="0BE91996" w14:textId="1A098513" w:rsidR="00CB73E8" w:rsidRPr="00370ACD" w:rsidRDefault="004A1545" w:rsidP="00F66A58">
      <w:pPr>
        <w:pStyle w:val="ListParagraph"/>
        <w:numPr>
          <w:ilvl w:val="0"/>
          <w:numId w:val="7"/>
        </w:numPr>
        <w:spacing w:after="120" w:line="276" w:lineRule="auto"/>
        <w:rPr>
          <w:rFonts w:cstheme="minorHAnsi"/>
          <w:color w:val="000000" w:themeColor="text1"/>
          <w:lang w:val="en-GB"/>
        </w:rPr>
      </w:pPr>
      <w:r w:rsidRPr="00370ACD">
        <w:rPr>
          <w:rFonts w:cstheme="minorHAnsi"/>
          <w:color w:val="000000" w:themeColor="text1"/>
          <w:lang w:val="en-GB"/>
        </w:rPr>
        <w:t xml:space="preserve">Article 3(j) </w:t>
      </w:r>
      <w:r w:rsidR="00313FDF" w:rsidRPr="00370ACD">
        <w:rPr>
          <w:rFonts w:cstheme="minorHAnsi"/>
          <w:color w:val="000000" w:themeColor="text1"/>
          <w:lang w:val="en-GB"/>
        </w:rPr>
        <w:t xml:space="preserve">of </w:t>
      </w:r>
      <w:r w:rsidR="00F7731E">
        <w:rPr>
          <w:rFonts w:cstheme="minorHAnsi"/>
          <w:color w:val="000000" w:themeColor="text1"/>
          <w:lang w:val="en-GB"/>
        </w:rPr>
        <w:t>CACM Regulation</w:t>
      </w:r>
      <w:r w:rsidR="00F7731E" w:rsidRPr="00370ACD">
        <w:rPr>
          <w:rFonts w:cstheme="minorHAnsi"/>
          <w:color w:val="000000" w:themeColor="text1"/>
          <w:lang w:val="en-GB"/>
        </w:rPr>
        <w:t xml:space="preserve"> </w:t>
      </w:r>
      <w:r w:rsidRPr="00370ACD">
        <w:rPr>
          <w:rFonts w:cstheme="minorHAnsi"/>
          <w:color w:val="000000" w:themeColor="text1"/>
          <w:lang w:val="en-GB"/>
        </w:rPr>
        <w:t xml:space="preserve">aims at providing non-discriminatory access to cross-zonal capacity. </w:t>
      </w:r>
    </w:p>
    <w:p w14:paraId="0887448C" w14:textId="77777777" w:rsidR="004A1545" w:rsidRDefault="004A1545" w:rsidP="00F66A58">
      <w:pPr>
        <w:pStyle w:val="ListParagraph"/>
        <w:numPr>
          <w:ilvl w:val="1"/>
          <w:numId w:val="7"/>
        </w:numPr>
        <w:spacing w:after="120" w:line="276" w:lineRule="auto"/>
        <w:rPr>
          <w:rFonts w:cstheme="minorHAnsi"/>
          <w:color w:val="000000" w:themeColor="text1"/>
          <w:lang w:val="en-GB"/>
        </w:rPr>
      </w:pPr>
      <w:r w:rsidRPr="00370ACD">
        <w:rPr>
          <w:rFonts w:cstheme="minorHAnsi"/>
          <w:color w:val="000000" w:themeColor="text1"/>
          <w:lang w:val="en-GB"/>
        </w:rPr>
        <w:t xml:space="preserve">The </w:t>
      </w:r>
      <w:r w:rsidR="00395E09">
        <w:rPr>
          <w:rFonts w:cstheme="minorHAnsi"/>
          <w:lang w:val="en-GB"/>
        </w:rPr>
        <w:t xml:space="preserve">ID </w:t>
      </w:r>
      <w:r w:rsidR="00F7731E">
        <w:rPr>
          <w:rFonts w:cstheme="minorHAnsi"/>
          <w:lang w:val="en-GB"/>
        </w:rPr>
        <w:t>SEC</w:t>
      </w:r>
      <w:r w:rsidR="00140797">
        <w:rPr>
          <w:rFonts w:cstheme="minorHAnsi"/>
          <w:lang w:val="en-GB"/>
        </w:rPr>
        <w:t xml:space="preserve"> Methodology</w:t>
      </w:r>
      <w:r w:rsidRPr="00370ACD">
        <w:rPr>
          <w:rFonts w:cstheme="minorHAnsi"/>
          <w:color w:val="000000" w:themeColor="text1"/>
          <w:lang w:val="en-GB"/>
        </w:rPr>
        <w:t xml:space="preserve"> does not interfere with the provision </w:t>
      </w:r>
      <w:r w:rsidR="00CB73E8" w:rsidRPr="00370ACD">
        <w:rPr>
          <w:rFonts w:cstheme="minorHAnsi"/>
          <w:color w:val="000000" w:themeColor="text1"/>
          <w:lang w:val="en-GB"/>
        </w:rPr>
        <w:t xml:space="preserve">nor allocation </w:t>
      </w:r>
      <w:r w:rsidRPr="00370ACD">
        <w:rPr>
          <w:rFonts w:cstheme="minorHAnsi"/>
          <w:color w:val="000000" w:themeColor="text1"/>
          <w:lang w:val="en-GB"/>
        </w:rPr>
        <w:t>of cross-zonal capacity.</w:t>
      </w:r>
    </w:p>
    <w:p w14:paraId="485D530D" w14:textId="77777777" w:rsidR="00FC5AA8" w:rsidRDefault="00FC5AA8" w:rsidP="00FC5AA8">
      <w:pPr>
        <w:pStyle w:val="ListParagraph"/>
        <w:spacing w:after="120" w:line="276" w:lineRule="auto"/>
        <w:ind w:left="2148"/>
        <w:rPr>
          <w:rFonts w:cstheme="minorHAnsi"/>
          <w:color w:val="000000" w:themeColor="text1"/>
          <w:lang w:val="en-GB"/>
        </w:rPr>
      </w:pPr>
    </w:p>
    <w:p w14:paraId="3F47E94C" w14:textId="77777777" w:rsidR="00382893" w:rsidRPr="00382893" w:rsidRDefault="00382893" w:rsidP="00382893">
      <w:pPr>
        <w:spacing w:after="120" w:line="276" w:lineRule="auto"/>
        <w:rPr>
          <w:rFonts w:cstheme="minorHAnsi"/>
          <w:color w:val="000000" w:themeColor="text1"/>
        </w:rPr>
      </w:pPr>
      <w:r>
        <w:t xml:space="preserve">SUBMIT THE FOLLOWING ID </w:t>
      </w:r>
      <w:r w:rsidR="00F7731E">
        <w:t>SEC</w:t>
      </w:r>
      <w:r>
        <w:t xml:space="preserve"> METHODOLOGY TO ALL REGULATORY AUTHORITIES:</w:t>
      </w:r>
    </w:p>
    <w:p w14:paraId="44CDDEB4" w14:textId="77777777" w:rsidR="008A0967" w:rsidRPr="00370ACD" w:rsidRDefault="00D070C8" w:rsidP="00BD166E">
      <w:pPr>
        <w:pStyle w:val="headline1"/>
        <w:rPr>
          <w:rFonts w:asciiTheme="minorHAnsi" w:hAnsiTheme="minorHAnsi" w:cstheme="minorHAnsi"/>
        </w:rPr>
      </w:pPr>
      <w:bookmarkStart w:id="6" w:name="_Toc432586769"/>
      <w:bookmarkStart w:id="7" w:name="_Toc432586789"/>
      <w:bookmarkStart w:id="8" w:name="_Toc505249294"/>
      <w:bookmarkStart w:id="9" w:name="_Toc505855485"/>
      <w:r w:rsidRPr="00370ACD">
        <w:rPr>
          <w:rFonts w:asciiTheme="minorHAnsi" w:hAnsiTheme="minorHAnsi" w:cstheme="minorHAnsi"/>
        </w:rPr>
        <w:t>Article 1</w:t>
      </w:r>
      <w:r w:rsidR="00C46743" w:rsidRPr="00370ACD">
        <w:rPr>
          <w:rFonts w:asciiTheme="minorHAnsi" w:hAnsiTheme="minorHAnsi" w:cstheme="minorHAnsi"/>
        </w:rPr>
        <w:t xml:space="preserve"> - </w:t>
      </w:r>
      <w:r w:rsidR="008A0967" w:rsidRPr="00370ACD">
        <w:rPr>
          <w:rFonts w:asciiTheme="minorHAnsi" w:hAnsiTheme="minorHAnsi" w:cstheme="minorHAnsi"/>
        </w:rPr>
        <w:t>Subject matter and scope</w:t>
      </w:r>
      <w:bookmarkEnd w:id="6"/>
      <w:bookmarkEnd w:id="7"/>
      <w:bookmarkEnd w:id="8"/>
      <w:bookmarkEnd w:id="9"/>
    </w:p>
    <w:p w14:paraId="28E56DEB" w14:textId="51A070D6" w:rsidR="000817C5" w:rsidRDefault="00F7731E" w:rsidP="00F66A58">
      <w:pPr>
        <w:pStyle w:val="ListParagraph"/>
        <w:numPr>
          <w:ilvl w:val="0"/>
          <w:numId w:val="20"/>
        </w:numPr>
        <w:spacing w:before="100" w:beforeAutospacing="1" w:after="100" w:afterAutospacing="1" w:line="276" w:lineRule="auto"/>
        <w:ind w:left="360"/>
        <w:rPr>
          <w:rFonts w:cstheme="minorHAnsi"/>
          <w:color w:val="000000" w:themeColor="text1"/>
          <w:lang w:val="en-GB"/>
        </w:rPr>
      </w:pPr>
      <w:r w:rsidRPr="00B108C8">
        <w:rPr>
          <w:rFonts w:cstheme="minorHAnsi"/>
          <w:color w:val="000000" w:themeColor="text1"/>
          <w:lang w:val="en-US"/>
        </w:rPr>
        <w:t xml:space="preserve">All TSOs lay down in this </w:t>
      </w:r>
      <w:r w:rsidR="00395E09" w:rsidRPr="00B108C8">
        <w:rPr>
          <w:rFonts w:cstheme="minorHAnsi"/>
          <w:lang w:val="en-US"/>
        </w:rPr>
        <w:t xml:space="preserve">ID </w:t>
      </w:r>
      <w:r w:rsidRPr="00B108C8">
        <w:rPr>
          <w:rFonts w:cstheme="minorHAnsi"/>
          <w:lang w:val="en-US"/>
        </w:rPr>
        <w:t>SEC</w:t>
      </w:r>
      <w:r w:rsidR="00140797" w:rsidRPr="00B108C8">
        <w:rPr>
          <w:rFonts w:cstheme="minorHAnsi"/>
          <w:lang w:val="en-US"/>
        </w:rPr>
        <w:t xml:space="preserve"> </w:t>
      </w:r>
      <w:r w:rsidR="00D8242A" w:rsidRPr="00B108C8">
        <w:rPr>
          <w:rFonts w:cstheme="minorHAnsi"/>
          <w:color w:val="000000" w:themeColor="text1"/>
          <w:lang w:val="en-US"/>
        </w:rPr>
        <w:t xml:space="preserve">Proposal </w:t>
      </w:r>
      <w:r w:rsidR="00076B2D" w:rsidRPr="00B108C8">
        <w:rPr>
          <w:rFonts w:cstheme="minorHAnsi"/>
          <w:color w:val="000000" w:themeColor="text1"/>
          <w:lang w:val="en-US"/>
        </w:rPr>
        <w:t>the requirements to</w:t>
      </w:r>
      <w:r w:rsidR="00A37FB8" w:rsidRPr="00B108C8">
        <w:rPr>
          <w:rFonts w:cstheme="minorHAnsi"/>
          <w:color w:val="000000" w:themeColor="text1"/>
          <w:lang w:val="en-US"/>
        </w:rPr>
        <w:t xml:space="preserve"> calculate </w:t>
      </w:r>
      <w:r w:rsidR="00D81E7B" w:rsidRPr="00B108C8">
        <w:rPr>
          <w:rFonts w:cstheme="minorHAnsi"/>
          <w:color w:val="000000" w:themeColor="text1"/>
          <w:lang w:val="en-US"/>
        </w:rPr>
        <w:t>Scheduled Exchanges</w:t>
      </w:r>
      <w:r w:rsidR="00076B2D" w:rsidRPr="00B108C8">
        <w:rPr>
          <w:rFonts w:cstheme="minorHAnsi"/>
          <w:color w:val="000000" w:themeColor="text1"/>
          <w:lang w:val="en-US"/>
        </w:rPr>
        <w:t xml:space="preserve"> </w:t>
      </w:r>
      <w:r w:rsidR="00076B2D" w:rsidRPr="000817C5">
        <w:rPr>
          <w:rFonts w:cstheme="minorHAnsi"/>
          <w:color w:val="000000" w:themeColor="text1"/>
          <w:lang w:val="en-GB"/>
        </w:rPr>
        <w:t xml:space="preserve">resulting from </w:t>
      </w:r>
      <w:r w:rsidR="00E30DB8">
        <w:rPr>
          <w:rFonts w:cstheme="minorHAnsi"/>
          <w:color w:val="000000" w:themeColor="text1"/>
          <w:lang w:val="en-GB"/>
        </w:rPr>
        <w:t>SIDC</w:t>
      </w:r>
      <w:r w:rsidR="00076B2D" w:rsidRPr="000817C5">
        <w:rPr>
          <w:rFonts w:cstheme="minorHAnsi"/>
          <w:color w:val="000000" w:themeColor="text1"/>
          <w:lang w:val="en-GB"/>
        </w:rPr>
        <w:t>, the information required from all NEMOs for the calculation</w:t>
      </w:r>
      <w:r w:rsidR="007D05D6">
        <w:rPr>
          <w:rFonts w:cstheme="minorHAnsi"/>
          <w:color w:val="000000" w:themeColor="text1"/>
          <w:lang w:val="en-GB"/>
        </w:rPr>
        <w:t xml:space="preserve"> </w:t>
      </w:r>
      <w:r w:rsidR="00345215">
        <w:rPr>
          <w:rFonts w:cstheme="minorHAnsi"/>
          <w:color w:val="000000" w:themeColor="text1"/>
          <w:lang w:val="en-GB"/>
        </w:rPr>
        <w:t>and</w:t>
      </w:r>
      <w:r w:rsidR="00076B2D" w:rsidRPr="000817C5">
        <w:rPr>
          <w:rFonts w:cstheme="minorHAnsi"/>
          <w:color w:val="000000" w:themeColor="text1"/>
          <w:lang w:val="en-GB"/>
        </w:rPr>
        <w:t xml:space="preserve"> the calculation</w:t>
      </w:r>
      <w:r w:rsidR="00345215">
        <w:rPr>
          <w:rFonts w:cstheme="minorHAnsi"/>
          <w:color w:val="000000" w:themeColor="text1"/>
          <w:lang w:val="en-GB"/>
        </w:rPr>
        <w:t xml:space="preserve"> of Sc</w:t>
      </w:r>
      <w:r w:rsidR="00ED033F">
        <w:rPr>
          <w:rFonts w:cstheme="minorHAnsi"/>
          <w:color w:val="000000" w:themeColor="text1"/>
          <w:lang w:val="en-GB"/>
        </w:rPr>
        <w:t>h</w:t>
      </w:r>
      <w:r w:rsidR="00345215">
        <w:rPr>
          <w:rFonts w:cstheme="minorHAnsi"/>
          <w:color w:val="000000" w:themeColor="text1"/>
          <w:lang w:val="en-GB"/>
        </w:rPr>
        <w:t>eduled Exchanges</w:t>
      </w:r>
      <w:r w:rsidR="00076B2D" w:rsidRPr="000817C5">
        <w:rPr>
          <w:rFonts w:cstheme="minorHAnsi"/>
          <w:color w:val="000000" w:themeColor="text1"/>
          <w:lang w:val="en-GB"/>
        </w:rPr>
        <w:t>.</w:t>
      </w:r>
    </w:p>
    <w:p w14:paraId="04B691A3" w14:textId="77777777" w:rsidR="007665ED" w:rsidRPr="007665ED" w:rsidRDefault="007665ED" w:rsidP="007665ED">
      <w:pPr>
        <w:pStyle w:val="ListParagraph"/>
        <w:spacing w:before="100" w:beforeAutospacing="1" w:after="100" w:afterAutospacing="1" w:line="276" w:lineRule="auto"/>
        <w:rPr>
          <w:rFonts w:cstheme="minorHAnsi"/>
          <w:color w:val="000000" w:themeColor="text1"/>
          <w:lang w:val="en-GB"/>
        </w:rPr>
      </w:pPr>
    </w:p>
    <w:p w14:paraId="6AFDD5B5" w14:textId="1C435883" w:rsidR="000817C5" w:rsidRDefault="00D22908" w:rsidP="00F66A58">
      <w:pPr>
        <w:pStyle w:val="ListParagraph"/>
        <w:numPr>
          <w:ilvl w:val="0"/>
          <w:numId w:val="20"/>
        </w:numPr>
        <w:spacing w:before="100" w:beforeAutospacing="1" w:after="100" w:afterAutospacing="1" w:line="276" w:lineRule="auto"/>
        <w:ind w:left="360"/>
        <w:rPr>
          <w:lang w:val="en-US"/>
        </w:rPr>
      </w:pPr>
      <w:r w:rsidRPr="00B108C8">
        <w:rPr>
          <w:lang w:val="en-US"/>
        </w:rPr>
        <w:t xml:space="preserve">The scope of the </w:t>
      </w:r>
      <w:r w:rsidR="00395E09" w:rsidRPr="00B108C8">
        <w:rPr>
          <w:rFonts w:cstheme="minorHAnsi"/>
          <w:lang w:val="en-US"/>
        </w:rPr>
        <w:t xml:space="preserve">ID </w:t>
      </w:r>
      <w:r w:rsidR="00F7731E" w:rsidRPr="00B108C8">
        <w:rPr>
          <w:rFonts w:cstheme="minorHAnsi"/>
          <w:lang w:val="en-US"/>
        </w:rPr>
        <w:t>SEC</w:t>
      </w:r>
      <w:r w:rsidR="00140797" w:rsidRPr="00B108C8">
        <w:rPr>
          <w:rFonts w:cstheme="minorHAnsi"/>
          <w:lang w:val="en-US"/>
        </w:rPr>
        <w:t xml:space="preserve"> Methodology</w:t>
      </w:r>
      <w:r w:rsidRPr="00B108C8">
        <w:rPr>
          <w:lang w:val="en-US"/>
        </w:rPr>
        <w:t xml:space="preserve"> does not extend to the assignment of roles and responsibilities to specific parties. </w:t>
      </w:r>
      <w:r w:rsidR="00076B2D" w:rsidRPr="000817C5">
        <w:rPr>
          <w:rFonts w:cstheme="minorHAnsi"/>
          <w:color w:val="000000" w:themeColor="text1"/>
          <w:lang w:val="en-GB"/>
        </w:rPr>
        <w:t>Also the governance framework for specific roles or responsibilities is out of scope of the</w:t>
      </w:r>
      <w:r w:rsidR="00076B2D" w:rsidRPr="00B108C8">
        <w:rPr>
          <w:rFonts w:cstheme="minorHAnsi"/>
          <w:color w:val="000000" w:themeColor="text1"/>
          <w:lang w:val="en-US"/>
        </w:rPr>
        <w:t xml:space="preserve"> ID SEC Proposal</w:t>
      </w:r>
      <w:r w:rsidRPr="00B108C8">
        <w:rPr>
          <w:lang w:val="en-US"/>
        </w:rPr>
        <w:t>.</w:t>
      </w:r>
      <w:r w:rsidR="00DE133F" w:rsidRPr="00B108C8">
        <w:rPr>
          <w:lang w:val="en-US"/>
        </w:rPr>
        <w:t xml:space="preserve"> These aspects </w:t>
      </w:r>
      <w:r w:rsidR="00397038" w:rsidRPr="00B108C8">
        <w:rPr>
          <w:lang w:val="en-US"/>
        </w:rPr>
        <w:t>sha</w:t>
      </w:r>
      <w:r w:rsidR="00DE133F" w:rsidRPr="00B108C8">
        <w:rPr>
          <w:lang w:val="en-US"/>
        </w:rPr>
        <w:t xml:space="preserve">ll be defined by the TSOs, where required in accordance </w:t>
      </w:r>
      <w:r w:rsidR="00364FF5" w:rsidRPr="00B108C8">
        <w:rPr>
          <w:lang w:val="en-US"/>
        </w:rPr>
        <w:t xml:space="preserve">with </w:t>
      </w:r>
      <w:r w:rsidR="00DE133F" w:rsidRPr="00B108C8">
        <w:rPr>
          <w:lang w:val="en-US"/>
        </w:rPr>
        <w:t>Ar</w:t>
      </w:r>
      <w:r w:rsidR="00364FF5" w:rsidRPr="00B108C8">
        <w:rPr>
          <w:lang w:val="en-US"/>
        </w:rPr>
        <w:t>ticle</w:t>
      </w:r>
      <w:r w:rsidR="00DE133F" w:rsidRPr="00B108C8">
        <w:rPr>
          <w:lang w:val="en-US"/>
        </w:rPr>
        <w:t xml:space="preserve"> 8(2g) of </w:t>
      </w:r>
      <w:r w:rsidR="00076B2D" w:rsidRPr="000817C5">
        <w:rPr>
          <w:rFonts w:cstheme="minorHAnsi"/>
          <w:color w:val="000000" w:themeColor="text1"/>
          <w:lang w:val="en-GB"/>
        </w:rPr>
        <w:t>CACM Regulation</w:t>
      </w:r>
      <w:r w:rsidR="00DE133F" w:rsidRPr="00B108C8">
        <w:rPr>
          <w:lang w:val="en-US"/>
        </w:rPr>
        <w:t>.</w:t>
      </w:r>
    </w:p>
    <w:p w14:paraId="26FC6323" w14:textId="77777777" w:rsidR="007665ED" w:rsidRPr="007665ED" w:rsidRDefault="007665ED" w:rsidP="007665ED">
      <w:pPr>
        <w:pStyle w:val="ListParagraph"/>
        <w:spacing w:before="100" w:beforeAutospacing="1" w:after="100" w:afterAutospacing="1" w:line="276" w:lineRule="auto"/>
        <w:ind w:left="360"/>
        <w:rPr>
          <w:lang w:val="en-US"/>
        </w:rPr>
      </w:pPr>
    </w:p>
    <w:p w14:paraId="3B73FC39" w14:textId="77777777" w:rsidR="004C0185" w:rsidRPr="00B108C8" w:rsidRDefault="004C0185" w:rsidP="00F66A58">
      <w:pPr>
        <w:pStyle w:val="ListParagraph"/>
        <w:numPr>
          <w:ilvl w:val="0"/>
          <w:numId w:val="20"/>
        </w:numPr>
        <w:spacing w:before="100" w:beforeAutospacing="1" w:after="100" w:afterAutospacing="1" w:line="276" w:lineRule="auto"/>
        <w:ind w:left="360"/>
        <w:rPr>
          <w:rFonts w:cstheme="minorHAnsi"/>
          <w:color w:val="000000" w:themeColor="text1"/>
          <w:lang w:val="en-US"/>
        </w:rPr>
      </w:pPr>
      <w:bookmarkStart w:id="10" w:name="_Toc432586770"/>
      <w:bookmarkStart w:id="11" w:name="_Toc432586790"/>
      <w:r w:rsidRPr="00B108C8">
        <w:rPr>
          <w:rFonts w:cstheme="minorHAnsi"/>
          <w:color w:val="000000" w:themeColor="text1"/>
          <w:lang w:val="en-US"/>
        </w:rPr>
        <w:t xml:space="preserve">This </w:t>
      </w:r>
      <w:r w:rsidR="00395E09" w:rsidRPr="00B108C8">
        <w:rPr>
          <w:rFonts w:cstheme="minorHAnsi"/>
          <w:color w:val="000000" w:themeColor="text1"/>
          <w:lang w:val="en-US"/>
        </w:rPr>
        <w:t xml:space="preserve">ID </w:t>
      </w:r>
      <w:r w:rsidR="00F7731E" w:rsidRPr="00B108C8">
        <w:rPr>
          <w:rFonts w:cstheme="minorHAnsi"/>
          <w:color w:val="000000" w:themeColor="text1"/>
          <w:lang w:val="en-US"/>
        </w:rPr>
        <w:t>SEC</w:t>
      </w:r>
      <w:r w:rsidR="00140797" w:rsidRPr="00B108C8">
        <w:rPr>
          <w:rFonts w:cstheme="minorHAnsi"/>
          <w:color w:val="000000" w:themeColor="text1"/>
          <w:lang w:val="en-US"/>
        </w:rPr>
        <w:t xml:space="preserve"> Methodology</w:t>
      </w:r>
      <w:r w:rsidR="00EA06FB">
        <w:rPr>
          <w:rFonts w:cstheme="minorHAnsi"/>
          <w:color w:val="000000" w:themeColor="text1"/>
          <w:lang w:val="en-US"/>
        </w:rPr>
        <w:t xml:space="preserve"> shall apply to TSOs</w:t>
      </w:r>
      <w:r w:rsidR="00076B2D" w:rsidRPr="000817C5">
        <w:rPr>
          <w:rFonts w:cstheme="minorHAnsi"/>
          <w:color w:val="000000" w:themeColor="text1"/>
          <w:lang w:val="en-GB"/>
        </w:rPr>
        <w:t xml:space="preserve"> using the Scheduled Flows calculated </w:t>
      </w:r>
      <w:r w:rsidR="00EE1FFE" w:rsidRPr="00B108C8">
        <w:rPr>
          <w:rFonts w:cstheme="minorHAnsi"/>
          <w:color w:val="000000" w:themeColor="text1"/>
          <w:lang w:val="en-US"/>
        </w:rPr>
        <w:t>by the intra-day coupling algorithm</w:t>
      </w:r>
      <w:r w:rsidR="00076B2D" w:rsidRPr="00B108C8">
        <w:rPr>
          <w:rFonts w:cstheme="minorHAnsi"/>
          <w:color w:val="000000" w:themeColor="text1"/>
          <w:lang w:val="en-US"/>
        </w:rPr>
        <w:t xml:space="preserve"> as </w:t>
      </w:r>
      <w:r w:rsidR="00076B2D" w:rsidRPr="000817C5">
        <w:rPr>
          <w:rFonts w:cstheme="minorHAnsi"/>
          <w:color w:val="000000" w:themeColor="text1"/>
          <w:lang w:val="en-GB"/>
        </w:rPr>
        <w:t>Scheduled Exchanges</w:t>
      </w:r>
      <w:r w:rsidR="00EE1FFE" w:rsidRPr="00B108C8">
        <w:rPr>
          <w:rFonts w:cstheme="minorHAnsi"/>
          <w:color w:val="000000" w:themeColor="text1"/>
          <w:lang w:val="en-US"/>
        </w:rPr>
        <w:t>.</w:t>
      </w:r>
    </w:p>
    <w:p w14:paraId="6B9FED9F" w14:textId="77777777" w:rsidR="00877DA5" w:rsidRPr="003832F2" w:rsidRDefault="00877DA5" w:rsidP="003832F2">
      <w:pPr>
        <w:pStyle w:val="headline1"/>
        <w:rPr>
          <w:rFonts w:asciiTheme="minorHAnsi" w:hAnsiTheme="minorHAnsi" w:cstheme="minorHAnsi"/>
        </w:rPr>
      </w:pPr>
      <w:bookmarkStart w:id="12" w:name="_Toc505249295"/>
      <w:bookmarkStart w:id="13" w:name="_Toc505855486"/>
      <w:r w:rsidRPr="003832F2">
        <w:rPr>
          <w:rFonts w:asciiTheme="minorHAnsi" w:hAnsiTheme="minorHAnsi" w:cstheme="minorHAnsi"/>
        </w:rPr>
        <w:t>Article 2</w:t>
      </w:r>
      <w:r w:rsidR="00C46743" w:rsidRPr="003832F2">
        <w:rPr>
          <w:rFonts w:asciiTheme="minorHAnsi" w:hAnsiTheme="minorHAnsi" w:cstheme="minorHAnsi"/>
        </w:rPr>
        <w:t xml:space="preserve"> - </w:t>
      </w:r>
      <w:r w:rsidRPr="003832F2">
        <w:rPr>
          <w:rFonts w:asciiTheme="minorHAnsi" w:hAnsiTheme="minorHAnsi" w:cstheme="minorHAnsi"/>
        </w:rPr>
        <w:t>Definitions</w:t>
      </w:r>
      <w:r w:rsidR="00221FC8" w:rsidRPr="003832F2">
        <w:rPr>
          <w:rFonts w:asciiTheme="minorHAnsi" w:hAnsiTheme="minorHAnsi" w:cstheme="minorHAnsi"/>
        </w:rPr>
        <w:t xml:space="preserve"> and interpretation</w:t>
      </w:r>
      <w:bookmarkEnd w:id="10"/>
      <w:bookmarkEnd w:id="11"/>
      <w:bookmarkEnd w:id="12"/>
      <w:bookmarkEnd w:id="13"/>
    </w:p>
    <w:p w14:paraId="716BE192" w14:textId="77777777" w:rsidR="00F75E34" w:rsidRPr="00370ACD" w:rsidRDefault="00F75E34" w:rsidP="00F66A58">
      <w:pPr>
        <w:pStyle w:val="ListParagraph"/>
        <w:numPr>
          <w:ilvl w:val="0"/>
          <w:numId w:val="13"/>
        </w:numPr>
        <w:spacing w:before="100" w:beforeAutospacing="1" w:after="100" w:afterAutospacing="1" w:line="276" w:lineRule="auto"/>
        <w:rPr>
          <w:rFonts w:cstheme="minorHAnsi"/>
          <w:color w:val="000000" w:themeColor="text1"/>
          <w:lang w:val="en-GB"/>
        </w:rPr>
      </w:pPr>
      <w:r w:rsidRPr="00370ACD">
        <w:rPr>
          <w:rFonts w:cstheme="minorHAnsi"/>
          <w:color w:val="000000" w:themeColor="text1"/>
          <w:lang w:val="en-GB"/>
        </w:rPr>
        <w:t xml:space="preserve">For the purposes of this </w:t>
      </w:r>
      <w:r w:rsidR="00395E09">
        <w:rPr>
          <w:rFonts w:cstheme="minorHAnsi"/>
          <w:color w:val="000000" w:themeColor="text1"/>
          <w:lang w:val="en-GB"/>
        </w:rPr>
        <w:t xml:space="preserve">ID </w:t>
      </w:r>
      <w:r w:rsidR="00F7731E">
        <w:rPr>
          <w:rFonts w:cstheme="minorHAnsi"/>
          <w:color w:val="000000" w:themeColor="text1"/>
          <w:lang w:val="en-GB"/>
        </w:rPr>
        <w:t>SEC</w:t>
      </w:r>
      <w:r w:rsidR="00140797">
        <w:rPr>
          <w:rFonts w:cstheme="minorHAnsi"/>
          <w:color w:val="000000" w:themeColor="text1"/>
          <w:lang w:val="en-GB"/>
        </w:rPr>
        <w:t xml:space="preserve"> </w:t>
      </w:r>
      <w:r w:rsidR="00076B2D">
        <w:rPr>
          <w:rFonts w:cstheme="minorHAnsi"/>
          <w:color w:val="000000" w:themeColor="text1"/>
          <w:lang w:val="en-GB"/>
        </w:rPr>
        <w:t>Proposal</w:t>
      </w:r>
      <w:r w:rsidRPr="00370ACD">
        <w:rPr>
          <w:rFonts w:cstheme="minorHAnsi"/>
          <w:color w:val="000000" w:themeColor="text1"/>
          <w:lang w:val="en-GB"/>
        </w:rPr>
        <w:t xml:space="preserve">, terms used shall have the meaning of the definitions included in Article 2 of </w:t>
      </w:r>
      <w:r w:rsidR="00076B2D">
        <w:rPr>
          <w:rFonts w:cstheme="minorHAnsi"/>
          <w:color w:val="000000" w:themeColor="text1"/>
          <w:lang w:val="en-GB"/>
        </w:rPr>
        <w:t>CACM Regulation</w:t>
      </w:r>
      <w:r w:rsidR="00EE1FFE">
        <w:rPr>
          <w:rFonts w:ascii="Calibri" w:hAnsi="Calibri"/>
          <w:lang w:val="en-GB"/>
        </w:rPr>
        <w:t xml:space="preserve">, </w:t>
      </w:r>
      <w:r w:rsidR="00D8242A" w:rsidRPr="00533398">
        <w:rPr>
          <w:rFonts w:cstheme="minorHAnsi"/>
          <w:color w:val="000000" w:themeColor="text1"/>
          <w:lang w:val="en-GB"/>
        </w:rPr>
        <w:t>Commission Regulation</w:t>
      </w:r>
      <w:r w:rsidR="00656E21" w:rsidRPr="00533398">
        <w:rPr>
          <w:rFonts w:cstheme="minorHAnsi"/>
          <w:color w:val="000000" w:themeColor="text1"/>
          <w:lang w:val="en-GB"/>
        </w:rPr>
        <w:t>s</w:t>
      </w:r>
      <w:r w:rsidR="00D8242A" w:rsidRPr="00533398">
        <w:rPr>
          <w:rFonts w:cstheme="minorHAnsi"/>
          <w:color w:val="000000" w:themeColor="text1"/>
          <w:lang w:val="en-GB"/>
        </w:rPr>
        <w:t xml:space="preserve"> (EU) 543/2013 and (EU) 1227/2011</w:t>
      </w:r>
      <w:r w:rsidR="00076B2D">
        <w:rPr>
          <w:rFonts w:cstheme="minorHAnsi"/>
          <w:color w:val="000000" w:themeColor="text1"/>
          <w:lang w:val="en-GB"/>
        </w:rPr>
        <w:t xml:space="preserve"> as well </w:t>
      </w:r>
      <w:r w:rsidR="00076B2D" w:rsidRPr="00345215">
        <w:rPr>
          <w:rFonts w:cstheme="minorHAnsi"/>
          <w:color w:val="000000" w:themeColor="text1"/>
          <w:lang w:val="en-GB"/>
        </w:rPr>
        <w:t>as</w:t>
      </w:r>
      <w:r w:rsidR="00076B2D" w:rsidRPr="00345215">
        <w:rPr>
          <w:rFonts w:cstheme="minorHAnsi"/>
          <w:lang w:val="en-GB"/>
        </w:rPr>
        <w:t xml:space="preserve"> Article 3 of Regulation (EU) 2017/1485</w:t>
      </w:r>
      <w:r w:rsidR="00D8242A" w:rsidRPr="00533398">
        <w:rPr>
          <w:rFonts w:cstheme="minorHAnsi"/>
          <w:color w:val="000000" w:themeColor="text1"/>
          <w:lang w:val="en-GB"/>
        </w:rPr>
        <w:t xml:space="preserve">. </w:t>
      </w:r>
      <w:r w:rsidRPr="00533398">
        <w:rPr>
          <w:rFonts w:cstheme="minorHAnsi"/>
          <w:color w:val="000000" w:themeColor="text1"/>
          <w:lang w:val="en-GB"/>
        </w:rPr>
        <w:t>In addit</w:t>
      </w:r>
      <w:r w:rsidRPr="00370ACD">
        <w:rPr>
          <w:rFonts w:cstheme="minorHAnsi"/>
          <w:color w:val="000000" w:themeColor="text1"/>
          <w:lang w:val="en-GB"/>
        </w:rPr>
        <w:t>ion, the following definitions shall apply:</w:t>
      </w:r>
    </w:p>
    <w:p w14:paraId="52B9A522" w14:textId="77777777" w:rsidR="00F75E34" w:rsidRPr="00370ACD" w:rsidRDefault="00F75E34" w:rsidP="00E210F0">
      <w:pPr>
        <w:pStyle w:val="ListParagraph"/>
        <w:spacing w:before="100" w:beforeAutospacing="1" w:after="100" w:afterAutospacing="1" w:line="276" w:lineRule="auto"/>
        <w:ind w:left="360"/>
        <w:rPr>
          <w:rFonts w:cstheme="minorHAnsi"/>
          <w:color w:val="000000" w:themeColor="text1"/>
          <w:lang w:val="en-GB"/>
        </w:rPr>
      </w:pPr>
    </w:p>
    <w:p w14:paraId="3700F660" w14:textId="77777777" w:rsidR="00076B2D" w:rsidRPr="00C7439A" w:rsidRDefault="00076B2D" w:rsidP="00F66A58">
      <w:pPr>
        <w:pStyle w:val="ListParagraph"/>
        <w:numPr>
          <w:ilvl w:val="0"/>
          <w:numId w:val="10"/>
        </w:numPr>
        <w:spacing w:before="100" w:beforeAutospacing="1" w:after="100" w:afterAutospacing="1" w:line="276" w:lineRule="auto"/>
        <w:rPr>
          <w:rFonts w:cstheme="minorHAnsi"/>
          <w:color w:val="000000" w:themeColor="text1"/>
          <w:lang w:val="en-GB"/>
        </w:rPr>
      </w:pPr>
      <w:r w:rsidRPr="00C7439A">
        <w:rPr>
          <w:rFonts w:cstheme="minorHAnsi"/>
          <w:color w:val="000000" w:themeColor="text1"/>
          <w:lang w:val="en-GB"/>
        </w:rPr>
        <w:t>’NEMO Trading Hub’ shall have the meaning as defined in the terms and conditions or methodologies pursuant to Article 37 and Article 45 of CACM Regulation; and</w:t>
      </w:r>
    </w:p>
    <w:p w14:paraId="3AF87F5E" w14:textId="0547DA61" w:rsidR="00076B2D" w:rsidRPr="00AC0DFD" w:rsidRDefault="00076B2D" w:rsidP="00F66A58">
      <w:pPr>
        <w:pStyle w:val="ListParagraph"/>
        <w:numPr>
          <w:ilvl w:val="0"/>
          <w:numId w:val="10"/>
        </w:numPr>
        <w:rPr>
          <w:lang w:val="en-GB"/>
        </w:rPr>
      </w:pPr>
      <w:r>
        <w:rPr>
          <w:rFonts w:cstheme="minorHAnsi"/>
          <w:color w:val="000000" w:themeColor="text1"/>
          <w:lang w:val="en-GB"/>
        </w:rPr>
        <w:t xml:space="preserve">‘Scheduled Flow’ shall have the meaning </w:t>
      </w:r>
      <w:r w:rsidRPr="0061591E">
        <w:rPr>
          <w:rFonts w:cstheme="minorHAnsi"/>
          <w:color w:val="000000" w:themeColor="text1"/>
          <w:lang w:val="en-GB"/>
        </w:rPr>
        <w:t xml:space="preserve">as defined in the </w:t>
      </w:r>
      <w:r w:rsidRPr="001A0EFF">
        <w:rPr>
          <w:rFonts w:cstheme="minorHAnsi"/>
          <w:color w:val="000000" w:themeColor="text1"/>
          <w:lang w:val="en-GB"/>
        </w:rPr>
        <w:t>terms and conditions or methodologies</w:t>
      </w:r>
      <w:r w:rsidR="00E30DB8">
        <w:rPr>
          <w:rFonts w:cstheme="minorHAnsi"/>
          <w:color w:val="000000" w:themeColor="text1"/>
          <w:lang w:val="en-GB"/>
        </w:rPr>
        <w:t xml:space="preserve"> </w:t>
      </w:r>
      <w:r w:rsidRPr="0061591E">
        <w:rPr>
          <w:rFonts w:cstheme="minorHAnsi"/>
          <w:color w:val="000000" w:themeColor="text1"/>
          <w:lang w:val="en-GB"/>
        </w:rPr>
        <w:t xml:space="preserve">pursuant to </w:t>
      </w:r>
      <w:r w:rsidRPr="00EC7FBE">
        <w:rPr>
          <w:rFonts w:cstheme="minorHAnsi"/>
          <w:color w:val="000000" w:themeColor="text1"/>
          <w:lang w:val="en-GB"/>
        </w:rPr>
        <w:t>Article 37</w:t>
      </w:r>
      <w:r w:rsidRPr="0061591E">
        <w:rPr>
          <w:rFonts w:cstheme="minorHAnsi"/>
          <w:color w:val="000000" w:themeColor="text1"/>
          <w:lang w:val="en-GB"/>
        </w:rPr>
        <w:t xml:space="preserve"> of </w:t>
      </w:r>
      <w:r>
        <w:rPr>
          <w:rFonts w:cstheme="minorHAnsi"/>
          <w:color w:val="000000" w:themeColor="text1"/>
          <w:lang w:val="en-GB"/>
        </w:rPr>
        <w:t>CACM Regulation</w:t>
      </w:r>
      <w:r w:rsidR="0025508C">
        <w:rPr>
          <w:rFonts w:cstheme="minorHAnsi"/>
          <w:color w:val="000000" w:themeColor="text1"/>
          <w:lang w:val="en-GB"/>
        </w:rPr>
        <w:t xml:space="preserve"> developed by all NEMOs</w:t>
      </w:r>
      <w:r>
        <w:rPr>
          <w:rFonts w:cstheme="minorHAnsi"/>
          <w:color w:val="000000" w:themeColor="text1"/>
          <w:lang w:val="en-GB"/>
        </w:rPr>
        <w:t>.</w:t>
      </w:r>
    </w:p>
    <w:p w14:paraId="6A3AFF5B" w14:textId="77777777" w:rsidR="005C03A6" w:rsidRPr="001A0A9B" w:rsidRDefault="005C03A6" w:rsidP="00443C1F">
      <w:pPr>
        <w:pStyle w:val="ListParagraph"/>
        <w:spacing w:before="100" w:beforeAutospacing="1" w:after="100" w:afterAutospacing="1" w:line="276" w:lineRule="auto"/>
        <w:rPr>
          <w:rFonts w:cstheme="minorHAnsi"/>
          <w:color w:val="000000" w:themeColor="text1"/>
          <w:lang w:val="en-GB"/>
        </w:rPr>
      </w:pPr>
    </w:p>
    <w:p w14:paraId="74632776" w14:textId="21E0A68F" w:rsidR="00D22908" w:rsidRPr="00370ACD" w:rsidRDefault="00D22908" w:rsidP="00F66A58">
      <w:pPr>
        <w:pStyle w:val="ListParagraph"/>
        <w:numPr>
          <w:ilvl w:val="0"/>
          <w:numId w:val="13"/>
        </w:numPr>
        <w:spacing w:before="100" w:beforeAutospacing="1" w:after="100" w:afterAutospacing="1" w:line="276" w:lineRule="auto"/>
        <w:ind w:left="426" w:hanging="426"/>
        <w:rPr>
          <w:rFonts w:cstheme="minorHAnsi"/>
          <w:color w:val="000000" w:themeColor="text1"/>
          <w:lang w:val="en-GB"/>
        </w:rPr>
      </w:pPr>
      <w:r w:rsidRPr="00370ACD">
        <w:rPr>
          <w:lang w:val="en-GB"/>
        </w:rPr>
        <w:t>The term ‘</w:t>
      </w:r>
      <w:r w:rsidR="000A3A13">
        <w:rPr>
          <w:lang w:val="en-GB"/>
        </w:rPr>
        <w:t>S</w:t>
      </w:r>
      <w:r w:rsidRPr="00370ACD">
        <w:rPr>
          <w:lang w:val="en-GB"/>
        </w:rPr>
        <w:t xml:space="preserve">cheduled </w:t>
      </w:r>
      <w:r w:rsidR="000A3A13">
        <w:rPr>
          <w:lang w:val="en-GB"/>
        </w:rPr>
        <w:t>E</w:t>
      </w:r>
      <w:r w:rsidRPr="00370ACD">
        <w:rPr>
          <w:lang w:val="en-GB"/>
        </w:rPr>
        <w:t xml:space="preserve">xchange’ is defined within </w:t>
      </w:r>
      <w:r w:rsidRPr="00370ACD">
        <w:rPr>
          <w:rFonts w:cstheme="minorHAnsi"/>
          <w:color w:val="000000" w:themeColor="text1"/>
          <w:lang w:val="en-GB"/>
        </w:rPr>
        <w:t xml:space="preserve">Article 2 of </w:t>
      </w:r>
      <w:r w:rsidR="00E32C33">
        <w:rPr>
          <w:rFonts w:cstheme="minorHAnsi"/>
          <w:color w:val="000000" w:themeColor="text1"/>
          <w:lang w:val="en-GB"/>
        </w:rPr>
        <w:t>CACM Regulation</w:t>
      </w:r>
      <w:r w:rsidRPr="00370ACD">
        <w:rPr>
          <w:rFonts w:cstheme="minorHAnsi"/>
          <w:color w:val="000000" w:themeColor="text1"/>
          <w:lang w:val="en-GB"/>
        </w:rPr>
        <w:t xml:space="preserve">. For the purposes of the </w:t>
      </w:r>
      <w:r w:rsidR="00395E09">
        <w:rPr>
          <w:rFonts w:cstheme="minorHAnsi"/>
          <w:color w:val="000000" w:themeColor="text1"/>
          <w:lang w:val="en-GB"/>
        </w:rPr>
        <w:t xml:space="preserve">ID </w:t>
      </w:r>
      <w:r w:rsidR="00F7731E">
        <w:rPr>
          <w:rFonts w:cstheme="minorHAnsi"/>
          <w:color w:val="000000" w:themeColor="text1"/>
          <w:lang w:val="en-GB"/>
        </w:rPr>
        <w:t>SEC</w:t>
      </w:r>
      <w:r w:rsidRPr="00370ACD">
        <w:rPr>
          <w:rFonts w:cstheme="minorHAnsi"/>
          <w:color w:val="000000" w:themeColor="text1"/>
          <w:lang w:val="en-GB"/>
        </w:rPr>
        <w:t xml:space="preserve"> Proposal, </w:t>
      </w:r>
      <w:r w:rsidR="009F57BF" w:rsidRPr="00370ACD">
        <w:rPr>
          <w:rFonts w:cstheme="minorHAnsi"/>
          <w:color w:val="000000" w:themeColor="text1"/>
          <w:lang w:val="en-GB"/>
        </w:rPr>
        <w:t xml:space="preserve">the term </w:t>
      </w:r>
      <w:r w:rsidR="009F57BF" w:rsidRPr="0096441E">
        <w:rPr>
          <w:rFonts w:cstheme="minorHAnsi"/>
          <w:color w:val="000000" w:themeColor="text1"/>
          <w:lang w:val="en-US"/>
        </w:rPr>
        <w:t>’</w:t>
      </w:r>
      <w:r w:rsidRPr="0096441E">
        <w:rPr>
          <w:rFonts w:cstheme="minorHAnsi"/>
          <w:color w:val="000000" w:themeColor="text1"/>
          <w:lang w:val="en-US"/>
        </w:rPr>
        <w:t>geographic</w:t>
      </w:r>
      <w:r w:rsidR="00F47A54" w:rsidRPr="00370ACD" w:rsidDel="00F47A54">
        <w:rPr>
          <w:rFonts w:cstheme="minorHAnsi"/>
          <w:color w:val="000000" w:themeColor="text1"/>
          <w:lang w:val="en-GB"/>
        </w:rPr>
        <w:t xml:space="preserve"> </w:t>
      </w:r>
      <w:r w:rsidRPr="00370ACD">
        <w:rPr>
          <w:rFonts w:cstheme="minorHAnsi"/>
          <w:color w:val="000000" w:themeColor="text1"/>
          <w:lang w:val="en-GB"/>
        </w:rPr>
        <w:t>area</w:t>
      </w:r>
      <w:r w:rsidR="009F57BF" w:rsidRPr="00370ACD">
        <w:rPr>
          <w:rFonts w:cstheme="minorHAnsi"/>
          <w:color w:val="000000" w:themeColor="text1"/>
          <w:lang w:val="en-GB"/>
        </w:rPr>
        <w:t>’</w:t>
      </w:r>
      <w:r w:rsidRPr="00370ACD">
        <w:rPr>
          <w:rFonts w:cstheme="minorHAnsi"/>
          <w:color w:val="000000" w:themeColor="text1"/>
          <w:lang w:val="en-GB"/>
        </w:rPr>
        <w:t xml:space="preserve"> </w:t>
      </w:r>
      <w:r w:rsidR="00E32C33">
        <w:rPr>
          <w:rFonts w:cstheme="minorHAnsi"/>
          <w:color w:val="000000" w:themeColor="text1"/>
          <w:lang w:val="en-GB"/>
        </w:rPr>
        <w:t>means</w:t>
      </w:r>
      <w:r w:rsidRPr="00370ACD">
        <w:rPr>
          <w:rFonts w:cstheme="minorHAnsi"/>
          <w:color w:val="000000" w:themeColor="text1"/>
          <w:lang w:val="en-GB"/>
        </w:rPr>
        <w:t xml:space="preserve"> both </w:t>
      </w:r>
      <w:r w:rsidR="00E91213">
        <w:rPr>
          <w:rFonts w:cstheme="minorHAnsi"/>
          <w:color w:val="000000" w:themeColor="text1"/>
          <w:lang w:val="en-GB"/>
        </w:rPr>
        <w:t>scheduling area</w:t>
      </w:r>
      <w:r w:rsidR="002A1FC2">
        <w:rPr>
          <w:rFonts w:cstheme="minorHAnsi"/>
          <w:color w:val="000000" w:themeColor="text1"/>
          <w:lang w:val="en-GB"/>
        </w:rPr>
        <w:t xml:space="preserve"> and</w:t>
      </w:r>
      <w:r w:rsidRPr="00370ACD">
        <w:rPr>
          <w:rFonts w:cstheme="minorHAnsi"/>
          <w:color w:val="000000" w:themeColor="text1"/>
          <w:lang w:val="en-GB"/>
        </w:rPr>
        <w:t xml:space="preserve"> </w:t>
      </w:r>
      <w:r w:rsidR="00E91213">
        <w:rPr>
          <w:rFonts w:cstheme="minorHAnsi"/>
          <w:color w:val="000000" w:themeColor="text1"/>
          <w:lang w:val="en-GB"/>
        </w:rPr>
        <w:t>bidding zone</w:t>
      </w:r>
      <w:r w:rsidR="002A1FC2">
        <w:rPr>
          <w:rFonts w:cstheme="minorHAnsi"/>
          <w:color w:val="000000" w:themeColor="text1"/>
          <w:lang w:val="en-GB"/>
        </w:rPr>
        <w:t xml:space="preserve">. </w:t>
      </w:r>
      <w:r w:rsidR="00387A66">
        <w:rPr>
          <w:rFonts w:cstheme="minorHAnsi"/>
          <w:color w:val="000000" w:themeColor="text1"/>
          <w:lang w:val="en-GB"/>
        </w:rPr>
        <w:t xml:space="preserve">It is acknowledged that the NEMO Trading Hub is not </w:t>
      </w:r>
      <w:r w:rsidR="00151284">
        <w:rPr>
          <w:rFonts w:cstheme="minorHAnsi"/>
          <w:color w:val="000000" w:themeColor="text1"/>
          <w:lang w:val="en-GB"/>
        </w:rPr>
        <w:t xml:space="preserve">equal to </w:t>
      </w:r>
      <w:r w:rsidR="00387A66">
        <w:rPr>
          <w:rFonts w:cstheme="minorHAnsi"/>
          <w:color w:val="000000" w:themeColor="text1"/>
          <w:lang w:val="en-GB"/>
        </w:rPr>
        <w:t>a geographic area</w:t>
      </w:r>
      <w:r w:rsidR="00862846">
        <w:rPr>
          <w:rFonts w:cstheme="minorHAnsi"/>
          <w:color w:val="000000" w:themeColor="text1"/>
          <w:lang w:val="en-GB"/>
        </w:rPr>
        <w:t xml:space="preserve">, therefore, Scheduled Exchange do not concern </w:t>
      </w:r>
      <w:r w:rsidR="00862846" w:rsidRPr="003B4745">
        <w:rPr>
          <w:rFonts w:cstheme="minorHAnsi"/>
          <w:color w:val="000000" w:themeColor="text1"/>
          <w:lang w:val="en-GB"/>
        </w:rPr>
        <w:t>NEMO Trading Hub</w:t>
      </w:r>
      <w:r w:rsidR="007D05D6">
        <w:rPr>
          <w:rFonts w:cstheme="minorHAnsi"/>
          <w:color w:val="000000" w:themeColor="text1"/>
          <w:lang w:val="en-GB"/>
        </w:rPr>
        <w:t>s</w:t>
      </w:r>
      <w:r w:rsidR="00387A66">
        <w:rPr>
          <w:rFonts w:cstheme="minorHAnsi"/>
          <w:color w:val="000000" w:themeColor="text1"/>
          <w:lang w:val="en-GB"/>
        </w:rPr>
        <w:t>.</w:t>
      </w:r>
      <w:r w:rsidR="00E30DB8">
        <w:rPr>
          <w:rFonts w:cstheme="minorHAnsi"/>
          <w:color w:val="000000" w:themeColor="text1"/>
          <w:lang w:val="en-GB"/>
        </w:rPr>
        <w:t xml:space="preserve"> </w:t>
      </w:r>
      <w:r w:rsidR="00151284">
        <w:rPr>
          <w:rFonts w:cstheme="minorHAnsi"/>
          <w:color w:val="000000" w:themeColor="text1"/>
          <w:lang w:val="en-GB"/>
        </w:rPr>
        <w:t>T</w:t>
      </w:r>
      <w:r w:rsidR="00DE133F">
        <w:rPr>
          <w:rFonts w:cstheme="minorHAnsi"/>
          <w:color w:val="000000" w:themeColor="text1"/>
          <w:lang w:val="en-GB"/>
        </w:rPr>
        <w:t xml:space="preserve">he notion of </w:t>
      </w:r>
      <w:r w:rsidR="002A1FC2">
        <w:rPr>
          <w:rFonts w:cstheme="minorHAnsi"/>
          <w:color w:val="000000" w:themeColor="text1"/>
          <w:lang w:val="en-GB"/>
        </w:rPr>
        <w:t>‘</w:t>
      </w:r>
      <w:r w:rsidR="005B13C0">
        <w:rPr>
          <w:rFonts w:cstheme="minorHAnsi"/>
          <w:color w:val="000000" w:themeColor="text1"/>
          <w:lang w:val="en-GB"/>
        </w:rPr>
        <w:t xml:space="preserve">NEMO Trading </w:t>
      </w:r>
      <w:r w:rsidR="00DD0D97">
        <w:rPr>
          <w:rFonts w:cstheme="minorHAnsi"/>
          <w:color w:val="000000" w:themeColor="text1"/>
          <w:lang w:val="en-GB"/>
        </w:rPr>
        <w:t>H</w:t>
      </w:r>
      <w:r w:rsidR="005B13C0">
        <w:rPr>
          <w:rFonts w:cstheme="minorHAnsi"/>
          <w:color w:val="000000" w:themeColor="text1"/>
          <w:lang w:val="en-GB"/>
        </w:rPr>
        <w:t>ub</w:t>
      </w:r>
      <w:r w:rsidR="002A1FC2">
        <w:rPr>
          <w:rFonts w:cstheme="minorHAnsi"/>
          <w:color w:val="000000" w:themeColor="text1"/>
          <w:lang w:val="en-GB"/>
        </w:rPr>
        <w:t>’</w:t>
      </w:r>
      <w:r w:rsidR="00DE133F">
        <w:rPr>
          <w:rFonts w:cstheme="minorHAnsi"/>
          <w:color w:val="000000" w:themeColor="text1"/>
          <w:lang w:val="en-GB"/>
        </w:rPr>
        <w:t xml:space="preserve"> </w:t>
      </w:r>
      <w:r w:rsidR="00771F91">
        <w:rPr>
          <w:rFonts w:cstheme="minorHAnsi"/>
          <w:color w:val="000000" w:themeColor="text1"/>
          <w:lang w:val="en-GB"/>
        </w:rPr>
        <w:t>is required</w:t>
      </w:r>
      <w:r w:rsidR="00DE133F">
        <w:rPr>
          <w:rFonts w:cstheme="minorHAnsi"/>
          <w:color w:val="000000" w:themeColor="text1"/>
          <w:lang w:val="en-GB"/>
        </w:rPr>
        <w:t xml:space="preserve"> in order to ensure proper functioning of</w:t>
      </w:r>
      <w:r w:rsidR="00882F19">
        <w:rPr>
          <w:rFonts w:cstheme="minorHAnsi"/>
          <w:color w:val="000000" w:themeColor="text1"/>
          <w:lang w:val="en-GB"/>
        </w:rPr>
        <w:t xml:space="preserve"> post </w:t>
      </w:r>
      <w:r w:rsidR="00A37165">
        <w:rPr>
          <w:rFonts w:cstheme="minorHAnsi"/>
          <w:color w:val="000000" w:themeColor="text1"/>
          <w:lang w:val="en-GB"/>
        </w:rPr>
        <w:t xml:space="preserve">market </w:t>
      </w:r>
      <w:r w:rsidR="00882F19">
        <w:rPr>
          <w:rFonts w:cstheme="minorHAnsi"/>
          <w:color w:val="000000" w:themeColor="text1"/>
          <w:lang w:val="en-GB"/>
        </w:rPr>
        <w:t xml:space="preserve">coupling processes </w:t>
      </w:r>
      <w:r w:rsidR="00433669">
        <w:rPr>
          <w:rFonts w:cstheme="minorHAnsi"/>
          <w:color w:val="000000" w:themeColor="text1"/>
          <w:lang w:val="en-GB"/>
        </w:rPr>
        <w:t xml:space="preserve">under market settlement regimes </w:t>
      </w:r>
      <w:r w:rsidR="002A1FC2">
        <w:rPr>
          <w:rFonts w:cstheme="minorHAnsi"/>
          <w:color w:val="000000" w:themeColor="text1"/>
          <w:lang w:val="en-GB"/>
        </w:rPr>
        <w:t>where</w:t>
      </w:r>
      <w:r w:rsidR="00DE133F">
        <w:rPr>
          <w:rFonts w:cstheme="minorHAnsi"/>
          <w:color w:val="000000" w:themeColor="text1"/>
          <w:lang w:val="en-GB"/>
        </w:rPr>
        <w:t xml:space="preserve"> multiple </w:t>
      </w:r>
      <w:r w:rsidR="00BF73FE">
        <w:rPr>
          <w:rFonts w:cstheme="minorHAnsi"/>
          <w:color w:val="000000" w:themeColor="text1"/>
          <w:lang w:val="en-GB"/>
        </w:rPr>
        <w:t>NEMO</w:t>
      </w:r>
      <w:r w:rsidR="00DE133F">
        <w:rPr>
          <w:rFonts w:cstheme="minorHAnsi"/>
          <w:color w:val="000000" w:themeColor="text1"/>
          <w:lang w:val="en-GB"/>
        </w:rPr>
        <w:t xml:space="preserve">s are active in a </w:t>
      </w:r>
      <w:r w:rsidR="00E91213">
        <w:rPr>
          <w:rFonts w:cstheme="minorHAnsi"/>
          <w:color w:val="000000" w:themeColor="text1"/>
          <w:lang w:val="en-GB"/>
        </w:rPr>
        <w:t>bidding zone</w:t>
      </w:r>
      <w:r w:rsidR="00DE133F">
        <w:rPr>
          <w:rFonts w:cstheme="minorHAnsi"/>
          <w:color w:val="000000" w:themeColor="text1"/>
          <w:lang w:val="en-GB"/>
        </w:rPr>
        <w:t xml:space="preserve"> or </w:t>
      </w:r>
      <w:r w:rsidR="00E91213">
        <w:rPr>
          <w:rFonts w:cstheme="minorHAnsi"/>
          <w:color w:val="000000" w:themeColor="text1"/>
          <w:lang w:val="en-GB"/>
        </w:rPr>
        <w:t>scheduling area</w:t>
      </w:r>
      <w:r w:rsidR="00DE133F">
        <w:rPr>
          <w:rFonts w:cstheme="minorHAnsi"/>
          <w:color w:val="000000" w:themeColor="text1"/>
          <w:lang w:val="en-GB"/>
        </w:rPr>
        <w:t xml:space="preserve"> in accordance with the requirements </w:t>
      </w:r>
      <w:r w:rsidR="002A1FC2">
        <w:rPr>
          <w:rFonts w:cstheme="minorHAnsi"/>
          <w:color w:val="000000" w:themeColor="text1"/>
          <w:lang w:val="en-GB"/>
        </w:rPr>
        <w:t xml:space="preserve">contained within Article </w:t>
      </w:r>
      <w:r w:rsidR="005C204F">
        <w:rPr>
          <w:rFonts w:cstheme="minorHAnsi"/>
          <w:color w:val="000000" w:themeColor="text1"/>
          <w:lang w:val="en-GB"/>
        </w:rPr>
        <w:t>57</w:t>
      </w:r>
      <w:r w:rsidR="00D942C2">
        <w:rPr>
          <w:rFonts w:cstheme="minorHAnsi"/>
          <w:color w:val="000000" w:themeColor="text1"/>
          <w:lang w:val="en-GB"/>
        </w:rPr>
        <w:t xml:space="preserve"> </w:t>
      </w:r>
      <w:r w:rsidR="00DE133F">
        <w:rPr>
          <w:rFonts w:cstheme="minorHAnsi"/>
          <w:color w:val="000000" w:themeColor="text1"/>
          <w:lang w:val="en-GB"/>
        </w:rPr>
        <w:t xml:space="preserve">of </w:t>
      </w:r>
      <w:r w:rsidR="00E32C33">
        <w:rPr>
          <w:rFonts w:cstheme="minorHAnsi"/>
          <w:color w:val="000000" w:themeColor="text1"/>
          <w:lang w:val="en-GB"/>
        </w:rPr>
        <w:t>CACM Regulation</w:t>
      </w:r>
      <w:r w:rsidR="00DE133F">
        <w:rPr>
          <w:rFonts w:cstheme="minorHAnsi"/>
          <w:color w:val="000000" w:themeColor="text1"/>
          <w:lang w:val="en-GB"/>
        </w:rPr>
        <w:t>.</w:t>
      </w:r>
    </w:p>
    <w:p w14:paraId="1AEDDF2B" w14:textId="77777777" w:rsidR="003D5350" w:rsidRPr="00370ACD" w:rsidRDefault="003D5350" w:rsidP="003D5350">
      <w:pPr>
        <w:pStyle w:val="ListParagraph"/>
        <w:spacing w:before="100" w:beforeAutospacing="1" w:after="100" w:afterAutospacing="1" w:line="276" w:lineRule="auto"/>
        <w:ind w:left="426"/>
        <w:rPr>
          <w:rFonts w:cstheme="minorHAnsi"/>
          <w:color w:val="000000" w:themeColor="text1"/>
          <w:lang w:val="en-GB"/>
        </w:rPr>
      </w:pPr>
      <w:r w:rsidRPr="00370ACD">
        <w:rPr>
          <w:rFonts w:cstheme="minorHAnsi"/>
          <w:color w:val="000000" w:themeColor="text1"/>
          <w:lang w:val="en-GB"/>
        </w:rPr>
        <w:t xml:space="preserve"> </w:t>
      </w:r>
    </w:p>
    <w:p w14:paraId="32972D7E" w14:textId="77777777" w:rsidR="00F75E34" w:rsidRPr="00370ACD" w:rsidRDefault="00F75E34" w:rsidP="00F66A58">
      <w:pPr>
        <w:pStyle w:val="ListParagraph"/>
        <w:numPr>
          <w:ilvl w:val="0"/>
          <w:numId w:val="13"/>
        </w:numPr>
        <w:spacing w:before="100" w:beforeAutospacing="1" w:after="100" w:afterAutospacing="1" w:line="276" w:lineRule="auto"/>
        <w:rPr>
          <w:rFonts w:cstheme="minorHAnsi"/>
          <w:color w:val="000000" w:themeColor="text1"/>
          <w:lang w:val="en-GB"/>
        </w:rPr>
      </w:pPr>
      <w:r w:rsidRPr="00370ACD">
        <w:rPr>
          <w:rFonts w:cstheme="minorHAnsi"/>
          <w:color w:val="000000" w:themeColor="text1"/>
          <w:lang w:val="en-GB"/>
        </w:rPr>
        <w:t xml:space="preserve">In this </w:t>
      </w:r>
      <w:r w:rsidR="00395E09">
        <w:rPr>
          <w:rFonts w:cstheme="minorHAnsi"/>
          <w:color w:val="000000" w:themeColor="text1"/>
          <w:lang w:val="en-GB"/>
        </w:rPr>
        <w:t xml:space="preserve">ID </w:t>
      </w:r>
      <w:r w:rsidR="00F7731E">
        <w:rPr>
          <w:rFonts w:cstheme="minorHAnsi"/>
          <w:color w:val="000000" w:themeColor="text1"/>
          <w:lang w:val="en-GB"/>
        </w:rPr>
        <w:t>SEC</w:t>
      </w:r>
      <w:r w:rsidR="006A00E9" w:rsidRPr="00370ACD">
        <w:rPr>
          <w:rFonts w:cstheme="minorHAnsi"/>
          <w:color w:val="000000" w:themeColor="text1"/>
          <w:lang w:val="en-GB"/>
        </w:rPr>
        <w:t xml:space="preserve"> Proposal</w:t>
      </w:r>
      <w:r w:rsidRPr="00370ACD">
        <w:rPr>
          <w:rFonts w:cstheme="minorHAnsi"/>
          <w:color w:val="000000" w:themeColor="text1"/>
          <w:lang w:val="en-GB"/>
        </w:rPr>
        <w:t>, unless</w:t>
      </w:r>
      <w:r w:rsidR="0066727E" w:rsidRPr="00370ACD">
        <w:rPr>
          <w:rFonts w:cstheme="minorHAnsi"/>
          <w:color w:val="000000" w:themeColor="text1"/>
          <w:lang w:val="en-GB"/>
        </w:rPr>
        <w:t xml:space="preserve"> the context requires otherwise</w:t>
      </w:r>
      <w:r w:rsidRPr="00370ACD">
        <w:rPr>
          <w:rFonts w:cstheme="minorHAnsi"/>
          <w:color w:val="000000" w:themeColor="text1"/>
          <w:lang w:val="en-GB"/>
        </w:rPr>
        <w:t xml:space="preserve">: </w:t>
      </w:r>
    </w:p>
    <w:p w14:paraId="6CB90F71" w14:textId="5A2AB15A" w:rsidR="009667D6" w:rsidRPr="000C7840" w:rsidRDefault="00E32C33" w:rsidP="00F66A58">
      <w:pPr>
        <w:pStyle w:val="ListParagraph"/>
        <w:numPr>
          <w:ilvl w:val="0"/>
          <w:numId w:val="14"/>
        </w:numPr>
        <w:spacing w:before="100" w:beforeAutospacing="1" w:after="100" w:afterAutospacing="1" w:line="276" w:lineRule="auto"/>
        <w:rPr>
          <w:rFonts w:cstheme="minorHAnsi"/>
          <w:color w:val="000000" w:themeColor="text1"/>
          <w:lang w:val="en-GB"/>
        </w:rPr>
      </w:pPr>
      <w:r w:rsidRPr="000C7840">
        <w:rPr>
          <w:rFonts w:cstheme="minorHAnsi"/>
          <w:color w:val="000000" w:themeColor="text1"/>
          <w:lang w:val="en-GB"/>
        </w:rPr>
        <w:t xml:space="preserve">the terms used apply in the context of the </w:t>
      </w:r>
      <w:r w:rsidR="00E30DB8">
        <w:rPr>
          <w:rFonts w:cstheme="minorHAnsi"/>
          <w:color w:val="000000" w:themeColor="text1"/>
          <w:lang w:val="en-GB"/>
        </w:rPr>
        <w:t>SIDC</w:t>
      </w:r>
    </w:p>
    <w:p w14:paraId="129245A2" w14:textId="77777777" w:rsidR="009667D6" w:rsidRPr="009667D6" w:rsidRDefault="00F75E34" w:rsidP="00F66A58">
      <w:pPr>
        <w:pStyle w:val="ListParagraph"/>
        <w:numPr>
          <w:ilvl w:val="0"/>
          <w:numId w:val="14"/>
        </w:numPr>
        <w:spacing w:before="100" w:beforeAutospacing="1" w:after="100" w:afterAutospacing="1" w:line="276" w:lineRule="auto"/>
        <w:rPr>
          <w:rFonts w:cstheme="minorHAnsi"/>
          <w:color w:val="000000" w:themeColor="text1"/>
          <w:lang w:val="en-GB"/>
        </w:rPr>
      </w:pPr>
      <w:r w:rsidRPr="009667D6">
        <w:rPr>
          <w:rFonts w:cstheme="minorHAnsi"/>
          <w:color w:val="000000" w:themeColor="text1"/>
          <w:lang w:val="en-GB"/>
        </w:rPr>
        <w:t>the table of contents and headings are inserted for convenience only and do not affect the interpretation of this methodology; and</w:t>
      </w:r>
    </w:p>
    <w:p w14:paraId="10861AC4" w14:textId="77777777" w:rsidR="00F75E34" w:rsidRPr="009667D6" w:rsidRDefault="00F75E34" w:rsidP="00F66A58">
      <w:pPr>
        <w:pStyle w:val="ListParagraph"/>
        <w:numPr>
          <w:ilvl w:val="0"/>
          <w:numId w:val="14"/>
        </w:numPr>
        <w:spacing w:before="100" w:beforeAutospacing="1" w:after="100" w:afterAutospacing="1" w:line="276" w:lineRule="auto"/>
        <w:rPr>
          <w:rFonts w:cstheme="minorHAnsi"/>
          <w:color w:val="000000" w:themeColor="text1"/>
          <w:lang w:val="en-GB"/>
        </w:rPr>
      </w:pPr>
      <w:r w:rsidRPr="009667D6">
        <w:rPr>
          <w:rFonts w:cstheme="minorHAnsi"/>
          <w:color w:val="000000" w:themeColor="text1"/>
          <w:lang w:val="en-GB"/>
        </w:rPr>
        <w:t xml:space="preserve">any reference to legislation, regulations, directive, order, instrument, code or any other enactment shall include any modification, extension or re-enactment of it then in force. </w:t>
      </w:r>
    </w:p>
    <w:p w14:paraId="03BD8C8D" w14:textId="77777777" w:rsidR="00C46743" w:rsidRPr="00370ACD" w:rsidRDefault="00C46743" w:rsidP="00730769">
      <w:pPr>
        <w:pStyle w:val="headline1"/>
        <w:rPr>
          <w:rFonts w:asciiTheme="minorHAnsi" w:hAnsiTheme="minorHAnsi" w:cstheme="minorHAnsi"/>
        </w:rPr>
      </w:pPr>
      <w:bookmarkStart w:id="14" w:name="_Toc456339232"/>
      <w:bookmarkStart w:id="15" w:name="_Toc505249296"/>
      <w:bookmarkStart w:id="16" w:name="_Toc505855487"/>
      <w:r w:rsidRPr="00370ACD">
        <w:rPr>
          <w:rFonts w:asciiTheme="minorHAnsi" w:hAnsiTheme="minorHAnsi" w:cstheme="minorHAnsi"/>
        </w:rPr>
        <w:t xml:space="preserve">Article </w:t>
      </w:r>
      <w:r w:rsidR="00A138E8" w:rsidRPr="00370ACD">
        <w:rPr>
          <w:rFonts w:asciiTheme="minorHAnsi" w:hAnsiTheme="minorHAnsi" w:cstheme="minorHAnsi"/>
        </w:rPr>
        <w:t xml:space="preserve">3 </w:t>
      </w:r>
      <w:r w:rsidRPr="00370ACD">
        <w:rPr>
          <w:rFonts w:asciiTheme="minorHAnsi" w:hAnsiTheme="minorHAnsi" w:cstheme="minorHAnsi"/>
        </w:rPr>
        <w:t>-</w:t>
      </w:r>
      <w:bookmarkEnd w:id="14"/>
      <w:r w:rsidRPr="00370ACD">
        <w:rPr>
          <w:rFonts w:asciiTheme="minorHAnsi" w:hAnsiTheme="minorHAnsi" w:cstheme="minorHAnsi"/>
        </w:rPr>
        <w:t xml:space="preserve"> </w:t>
      </w:r>
      <w:bookmarkStart w:id="17" w:name="_Toc453271823"/>
      <w:bookmarkStart w:id="18" w:name="_Toc456339233"/>
      <w:r w:rsidRPr="00370ACD">
        <w:rPr>
          <w:rFonts w:asciiTheme="minorHAnsi" w:hAnsiTheme="minorHAnsi" w:cstheme="minorHAnsi"/>
        </w:rPr>
        <w:t xml:space="preserve">List of </w:t>
      </w:r>
      <w:r w:rsidR="00A138E8" w:rsidRPr="00370ACD">
        <w:rPr>
          <w:rFonts w:asciiTheme="minorHAnsi" w:hAnsiTheme="minorHAnsi" w:cstheme="minorHAnsi"/>
        </w:rPr>
        <w:t xml:space="preserve">Information Required </w:t>
      </w:r>
      <w:r w:rsidRPr="00370ACD">
        <w:rPr>
          <w:rFonts w:asciiTheme="minorHAnsi" w:hAnsiTheme="minorHAnsi" w:cstheme="minorHAnsi"/>
        </w:rPr>
        <w:t xml:space="preserve">from </w:t>
      </w:r>
      <w:r w:rsidR="00A138E8" w:rsidRPr="00370ACD">
        <w:rPr>
          <w:rFonts w:asciiTheme="minorHAnsi" w:hAnsiTheme="minorHAnsi" w:cstheme="minorHAnsi"/>
        </w:rPr>
        <w:t xml:space="preserve">Relevant </w:t>
      </w:r>
      <w:r w:rsidR="00BF73FE">
        <w:rPr>
          <w:rFonts w:asciiTheme="minorHAnsi" w:hAnsiTheme="minorHAnsi" w:cstheme="minorHAnsi"/>
        </w:rPr>
        <w:t>NEMO</w:t>
      </w:r>
      <w:r w:rsidRPr="00370ACD">
        <w:rPr>
          <w:rFonts w:asciiTheme="minorHAnsi" w:hAnsiTheme="minorHAnsi" w:cstheme="minorHAnsi"/>
        </w:rPr>
        <w:t>s</w:t>
      </w:r>
      <w:bookmarkEnd w:id="17"/>
      <w:bookmarkEnd w:id="18"/>
      <w:bookmarkEnd w:id="15"/>
      <w:bookmarkEnd w:id="16"/>
    </w:p>
    <w:p w14:paraId="19C5AB4E" w14:textId="77777777" w:rsidR="0025508C" w:rsidRPr="00DD786F" w:rsidRDefault="004F4146" w:rsidP="004F4146">
      <w:pPr>
        <w:pStyle w:val="ListParagraph"/>
        <w:numPr>
          <w:ilvl w:val="0"/>
          <w:numId w:val="31"/>
        </w:numPr>
        <w:spacing w:before="100" w:beforeAutospacing="1" w:after="100" w:afterAutospacing="1" w:line="276" w:lineRule="auto"/>
        <w:rPr>
          <w:rFonts w:cstheme="minorHAnsi"/>
          <w:color w:val="000000" w:themeColor="text1"/>
          <w:lang w:val="en-GB"/>
        </w:rPr>
      </w:pPr>
      <w:bookmarkStart w:id="19" w:name="_Toc453271824"/>
      <w:r w:rsidRPr="00DD786F">
        <w:rPr>
          <w:rFonts w:cstheme="minorHAnsi"/>
          <w:color w:val="000000" w:themeColor="text1"/>
          <w:lang w:val="en-GB"/>
        </w:rPr>
        <w:t xml:space="preserve">All NEMOs shall provide the following information, resulting from the single intraday market coupling algorithm to all TSOs, for each market time unit, in order to perform the </w:t>
      </w:r>
      <w:r w:rsidRPr="00DD786F">
        <w:rPr>
          <w:rFonts w:cstheme="minorHAnsi"/>
          <w:lang w:val="en-GB"/>
        </w:rPr>
        <w:t>ID Scheduled Exchanges Calculation</w:t>
      </w:r>
      <w:r w:rsidRPr="00DD786F">
        <w:rPr>
          <w:rFonts w:cstheme="minorHAnsi"/>
          <w:color w:val="000000" w:themeColor="text1"/>
          <w:lang w:val="en-GB"/>
        </w:rPr>
        <w:t>:</w:t>
      </w:r>
      <w:bookmarkEnd w:id="19"/>
    </w:p>
    <w:p w14:paraId="4F499E03" w14:textId="2FD78D48" w:rsidR="00FC5AA8" w:rsidRDefault="0025508C" w:rsidP="00F66A58">
      <w:pPr>
        <w:pStyle w:val="ListParagraph"/>
        <w:numPr>
          <w:ilvl w:val="0"/>
          <w:numId w:val="8"/>
        </w:numPr>
        <w:spacing w:before="100" w:beforeAutospacing="1" w:after="100" w:afterAutospacing="1" w:line="276" w:lineRule="auto"/>
        <w:rPr>
          <w:rFonts w:cstheme="minorHAnsi"/>
          <w:color w:val="000000" w:themeColor="text1"/>
          <w:lang w:val="en-US"/>
        </w:rPr>
      </w:pPr>
      <w:r>
        <w:rPr>
          <w:rFonts w:cstheme="minorHAnsi"/>
          <w:color w:val="000000" w:themeColor="text1"/>
          <w:lang w:val="en-US"/>
        </w:rPr>
        <w:t>Allocated capacitities in the form of Scheduled Flows between bidding zones</w:t>
      </w:r>
      <w:r w:rsidR="00FC5AA8">
        <w:rPr>
          <w:rFonts w:cstheme="minorHAnsi"/>
          <w:color w:val="000000" w:themeColor="text1"/>
          <w:lang w:val="en-US"/>
        </w:rPr>
        <w:t>;</w:t>
      </w:r>
      <w:r w:rsidR="005630D5">
        <w:rPr>
          <w:rFonts w:cstheme="minorHAnsi"/>
          <w:color w:val="000000" w:themeColor="text1"/>
          <w:lang w:val="en-US"/>
        </w:rPr>
        <w:t xml:space="preserve"> and</w:t>
      </w:r>
    </w:p>
    <w:p w14:paraId="7B53E10A" w14:textId="3E035DF8" w:rsidR="00AC67DF" w:rsidRDefault="00AC67DF" w:rsidP="00F66A58">
      <w:pPr>
        <w:pStyle w:val="ListParagraph"/>
        <w:numPr>
          <w:ilvl w:val="0"/>
          <w:numId w:val="8"/>
        </w:numPr>
        <w:spacing w:before="100" w:beforeAutospacing="1" w:after="100" w:afterAutospacing="1" w:line="276" w:lineRule="auto"/>
        <w:rPr>
          <w:rFonts w:cstheme="minorHAnsi"/>
          <w:color w:val="000000" w:themeColor="text1"/>
          <w:lang w:val="en-US"/>
        </w:rPr>
      </w:pPr>
      <w:r>
        <w:rPr>
          <w:rFonts w:cstheme="minorHAnsi"/>
          <w:color w:val="000000" w:themeColor="text1"/>
          <w:lang w:val="en-US"/>
        </w:rPr>
        <w:t>Allocated capacitities in the form of Scheduled Flows between scheduling areas</w:t>
      </w:r>
    </w:p>
    <w:p w14:paraId="0F750345" w14:textId="2B43FED8" w:rsidR="002161A7" w:rsidRPr="007665ED" w:rsidRDefault="00EF7EA0" w:rsidP="007665ED">
      <w:pPr>
        <w:pStyle w:val="headline1"/>
        <w:rPr>
          <w:rFonts w:asciiTheme="minorHAnsi" w:hAnsiTheme="minorHAnsi" w:cstheme="minorHAnsi"/>
        </w:rPr>
      </w:pPr>
      <w:bookmarkStart w:id="20" w:name="_Toc505249297"/>
      <w:bookmarkStart w:id="21" w:name="_Toc505855488"/>
      <w:bookmarkStart w:id="22" w:name="_Toc432586772"/>
      <w:bookmarkStart w:id="23" w:name="_Toc432586792"/>
      <w:r w:rsidRPr="006A774E">
        <w:rPr>
          <w:rFonts w:asciiTheme="minorHAnsi" w:hAnsiTheme="minorHAnsi" w:cstheme="minorHAnsi"/>
        </w:rPr>
        <w:t xml:space="preserve">Article </w:t>
      </w:r>
      <w:r w:rsidR="00391071">
        <w:rPr>
          <w:rFonts w:asciiTheme="minorHAnsi" w:hAnsiTheme="minorHAnsi" w:cstheme="minorHAnsi"/>
        </w:rPr>
        <w:t xml:space="preserve">4 </w:t>
      </w:r>
      <w:r w:rsidR="00E30DB8">
        <w:rPr>
          <w:rFonts w:asciiTheme="minorHAnsi" w:hAnsiTheme="minorHAnsi" w:cstheme="minorHAnsi"/>
        </w:rPr>
        <w:t>-</w:t>
      </w:r>
      <w:r w:rsidRPr="006A774E">
        <w:rPr>
          <w:rFonts w:asciiTheme="minorHAnsi" w:hAnsiTheme="minorHAnsi" w:cstheme="minorHAnsi"/>
        </w:rPr>
        <w:t xml:space="preserve"> Calculation of </w:t>
      </w:r>
      <w:r w:rsidR="00D81E7B">
        <w:rPr>
          <w:rFonts w:asciiTheme="minorHAnsi" w:hAnsiTheme="minorHAnsi" w:cstheme="minorHAnsi"/>
        </w:rPr>
        <w:t>Scheduled Exchanges</w:t>
      </w:r>
      <w:r w:rsidR="00D56846">
        <w:rPr>
          <w:rFonts w:asciiTheme="minorHAnsi" w:hAnsiTheme="minorHAnsi" w:cstheme="minorHAnsi"/>
        </w:rPr>
        <w:t xml:space="preserve"> between bidding zones and scheduling areas</w:t>
      </w:r>
      <w:bookmarkEnd w:id="20"/>
      <w:bookmarkEnd w:id="21"/>
    </w:p>
    <w:p w14:paraId="170B2D75" w14:textId="02886841" w:rsidR="0025508C" w:rsidRDefault="001A76C5" w:rsidP="00F66A58">
      <w:pPr>
        <w:pStyle w:val="ListParagraph"/>
        <w:numPr>
          <w:ilvl w:val="0"/>
          <w:numId w:val="17"/>
        </w:numPr>
        <w:spacing w:before="100" w:beforeAutospacing="1" w:after="100" w:afterAutospacing="1" w:line="276" w:lineRule="auto"/>
        <w:rPr>
          <w:rFonts w:cstheme="minorHAnsi"/>
          <w:iCs/>
          <w:color w:val="000000" w:themeColor="text1"/>
          <w:lang w:val="en-US"/>
        </w:rPr>
      </w:pPr>
      <w:r w:rsidRPr="001A76C5">
        <w:rPr>
          <w:rFonts w:cstheme="minorHAnsi"/>
          <w:color w:val="000000" w:themeColor="text1"/>
          <w:lang w:val="en-US"/>
        </w:rPr>
        <w:t>The</w:t>
      </w:r>
      <w:bookmarkEnd w:id="22"/>
      <w:bookmarkEnd w:id="23"/>
      <w:r w:rsidR="001E4F1D" w:rsidRPr="001A76C5">
        <w:rPr>
          <w:rFonts w:cstheme="minorHAnsi"/>
          <w:iCs/>
          <w:color w:val="000000" w:themeColor="text1"/>
          <w:lang w:val="en-US"/>
        </w:rPr>
        <w:t xml:space="preserve"> </w:t>
      </w:r>
      <w:r w:rsidR="00394C59" w:rsidRPr="001A76C5">
        <w:rPr>
          <w:rFonts w:cstheme="minorHAnsi"/>
          <w:iCs/>
          <w:color w:val="000000" w:themeColor="text1"/>
          <w:lang w:val="en-US"/>
        </w:rPr>
        <w:t>Scheduled Flow</w:t>
      </w:r>
      <w:r w:rsidR="00F4452E" w:rsidRPr="001A76C5">
        <w:rPr>
          <w:rFonts w:cstheme="minorHAnsi"/>
          <w:iCs/>
          <w:color w:val="000000" w:themeColor="text1"/>
          <w:lang w:val="en-US"/>
        </w:rPr>
        <w:t xml:space="preserve">s </w:t>
      </w:r>
      <w:r>
        <w:rPr>
          <w:rFonts w:cstheme="minorHAnsi"/>
          <w:iCs/>
          <w:color w:val="000000" w:themeColor="text1"/>
          <w:lang w:val="en-US"/>
        </w:rPr>
        <w:t xml:space="preserve">shall be </w:t>
      </w:r>
      <w:r w:rsidR="00F4452E" w:rsidRPr="001A76C5">
        <w:rPr>
          <w:rFonts w:cstheme="minorHAnsi"/>
          <w:iCs/>
          <w:color w:val="000000" w:themeColor="text1"/>
          <w:lang w:val="en-US"/>
        </w:rPr>
        <w:t>calculated by the intra-day coupling algorithm</w:t>
      </w:r>
      <w:r w:rsidR="0025508C">
        <w:rPr>
          <w:rFonts w:cstheme="minorHAnsi"/>
          <w:iCs/>
          <w:color w:val="000000" w:themeColor="text1"/>
          <w:lang w:val="en-US"/>
        </w:rPr>
        <w:t xml:space="preserve"> from allocated capacities between bidding zones</w:t>
      </w:r>
      <w:r w:rsidR="002B032F">
        <w:rPr>
          <w:rFonts w:cstheme="minorHAnsi"/>
          <w:iCs/>
          <w:color w:val="000000" w:themeColor="text1"/>
          <w:lang w:val="en-US"/>
        </w:rPr>
        <w:t xml:space="preserve"> and </w:t>
      </w:r>
      <w:r w:rsidR="0025508C">
        <w:rPr>
          <w:rFonts w:cstheme="minorHAnsi"/>
          <w:iCs/>
          <w:color w:val="000000" w:themeColor="text1"/>
          <w:lang w:val="en-US"/>
        </w:rPr>
        <w:t>scheduling areas.</w:t>
      </w:r>
    </w:p>
    <w:p w14:paraId="22DBAE9B" w14:textId="77777777" w:rsidR="0025508C" w:rsidRDefault="0025508C" w:rsidP="0025508C">
      <w:pPr>
        <w:pStyle w:val="ListParagraph"/>
        <w:spacing w:before="100" w:beforeAutospacing="1" w:after="100" w:afterAutospacing="1" w:line="276" w:lineRule="auto"/>
        <w:ind w:left="360"/>
        <w:rPr>
          <w:rFonts w:cstheme="minorHAnsi"/>
          <w:iCs/>
          <w:color w:val="000000" w:themeColor="text1"/>
          <w:lang w:val="en-US"/>
        </w:rPr>
      </w:pPr>
    </w:p>
    <w:p w14:paraId="60C646A0" w14:textId="0B319E65" w:rsidR="0025508C" w:rsidRDefault="0025508C" w:rsidP="0025508C">
      <w:pPr>
        <w:pStyle w:val="ListParagraph"/>
        <w:numPr>
          <w:ilvl w:val="0"/>
          <w:numId w:val="17"/>
        </w:numPr>
        <w:rPr>
          <w:rFonts w:cstheme="minorHAnsi"/>
          <w:iCs/>
          <w:color w:val="000000" w:themeColor="text1"/>
          <w:lang w:val="en-US"/>
        </w:rPr>
      </w:pPr>
      <w:r w:rsidRPr="0025508C">
        <w:rPr>
          <w:rFonts w:cstheme="minorHAnsi"/>
          <w:iCs/>
          <w:color w:val="000000" w:themeColor="text1"/>
          <w:lang w:val="en-US"/>
        </w:rPr>
        <w:t xml:space="preserve">TSOs shall use the allocated capacities in the form of Scheduled Flows received from the relevant NEMOs as stipulated under Article 3 of this ID SEC Methodology and calculated in accordance with </w:t>
      </w:r>
      <w:r w:rsidR="00FC5AA8">
        <w:rPr>
          <w:rFonts w:cstheme="minorHAnsi"/>
          <w:iCs/>
          <w:color w:val="000000" w:themeColor="text1"/>
          <w:lang w:val="en-US"/>
        </w:rPr>
        <w:t xml:space="preserve">requirements set in </w:t>
      </w:r>
      <w:r w:rsidRPr="0025508C">
        <w:rPr>
          <w:rFonts w:cstheme="minorHAnsi"/>
          <w:iCs/>
          <w:color w:val="000000" w:themeColor="text1"/>
          <w:lang w:val="en-US"/>
        </w:rPr>
        <w:t>Article 37 of CACM Regulation</w:t>
      </w:r>
      <w:r>
        <w:rPr>
          <w:rFonts w:cstheme="minorHAnsi"/>
          <w:iCs/>
          <w:color w:val="000000" w:themeColor="text1"/>
          <w:lang w:val="en-US"/>
        </w:rPr>
        <w:t>.</w:t>
      </w:r>
      <w:r w:rsidR="00A556D4">
        <w:rPr>
          <w:rFonts w:cstheme="minorHAnsi"/>
          <w:iCs/>
          <w:color w:val="000000" w:themeColor="text1"/>
          <w:lang w:val="en-US"/>
        </w:rPr>
        <w:t xml:space="preserve"> Trades concluded in SIDC shall be aggregated for the detailed output on the required level of Scheduled Exchanges pursuant to Article 3</w:t>
      </w:r>
      <w:r w:rsidR="00D27F58" w:rsidRPr="00D27F58">
        <w:rPr>
          <w:rFonts w:cstheme="minorHAnsi"/>
          <w:iCs/>
          <w:color w:val="000000" w:themeColor="text1"/>
          <w:lang w:val="en-US"/>
        </w:rPr>
        <w:t xml:space="preserve"> </w:t>
      </w:r>
      <w:r w:rsidR="00D27F58" w:rsidRPr="0025508C">
        <w:rPr>
          <w:rFonts w:cstheme="minorHAnsi"/>
          <w:iCs/>
          <w:color w:val="000000" w:themeColor="text1"/>
          <w:lang w:val="en-US"/>
        </w:rPr>
        <w:t>of this ID SEC Methodology</w:t>
      </w:r>
      <w:r w:rsidR="00A556D4">
        <w:rPr>
          <w:rFonts w:cstheme="minorHAnsi"/>
          <w:iCs/>
          <w:color w:val="000000" w:themeColor="text1"/>
          <w:lang w:val="en-US"/>
        </w:rPr>
        <w:t>, i.e. Scheduled Flows between bidding zones</w:t>
      </w:r>
      <w:r w:rsidR="002B032F">
        <w:rPr>
          <w:rFonts w:cstheme="minorHAnsi"/>
          <w:iCs/>
          <w:color w:val="000000" w:themeColor="text1"/>
          <w:lang w:val="en-US"/>
        </w:rPr>
        <w:t xml:space="preserve"> and </w:t>
      </w:r>
      <w:r w:rsidR="00A556D4">
        <w:rPr>
          <w:rFonts w:cstheme="minorHAnsi"/>
          <w:iCs/>
          <w:color w:val="000000" w:themeColor="text1"/>
          <w:lang w:val="en-US"/>
        </w:rPr>
        <w:t>between scheduling areas.</w:t>
      </w:r>
    </w:p>
    <w:p w14:paraId="31904B8E" w14:textId="77777777" w:rsidR="0025508C" w:rsidRPr="0025508C" w:rsidRDefault="0025508C" w:rsidP="0025508C">
      <w:pPr>
        <w:pStyle w:val="ListParagraph"/>
        <w:rPr>
          <w:rFonts w:cstheme="minorHAnsi"/>
          <w:iCs/>
          <w:color w:val="000000" w:themeColor="text1"/>
          <w:lang w:val="en-US"/>
        </w:rPr>
      </w:pPr>
    </w:p>
    <w:p w14:paraId="07AF61DA" w14:textId="77777777" w:rsidR="00391071" w:rsidRDefault="0025508C" w:rsidP="001E3E0B">
      <w:pPr>
        <w:pStyle w:val="ListParagraph"/>
        <w:numPr>
          <w:ilvl w:val="0"/>
          <w:numId w:val="17"/>
        </w:numPr>
        <w:rPr>
          <w:rFonts w:cstheme="minorHAnsi"/>
          <w:iCs/>
          <w:color w:val="000000" w:themeColor="text1"/>
          <w:lang w:val="en-US"/>
        </w:rPr>
      </w:pPr>
      <w:r w:rsidRPr="00A556D4">
        <w:rPr>
          <w:rFonts w:cstheme="minorHAnsi"/>
          <w:iCs/>
          <w:color w:val="000000" w:themeColor="text1"/>
          <w:lang w:val="en-US"/>
        </w:rPr>
        <w:t xml:space="preserve">These </w:t>
      </w:r>
      <w:r w:rsidR="00D56846" w:rsidRPr="00A556D4">
        <w:rPr>
          <w:rFonts w:cstheme="minorHAnsi"/>
          <w:iCs/>
          <w:color w:val="000000" w:themeColor="text1"/>
          <w:lang w:val="en-US"/>
        </w:rPr>
        <w:t>Scheduled Flows</w:t>
      </w:r>
      <w:r w:rsidRPr="00A556D4">
        <w:rPr>
          <w:rFonts w:cstheme="minorHAnsi"/>
          <w:iCs/>
          <w:color w:val="000000" w:themeColor="text1"/>
          <w:lang w:val="en-US"/>
        </w:rPr>
        <w:t xml:space="preserve"> </w:t>
      </w:r>
      <w:r w:rsidR="00FC5AA8">
        <w:rPr>
          <w:rFonts w:cstheme="minorHAnsi"/>
          <w:iCs/>
          <w:color w:val="000000" w:themeColor="text1"/>
          <w:lang w:val="en-US"/>
        </w:rPr>
        <w:t>shall be</w:t>
      </w:r>
      <w:r w:rsidR="00FC5AA8" w:rsidRPr="00A556D4">
        <w:rPr>
          <w:rFonts w:cstheme="minorHAnsi"/>
          <w:iCs/>
          <w:color w:val="000000" w:themeColor="text1"/>
          <w:lang w:val="en-US"/>
        </w:rPr>
        <w:t xml:space="preserve"> </w:t>
      </w:r>
      <w:r w:rsidRPr="00A556D4">
        <w:rPr>
          <w:rFonts w:cstheme="minorHAnsi"/>
          <w:iCs/>
          <w:color w:val="000000" w:themeColor="text1"/>
          <w:lang w:val="en-US"/>
        </w:rPr>
        <w:t xml:space="preserve">validated by TSOs and used as the Scheduled Exchanges resulting from the SIDC for that market time unit. </w:t>
      </w:r>
    </w:p>
    <w:p w14:paraId="5C353D23" w14:textId="4B0E780D" w:rsidR="003832F2" w:rsidRPr="00806505" w:rsidRDefault="00455A91" w:rsidP="00E9286A">
      <w:pPr>
        <w:pStyle w:val="headline1"/>
        <w:rPr>
          <w:rFonts w:asciiTheme="minorHAnsi" w:hAnsiTheme="minorHAnsi" w:cstheme="minorHAnsi"/>
        </w:rPr>
      </w:pPr>
      <w:bookmarkStart w:id="24" w:name="_Toc422337372"/>
      <w:bookmarkStart w:id="25" w:name="_Toc422742328"/>
      <w:bookmarkStart w:id="26" w:name="_Toc422749331"/>
      <w:bookmarkStart w:id="27" w:name="_Toc426468206"/>
      <w:bookmarkStart w:id="28" w:name="_Toc432586785"/>
      <w:bookmarkStart w:id="29" w:name="_Toc432586805"/>
      <w:bookmarkStart w:id="30" w:name="_Toc505249298"/>
      <w:bookmarkStart w:id="31" w:name="_Toc505855489"/>
      <w:bookmarkStart w:id="32" w:name="_Toc413748339"/>
      <w:r w:rsidRPr="00806505">
        <w:rPr>
          <w:rFonts w:asciiTheme="minorHAnsi" w:hAnsiTheme="minorHAnsi" w:cstheme="minorHAnsi"/>
        </w:rPr>
        <w:t xml:space="preserve">Article </w:t>
      </w:r>
      <w:bookmarkEnd w:id="24"/>
      <w:bookmarkEnd w:id="25"/>
      <w:bookmarkEnd w:id="26"/>
      <w:bookmarkEnd w:id="27"/>
      <w:bookmarkEnd w:id="28"/>
      <w:bookmarkEnd w:id="29"/>
      <w:r w:rsidR="002B032F">
        <w:rPr>
          <w:rFonts w:asciiTheme="minorHAnsi" w:hAnsiTheme="minorHAnsi" w:cstheme="minorHAnsi"/>
        </w:rPr>
        <w:t>5</w:t>
      </w:r>
      <w:r w:rsidR="002B032F" w:rsidRPr="00806505">
        <w:rPr>
          <w:rFonts w:asciiTheme="minorHAnsi" w:hAnsiTheme="minorHAnsi" w:cstheme="minorHAnsi"/>
        </w:rPr>
        <w:t xml:space="preserve"> </w:t>
      </w:r>
      <w:r w:rsidR="00C46743" w:rsidRPr="00806505">
        <w:rPr>
          <w:rFonts w:asciiTheme="minorHAnsi" w:hAnsiTheme="minorHAnsi" w:cstheme="minorHAnsi"/>
        </w:rPr>
        <w:t xml:space="preserve">- </w:t>
      </w:r>
      <w:r w:rsidR="00213225">
        <w:rPr>
          <w:rFonts w:asciiTheme="minorHAnsi" w:hAnsiTheme="minorHAnsi" w:cstheme="minorHAnsi"/>
        </w:rPr>
        <w:t>I</w:t>
      </w:r>
      <w:r w:rsidR="009221D1" w:rsidRPr="00A842D3">
        <w:rPr>
          <w:rFonts w:asciiTheme="minorHAnsi" w:hAnsiTheme="minorHAnsi" w:cstheme="minorHAnsi"/>
        </w:rPr>
        <w:t>mplementation of the</w:t>
      </w:r>
      <w:r w:rsidR="009221D1">
        <w:rPr>
          <w:rFonts w:asciiTheme="minorHAnsi" w:hAnsiTheme="minorHAnsi" w:cstheme="minorHAnsi"/>
        </w:rPr>
        <w:t xml:space="preserve"> </w:t>
      </w:r>
      <w:r w:rsidR="009221D1" w:rsidRPr="00C6479D">
        <w:rPr>
          <w:rFonts w:asciiTheme="minorHAnsi" w:hAnsiTheme="minorHAnsi" w:cstheme="minorHAnsi"/>
        </w:rPr>
        <w:t xml:space="preserve">ID </w:t>
      </w:r>
      <w:r w:rsidR="00F7731E" w:rsidRPr="00C6479D">
        <w:rPr>
          <w:rFonts w:asciiTheme="minorHAnsi" w:hAnsiTheme="minorHAnsi" w:cstheme="minorHAnsi"/>
        </w:rPr>
        <w:t>SEC</w:t>
      </w:r>
      <w:r w:rsidR="009221D1" w:rsidRPr="00C6479D">
        <w:rPr>
          <w:rFonts w:asciiTheme="minorHAnsi" w:hAnsiTheme="minorHAnsi" w:cstheme="minorHAnsi"/>
        </w:rPr>
        <w:t xml:space="preserve"> </w:t>
      </w:r>
      <w:r w:rsidR="009221D1" w:rsidRPr="00A842D3">
        <w:rPr>
          <w:rFonts w:asciiTheme="minorHAnsi" w:hAnsiTheme="minorHAnsi" w:cstheme="minorHAnsi"/>
        </w:rPr>
        <w:t>Proposal</w:t>
      </w:r>
      <w:bookmarkEnd w:id="30"/>
      <w:bookmarkEnd w:id="31"/>
    </w:p>
    <w:p w14:paraId="017745E7" w14:textId="77777777" w:rsidR="00FC5AA8" w:rsidRDefault="00FC5AA8" w:rsidP="000445E6">
      <w:pPr>
        <w:pStyle w:val="ListParagraph"/>
        <w:spacing w:after="0" w:line="276" w:lineRule="auto"/>
        <w:ind w:left="0"/>
        <w:rPr>
          <w:rFonts w:cs="Arial"/>
          <w:lang w:val="en-US"/>
        </w:rPr>
      </w:pPr>
    </w:p>
    <w:p w14:paraId="57C16EC1" w14:textId="77777777" w:rsidR="004F4146" w:rsidRPr="004F4146" w:rsidRDefault="004F4146" w:rsidP="004F4146">
      <w:pPr>
        <w:pStyle w:val="ListParagraph"/>
        <w:numPr>
          <w:ilvl w:val="0"/>
          <w:numId w:val="29"/>
        </w:numPr>
        <w:spacing w:before="100" w:beforeAutospacing="1" w:after="100" w:afterAutospacing="1" w:line="276" w:lineRule="auto"/>
        <w:rPr>
          <w:rFonts w:cstheme="minorHAnsi"/>
          <w:iCs/>
          <w:color w:val="000000" w:themeColor="text1"/>
          <w:lang w:val="en-US"/>
        </w:rPr>
      </w:pPr>
      <w:r w:rsidRPr="0096441E">
        <w:rPr>
          <w:rFonts w:cs="Arial"/>
          <w:lang w:val="en-US"/>
        </w:rPr>
        <w:t xml:space="preserve">The TSOs shall implement the </w:t>
      </w:r>
      <w:r w:rsidRPr="0096441E">
        <w:rPr>
          <w:rFonts w:cstheme="minorHAnsi"/>
          <w:color w:val="000000" w:themeColor="text1"/>
          <w:lang w:val="en-US"/>
        </w:rPr>
        <w:t xml:space="preserve">ID </w:t>
      </w:r>
      <w:r>
        <w:rPr>
          <w:rFonts w:cstheme="minorHAnsi"/>
          <w:color w:val="000000" w:themeColor="text1"/>
          <w:lang w:val="en-US"/>
        </w:rPr>
        <w:t>SEC</w:t>
      </w:r>
      <w:r w:rsidRPr="0096441E">
        <w:rPr>
          <w:rFonts w:cstheme="minorHAnsi"/>
          <w:color w:val="000000" w:themeColor="text1"/>
          <w:lang w:val="en-US"/>
        </w:rPr>
        <w:t xml:space="preserve"> Proposal when </w:t>
      </w:r>
      <w:r w:rsidRPr="0096441E">
        <w:rPr>
          <w:rFonts w:cs="Arial"/>
          <w:lang w:val="en-US"/>
        </w:rPr>
        <w:t xml:space="preserve">the intra-day market coupling operator function developed in accordance with Article 7(3) of the CACM Regulation and, where relevant, arrangements concerning more than one NEMO in accordance with Article </w:t>
      </w:r>
      <w:r>
        <w:rPr>
          <w:rFonts w:cs="Arial"/>
          <w:lang w:val="en-US"/>
        </w:rPr>
        <w:t>57</w:t>
      </w:r>
      <w:r w:rsidRPr="0096441E">
        <w:rPr>
          <w:rFonts w:cs="Arial"/>
          <w:lang w:val="en-US"/>
        </w:rPr>
        <w:t xml:space="preserve"> of the CACM regulation are implemented on </w:t>
      </w:r>
      <w:r>
        <w:rPr>
          <w:rFonts w:cs="Arial"/>
          <w:lang w:val="en-US"/>
        </w:rPr>
        <w:t>each</w:t>
      </w:r>
      <w:r w:rsidRPr="0096441E">
        <w:rPr>
          <w:rFonts w:cs="Arial"/>
          <w:lang w:val="en-US"/>
        </w:rPr>
        <w:t xml:space="preserve"> </w:t>
      </w:r>
      <w:r>
        <w:rPr>
          <w:rFonts w:cs="Arial"/>
          <w:lang w:val="en-US"/>
        </w:rPr>
        <w:t>b</w:t>
      </w:r>
      <w:r w:rsidRPr="0096441E">
        <w:rPr>
          <w:rFonts w:cs="Arial"/>
          <w:lang w:val="en-US"/>
        </w:rPr>
        <w:t xml:space="preserve">idding </w:t>
      </w:r>
      <w:r>
        <w:rPr>
          <w:rFonts w:cs="Arial"/>
          <w:lang w:val="en-US"/>
        </w:rPr>
        <w:t>z</w:t>
      </w:r>
      <w:r w:rsidRPr="0096441E">
        <w:rPr>
          <w:rFonts w:cs="Arial"/>
          <w:lang w:val="en-US"/>
        </w:rPr>
        <w:t>one and its borders</w:t>
      </w:r>
    </w:p>
    <w:p w14:paraId="32C2D907" w14:textId="3240D3C5" w:rsidR="00B90FA6" w:rsidRPr="00370ACD" w:rsidRDefault="00442D45" w:rsidP="00E9286A">
      <w:pPr>
        <w:pStyle w:val="headline1"/>
        <w:rPr>
          <w:rFonts w:asciiTheme="minorHAnsi" w:hAnsiTheme="minorHAnsi" w:cstheme="minorHAnsi"/>
        </w:rPr>
      </w:pPr>
      <w:bookmarkStart w:id="33" w:name="_Toc432586786"/>
      <w:bookmarkStart w:id="34" w:name="_Toc432586806"/>
      <w:bookmarkStart w:id="35" w:name="_Toc505249299"/>
      <w:bookmarkStart w:id="36" w:name="_Toc505855490"/>
      <w:r w:rsidRPr="00370ACD">
        <w:rPr>
          <w:rFonts w:asciiTheme="minorHAnsi" w:hAnsiTheme="minorHAnsi" w:cstheme="minorHAnsi"/>
        </w:rPr>
        <w:t xml:space="preserve">Article </w:t>
      </w:r>
      <w:r w:rsidR="002B032F">
        <w:rPr>
          <w:rFonts w:asciiTheme="minorHAnsi" w:hAnsiTheme="minorHAnsi" w:cstheme="minorHAnsi"/>
        </w:rPr>
        <w:t>6</w:t>
      </w:r>
      <w:r w:rsidR="002B032F" w:rsidRPr="00370ACD">
        <w:rPr>
          <w:rFonts w:asciiTheme="minorHAnsi" w:hAnsiTheme="minorHAnsi" w:cstheme="minorHAnsi"/>
        </w:rPr>
        <w:t xml:space="preserve"> </w:t>
      </w:r>
      <w:r w:rsidR="00C46743" w:rsidRPr="00370ACD">
        <w:rPr>
          <w:rFonts w:asciiTheme="minorHAnsi" w:hAnsiTheme="minorHAnsi" w:cstheme="minorHAnsi"/>
        </w:rPr>
        <w:t xml:space="preserve">- </w:t>
      </w:r>
      <w:r w:rsidRPr="00370ACD">
        <w:rPr>
          <w:rFonts w:asciiTheme="minorHAnsi" w:hAnsiTheme="minorHAnsi" w:cstheme="minorHAnsi"/>
        </w:rPr>
        <w:t>Language</w:t>
      </w:r>
      <w:bookmarkEnd w:id="33"/>
      <w:bookmarkEnd w:id="34"/>
      <w:bookmarkEnd w:id="35"/>
      <w:bookmarkEnd w:id="36"/>
    </w:p>
    <w:p w14:paraId="780CAA98" w14:textId="77777777" w:rsidR="004F4146" w:rsidRDefault="004F4146" w:rsidP="004F4146">
      <w:pPr>
        <w:pStyle w:val="ListParagraph"/>
        <w:spacing w:after="0" w:line="276" w:lineRule="auto"/>
        <w:ind w:left="0"/>
        <w:rPr>
          <w:rFonts w:cs="Arial"/>
          <w:lang w:val="en-US"/>
        </w:rPr>
      </w:pPr>
    </w:p>
    <w:p w14:paraId="18F98D3F" w14:textId="50438E1A" w:rsidR="004F4146" w:rsidRPr="004F4146" w:rsidRDefault="004F4146" w:rsidP="004F4146">
      <w:pPr>
        <w:pStyle w:val="ListParagraph"/>
        <w:numPr>
          <w:ilvl w:val="0"/>
          <w:numId w:val="30"/>
        </w:numPr>
        <w:spacing w:before="100" w:beforeAutospacing="1" w:after="100" w:afterAutospacing="1" w:line="276" w:lineRule="auto"/>
        <w:rPr>
          <w:rFonts w:cstheme="minorHAnsi"/>
          <w:iCs/>
          <w:color w:val="000000" w:themeColor="text1"/>
          <w:lang w:val="en-US"/>
        </w:rPr>
      </w:pPr>
      <w:r w:rsidRPr="00DD786F">
        <w:rPr>
          <w:rFonts w:cstheme="minorHAnsi"/>
          <w:color w:val="000000" w:themeColor="text1"/>
          <w:lang w:val="en-GB"/>
        </w:rPr>
        <w:t>The reference language for this ID SEC Proposal shall be English. For the avoidance of doubt, where TSOs need to translate this ID SEC Proposal into their national language(s), in the event of inconsistencies between the English version published by TSOs in accordance with Artic</w:t>
      </w:r>
      <w:r w:rsidR="00E30DB8">
        <w:rPr>
          <w:rFonts w:cstheme="minorHAnsi"/>
          <w:color w:val="000000" w:themeColor="text1"/>
          <w:lang w:val="en-GB"/>
        </w:rPr>
        <w:t>le 9(14) of the CACM Regulation</w:t>
      </w:r>
      <w:r w:rsidRPr="00DD786F">
        <w:rPr>
          <w:rFonts w:cstheme="minorHAnsi"/>
          <w:color w:val="000000" w:themeColor="text1"/>
          <w:lang w:val="en-GB"/>
        </w:rPr>
        <w:t xml:space="preserve"> and any version in another language, the relevant TSOs shall be obliged to dispel any inconsistencies by providing a revised translation of this ID SEC Proposal to their relevant national regulatory authorities.</w:t>
      </w:r>
      <w:bookmarkEnd w:id="1"/>
      <w:bookmarkEnd w:id="32"/>
    </w:p>
    <w:sectPr w:rsidR="004F4146" w:rsidRPr="004F4146" w:rsidSect="008E6BAB">
      <w:headerReference w:type="default" r:id="rId11"/>
      <w:footerReference w:type="default" r:id="rId12"/>
      <w:headerReference w:type="first" r:id="rId13"/>
      <w:footerReference w:type="first" r:id="rId14"/>
      <w:pgSz w:w="11906" w:h="16838"/>
      <w:pgMar w:top="1928" w:right="1021" w:bottom="1701" w:left="1361" w:header="709" w:footer="17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D7A247" w14:textId="77777777" w:rsidR="001E3E0B" w:rsidRDefault="001E3E0B" w:rsidP="00B04144">
      <w:r>
        <w:separator/>
      </w:r>
    </w:p>
  </w:endnote>
  <w:endnote w:type="continuationSeparator" w:id="0">
    <w:p w14:paraId="0AAB7B7D" w14:textId="77777777" w:rsidR="001E3E0B" w:rsidRDefault="001E3E0B" w:rsidP="00B04144">
      <w:r>
        <w:continuationSeparator/>
      </w:r>
    </w:p>
  </w:endnote>
  <w:endnote w:type="continuationNotice" w:id="1">
    <w:p w14:paraId="606BB31C" w14:textId="77777777" w:rsidR="001E3E0B" w:rsidRDefault="001E3E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42" w:rightFromText="142" w:vertAnchor="page" w:horzAnchor="page" w:tblpX="1362" w:tblpY="161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23"/>
    </w:tblGrid>
    <w:tr w:rsidR="001E3E0B" w:rsidRPr="00700B3B" w14:paraId="5419BAA7" w14:textId="77777777" w:rsidTr="003D0965">
      <w:trPr>
        <w:trHeight w:hRule="exact" w:val="284"/>
      </w:trPr>
      <w:tc>
        <w:tcPr>
          <w:tcW w:w="9923" w:type="dxa"/>
          <w:vAlign w:val="center"/>
        </w:tcPr>
        <w:p w14:paraId="66E4017B" w14:textId="77777777" w:rsidR="001E3E0B" w:rsidRPr="003D0965" w:rsidRDefault="001E3E0B" w:rsidP="00CD009F">
          <w:pPr>
            <w:pStyle w:val="Footer"/>
            <w:rPr>
              <w:rFonts w:asciiTheme="majorHAnsi" w:hAnsiTheme="majorHAnsi" w:cstheme="majorHAnsi"/>
              <w:sz w:val="14"/>
              <w:szCs w:val="14"/>
              <w:lang w:val="de-DE"/>
            </w:rPr>
          </w:pPr>
          <w:r w:rsidRPr="003D0965">
            <w:rPr>
              <w:rFonts w:asciiTheme="majorHAnsi" w:hAnsiTheme="majorHAnsi" w:cstheme="majorHAnsi"/>
              <w:sz w:val="14"/>
              <w:szCs w:val="14"/>
              <w:lang w:val="de-DE"/>
            </w:rPr>
            <w:t xml:space="preserve">ENTSO-E </w:t>
          </w:r>
          <w:r w:rsidRPr="003D0965">
            <w:rPr>
              <w:rFonts w:asciiTheme="majorHAnsi" w:hAnsiTheme="majorHAnsi" w:cstheme="majorHAnsi"/>
              <w:sz w:val="10"/>
              <w:szCs w:val="14"/>
              <w:lang w:val="de-DE"/>
            </w:rPr>
            <w:t>AISBL</w:t>
          </w:r>
          <w:r w:rsidRPr="003D0965">
            <w:rPr>
              <w:rFonts w:asciiTheme="majorHAnsi" w:hAnsiTheme="majorHAnsi" w:cstheme="majorHAnsi"/>
              <w:sz w:val="14"/>
              <w:szCs w:val="14"/>
              <w:lang w:val="de-DE"/>
            </w:rPr>
            <w:t xml:space="preserve"> • Avenue de Cortenbergh 100 • 1000 Brussels • Belgium • Tel + 32 2 741 09 50 • Fax + 32 2 741 09 51 • info@entsoe.eu • www. entsoe.eu</w:t>
          </w:r>
        </w:p>
      </w:tc>
    </w:tr>
  </w:tbl>
  <w:tbl>
    <w:tblPr>
      <w:tblStyle w:val="TableGrid"/>
      <w:tblpPr w:leftFromText="142" w:rightFromText="142" w:vertAnchor="page" w:horzAnchor="margin" w:tblpXSpec="right" w:tblpY="1570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24"/>
    </w:tblGrid>
    <w:tr w:rsidR="001E3E0B" w14:paraId="63B61640" w14:textId="77777777" w:rsidTr="006E5DF6">
      <w:trPr>
        <w:trHeight w:hRule="exact" w:val="284"/>
      </w:trPr>
      <w:tc>
        <w:tcPr>
          <w:tcW w:w="624" w:type="dxa"/>
        </w:tcPr>
        <w:p w14:paraId="7A1A72E1" w14:textId="3C9A984C" w:rsidR="001E3E0B" w:rsidRDefault="001E3E0B" w:rsidP="00B0464F">
          <w:pPr>
            <w:pStyle w:val="Footer"/>
            <w:jc w:val="right"/>
          </w:pPr>
          <w:r>
            <w:fldChar w:fldCharType="begin"/>
          </w:r>
          <w:r>
            <w:instrText xml:space="preserve"> PAGE   \* MERGEFORMAT </w:instrText>
          </w:r>
          <w:r>
            <w:fldChar w:fldCharType="separate"/>
          </w:r>
          <w:r w:rsidR="00700B3B">
            <w:rPr>
              <w:noProof/>
            </w:rPr>
            <w:t>2</w:t>
          </w:r>
          <w:r>
            <w:rPr>
              <w:noProof/>
            </w:rPr>
            <w:fldChar w:fldCharType="end"/>
          </w:r>
        </w:p>
      </w:tc>
    </w:tr>
  </w:tbl>
  <w:p w14:paraId="5B808079" w14:textId="77777777" w:rsidR="001E3E0B" w:rsidRPr="003D0965" w:rsidRDefault="001E3E0B" w:rsidP="003D0965">
    <w:pPr>
      <w:pStyle w:val="Footer"/>
    </w:pPr>
    <w:r w:rsidRPr="008C038C">
      <w:rPr>
        <w:noProof/>
        <w:lang w:val="de-AT" w:eastAsia="de-AT"/>
      </w:rPr>
      <w:drawing>
        <wp:anchor distT="0" distB="0" distL="114300" distR="114300" simplePos="0" relativeHeight="251660288" behindDoc="1" locked="1" layoutInCell="1" allowOverlap="1" wp14:anchorId="28BBAC10" wp14:editId="42C4B163">
          <wp:simplePos x="0" y="0"/>
          <wp:positionH relativeFrom="page">
            <wp:posOffset>0</wp:posOffset>
          </wp:positionH>
          <wp:positionV relativeFrom="page">
            <wp:posOffset>9725025</wp:posOffset>
          </wp:positionV>
          <wp:extent cx="7000875" cy="426085"/>
          <wp:effectExtent l="0" t="0" r="9525" b="0"/>
          <wp:wrapNone/>
          <wp:docPr id="11" name="Grafik 3" descr="Footer.wm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Footer.wmf"/>
                  <pic:cNvPicPr/>
                </pic:nvPicPr>
                <pic:blipFill>
                  <a:blip r:embed="rId1"/>
                  <a:stretch>
                    <a:fillRect/>
                  </a:stretch>
                </pic:blipFill>
                <pic:spPr>
                  <a:xfrm>
                    <a:off x="0" y="0"/>
                    <a:ext cx="7000875" cy="426085"/>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42" w:rightFromText="142" w:vertAnchor="page" w:horzAnchor="page" w:tblpX="1362" w:tblpY="161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23"/>
    </w:tblGrid>
    <w:tr w:rsidR="001E3E0B" w:rsidRPr="00700B3B" w14:paraId="3E16B1DE" w14:textId="77777777" w:rsidTr="003D0965">
      <w:trPr>
        <w:trHeight w:hRule="exact" w:val="284"/>
      </w:trPr>
      <w:tc>
        <w:tcPr>
          <w:tcW w:w="9923" w:type="dxa"/>
          <w:vAlign w:val="center"/>
        </w:tcPr>
        <w:p w14:paraId="104EE793" w14:textId="77777777" w:rsidR="001E3E0B" w:rsidRPr="00A10F07" w:rsidRDefault="001E3E0B" w:rsidP="003D0965">
          <w:pPr>
            <w:pStyle w:val="Footer"/>
            <w:rPr>
              <w:rFonts w:asciiTheme="majorHAnsi" w:hAnsiTheme="majorHAnsi" w:cstheme="majorHAnsi"/>
              <w:sz w:val="14"/>
              <w:szCs w:val="14"/>
              <w:lang w:val="fr-FR"/>
            </w:rPr>
          </w:pPr>
          <w:r w:rsidRPr="00A10F07">
            <w:rPr>
              <w:rFonts w:asciiTheme="majorHAnsi" w:hAnsiTheme="majorHAnsi" w:cstheme="majorHAnsi"/>
              <w:sz w:val="14"/>
              <w:szCs w:val="14"/>
              <w:lang w:val="fr-FR"/>
            </w:rPr>
            <w:t xml:space="preserve">ENTSO-E </w:t>
          </w:r>
          <w:r w:rsidRPr="00A10F07">
            <w:rPr>
              <w:rFonts w:asciiTheme="majorHAnsi" w:hAnsiTheme="majorHAnsi" w:cstheme="majorHAnsi"/>
              <w:sz w:val="10"/>
              <w:szCs w:val="14"/>
              <w:lang w:val="fr-FR"/>
            </w:rPr>
            <w:t>AISBL</w:t>
          </w:r>
          <w:r w:rsidRPr="00A10F07">
            <w:rPr>
              <w:rFonts w:asciiTheme="majorHAnsi" w:hAnsiTheme="majorHAnsi" w:cstheme="majorHAnsi"/>
              <w:sz w:val="14"/>
              <w:szCs w:val="14"/>
              <w:lang w:val="fr-FR"/>
            </w:rPr>
            <w:t xml:space="preserve"> • Avenue de Cortenbergh 100 • 1000 Brussels • Belgium • Tel + 32 2 741 09 50 • Fax + 32 2 741 09 51 • info@entsoe.eu • www. entsoe.eu</w:t>
          </w:r>
        </w:p>
      </w:tc>
    </w:tr>
  </w:tbl>
  <w:p w14:paraId="07B265B9" w14:textId="77777777" w:rsidR="001E3E0B" w:rsidRDefault="001E3E0B">
    <w:pPr>
      <w:pStyle w:val="Footer"/>
    </w:pPr>
    <w:r>
      <w:rPr>
        <w:noProof/>
        <w:lang w:val="de-AT" w:eastAsia="de-AT"/>
      </w:rPr>
      <mc:AlternateContent>
        <mc:Choice Requires="wps">
          <w:drawing>
            <wp:anchor distT="0" distB="0" distL="114300" distR="114300" simplePos="0" relativeHeight="251664384" behindDoc="1" locked="0" layoutInCell="1" allowOverlap="1" wp14:anchorId="116D7216" wp14:editId="2EBE717D">
              <wp:simplePos x="0" y="0"/>
              <wp:positionH relativeFrom="column">
                <wp:posOffset>-864235</wp:posOffset>
              </wp:positionH>
              <wp:positionV relativeFrom="paragraph">
                <wp:posOffset>-298450</wp:posOffset>
              </wp:positionV>
              <wp:extent cx="6991350" cy="638175"/>
              <wp:effectExtent l="0" t="0" r="0" b="9525"/>
              <wp:wrapNone/>
              <wp:docPr id="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91350" cy="638175"/>
                      </a:xfrm>
                      <a:prstGeom prst="rect">
                        <a:avLst/>
                      </a:prstGeom>
                      <a:solidFill>
                        <a:schemeClr val="bg1">
                          <a:lumMod val="100000"/>
                          <a:lumOff val="0"/>
                        </a:schemeClr>
                      </a:solidFill>
                      <a:ln>
                        <a:noFill/>
                      </a:ln>
                      <a:extLst>
                        <a:ext uri="{91240B29-F687-4F45-9708-019B960494DF}">
                          <a14:hiddenLine xmlns:a14="http://schemas.microsoft.com/office/drawing/2010/main" w="9525">
                            <a:solidFill>
                              <a:schemeClr val="accent3">
                                <a:lumMod val="100000"/>
                                <a:lumOff val="0"/>
                              </a:schemeClr>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E7EC80" id="Rectangle 6" o:spid="_x0000_s1026" style="position:absolute;margin-left:-68.05pt;margin-top:-23.5pt;width:550.5pt;height:50.2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" fillcolor="white [3212]" stroked="f" strokecolor="#7f5a9b [3206]"/>
          </w:pict>
        </mc:Fallback>
      </mc:AlternateContent>
    </w:r>
    <w:r>
      <w:rPr>
        <w:noProof/>
        <w:lang w:val="de-AT" w:eastAsia="de-AT"/>
      </w:rPr>
      <mc:AlternateContent>
        <mc:Choice Requires="wps">
          <w:drawing>
            <wp:anchor distT="0" distB="0" distL="114300" distR="114300" simplePos="0" relativeHeight="251662336" behindDoc="1" locked="1" layoutInCell="1" allowOverlap="1" wp14:anchorId="5B14846D" wp14:editId="3D293665">
              <wp:simplePos x="0" y="0"/>
              <wp:positionH relativeFrom="page">
                <wp:posOffset>0</wp:posOffset>
              </wp:positionH>
              <wp:positionV relativeFrom="page">
                <wp:posOffset>6642735</wp:posOffset>
              </wp:positionV>
              <wp:extent cx="7578090" cy="3834130"/>
              <wp:effectExtent l="0" t="0" r="3810" b="0"/>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78090" cy="3834130"/>
                      </a:xfrm>
                      <a:prstGeom prst="rect">
                        <a:avLst/>
                      </a:prstGeom>
                      <a:gradFill rotWithShape="1">
                        <a:gsLst>
                          <a:gs pos="0">
                            <a:srgbClr val="FFFFFF">
                              <a:alpha val="25000"/>
                            </a:srgbClr>
                          </a:gs>
                          <a:gs pos="100000">
                            <a:srgbClr val="DCDCDC"/>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D3A5D3" id="Rectangle 5" o:spid="_x0000_s1026" style="position:absolute;margin-left:0;margin-top:523.05pt;width:596.7pt;height:301.9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" stroked="f">
              <v:fill opacity=".25" color2="#dcdcdc" rotate="t" focus="100%" type="gradient"/>
              <w10:wrap anchorx="page" anchory="page"/>
              <w10:anchorlock/>
            </v:rect>
          </w:pict>
        </mc:Fallback>
      </mc:AlternateContent>
    </w:r>
    <w:r>
      <w:rPr>
        <w:noProof/>
        <w:lang w:val="de-AT" w:eastAsia="de-AT"/>
      </w:rPr>
      <w:drawing>
        <wp:anchor distT="0" distB="0" distL="114300" distR="114300" simplePos="0" relativeHeight="251663360" behindDoc="1" locked="1" layoutInCell="1" allowOverlap="1" wp14:anchorId="711890A3" wp14:editId="5671B626">
          <wp:simplePos x="0" y="0"/>
          <wp:positionH relativeFrom="page">
            <wp:posOffset>0</wp:posOffset>
          </wp:positionH>
          <wp:positionV relativeFrom="page">
            <wp:posOffset>9725025</wp:posOffset>
          </wp:positionV>
          <wp:extent cx="6994525" cy="426085"/>
          <wp:effectExtent l="0" t="0" r="0" b="0"/>
          <wp:wrapNone/>
          <wp:docPr id="13" name="Grafik 3" descr="Footer.wm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Footer.wmf"/>
                  <pic:cNvPicPr/>
                </pic:nvPicPr>
                <pic:blipFill>
                  <a:blip r:embed="rId1"/>
                  <a:stretch>
                    <a:fillRect/>
                  </a:stretch>
                </pic:blipFill>
                <pic:spPr>
                  <a:xfrm>
                    <a:off x="0" y="0"/>
                    <a:ext cx="6994525" cy="42608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707D0B" w14:textId="77777777" w:rsidR="001E3E0B" w:rsidRDefault="001E3E0B" w:rsidP="00B04144">
      <w:r>
        <w:separator/>
      </w:r>
    </w:p>
  </w:footnote>
  <w:footnote w:type="continuationSeparator" w:id="0">
    <w:p w14:paraId="3623E4C8" w14:textId="77777777" w:rsidR="001E3E0B" w:rsidRDefault="001E3E0B" w:rsidP="00B04144">
      <w:r>
        <w:continuationSeparator/>
      </w:r>
    </w:p>
  </w:footnote>
  <w:footnote w:type="continuationNotice" w:id="1">
    <w:p w14:paraId="6F99079F" w14:textId="77777777" w:rsidR="001E3E0B" w:rsidRDefault="001E3E0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66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663"/>
    </w:tblGrid>
    <w:tr w:rsidR="001E3E0B" w:rsidRPr="00696EBB" w14:paraId="1F2E18D6" w14:textId="77777777" w:rsidTr="009D64BC">
      <w:trPr>
        <w:trHeight w:hRule="exact" w:val="907"/>
      </w:trPr>
      <w:sdt>
        <w:sdtPr>
          <w:rPr>
            <w:sz w:val="20"/>
          </w:rPr>
          <w:alias w:val="Titel"/>
          <w:tag w:val="Titel"/>
          <w:id w:val="142390586"/>
          <w:dataBinding w:prefixMappings="xmlns:ns0='http://purl.org/dc/elements/1.1/' xmlns:ns1='http://schemas.openxmlformats.org/package/2006/metadata/core-properties' " w:xpath="/ns1:coreProperties[1]/ns0:title[1]" w:storeItemID="{6C3C8BC8-F283-45AE-878A-BAB7291924A1}"/>
          <w:text w:multiLine="1"/>
        </w:sdtPr>
        <w:sdtEndPr/>
        <w:sdtContent>
          <w:tc>
            <w:tcPr>
              <w:tcW w:w="6663" w:type="dxa"/>
            </w:tcPr>
            <w:p w14:paraId="47D706D6" w14:textId="77777777" w:rsidR="001E3E0B" w:rsidRPr="00992ABA" w:rsidRDefault="001E3E0B" w:rsidP="00CA0C0C">
              <w:pPr>
                <w:rPr>
                  <w:lang w:val="en-US"/>
                </w:rPr>
              </w:pPr>
              <w:r>
                <w:rPr>
                  <w:sz w:val="20"/>
                </w:rPr>
                <w:t>All TSOs’ proposal for a Methodology for Calculating Scheduled Exchanges resulting from single intra-day coupling in accordance with Article 56 of the Commission Regulation (EU) 2015/1222 of 24 July 2015 establishing a guideline on capacity allocation and congestion management</w:t>
              </w:r>
            </w:p>
          </w:tc>
        </w:sdtContent>
      </w:sdt>
    </w:tr>
  </w:tbl>
  <w:p w14:paraId="467B7C18" w14:textId="77777777" w:rsidR="001E3E0B" w:rsidRDefault="001E3E0B" w:rsidP="003D0965">
    <w:pPr>
      <w:pStyle w:val="Footer"/>
    </w:pPr>
    <w:r>
      <w:rPr>
        <w:noProof/>
        <w:lang w:val="de-AT" w:eastAsia="de-AT"/>
      </w:rPr>
      <mc:AlternateContent>
        <mc:Choice Requires="wps">
          <w:drawing>
            <wp:anchor distT="4294967294" distB="4294967294" distL="114300" distR="114300" simplePos="0" relativeHeight="251654144" behindDoc="0" locked="1" layoutInCell="1" allowOverlap="1" wp14:anchorId="7A58AA7A" wp14:editId="3690F398">
              <wp:simplePos x="0" y="0"/>
              <wp:positionH relativeFrom="page">
                <wp:posOffset>864235</wp:posOffset>
              </wp:positionH>
              <wp:positionV relativeFrom="page">
                <wp:posOffset>1062354</wp:posOffset>
              </wp:positionV>
              <wp:extent cx="6047740" cy="0"/>
              <wp:effectExtent l="0" t="0" r="29210" b="19050"/>
              <wp:wrapNone/>
              <wp:docPr id="3"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47740" cy="0"/>
                      </a:xfrm>
                      <a:prstGeom prst="straightConnector1">
                        <a:avLst/>
                      </a:prstGeom>
                      <a:noFill/>
                      <a:ln w="12700">
                        <a:solidFill>
                          <a:schemeClr val="tx2">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ED2D170" id="_x0000_t32" coordsize="21600,21600" o:spt="32" o:oned="t" path="m,l21600,21600e" filled="f">
              <v:path arrowok="t" fillok="f" o:connecttype="none"/>
              <o:lock v:ext="edit" shapetype="t"/>
            </v:shapetype>
            <v:shape id="AutoShape 8" o:spid="_x0000_s1026" type="#_x0000_t32" style="position:absolute;margin-left:68.05pt;margin-top:83.65pt;width:476.2pt;height:0;z-index:251654144;visibility:visible;mso-wrap-style:square;mso-width-percent:0;mso-height-percent:0;mso-wrap-distance-left:9pt;mso-wrap-distance-top:-6e-5mm;mso-wrap-distance-right:9pt;mso-wrap-distance-bottom:-6e-5mm;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" strokecolor="#23236e [3215]" strokeweight="1pt">
              <w10:wrap anchorx="page" anchory="page"/>
              <w10:anchorlock/>
            </v:shape>
          </w:pict>
        </mc:Fallback>
      </mc:AlternateContent>
    </w:r>
    <w:r>
      <w:rPr>
        <w:noProof/>
        <w:lang w:val="de-AT" w:eastAsia="de-AT"/>
      </w:rPr>
      <w:drawing>
        <wp:anchor distT="0" distB="0" distL="114300" distR="114300" simplePos="0" relativeHeight="251652096" behindDoc="0" locked="1" layoutInCell="1" allowOverlap="1" wp14:anchorId="71DDEFFF" wp14:editId="6A4D0B69">
          <wp:simplePos x="0" y="0"/>
          <wp:positionH relativeFrom="page">
            <wp:posOffset>5483225</wp:posOffset>
          </wp:positionH>
          <wp:positionV relativeFrom="page">
            <wp:posOffset>360045</wp:posOffset>
          </wp:positionV>
          <wp:extent cx="1514475" cy="381000"/>
          <wp:effectExtent l="0" t="0" r="9525" b="0"/>
          <wp:wrapNone/>
          <wp:docPr id="7" name="Grafik 5" descr="Logo.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wmf"/>
                  <pic:cNvPicPr/>
                </pic:nvPicPr>
                <pic:blipFill>
                  <a:blip r:embed="rId1"/>
                  <a:srcRect l="48293"/>
                  <a:stretch>
                    <a:fillRect/>
                  </a:stretch>
                </pic:blipFill>
                <pic:spPr>
                  <a:xfrm>
                    <a:off x="0" y="0"/>
                    <a:ext cx="1514475" cy="3810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42" w:rightFromText="142" w:topFromText="5528" w:vertAnchor="page" w:horzAnchor="page" w:tblpX="1362" w:tblpY="5104"/>
      <w:tblW w:w="0" w:type="auto"/>
      <w:tblBorders>
        <w:top w:val="single" w:sz="8" w:space="0" w:color="23236E" w:themeColor="text2"/>
        <w:left w:val="none" w:sz="0" w:space="0" w:color="auto"/>
        <w:bottom w:val="single" w:sz="8"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524"/>
    </w:tblGrid>
    <w:tr w:rsidR="001E3E0B" w14:paraId="17970E2B" w14:textId="77777777" w:rsidTr="006A737C">
      <w:tc>
        <w:tcPr>
          <w:tcW w:w="9524" w:type="dxa"/>
          <w:tcMar>
            <w:top w:w="198" w:type="dxa"/>
          </w:tcMar>
        </w:tcPr>
        <w:p w14:paraId="44A8B791" w14:textId="77777777" w:rsidR="001E3E0B" w:rsidRDefault="001E3E0B" w:rsidP="00696EBB">
          <w:pPr>
            <w:pStyle w:val="headlineheader"/>
            <w:rPr>
              <w:lang w:val="en-US"/>
            </w:rPr>
          </w:pPr>
        </w:p>
      </w:tc>
    </w:tr>
    <w:tr w:rsidR="001E3E0B" w14:paraId="486CBD7B" w14:textId="77777777" w:rsidTr="006A737C">
      <w:tc>
        <w:tcPr>
          <w:tcW w:w="9524" w:type="dxa"/>
        </w:tcPr>
        <w:p w14:paraId="19074EF5" w14:textId="77777777" w:rsidR="001E3E0B" w:rsidRPr="00AF06B7" w:rsidRDefault="001E3E0B" w:rsidP="006A737C">
          <w:pPr>
            <w:pStyle w:val="textheader"/>
          </w:pPr>
        </w:p>
      </w:tc>
    </w:tr>
    <w:tr w:rsidR="001E3E0B" w14:paraId="4516F0D2" w14:textId="77777777" w:rsidTr="006A737C">
      <w:tc>
        <w:tcPr>
          <w:tcW w:w="9524" w:type="dxa"/>
        </w:tcPr>
        <w:p w14:paraId="0EAE0588" w14:textId="77777777" w:rsidR="001E3E0B" w:rsidRPr="007A686E" w:rsidRDefault="001E3E0B" w:rsidP="006A737C">
          <w:pPr>
            <w:pStyle w:val="textheader"/>
          </w:pPr>
        </w:p>
      </w:tc>
    </w:tr>
    <w:tr w:rsidR="001E3E0B" w:rsidRPr="00903B95" w14:paraId="4E4D495B" w14:textId="77777777" w:rsidTr="006A737C">
      <w:tc>
        <w:tcPr>
          <w:tcW w:w="9524" w:type="dxa"/>
          <w:tcMar>
            <w:bottom w:w="142" w:type="dxa"/>
          </w:tcMar>
        </w:tcPr>
        <w:p w14:paraId="1C218DE5" w14:textId="77777777" w:rsidR="001E3E0B" w:rsidRPr="00256312" w:rsidRDefault="001E3E0B" w:rsidP="006A737C">
          <w:pPr>
            <w:pStyle w:val="time"/>
            <w:framePr w:hSpace="0" w:vSpace="0" w:wrap="auto" w:vAnchor="margin" w:hAnchor="text" w:xAlign="left" w:yAlign="inline"/>
          </w:pPr>
        </w:p>
      </w:tc>
    </w:tr>
  </w:tbl>
  <w:p w14:paraId="0604069F" w14:textId="77777777" w:rsidR="001E3E0B" w:rsidRDefault="001E3E0B">
    <w:pPr>
      <w:pStyle w:val="Header"/>
    </w:pPr>
    <w:r>
      <w:rPr>
        <w:noProof/>
        <w:lang w:val="de-AT" w:eastAsia="de-AT"/>
      </w:rPr>
      <w:drawing>
        <wp:anchor distT="0" distB="0" distL="114300" distR="114300" simplePos="0" relativeHeight="251661312" behindDoc="0" locked="1" layoutInCell="1" allowOverlap="1" wp14:anchorId="0ED5F910" wp14:editId="41C082F9">
          <wp:simplePos x="0" y="0"/>
          <wp:positionH relativeFrom="page">
            <wp:posOffset>4068445</wp:posOffset>
          </wp:positionH>
          <wp:positionV relativeFrom="page">
            <wp:posOffset>720090</wp:posOffset>
          </wp:positionV>
          <wp:extent cx="2930400" cy="383059"/>
          <wp:effectExtent l="19050" t="0" r="3300" b="0"/>
          <wp:wrapNone/>
          <wp:docPr id="12" name="Grafik 5" descr="Logo.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wmf"/>
                  <pic:cNvPicPr/>
                </pic:nvPicPr>
                <pic:blipFill>
                  <a:blip r:embed="rId1"/>
                  <a:stretch>
                    <a:fillRect/>
                  </a:stretch>
                </pic:blipFill>
                <pic:spPr>
                  <a:xfrm>
                    <a:off x="0" y="0"/>
                    <a:ext cx="2930400" cy="38305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B05B3E"/>
    <w:multiLevelType w:val="hybridMultilevel"/>
    <w:tmpl w:val="90E8974C"/>
    <w:lvl w:ilvl="0" w:tplc="0409000F">
      <w:start w:val="1"/>
      <w:numFmt w:val="decimal"/>
      <w:lvlText w:val="%1."/>
      <w:lvlJc w:val="left"/>
      <w:pPr>
        <w:ind w:left="360" w:hanging="360"/>
      </w:pPr>
      <w:rPr>
        <w:rFonts w:hint="default"/>
      </w:rPr>
    </w:lvl>
    <w:lvl w:ilvl="1" w:tplc="0409001B">
      <w:start w:val="1"/>
      <w:numFmt w:val="lowerRoman"/>
      <w:lvlText w:val="%2."/>
      <w:lvlJc w:val="righ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1DE2E4A"/>
    <w:multiLevelType w:val="hybridMultilevel"/>
    <w:tmpl w:val="3F10A496"/>
    <w:lvl w:ilvl="0" w:tplc="04090017">
      <w:start w:val="1"/>
      <w:numFmt w:val="lowerLetter"/>
      <w:lvlText w:val="%1)"/>
      <w:lvlJc w:val="left"/>
      <w:pPr>
        <w:ind w:left="720" w:hanging="360"/>
      </w:pPr>
    </w:lvl>
    <w:lvl w:ilvl="1" w:tplc="6C0A2FA8">
      <w:start w:val="1"/>
      <w:numFmt w:val="lowerLetter"/>
      <w:lvlText w:val="%2)"/>
      <w:lvlJc w:val="left"/>
      <w:pPr>
        <w:ind w:left="1440" w:hanging="360"/>
      </w:pPr>
    </w:lvl>
    <w:lvl w:ilvl="2" w:tplc="040B001B">
      <w:start w:val="1"/>
      <w:numFmt w:val="lowerRoman"/>
      <w:lvlText w:val="%3."/>
      <w:lvlJc w:val="right"/>
      <w:pPr>
        <w:ind w:left="2160" w:hanging="180"/>
      </w:pPr>
    </w:lvl>
    <w:lvl w:ilvl="3" w:tplc="040B000F">
      <w:start w:val="1"/>
      <w:numFmt w:val="decimal"/>
      <w:lvlText w:val="%4."/>
      <w:lvlJc w:val="left"/>
      <w:pPr>
        <w:ind w:left="2880" w:hanging="360"/>
      </w:pPr>
    </w:lvl>
    <w:lvl w:ilvl="4" w:tplc="040B0019">
      <w:start w:val="1"/>
      <w:numFmt w:val="lowerLetter"/>
      <w:lvlText w:val="%5."/>
      <w:lvlJc w:val="left"/>
      <w:pPr>
        <w:ind w:left="3600" w:hanging="360"/>
      </w:pPr>
    </w:lvl>
    <w:lvl w:ilvl="5" w:tplc="040B001B">
      <w:start w:val="1"/>
      <w:numFmt w:val="lowerRoman"/>
      <w:lvlText w:val="%6."/>
      <w:lvlJc w:val="right"/>
      <w:pPr>
        <w:ind w:left="4320" w:hanging="180"/>
      </w:pPr>
    </w:lvl>
    <w:lvl w:ilvl="6" w:tplc="040B000F">
      <w:start w:val="1"/>
      <w:numFmt w:val="decimal"/>
      <w:lvlText w:val="%7."/>
      <w:lvlJc w:val="left"/>
      <w:pPr>
        <w:ind w:left="5040" w:hanging="360"/>
      </w:pPr>
    </w:lvl>
    <w:lvl w:ilvl="7" w:tplc="040B0019">
      <w:start w:val="1"/>
      <w:numFmt w:val="lowerLetter"/>
      <w:lvlText w:val="%8."/>
      <w:lvlJc w:val="left"/>
      <w:pPr>
        <w:ind w:left="5760" w:hanging="360"/>
      </w:pPr>
    </w:lvl>
    <w:lvl w:ilvl="8" w:tplc="040B001B">
      <w:start w:val="1"/>
      <w:numFmt w:val="lowerRoman"/>
      <w:lvlText w:val="%9."/>
      <w:lvlJc w:val="right"/>
      <w:pPr>
        <w:ind w:left="6480" w:hanging="180"/>
      </w:pPr>
    </w:lvl>
  </w:abstractNum>
  <w:abstractNum w:abstractNumId="2" w15:restartNumberingAfterBreak="0">
    <w:nsid w:val="16711767"/>
    <w:multiLevelType w:val="hybridMultilevel"/>
    <w:tmpl w:val="CDCA5262"/>
    <w:lvl w:ilvl="0" w:tplc="0409000F">
      <w:start w:val="1"/>
      <w:numFmt w:val="decimal"/>
      <w:lvlText w:val="%1."/>
      <w:lvlJc w:val="left"/>
      <w:pPr>
        <w:ind w:left="1068" w:hanging="360"/>
      </w:pPr>
      <w:rPr>
        <w:rFonts w:hint="default"/>
      </w:rPr>
    </w:lvl>
    <w:lvl w:ilvl="1" w:tplc="04090019">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3507228"/>
    <w:multiLevelType w:val="hybridMultilevel"/>
    <w:tmpl w:val="35E4FB9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2B0EA7"/>
    <w:multiLevelType w:val="hybridMultilevel"/>
    <w:tmpl w:val="90E8974C"/>
    <w:lvl w:ilvl="0" w:tplc="0409000F">
      <w:start w:val="1"/>
      <w:numFmt w:val="decimal"/>
      <w:lvlText w:val="%1."/>
      <w:lvlJc w:val="left"/>
      <w:pPr>
        <w:ind w:left="360" w:hanging="360"/>
      </w:pPr>
      <w:rPr>
        <w:rFonts w:hint="default"/>
      </w:rPr>
    </w:lvl>
    <w:lvl w:ilvl="1" w:tplc="0409001B">
      <w:start w:val="1"/>
      <w:numFmt w:val="lowerRoman"/>
      <w:lvlText w:val="%2."/>
      <w:lvlJc w:val="righ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67B66E9"/>
    <w:multiLevelType w:val="multilevel"/>
    <w:tmpl w:val="169CC5E8"/>
    <w:styleLink w:val="XXXtextbullets"/>
    <w:lvl w:ilvl="0">
      <w:start w:val="1"/>
      <w:numFmt w:val="bullet"/>
      <w:pStyle w:val="textbullets"/>
      <w:lvlText w:val="‒"/>
      <w:lvlJc w:val="left"/>
      <w:pPr>
        <w:ind w:left="397" w:hanging="397"/>
      </w:pPr>
      <w:rPr>
        <w:rFonts w:ascii="Calibri" w:hAnsi="Calibri" w:hint="default"/>
        <w:color w:val="auto"/>
      </w:rPr>
    </w:lvl>
    <w:lvl w:ilvl="1">
      <w:start w:val="1"/>
      <w:numFmt w:val="bullet"/>
      <w:lvlText w:val="‒"/>
      <w:lvlJc w:val="left"/>
      <w:pPr>
        <w:ind w:left="794" w:hanging="397"/>
      </w:pPr>
      <w:rPr>
        <w:rFonts w:ascii="Calibri" w:hAnsi="Calibri" w:hint="default"/>
        <w:color w:val="auto"/>
      </w:rPr>
    </w:lvl>
    <w:lvl w:ilvl="2">
      <w:start w:val="1"/>
      <w:numFmt w:val="bullet"/>
      <w:lvlText w:val="‒"/>
      <w:lvlJc w:val="left"/>
      <w:pPr>
        <w:ind w:left="1191" w:hanging="397"/>
      </w:pPr>
      <w:rPr>
        <w:rFonts w:ascii="Calibri" w:hAnsi="Calibri" w:hint="default"/>
        <w:color w:val="auto"/>
      </w:rPr>
    </w:lvl>
    <w:lvl w:ilvl="3">
      <w:start w:val="1"/>
      <w:numFmt w:val="bullet"/>
      <w:lvlText w:val="‒"/>
      <w:lvlJc w:val="left"/>
      <w:pPr>
        <w:ind w:left="1588" w:hanging="397"/>
      </w:pPr>
      <w:rPr>
        <w:rFonts w:ascii="Calibri" w:hAnsi="Calibri" w:hint="default"/>
        <w:color w:val="auto"/>
      </w:rPr>
    </w:lvl>
    <w:lvl w:ilvl="4">
      <w:start w:val="1"/>
      <w:numFmt w:val="bullet"/>
      <w:lvlText w:val="‒"/>
      <w:lvlJc w:val="left"/>
      <w:pPr>
        <w:ind w:left="1985" w:hanging="397"/>
      </w:pPr>
      <w:rPr>
        <w:rFonts w:ascii="Calibri" w:hAnsi="Calibri" w:hint="default"/>
        <w:color w:val="auto"/>
      </w:rPr>
    </w:lvl>
    <w:lvl w:ilvl="5">
      <w:start w:val="1"/>
      <w:numFmt w:val="bullet"/>
      <w:lvlText w:val="‒"/>
      <w:lvlJc w:val="left"/>
      <w:pPr>
        <w:ind w:left="2325" w:hanging="340"/>
      </w:pPr>
      <w:rPr>
        <w:rFonts w:ascii="Calibri" w:hAnsi="Calibri" w:hint="default"/>
        <w:color w:val="auto"/>
      </w:rPr>
    </w:lvl>
    <w:lvl w:ilvl="6">
      <w:start w:val="1"/>
      <w:numFmt w:val="bullet"/>
      <w:lvlText w:val="‒"/>
      <w:lvlJc w:val="left"/>
      <w:pPr>
        <w:ind w:left="2722" w:hanging="397"/>
      </w:pPr>
      <w:rPr>
        <w:rFonts w:ascii="Calibri" w:hAnsi="Calibri" w:hint="default"/>
        <w:color w:val="auto"/>
      </w:rPr>
    </w:lvl>
    <w:lvl w:ilvl="7">
      <w:start w:val="1"/>
      <w:numFmt w:val="bullet"/>
      <w:lvlText w:val="‒"/>
      <w:lvlJc w:val="left"/>
      <w:pPr>
        <w:ind w:left="3119" w:hanging="397"/>
      </w:pPr>
      <w:rPr>
        <w:rFonts w:ascii="Calibri" w:hAnsi="Calibri" w:hint="default"/>
        <w:color w:val="auto"/>
      </w:rPr>
    </w:lvl>
    <w:lvl w:ilvl="8">
      <w:start w:val="1"/>
      <w:numFmt w:val="bullet"/>
      <w:lvlText w:val="‒"/>
      <w:lvlJc w:val="left"/>
      <w:pPr>
        <w:ind w:left="3459" w:hanging="340"/>
      </w:pPr>
      <w:rPr>
        <w:rFonts w:ascii="Calibri" w:hAnsi="Calibri" w:hint="default"/>
        <w:color w:val="auto"/>
      </w:rPr>
    </w:lvl>
  </w:abstractNum>
  <w:abstractNum w:abstractNumId="7" w15:restartNumberingAfterBreak="0">
    <w:nsid w:val="2B411B3B"/>
    <w:multiLevelType w:val="hybridMultilevel"/>
    <w:tmpl w:val="F288D35C"/>
    <w:lvl w:ilvl="0" w:tplc="04090001">
      <w:start w:val="1"/>
      <w:numFmt w:val="bullet"/>
      <w:lvlText w:val=""/>
      <w:lvlJc w:val="left"/>
      <w:pPr>
        <w:ind w:left="1428" w:hanging="360"/>
      </w:pPr>
      <w:rPr>
        <w:rFonts w:ascii="Symbol" w:hAnsi="Symbol" w:hint="default"/>
      </w:rPr>
    </w:lvl>
    <w:lvl w:ilvl="1" w:tplc="04090003">
      <w:start w:val="1"/>
      <w:numFmt w:val="bullet"/>
      <w:lvlText w:val="o"/>
      <w:lvlJc w:val="left"/>
      <w:pPr>
        <w:ind w:left="2148" w:hanging="360"/>
      </w:pPr>
      <w:rPr>
        <w:rFonts w:ascii="Courier New" w:hAnsi="Courier New" w:cs="Courier New" w:hint="default"/>
      </w:rPr>
    </w:lvl>
    <w:lvl w:ilvl="2" w:tplc="04090005">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8" w15:restartNumberingAfterBreak="0">
    <w:nsid w:val="2BC13E21"/>
    <w:multiLevelType w:val="hybridMultilevel"/>
    <w:tmpl w:val="CDCA5262"/>
    <w:lvl w:ilvl="0" w:tplc="0409000F">
      <w:start w:val="1"/>
      <w:numFmt w:val="decimal"/>
      <w:lvlText w:val="%1."/>
      <w:lvlJc w:val="left"/>
      <w:pPr>
        <w:ind w:left="1068" w:hanging="360"/>
      </w:pPr>
      <w:rPr>
        <w:rFonts w:hint="default"/>
      </w:rPr>
    </w:lvl>
    <w:lvl w:ilvl="1" w:tplc="04090019">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 w15:restartNumberingAfterBreak="0">
    <w:nsid w:val="2DA14555"/>
    <w:multiLevelType w:val="hybridMultilevel"/>
    <w:tmpl w:val="3134E5D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8B251A"/>
    <w:multiLevelType w:val="hybridMultilevel"/>
    <w:tmpl w:val="35E4FB9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8E4FCD"/>
    <w:multiLevelType w:val="hybridMultilevel"/>
    <w:tmpl w:val="3EE09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EB351E"/>
    <w:multiLevelType w:val="hybridMultilevel"/>
    <w:tmpl w:val="CDCA5262"/>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C1B1C01"/>
    <w:multiLevelType w:val="hybridMultilevel"/>
    <w:tmpl w:val="CDCA5262"/>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4D61839"/>
    <w:multiLevelType w:val="hybridMultilevel"/>
    <w:tmpl w:val="FFF87B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5AC1F9B"/>
    <w:multiLevelType w:val="hybridMultilevel"/>
    <w:tmpl w:val="63B69DEE"/>
    <w:lvl w:ilvl="0" w:tplc="0409001B">
      <w:start w:val="1"/>
      <w:numFmt w:val="lowerRoman"/>
      <w:lvlText w:val="%1."/>
      <w:lvlJc w:val="right"/>
      <w:pPr>
        <w:ind w:left="1068" w:hanging="360"/>
      </w:pPr>
      <w:rPr>
        <w:rFonts w:hint="default"/>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6" w15:restartNumberingAfterBreak="0">
    <w:nsid w:val="4A914F8D"/>
    <w:multiLevelType w:val="hybridMultilevel"/>
    <w:tmpl w:val="B608DB92"/>
    <w:lvl w:ilvl="0" w:tplc="0409001B">
      <w:start w:val="1"/>
      <w:numFmt w:val="lowerRoman"/>
      <w:lvlText w:val="%1."/>
      <w:lvlJc w:val="right"/>
      <w:pPr>
        <w:ind w:left="1068" w:hanging="360"/>
      </w:pPr>
      <w:rPr>
        <w:rFonts w:hint="default"/>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7" w15:restartNumberingAfterBreak="0">
    <w:nsid w:val="4D5C78EE"/>
    <w:multiLevelType w:val="multilevel"/>
    <w:tmpl w:val="0E80C546"/>
    <w:styleLink w:val="XXXNummerierung"/>
    <w:lvl w:ilvl="0">
      <w:start w:val="1"/>
      <w:numFmt w:val="decimal"/>
      <w:pStyle w:val="textenumeration"/>
      <w:lvlText w:val="%1."/>
      <w:lvlJc w:val="left"/>
      <w:pPr>
        <w:ind w:left="357" w:hanging="357"/>
      </w:pPr>
      <w:rPr>
        <w:rFonts w:ascii="Times New Roman" w:hAnsi="Times New Roman" w:hint="default"/>
        <w:sz w:val="22"/>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8" w15:restartNumberingAfterBreak="0">
    <w:nsid w:val="50934F92"/>
    <w:multiLevelType w:val="hybridMultilevel"/>
    <w:tmpl w:val="CEAC14EE"/>
    <w:lvl w:ilvl="0" w:tplc="53868CD6">
      <w:start w:val="1"/>
      <w:numFmt w:val="bullet"/>
      <w:lvlText w:val=""/>
      <w:lvlJc w:val="left"/>
      <w:pPr>
        <w:tabs>
          <w:tab w:val="num" w:pos="720"/>
        </w:tabs>
        <w:ind w:left="720" w:hanging="360"/>
      </w:pPr>
      <w:rPr>
        <w:rFonts w:ascii="Wingdings" w:hAnsi="Wingdings" w:hint="default"/>
      </w:rPr>
    </w:lvl>
    <w:lvl w:ilvl="1" w:tplc="54D4D680">
      <w:start w:val="1"/>
      <w:numFmt w:val="bullet"/>
      <w:lvlText w:val=""/>
      <w:lvlJc w:val="left"/>
      <w:pPr>
        <w:tabs>
          <w:tab w:val="num" w:pos="1440"/>
        </w:tabs>
        <w:ind w:left="1440" w:hanging="360"/>
      </w:pPr>
      <w:rPr>
        <w:rFonts w:ascii="Wingdings" w:hAnsi="Wingdings" w:hint="default"/>
      </w:rPr>
    </w:lvl>
    <w:lvl w:ilvl="2" w:tplc="71BA7528">
      <w:start w:val="1"/>
      <w:numFmt w:val="bullet"/>
      <w:lvlText w:val=""/>
      <w:lvlJc w:val="left"/>
      <w:pPr>
        <w:tabs>
          <w:tab w:val="num" w:pos="2160"/>
        </w:tabs>
        <w:ind w:left="2160" w:hanging="360"/>
      </w:pPr>
      <w:rPr>
        <w:rFonts w:ascii="Wingdings" w:hAnsi="Wingdings" w:hint="default"/>
      </w:rPr>
    </w:lvl>
    <w:lvl w:ilvl="3" w:tplc="0410000D">
      <w:start w:val="1"/>
      <w:numFmt w:val="bullet"/>
      <w:lvlText w:val=""/>
      <w:lvlJc w:val="left"/>
      <w:pPr>
        <w:tabs>
          <w:tab w:val="num" w:pos="2880"/>
        </w:tabs>
        <w:ind w:left="2880" w:hanging="360"/>
      </w:pPr>
      <w:rPr>
        <w:rFonts w:ascii="Wingdings" w:hAnsi="Wingdings" w:hint="default"/>
      </w:rPr>
    </w:lvl>
    <w:lvl w:ilvl="4" w:tplc="95600676" w:tentative="1">
      <w:start w:val="1"/>
      <w:numFmt w:val="bullet"/>
      <w:lvlText w:val=""/>
      <w:lvlJc w:val="left"/>
      <w:pPr>
        <w:tabs>
          <w:tab w:val="num" w:pos="3600"/>
        </w:tabs>
        <w:ind w:left="3600" w:hanging="360"/>
      </w:pPr>
      <w:rPr>
        <w:rFonts w:ascii="Wingdings" w:hAnsi="Wingdings" w:hint="default"/>
      </w:rPr>
    </w:lvl>
    <w:lvl w:ilvl="5" w:tplc="5832C8F4" w:tentative="1">
      <w:start w:val="1"/>
      <w:numFmt w:val="bullet"/>
      <w:lvlText w:val=""/>
      <w:lvlJc w:val="left"/>
      <w:pPr>
        <w:tabs>
          <w:tab w:val="num" w:pos="4320"/>
        </w:tabs>
        <w:ind w:left="4320" w:hanging="360"/>
      </w:pPr>
      <w:rPr>
        <w:rFonts w:ascii="Wingdings" w:hAnsi="Wingdings" w:hint="default"/>
      </w:rPr>
    </w:lvl>
    <w:lvl w:ilvl="6" w:tplc="E57E8FF4" w:tentative="1">
      <w:start w:val="1"/>
      <w:numFmt w:val="bullet"/>
      <w:lvlText w:val=""/>
      <w:lvlJc w:val="left"/>
      <w:pPr>
        <w:tabs>
          <w:tab w:val="num" w:pos="5040"/>
        </w:tabs>
        <w:ind w:left="5040" w:hanging="360"/>
      </w:pPr>
      <w:rPr>
        <w:rFonts w:ascii="Wingdings" w:hAnsi="Wingdings" w:hint="default"/>
      </w:rPr>
    </w:lvl>
    <w:lvl w:ilvl="7" w:tplc="FDA2E122" w:tentative="1">
      <w:start w:val="1"/>
      <w:numFmt w:val="bullet"/>
      <w:lvlText w:val=""/>
      <w:lvlJc w:val="left"/>
      <w:pPr>
        <w:tabs>
          <w:tab w:val="num" w:pos="5760"/>
        </w:tabs>
        <w:ind w:left="5760" w:hanging="360"/>
      </w:pPr>
      <w:rPr>
        <w:rFonts w:ascii="Wingdings" w:hAnsi="Wingdings" w:hint="default"/>
      </w:rPr>
    </w:lvl>
    <w:lvl w:ilvl="8" w:tplc="7A1E2BE2"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1131221"/>
    <w:multiLevelType w:val="hybridMultilevel"/>
    <w:tmpl w:val="90E8974C"/>
    <w:lvl w:ilvl="0" w:tplc="0409000F">
      <w:start w:val="1"/>
      <w:numFmt w:val="decimal"/>
      <w:lvlText w:val="%1."/>
      <w:lvlJc w:val="left"/>
      <w:pPr>
        <w:ind w:left="360" w:hanging="360"/>
      </w:pPr>
      <w:rPr>
        <w:rFonts w:hint="default"/>
      </w:rPr>
    </w:lvl>
    <w:lvl w:ilvl="1" w:tplc="0409001B">
      <w:start w:val="1"/>
      <w:numFmt w:val="lowerRoman"/>
      <w:lvlText w:val="%2."/>
      <w:lvlJc w:val="righ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51A74255"/>
    <w:multiLevelType w:val="hybridMultilevel"/>
    <w:tmpl w:val="E5BE5762"/>
    <w:lvl w:ilvl="0" w:tplc="3052484E">
      <w:numFmt w:val="bullet"/>
      <w:lvlText w:val="-"/>
      <w:lvlJc w:val="left"/>
      <w:pPr>
        <w:ind w:left="720" w:hanging="360"/>
      </w:pPr>
      <w:rPr>
        <w:rFonts w:ascii="Arial" w:eastAsiaTheme="minorHAnsi" w:hAnsi="Arial" w:cs="Aria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562E67C3"/>
    <w:multiLevelType w:val="hybridMultilevel"/>
    <w:tmpl w:val="37F0538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5D4A3354"/>
    <w:multiLevelType w:val="multilevel"/>
    <w:tmpl w:val="080C001F"/>
    <w:styleLink w:val="XXXList"/>
    <w:lvl w:ilvl="0">
      <w:start w:val="1"/>
      <w:numFmt w:val="decimal"/>
      <w:lvlText w:val="%1."/>
      <w:lvlJc w:val="left"/>
      <w:pPr>
        <w:ind w:left="360" w:hanging="360"/>
      </w:pPr>
      <w:rPr>
        <w:rFonts w:hint="default"/>
        <w:b/>
        <w:i w:val="0"/>
        <w:color w:val="23236E" w:themeColor="text2"/>
        <w:sz w:val="28"/>
        <w:u w:color="23236E" w:themeColor="text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b/>
        <w:i w:val="0"/>
        <w:color w:val="23236E" w:themeColor="text2"/>
        <w:sz w:val="28"/>
        <w:u w:color="23236E" w:themeColor="text2"/>
      </w:rPr>
    </w:lvl>
  </w:abstractNum>
  <w:abstractNum w:abstractNumId="23" w15:restartNumberingAfterBreak="0">
    <w:nsid w:val="5D9740A3"/>
    <w:multiLevelType w:val="hybridMultilevel"/>
    <w:tmpl w:val="CDCA5262"/>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EA1093A"/>
    <w:multiLevelType w:val="hybridMultilevel"/>
    <w:tmpl w:val="E200B554"/>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EF63C7D"/>
    <w:multiLevelType w:val="multilevel"/>
    <w:tmpl w:val="F9A00892"/>
    <w:styleLink w:val="XXXBulletList"/>
    <w:lvl w:ilvl="0">
      <w:start w:val="1"/>
      <w:numFmt w:val="bullet"/>
      <w:pStyle w:val="decisionbullet1"/>
      <w:lvlText w:val="‒"/>
      <w:lvlJc w:val="left"/>
      <w:pPr>
        <w:ind w:left="357" w:hanging="357"/>
      </w:pPr>
      <w:rPr>
        <w:rFonts w:ascii="Calibri" w:hAnsi="Calibri" w:hint="default"/>
        <w:color w:val="auto"/>
        <w:sz w:val="22"/>
      </w:rPr>
    </w:lvl>
    <w:lvl w:ilvl="1">
      <w:start w:val="1"/>
      <w:numFmt w:val="bullet"/>
      <w:pStyle w:val="decisionbullet2"/>
      <w:lvlText w:val="‒"/>
      <w:lvlJc w:val="left"/>
      <w:pPr>
        <w:ind w:left="374" w:hanging="17"/>
      </w:pPr>
      <w:rPr>
        <w:rFonts w:ascii="Times New Roman" w:hAnsi="Times New Roman" w:cs="Times New Roman" w:hint="default"/>
        <w:color w:val="auto"/>
        <w:sz w:val="22"/>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6" w15:restartNumberingAfterBreak="0">
    <w:nsid w:val="613F7FF0"/>
    <w:multiLevelType w:val="hybridMultilevel"/>
    <w:tmpl w:val="47DE744E"/>
    <w:lvl w:ilvl="0" w:tplc="3052484E">
      <w:numFmt w:val="bullet"/>
      <w:lvlText w:val="-"/>
      <w:lvlJc w:val="left"/>
      <w:pPr>
        <w:ind w:left="720" w:hanging="360"/>
      </w:pPr>
      <w:rPr>
        <w:rFonts w:ascii="Arial" w:eastAsiaTheme="minorHAnsi" w:hAnsi="Arial" w:cs="Aria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15:restartNumberingAfterBreak="0">
    <w:nsid w:val="65DE53A3"/>
    <w:multiLevelType w:val="hybridMultilevel"/>
    <w:tmpl w:val="A75AC8F2"/>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8" w15:restartNumberingAfterBreak="0">
    <w:nsid w:val="70041E0D"/>
    <w:multiLevelType w:val="hybridMultilevel"/>
    <w:tmpl w:val="2F4CFA3E"/>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04260FF"/>
    <w:multiLevelType w:val="hybridMultilevel"/>
    <w:tmpl w:val="2632C070"/>
    <w:lvl w:ilvl="0" w:tplc="03425F40">
      <w:start w:val="1"/>
      <w:numFmt w:val="decimal"/>
      <w:lvlText w:val="%1."/>
      <w:lvlJc w:val="left"/>
      <w:pPr>
        <w:ind w:left="360" w:hanging="360"/>
      </w:pPr>
      <w:rPr>
        <w:rFonts w:hint="default"/>
        <w:strike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769B7121"/>
    <w:multiLevelType w:val="hybridMultilevel"/>
    <w:tmpl w:val="14344F6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22"/>
  </w:num>
  <w:num w:numId="2">
    <w:abstractNumId w:val="25"/>
  </w:num>
  <w:num w:numId="3">
    <w:abstractNumId w:val="17"/>
  </w:num>
  <w:num w:numId="4">
    <w:abstractNumId w:val="6"/>
  </w:num>
  <w:num w:numId="5">
    <w:abstractNumId w:val="2"/>
  </w:num>
  <w:num w:numId="6">
    <w:abstractNumId w:val="3"/>
  </w:num>
  <w:num w:numId="7">
    <w:abstractNumId w:val="7"/>
  </w:num>
  <w:num w:numId="8">
    <w:abstractNumId w:val="14"/>
  </w:num>
  <w:num w:numId="9">
    <w:abstractNumId w:val="9"/>
  </w:num>
  <w:num w:numId="10">
    <w:abstractNumId w:val="4"/>
  </w:num>
  <w:num w:numId="11">
    <w:abstractNumId w:val="15"/>
  </w:num>
  <w:num w:numId="12">
    <w:abstractNumId w:val="28"/>
  </w:num>
  <w:num w:numId="13">
    <w:abstractNumId w:val="23"/>
  </w:num>
  <w:num w:numId="14">
    <w:abstractNumId w:val="10"/>
  </w:num>
  <w:num w:numId="15">
    <w:abstractNumId w:val="12"/>
  </w:num>
  <w:num w:numId="16">
    <w:abstractNumId w:val="29"/>
  </w:num>
  <w:num w:numId="17">
    <w:abstractNumId w:val="19"/>
  </w:num>
  <w:num w:numId="18">
    <w:abstractNumId w:val="21"/>
  </w:num>
  <w:num w:numId="19">
    <w:abstractNumId w:val="11"/>
  </w:num>
  <w:num w:numId="20">
    <w:abstractNumId w:val="8"/>
  </w:num>
  <w:num w:numId="21">
    <w:abstractNumId w:val="18"/>
  </w:num>
  <w:num w:numId="22">
    <w:abstractNumId w:val="16"/>
  </w:num>
  <w:num w:numId="23">
    <w:abstractNumId w:val="24"/>
  </w:num>
  <w:num w:numId="24">
    <w:abstractNumId w:val="1"/>
  </w:num>
  <w:num w:numId="25">
    <w:abstractNumId w:val="26"/>
  </w:num>
  <w:num w:numId="26">
    <w:abstractNumId w:val="27"/>
  </w:num>
  <w:num w:numId="27">
    <w:abstractNumId w:val="20"/>
  </w:num>
  <w:num w:numId="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num>
  <w:num w:numId="30">
    <w:abstractNumId w:val="5"/>
  </w:num>
  <w:num w:numId="31">
    <w:abstractNumId w:val="1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ttachedTemplate r:id="rId1"/>
  <w:doNotTrackFormatting/>
  <w:defaultTabStop w:val="708"/>
  <w:hyphenationZone w:val="425"/>
  <w:drawingGridHorizontalSpacing w:val="110"/>
  <w:displayHorizontalDrawingGridEvery w:val="2"/>
  <w:characterSpacingControl w:val="doNotCompress"/>
  <w:hdrShapeDefaults>
    <o:shapedefaults v:ext="edit" spidmax="24577" style="mso-position-horizontal-relative:page;mso-position-vertical-relative:page" strokecolor="none [3215]">
      <v:stroke color="none [3215]" weight="1pt"/>
    </o:shapedefaults>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0F07"/>
    <w:rsid w:val="00000169"/>
    <w:rsid w:val="00000249"/>
    <w:rsid w:val="000003B9"/>
    <w:rsid w:val="000005BD"/>
    <w:rsid w:val="0000065C"/>
    <w:rsid w:val="000011B0"/>
    <w:rsid w:val="00002150"/>
    <w:rsid w:val="00006873"/>
    <w:rsid w:val="00007F4F"/>
    <w:rsid w:val="00010408"/>
    <w:rsid w:val="000118B0"/>
    <w:rsid w:val="00012A1C"/>
    <w:rsid w:val="000137EB"/>
    <w:rsid w:val="000140AC"/>
    <w:rsid w:val="00015488"/>
    <w:rsid w:val="000173D6"/>
    <w:rsid w:val="000179C1"/>
    <w:rsid w:val="00020055"/>
    <w:rsid w:val="00022D11"/>
    <w:rsid w:val="000235E9"/>
    <w:rsid w:val="00023A5C"/>
    <w:rsid w:val="00023C94"/>
    <w:rsid w:val="00024957"/>
    <w:rsid w:val="00027B57"/>
    <w:rsid w:val="00030180"/>
    <w:rsid w:val="00032424"/>
    <w:rsid w:val="000336A7"/>
    <w:rsid w:val="0003392C"/>
    <w:rsid w:val="000357A0"/>
    <w:rsid w:val="00035A65"/>
    <w:rsid w:val="00035E73"/>
    <w:rsid w:val="00036F87"/>
    <w:rsid w:val="00042115"/>
    <w:rsid w:val="000429D4"/>
    <w:rsid w:val="00042D86"/>
    <w:rsid w:val="000445E6"/>
    <w:rsid w:val="00044996"/>
    <w:rsid w:val="00045E03"/>
    <w:rsid w:val="00046D0D"/>
    <w:rsid w:val="00046FC1"/>
    <w:rsid w:val="000508B7"/>
    <w:rsid w:val="000510CE"/>
    <w:rsid w:val="00053056"/>
    <w:rsid w:val="00054050"/>
    <w:rsid w:val="000561DA"/>
    <w:rsid w:val="000626F6"/>
    <w:rsid w:val="00062E48"/>
    <w:rsid w:val="00063861"/>
    <w:rsid w:val="00063E5E"/>
    <w:rsid w:val="000640E2"/>
    <w:rsid w:val="0006467A"/>
    <w:rsid w:val="00064F0B"/>
    <w:rsid w:val="000675D9"/>
    <w:rsid w:val="0007274E"/>
    <w:rsid w:val="000735DF"/>
    <w:rsid w:val="00074AA7"/>
    <w:rsid w:val="000763F9"/>
    <w:rsid w:val="00076649"/>
    <w:rsid w:val="00076B2D"/>
    <w:rsid w:val="000817C5"/>
    <w:rsid w:val="00082BB9"/>
    <w:rsid w:val="00083F22"/>
    <w:rsid w:val="00084461"/>
    <w:rsid w:val="00085222"/>
    <w:rsid w:val="00085D3E"/>
    <w:rsid w:val="00087731"/>
    <w:rsid w:val="000877E3"/>
    <w:rsid w:val="000920AE"/>
    <w:rsid w:val="00092C31"/>
    <w:rsid w:val="00093484"/>
    <w:rsid w:val="0009375D"/>
    <w:rsid w:val="0009502C"/>
    <w:rsid w:val="00095B96"/>
    <w:rsid w:val="000961F8"/>
    <w:rsid w:val="00096798"/>
    <w:rsid w:val="00097E8E"/>
    <w:rsid w:val="000A0308"/>
    <w:rsid w:val="000A11C8"/>
    <w:rsid w:val="000A28B8"/>
    <w:rsid w:val="000A2C78"/>
    <w:rsid w:val="000A3A13"/>
    <w:rsid w:val="000A3FB8"/>
    <w:rsid w:val="000A45F7"/>
    <w:rsid w:val="000A5765"/>
    <w:rsid w:val="000A7492"/>
    <w:rsid w:val="000A7B19"/>
    <w:rsid w:val="000A7F43"/>
    <w:rsid w:val="000B0939"/>
    <w:rsid w:val="000B23F1"/>
    <w:rsid w:val="000B2D2E"/>
    <w:rsid w:val="000B3D5F"/>
    <w:rsid w:val="000B5F21"/>
    <w:rsid w:val="000B6BD7"/>
    <w:rsid w:val="000B7651"/>
    <w:rsid w:val="000B7A6B"/>
    <w:rsid w:val="000C02AA"/>
    <w:rsid w:val="000C081E"/>
    <w:rsid w:val="000C1901"/>
    <w:rsid w:val="000C1BDF"/>
    <w:rsid w:val="000C282A"/>
    <w:rsid w:val="000C4633"/>
    <w:rsid w:val="000C50C7"/>
    <w:rsid w:val="000C5F91"/>
    <w:rsid w:val="000C6465"/>
    <w:rsid w:val="000C777B"/>
    <w:rsid w:val="000C7929"/>
    <w:rsid w:val="000C7C91"/>
    <w:rsid w:val="000D0842"/>
    <w:rsid w:val="000D19EE"/>
    <w:rsid w:val="000D1A83"/>
    <w:rsid w:val="000D2604"/>
    <w:rsid w:val="000D31A4"/>
    <w:rsid w:val="000D360E"/>
    <w:rsid w:val="000D4815"/>
    <w:rsid w:val="000D5C38"/>
    <w:rsid w:val="000D6CF2"/>
    <w:rsid w:val="000D6DDD"/>
    <w:rsid w:val="000D7AA3"/>
    <w:rsid w:val="000E04B1"/>
    <w:rsid w:val="000E0873"/>
    <w:rsid w:val="000E1BB6"/>
    <w:rsid w:val="000E268A"/>
    <w:rsid w:val="000E32FA"/>
    <w:rsid w:val="000E39DF"/>
    <w:rsid w:val="000E41B2"/>
    <w:rsid w:val="000E4CD5"/>
    <w:rsid w:val="000E5E19"/>
    <w:rsid w:val="000E642E"/>
    <w:rsid w:val="000E7214"/>
    <w:rsid w:val="000E773E"/>
    <w:rsid w:val="000F0261"/>
    <w:rsid w:val="000F0523"/>
    <w:rsid w:val="000F105D"/>
    <w:rsid w:val="000F1582"/>
    <w:rsid w:val="000F1606"/>
    <w:rsid w:val="000F1D46"/>
    <w:rsid w:val="000F1F21"/>
    <w:rsid w:val="000F2416"/>
    <w:rsid w:val="000F2853"/>
    <w:rsid w:val="000F2DFC"/>
    <w:rsid w:val="000F3D7D"/>
    <w:rsid w:val="000F415F"/>
    <w:rsid w:val="000F4510"/>
    <w:rsid w:val="000F45F8"/>
    <w:rsid w:val="000F51E7"/>
    <w:rsid w:val="000F5893"/>
    <w:rsid w:val="000F627D"/>
    <w:rsid w:val="000F693C"/>
    <w:rsid w:val="000F6F31"/>
    <w:rsid w:val="0010092F"/>
    <w:rsid w:val="00101814"/>
    <w:rsid w:val="00101AB3"/>
    <w:rsid w:val="00102A02"/>
    <w:rsid w:val="00102BB0"/>
    <w:rsid w:val="00102C27"/>
    <w:rsid w:val="00104938"/>
    <w:rsid w:val="0010511E"/>
    <w:rsid w:val="00107537"/>
    <w:rsid w:val="0010762F"/>
    <w:rsid w:val="00107A15"/>
    <w:rsid w:val="00110443"/>
    <w:rsid w:val="0011150A"/>
    <w:rsid w:val="00112014"/>
    <w:rsid w:val="001124B6"/>
    <w:rsid w:val="00112580"/>
    <w:rsid w:val="0011332D"/>
    <w:rsid w:val="00113784"/>
    <w:rsid w:val="00114EF0"/>
    <w:rsid w:val="00114F54"/>
    <w:rsid w:val="001170AF"/>
    <w:rsid w:val="00120464"/>
    <w:rsid w:val="001206D1"/>
    <w:rsid w:val="00121263"/>
    <w:rsid w:val="001220EC"/>
    <w:rsid w:val="00122521"/>
    <w:rsid w:val="001227E8"/>
    <w:rsid w:val="00122F33"/>
    <w:rsid w:val="001246DB"/>
    <w:rsid w:val="00124E0F"/>
    <w:rsid w:val="00125519"/>
    <w:rsid w:val="0013129D"/>
    <w:rsid w:val="00135071"/>
    <w:rsid w:val="00140797"/>
    <w:rsid w:val="00142539"/>
    <w:rsid w:val="0014258F"/>
    <w:rsid w:val="00145F78"/>
    <w:rsid w:val="0014697D"/>
    <w:rsid w:val="00146A17"/>
    <w:rsid w:val="00150168"/>
    <w:rsid w:val="00151284"/>
    <w:rsid w:val="00151B4A"/>
    <w:rsid w:val="00151C89"/>
    <w:rsid w:val="00151D7B"/>
    <w:rsid w:val="00152CAE"/>
    <w:rsid w:val="001540CD"/>
    <w:rsid w:val="00155F93"/>
    <w:rsid w:val="00156976"/>
    <w:rsid w:val="0016087D"/>
    <w:rsid w:val="001608DF"/>
    <w:rsid w:val="00161CD5"/>
    <w:rsid w:val="00162B68"/>
    <w:rsid w:val="00165FDE"/>
    <w:rsid w:val="00166888"/>
    <w:rsid w:val="001675C6"/>
    <w:rsid w:val="00167C50"/>
    <w:rsid w:val="00170027"/>
    <w:rsid w:val="00170D5E"/>
    <w:rsid w:val="00170F1D"/>
    <w:rsid w:val="001735E0"/>
    <w:rsid w:val="00174666"/>
    <w:rsid w:val="00175575"/>
    <w:rsid w:val="001779B1"/>
    <w:rsid w:val="0018178A"/>
    <w:rsid w:val="001827D8"/>
    <w:rsid w:val="0018322B"/>
    <w:rsid w:val="001853A1"/>
    <w:rsid w:val="0018540A"/>
    <w:rsid w:val="00185A01"/>
    <w:rsid w:val="00186689"/>
    <w:rsid w:val="00186BD1"/>
    <w:rsid w:val="00186C7D"/>
    <w:rsid w:val="0018757E"/>
    <w:rsid w:val="001919A3"/>
    <w:rsid w:val="001933F9"/>
    <w:rsid w:val="00194D05"/>
    <w:rsid w:val="00196528"/>
    <w:rsid w:val="00197B69"/>
    <w:rsid w:val="00197F68"/>
    <w:rsid w:val="001A0A9B"/>
    <w:rsid w:val="001A0C74"/>
    <w:rsid w:val="001A1787"/>
    <w:rsid w:val="001A1989"/>
    <w:rsid w:val="001A1BB5"/>
    <w:rsid w:val="001A2330"/>
    <w:rsid w:val="001A2C09"/>
    <w:rsid w:val="001A467E"/>
    <w:rsid w:val="001A51C2"/>
    <w:rsid w:val="001A55A2"/>
    <w:rsid w:val="001A6ED0"/>
    <w:rsid w:val="001A736A"/>
    <w:rsid w:val="001A76C5"/>
    <w:rsid w:val="001B1D50"/>
    <w:rsid w:val="001B1F19"/>
    <w:rsid w:val="001B2C21"/>
    <w:rsid w:val="001B2EB0"/>
    <w:rsid w:val="001B35ED"/>
    <w:rsid w:val="001B3A9B"/>
    <w:rsid w:val="001B4C4A"/>
    <w:rsid w:val="001B4F2D"/>
    <w:rsid w:val="001B57E7"/>
    <w:rsid w:val="001B5E44"/>
    <w:rsid w:val="001B646F"/>
    <w:rsid w:val="001B7C05"/>
    <w:rsid w:val="001C02BD"/>
    <w:rsid w:val="001C064F"/>
    <w:rsid w:val="001C09F1"/>
    <w:rsid w:val="001C1DF6"/>
    <w:rsid w:val="001C22D4"/>
    <w:rsid w:val="001C238F"/>
    <w:rsid w:val="001C268D"/>
    <w:rsid w:val="001C2ED2"/>
    <w:rsid w:val="001C4169"/>
    <w:rsid w:val="001C560B"/>
    <w:rsid w:val="001C72A5"/>
    <w:rsid w:val="001C72E0"/>
    <w:rsid w:val="001D03F1"/>
    <w:rsid w:val="001D0606"/>
    <w:rsid w:val="001D178A"/>
    <w:rsid w:val="001D1B82"/>
    <w:rsid w:val="001D42AD"/>
    <w:rsid w:val="001D46C2"/>
    <w:rsid w:val="001D5029"/>
    <w:rsid w:val="001D5544"/>
    <w:rsid w:val="001D56D4"/>
    <w:rsid w:val="001D713B"/>
    <w:rsid w:val="001E07F1"/>
    <w:rsid w:val="001E0D37"/>
    <w:rsid w:val="001E2E2D"/>
    <w:rsid w:val="001E3ABE"/>
    <w:rsid w:val="001E3DFD"/>
    <w:rsid w:val="001E3E0B"/>
    <w:rsid w:val="001E4F1D"/>
    <w:rsid w:val="001E55C0"/>
    <w:rsid w:val="001E5F7C"/>
    <w:rsid w:val="001E6652"/>
    <w:rsid w:val="001E6868"/>
    <w:rsid w:val="001E6BEF"/>
    <w:rsid w:val="001F098D"/>
    <w:rsid w:val="001F09FA"/>
    <w:rsid w:val="001F0B88"/>
    <w:rsid w:val="001F13A6"/>
    <w:rsid w:val="001F28B9"/>
    <w:rsid w:val="001F5DBD"/>
    <w:rsid w:val="001F6977"/>
    <w:rsid w:val="001F6D8C"/>
    <w:rsid w:val="001F734A"/>
    <w:rsid w:val="001F79E4"/>
    <w:rsid w:val="001F7DA6"/>
    <w:rsid w:val="002006EC"/>
    <w:rsid w:val="002021B1"/>
    <w:rsid w:val="00202413"/>
    <w:rsid w:val="00202FDA"/>
    <w:rsid w:val="00204595"/>
    <w:rsid w:val="002045AF"/>
    <w:rsid w:val="00204643"/>
    <w:rsid w:val="002106B3"/>
    <w:rsid w:val="00210F80"/>
    <w:rsid w:val="00211914"/>
    <w:rsid w:val="00211D7E"/>
    <w:rsid w:val="00212104"/>
    <w:rsid w:val="00213225"/>
    <w:rsid w:val="00214558"/>
    <w:rsid w:val="0021591E"/>
    <w:rsid w:val="00216130"/>
    <w:rsid w:val="002161A7"/>
    <w:rsid w:val="00216EE9"/>
    <w:rsid w:val="00217B68"/>
    <w:rsid w:val="002204E4"/>
    <w:rsid w:val="00220937"/>
    <w:rsid w:val="002215F2"/>
    <w:rsid w:val="00221A91"/>
    <w:rsid w:val="00221FC8"/>
    <w:rsid w:val="00223F13"/>
    <w:rsid w:val="0022428D"/>
    <w:rsid w:val="00226C4A"/>
    <w:rsid w:val="002275CF"/>
    <w:rsid w:val="0023120A"/>
    <w:rsid w:val="00231CA6"/>
    <w:rsid w:val="00231F6C"/>
    <w:rsid w:val="002325FF"/>
    <w:rsid w:val="002332FB"/>
    <w:rsid w:val="00237F76"/>
    <w:rsid w:val="00240F01"/>
    <w:rsid w:val="0024169C"/>
    <w:rsid w:val="0024239E"/>
    <w:rsid w:val="002423DE"/>
    <w:rsid w:val="002436FB"/>
    <w:rsid w:val="0024418B"/>
    <w:rsid w:val="00244559"/>
    <w:rsid w:val="00246321"/>
    <w:rsid w:val="00247449"/>
    <w:rsid w:val="00250379"/>
    <w:rsid w:val="00251EBB"/>
    <w:rsid w:val="002522CF"/>
    <w:rsid w:val="00252CF4"/>
    <w:rsid w:val="002549B0"/>
    <w:rsid w:val="0025508C"/>
    <w:rsid w:val="00255204"/>
    <w:rsid w:val="00255697"/>
    <w:rsid w:val="002624B9"/>
    <w:rsid w:val="002628DE"/>
    <w:rsid w:val="00266360"/>
    <w:rsid w:val="00267EAD"/>
    <w:rsid w:val="00267FB2"/>
    <w:rsid w:val="002704D4"/>
    <w:rsid w:val="0027088B"/>
    <w:rsid w:val="002748F5"/>
    <w:rsid w:val="0027521B"/>
    <w:rsid w:val="002752A9"/>
    <w:rsid w:val="00275B12"/>
    <w:rsid w:val="002766B2"/>
    <w:rsid w:val="00277F1E"/>
    <w:rsid w:val="00280367"/>
    <w:rsid w:val="00280618"/>
    <w:rsid w:val="002811AE"/>
    <w:rsid w:val="00285B00"/>
    <w:rsid w:val="00290620"/>
    <w:rsid w:val="002934D5"/>
    <w:rsid w:val="00294F1F"/>
    <w:rsid w:val="00295216"/>
    <w:rsid w:val="00295AA0"/>
    <w:rsid w:val="002964F8"/>
    <w:rsid w:val="00296C02"/>
    <w:rsid w:val="00296D01"/>
    <w:rsid w:val="002973AD"/>
    <w:rsid w:val="002A1799"/>
    <w:rsid w:val="002A1FC2"/>
    <w:rsid w:val="002A28E6"/>
    <w:rsid w:val="002A3E99"/>
    <w:rsid w:val="002A4598"/>
    <w:rsid w:val="002A5603"/>
    <w:rsid w:val="002A560C"/>
    <w:rsid w:val="002A59DA"/>
    <w:rsid w:val="002A6736"/>
    <w:rsid w:val="002A7432"/>
    <w:rsid w:val="002A7EA8"/>
    <w:rsid w:val="002B032F"/>
    <w:rsid w:val="002B14B8"/>
    <w:rsid w:val="002B1CE5"/>
    <w:rsid w:val="002B2718"/>
    <w:rsid w:val="002B2A81"/>
    <w:rsid w:val="002B3B73"/>
    <w:rsid w:val="002B4BF6"/>
    <w:rsid w:val="002B4DBF"/>
    <w:rsid w:val="002C00E4"/>
    <w:rsid w:val="002C01CE"/>
    <w:rsid w:val="002C4DC9"/>
    <w:rsid w:val="002C54AF"/>
    <w:rsid w:val="002C58A2"/>
    <w:rsid w:val="002C5F0B"/>
    <w:rsid w:val="002C64DA"/>
    <w:rsid w:val="002D0372"/>
    <w:rsid w:val="002D0CAB"/>
    <w:rsid w:val="002D1A22"/>
    <w:rsid w:val="002D2A1B"/>
    <w:rsid w:val="002D322B"/>
    <w:rsid w:val="002D47C5"/>
    <w:rsid w:val="002D6AE2"/>
    <w:rsid w:val="002D7945"/>
    <w:rsid w:val="002E1684"/>
    <w:rsid w:val="002E16AB"/>
    <w:rsid w:val="002E189E"/>
    <w:rsid w:val="002E2A8C"/>
    <w:rsid w:val="002E470A"/>
    <w:rsid w:val="002E4F8E"/>
    <w:rsid w:val="002E537D"/>
    <w:rsid w:val="002E5CE0"/>
    <w:rsid w:val="002F3569"/>
    <w:rsid w:val="002F3CEC"/>
    <w:rsid w:val="002F403D"/>
    <w:rsid w:val="002F5EFD"/>
    <w:rsid w:val="002F5F91"/>
    <w:rsid w:val="002F664C"/>
    <w:rsid w:val="002F6B92"/>
    <w:rsid w:val="002F6F02"/>
    <w:rsid w:val="003000B2"/>
    <w:rsid w:val="0030235A"/>
    <w:rsid w:val="003024C9"/>
    <w:rsid w:val="0030366B"/>
    <w:rsid w:val="003037F3"/>
    <w:rsid w:val="00306BB5"/>
    <w:rsid w:val="00310DC3"/>
    <w:rsid w:val="00312018"/>
    <w:rsid w:val="003128FE"/>
    <w:rsid w:val="00312961"/>
    <w:rsid w:val="00312ABB"/>
    <w:rsid w:val="003130C8"/>
    <w:rsid w:val="00313FDF"/>
    <w:rsid w:val="003156F2"/>
    <w:rsid w:val="003164E8"/>
    <w:rsid w:val="0031773D"/>
    <w:rsid w:val="0032132C"/>
    <w:rsid w:val="00321683"/>
    <w:rsid w:val="0032180B"/>
    <w:rsid w:val="00323886"/>
    <w:rsid w:val="00323DF2"/>
    <w:rsid w:val="00324221"/>
    <w:rsid w:val="00325452"/>
    <w:rsid w:val="0032618D"/>
    <w:rsid w:val="0032652F"/>
    <w:rsid w:val="00327044"/>
    <w:rsid w:val="003274A2"/>
    <w:rsid w:val="00330B78"/>
    <w:rsid w:val="00331048"/>
    <w:rsid w:val="003314D0"/>
    <w:rsid w:val="00331DA0"/>
    <w:rsid w:val="003369E9"/>
    <w:rsid w:val="00336BDA"/>
    <w:rsid w:val="00337FDE"/>
    <w:rsid w:val="00340EA7"/>
    <w:rsid w:val="00344367"/>
    <w:rsid w:val="00344AD2"/>
    <w:rsid w:val="00345215"/>
    <w:rsid w:val="00345787"/>
    <w:rsid w:val="00345F7E"/>
    <w:rsid w:val="00350A68"/>
    <w:rsid w:val="00350B7D"/>
    <w:rsid w:val="00352F2A"/>
    <w:rsid w:val="00353037"/>
    <w:rsid w:val="00356595"/>
    <w:rsid w:val="00356D38"/>
    <w:rsid w:val="0035703A"/>
    <w:rsid w:val="00357A7E"/>
    <w:rsid w:val="00360D60"/>
    <w:rsid w:val="00361935"/>
    <w:rsid w:val="003633CF"/>
    <w:rsid w:val="003636D0"/>
    <w:rsid w:val="00364FF5"/>
    <w:rsid w:val="00365C79"/>
    <w:rsid w:val="003662AB"/>
    <w:rsid w:val="0036649B"/>
    <w:rsid w:val="00366852"/>
    <w:rsid w:val="00367938"/>
    <w:rsid w:val="0037079F"/>
    <w:rsid w:val="00370ACD"/>
    <w:rsid w:val="00370CA3"/>
    <w:rsid w:val="0037308F"/>
    <w:rsid w:val="00373ABB"/>
    <w:rsid w:val="00373E92"/>
    <w:rsid w:val="003765C1"/>
    <w:rsid w:val="00377B9E"/>
    <w:rsid w:val="00380111"/>
    <w:rsid w:val="00380737"/>
    <w:rsid w:val="0038164D"/>
    <w:rsid w:val="00382253"/>
    <w:rsid w:val="00382893"/>
    <w:rsid w:val="003832F2"/>
    <w:rsid w:val="00383F69"/>
    <w:rsid w:val="00384749"/>
    <w:rsid w:val="0038669D"/>
    <w:rsid w:val="00387A66"/>
    <w:rsid w:val="00390A85"/>
    <w:rsid w:val="00390DE4"/>
    <w:rsid w:val="00391071"/>
    <w:rsid w:val="003911EE"/>
    <w:rsid w:val="00392E34"/>
    <w:rsid w:val="00394C59"/>
    <w:rsid w:val="00395E09"/>
    <w:rsid w:val="0039608F"/>
    <w:rsid w:val="0039692F"/>
    <w:rsid w:val="00397038"/>
    <w:rsid w:val="003A1F20"/>
    <w:rsid w:val="003A260E"/>
    <w:rsid w:val="003A2884"/>
    <w:rsid w:val="003A50DB"/>
    <w:rsid w:val="003A61A1"/>
    <w:rsid w:val="003A7B3C"/>
    <w:rsid w:val="003B012B"/>
    <w:rsid w:val="003B18D1"/>
    <w:rsid w:val="003B3054"/>
    <w:rsid w:val="003B495F"/>
    <w:rsid w:val="003B4CC0"/>
    <w:rsid w:val="003B667D"/>
    <w:rsid w:val="003B6C6F"/>
    <w:rsid w:val="003B78DE"/>
    <w:rsid w:val="003C0C0A"/>
    <w:rsid w:val="003C245E"/>
    <w:rsid w:val="003C2EED"/>
    <w:rsid w:val="003C3441"/>
    <w:rsid w:val="003C5D67"/>
    <w:rsid w:val="003C5EDD"/>
    <w:rsid w:val="003C66B3"/>
    <w:rsid w:val="003C6E2F"/>
    <w:rsid w:val="003C712A"/>
    <w:rsid w:val="003C7D64"/>
    <w:rsid w:val="003D0366"/>
    <w:rsid w:val="003D0965"/>
    <w:rsid w:val="003D09D2"/>
    <w:rsid w:val="003D0B4D"/>
    <w:rsid w:val="003D0E89"/>
    <w:rsid w:val="003D10E1"/>
    <w:rsid w:val="003D16BD"/>
    <w:rsid w:val="003D172F"/>
    <w:rsid w:val="003D1830"/>
    <w:rsid w:val="003D18BD"/>
    <w:rsid w:val="003D3585"/>
    <w:rsid w:val="003D5000"/>
    <w:rsid w:val="003D5350"/>
    <w:rsid w:val="003D74BA"/>
    <w:rsid w:val="003D7C54"/>
    <w:rsid w:val="003D7D23"/>
    <w:rsid w:val="003E01C0"/>
    <w:rsid w:val="003E045D"/>
    <w:rsid w:val="003E170C"/>
    <w:rsid w:val="003E4407"/>
    <w:rsid w:val="003E58CE"/>
    <w:rsid w:val="003E72D6"/>
    <w:rsid w:val="003E7350"/>
    <w:rsid w:val="003F1C9E"/>
    <w:rsid w:val="003F3985"/>
    <w:rsid w:val="003F4045"/>
    <w:rsid w:val="003F55AB"/>
    <w:rsid w:val="003F7AC2"/>
    <w:rsid w:val="004004F7"/>
    <w:rsid w:val="004033E9"/>
    <w:rsid w:val="004038AE"/>
    <w:rsid w:val="00406E7E"/>
    <w:rsid w:val="00407D33"/>
    <w:rsid w:val="004104D9"/>
    <w:rsid w:val="00410A3C"/>
    <w:rsid w:val="00410D76"/>
    <w:rsid w:val="00412B54"/>
    <w:rsid w:val="00412EAE"/>
    <w:rsid w:val="00415136"/>
    <w:rsid w:val="004153EC"/>
    <w:rsid w:val="00415A76"/>
    <w:rsid w:val="00415FFF"/>
    <w:rsid w:val="00416028"/>
    <w:rsid w:val="0041787F"/>
    <w:rsid w:val="00423C51"/>
    <w:rsid w:val="00424A4B"/>
    <w:rsid w:val="004250D3"/>
    <w:rsid w:val="00425ED5"/>
    <w:rsid w:val="00426632"/>
    <w:rsid w:val="004306DF"/>
    <w:rsid w:val="00430C89"/>
    <w:rsid w:val="00431F55"/>
    <w:rsid w:val="00433669"/>
    <w:rsid w:val="004347A1"/>
    <w:rsid w:val="0043549B"/>
    <w:rsid w:val="00436525"/>
    <w:rsid w:val="00436631"/>
    <w:rsid w:val="0043682A"/>
    <w:rsid w:val="00436908"/>
    <w:rsid w:val="00436BF4"/>
    <w:rsid w:val="00440441"/>
    <w:rsid w:val="00440FF6"/>
    <w:rsid w:val="00441E84"/>
    <w:rsid w:val="0044264F"/>
    <w:rsid w:val="004428A3"/>
    <w:rsid w:val="00442D45"/>
    <w:rsid w:val="00443C1F"/>
    <w:rsid w:val="00447ED3"/>
    <w:rsid w:val="0045209B"/>
    <w:rsid w:val="0045210E"/>
    <w:rsid w:val="0045336B"/>
    <w:rsid w:val="00454C64"/>
    <w:rsid w:val="00455A91"/>
    <w:rsid w:val="00455E41"/>
    <w:rsid w:val="00456041"/>
    <w:rsid w:val="0045635C"/>
    <w:rsid w:val="004635E3"/>
    <w:rsid w:val="00463A0B"/>
    <w:rsid w:val="00463D90"/>
    <w:rsid w:val="00465953"/>
    <w:rsid w:val="00470F74"/>
    <w:rsid w:val="00473949"/>
    <w:rsid w:val="00474E1F"/>
    <w:rsid w:val="00475A98"/>
    <w:rsid w:val="00476125"/>
    <w:rsid w:val="00481F16"/>
    <w:rsid w:val="004836D0"/>
    <w:rsid w:val="0048389E"/>
    <w:rsid w:val="00485275"/>
    <w:rsid w:val="004857D1"/>
    <w:rsid w:val="00485997"/>
    <w:rsid w:val="00490093"/>
    <w:rsid w:val="00490B5E"/>
    <w:rsid w:val="00490D92"/>
    <w:rsid w:val="00492089"/>
    <w:rsid w:val="00492466"/>
    <w:rsid w:val="00492578"/>
    <w:rsid w:val="00494030"/>
    <w:rsid w:val="00496106"/>
    <w:rsid w:val="0049784F"/>
    <w:rsid w:val="00497B29"/>
    <w:rsid w:val="004A095A"/>
    <w:rsid w:val="004A0968"/>
    <w:rsid w:val="004A0FBC"/>
    <w:rsid w:val="004A1446"/>
    <w:rsid w:val="004A1545"/>
    <w:rsid w:val="004A16AE"/>
    <w:rsid w:val="004A39B6"/>
    <w:rsid w:val="004A5702"/>
    <w:rsid w:val="004A5D6F"/>
    <w:rsid w:val="004A675F"/>
    <w:rsid w:val="004B1024"/>
    <w:rsid w:val="004B42F2"/>
    <w:rsid w:val="004B6993"/>
    <w:rsid w:val="004B7B56"/>
    <w:rsid w:val="004B7FD7"/>
    <w:rsid w:val="004C0185"/>
    <w:rsid w:val="004C0FCF"/>
    <w:rsid w:val="004C2BA4"/>
    <w:rsid w:val="004C2CA1"/>
    <w:rsid w:val="004C378A"/>
    <w:rsid w:val="004C3B9C"/>
    <w:rsid w:val="004C471E"/>
    <w:rsid w:val="004C57FB"/>
    <w:rsid w:val="004D201F"/>
    <w:rsid w:val="004D22E4"/>
    <w:rsid w:val="004D2426"/>
    <w:rsid w:val="004D38BE"/>
    <w:rsid w:val="004D3B71"/>
    <w:rsid w:val="004D4557"/>
    <w:rsid w:val="004D50A7"/>
    <w:rsid w:val="004D787A"/>
    <w:rsid w:val="004E3DB2"/>
    <w:rsid w:val="004E3E4A"/>
    <w:rsid w:val="004E3E72"/>
    <w:rsid w:val="004E3F0D"/>
    <w:rsid w:val="004E4B71"/>
    <w:rsid w:val="004E4BEF"/>
    <w:rsid w:val="004E7FAE"/>
    <w:rsid w:val="004F0DBB"/>
    <w:rsid w:val="004F1D1D"/>
    <w:rsid w:val="004F2CE6"/>
    <w:rsid w:val="004F4146"/>
    <w:rsid w:val="004F490B"/>
    <w:rsid w:val="004F4991"/>
    <w:rsid w:val="004F5A1B"/>
    <w:rsid w:val="00500215"/>
    <w:rsid w:val="00501B16"/>
    <w:rsid w:val="00502668"/>
    <w:rsid w:val="00504A30"/>
    <w:rsid w:val="00505AA3"/>
    <w:rsid w:val="00507160"/>
    <w:rsid w:val="00507703"/>
    <w:rsid w:val="00510F1E"/>
    <w:rsid w:val="00512C27"/>
    <w:rsid w:val="00512EAD"/>
    <w:rsid w:val="00514797"/>
    <w:rsid w:val="00514820"/>
    <w:rsid w:val="00514C5F"/>
    <w:rsid w:val="00516527"/>
    <w:rsid w:val="00517632"/>
    <w:rsid w:val="00520AFE"/>
    <w:rsid w:val="00521D87"/>
    <w:rsid w:val="005233DE"/>
    <w:rsid w:val="005234C9"/>
    <w:rsid w:val="0052357A"/>
    <w:rsid w:val="00523A83"/>
    <w:rsid w:val="005256C4"/>
    <w:rsid w:val="00527845"/>
    <w:rsid w:val="00530894"/>
    <w:rsid w:val="005319D4"/>
    <w:rsid w:val="00532172"/>
    <w:rsid w:val="0053286E"/>
    <w:rsid w:val="00532E8C"/>
    <w:rsid w:val="00533398"/>
    <w:rsid w:val="00534175"/>
    <w:rsid w:val="0053447F"/>
    <w:rsid w:val="0053455C"/>
    <w:rsid w:val="00534D81"/>
    <w:rsid w:val="005358A6"/>
    <w:rsid w:val="00536822"/>
    <w:rsid w:val="00537D0E"/>
    <w:rsid w:val="00540221"/>
    <w:rsid w:val="005407D8"/>
    <w:rsid w:val="00542A73"/>
    <w:rsid w:val="0054429D"/>
    <w:rsid w:val="00545B24"/>
    <w:rsid w:val="00546950"/>
    <w:rsid w:val="00547043"/>
    <w:rsid w:val="005473E2"/>
    <w:rsid w:val="005508ED"/>
    <w:rsid w:val="005520D9"/>
    <w:rsid w:val="00552C72"/>
    <w:rsid w:val="00553000"/>
    <w:rsid w:val="0055458F"/>
    <w:rsid w:val="00554D8B"/>
    <w:rsid w:val="0055586B"/>
    <w:rsid w:val="00556772"/>
    <w:rsid w:val="005578B4"/>
    <w:rsid w:val="00557D8E"/>
    <w:rsid w:val="00557FBF"/>
    <w:rsid w:val="0056114B"/>
    <w:rsid w:val="0056152A"/>
    <w:rsid w:val="005626BC"/>
    <w:rsid w:val="00562A4D"/>
    <w:rsid w:val="00562D09"/>
    <w:rsid w:val="005630D5"/>
    <w:rsid w:val="005634C2"/>
    <w:rsid w:val="005667D6"/>
    <w:rsid w:val="005667EB"/>
    <w:rsid w:val="00570B83"/>
    <w:rsid w:val="00570C66"/>
    <w:rsid w:val="00571BFF"/>
    <w:rsid w:val="00572069"/>
    <w:rsid w:val="0057300E"/>
    <w:rsid w:val="005742E2"/>
    <w:rsid w:val="00574542"/>
    <w:rsid w:val="0057460C"/>
    <w:rsid w:val="00575101"/>
    <w:rsid w:val="00575177"/>
    <w:rsid w:val="00575B91"/>
    <w:rsid w:val="0057655C"/>
    <w:rsid w:val="00576E3D"/>
    <w:rsid w:val="005770F9"/>
    <w:rsid w:val="005803AB"/>
    <w:rsid w:val="005815EC"/>
    <w:rsid w:val="00581A5C"/>
    <w:rsid w:val="00581A76"/>
    <w:rsid w:val="00581B14"/>
    <w:rsid w:val="00583D1A"/>
    <w:rsid w:val="005840A1"/>
    <w:rsid w:val="00585336"/>
    <w:rsid w:val="005860DD"/>
    <w:rsid w:val="00586628"/>
    <w:rsid w:val="0058674F"/>
    <w:rsid w:val="00587B9D"/>
    <w:rsid w:val="00590A19"/>
    <w:rsid w:val="0059106B"/>
    <w:rsid w:val="00592DC2"/>
    <w:rsid w:val="00594DD6"/>
    <w:rsid w:val="00595095"/>
    <w:rsid w:val="005A0E21"/>
    <w:rsid w:val="005A1036"/>
    <w:rsid w:val="005A1709"/>
    <w:rsid w:val="005A1DE2"/>
    <w:rsid w:val="005A2795"/>
    <w:rsid w:val="005A2DDF"/>
    <w:rsid w:val="005A3188"/>
    <w:rsid w:val="005A4AE9"/>
    <w:rsid w:val="005A5DC8"/>
    <w:rsid w:val="005A73F8"/>
    <w:rsid w:val="005B13C0"/>
    <w:rsid w:val="005B1A9C"/>
    <w:rsid w:val="005B33FC"/>
    <w:rsid w:val="005B37E0"/>
    <w:rsid w:val="005B3B49"/>
    <w:rsid w:val="005B4A48"/>
    <w:rsid w:val="005B4D99"/>
    <w:rsid w:val="005B4F8D"/>
    <w:rsid w:val="005B6697"/>
    <w:rsid w:val="005B6CB3"/>
    <w:rsid w:val="005B783F"/>
    <w:rsid w:val="005C03A6"/>
    <w:rsid w:val="005C0746"/>
    <w:rsid w:val="005C0B1C"/>
    <w:rsid w:val="005C160B"/>
    <w:rsid w:val="005C1731"/>
    <w:rsid w:val="005C204F"/>
    <w:rsid w:val="005C3A79"/>
    <w:rsid w:val="005C3E9C"/>
    <w:rsid w:val="005C498A"/>
    <w:rsid w:val="005C5312"/>
    <w:rsid w:val="005C5C9E"/>
    <w:rsid w:val="005C5FB8"/>
    <w:rsid w:val="005C610E"/>
    <w:rsid w:val="005D0002"/>
    <w:rsid w:val="005D04FD"/>
    <w:rsid w:val="005D09CF"/>
    <w:rsid w:val="005D1ED1"/>
    <w:rsid w:val="005D5061"/>
    <w:rsid w:val="005D6D0D"/>
    <w:rsid w:val="005D7D74"/>
    <w:rsid w:val="005E1BC2"/>
    <w:rsid w:val="005E3ABC"/>
    <w:rsid w:val="005E49D7"/>
    <w:rsid w:val="005E4A18"/>
    <w:rsid w:val="005E4C6F"/>
    <w:rsid w:val="005E51A3"/>
    <w:rsid w:val="005E6847"/>
    <w:rsid w:val="005E75C0"/>
    <w:rsid w:val="005E7D4B"/>
    <w:rsid w:val="005F117E"/>
    <w:rsid w:val="005F28D7"/>
    <w:rsid w:val="005F336C"/>
    <w:rsid w:val="005F40DA"/>
    <w:rsid w:val="005F5A9C"/>
    <w:rsid w:val="005F5BC0"/>
    <w:rsid w:val="005F5D04"/>
    <w:rsid w:val="005F6A13"/>
    <w:rsid w:val="005F6D7D"/>
    <w:rsid w:val="00600DDF"/>
    <w:rsid w:val="006024D2"/>
    <w:rsid w:val="006045A5"/>
    <w:rsid w:val="00604BB9"/>
    <w:rsid w:val="00604D46"/>
    <w:rsid w:val="00606038"/>
    <w:rsid w:val="00606345"/>
    <w:rsid w:val="006066DE"/>
    <w:rsid w:val="0060678E"/>
    <w:rsid w:val="006074A4"/>
    <w:rsid w:val="006134BE"/>
    <w:rsid w:val="00613D66"/>
    <w:rsid w:val="0061521A"/>
    <w:rsid w:val="006157B9"/>
    <w:rsid w:val="00615D8C"/>
    <w:rsid w:val="0061660B"/>
    <w:rsid w:val="00616D4E"/>
    <w:rsid w:val="00617395"/>
    <w:rsid w:val="00617C64"/>
    <w:rsid w:val="00620CAF"/>
    <w:rsid w:val="006212C9"/>
    <w:rsid w:val="0062178A"/>
    <w:rsid w:val="006218DB"/>
    <w:rsid w:val="00621DE5"/>
    <w:rsid w:val="006229D2"/>
    <w:rsid w:val="00624F73"/>
    <w:rsid w:val="006279DB"/>
    <w:rsid w:val="00627B50"/>
    <w:rsid w:val="00627B9D"/>
    <w:rsid w:val="0063067E"/>
    <w:rsid w:val="0063117A"/>
    <w:rsid w:val="00631298"/>
    <w:rsid w:val="0063152E"/>
    <w:rsid w:val="006316D5"/>
    <w:rsid w:val="00631C1E"/>
    <w:rsid w:val="0063224C"/>
    <w:rsid w:val="00632C8A"/>
    <w:rsid w:val="00635566"/>
    <w:rsid w:val="006357A2"/>
    <w:rsid w:val="006364C9"/>
    <w:rsid w:val="006371F6"/>
    <w:rsid w:val="00637334"/>
    <w:rsid w:val="006375C4"/>
    <w:rsid w:val="0064058C"/>
    <w:rsid w:val="00640DC1"/>
    <w:rsid w:val="006418DC"/>
    <w:rsid w:val="00644562"/>
    <w:rsid w:val="00645C50"/>
    <w:rsid w:val="006472A5"/>
    <w:rsid w:val="00647373"/>
    <w:rsid w:val="00651EE6"/>
    <w:rsid w:val="00652C6A"/>
    <w:rsid w:val="00652C7D"/>
    <w:rsid w:val="00652EEA"/>
    <w:rsid w:val="00653B83"/>
    <w:rsid w:val="00656E21"/>
    <w:rsid w:val="00656E3B"/>
    <w:rsid w:val="00657076"/>
    <w:rsid w:val="00657727"/>
    <w:rsid w:val="00662B3A"/>
    <w:rsid w:val="00662D39"/>
    <w:rsid w:val="00662DEC"/>
    <w:rsid w:val="0066322F"/>
    <w:rsid w:val="00663649"/>
    <w:rsid w:val="00663793"/>
    <w:rsid w:val="00663D86"/>
    <w:rsid w:val="0066488A"/>
    <w:rsid w:val="0066523F"/>
    <w:rsid w:val="0066599F"/>
    <w:rsid w:val="00665CBD"/>
    <w:rsid w:val="00665F30"/>
    <w:rsid w:val="00666172"/>
    <w:rsid w:val="0066727E"/>
    <w:rsid w:val="00670ED8"/>
    <w:rsid w:val="00671621"/>
    <w:rsid w:val="00672F13"/>
    <w:rsid w:val="006730B6"/>
    <w:rsid w:val="00673406"/>
    <w:rsid w:val="00673520"/>
    <w:rsid w:val="00676432"/>
    <w:rsid w:val="006774DF"/>
    <w:rsid w:val="00682DE2"/>
    <w:rsid w:val="00682EF8"/>
    <w:rsid w:val="00683CED"/>
    <w:rsid w:val="0068447A"/>
    <w:rsid w:val="00686353"/>
    <w:rsid w:val="0068636C"/>
    <w:rsid w:val="00687835"/>
    <w:rsid w:val="0069027A"/>
    <w:rsid w:val="006910BF"/>
    <w:rsid w:val="00691A4E"/>
    <w:rsid w:val="006944F3"/>
    <w:rsid w:val="00696EBB"/>
    <w:rsid w:val="00697488"/>
    <w:rsid w:val="006975B6"/>
    <w:rsid w:val="006A00E9"/>
    <w:rsid w:val="006A0CC6"/>
    <w:rsid w:val="006A1C42"/>
    <w:rsid w:val="006A47B4"/>
    <w:rsid w:val="006A52C3"/>
    <w:rsid w:val="006A609B"/>
    <w:rsid w:val="006A737C"/>
    <w:rsid w:val="006A774E"/>
    <w:rsid w:val="006B24C4"/>
    <w:rsid w:val="006B3C6B"/>
    <w:rsid w:val="006B3C8D"/>
    <w:rsid w:val="006B4668"/>
    <w:rsid w:val="006B5E0B"/>
    <w:rsid w:val="006C21A1"/>
    <w:rsid w:val="006C29A2"/>
    <w:rsid w:val="006C2E0B"/>
    <w:rsid w:val="006C3C9F"/>
    <w:rsid w:val="006C7790"/>
    <w:rsid w:val="006D2559"/>
    <w:rsid w:val="006D3393"/>
    <w:rsid w:val="006D4130"/>
    <w:rsid w:val="006D5B9C"/>
    <w:rsid w:val="006D65D3"/>
    <w:rsid w:val="006D739F"/>
    <w:rsid w:val="006E1F48"/>
    <w:rsid w:val="006E282A"/>
    <w:rsid w:val="006E2C9B"/>
    <w:rsid w:val="006E4FEA"/>
    <w:rsid w:val="006E5DF6"/>
    <w:rsid w:val="006E614B"/>
    <w:rsid w:val="006E6408"/>
    <w:rsid w:val="006E6F33"/>
    <w:rsid w:val="006E7258"/>
    <w:rsid w:val="006E7EA7"/>
    <w:rsid w:val="006F0C67"/>
    <w:rsid w:val="006F1BB2"/>
    <w:rsid w:val="006F5F92"/>
    <w:rsid w:val="006F6192"/>
    <w:rsid w:val="00700104"/>
    <w:rsid w:val="00700B3B"/>
    <w:rsid w:val="007014B4"/>
    <w:rsid w:val="00704866"/>
    <w:rsid w:val="0070626B"/>
    <w:rsid w:val="0070643E"/>
    <w:rsid w:val="007102D5"/>
    <w:rsid w:val="007106BE"/>
    <w:rsid w:val="00713148"/>
    <w:rsid w:val="007144CC"/>
    <w:rsid w:val="007147A8"/>
    <w:rsid w:val="00714CF1"/>
    <w:rsid w:val="00715E1A"/>
    <w:rsid w:val="0071702B"/>
    <w:rsid w:val="00720FDC"/>
    <w:rsid w:val="00723AE9"/>
    <w:rsid w:val="00727F68"/>
    <w:rsid w:val="00730421"/>
    <w:rsid w:val="00730434"/>
    <w:rsid w:val="00730769"/>
    <w:rsid w:val="00730A57"/>
    <w:rsid w:val="00731173"/>
    <w:rsid w:val="00732158"/>
    <w:rsid w:val="00734933"/>
    <w:rsid w:val="00735014"/>
    <w:rsid w:val="00736814"/>
    <w:rsid w:val="00737197"/>
    <w:rsid w:val="00737B91"/>
    <w:rsid w:val="007400E0"/>
    <w:rsid w:val="0074178D"/>
    <w:rsid w:val="00741A5F"/>
    <w:rsid w:val="00741CA8"/>
    <w:rsid w:val="00744178"/>
    <w:rsid w:val="007441BC"/>
    <w:rsid w:val="007442CD"/>
    <w:rsid w:val="0074542B"/>
    <w:rsid w:val="00745E9F"/>
    <w:rsid w:val="00746256"/>
    <w:rsid w:val="00746AFD"/>
    <w:rsid w:val="0075000C"/>
    <w:rsid w:val="00750962"/>
    <w:rsid w:val="00750E9E"/>
    <w:rsid w:val="00751049"/>
    <w:rsid w:val="00751106"/>
    <w:rsid w:val="0075126F"/>
    <w:rsid w:val="0075388F"/>
    <w:rsid w:val="00756761"/>
    <w:rsid w:val="00756A0A"/>
    <w:rsid w:val="00756FA7"/>
    <w:rsid w:val="00756FE9"/>
    <w:rsid w:val="00761510"/>
    <w:rsid w:val="00761820"/>
    <w:rsid w:val="00762198"/>
    <w:rsid w:val="007632AF"/>
    <w:rsid w:val="0076351D"/>
    <w:rsid w:val="007652E8"/>
    <w:rsid w:val="00765A00"/>
    <w:rsid w:val="00765C82"/>
    <w:rsid w:val="007665ED"/>
    <w:rsid w:val="00767F4D"/>
    <w:rsid w:val="007704D7"/>
    <w:rsid w:val="00771582"/>
    <w:rsid w:val="00771F91"/>
    <w:rsid w:val="00772173"/>
    <w:rsid w:val="007737CA"/>
    <w:rsid w:val="00774A4F"/>
    <w:rsid w:val="007775F5"/>
    <w:rsid w:val="00780647"/>
    <w:rsid w:val="007824AB"/>
    <w:rsid w:val="00784D79"/>
    <w:rsid w:val="00784F57"/>
    <w:rsid w:val="00786BEA"/>
    <w:rsid w:val="0079057B"/>
    <w:rsid w:val="007910CB"/>
    <w:rsid w:val="00792AA9"/>
    <w:rsid w:val="00792C7D"/>
    <w:rsid w:val="0079313F"/>
    <w:rsid w:val="00793F75"/>
    <w:rsid w:val="00794298"/>
    <w:rsid w:val="0079519B"/>
    <w:rsid w:val="007A03F9"/>
    <w:rsid w:val="007A24A3"/>
    <w:rsid w:val="007A2736"/>
    <w:rsid w:val="007A4AAA"/>
    <w:rsid w:val="007A63A6"/>
    <w:rsid w:val="007A686E"/>
    <w:rsid w:val="007A6E8A"/>
    <w:rsid w:val="007B3222"/>
    <w:rsid w:val="007B3455"/>
    <w:rsid w:val="007B3D1D"/>
    <w:rsid w:val="007B5FAE"/>
    <w:rsid w:val="007B64A4"/>
    <w:rsid w:val="007B70D4"/>
    <w:rsid w:val="007B79CD"/>
    <w:rsid w:val="007C0667"/>
    <w:rsid w:val="007C240E"/>
    <w:rsid w:val="007C3F89"/>
    <w:rsid w:val="007C4146"/>
    <w:rsid w:val="007C4BA4"/>
    <w:rsid w:val="007C538C"/>
    <w:rsid w:val="007C5813"/>
    <w:rsid w:val="007C72F1"/>
    <w:rsid w:val="007D05D6"/>
    <w:rsid w:val="007D1B44"/>
    <w:rsid w:val="007D4407"/>
    <w:rsid w:val="007D4B49"/>
    <w:rsid w:val="007D4C7B"/>
    <w:rsid w:val="007D590C"/>
    <w:rsid w:val="007D5B17"/>
    <w:rsid w:val="007D7D53"/>
    <w:rsid w:val="007E0A5D"/>
    <w:rsid w:val="007E1C6A"/>
    <w:rsid w:val="007E38EA"/>
    <w:rsid w:val="007E6984"/>
    <w:rsid w:val="007E6BA1"/>
    <w:rsid w:val="007E7351"/>
    <w:rsid w:val="007F25D0"/>
    <w:rsid w:val="007F3266"/>
    <w:rsid w:val="007F3F2A"/>
    <w:rsid w:val="007F46B8"/>
    <w:rsid w:val="007F4F0D"/>
    <w:rsid w:val="007F5BD3"/>
    <w:rsid w:val="007F64FB"/>
    <w:rsid w:val="007F7177"/>
    <w:rsid w:val="007F7350"/>
    <w:rsid w:val="008001AC"/>
    <w:rsid w:val="00800A15"/>
    <w:rsid w:val="008013AE"/>
    <w:rsid w:val="00804210"/>
    <w:rsid w:val="00805E9C"/>
    <w:rsid w:val="00806505"/>
    <w:rsid w:val="008078DC"/>
    <w:rsid w:val="00810EAA"/>
    <w:rsid w:val="0081150F"/>
    <w:rsid w:val="00811D05"/>
    <w:rsid w:val="00812852"/>
    <w:rsid w:val="00813484"/>
    <w:rsid w:val="00813617"/>
    <w:rsid w:val="00813ADF"/>
    <w:rsid w:val="00813C12"/>
    <w:rsid w:val="008140A0"/>
    <w:rsid w:val="008144A2"/>
    <w:rsid w:val="00816C4E"/>
    <w:rsid w:val="00816C99"/>
    <w:rsid w:val="00816ED3"/>
    <w:rsid w:val="00821BDA"/>
    <w:rsid w:val="008223C0"/>
    <w:rsid w:val="00822C59"/>
    <w:rsid w:val="00823CEE"/>
    <w:rsid w:val="0082523E"/>
    <w:rsid w:val="00825667"/>
    <w:rsid w:val="00826819"/>
    <w:rsid w:val="008333E9"/>
    <w:rsid w:val="008333EA"/>
    <w:rsid w:val="00833A4C"/>
    <w:rsid w:val="008348BB"/>
    <w:rsid w:val="0083592C"/>
    <w:rsid w:val="00835CD4"/>
    <w:rsid w:val="00837D02"/>
    <w:rsid w:val="0084049E"/>
    <w:rsid w:val="00841C97"/>
    <w:rsid w:val="00842496"/>
    <w:rsid w:val="00842896"/>
    <w:rsid w:val="00842C25"/>
    <w:rsid w:val="00843F71"/>
    <w:rsid w:val="00845CB8"/>
    <w:rsid w:val="00845F44"/>
    <w:rsid w:val="00846170"/>
    <w:rsid w:val="00847059"/>
    <w:rsid w:val="00850117"/>
    <w:rsid w:val="008521DF"/>
    <w:rsid w:val="0085355F"/>
    <w:rsid w:val="00853FC9"/>
    <w:rsid w:val="00855165"/>
    <w:rsid w:val="008564B2"/>
    <w:rsid w:val="008565EF"/>
    <w:rsid w:val="00857EFE"/>
    <w:rsid w:val="008600BB"/>
    <w:rsid w:val="00860989"/>
    <w:rsid w:val="0086193A"/>
    <w:rsid w:val="00862846"/>
    <w:rsid w:val="00864DEB"/>
    <w:rsid w:val="00864E46"/>
    <w:rsid w:val="00864F9C"/>
    <w:rsid w:val="00864FC5"/>
    <w:rsid w:val="00865A6E"/>
    <w:rsid w:val="0086623C"/>
    <w:rsid w:val="008669C4"/>
    <w:rsid w:val="008727E0"/>
    <w:rsid w:val="00872EC5"/>
    <w:rsid w:val="008743C7"/>
    <w:rsid w:val="00875065"/>
    <w:rsid w:val="00876D5E"/>
    <w:rsid w:val="00877DA5"/>
    <w:rsid w:val="00880370"/>
    <w:rsid w:val="008804D3"/>
    <w:rsid w:val="008822DC"/>
    <w:rsid w:val="008827CD"/>
    <w:rsid w:val="00882F19"/>
    <w:rsid w:val="008836C9"/>
    <w:rsid w:val="0088446E"/>
    <w:rsid w:val="00885898"/>
    <w:rsid w:val="00886A7B"/>
    <w:rsid w:val="008871D6"/>
    <w:rsid w:val="0088737D"/>
    <w:rsid w:val="008921D1"/>
    <w:rsid w:val="0089280F"/>
    <w:rsid w:val="00893726"/>
    <w:rsid w:val="008947BD"/>
    <w:rsid w:val="00894F9C"/>
    <w:rsid w:val="008959BF"/>
    <w:rsid w:val="008A00EF"/>
    <w:rsid w:val="008A0967"/>
    <w:rsid w:val="008A0F48"/>
    <w:rsid w:val="008A19F7"/>
    <w:rsid w:val="008A35C4"/>
    <w:rsid w:val="008A459E"/>
    <w:rsid w:val="008A5392"/>
    <w:rsid w:val="008A63F3"/>
    <w:rsid w:val="008A75A0"/>
    <w:rsid w:val="008A7953"/>
    <w:rsid w:val="008B0933"/>
    <w:rsid w:val="008B0C7C"/>
    <w:rsid w:val="008B1532"/>
    <w:rsid w:val="008B37C5"/>
    <w:rsid w:val="008B45EB"/>
    <w:rsid w:val="008B4CB0"/>
    <w:rsid w:val="008B4D69"/>
    <w:rsid w:val="008B5FB5"/>
    <w:rsid w:val="008B710C"/>
    <w:rsid w:val="008C038C"/>
    <w:rsid w:val="008C2D9D"/>
    <w:rsid w:val="008C427A"/>
    <w:rsid w:val="008C4FC7"/>
    <w:rsid w:val="008C6C9D"/>
    <w:rsid w:val="008C6FB6"/>
    <w:rsid w:val="008D1567"/>
    <w:rsid w:val="008D28EE"/>
    <w:rsid w:val="008D3597"/>
    <w:rsid w:val="008D71B7"/>
    <w:rsid w:val="008E0564"/>
    <w:rsid w:val="008E211C"/>
    <w:rsid w:val="008E243F"/>
    <w:rsid w:val="008E2B50"/>
    <w:rsid w:val="008E3DE8"/>
    <w:rsid w:val="008E5451"/>
    <w:rsid w:val="008E5AC9"/>
    <w:rsid w:val="008E6BAB"/>
    <w:rsid w:val="008F02FE"/>
    <w:rsid w:val="008F0704"/>
    <w:rsid w:val="008F19D8"/>
    <w:rsid w:val="008F2516"/>
    <w:rsid w:val="008F30DB"/>
    <w:rsid w:val="008F42BF"/>
    <w:rsid w:val="008F449D"/>
    <w:rsid w:val="008F4E13"/>
    <w:rsid w:val="008F5023"/>
    <w:rsid w:val="008F5797"/>
    <w:rsid w:val="008F59C3"/>
    <w:rsid w:val="008F6168"/>
    <w:rsid w:val="008F744F"/>
    <w:rsid w:val="00902CD9"/>
    <w:rsid w:val="00903B95"/>
    <w:rsid w:val="0090642B"/>
    <w:rsid w:val="00907666"/>
    <w:rsid w:val="009076AB"/>
    <w:rsid w:val="00910468"/>
    <w:rsid w:val="00911CA6"/>
    <w:rsid w:val="009134C5"/>
    <w:rsid w:val="00913615"/>
    <w:rsid w:val="00913BD9"/>
    <w:rsid w:val="00917D34"/>
    <w:rsid w:val="00917EC5"/>
    <w:rsid w:val="00920370"/>
    <w:rsid w:val="009205E4"/>
    <w:rsid w:val="00921397"/>
    <w:rsid w:val="009215C0"/>
    <w:rsid w:val="00921BB7"/>
    <w:rsid w:val="009221D1"/>
    <w:rsid w:val="00922A3D"/>
    <w:rsid w:val="00922C7B"/>
    <w:rsid w:val="0092412B"/>
    <w:rsid w:val="00926984"/>
    <w:rsid w:val="00926D40"/>
    <w:rsid w:val="009276FE"/>
    <w:rsid w:val="00927B49"/>
    <w:rsid w:val="00927F59"/>
    <w:rsid w:val="00931433"/>
    <w:rsid w:val="009317FF"/>
    <w:rsid w:val="00932269"/>
    <w:rsid w:val="009325C3"/>
    <w:rsid w:val="009328EE"/>
    <w:rsid w:val="00935219"/>
    <w:rsid w:val="0093524E"/>
    <w:rsid w:val="00937FF7"/>
    <w:rsid w:val="00940048"/>
    <w:rsid w:val="00940308"/>
    <w:rsid w:val="00940558"/>
    <w:rsid w:val="00941583"/>
    <w:rsid w:val="00941E96"/>
    <w:rsid w:val="009426AF"/>
    <w:rsid w:val="00942AA1"/>
    <w:rsid w:val="00943152"/>
    <w:rsid w:val="00943731"/>
    <w:rsid w:val="009437D1"/>
    <w:rsid w:val="00944DF9"/>
    <w:rsid w:val="009524AA"/>
    <w:rsid w:val="00952531"/>
    <w:rsid w:val="009536AC"/>
    <w:rsid w:val="00953718"/>
    <w:rsid w:val="00953900"/>
    <w:rsid w:val="00961802"/>
    <w:rsid w:val="0096441E"/>
    <w:rsid w:val="0096480A"/>
    <w:rsid w:val="009653B1"/>
    <w:rsid w:val="00965C04"/>
    <w:rsid w:val="0096650C"/>
    <w:rsid w:val="009667D6"/>
    <w:rsid w:val="00967AE4"/>
    <w:rsid w:val="00967FB8"/>
    <w:rsid w:val="00971973"/>
    <w:rsid w:val="00975412"/>
    <w:rsid w:val="00976185"/>
    <w:rsid w:val="00977123"/>
    <w:rsid w:val="0097791F"/>
    <w:rsid w:val="009817AE"/>
    <w:rsid w:val="00981CAA"/>
    <w:rsid w:val="009834DF"/>
    <w:rsid w:val="009838DA"/>
    <w:rsid w:val="00983ED7"/>
    <w:rsid w:val="009842AB"/>
    <w:rsid w:val="0098485B"/>
    <w:rsid w:val="00984E78"/>
    <w:rsid w:val="00985011"/>
    <w:rsid w:val="00985B43"/>
    <w:rsid w:val="00985E5E"/>
    <w:rsid w:val="009866EF"/>
    <w:rsid w:val="009867B7"/>
    <w:rsid w:val="009902F4"/>
    <w:rsid w:val="00990BFA"/>
    <w:rsid w:val="00991E8A"/>
    <w:rsid w:val="00992536"/>
    <w:rsid w:val="00992927"/>
    <w:rsid w:val="0099295F"/>
    <w:rsid w:val="00992ABA"/>
    <w:rsid w:val="0099378F"/>
    <w:rsid w:val="00993AAF"/>
    <w:rsid w:val="009953F6"/>
    <w:rsid w:val="00996A53"/>
    <w:rsid w:val="009A01DD"/>
    <w:rsid w:val="009A1E13"/>
    <w:rsid w:val="009A2602"/>
    <w:rsid w:val="009A26F5"/>
    <w:rsid w:val="009A3371"/>
    <w:rsid w:val="009A479F"/>
    <w:rsid w:val="009A5598"/>
    <w:rsid w:val="009A6725"/>
    <w:rsid w:val="009A7FAA"/>
    <w:rsid w:val="009B2DC6"/>
    <w:rsid w:val="009B3E9D"/>
    <w:rsid w:val="009B48E1"/>
    <w:rsid w:val="009B513D"/>
    <w:rsid w:val="009B526B"/>
    <w:rsid w:val="009B6777"/>
    <w:rsid w:val="009B765D"/>
    <w:rsid w:val="009C17D8"/>
    <w:rsid w:val="009C1F56"/>
    <w:rsid w:val="009C317B"/>
    <w:rsid w:val="009C3479"/>
    <w:rsid w:val="009C5987"/>
    <w:rsid w:val="009D1AFD"/>
    <w:rsid w:val="009D3F43"/>
    <w:rsid w:val="009D570B"/>
    <w:rsid w:val="009D5AC5"/>
    <w:rsid w:val="009D64BC"/>
    <w:rsid w:val="009E1F4A"/>
    <w:rsid w:val="009E2FCA"/>
    <w:rsid w:val="009E3ACA"/>
    <w:rsid w:val="009E4230"/>
    <w:rsid w:val="009E581B"/>
    <w:rsid w:val="009E5F3B"/>
    <w:rsid w:val="009E6BA4"/>
    <w:rsid w:val="009F10E6"/>
    <w:rsid w:val="009F2A08"/>
    <w:rsid w:val="009F3806"/>
    <w:rsid w:val="009F4F37"/>
    <w:rsid w:val="009F5093"/>
    <w:rsid w:val="009F5445"/>
    <w:rsid w:val="009F554A"/>
    <w:rsid w:val="009F57BF"/>
    <w:rsid w:val="009F5A83"/>
    <w:rsid w:val="009F5A93"/>
    <w:rsid w:val="009F6BDE"/>
    <w:rsid w:val="009F77D6"/>
    <w:rsid w:val="00A0012F"/>
    <w:rsid w:val="00A07012"/>
    <w:rsid w:val="00A0769F"/>
    <w:rsid w:val="00A07968"/>
    <w:rsid w:val="00A1036E"/>
    <w:rsid w:val="00A10F07"/>
    <w:rsid w:val="00A11F7D"/>
    <w:rsid w:val="00A123A8"/>
    <w:rsid w:val="00A12422"/>
    <w:rsid w:val="00A1265E"/>
    <w:rsid w:val="00A138E8"/>
    <w:rsid w:val="00A142B1"/>
    <w:rsid w:val="00A14B55"/>
    <w:rsid w:val="00A15B67"/>
    <w:rsid w:val="00A16DBE"/>
    <w:rsid w:val="00A17B4B"/>
    <w:rsid w:val="00A2151C"/>
    <w:rsid w:val="00A21C13"/>
    <w:rsid w:val="00A21F94"/>
    <w:rsid w:val="00A237F1"/>
    <w:rsid w:val="00A23D29"/>
    <w:rsid w:val="00A24D9A"/>
    <w:rsid w:val="00A24EBD"/>
    <w:rsid w:val="00A24FF9"/>
    <w:rsid w:val="00A25161"/>
    <w:rsid w:val="00A25813"/>
    <w:rsid w:val="00A26359"/>
    <w:rsid w:val="00A26502"/>
    <w:rsid w:val="00A26774"/>
    <w:rsid w:val="00A26922"/>
    <w:rsid w:val="00A26B5E"/>
    <w:rsid w:val="00A26BCF"/>
    <w:rsid w:val="00A27931"/>
    <w:rsid w:val="00A31C94"/>
    <w:rsid w:val="00A31FFF"/>
    <w:rsid w:val="00A32E44"/>
    <w:rsid w:val="00A34884"/>
    <w:rsid w:val="00A3496A"/>
    <w:rsid w:val="00A35FDA"/>
    <w:rsid w:val="00A3703E"/>
    <w:rsid w:val="00A37165"/>
    <w:rsid w:val="00A373D9"/>
    <w:rsid w:val="00A37528"/>
    <w:rsid w:val="00A37FB8"/>
    <w:rsid w:val="00A412A7"/>
    <w:rsid w:val="00A41C71"/>
    <w:rsid w:val="00A44C3E"/>
    <w:rsid w:val="00A46166"/>
    <w:rsid w:val="00A46564"/>
    <w:rsid w:val="00A470C1"/>
    <w:rsid w:val="00A47D69"/>
    <w:rsid w:val="00A526F1"/>
    <w:rsid w:val="00A536F0"/>
    <w:rsid w:val="00A55277"/>
    <w:rsid w:val="00A556D4"/>
    <w:rsid w:val="00A5657A"/>
    <w:rsid w:val="00A57632"/>
    <w:rsid w:val="00A57FCB"/>
    <w:rsid w:val="00A601B9"/>
    <w:rsid w:val="00A625EF"/>
    <w:rsid w:val="00A62A70"/>
    <w:rsid w:val="00A6516E"/>
    <w:rsid w:val="00A667F0"/>
    <w:rsid w:val="00A66D30"/>
    <w:rsid w:val="00A66D56"/>
    <w:rsid w:val="00A6738F"/>
    <w:rsid w:val="00A70CB3"/>
    <w:rsid w:val="00A71CAF"/>
    <w:rsid w:val="00A72294"/>
    <w:rsid w:val="00A725D2"/>
    <w:rsid w:val="00A742BA"/>
    <w:rsid w:val="00A74514"/>
    <w:rsid w:val="00A74CB1"/>
    <w:rsid w:val="00A756FA"/>
    <w:rsid w:val="00A77B99"/>
    <w:rsid w:val="00A77C79"/>
    <w:rsid w:val="00A77D79"/>
    <w:rsid w:val="00A8181E"/>
    <w:rsid w:val="00A85C8D"/>
    <w:rsid w:val="00A86053"/>
    <w:rsid w:val="00A86DBE"/>
    <w:rsid w:val="00A872A2"/>
    <w:rsid w:val="00A8788A"/>
    <w:rsid w:val="00A92AD0"/>
    <w:rsid w:val="00A934A6"/>
    <w:rsid w:val="00A93586"/>
    <w:rsid w:val="00A93853"/>
    <w:rsid w:val="00A95689"/>
    <w:rsid w:val="00A956D2"/>
    <w:rsid w:val="00A9577A"/>
    <w:rsid w:val="00A95A4C"/>
    <w:rsid w:val="00A95B29"/>
    <w:rsid w:val="00A96873"/>
    <w:rsid w:val="00A970BF"/>
    <w:rsid w:val="00AA1330"/>
    <w:rsid w:val="00AA1966"/>
    <w:rsid w:val="00AA2503"/>
    <w:rsid w:val="00AA26DD"/>
    <w:rsid w:val="00AA34E0"/>
    <w:rsid w:val="00AA4836"/>
    <w:rsid w:val="00AA4949"/>
    <w:rsid w:val="00AA4E86"/>
    <w:rsid w:val="00AA5D41"/>
    <w:rsid w:val="00AA76AF"/>
    <w:rsid w:val="00AA7AAB"/>
    <w:rsid w:val="00AA7B5D"/>
    <w:rsid w:val="00AB0F58"/>
    <w:rsid w:val="00AB6806"/>
    <w:rsid w:val="00AB707F"/>
    <w:rsid w:val="00AC023F"/>
    <w:rsid w:val="00AC0DFD"/>
    <w:rsid w:val="00AC10BA"/>
    <w:rsid w:val="00AC2CF1"/>
    <w:rsid w:val="00AC2DC3"/>
    <w:rsid w:val="00AC41F3"/>
    <w:rsid w:val="00AC630F"/>
    <w:rsid w:val="00AC67DF"/>
    <w:rsid w:val="00AC6915"/>
    <w:rsid w:val="00AC794E"/>
    <w:rsid w:val="00AD0287"/>
    <w:rsid w:val="00AD02A8"/>
    <w:rsid w:val="00AD3208"/>
    <w:rsid w:val="00AD370A"/>
    <w:rsid w:val="00AD7A8E"/>
    <w:rsid w:val="00AD7BAE"/>
    <w:rsid w:val="00AE087E"/>
    <w:rsid w:val="00AE088D"/>
    <w:rsid w:val="00AE1863"/>
    <w:rsid w:val="00AE3D88"/>
    <w:rsid w:val="00AE4F1F"/>
    <w:rsid w:val="00AE5721"/>
    <w:rsid w:val="00AF00B2"/>
    <w:rsid w:val="00AF017A"/>
    <w:rsid w:val="00AF06B7"/>
    <w:rsid w:val="00AF1354"/>
    <w:rsid w:val="00AF17BB"/>
    <w:rsid w:val="00AF4B80"/>
    <w:rsid w:val="00AF5BE0"/>
    <w:rsid w:val="00AF5C4B"/>
    <w:rsid w:val="00AF7203"/>
    <w:rsid w:val="00AF746D"/>
    <w:rsid w:val="00AF77E5"/>
    <w:rsid w:val="00B0017F"/>
    <w:rsid w:val="00B005C3"/>
    <w:rsid w:val="00B02535"/>
    <w:rsid w:val="00B03B12"/>
    <w:rsid w:val="00B04144"/>
    <w:rsid w:val="00B0464F"/>
    <w:rsid w:val="00B04AC9"/>
    <w:rsid w:val="00B05183"/>
    <w:rsid w:val="00B05DA0"/>
    <w:rsid w:val="00B063F3"/>
    <w:rsid w:val="00B07276"/>
    <w:rsid w:val="00B108C8"/>
    <w:rsid w:val="00B131B4"/>
    <w:rsid w:val="00B13929"/>
    <w:rsid w:val="00B13C3D"/>
    <w:rsid w:val="00B15314"/>
    <w:rsid w:val="00B15385"/>
    <w:rsid w:val="00B15703"/>
    <w:rsid w:val="00B17186"/>
    <w:rsid w:val="00B208D9"/>
    <w:rsid w:val="00B21745"/>
    <w:rsid w:val="00B21D59"/>
    <w:rsid w:val="00B232F5"/>
    <w:rsid w:val="00B234BE"/>
    <w:rsid w:val="00B23AA9"/>
    <w:rsid w:val="00B23BDF"/>
    <w:rsid w:val="00B23FB8"/>
    <w:rsid w:val="00B244CF"/>
    <w:rsid w:val="00B24825"/>
    <w:rsid w:val="00B24EE3"/>
    <w:rsid w:val="00B25066"/>
    <w:rsid w:val="00B26A79"/>
    <w:rsid w:val="00B26E68"/>
    <w:rsid w:val="00B27C18"/>
    <w:rsid w:val="00B30836"/>
    <w:rsid w:val="00B30A9B"/>
    <w:rsid w:val="00B30D59"/>
    <w:rsid w:val="00B312E5"/>
    <w:rsid w:val="00B319CF"/>
    <w:rsid w:val="00B31BF9"/>
    <w:rsid w:val="00B32C9D"/>
    <w:rsid w:val="00B35085"/>
    <w:rsid w:val="00B37311"/>
    <w:rsid w:val="00B3744D"/>
    <w:rsid w:val="00B37892"/>
    <w:rsid w:val="00B40988"/>
    <w:rsid w:val="00B4114A"/>
    <w:rsid w:val="00B41722"/>
    <w:rsid w:val="00B41E39"/>
    <w:rsid w:val="00B41E6F"/>
    <w:rsid w:val="00B429F5"/>
    <w:rsid w:val="00B42F27"/>
    <w:rsid w:val="00B43861"/>
    <w:rsid w:val="00B43CBB"/>
    <w:rsid w:val="00B45906"/>
    <w:rsid w:val="00B469A3"/>
    <w:rsid w:val="00B46A8A"/>
    <w:rsid w:val="00B503DD"/>
    <w:rsid w:val="00B50543"/>
    <w:rsid w:val="00B505EB"/>
    <w:rsid w:val="00B51EF7"/>
    <w:rsid w:val="00B5773B"/>
    <w:rsid w:val="00B606B3"/>
    <w:rsid w:val="00B60B10"/>
    <w:rsid w:val="00B6339E"/>
    <w:rsid w:val="00B634F6"/>
    <w:rsid w:val="00B644AA"/>
    <w:rsid w:val="00B64680"/>
    <w:rsid w:val="00B65243"/>
    <w:rsid w:val="00B65532"/>
    <w:rsid w:val="00B7033E"/>
    <w:rsid w:val="00B705B3"/>
    <w:rsid w:val="00B70BBF"/>
    <w:rsid w:val="00B717A1"/>
    <w:rsid w:val="00B72693"/>
    <w:rsid w:val="00B74759"/>
    <w:rsid w:val="00B772AE"/>
    <w:rsid w:val="00B7747F"/>
    <w:rsid w:val="00B80FC2"/>
    <w:rsid w:val="00B81865"/>
    <w:rsid w:val="00B81D6F"/>
    <w:rsid w:val="00B8500A"/>
    <w:rsid w:val="00B85EFB"/>
    <w:rsid w:val="00B86262"/>
    <w:rsid w:val="00B872C5"/>
    <w:rsid w:val="00B87AB4"/>
    <w:rsid w:val="00B90B0F"/>
    <w:rsid w:val="00B90D74"/>
    <w:rsid w:val="00B90DCA"/>
    <w:rsid w:val="00B90FA6"/>
    <w:rsid w:val="00B91534"/>
    <w:rsid w:val="00B91B32"/>
    <w:rsid w:val="00B91D7E"/>
    <w:rsid w:val="00B931B4"/>
    <w:rsid w:val="00B94173"/>
    <w:rsid w:val="00B94AC5"/>
    <w:rsid w:val="00B96301"/>
    <w:rsid w:val="00B96CEC"/>
    <w:rsid w:val="00BA2699"/>
    <w:rsid w:val="00BA71A4"/>
    <w:rsid w:val="00BB04DC"/>
    <w:rsid w:val="00BB1195"/>
    <w:rsid w:val="00BB3CBD"/>
    <w:rsid w:val="00BB5A9C"/>
    <w:rsid w:val="00BC0271"/>
    <w:rsid w:val="00BC0867"/>
    <w:rsid w:val="00BC0C49"/>
    <w:rsid w:val="00BC1679"/>
    <w:rsid w:val="00BC1961"/>
    <w:rsid w:val="00BC2216"/>
    <w:rsid w:val="00BC2AA6"/>
    <w:rsid w:val="00BC3453"/>
    <w:rsid w:val="00BC35D6"/>
    <w:rsid w:val="00BC3691"/>
    <w:rsid w:val="00BC4927"/>
    <w:rsid w:val="00BC55EE"/>
    <w:rsid w:val="00BD166E"/>
    <w:rsid w:val="00BD17F1"/>
    <w:rsid w:val="00BD1C64"/>
    <w:rsid w:val="00BD21C2"/>
    <w:rsid w:val="00BD2BA0"/>
    <w:rsid w:val="00BD3778"/>
    <w:rsid w:val="00BD4657"/>
    <w:rsid w:val="00BD4F54"/>
    <w:rsid w:val="00BD5779"/>
    <w:rsid w:val="00BD66EE"/>
    <w:rsid w:val="00BD7C3E"/>
    <w:rsid w:val="00BD7D6F"/>
    <w:rsid w:val="00BE2701"/>
    <w:rsid w:val="00BE2A26"/>
    <w:rsid w:val="00BE3A9A"/>
    <w:rsid w:val="00BE3CE7"/>
    <w:rsid w:val="00BE48AD"/>
    <w:rsid w:val="00BE63EF"/>
    <w:rsid w:val="00BE77DF"/>
    <w:rsid w:val="00BF18DC"/>
    <w:rsid w:val="00BF2666"/>
    <w:rsid w:val="00BF39A7"/>
    <w:rsid w:val="00BF4792"/>
    <w:rsid w:val="00BF5C26"/>
    <w:rsid w:val="00BF6165"/>
    <w:rsid w:val="00BF73FE"/>
    <w:rsid w:val="00BF7CCA"/>
    <w:rsid w:val="00BF7F12"/>
    <w:rsid w:val="00C011FC"/>
    <w:rsid w:val="00C015B5"/>
    <w:rsid w:val="00C018A2"/>
    <w:rsid w:val="00C02889"/>
    <w:rsid w:val="00C02F9C"/>
    <w:rsid w:val="00C03772"/>
    <w:rsid w:val="00C0639F"/>
    <w:rsid w:val="00C0693E"/>
    <w:rsid w:val="00C07E7F"/>
    <w:rsid w:val="00C100B4"/>
    <w:rsid w:val="00C107CE"/>
    <w:rsid w:val="00C11F85"/>
    <w:rsid w:val="00C145F6"/>
    <w:rsid w:val="00C14890"/>
    <w:rsid w:val="00C1564C"/>
    <w:rsid w:val="00C175B3"/>
    <w:rsid w:val="00C178EA"/>
    <w:rsid w:val="00C17E9C"/>
    <w:rsid w:val="00C20AB7"/>
    <w:rsid w:val="00C21920"/>
    <w:rsid w:val="00C21E46"/>
    <w:rsid w:val="00C22098"/>
    <w:rsid w:val="00C22742"/>
    <w:rsid w:val="00C24017"/>
    <w:rsid w:val="00C26866"/>
    <w:rsid w:val="00C27BB9"/>
    <w:rsid w:val="00C302F8"/>
    <w:rsid w:val="00C30CAB"/>
    <w:rsid w:val="00C31F48"/>
    <w:rsid w:val="00C31FCE"/>
    <w:rsid w:val="00C3279E"/>
    <w:rsid w:val="00C33374"/>
    <w:rsid w:val="00C36140"/>
    <w:rsid w:val="00C36F1C"/>
    <w:rsid w:val="00C407C4"/>
    <w:rsid w:val="00C40AC8"/>
    <w:rsid w:val="00C40CFD"/>
    <w:rsid w:val="00C40E93"/>
    <w:rsid w:val="00C4219D"/>
    <w:rsid w:val="00C42246"/>
    <w:rsid w:val="00C43E09"/>
    <w:rsid w:val="00C43F8C"/>
    <w:rsid w:val="00C441D7"/>
    <w:rsid w:val="00C46743"/>
    <w:rsid w:val="00C469A7"/>
    <w:rsid w:val="00C46FAF"/>
    <w:rsid w:val="00C470CA"/>
    <w:rsid w:val="00C500B2"/>
    <w:rsid w:val="00C53436"/>
    <w:rsid w:val="00C54619"/>
    <w:rsid w:val="00C54EB4"/>
    <w:rsid w:val="00C54F8D"/>
    <w:rsid w:val="00C57494"/>
    <w:rsid w:val="00C5783F"/>
    <w:rsid w:val="00C57A52"/>
    <w:rsid w:val="00C60510"/>
    <w:rsid w:val="00C607C2"/>
    <w:rsid w:val="00C6150C"/>
    <w:rsid w:val="00C618C6"/>
    <w:rsid w:val="00C61933"/>
    <w:rsid w:val="00C62018"/>
    <w:rsid w:val="00C6436F"/>
    <w:rsid w:val="00C6479D"/>
    <w:rsid w:val="00C64A2E"/>
    <w:rsid w:val="00C64C78"/>
    <w:rsid w:val="00C65456"/>
    <w:rsid w:val="00C66FE3"/>
    <w:rsid w:val="00C67D97"/>
    <w:rsid w:val="00C67DF3"/>
    <w:rsid w:val="00C716C4"/>
    <w:rsid w:val="00C71DA8"/>
    <w:rsid w:val="00C7439A"/>
    <w:rsid w:val="00C74BD5"/>
    <w:rsid w:val="00C74FC1"/>
    <w:rsid w:val="00C75D0A"/>
    <w:rsid w:val="00C77FA5"/>
    <w:rsid w:val="00C8170A"/>
    <w:rsid w:val="00C81908"/>
    <w:rsid w:val="00C830C6"/>
    <w:rsid w:val="00C835B0"/>
    <w:rsid w:val="00C87A5F"/>
    <w:rsid w:val="00C902AB"/>
    <w:rsid w:val="00C90C67"/>
    <w:rsid w:val="00C91A79"/>
    <w:rsid w:val="00C92D1E"/>
    <w:rsid w:val="00C931D9"/>
    <w:rsid w:val="00C93838"/>
    <w:rsid w:val="00C93847"/>
    <w:rsid w:val="00C95B7A"/>
    <w:rsid w:val="00C95B7B"/>
    <w:rsid w:val="00C96425"/>
    <w:rsid w:val="00C964AF"/>
    <w:rsid w:val="00C97443"/>
    <w:rsid w:val="00CA0C0C"/>
    <w:rsid w:val="00CA308E"/>
    <w:rsid w:val="00CA36FA"/>
    <w:rsid w:val="00CA3B1F"/>
    <w:rsid w:val="00CA3BCB"/>
    <w:rsid w:val="00CA4418"/>
    <w:rsid w:val="00CA44FC"/>
    <w:rsid w:val="00CA4E20"/>
    <w:rsid w:val="00CA5050"/>
    <w:rsid w:val="00CA5851"/>
    <w:rsid w:val="00CB0837"/>
    <w:rsid w:val="00CB09E6"/>
    <w:rsid w:val="00CB0E77"/>
    <w:rsid w:val="00CB17F0"/>
    <w:rsid w:val="00CB1C0B"/>
    <w:rsid w:val="00CB3C89"/>
    <w:rsid w:val="00CB5AE6"/>
    <w:rsid w:val="00CB62AA"/>
    <w:rsid w:val="00CB64A5"/>
    <w:rsid w:val="00CB73E8"/>
    <w:rsid w:val="00CB7F8C"/>
    <w:rsid w:val="00CC1708"/>
    <w:rsid w:val="00CC255C"/>
    <w:rsid w:val="00CC5886"/>
    <w:rsid w:val="00CC5D63"/>
    <w:rsid w:val="00CC7A30"/>
    <w:rsid w:val="00CD009F"/>
    <w:rsid w:val="00CD01F4"/>
    <w:rsid w:val="00CD1860"/>
    <w:rsid w:val="00CD2791"/>
    <w:rsid w:val="00CD3AC2"/>
    <w:rsid w:val="00CD57CE"/>
    <w:rsid w:val="00CD64CB"/>
    <w:rsid w:val="00CE0B47"/>
    <w:rsid w:val="00CE203F"/>
    <w:rsid w:val="00CE23FE"/>
    <w:rsid w:val="00CE3C63"/>
    <w:rsid w:val="00CE7EF4"/>
    <w:rsid w:val="00CF0A7B"/>
    <w:rsid w:val="00CF12DF"/>
    <w:rsid w:val="00CF1A21"/>
    <w:rsid w:val="00CF2451"/>
    <w:rsid w:val="00CF2ACE"/>
    <w:rsid w:val="00D01668"/>
    <w:rsid w:val="00D018D1"/>
    <w:rsid w:val="00D01BCB"/>
    <w:rsid w:val="00D02E1D"/>
    <w:rsid w:val="00D034AD"/>
    <w:rsid w:val="00D03A7A"/>
    <w:rsid w:val="00D03B0B"/>
    <w:rsid w:val="00D03BF6"/>
    <w:rsid w:val="00D03EE0"/>
    <w:rsid w:val="00D042EA"/>
    <w:rsid w:val="00D04D9A"/>
    <w:rsid w:val="00D0537B"/>
    <w:rsid w:val="00D05EE6"/>
    <w:rsid w:val="00D066A3"/>
    <w:rsid w:val="00D0688E"/>
    <w:rsid w:val="00D06E58"/>
    <w:rsid w:val="00D070C8"/>
    <w:rsid w:val="00D070DA"/>
    <w:rsid w:val="00D10B14"/>
    <w:rsid w:val="00D15D3B"/>
    <w:rsid w:val="00D15F1C"/>
    <w:rsid w:val="00D162F5"/>
    <w:rsid w:val="00D16BDD"/>
    <w:rsid w:val="00D16E1E"/>
    <w:rsid w:val="00D16F2F"/>
    <w:rsid w:val="00D1768C"/>
    <w:rsid w:val="00D17985"/>
    <w:rsid w:val="00D20910"/>
    <w:rsid w:val="00D222DD"/>
    <w:rsid w:val="00D22668"/>
    <w:rsid w:val="00D22908"/>
    <w:rsid w:val="00D22931"/>
    <w:rsid w:val="00D23A3D"/>
    <w:rsid w:val="00D243EC"/>
    <w:rsid w:val="00D24BA0"/>
    <w:rsid w:val="00D25607"/>
    <w:rsid w:val="00D27152"/>
    <w:rsid w:val="00D27514"/>
    <w:rsid w:val="00D27F58"/>
    <w:rsid w:val="00D3065A"/>
    <w:rsid w:val="00D320BB"/>
    <w:rsid w:val="00D32398"/>
    <w:rsid w:val="00D3258E"/>
    <w:rsid w:val="00D33184"/>
    <w:rsid w:val="00D35957"/>
    <w:rsid w:val="00D36E7C"/>
    <w:rsid w:val="00D4155F"/>
    <w:rsid w:val="00D4299C"/>
    <w:rsid w:val="00D43048"/>
    <w:rsid w:val="00D44026"/>
    <w:rsid w:val="00D448C6"/>
    <w:rsid w:val="00D45DCF"/>
    <w:rsid w:val="00D466FC"/>
    <w:rsid w:val="00D47946"/>
    <w:rsid w:val="00D50AD6"/>
    <w:rsid w:val="00D51747"/>
    <w:rsid w:val="00D53737"/>
    <w:rsid w:val="00D53FE2"/>
    <w:rsid w:val="00D548E3"/>
    <w:rsid w:val="00D5584E"/>
    <w:rsid w:val="00D5671C"/>
    <w:rsid w:val="00D56846"/>
    <w:rsid w:val="00D609E3"/>
    <w:rsid w:val="00D60B2B"/>
    <w:rsid w:val="00D60CAD"/>
    <w:rsid w:val="00D61E9A"/>
    <w:rsid w:val="00D62106"/>
    <w:rsid w:val="00D628F1"/>
    <w:rsid w:val="00D629B2"/>
    <w:rsid w:val="00D639D1"/>
    <w:rsid w:val="00D65013"/>
    <w:rsid w:val="00D6583D"/>
    <w:rsid w:val="00D65F80"/>
    <w:rsid w:val="00D6701A"/>
    <w:rsid w:val="00D679C8"/>
    <w:rsid w:val="00D67C68"/>
    <w:rsid w:val="00D67D03"/>
    <w:rsid w:val="00D702B9"/>
    <w:rsid w:val="00D71412"/>
    <w:rsid w:val="00D71EF5"/>
    <w:rsid w:val="00D73ECD"/>
    <w:rsid w:val="00D74C08"/>
    <w:rsid w:val="00D74EC4"/>
    <w:rsid w:val="00D760A8"/>
    <w:rsid w:val="00D763BD"/>
    <w:rsid w:val="00D8188F"/>
    <w:rsid w:val="00D81E7B"/>
    <w:rsid w:val="00D8242A"/>
    <w:rsid w:val="00D83540"/>
    <w:rsid w:val="00D83EF3"/>
    <w:rsid w:val="00D85622"/>
    <w:rsid w:val="00D8562D"/>
    <w:rsid w:val="00D868FD"/>
    <w:rsid w:val="00D86ADD"/>
    <w:rsid w:val="00D908E7"/>
    <w:rsid w:val="00D928DD"/>
    <w:rsid w:val="00D92FE1"/>
    <w:rsid w:val="00D933F2"/>
    <w:rsid w:val="00D94273"/>
    <w:rsid w:val="00D942C2"/>
    <w:rsid w:val="00D9486F"/>
    <w:rsid w:val="00D94F76"/>
    <w:rsid w:val="00D97CD3"/>
    <w:rsid w:val="00D97E2C"/>
    <w:rsid w:val="00DA2E33"/>
    <w:rsid w:val="00DA3CDA"/>
    <w:rsid w:val="00DA3E20"/>
    <w:rsid w:val="00DA423F"/>
    <w:rsid w:val="00DA4BBA"/>
    <w:rsid w:val="00DA4CE3"/>
    <w:rsid w:val="00DA5164"/>
    <w:rsid w:val="00DA5530"/>
    <w:rsid w:val="00DA6F64"/>
    <w:rsid w:val="00DB0030"/>
    <w:rsid w:val="00DB0160"/>
    <w:rsid w:val="00DB38B0"/>
    <w:rsid w:val="00DB3A36"/>
    <w:rsid w:val="00DB40F2"/>
    <w:rsid w:val="00DB4E80"/>
    <w:rsid w:val="00DB60D4"/>
    <w:rsid w:val="00DB6484"/>
    <w:rsid w:val="00DB65C5"/>
    <w:rsid w:val="00DB745F"/>
    <w:rsid w:val="00DC0427"/>
    <w:rsid w:val="00DC1469"/>
    <w:rsid w:val="00DC1D82"/>
    <w:rsid w:val="00DC4F63"/>
    <w:rsid w:val="00DC54AB"/>
    <w:rsid w:val="00DC7A72"/>
    <w:rsid w:val="00DD09AA"/>
    <w:rsid w:val="00DD0D97"/>
    <w:rsid w:val="00DD0E8A"/>
    <w:rsid w:val="00DD1036"/>
    <w:rsid w:val="00DD1717"/>
    <w:rsid w:val="00DD18C2"/>
    <w:rsid w:val="00DD21DF"/>
    <w:rsid w:val="00DD2996"/>
    <w:rsid w:val="00DD2CD9"/>
    <w:rsid w:val="00DD39C3"/>
    <w:rsid w:val="00DD3A1E"/>
    <w:rsid w:val="00DD4450"/>
    <w:rsid w:val="00DD4A6E"/>
    <w:rsid w:val="00DD5322"/>
    <w:rsid w:val="00DD540D"/>
    <w:rsid w:val="00DD6466"/>
    <w:rsid w:val="00DD6564"/>
    <w:rsid w:val="00DD7548"/>
    <w:rsid w:val="00DD77DE"/>
    <w:rsid w:val="00DD786F"/>
    <w:rsid w:val="00DE133F"/>
    <w:rsid w:val="00DE14D7"/>
    <w:rsid w:val="00DE161A"/>
    <w:rsid w:val="00DE450E"/>
    <w:rsid w:val="00DE4FD2"/>
    <w:rsid w:val="00DF06D9"/>
    <w:rsid w:val="00DF1520"/>
    <w:rsid w:val="00DF30F5"/>
    <w:rsid w:val="00DF3344"/>
    <w:rsid w:val="00DF4CE1"/>
    <w:rsid w:val="00DF688A"/>
    <w:rsid w:val="00DF7400"/>
    <w:rsid w:val="00DF7E8C"/>
    <w:rsid w:val="00E00B0B"/>
    <w:rsid w:val="00E015E5"/>
    <w:rsid w:val="00E03398"/>
    <w:rsid w:val="00E04F6D"/>
    <w:rsid w:val="00E06E09"/>
    <w:rsid w:val="00E11BC2"/>
    <w:rsid w:val="00E12539"/>
    <w:rsid w:val="00E13B68"/>
    <w:rsid w:val="00E1620F"/>
    <w:rsid w:val="00E2000C"/>
    <w:rsid w:val="00E2006C"/>
    <w:rsid w:val="00E210F0"/>
    <w:rsid w:val="00E212B6"/>
    <w:rsid w:val="00E22D31"/>
    <w:rsid w:val="00E22E15"/>
    <w:rsid w:val="00E2301F"/>
    <w:rsid w:val="00E248E1"/>
    <w:rsid w:val="00E303E0"/>
    <w:rsid w:val="00E30943"/>
    <w:rsid w:val="00E30B28"/>
    <w:rsid w:val="00E30DB8"/>
    <w:rsid w:val="00E3141E"/>
    <w:rsid w:val="00E32C33"/>
    <w:rsid w:val="00E35370"/>
    <w:rsid w:val="00E3541D"/>
    <w:rsid w:val="00E35F42"/>
    <w:rsid w:val="00E36258"/>
    <w:rsid w:val="00E377D1"/>
    <w:rsid w:val="00E40636"/>
    <w:rsid w:val="00E413E8"/>
    <w:rsid w:val="00E4352E"/>
    <w:rsid w:val="00E43659"/>
    <w:rsid w:val="00E4388B"/>
    <w:rsid w:val="00E4503E"/>
    <w:rsid w:val="00E45EA5"/>
    <w:rsid w:val="00E47C73"/>
    <w:rsid w:val="00E503B7"/>
    <w:rsid w:val="00E50482"/>
    <w:rsid w:val="00E50C14"/>
    <w:rsid w:val="00E5376D"/>
    <w:rsid w:val="00E54D0F"/>
    <w:rsid w:val="00E554E6"/>
    <w:rsid w:val="00E55CCE"/>
    <w:rsid w:val="00E56E05"/>
    <w:rsid w:val="00E60C97"/>
    <w:rsid w:val="00E63582"/>
    <w:rsid w:val="00E64155"/>
    <w:rsid w:val="00E6416B"/>
    <w:rsid w:val="00E6489A"/>
    <w:rsid w:val="00E64C02"/>
    <w:rsid w:val="00E651A8"/>
    <w:rsid w:val="00E65946"/>
    <w:rsid w:val="00E66981"/>
    <w:rsid w:val="00E70842"/>
    <w:rsid w:val="00E70AB1"/>
    <w:rsid w:val="00E71757"/>
    <w:rsid w:val="00E727AF"/>
    <w:rsid w:val="00E72E56"/>
    <w:rsid w:val="00E7480B"/>
    <w:rsid w:val="00E74FC4"/>
    <w:rsid w:val="00E75C80"/>
    <w:rsid w:val="00E76BA1"/>
    <w:rsid w:val="00E7785F"/>
    <w:rsid w:val="00E80197"/>
    <w:rsid w:val="00E80A8E"/>
    <w:rsid w:val="00E81A69"/>
    <w:rsid w:val="00E841D5"/>
    <w:rsid w:val="00E84528"/>
    <w:rsid w:val="00E877B1"/>
    <w:rsid w:val="00E87ED2"/>
    <w:rsid w:val="00E90C6B"/>
    <w:rsid w:val="00E91213"/>
    <w:rsid w:val="00E918A8"/>
    <w:rsid w:val="00E9275A"/>
    <w:rsid w:val="00E92802"/>
    <w:rsid w:val="00E9286A"/>
    <w:rsid w:val="00E93426"/>
    <w:rsid w:val="00E94622"/>
    <w:rsid w:val="00E94FC4"/>
    <w:rsid w:val="00E97E14"/>
    <w:rsid w:val="00EA06A4"/>
    <w:rsid w:val="00EA06FB"/>
    <w:rsid w:val="00EA16AC"/>
    <w:rsid w:val="00EA34E8"/>
    <w:rsid w:val="00EA4A98"/>
    <w:rsid w:val="00EA5014"/>
    <w:rsid w:val="00EA5391"/>
    <w:rsid w:val="00EA5719"/>
    <w:rsid w:val="00EA58A3"/>
    <w:rsid w:val="00EA671B"/>
    <w:rsid w:val="00EA7B40"/>
    <w:rsid w:val="00EA7CFB"/>
    <w:rsid w:val="00EB03AC"/>
    <w:rsid w:val="00EB048F"/>
    <w:rsid w:val="00EB0887"/>
    <w:rsid w:val="00EB18A2"/>
    <w:rsid w:val="00EB1E61"/>
    <w:rsid w:val="00EB21B9"/>
    <w:rsid w:val="00EB28F4"/>
    <w:rsid w:val="00EB29A1"/>
    <w:rsid w:val="00EB4900"/>
    <w:rsid w:val="00EB59E7"/>
    <w:rsid w:val="00EB7965"/>
    <w:rsid w:val="00EC0368"/>
    <w:rsid w:val="00EC0A16"/>
    <w:rsid w:val="00EC0D14"/>
    <w:rsid w:val="00EC2C09"/>
    <w:rsid w:val="00EC366D"/>
    <w:rsid w:val="00EC60F5"/>
    <w:rsid w:val="00EC6858"/>
    <w:rsid w:val="00ED033F"/>
    <w:rsid w:val="00ED04D6"/>
    <w:rsid w:val="00ED15E7"/>
    <w:rsid w:val="00ED260E"/>
    <w:rsid w:val="00ED2E52"/>
    <w:rsid w:val="00ED400D"/>
    <w:rsid w:val="00ED45F6"/>
    <w:rsid w:val="00ED6574"/>
    <w:rsid w:val="00ED6B87"/>
    <w:rsid w:val="00EE1FFE"/>
    <w:rsid w:val="00EE2F48"/>
    <w:rsid w:val="00EE353E"/>
    <w:rsid w:val="00EE5951"/>
    <w:rsid w:val="00EE5F89"/>
    <w:rsid w:val="00EE6A0B"/>
    <w:rsid w:val="00EF31B3"/>
    <w:rsid w:val="00EF56E3"/>
    <w:rsid w:val="00EF62D5"/>
    <w:rsid w:val="00EF7EA0"/>
    <w:rsid w:val="00F01279"/>
    <w:rsid w:val="00F01598"/>
    <w:rsid w:val="00F01D32"/>
    <w:rsid w:val="00F01D97"/>
    <w:rsid w:val="00F026FF"/>
    <w:rsid w:val="00F0494E"/>
    <w:rsid w:val="00F05B2B"/>
    <w:rsid w:val="00F06052"/>
    <w:rsid w:val="00F0648A"/>
    <w:rsid w:val="00F11D20"/>
    <w:rsid w:val="00F1430D"/>
    <w:rsid w:val="00F21479"/>
    <w:rsid w:val="00F23501"/>
    <w:rsid w:val="00F23798"/>
    <w:rsid w:val="00F23E81"/>
    <w:rsid w:val="00F248F1"/>
    <w:rsid w:val="00F25682"/>
    <w:rsid w:val="00F25F29"/>
    <w:rsid w:val="00F26566"/>
    <w:rsid w:val="00F27A16"/>
    <w:rsid w:val="00F30245"/>
    <w:rsid w:val="00F30FA2"/>
    <w:rsid w:val="00F31DAA"/>
    <w:rsid w:val="00F328BE"/>
    <w:rsid w:val="00F33662"/>
    <w:rsid w:val="00F35573"/>
    <w:rsid w:val="00F362CC"/>
    <w:rsid w:val="00F36F95"/>
    <w:rsid w:val="00F42BB8"/>
    <w:rsid w:val="00F4452E"/>
    <w:rsid w:val="00F44C62"/>
    <w:rsid w:val="00F44F33"/>
    <w:rsid w:val="00F456C5"/>
    <w:rsid w:val="00F458D3"/>
    <w:rsid w:val="00F45CBB"/>
    <w:rsid w:val="00F46084"/>
    <w:rsid w:val="00F476F7"/>
    <w:rsid w:val="00F47A54"/>
    <w:rsid w:val="00F51E46"/>
    <w:rsid w:val="00F51EE9"/>
    <w:rsid w:val="00F53C7C"/>
    <w:rsid w:val="00F54116"/>
    <w:rsid w:val="00F5593E"/>
    <w:rsid w:val="00F60201"/>
    <w:rsid w:val="00F61E50"/>
    <w:rsid w:val="00F6279D"/>
    <w:rsid w:val="00F62F28"/>
    <w:rsid w:val="00F64116"/>
    <w:rsid w:val="00F66999"/>
    <w:rsid w:val="00F66A58"/>
    <w:rsid w:val="00F67DC1"/>
    <w:rsid w:val="00F70AE5"/>
    <w:rsid w:val="00F70ED6"/>
    <w:rsid w:val="00F721EB"/>
    <w:rsid w:val="00F7224D"/>
    <w:rsid w:val="00F72317"/>
    <w:rsid w:val="00F73A40"/>
    <w:rsid w:val="00F73D75"/>
    <w:rsid w:val="00F74745"/>
    <w:rsid w:val="00F75515"/>
    <w:rsid w:val="00F75E34"/>
    <w:rsid w:val="00F761B2"/>
    <w:rsid w:val="00F76974"/>
    <w:rsid w:val="00F76B32"/>
    <w:rsid w:val="00F7731E"/>
    <w:rsid w:val="00F77352"/>
    <w:rsid w:val="00F77413"/>
    <w:rsid w:val="00F77B3F"/>
    <w:rsid w:val="00F80150"/>
    <w:rsid w:val="00F8017B"/>
    <w:rsid w:val="00F80655"/>
    <w:rsid w:val="00F82AE6"/>
    <w:rsid w:val="00F84775"/>
    <w:rsid w:val="00F847BC"/>
    <w:rsid w:val="00F84B87"/>
    <w:rsid w:val="00F85581"/>
    <w:rsid w:val="00F85693"/>
    <w:rsid w:val="00F867F3"/>
    <w:rsid w:val="00F87219"/>
    <w:rsid w:val="00F926F8"/>
    <w:rsid w:val="00FA054E"/>
    <w:rsid w:val="00FA19F4"/>
    <w:rsid w:val="00FA1C08"/>
    <w:rsid w:val="00FA1CA5"/>
    <w:rsid w:val="00FA1E36"/>
    <w:rsid w:val="00FA20CE"/>
    <w:rsid w:val="00FA2235"/>
    <w:rsid w:val="00FA4202"/>
    <w:rsid w:val="00FA522B"/>
    <w:rsid w:val="00FA6161"/>
    <w:rsid w:val="00FB10BF"/>
    <w:rsid w:val="00FB15B0"/>
    <w:rsid w:val="00FB2816"/>
    <w:rsid w:val="00FB39B2"/>
    <w:rsid w:val="00FB3FA0"/>
    <w:rsid w:val="00FB44AB"/>
    <w:rsid w:val="00FB462A"/>
    <w:rsid w:val="00FB53C3"/>
    <w:rsid w:val="00FB57AE"/>
    <w:rsid w:val="00FB60A6"/>
    <w:rsid w:val="00FB61AC"/>
    <w:rsid w:val="00FB7B45"/>
    <w:rsid w:val="00FB7B4A"/>
    <w:rsid w:val="00FB7DEE"/>
    <w:rsid w:val="00FC01B1"/>
    <w:rsid w:val="00FC0E63"/>
    <w:rsid w:val="00FC2D89"/>
    <w:rsid w:val="00FC3460"/>
    <w:rsid w:val="00FC4336"/>
    <w:rsid w:val="00FC5501"/>
    <w:rsid w:val="00FC5AA8"/>
    <w:rsid w:val="00FC62C9"/>
    <w:rsid w:val="00FC6DB4"/>
    <w:rsid w:val="00FC6F23"/>
    <w:rsid w:val="00FC7696"/>
    <w:rsid w:val="00FC7E90"/>
    <w:rsid w:val="00FD001B"/>
    <w:rsid w:val="00FD039C"/>
    <w:rsid w:val="00FD09FE"/>
    <w:rsid w:val="00FD2C40"/>
    <w:rsid w:val="00FD34C2"/>
    <w:rsid w:val="00FD362B"/>
    <w:rsid w:val="00FD3794"/>
    <w:rsid w:val="00FD7657"/>
    <w:rsid w:val="00FE1E6F"/>
    <w:rsid w:val="00FE1EC5"/>
    <w:rsid w:val="00FE23DA"/>
    <w:rsid w:val="00FE35E4"/>
    <w:rsid w:val="00FE3634"/>
    <w:rsid w:val="00FE36F2"/>
    <w:rsid w:val="00FE4B61"/>
    <w:rsid w:val="00FE4C0C"/>
    <w:rsid w:val="00FE4E2D"/>
    <w:rsid w:val="00FE5306"/>
    <w:rsid w:val="00FE64B2"/>
    <w:rsid w:val="00FE6632"/>
    <w:rsid w:val="00FF0093"/>
    <w:rsid w:val="00FF05C5"/>
    <w:rsid w:val="00FF163C"/>
    <w:rsid w:val="00FF189F"/>
    <w:rsid w:val="00FF1F3F"/>
    <w:rsid w:val="00FF329C"/>
    <w:rsid w:val="00FF379D"/>
    <w:rsid w:val="00FF43E4"/>
    <w:rsid w:val="00FF5D2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4577" style="mso-position-horizontal-relative:page;mso-position-vertical-relative:page" strokecolor="none [3215]">
      <v:stroke color="none [3215]" weight="1pt"/>
    </o:shapedefaults>
    <o:shapelayout v:ext="edit">
      <o:idmap v:ext="edit" data="1"/>
    </o:shapelayout>
  </w:shapeDefaults>
  <w:decimalSymbol w:val=","/>
  <w:listSeparator w:val=","/>
  <w14:docId w14:val="3E9B35CF"/>
  <w15:docId w15:val="{068370ED-0F25-4956-9CAC-066184D30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emiHidden/>
    <w:qFormat/>
    <w:rsid w:val="00CD009F"/>
    <w:rPr>
      <w:lang w:val="en-GB"/>
    </w:rPr>
  </w:style>
  <w:style w:type="paragraph" w:styleId="Heading1">
    <w:name w:val="heading 1"/>
    <w:basedOn w:val="Normal"/>
    <w:next w:val="Normal"/>
    <w:link w:val="Heading1Char"/>
    <w:uiPriority w:val="9"/>
    <w:qFormat/>
    <w:rsid w:val="004B6993"/>
    <w:pPr>
      <w:keepNext/>
      <w:keepLines/>
      <w:spacing w:before="480"/>
      <w:outlineLvl w:val="0"/>
    </w:pPr>
    <w:rPr>
      <w:rFonts w:asciiTheme="majorHAnsi" w:eastAsiaTheme="majorEastAsia" w:hAnsiTheme="majorHAnsi" w:cstheme="majorBidi"/>
      <w:b/>
      <w:bCs/>
      <w:color w:val="424477"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F4F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regular">
    <w:name w:val="text regular"/>
    <w:basedOn w:val="Normal"/>
    <w:link w:val="textregularZchn"/>
    <w:qFormat/>
    <w:rsid w:val="00F46084"/>
    <w:pPr>
      <w:spacing w:after="120"/>
    </w:pPr>
  </w:style>
  <w:style w:type="paragraph" w:styleId="Header">
    <w:name w:val="header"/>
    <w:basedOn w:val="Normal"/>
    <w:link w:val="HeaderChar"/>
    <w:uiPriority w:val="99"/>
    <w:unhideWhenUsed/>
    <w:rsid w:val="00B04144"/>
    <w:pPr>
      <w:tabs>
        <w:tab w:val="center" w:pos="4536"/>
        <w:tab w:val="right" w:pos="9072"/>
      </w:tabs>
    </w:pPr>
  </w:style>
  <w:style w:type="character" w:customStyle="1" w:styleId="HeaderChar">
    <w:name w:val="Header Char"/>
    <w:basedOn w:val="DefaultParagraphFont"/>
    <w:link w:val="Header"/>
    <w:uiPriority w:val="99"/>
    <w:rsid w:val="00B04144"/>
  </w:style>
  <w:style w:type="paragraph" w:styleId="Footer">
    <w:name w:val="footer"/>
    <w:basedOn w:val="Normal"/>
    <w:link w:val="FooterChar"/>
    <w:uiPriority w:val="99"/>
    <w:rsid w:val="00B04144"/>
    <w:pPr>
      <w:tabs>
        <w:tab w:val="center" w:pos="4536"/>
        <w:tab w:val="right" w:pos="9072"/>
      </w:tabs>
    </w:pPr>
  </w:style>
  <w:style w:type="character" w:customStyle="1" w:styleId="FooterChar">
    <w:name w:val="Footer Char"/>
    <w:basedOn w:val="DefaultParagraphFont"/>
    <w:link w:val="Footer"/>
    <w:uiPriority w:val="99"/>
    <w:rsid w:val="00CD009F"/>
    <w:rPr>
      <w:lang w:val="en-GB"/>
    </w:rPr>
  </w:style>
  <w:style w:type="paragraph" w:styleId="BalloonText">
    <w:name w:val="Balloon Text"/>
    <w:basedOn w:val="Normal"/>
    <w:link w:val="BalloonTextChar"/>
    <w:uiPriority w:val="99"/>
    <w:semiHidden/>
    <w:unhideWhenUsed/>
    <w:rsid w:val="00B04144"/>
    <w:rPr>
      <w:rFonts w:ascii="Tahoma" w:hAnsi="Tahoma" w:cs="Tahoma"/>
      <w:sz w:val="16"/>
      <w:szCs w:val="16"/>
    </w:rPr>
  </w:style>
  <w:style w:type="character" w:customStyle="1" w:styleId="BalloonTextChar">
    <w:name w:val="Balloon Text Char"/>
    <w:basedOn w:val="DefaultParagraphFont"/>
    <w:link w:val="BalloonText"/>
    <w:uiPriority w:val="99"/>
    <w:semiHidden/>
    <w:rsid w:val="00B04144"/>
    <w:rPr>
      <w:rFonts w:ascii="Tahoma" w:hAnsi="Tahoma" w:cs="Tahoma"/>
      <w:sz w:val="16"/>
      <w:szCs w:val="16"/>
    </w:rPr>
  </w:style>
  <w:style w:type="paragraph" w:customStyle="1" w:styleId="headlineheader">
    <w:name w:val="headline header"/>
    <w:basedOn w:val="textregular"/>
    <w:uiPriority w:val="1"/>
    <w:qFormat/>
    <w:rsid w:val="007A686E"/>
    <w:pPr>
      <w:spacing w:after="280" w:line="600" w:lineRule="exact"/>
    </w:pPr>
    <w:rPr>
      <w:rFonts w:asciiTheme="majorHAnsi" w:hAnsiTheme="majorHAnsi" w:cstheme="majorHAnsi"/>
      <w:b/>
      <w:color w:val="23236E" w:themeColor="text2"/>
      <w:sz w:val="57"/>
      <w:szCs w:val="57"/>
    </w:rPr>
  </w:style>
  <w:style w:type="paragraph" w:customStyle="1" w:styleId="textheader">
    <w:name w:val="text header"/>
    <w:basedOn w:val="textregular"/>
    <w:uiPriority w:val="1"/>
    <w:qFormat/>
    <w:rsid w:val="00B30D59"/>
    <w:pPr>
      <w:spacing w:after="400" w:line="500" w:lineRule="exact"/>
    </w:pPr>
    <w:rPr>
      <w:rFonts w:asciiTheme="majorHAnsi" w:hAnsiTheme="majorHAnsi" w:cstheme="majorHAnsi"/>
      <w:color w:val="23236E" w:themeColor="text2"/>
      <w:sz w:val="40"/>
      <w:szCs w:val="40"/>
      <w:lang w:val="en-US"/>
    </w:rPr>
  </w:style>
  <w:style w:type="paragraph" w:customStyle="1" w:styleId="time">
    <w:name w:val="time"/>
    <w:basedOn w:val="textregular"/>
    <w:uiPriority w:val="1"/>
    <w:qFormat/>
    <w:rsid w:val="007A686E"/>
    <w:pPr>
      <w:framePr w:hSpace="142" w:vSpace="5528" w:wrap="around" w:vAnchor="page" w:hAnchor="page" w:x="1362" w:y="5104"/>
      <w:spacing w:after="0" w:line="320" w:lineRule="exact"/>
    </w:pPr>
    <w:rPr>
      <w:rFonts w:asciiTheme="majorHAnsi" w:hAnsiTheme="majorHAnsi" w:cstheme="majorHAnsi"/>
      <w:sz w:val="29"/>
      <w:szCs w:val="29"/>
      <w:lang w:val="en-US"/>
    </w:rPr>
  </w:style>
  <w:style w:type="character" w:styleId="PlaceholderText">
    <w:name w:val="Placeholder Text"/>
    <w:basedOn w:val="DefaultParagraphFont"/>
    <w:uiPriority w:val="99"/>
    <w:semiHidden/>
    <w:rsid w:val="00903B95"/>
    <w:rPr>
      <w:color w:val="808080"/>
    </w:rPr>
  </w:style>
  <w:style w:type="paragraph" w:customStyle="1" w:styleId="headline1">
    <w:name w:val="headline 1"/>
    <w:basedOn w:val="textregular"/>
    <w:uiPriority w:val="2"/>
    <w:qFormat/>
    <w:rsid w:val="00FF163C"/>
    <w:pPr>
      <w:spacing w:before="400" w:line="340" w:lineRule="exact"/>
      <w:jc w:val="center"/>
      <w:outlineLvl w:val="0"/>
    </w:pPr>
    <w:rPr>
      <w:rFonts w:ascii="Times New Roman" w:hAnsi="Times New Roman" w:cstheme="majorHAnsi"/>
      <w:b/>
      <w:color w:val="23236E" w:themeColor="text2"/>
      <w:sz w:val="24"/>
      <w:szCs w:val="28"/>
    </w:rPr>
  </w:style>
  <w:style w:type="numbering" w:customStyle="1" w:styleId="XXXList">
    <w:name w:val="XXX_List"/>
    <w:basedOn w:val="NoList"/>
    <w:uiPriority w:val="99"/>
    <w:rsid w:val="00D9486F"/>
    <w:pPr>
      <w:numPr>
        <w:numId w:val="1"/>
      </w:numPr>
    </w:pPr>
  </w:style>
  <w:style w:type="character" w:customStyle="1" w:styleId="Heading1Char">
    <w:name w:val="Heading 1 Char"/>
    <w:basedOn w:val="DefaultParagraphFont"/>
    <w:link w:val="Heading1"/>
    <w:uiPriority w:val="9"/>
    <w:rsid w:val="004B6993"/>
    <w:rPr>
      <w:rFonts w:asciiTheme="majorHAnsi" w:eastAsiaTheme="majorEastAsia" w:hAnsiTheme="majorHAnsi" w:cstheme="majorBidi"/>
      <w:b/>
      <w:bCs/>
      <w:color w:val="424477" w:themeColor="accent1" w:themeShade="BF"/>
      <w:sz w:val="28"/>
      <w:szCs w:val="28"/>
    </w:rPr>
  </w:style>
  <w:style w:type="paragraph" w:styleId="TOC1">
    <w:name w:val="toc 1"/>
    <w:basedOn w:val="Normal"/>
    <w:next w:val="Normal"/>
    <w:autoRedefine/>
    <w:uiPriority w:val="39"/>
    <w:unhideWhenUsed/>
    <w:rsid w:val="005F336C"/>
    <w:pPr>
      <w:tabs>
        <w:tab w:val="right" w:leader="dot" w:pos="9514"/>
      </w:tabs>
      <w:spacing w:after="100"/>
    </w:pPr>
    <w:rPr>
      <w:rFonts w:asciiTheme="majorHAnsi" w:hAnsiTheme="majorHAnsi"/>
    </w:rPr>
  </w:style>
  <w:style w:type="paragraph" w:styleId="TOCHeading">
    <w:name w:val="TOC Heading"/>
    <w:basedOn w:val="Heading1"/>
    <w:next w:val="Normal"/>
    <w:uiPriority w:val="39"/>
    <w:unhideWhenUsed/>
    <w:qFormat/>
    <w:rsid w:val="004B6993"/>
    <w:pPr>
      <w:spacing w:line="276" w:lineRule="auto"/>
      <w:outlineLvl w:val="9"/>
    </w:pPr>
  </w:style>
  <w:style w:type="character" w:styleId="Hyperlink">
    <w:name w:val="Hyperlink"/>
    <w:basedOn w:val="DefaultParagraphFont"/>
    <w:uiPriority w:val="99"/>
    <w:rsid w:val="0099378F"/>
    <w:rPr>
      <w:color w:val="0000FF" w:themeColor="hyperlink"/>
      <w:u w:val="single"/>
    </w:rPr>
  </w:style>
  <w:style w:type="paragraph" w:customStyle="1" w:styleId="decisionhead">
    <w:name w:val="decision head"/>
    <w:basedOn w:val="textregular"/>
    <w:uiPriority w:val="3"/>
    <w:qFormat/>
    <w:rsid w:val="00CD009F"/>
    <w:pPr>
      <w:pBdr>
        <w:top w:val="single" w:sz="24" w:space="1" w:color="B4B4C8" w:themeColor="accent4"/>
        <w:left w:val="single" w:sz="24" w:space="4" w:color="B4B4C8" w:themeColor="accent4"/>
        <w:bottom w:val="single" w:sz="24" w:space="1" w:color="B4B4C8" w:themeColor="accent4"/>
        <w:right w:val="single" w:sz="24" w:space="4" w:color="B4B4C8" w:themeColor="accent4"/>
      </w:pBdr>
      <w:shd w:val="clear" w:color="auto" w:fill="B4B4C8" w:themeFill="accent4"/>
      <w:spacing w:after="0" w:line="260" w:lineRule="exact"/>
      <w:ind w:left="170" w:right="170"/>
    </w:pPr>
    <w:rPr>
      <w:rFonts w:asciiTheme="majorHAnsi" w:hAnsiTheme="majorHAnsi" w:cstheme="majorHAnsi"/>
      <w:b/>
      <w:color w:val="23236E" w:themeColor="text2"/>
      <w:sz w:val="24"/>
      <w:szCs w:val="24"/>
    </w:rPr>
  </w:style>
  <w:style w:type="numbering" w:customStyle="1" w:styleId="XXXBulletList">
    <w:name w:val="XXX_Bullet List"/>
    <w:basedOn w:val="NoList"/>
    <w:uiPriority w:val="99"/>
    <w:rsid w:val="00590A19"/>
    <w:pPr>
      <w:numPr>
        <w:numId w:val="2"/>
      </w:numPr>
    </w:pPr>
  </w:style>
  <w:style w:type="paragraph" w:customStyle="1" w:styleId="decisionbullet1">
    <w:name w:val="decision bullet 1"/>
    <w:basedOn w:val="textregular"/>
    <w:uiPriority w:val="4"/>
    <w:qFormat/>
    <w:rsid w:val="00CD009F"/>
    <w:pPr>
      <w:numPr>
        <w:numId w:val="2"/>
      </w:numPr>
      <w:pBdr>
        <w:top w:val="single" w:sz="24" w:space="0" w:color="B4B4C8" w:themeColor="accent4"/>
        <w:left w:val="single" w:sz="24" w:space="4" w:color="B4B4C8" w:themeColor="accent4"/>
        <w:bottom w:val="single" w:sz="24" w:space="0" w:color="B4B4C8" w:themeColor="accent4"/>
        <w:right w:val="single" w:sz="24" w:space="4" w:color="B4B4C8" w:themeColor="accent4"/>
      </w:pBdr>
      <w:shd w:val="clear" w:color="auto" w:fill="B4B4C8" w:themeFill="accent4"/>
      <w:spacing w:after="0"/>
      <w:ind w:left="499" w:right="170"/>
    </w:pPr>
  </w:style>
  <w:style w:type="paragraph" w:customStyle="1" w:styleId="decisionbullet2">
    <w:name w:val="decision bullet 2"/>
    <w:basedOn w:val="textregular"/>
    <w:uiPriority w:val="4"/>
    <w:qFormat/>
    <w:rsid w:val="00B30D59"/>
    <w:pPr>
      <w:numPr>
        <w:ilvl w:val="1"/>
        <w:numId w:val="2"/>
      </w:numPr>
      <w:pBdr>
        <w:top w:val="single" w:sz="24" w:space="1" w:color="B4B4C8" w:themeColor="accent4"/>
        <w:left w:val="single" w:sz="24" w:space="21" w:color="B4B4C8" w:themeColor="accent4"/>
        <w:bottom w:val="single" w:sz="24" w:space="1" w:color="B4B4C8" w:themeColor="accent4"/>
        <w:right w:val="single" w:sz="24" w:space="4" w:color="B4B4C8" w:themeColor="accent4"/>
      </w:pBdr>
      <w:shd w:val="clear" w:color="auto" w:fill="B4B4C8" w:themeFill="accent4"/>
      <w:spacing w:after="0"/>
      <w:ind w:left="851" w:right="170" w:hanging="369"/>
    </w:pPr>
  </w:style>
  <w:style w:type="paragraph" w:customStyle="1" w:styleId="headline3">
    <w:name w:val="headline 3"/>
    <w:basedOn w:val="textregular"/>
    <w:uiPriority w:val="2"/>
    <w:qFormat/>
    <w:rsid w:val="000F693C"/>
    <w:pPr>
      <w:spacing w:after="20"/>
      <w:outlineLvl w:val="2"/>
    </w:pPr>
    <w:rPr>
      <w:b/>
    </w:rPr>
  </w:style>
  <w:style w:type="numbering" w:customStyle="1" w:styleId="XXXNummerierung">
    <w:name w:val="XXX_Nummerierung"/>
    <w:basedOn w:val="NoList"/>
    <w:uiPriority w:val="99"/>
    <w:rsid w:val="00E7480B"/>
    <w:pPr>
      <w:numPr>
        <w:numId w:val="3"/>
      </w:numPr>
    </w:pPr>
  </w:style>
  <w:style w:type="paragraph" w:customStyle="1" w:styleId="textenumeration">
    <w:name w:val="text enumeration"/>
    <w:basedOn w:val="textregular"/>
    <w:uiPriority w:val="4"/>
    <w:qFormat/>
    <w:rsid w:val="00E7480B"/>
    <w:pPr>
      <w:numPr>
        <w:numId w:val="3"/>
      </w:numPr>
      <w:contextualSpacing/>
    </w:pPr>
  </w:style>
  <w:style w:type="paragraph" w:customStyle="1" w:styleId="headline2">
    <w:name w:val="headline 2"/>
    <w:basedOn w:val="textregular"/>
    <w:uiPriority w:val="2"/>
    <w:qFormat/>
    <w:rsid w:val="003F4045"/>
    <w:pPr>
      <w:spacing w:line="260" w:lineRule="exact"/>
      <w:jc w:val="center"/>
      <w:outlineLvl w:val="1"/>
    </w:pPr>
    <w:rPr>
      <w:rFonts w:ascii="Times New Roman" w:hAnsi="Times New Roman" w:cstheme="majorHAnsi"/>
      <w:b/>
      <w:color w:val="23236E" w:themeColor="text2"/>
      <w:sz w:val="24"/>
      <w:szCs w:val="24"/>
    </w:rPr>
  </w:style>
  <w:style w:type="numbering" w:customStyle="1" w:styleId="XXXtextbullets">
    <w:name w:val="XXX_text bullets"/>
    <w:basedOn w:val="NoList"/>
    <w:uiPriority w:val="99"/>
    <w:rsid w:val="000961F8"/>
    <w:pPr>
      <w:numPr>
        <w:numId w:val="4"/>
      </w:numPr>
    </w:pPr>
  </w:style>
  <w:style w:type="paragraph" w:customStyle="1" w:styleId="textbullets">
    <w:name w:val="text bullets"/>
    <w:basedOn w:val="textregular"/>
    <w:uiPriority w:val="5"/>
    <w:qFormat/>
    <w:rsid w:val="000961F8"/>
    <w:pPr>
      <w:numPr>
        <w:numId w:val="4"/>
      </w:numPr>
      <w:contextualSpacing/>
    </w:pPr>
  </w:style>
  <w:style w:type="table" w:customStyle="1" w:styleId="EntsoeeinfacheTabelle">
    <w:name w:val="Entsoe | einfache Tabelle"/>
    <w:basedOn w:val="TableNormal"/>
    <w:uiPriority w:val="99"/>
    <w:qFormat/>
    <w:rsid w:val="00922A3D"/>
    <w:tblPr>
      <w:tblStyleRowBandSize w:val="1"/>
      <w:tblBorders>
        <w:insideV w:val="single" w:sz="12" w:space="0" w:color="FFFFFF" w:themeColor="background1"/>
      </w:tblBorders>
      <w:tblCellMar>
        <w:top w:w="28" w:type="dxa"/>
      </w:tblCellMar>
    </w:tblPr>
    <w:tblStylePr w:type="firstRow">
      <w:pPr>
        <w:wordWrap/>
        <w:spacing w:afterLines="0" w:afterAutospacing="0" w:line="340" w:lineRule="exact"/>
      </w:pPr>
      <w:rPr>
        <w:rFonts w:asciiTheme="majorHAnsi" w:hAnsiTheme="majorHAnsi"/>
        <w:b/>
        <w:color w:val="23236E" w:themeColor="text2"/>
        <w:sz w:val="28"/>
      </w:rPr>
    </w:tblStylePr>
    <w:tblStylePr w:type="band1Horz">
      <w:tblPr/>
      <w:tcPr>
        <w:shd w:val="clear" w:color="auto" w:fill="D9D9D9" w:themeFill="background1" w:themeFillShade="D9"/>
      </w:tcPr>
    </w:tblStylePr>
  </w:style>
  <w:style w:type="paragraph" w:customStyle="1" w:styleId="footnote1">
    <w:name w:val="footnote 1"/>
    <w:basedOn w:val="textregular"/>
    <w:uiPriority w:val="6"/>
    <w:qFormat/>
    <w:rsid w:val="007E6984"/>
    <w:pPr>
      <w:pBdr>
        <w:top w:val="single" w:sz="8" w:space="11" w:color="auto"/>
      </w:pBdr>
      <w:spacing w:after="0"/>
    </w:pPr>
    <w:rPr>
      <w:sz w:val="19"/>
    </w:rPr>
  </w:style>
  <w:style w:type="paragraph" w:customStyle="1" w:styleId="footnote2">
    <w:name w:val="footnote 2"/>
    <w:basedOn w:val="textregular"/>
    <w:uiPriority w:val="6"/>
    <w:qFormat/>
    <w:rsid w:val="007E6984"/>
    <w:pPr>
      <w:spacing w:after="0"/>
    </w:pPr>
    <w:rPr>
      <w:sz w:val="19"/>
    </w:rPr>
  </w:style>
  <w:style w:type="paragraph" w:styleId="TOC3">
    <w:name w:val="toc 3"/>
    <w:basedOn w:val="Normal"/>
    <w:next w:val="Normal"/>
    <w:autoRedefine/>
    <w:uiPriority w:val="39"/>
    <w:unhideWhenUsed/>
    <w:rsid w:val="000F693C"/>
    <w:pPr>
      <w:spacing w:after="100"/>
      <w:ind w:left="440"/>
    </w:pPr>
  </w:style>
  <w:style w:type="paragraph" w:styleId="TOC2">
    <w:name w:val="toc 2"/>
    <w:basedOn w:val="Normal"/>
    <w:next w:val="Normal"/>
    <w:autoRedefine/>
    <w:uiPriority w:val="39"/>
    <w:unhideWhenUsed/>
    <w:rsid w:val="000F693C"/>
    <w:pPr>
      <w:spacing w:after="100"/>
      <w:ind w:left="220"/>
    </w:pPr>
  </w:style>
  <w:style w:type="character" w:styleId="CommentReference">
    <w:name w:val="annotation reference"/>
    <w:basedOn w:val="DefaultParagraphFont"/>
    <w:uiPriority w:val="99"/>
    <w:semiHidden/>
    <w:unhideWhenUsed/>
    <w:rsid w:val="00E377D1"/>
    <w:rPr>
      <w:sz w:val="16"/>
      <w:szCs w:val="16"/>
    </w:rPr>
  </w:style>
  <w:style w:type="paragraph" w:styleId="CommentText">
    <w:name w:val="annotation text"/>
    <w:basedOn w:val="Normal"/>
    <w:link w:val="CommentTextChar"/>
    <w:uiPriority w:val="99"/>
    <w:unhideWhenUsed/>
    <w:rsid w:val="00E377D1"/>
    <w:rPr>
      <w:sz w:val="20"/>
      <w:szCs w:val="20"/>
    </w:rPr>
  </w:style>
  <w:style w:type="character" w:customStyle="1" w:styleId="CommentTextChar">
    <w:name w:val="Comment Text Char"/>
    <w:basedOn w:val="DefaultParagraphFont"/>
    <w:link w:val="CommentText"/>
    <w:uiPriority w:val="99"/>
    <w:rsid w:val="00E377D1"/>
    <w:rPr>
      <w:sz w:val="20"/>
      <w:szCs w:val="20"/>
      <w:lang w:val="en-GB"/>
    </w:rPr>
  </w:style>
  <w:style w:type="paragraph" w:styleId="Title">
    <w:name w:val="Title"/>
    <w:basedOn w:val="Normal"/>
    <w:next w:val="Normal"/>
    <w:link w:val="TitleChar"/>
    <w:uiPriority w:val="10"/>
    <w:qFormat/>
    <w:rsid w:val="00E377D1"/>
    <w:pPr>
      <w:contextualSpacing/>
    </w:pPr>
    <w:rPr>
      <w:rFonts w:asciiTheme="majorHAnsi" w:eastAsiaTheme="majorEastAsia" w:hAnsiTheme="majorHAnsi" w:cstheme="majorBidi"/>
      <w:spacing w:val="-10"/>
      <w:kern w:val="28"/>
      <w:sz w:val="56"/>
      <w:szCs w:val="56"/>
      <w:lang w:val="fi-FI"/>
    </w:rPr>
  </w:style>
  <w:style w:type="character" w:customStyle="1" w:styleId="TitleChar">
    <w:name w:val="Title Char"/>
    <w:basedOn w:val="DefaultParagraphFont"/>
    <w:link w:val="Title"/>
    <w:uiPriority w:val="10"/>
    <w:rsid w:val="00E377D1"/>
    <w:rPr>
      <w:rFonts w:asciiTheme="majorHAnsi" w:eastAsiaTheme="majorEastAsia" w:hAnsiTheme="majorHAnsi" w:cstheme="majorBidi"/>
      <w:spacing w:val="-10"/>
      <w:kern w:val="28"/>
      <w:sz w:val="56"/>
      <w:szCs w:val="56"/>
      <w:lang w:val="fi-FI"/>
    </w:rPr>
  </w:style>
  <w:style w:type="paragraph" w:styleId="FootnoteText">
    <w:name w:val="footnote text"/>
    <w:aliases w:val="footnotes"/>
    <w:basedOn w:val="Normal"/>
    <w:link w:val="FootnoteTextChar"/>
    <w:unhideWhenUsed/>
    <w:rsid w:val="006A737C"/>
    <w:rPr>
      <w:sz w:val="20"/>
      <w:szCs w:val="20"/>
    </w:rPr>
  </w:style>
  <w:style w:type="character" w:customStyle="1" w:styleId="FootnoteTextChar">
    <w:name w:val="Footnote Text Char"/>
    <w:aliases w:val="footnotes Char"/>
    <w:basedOn w:val="DefaultParagraphFont"/>
    <w:link w:val="FootnoteText"/>
    <w:rsid w:val="006A737C"/>
    <w:rPr>
      <w:sz w:val="20"/>
      <w:szCs w:val="20"/>
      <w:lang w:val="en-GB"/>
    </w:rPr>
  </w:style>
  <w:style w:type="character" w:styleId="FootnoteReference">
    <w:name w:val="footnote reference"/>
    <w:basedOn w:val="DefaultParagraphFont"/>
    <w:semiHidden/>
    <w:unhideWhenUsed/>
    <w:rsid w:val="006A737C"/>
    <w:rPr>
      <w:vertAlign w:val="superscript"/>
    </w:rPr>
  </w:style>
  <w:style w:type="paragraph" w:styleId="CommentSubject">
    <w:name w:val="annotation subject"/>
    <w:basedOn w:val="CommentText"/>
    <w:next w:val="CommentText"/>
    <w:link w:val="CommentSubjectChar"/>
    <w:uiPriority w:val="99"/>
    <w:semiHidden/>
    <w:unhideWhenUsed/>
    <w:rsid w:val="006A737C"/>
    <w:pPr>
      <w:spacing w:after="160"/>
    </w:pPr>
    <w:rPr>
      <w:b/>
      <w:bCs/>
      <w:lang w:val="fi-FI"/>
    </w:rPr>
  </w:style>
  <w:style w:type="character" w:customStyle="1" w:styleId="CommentSubjectChar">
    <w:name w:val="Comment Subject Char"/>
    <w:basedOn w:val="CommentTextChar"/>
    <w:link w:val="CommentSubject"/>
    <w:uiPriority w:val="99"/>
    <w:semiHidden/>
    <w:rsid w:val="006A737C"/>
    <w:rPr>
      <w:b/>
      <w:bCs/>
      <w:sz w:val="20"/>
      <w:szCs w:val="20"/>
      <w:lang w:val="fi-FI"/>
    </w:rPr>
  </w:style>
  <w:style w:type="character" w:customStyle="1" w:styleId="KommentintekstiChar">
    <w:name w:val="Kommentin teksti Char"/>
    <w:basedOn w:val="DefaultParagraphFont"/>
    <w:uiPriority w:val="99"/>
    <w:rsid w:val="006A737C"/>
    <w:rPr>
      <w:sz w:val="20"/>
      <w:szCs w:val="20"/>
    </w:rPr>
  </w:style>
  <w:style w:type="paragraph" w:styleId="ListParagraph">
    <w:name w:val="List Paragraph"/>
    <w:aliases w:val="Odstavec1,Puce"/>
    <w:basedOn w:val="Normal"/>
    <w:link w:val="ListParagraphChar"/>
    <w:uiPriority w:val="34"/>
    <w:qFormat/>
    <w:rsid w:val="004038AE"/>
    <w:pPr>
      <w:spacing w:after="160" w:line="259" w:lineRule="auto"/>
      <w:ind w:left="720"/>
      <w:contextualSpacing/>
      <w:jc w:val="both"/>
    </w:pPr>
    <w:rPr>
      <w:lang w:val="fi-FI"/>
    </w:rPr>
  </w:style>
  <w:style w:type="paragraph" w:customStyle="1" w:styleId="Default">
    <w:name w:val="Default"/>
    <w:rsid w:val="006A737C"/>
    <w:pPr>
      <w:autoSpaceDE w:val="0"/>
      <w:autoSpaceDN w:val="0"/>
      <w:adjustRightInd w:val="0"/>
    </w:pPr>
    <w:rPr>
      <w:rFonts w:ascii="EUAlbertina" w:hAnsi="EUAlbertina" w:cs="EUAlbertina"/>
      <w:color w:val="000000"/>
      <w:sz w:val="24"/>
      <w:szCs w:val="24"/>
      <w:lang w:val="de-AT"/>
    </w:rPr>
  </w:style>
  <w:style w:type="character" w:customStyle="1" w:styleId="AlaviitteentekstiChar">
    <w:name w:val="Alaviitteen teksti Char"/>
    <w:basedOn w:val="DefaultParagraphFont"/>
    <w:uiPriority w:val="99"/>
    <w:semiHidden/>
    <w:rsid w:val="006A737C"/>
    <w:rPr>
      <w:sz w:val="20"/>
      <w:szCs w:val="20"/>
    </w:rPr>
  </w:style>
  <w:style w:type="character" w:customStyle="1" w:styleId="descriptionid1siteid2571">
    <w:name w:val="descriptionid1siteid2571"/>
    <w:basedOn w:val="DefaultParagraphFont"/>
    <w:rsid w:val="006A737C"/>
    <w:rPr>
      <w:rFonts w:ascii="Arial" w:hAnsi="Arial" w:cs="Arial" w:hint="default"/>
      <w:color w:val="666666"/>
      <w:sz w:val="18"/>
      <w:szCs w:val="18"/>
    </w:rPr>
  </w:style>
  <w:style w:type="paragraph" w:customStyle="1" w:styleId="Normln1">
    <w:name w:val="Normální1"/>
    <w:aliases w:val="ČEPS Arial"/>
    <w:basedOn w:val="Normal"/>
    <w:rsid w:val="006A737C"/>
    <w:rPr>
      <w:rFonts w:ascii="Calibri" w:hAnsi="Calibri" w:cs="Times New Roman"/>
      <w:lang w:val="pl-PL"/>
    </w:rPr>
  </w:style>
  <w:style w:type="character" w:styleId="FollowedHyperlink">
    <w:name w:val="FollowedHyperlink"/>
    <w:basedOn w:val="DefaultParagraphFont"/>
    <w:uiPriority w:val="99"/>
    <w:semiHidden/>
    <w:unhideWhenUsed/>
    <w:rsid w:val="006A737C"/>
    <w:rPr>
      <w:color w:val="800080" w:themeColor="followedHyperlink"/>
      <w:u w:val="single"/>
    </w:rPr>
  </w:style>
  <w:style w:type="paragraph" w:styleId="Revision">
    <w:name w:val="Revision"/>
    <w:hidden/>
    <w:uiPriority w:val="99"/>
    <w:semiHidden/>
    <w:rsid w:val="006A737C"/>
    <w:rPr>
      <w:lang w:val="fi-FI"/>
    </w:rPr>
  </w:style>
  <w:style w:type="character" w:customStyle="1" w:styleId="textregularZchn">
    <w:name w:val="text regular Zchn"/>
    <w:basedOn w:val="DefaultParagraphFont"/>
    <w:link w:val="textregular"/>
    <w:locked/>
    <w:rsid w:val="00FA1C08"/>
    <w:rPr>
      <w:lang w:val="en-GB"/>
    </w:rPr>
  </w:style>
  <w:style w:type="paragraph" w:styleId="NormalWeb">
    <w:name w:val="Normal (Web)"/>
    <w:basedOn w:val="Normal"/>
    <w:uiPriority w:val="99"/>
    <w:unhideWhenUsed/>
    <w:rsid w:val="007C72F1"/>
    <w:pPr>
      <w:spacing w:before="100" w:beforeAutospacing="1" w:after="100" w:afterAutospacing="1"/>
    </w:pPr>
    <w:rPr>
      <w:rFonts w:ascii="Times New Roman" w:eastAsia="Times New Roman" w:hAnsi="Times New Roman" w:cs="Times New Roman"/>
      <w:sz w:val="24"/>
      <w:szCs w:val="24"/>
      <w:lang w:val="en-US"/>
    </w:rPr>
  </w:style>
  <w:style w:type="character" w:customStyle="1" w:styleId="ListParagraphChar">
    <w:name w:val="List Paragraph Char"/>
    <w:aliases w:val="Odstavec1 Char,Puce Char"/>
    <w:basedOn w:val="DefaultParagraphFont"/>
    <w:link w:val="ListParagraph"/>
    <w:uiPriority w:val="34"/>
    <w:locked/>
    <w:rsid w:val="007C72F1"/>
    <w:rPr>
      <w:lang w:val="fi-FI"/>
    </w:rPr>
  </w:style>
  <w:style w:type="paragraph" w:customStyle="1" w:styleId="NumPar1">
    <w:name w:val="NumPar 1"/>
    <w:basedOn w:val="Normal"/>
    <w:next w:val="Normal"/>
    <w:rsid w:val="004A1545"/>
    <w:pPr>
      <w:numPr>
        <w:numId w:val="6"/>
      </w:numPr>
      <w:spacing w:before="120" w:after="120"/>
      <w:jc w:val="both"/>
    </w:pPr>
    <w:rPr>
      <w:rFonts w:ascii="Times New Roman" w:hAnsi="Times New Roman" w:cs="Times New Roman"/>
      <w:sz w:val="24"/>
    </w:rPr>
  </w:style>
  <w:style w:type="paragraph" w:customStyle="1" w:styleId="NumPar2">
    <w:name w:val="NumPar 2"/>
    <w:basedOn w:val="Normal"/>
    <w:next w:val="Normal"/>
    <w:rsid w:val="004A1545"/>
    <w:pPr>
      <w:numPr>
        <w:ilvl w:val="1"/>
        <w:numId w:val="6"/>
      </w:numPr>
      <w:spacing w:before="120" w:after="120"/>
      <w:jc w:val="both"/>
    </w:pPr>
    <w:rPr>
      <w:rFonts w:ascii="Times New Roman" w:hAnsi="Times New Roman" w:cs="Times New Roman"/>
      <w:sz w:val="24"/>
    </w:rPr>
  </w:style>
  <w:style w:type="paragraph" w:customStyle="1" w:styleId="NumPar3">
    <w:name w:val="NumPar 3"/>
    <w:basedOn w:val="Normal"/>
    <w:next w:val="Normal"/>
    <w:rsid w:val="004A1545"/>
    <w:pPr>
      <w:numPr>
        <w:ilvl w:val="2"/>
        <w:numId w:val="6"/>
      </w:numPr>
      <w:spacing w:before="120" w:after="120"/>
      <w:jc w:val="both"/>
    </w:pPr>
    <w:rPr>
      <w:rFonts w:ascii="Times New Roman" w:hAnsi="Times New Roman" w:cs="Times New Roman"/>
      <w:sz w:val="24"/>
    </w:rPr>
  </w:style>
  <w:style w:type="paragraph" w:customStyle="1" w:styleId="NumPar4">
    <w:name w:val="NumPar 4"/>
    <w:basedOn w:val="Normal"/>
    <w:next w:val="Normal"/>
    <w:rsid w:val="004A1545"/>
    <w:pPr>
      <w:numPr>
        <w:ilvl w:val="3"/>
        <w:numId w:val="6"/>
      </w:numPr>
      <w:spacing w:before="120" w:after="120"/>
      <w:jc w:val="both"/>
    </w:pPr>
    <w:rPr>
      <w:rFonts w:ascii="Times New Roman" w:hAnsi="Times New Roman" w:cs="Times New Roman"/>
      <w:sz w:val="24"/>
    </w:rPr>
  </w:style>
  <w:style w:type="paragraph" w:styleId="Caption">
    <w:name w:val="caption"/>
    <w:basedOn w:val="Normal"/>
    <w:next w:val="Normal"/>
    <w:uiPriority w:val="35"/>
    <w:unhideWhenUsed/>
    <w:qFormat/>
    <w:rsid w:val="000E773E"/>
    <w:pPr>
      <w:spacing w:after="200"/>
    </w:pPr>
    <w:rPr>
      <w:i/>
      <w:iCs/>
      <w:color w:val="23236E" w:themeColor="text2"/>
      <w:sz w:val="18"/>
      <w:szCs w:val="18"/>
    </w:rPr>
  </w:style>
  <w:style w:type="character" w:styleId="LineNumber">
    <w:name w:val="line number"/>
    <w:basedOn w:val="DefaultParagraphFont"/>
    <w:uiPriority w:val="99"/>
    <w:semiHidden/>
    <w:unhideWhenUsed/>
    <w:rsid w:val="003024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298124">
      <w:bodyDiv w:val="1"/>
      <w:marLeft w:val="0"/>
      <w:marRight w:val="0"/>
      <w:marTop w:val="0"/>
      <w:marBottom w:val="0"/>
      <w:divBdr>
        <w:top w:val="none" w:sz="0" w:space="0" w:color="auto"/>
        <w:left w:val="none" w:sz="0" w:space="0" w:color="auto"/>
        <w:bottom w:val="none" w:sz="0" w:space="0" w:color="auto"/>
        <w:right w:val="none" w:sz="0" w:space="0" w:color="auto"/>
      </w:divBdr>
    </w:div>
    <w:div w:id="188225808">
      <w:bodyDiv w:val="1"/>
      <w:marLeft w:val="0"/>
      <w:marRight w:val="0"/>
      <w:marTop w:val="0"/>
      <w:marBottom w:val="0"/>
      <w:divBdr>
        <w:top w:val="none" w:sz="0" w:space="0" w:color="auto"/>
        <w:left w:val="none" w:sz="0" w:space="0" w:color="auto"/>
        <w:bottom w:val="none" w:sz="0" w:space="0" w:color="auto"/>
        <w:right w:val="none" w:sz="0" w:space="0" w:color="auto"/>
      </w:divBdr>
    </w:div>
    <w:div w:id="302084168">
      <w:bodyDiv w:val="1"/>
      <w:marLeft w:val="0"/>
      <w:marRight w:val="0"/>
      <w:marTop w:val="0"/>
      <w:marBottom w:val="0"/>
      <w:divBdr>
        <w:top w:val="none" w:sz="0" w:space="0" w:color="auto"/>
        <w:left w:val="none" w:sz="0" w:space="0" w:color="auto"/>
        <w:bottom w:val="none" w:sz="0" w:space="0" w:color="auto"/>
        <w:right w:val="none" w:sz="0" w:space="0" w:color="auto"/>
      </w:divBdr>
    </w:div>
    <w:div w:id="401604933">
      <w:bodyDiv w:val="1"/>
      <w:marLeft w:val="0"/>
      <w:marRight w:val="0"/>
      <w:marTop w:val="0"/>
      <w:marBottom w:val="0"/>
      <w:divBdr>
        <w:top w:val="none" w:sz="0" w:space="0" w:color="auto"/>
        <w:left w:val="none" w:sz="0" w:space="0" w:color="auto"/>
        <w:bottom w:val="none" w:sz="0" w:space="0" w:color="auto"/>
        <w:right w:val="none" w:sz="0" w:space="0" w:color="auto"/>
      </w:divBdr>
    </w:div>
    <w:div w:id="642392771">
      <w:bodyDiv w:val="1"/>
      <w:marLeft w:val="0"/>
      <w:marRight w:val="0"/>
      <w:marTop w:val="0"/>
      <w:marBottom w:val="0"/>
      <w:divBdr>
        <w:top w:val="none" w:sz="0" w:space="0" w:color="auto"/>
        <w:left w:val="none" w:sz="0" w:space="0" w:color="auto"/>
        <w:bottom w:val="none" w:sz="0" w:space="0" w:color="auto"/>
        <w:right w:val="none" w:sz="0" w:space="0" w:color="auto"/>
      </w:divBdr>
    </w:div>
    <w:div w:id="735592175">
      <w:bodyDiv w:val="1"/>
      <w:marLeft w:val="0"/>
      <w:marRight w:val="0"/>
      <w:marTop w:val="0"/>
      <w:marBottom w:val="0"/>
      <w:divBdr>
        <w:top w:val="none" w:sz="0" w:space="0" w:color="auto"/>
        <w:left w:val="none" w:sz="0" w:space="0" w:color="auto"/>
        <w:bottom w:val="none" w:sz="0" w:space="0" w:color="auto"/>
        <w:right w:val="none" w:sz="0" w:space="0" w:color="auto"/>
      </w:divBdr>
    </w:div>
    <w:div w:id="761298046">
      <w:bodyDiv w:val="1"/>
      <w:marLeft w:val="0"/>
      <w:marRight w:val="0"/>
      <w:marTop w:val="0"/>
      <w:marBottom w:val="0"/>
      <w:divBdr>
        <w:top w:val="none" w:sz="0" w:space="0" w:color="auto"/>
        <w:left w:val="none" w:sz="0" w:space="0" w:color="auto"/>
        <w:bottom w:val="none" w:sz="0" w:space="0" w:color="auto"/>
        <w:right w:val="none" w:sz="0" w:space="0" w:color="auto"/>
      </w:divBdr>
    </w:div>
    <w:div w:id="802579339">
      <w:bodyDiv w:val="1"/>
      <w:marLeft w:val="0"/>
      <w:marRight w:val="0"/>
      <w:marTop w:val="0"/>
      <w:marBottom w:val="0"/>
      <w:divBdr>
        <w:top w:val="none" w:sz="0" w:space="0" w:color="auto"/>
        <w:left w:val="none" w:sz="0" w:space="0" w:color="auto"/>
        <w:bottom w:val="none" w:sz="0" w:space="0" w:color="auto"/>
        <w:right w:val="none" w:sz="0" w:space="0" w:color="auto"/>
      </w:divBdr>
      <w:divsChild>
        <w:div w:id="240527733">
          <w:marLeft w:val="547"/>
          <w:marRight w:val="0"/>
          <w:marTop w:val="0"/>
          <w:marBottom w:val="0"/>
          <w:divBdr>
            <w:top w:val="none" w:sz="0" w:space="0" w:color="auto"/>
            <w:left w:val="none" w:sz="0" w:space="0" w:color="auto"/>
            <w:bottom w:val="none" w:sz="0" w:space="0" w:color="auto"/>
            <w:right w:val="none" w:sz="0" w:space="0" w:color="auto"/>
          </w:divBdr>
        </w:div>
        <w:div w:id="333382749">
          <w:marLeft w:val="547"/>
          <w:marRight w:val="0"/>
          <w:marTop w:val="0"/>
          <w:marBottom w:val="0"/>
          <w:divBdr>
            <w:top w:val="none" w:sz="0" w:space="0" w:color="auto"/>
            <w:left w:val="none" w:sz="0" w:space="0" w:color="auto"/>
            <w:bottom w:val="none" w:sz="0" w:space="0" w:color="auto"/>
            <w:right w:val="none" w:sz="0" w:space="0" w:color="auto"/>
          </w:divBdr>
        </w:div>
        <w:div w:id="161624788">
          <w:marLeft w:val="547"/>
          <w:marRight w:val="0"/>
          <w:marTop w:val="0"/>
          <w:marBottom w:val="0"/>
          <w:divBdr>
            <w:top w:val="none" w:sz="0" w:space="0" w:color="auto"/>
            <w:left w:val="none" w:sz="0" w:space="0" w:color="auto"/>
            <w:bottom w:val="none" w:sz="0" w:space="0" w:color="auto"/>
            <w:right w:val="none" w:sz="0" w:space="0" w:color="auto"/>
          </w:divBdr>
        </w:div>
        <w:div w:id="2092314378">
          <w:marLeft w:val="547"/>
          <w:marRight w:val="0"/>
          <w:marTop w:val="0"/>
          <w:marBottom w:val="0"/>
          <w:divBdr>
            <w:top w:val="none" w:sz="0" w:space="0" w:color="auto"/>
            <w:left w:val="none" w:sz="0" w:space="0" w:color="auto"/>
            <w:bottom w:val="none" w:sz="0" w:space="0" w:color="auto"/>
            <w:right w:val="none" w:sz="0" w:space="0" w:color="auto"/>
          </w:divBdr>
        </w:div>
      </w:divsChild>
    </w:div>
    <w:div w:id="915163957">
      <w:bodyDiv w:val="1"/>
      <w:marLeft w:val="0"/>
      <w:marRight w:val="0"/>
      <w:marTop w:val="0"/>
      <w:marBottom w:val="0"/>
      <w:divBdr>
        <w:top w:val="none" w:sz="0" w:space="0" w:color="auto"/>
        <w:left w:val="none" w:sz="0" w:space="0" w:color="auto"/>
        <w:bottom w:val="none" w:sz="0" w:space="0" w:color="auto"/>
        <w:right w:val="none" w:sz="0" w:space="0" w:color="auto"/>
      </w:divBdr>
      <w:divsChild>
        <w:div w:id="1190072783">
          <w:marLeft w:val="547"/>
          <w:marRight w:val="0"/>
          <w:marTop w:val="0"/>
          <w:marBottom w:val="0"/>
          <w:divBdr>
            <w:top w:val="none" w:sz="0" w:space="0" w:color="auto"/>
            <w:left w:val="none" w:sz="0" w:space="0" w:color="auto"/>
            <w:bottom w:val="none" w:sz="0" w:space="0" w:color="auto"/>
            <w:right w:val="none" w:sz="0" w:space="0" w:color="auto"/>
          </w:divBdr>
        </w:div>
      </w:divsChild>
    </w:div>
    <w:div w:id="1133911758">
      <w:bodyDiv w:val="1"/>
      <w:marLeft w:val="0"/>
      <w:marRight w:val="0"/>
      <w:marTop w:val="0"/>
      <w:marBottom w:val="0"/>
      <w:divBdr>
        <w:top w:val="none" w:sz="0" w:space="0" w:color="auto"/>
        <w:left w:val="none" w:sz="0" w:space="0" w:color="auto"/>
        <w:bottom w:val="none" w:sz="0" w:space="0" w:color="auto"/>
        <w:right w:val="none" w:sz="0" w:space="0" w:color="auto"/>
      </w:divBdr>
    </w:div>
    <w:div w:id="1170565438">
      <w:bodyDiv w:val="1"/>
      <w:marLeft w:val="0"/>
      <w:marRight w:val="0"/>
      <w:marTop w:val="0"/>
      <w:marBottom w:val="0"/>
      <w:divBdr>
        <w:top w:val="none" w:sz="0" w:space="0" w:color="auto"/>
        <w:left w:val="none" w:sz="0" w:space="0" w:color="auto"/>
        <w:bottom w:val="none" w:sz="0" w:space="0" w:color="auto"/>
        <w:right w:val="none" w:sz="0" w:space="0" w:color="auto"/>
      </w:divBdr>
    </w:div>
    <w:div w:id="1518807986">
      <w:bodyDiv w:val="1"/>
      <w:marLeft w:val="0"/>
      <w:marRight w:val="0"/>
      <w:marTop w:val="0"/>
      <w:marBottom w:val="0"/>
      <w:divBdr>
        <w:top w:val="none" w:sz="0" w:space="0" w:color="auto"/>
        <w:left w:val="none" w:sz="0" w:space="0" w:color="auto"/>
        <w:bottom w:val="none" w:sz="0" w:space="0" w:color="auto"/>
        <w:right w:val="none" w:sz="0" w:space="0" w:color="auto"/>
      </w:divBdr>
    </w:div>
    <w:div w:id="1520923059">
      <w:bodyDiv w:val="1"/>
      <w:marLeft w:val="0"/>
      <w:marRight w:val="0"/>
      <w:marTop w:val="0"/>
      <w:marBottom w:val="0"/>
      <w:divBdr>
        <w:top w:val="none" w:sz="0" w:space="0" w:color="auto"/>
        <w:left w:val="none" w:sz="0" w:space="0" w:color="auto"/>
        <w:bottom w:val="none" w:sz="0" w:space="0" w:color="auto"/>
        <w:right w:val="none" w:sz="0" w:space="0" w:color="auto"/>
      </w:divBdr>
    </w:div>
    <w:div w:id="1627152331">
      <w:bodyDiv w:val="1"/>
      <w:marLeft w:val="0"/>
      <w:marRight w:val="0"/>
      <w:marTop w:val="0"/>
      <w:marBottom w:val="0"/>
      <w:divBdr>
        <w:top w:val="none" w:sz="0" w:space="0" w:color="auto"/>
        <w:left w:val="none" w:sz="0" w:space="0" w:color="auto"/>
        <w:bottom w:val="none" w:sz="0" w:space="0" w:color="auto"/>
        <w:right w:val="none" w:sz="0" w:space="0" w:color="auto"/>
      </w:divBdr>
    </w:div>
    <w:div w:id="1744371995">
      <w:bodyDiv w:val="1"/>
      <w:marLeft w:val="0"/>
      <w:marRight w:val="0"/>
      <w:marTop w:val="0"/>
      <w:marBottom w:val="0"/>
      <w:divBdr>
        <w:top w:val="none" w:sz="0" w:space="0" w:color="auto"/>
        <w:left w:val="none" w:sz="0" w:space="0" w:color="auto"/>
        <w:bottom w:val="none" w:sz="0" w:space="0" w:color="auto"/>
        <w:right w:val="none" w:sz="0" w:space="0" w:color="auto"/>
      </w:divBdr>
    </w:div>
    <w:div w:id="1745567611">
      <w:bodyDiv w:val="1"/>
      <w:marLeft w:val="0"/>
      <w:marRight w:val="0"/>
      <w:marTop w:val="0"/>
      <w:marBottom w:val="0"/>
      <w:divBdr>
        <w:top w:val="none" w:sz="0" w:space="0" w:color="auto"/>
        <w:left w:val="none" w:sz="0" w:space="0" w:color="auto"/>
        <w:bottom w:val="none" w:sz="0" w:space="0" w:color="auto"/>
        <w:right w:val="none" w:sz="0" w:space="0" w:color="auto"/>
      </w:divBdr>
    </w:div>
    <w:div w:id="2072580184">
      <w:bodyDiv w:val="1"/>
      <w:marLeft w:val="0"/>
      <w:marRight w:val="0"/>
      <w:marTop w:val="0"/>
      <w:marBottom w:val="0"/>
      <w:divBdr>
        <w:top w:val="none" w:sz="0" w:space="0" w:color="auto"/>
        <w:left w:val="none" w:sz="0" w:space="0" w:color="auto"/>
        <w:bottom w:val="none" w:sz="0" w:space="0" w:color="auto"/>
        <w:right w:val="none" w:sz="0" w:space="0" w:color="auto"/>
      </w:divBdr>
    </w:div>
    <w:div w:id="2079788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footer2.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Company\Users\vveramyeva\AppData\Roaming\Microsoft\Templates\ENTSOE\140121_ENTSO-E_Template_Report_no%20LSPp.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D2177B848EC4D8DAAF49E065A155815"/>
        <w:category>
          <w:name w:val="General"/>
          <w:gallery w:val="placeholder"/>
        </w:category>
        <w:types>
          <w:type w:val="bbPlcHdr"/>
        </w:types>
        <w:behaviors>
          <w:behavior w:val="content"/>
        </w:behaviors>
        <w:guid w:val="{C939558C-28CB-4FF5-AA96-886B91BCB2B4}"/>
      </w:docPartPr>
      <w:docPartBody>
        <w:p w:rsidR="00544909" w:rsidRDefault="00061F71" w:rsidP="00061F71">
          <w:pPr>
            <w:pStyle w:val="DD2177B848EC4D8DAAF49E065A155815"/>
          </w:pPr>
          <w:r w:rsidRPr="000C30E5">
            <w:rPr>
              <w:rStyle w:val="PlaceholderText"/>
            </w:rPr>
            <w:t>[Titel]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inkAnnotations="0"/>
  <w:defaultTabStop w:val="720"/>
  <w:hyphenationZone w:val="425"/>
  <w:characterSpacingControl w:val="doNotCompress"/>
  <w:compat>
    <w:useFELayout/>
    <w:compatSetting w:name="compatibilityMode" w:uri="http://schemas.microsoft.com/office/word" w:val="12"/>
  </w:compat>
  <w:rsids>
    <w:rsidRoot w:val="000C1702"/>
    <w:rsid w:val="00030F2C"/>
    <w:rsid w:val="00050A72"/>
    <w:rsid w:val="00061F71"/>
    <w:rsid w:val="0006451E"/>
    <w:rsid w:val="000C1702"/>
    <w:rsid w:val="000D5C2C"/>
    <w:rsid w:val="000F4763"/>
    <w:rsid w:val="0012119C"/>
    <w:rsid w:val="001212EA"/>
    <w:rsid w:val="00127C44"/>
    <w:rsid w:val="00146659"/>
    <w:rsid w:val="00157173"/>
    <w:rsid w:val="001761B0"/>
    <w:rsid w:val="00184531"/>
    <w:rsid w:val="001C26FA"/>
    <w:rsid w:val="001C56BF"/>
    <w:rsid w:val="001D574B"/>
    <w:rsid w:val="002265A9"/>
    <w:rsid w:val="00243D3A"/>
    <w:rsid w:val="0024712D"/>
    <w:rsid w:val="00254C04"/>
    <w:rsid w:val="00286C41"/>
    <w:rsid w:val="002C327B"/>
    <w:rsid w:val="002F769D"/>
    <w:rsid w:val="003001DF"/>
    <w:rsid w:val="00331E5B"/>
    <w:rsid w:val="00333020"/>
    <w:rsid w:val="00353B7E"/>
    <w:rsid w:val="0037162F"/>
    <w:rsid w:val="00390FCC"/>
    <w:rsid w:val="003B0C68"/>
    <w:rsid w:val="003C3806"/>
    <w:rsid w:val="003E3D5F"/>
    <w:rsid w:val="003F19CC"/>
    <w:rsid w:val="003F3585"/>
    <w:rsid w:val="004101BB"/>
    <w:rsid w:val="00426CFD"/>
    <w:rsid w:val="0044376D"/>
    <w:rsid w:val="0048070A"/>
    <w:rsid w:val="00491855"/>
    <w:rsid w:val="00494548"/>
    <w:rsid w:val="00495AFD"/>
    <w:rsid w:val="004B6E1C"/>
    <w:rsid w:val="005428DA"/>
    <w:rsid w:val="00544909"/>
    <w:rsid w:val="005630F1"/>
    <w:rsid w:val="005941EB"/>
    <w:rsid w:val="005A26A3"/>
    <w:rsid w:val="005C02AF"/>
    <w:rsid w:val="005D43D5"/>
    <w:rsid w:val="005D66E1"/>
    <w:rsid w:val="005E464A"/>
    <w:rsid w:val="00604EDC"/>
    <w:rsid w:val="006217A6"/>
    <w:rsid w:val="00622305"/>
    <w:rsid w:val="0065619D"/>
    <w:rsid w:val="00657CA0"/>
    <w:rsid w:val="00666A3B"/>
    <w:rsid w:val="00676B1B"/>
    <w:rsid w:val="006A4E51"/>
    <w:rsid w:val="006B7F56"/>
    <w:rsid w:val="006F0D0D"/>
    <w:rsid w:val="006F4CE6"/>
    <w:rsid w:val="00700E72"/>
    <w:rsid w:val="007031E9"/>
    <w:rsid w:val="007045D1"/>
    <w:rsid w:val="00707A70"/>
    <w:rsid w:val="00746202"/>
    <w:rsid w:val="00751447"/>
    <w:rsid w:val="007572A6"/>
    <w:rsid w:val="007B030A"/>
    <w:rsid w:val="007B4AC6"/>
    <w:rsid w:val="007C202E"/>
    <w:rsid w:val="007D20DE"/>
    <w:rsid w:val="007F7CEE"/>
    <w:rsid w:val="00801837"/>
    <w:rsid w:val="00801CA6"/>
    <w:rsid w:val="00803EE1"/>
    <w:rsid w:val="008511D8"/>
    <w:rsid w:val="00861F6D"/>
    <w:rsid w:val="0087550D"/>
    <w:rsid w:val="0089539B"/>
    <w:rsid w:val="008B32A0"/>
    <w:rsid w:val="008C5782"/>
    <w:rsid w:val="008D354F"/>
    <w:rsid w:val="00916986"/>
    <w:rsid w:val="00935465"/>
    <w:rsid w:val="0093562D"/>
    <w:rsid w:val="00954E7D"/>
    <w:rsid w:val="009936C7"/>
    <w:rsid w:val="00A10954"/>
    <w:rsid w:val="00A1347B"/>
    <w:rsid w:val="00A14A99"/>
    <w:rsid w:val="00A164DF"/>
    <w:rsid w:val="00A51B02"/>
    <w:rsid w:val="00A55839"/>
    <w:rsid w:val="00A75640"/>
    <w:rsid w:val="00B34BD9"/>
    <w:rsid w:val="00B432A0"/>
    <w:rsid w:val="00B51CCE"/>
    <w:rsid w:val="00B53701"/>
    <w:rsid w:val="00B82BF7"/>
    <w:rsid w:val="00B87DA8"/>
    <w:rsid w:val="00BC3453"/>
    <w:rsid w:val="00BF76A4"/>
    <w:rsid w:val="00C03342"/>
    <w:rsid w:val="00C1683C"/>
    <w:rsid w:val="00C77F2D"/>
    <w:rsid w:val="00CA3C0B"/>
    <w:rsid w:val="00CB0136"/>
    <w:rsid w:val="00CB0631"/>
    <w:rsid w:val="00CF16BF"/>
    <w:rsid w:val="00CF3B6D"/>
    <w:rsid w:val="00D04A0A"/>
    <w:rsid w:val="00D37EAF"/>
    <w:rsid w:val="00D41E98"/>
    <w:rsid w:val="00D450F2"/>
    <w:rsid w:val="00D47262"/>
    <w:rsid w:val="00D910EA"/>
    <w:rsid w:val="00DB7881"/>
    <w:rsid w:val="00DD2100"/>
    <w:rsid w:val="00DE06A8"/>
    <w:rsid w:val="00E11AE1"/>
    <w:rsid w:val="00E214D3"/>
    <w:rsid w:val="00E6204C"/>
    <w:rsid w:val="00E935B5"/>
    <w:rsid w:val="00EB1BEA"/>
    <w:rsid w:val="00EF574D"/>
    <w:rsid w:val="00F0401F"/>
    <w:rsid w:val="00F4137D"/>
    <w:rsid w:val="00F52621"/>
    <w:rsid w:val="00F57006"/>
    <w:rsid w:val="00F673CA"/>
    <w:rsid w:val="00F73DC9"/>
    <w:rsid w:val="00F82F17"/>
    <w:rsid w:val="00F91158"/>
    <w:rsid w:val="00FB3EC8"/>
    <w:rsid w:val="00FC0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20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07A70"/>
    <w:rPr>
      <w:color w:val="808080"/>
    </w:rPr>
  </w:style>
  <w:style w:type="paragraph" w:customStyle="1" w:styleId="CDFDBB588FF544A2BE4B07EF265F4079">
    <w:name w:val="CDFDBB588FF544A2BE4B07EF265F4079"/>
    <w:rsid w:val="007C202E"/>
  </w:style>
  <w:style w:type="paragraph" w:customStyle="1" w:styleId="E4808C9FD07C476C8EEE44B0023B0EA1">
    <w:name w:val="E4808C9FD07C476C8EEE44B0023B0EA1"/>
    <w:rsid w:val="007C202E"/>
  </w:style>
  <w:style w:type="paragraph" w:customStyle="1" w:styleId="6A213B2B9CDA4A7D9AD80267A67DE97B">
    <w:name w:val="6A213B2B9CDA4A7D9AD80267A67DE97B"/>
    <w:rsid w:val="00861F6D"/>
  </w:style>
  <w:style w:type="paragraph" w:customStyle="1" w:styleId="C3E2D64D79544F05964D1032302263CA">
    <w:name w:val="C3E2D64D79544F05964D1032302263CA"/>
    <w:rsid w:val="00861F6D"/>
  </w:style>
  <w:style w:type="paragraph" w:customStyle="1" w:styleId="61DE4AE60CCB44C898F9278ADA225A7F">
    <w:name w:val="61DE4AE60CCB44C898F9278ADA225A7F"/>
    <w:rsid w:val="00861F6D"/>
  </w:style>
  <w:style w:type="paragraph" w:customStyle="1" w:styleId="3761179C89C24EE3A2D6537CA53132F6">
    <w:name w:val="3761179C89C24EE3A2D6537CA53132F6"/>
    <w:rsid w:val="00061F71"/>
  </w:style>
  <w:style w:type="paragraph" w:customStyle="1" w:styleId="DD2177B848EC4D8DAAF49E065A155815">
    <w:name w:val="DD2177B848EC4D8DAAF49E065A155815"/>
    <w:rsid w:val="00061F71"/>
  </w:style>
  <w:style w:type="paragraph" w:customStyle="1" w:styleId="078E53168CDE41F6A0E1054BFA46CD8A">
    <w:name w:val="078E53168CDE41F6A0E1054BFA46CD8A"/>
    <w:rsid w:val="00061F71"/>
  </w:style>
  <w:style w:type="paragraph" w:customStyle="1" w:styleId="0C65DDC7C16B4CCAA6E295AFF143C8E6">
    <w:name w:val="0C65DDC7C16B4CCAA6E295AFF143C8E6"/>
    <w:rsid w:val="00061F7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Larissa">
  <a:themeElements>
    <a:clrScheme name="Entsoe">
      <a:dk1>
        <a:sysClr val="windowText" lastClr="000000"/>
      </a:dk1>
      <a:lt1>
        <a:sysClr val="window" lastClr="FFFFFF"/>
      </a:lt1>
      <a:dk2>
        <a:srgbClr val="23236E"/>
      </a:dk2>
      <a:lt2>
        <a:srgbClr val="636466"/>
      </a:lt2>
      <a:accent1>
        <a:srgbClr val="585C9F"/>
      </a:accent1>
      <a:accent2>
        <a:srgbClr val="797BB7"/>
      </a:accent2>
      <a:accent3>
        <a:srgbClr val="7F5A9B"/>
      </a:accent3>
      <a:accent4>
        <a:srgbClr val="B4B4C8"/>
      </a:accent4>
      <a:accent5>
        <a:srgbClr val="487BB4"/>
      </a:accent5>
      <a:accent6>
        <a:srgbClr val="9EBF57"/>
      </a:accent6>
      <a:hlink>
        <a:srgbClr val="0000FF"/>
      </a:hlink>
      <a:folHlink>
        <a:srgbClr val="800080"/>
      </a:folHlink>
    </a:clrScheme>
    <a:fontScheme name="Entsoe">
      <a:majorFont>
        <a:latin typeface="Arial"/>
        <a:ea typeface=""/>
        <a:cs typeface=""/>
      </a:majorFont>
      <a:minorFont>
        <a:latin typeface="Times New Roman"/>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E13F251F3D664980037DF6DCC9790E" ma:contentTypeVersion="1" ma:contentTypeDescription="Create a new document." ma:contentTypeScope="" ma:versionID="bb892be1defa178b3601a53aed200142">
  <xsd:schema xmlns:xsd="http://www.w3.org/2001/XMLSchema" xmlns:xs="http://www.w3.org/2001/XMLSchema" xmlns:p="http://schemas.microsoft.com/office/2006/metadata/properties" xmlns:ns1="http://schemas.microsoft.com/sharepoint/v3" targetNamespace="http://schemas.microsoft.com/office/2006/metadata/properties" ma:root="true" ma:fieldsID="48c5b5cd9b8d25ff6dd15848836f4270"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98AF70-9683-4331-9854-0FCE3C15A8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40056C-A517-4123-B0B0-0297228A982A}">
  <ds:schemaRefs>
    <ds:schemaRef ds:uri="http://purl.org/dc/elements/1.1/"/>
    <ds:schemaRef ds:uri="http://purl.org/dc/dcmitype/"/>
    <ds:schemaRef ds:uri="http://schemas.openxmlformats.org/package/2006/metadata/core-properties"/>
    <ds:schemaRef ds:uri="http://purl.org/dc/terms/"/>
    <ds:schemaRef ds:uri="http://schemas.microsoft.com/office/2006/metadata/properties"/>
    <ds:schemaRef ds:uri="http://schemas.microsoft.com/office/2006/documentManagement/types"/>
    <ds:schemaRef ds:uri="http://schemas.microsoft.com/sharepoint/v3"/>
    <ds:schemaRef ds:uri="http://www.w3.org/XML/1998/namespace"/>
    <ds:schemaRef ds:uri="http://schemas.microsoft.com/office/infopath/2007/PartnerControls"/>
  </ds:schemaRefs>
</ds:datastoreItem>
</file>

<file path=customXml/itemProps3.xml><?xml version="1.0" encoding="utf-8"?>
<ds:datastoreItem xmlns:ds="http://schemas.openxmlformats.org/officeDocument/2006/customXml" ds:itemID="{36F13020-ED37-46CE-86BF-CA854E2F0300}">
  <ds:schemaRefs>
    <ds:schemaRef ds:uri="http://schemas.microsoft.com/sharepoint/v3/contenttype/forms"/>
  </ds:schemaRefs>
</ds:datastoreItem>
</file>

<file path=customXml/itemProps4.xml><?xml version="1.0" encoding="utf-8"?>
<ds:datastoreItem xmlns:ds="http://schemas.openxmlformats.org/officeDocument/2006/customXml" ds:itemID="{7B64E32A-74BC-4DFA-98DA-0C3D3DA0D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140121_ENTSO-E_Template_Report_no LSPp.dotx</Template>
  <TotalTime>146</TotalTime>
  <Pages>7</Pages>
  <Words>1787</Words>
  <Characters>10188</Characters>
  <Application>Microsoft Office Word</Application>
  <DocSecurity>0</DocSecurity>
  <Lines>84</Lines>
  <Paragraphs>23</Paragraphs>
  <ScaleCrop>false</ScaleCrop>
  <HeadingPairs>
    <vt:vector size="20" baseType="variant">
      <vt:variant>
        <vt:lpstr>Title</vt:lpstr>
      </vt:variant>
      <vt:variant>
        <vt:i4>1</vt:i4>
      </vt:variant>
      <vt:variant>
        <vt:lpstr>Titel</vt:lpstr>
      </vt:variant>
      <vt:variant>
        <vt:i4>1</vt:i4>
      </vt:variant>
      <vt:variant>
        <vt:lpstr>Título</vt:lpstr>
      </vt:variant>
      <vt:variant>
        <vt:i4>1</vt:i4>
      </vt:variant>
      <vt:variant>
        <vt:lpstr>Názov</vt:lpstr>
      </vt:variant>
      <vt:variant>
        <vt:i4>1</vt:i4>
      </vt:variant>
      <vt:variant>
        <vt:lpstr>Tytuł</vt:lpstr>
      </vt:variant>
      <vt:variant>
        <vt:i4>1</vt:i4>
      </vt:variant>
      <vt:variant>
        <vt:lpstr>Rubrik</vt:lpstr>
      </vt:variant>
      <vt:variant>
        <vt:i4>1</vt:i4>
      </vt:variant>
      <vt:variant>
        <vt:lpstr>Cím</vt:lpstr>
      </vt:variant>
      <vt:variant>
        <vt:i4>1</vt:i4>
      </vt:variant>
      <vt:variant>
        <vt:lpstr>Titre</vt:lpstr>
      </vt:variant>
      <vt:variant>
        <vt:i4>1</vt:i4>
      </vt:variant>
      <vt:variant>
        <vt:lpstr>Otsikko</vt:lpstr>
      </vt:variant>
      <vt:variant>
        <vt:i4>1</vt:i4>
      </vt:variant>
      <vt:variant>
        <vt:lpstr>Název</vt:lpstr>
      </vt:variant>
      <vt:variant>
        <vt:i4>1</vt:i4>
      </vt:variant>
    </vt:vector>
  </HeadingPairs>
  <TitlesOfParts>
    <vt:vector size="10" baseType="lpstr">
      <vt:lpstr>All TSOs’ proposal for a Methodology for Calculating Scheduled Exchanges resulting from single intra-day coupling in accordance with Article 56 of the Commission Regulation (EU) 2015/1222 of 24 July 2015 establishing a guideline on capacity allocation and</vt:lpstr>
      <vt:lpstr>All TSOs’ proposal for a Methodology for Calculating Scheduled Exchanges resulting from single intra-day coupling in accordance with Article 56 of the Commission Regulation (EU) 2015/1222 of 24 July 2015 establishing a guideline on capacity allocation and</vt:lpstr>
      <vt:lpstr>All TSOs’ proposal for a Methodology for Calculating Scheduled Exchanges resulting from single intra-day coupling in accordance with Article 56 of the Commission Regulation (EU) 2015/1222 of 24 July 2015 establishing a guideline on capacity allocation and</vt:lpstr>
      <vt:lpstr>All TSOs’ proposal for a Methodology for Calculating Scheduled Exchanges resulting from single intraday coupling in accordance with Article 56 of the Commission Regulation (EU) 2015/1222 of 24 July 2015 establishing a guideline on capacity allocation and </vt:lpstr>
      <vt:lpstr>Draft methodology for calculating Scheduled Exchanges resulting from single day-ahead coupling</vt:lpstr>
      <vt:lpstr>Draft methodology for calculating Scheduled Exchanges resulting from single day-ahead coupling</vt:lpstr>
      <vt:lpstr>Draft methodology for calculating scheduled exchanges resulting from single day ahead coupling</vt:lpstr>
      <vt:lpstr>Draft methodology for calculating scheduled exchanges resulting from single day ahead coupling</vt:lpstr>
      <vt:lpstr>All TSOs’ proposal for the day-ahead firmness deadline (DAFD) in accordance with Article 69 of the Commission Regulation (EU) 2015/1222 of 24 July 2015 establishing a guideline on capacity allocation and congestion management</vt:lpstr>
      <vt:lpstr>All TSOs’ proposal for Capacity Calculation Regions (CCRs)</vt:lpstr>
    </vt:vector>
  </TitlesOfParts>
  <Company>HP</Company>
  <LinksUpToDate>false</LinksUpToDate>
  <CharactersWithSpaces>11952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 TSOs’ proposal for a Methodology for Calculating Scheduled Exchanges resulting from single intra-day coupling in accordance with Article 56 of the Commission Regulation (EU) 2015/1222 of 24 July 2015 establishing a guideline on capacity allocation and congestion management</dc:title>
  <dc:creator>Volha Veramyeva</dc:creator>
  <cp:lastModifiedBy>Olivier Aine</cp:lastModifiedBy>
  <cp:revision>20</cp:revision>
  <cp:lastPrinted>2018-01-25T11:14:00Z</cp:lastPrinted>
  <dcterms:created xsi:type="dcterms:W3CDTF">2018-01-18T09:51:00Z</dcterms:created>
  <dcterms:modified xsi:type="dcterms:W3CDTF">2018-02-21T15:31:00Z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0x01010007E13F251F3D664980037DF6DCC9790E</vt:lpwstr>
  </property>
  <property fmtid="{D5CDD505-2E9C-101B-9397-08002B2CF9AE}" pid="4" name="TaxKeyword">
    <vt:lpwstr/>
  </property>
  <property fmtid="{D5CDD505-2E9C-101B-9397-08002B2CF9AE}" pid="5" name="m21e1f176c4a4ad491d679d83442a8a3">
    <vt:lpwstr/>
  </property>
  <property fmtid="{D5CDD505-2E9C-101B-9397-08002B2CF9AE}" pid="6" name="b">
    <vt:lpwstr/>
  </property>
  <property fmtid="{D5CDD505-2E9C-101B-9397-08002B2CF9AE}" pid="7" name="Addo_DocID">
    <vt:lpwstr>6fbf3a3b-6786-4633-b863-d335d3e7fcf8</vt:lpwstr>
  </property>
</Properties>
</file>