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C46743" w:rsidRPr="00370ACD" w14:paraId="2A89DAD4" w14:textId="77777777" w:rsidTr="007144CC">
        <w:tc>
          <w:tcPr>
            <w:tcW w:w="9524" w:type="dxa"/>
            <w:tcMar>
              <w:top w:w="198" w:type="dxa"/>
            </w:tcMar>
          </w:tcPr>
          <w:p w14:paraId="617D9A00" w14:textId="3A34F513" w:rsidR="00696EBB" w:rsidRPr="00370ACD" w:rsidRDefault="008D73D2" w:rsidP="00662DEC">
            <w:pPr>
              <w:pStyle w:val="headlineheader"/>
              <w:spacing w:before="100" w:beforeAutospacing="1" w:after="100" w:afterAutospacing="1" w:line="276" w:lineRule="auto"/>
              <w:jc w:val="center"/>
              <w:rPr>
                <w:rFonts w:asciiTheme="minorHAnsi" w:hAnsiTheme="minorHAnsi" w:cstheme="minorHAnsi"/>
                <w:color w:val="000000" w:themeColor="text1"/>
                <w:sz w:val="36"/>
                <w:szCs w:val="36"/>
              </w:rPr>
            </w:pPr>
            <w:sdt>
              <w:sdtPr>
                <w:rPr>
                  <w:rFonts w:cstheme="minorHAnsi"/>
                  <w:color w:val="000000" w:themeColor="text1"/>
                  <w:sz w:val="36"/>
                  <w:szCs w:val="36"/>
                </w:rPr>
                <w:alias w:val="Titel"/>
                <w:tag w:val="Titel"/>
                <w:id w:val="32412703"/>
                <w:placeholder>
                  <w:docPart w:val="DD2177B848EC4D8DAAF49E065A155815"/>
                </w:placeholder>
                <w:dataBinding w:prefixMappings="xmlns:ns0='http://purl.org/dc/elements/1.1/' xmlns:ns1='http://schemas.openxmlformats.org/package/2006/metadata/core-properties' " w:xpath="/ns1:coreProperties[1]/ns0:title[1]" w:storeItemID="{6C3C8BC8-F283-45AE-878A-BAB7291924A1}"/>
                <w:text w:multiLine="1"/>
              </w:sdtPr>
              <w:sdtEndPr/>
              <w:sdtContent>
                <w:proofErr w:type="spellStart"/>
                <w:r w:rsidR="00753649" w:rsidRPr="00753649">
                  <w:rPr>
                    <w:rFonts w:cstheme="minorHAnsi"/>
                    <w:color w:val="000000" w:themeColor="text1"/>
                    <w:sz w:val="36"/>
                    <w:szCs w:val="36"/>
                  </w:rPr>
                  <w:t>Propunerea</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tuturor</w:t>
                </w:r>
                <w:proofErr w:type="spellEnd"/>
                <w:r w:rsidR="00753649" w:rsidRPr="00753649">
                  <w:rPr>
                    <w:rFonts w:cstheme="minorHAnsi"/>
                    <w:color w:val="000000" w:themeColor="text1"/>
                    <w:sz w:val="36"/>
                    <w:szCs w:val="36"/>
                  </w:rPr>
                  <w:t xml:space="preserve"> OTS-</w:t>
                </w:r>
                <w:proofErr w:type="spellStart"/>
                <w:r w:rsidR="00753649" w:rsidRPr="00753649">
                  <w:rPr>
                    <w:rFonts w:cstheme="minorHAnsi"/>
                    <w:color w:val="000000" w:themeColor="text1"/>
                    <w:sz w:val="36"/>
                    <w:szCs w:val="36"/>
                  </w:rPr>
                  <w:t>urilor</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privind</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Metodologia</w:t>
                </w:r>
                <w:proofErr w:type="spellEnd"/>
                <w:r w:rsidR="00753649" w:rsidRPr="00753649">
                  <w:rPr>
                    <w:rFonts w:cstheme="minorHAnsi"/>
                    <w:color w:val="000000" w:themeColor="text1"/>
                    <w:sz w:val="36"/>
                    <w:szCs w:val="36"/>
                  </w:rPr>
                  <w:t xml:space="preserve"> de </w:t>
                </w:r>
                <w:proofErr w:type="spellStart"/>
                <w:r w:rsidR="00753649" w:rsidRPr="00753649">
                  <w:rPr>
                    <w:rFonts w:cstheme="minorHAnsi"/>
                    <w:color w:val="000000" w:themeColor="text1"/>
                    <w:sz w:val="36"/>
                    <w:szCs w:val="36"/>
                  </w:rPr>
                  <w:t>Calcul</w:t>
                </w:r>
                <w:proofErr w:type="spellEnd"/>
                <w:r w:rsidR="00753649" w:rsidRPr="00753649">
                  <w:rPr>
                    <w:rFonts w:cstheme="minorHAnsi"/>
                    <w:color w:val="000000" w:themeColor="text1"/>
                    <w:sz w:val="36"/>
                    <w:szCs w:val="36"/>
                  </w:rPr>
                  <w:t xml:space="preserve"> al </w:t>
                </w:r>
                <w:proofErr w:type="spellStart"/>
                <w:r w:rsidR="00753649" w:rsidRPr="00753649">
                  <w:rPr>
                    <w:rFonts w:cstheme="minorHAnsi"/>
                    <w:color w:val="000000" w:themeColor="text1"/>
                    <w:sz w:val="36"/>
                    <w:szCs w:val="36"/>
                  </w:rPr>
                  <w:t>Schimburilor</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Planificate</w:t>
                </w:r>
                <w:proofErr w:type="spellEnd"/>
                <w:r w:rsidR="00753649" w:rsidRPr="00753649">
                  <w:rPr>
                    <w:rFonts w:cstheme="minorHAnsi"/>
                    <w:color w:val="000000" w:themeColor="text1"/>
                    <w:sz w:val="36"/>
                    <w:szCs w:val="36"/>
                  </w:rPr>
                  <w:t xml:space="preserve"> care </w:t>
                </w:r>
                <w:proofErr w:type="spellStart"/>
                <w:r w:rsidR="00753649" w:rsidRPr="00753649">
                  <w:rPr>
                    <w:rFonts w:cstheme="minorHAnsi"/>
                    <w:color w:val="000000" w:themeColor="text1"/>
                    <w:sz w:val="36"/>
                    <w:szCs w:val="36"/>
                  </w:rPr>
                  <w:t>rezultă</w:t>
                </w:r>
                <w:proofErr w:type="spellEnd"/>
                <w:r w:rsidR="00753649" w:rsidRPr="00753649">
                  <w:rPr>
                    <w:rFonts w:cstheme="minorHAnsi"/>
                    <w:color w:val="000000" w:themeColor="text1"/>
                    <w:sz w:val="36"/>
                    <w:szCs w:val="36"/>
                  </w:rPr>
                  <w:t xml:space="preserve"> din </w:t>
                </w:r>
                <w:proofErr w:type="spellStart"/>
                <w:r w:rsidR="00753649" w:rsidRPr="00753649">
                  <w:rPr>
                    <w:rFonts w:cstheme="minorHAnsi"/>
                    <w:color w:val="000000" w:themeColor="text1"/>
                    <w:sz w:val="36"/>
                    <w:szCs w:val="36"/>
                  </w:rPr>
                  <w:t>cuplarea</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unică</w:t>
                </w:r>
                <w:proofErr w:type="spellEnd"/>
                <w:r w:rsidR="00753649" w:rsidRPr="00753649">
                  <w:rPr>
                    <w:rFonts w:cstheme="minorHAnsi"/>
                    <w:color w:val="000000" w:themeColor="text1"/>
                    <w:sz w:val="36"/>
                    <w:szCs w:val="36"/>
                  </w:rPr>
                  <w:t xml:space="preserve"> a </w:t>
                </w:r>
                <w:proofErr w:type="spellStart"/>
                <w:r w:rsidR="00753649" w:rsidRPr="00753649">
                  <w:rPr>
                    <w:rFonts w:cstheme="minorHAnsi"/>
                    <w:color w:val="000000" w:themeColor="text1"/>
                    <w:sz w:val="36"/>
                    <w:szCs w:val="36"/>
                  </w:rPr>
                  <w:t>piețelor</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intrazilnice</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în</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conformitate</w:t>
                </w:r>
                <w:proofErr w:type="spellEnd"/>
                <w:r w:rsidR="00753649" w:rsidRPr="00753649">
                  <w:rPr>
                    <w:rFonts w:cstheme="minorHAnsi"/>
                    <w:color w:val="000000" w:themeColor="text1"/>
                    <w:sz w:val="36"/>
                    <w:szCs w:val="36"/>
                  </w:rPr>
                  <w:t xml:space="preserve"> cu </w:t>
                </w:r>
                <w:proofErr w:type="spellStart"/>
                <w:r w:rsidR="00753649" w:rsidRPr="00753649">
                  <w:rPr>
                    <w:rFonts w:cstheme="minorHAnsi"/>
                    <w:color w:val="000000" w:themeColor="text1"/>
                    <w:sz w:val="36"/>
                    <w:szCs w:val="36"/>
                  </w:rPr>
                  <w:t>articolul</w:t>
                </w:r>
                <w:proofErr w:type="spellEnd"/>
                <w:r w:rsidR="00753649" w:rsidRPr="00753649">
                  <w:rPr>
                    <w:rFonts w:cstheme="minorHAnsi"/>
                    <w:color w:val="000000" w:themeColor="text1"/>
                    <w:sz w:val="36"/>
                    <w:szCs w:val="36"/>
                  </w:rPr>
                  <w:t xml:space="preserve"> 56 din </w:t>
                </w:r>
                <w:proofErr w:type="spellStart"/>
                <w:r w:rsidR="00753649" w:rsidRPr="00753649">
                  <w:rPr>
                    <w:rFonts w:cstheme="minorHAnsi"/>
                    <w:color w:val="000000" w:themeColor="text1"/>
                    <w:sz w:val="36"/>
                    <w:szCs w:val="36"/>
                  </w:rPr>
                  <w:t>Regulamentul</w:t>
                </w:r>
                <w:proofErr w:type="spellEnd"/>
                <w:r w:rsidR="00753649" w:rsidRPr="00753649">
                  <w:rPr>
                    <w:rFonts w:cstheme="minorHAnsi"/>
                    <w:color w:val="000000" w:themeColor="text1"/>
                    <w:sz w:val="36"/>
                    <w:szCs w:val="36"/>
                  </w:rPr>
                  <w:t xml:space="preserve"> (UE) 2015/1222 al </w:t>
                </w:r>
                <w:proofErr w:type="spellStart"/>
                <w:r w:rsidR="00753649" w:rsidRPr="00753649">
                  <w:rPr>
                    <w:rFonts w:cstheme="minorHAnsi"/>
                    <w:color w:val="000000" w:themeColor="text1"/>
                    <w:sz w:val="36"/>
                    <w:szCs w:val="36"/>
                  </w:rPr>
                  <w:t>Comisiei</w:t>
                </w:r>
                <w:proofErr w:type="spellEnd"/>
                <w:r w:rsidR="00753649" w:rsidRPr="00753649">
                  <w:rPr>
                    <w:rFonts w:cstheme="minorHAnsi"/>
                    <w:color w:val="000000" w:themeColor="text1"/>
                    <w:sz w:val="36"/>
                    <w:szCs w:val="36"/>
                  </w:rPr>
                  <w:t xml:space="preserve"> din 24 </w:t>
                </w:r>
                <w:proofErr w:type="spellStart"/>
                <w:r w:rsidR="00753649" w:rsidRPr="00753649">
                  <w:rPr>
                    <w:rFonts w:cstheme="minorHAnsi"/>
                    <w:color w:val="000000" w:themeColor="text1"/>
                    <w:sz w:val="36"/>
                    <w:szCs w:val="36"/>
                  </w:rPr>
                  <w:t>iulie</w:t>
                </w:r>
                <w:proofErr w:type="spellEnd"/>
                <w:r w:rsidR="00753649" w:rsidRPr="00753649">
                  <w:rPr>
                    <w:rFonts w:cstheme="minorHAnsi"/>
                    <w:color w:val="000000" w:themeColor="text1"/>
                    <w:sz w:val="36"/>
                    <w:szCs w:val="36"/>
                  </w:rPr>
                  <w:t xml:space="preserve"> 2015 de </w:t>
                </w:r>
                <w:proofErr w:type="spellStart"/>
                <w:r w:rsidR="00753649" w:rsidRPr="00753649">
                  <w:rPr>
                    <w:rFonts w:cstheme="minorHAnsi"/>
                    <w:color w:val="000000" w:themeColor="text1"/>
                    <w:sz w:val="36"/>
                    <w:szCs w:val="36"/>
                  </w:rPr>
                  <w:t>stabilire</w:t>
                </w:r>
                <w:proofErr w:type="spellEnd"/>
                <w:r w:rsidR="00753649" w:rsidRPr="00753649">
                  <w:rPr>
                    <w:rFonts w:cstheme="minorHAnsi"/>
                    <w:color w:val="000000" w:themeColor="text1"/>
                    <w:sz w:val="36"/>
                    <w:szCs w:val="36"/>
                  </w:rPr>
                  <w:t xml:space="preserve"> a </w:t>
                </w:r>
                <w:proofErr w:type="spellStart"/>
                <w:r w:rsidR="00753649" w:rsidRPr="00753649">
                  <w:rPr>
                    <w:rFonts w:cstheme="minorHAnsi"/>
                    <w:color w:val="000000" w:themeColor="text1"/>
                    <w:sz w:val="36"/>
                    <w:szCs w:val="36"/>
                  </w:rPr>
                  <w:t>unor</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linii</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directoare</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privind</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alocarea</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capacităților</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și</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gestionarea</w:t>
                </w:r>
                <w:proofErr w:type="spellEnd"/>
                <w:r w:rsidR="00753649" w:rsidRPr="00753649">
                  <w:rPr>
                    <w:rFonts w:cstheme="minorHAnsi"/>
                    <w:color w:val="000000" w:themeColor="text1"/>
                    <w:sz w:val="36"/>
                    <w:szCs w:val="36"/>
                  </w:rPr>
                  <w:t xml:space="preserve"> </w:t>
                </w:r>
                <w:proofErr w:type="spellStart"/>
                <w:r w:rsidR="00753649" w:rsidRPr="00753649">
                  <w:rPr>
                    <w:rFonts w:cstheme="minorHAnsi"/>
                    <w:color w:val="000000" w:themeColor="text1"/>
                    <w:sz w:val="36"/>
                    <w:szCs w:val="36"/>
                  </w:rPr>
                  <w:t>congestiilor</w:t>
                </w:r>
                <w:proofErr w:type="spellEnd"/>
              </w:sdtContent>
            </w:sdt>
          </w:p>
        </w:tc>
      </w:tr>
      <w:tr w:rsidR="00C46743" w:rsidRPr="00370ACD" w14:paraId="66EF0DD0" w14:textId="77777777" w:rsidTr="007144CC">
        <w:tc>
          <w:tcPr>
            <w:tcW w:w="9524" w:type="dxa"/>
            <w:tcMar>
              <w:top w:w="198" w:type="dxa"/>
            </w:tcMar>
          </w:tcPr>
          <w:p w14:paraId="059CAEEB" w14:textId="77777777" w:rsidR="00BF6165" w:rsidRPr="00370ACD" w:rsidRDefault="00BF6165" w:rsidP="00E210F0">
            <w:pPr>
              <w:pStyle w:val="headlineheader"/>
              <w:spacing w:before="100" w:beforeAutospacing="1" w:after="100" w:afterAutospacing="1" w:line="276" w:lineRule="auto"/>
              <w:jc w:val="center"/>
              <w:rPr>
                <w:rFonts w:asciiTheme="minorHAnsi" w:hAnsiTheme="minorHAnsi" w:cstheme="minorHAnsi"/>
                <w:color w:val="000000" w:themeColor="text1"/>
                <w:sz w:val="40"/>
                <w:szCs w:val="40"/>
              </w:rPr>
            </w:pPr>
          </w:p>
        </w:tc>
      </w:tr>
      <w:tr w:rsidR="00C46743" w:rsidRPr="00370ACD" w14:paraId="23A5D46A" w14:textId="77777777" w:rsidTr="007144CC">
        <w:trPr>
          <w:trHeight w:val="693"/>
        </w:trPr>
        <w:tc>
          <w:tcPr>
            <w:tcW w:w="9524" w:type="dxa"/>
            <w:tcMar>
              <w:bottom w:w="142" w:type="dxa"/>
            </w:tcMar>
          </w:tcPr>
          <w:p w14:paraId="7BF1D759" w14:textId="77777777" w:rsidR="00CA0C0C" w:rsidRDefault="00CA0C0C"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rPr>
            </w:pPr>
          </w:p>
          <w:p w14:paraId="07DF7C07" w14:textId="478B5F09" w:rsidR="00696EBB" w:rsidRPr="00370ACD" w:rsidRDefault="00700B3B"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rPr>
            </w:pPr>
            <w:r>
              <w:rPr>
                <w:rFonts w:cstheme="minorHAnsi"/>
                <w:color w:val="000000" w:themeColor="text1"/>
                <w:lang w:val="ro"/>
              </w:rPr>
              <w:t>21.02.2018</w:t>
            </w:r>
          </w:p>
        </w:tc>
      </w:tr>
    </w:tbl>
    <w:p w14:paraId="2BD29F01" w14:textId="77777777" w:rsidR="00C107CE" w:rsidRPr="00370ACD" w:rsidRDefault="00C107CE" w:rsidP="00E210F0">
      <w:pPr>
        <w:spacing w:before="100" w:beforeAutospacing="1" w:after="100" w:afterAutospacing="1" w:line="276" w:lineRule="auto"/>
        <w:rPr>
          <w:rFonts w:cstheme="minorHAnsi"/>
          <w:color w:val="000000" w:themeColor="text1"/>
        </w:rPr>
      </w:pPr>
    </w:p>
    <w:p w14:paraId="4A2AC18E" w14:textId="77777777" w:rsidR="00C17E9C" w:rsidRPr="00370ACD" w:rsidRDefault="00C17E9C" w:rsidP="00E210F0">
      <w:pPr>
        <w:spacing w:before="100" w:beforeAutospacing="1" w:after="100" w:afterAutospacing="1" w:line="276" w:lineRule="auto"/>
        <w:rPr>
          <w:rFonts w:cstheme="minorHAnsi"/>
          <w:color w:val="000000" w:themeColor="text1"/>
        </w:rPr>
      </w:pPr>
    </w:p>
    <w:p w14:paraId="65503668" w14:textId="77777777" w:rsidR="00C17E9C" w:rsidRPr="00370ACD" w:rsidRDefault="00C17E9C" w:rsidP="00E210F0">
      <w:pPr>
        <w:spacing w:before="100" w:beforeAutospacing="1" w:after="100" w:afterAutospacing="1" w:line="276" w:lineRule="auto"/>
        <w:rPr>
          <w:rFonts w:cstheme="minorHAnsi"/>
          <w:color w:val="000000" w:themeColor="text1"/>
        </w:rPr>
      </w:pPr>
    </w:p>
    <w:p w14:paraId="51441B1B" w14:textId="77777777" w:rsidR="00DB6484" w:rsidRPr="00370ACD" w:rsidRDefault="00DB6484" w:rsidP="00DB6484">
      <w:pPr>
        <w:spacing w:before="100" w:beforeAutospacing="1" w:after="100" w:afterAutospacing="1" w:line="276" w:lineRule="auto"/>
        <w:rPr>
          <w:rFonts w:cstheme="minorHAnsi"/>
          <w:color w:val="000000" w:themeColor="text1"/>
        </w:rPr>
      </w:pPr>
    </w:p>
    <w:p w14:paraId="3CD0C728" w14:textId="77777777" w:rsidR="00DB6484" w:rsidRPr="00370ACD" w:rsidRDefault="00DB6484" w:rsidP="00DB6484">
      <w:pPr>
        <w:spacing w:before="100" w:beforeAutospacing="1" w:after="100" w:afterAutospacing="1" w:line="276" w:lineRule="auto"/>
        <w:rPr>
          <w:rFonts w:cstheme="minorHAnsi"/>
          <w:color w:val="000000" w:themeColor="text1"/>
        </w:rPr>
      </w:pPr>
    </w:p>
    <w:p w14:paraId="30751609" w14:textId="77777777" w:rsidR="00C17E9C" w:rsidRPr="00370ACD" w:rsidRDefault="00C17E9C" w:rsidP="00E210F0">
      <w:pPr>
        <w:spacing w:before="100" w:beforeAutospacing="1" w:after="100" w:afterAutospacing="1" w:line="276" w:lineRule="auto"/>
        <w:rPr>
          <w:rFonts w:cstheme="minorHAnsi"/>
          <w:color w:val="000000" w:themeColor="text1"/>
        </w:rPr>
      </w:pPr>
    </w:p>
    <w:p w14:paraId="16DB1C35" w14:textId="77777777" w:rsidR="002A7EA8" w:rsidRPr="00370ACD" w:rsidRDefault="002A7EA8" w:rsidP="00E210F0">
      <w:pPr>
        <w:spacing w:before="100" w:beforeAutospacing="1" w:after="100" w:afterAutospacing="1" w:line="276" w:lineRule="auto"/>
        <w:rPr>
          <w:rFonts w:cstheme="minorHAnsi"/>
          <w:color w:val="000000" w:themeColor="text1"/>
        </w:rPr>
      </w:pPr>
    </w:p>
    <w:p w14:paraId="6ED5D4EC" w14:textId="77777777" w:rsidR="004B6993" w:rsidRPr="00370ACD" w:rsidRDefault="004B6993" w:rsidP="00E210F0">
      <w:pPr>
        <w:spacing w:before="100" w:beforeAutospacing="1" w:after="100" w:afterAutospacing="1" w:line="276" w:lineRule="auto"/>
        <w:rPr>
          <w:rFonts w:cstheme="minorHAnsi"/>
          <w:color w:val="000000" w:themeColor="text1"/>
        </w:rPr>
      </w:pPr>
    </w:p>
    <w:p w14:paraId="1C56605E" w14:textId="77777777" w:rsidR="004B6993" w:rsidRPr="00370ACD" w:rsidRDefault="004B6993" w:rsidP="00E210F0">
      <w:pPr>
        <w:pStyle w:val="textregular"/>
        <w:spacing w:before="100" w:beforeAutospacing="1" w:after="100" w:afterAutospacing="1" w:line="276" w:lineRule="auto"/>
        <w:rPr>
          <w:rFonts w:cstheme="minorHAnsi"/>
          <w:color w:val="000000" w:themeColor="text1"/>
        </w:rPr>
      </w:pPr>
    </w:p>
    <w:sdt>
      <w:sdtPr>
        <w:rPr>
          <w:rFonts w:asciiTheme="minorHAnsi" w:eastAsiaTheme="minorHAnsi" w:hAnsiTheme="minorHAnsi" w:cstheme="minorHAnsi"/>
          <w:b w:val="0"/>
          <w:bCs w:val="0"/>
          <w:color w:val="auto"/>
          <w:sz w:val="22"/>
          <w:szCs w:val="22"/>
        </w:rPr>
        <w:id w:val="907816748"/>
        <w:docPartObj>
          <w:docPartGallery w:val="Table of Contents"/>
          <w:docPartUnique/>
        </w:docPartObj>
      </w:sdtPr>
      <w:sdtEndPr>
        <w:rPr>
          <w:rFonts w:ascii="Calibri" w:hAnsi="Calibri" w:cs="Times New Roman"/>
        </w:rPr>
      </w:sdtEndPr>
      <w:sdtContent>
        <w:p w14:paraId="38BBA8BA" w14:textId="77777777" w:rsidR="00730769" w:rsidRPr="00370ACD" w:rsidRDefault="00730769">
          <w:pPr>
            <w:pStyle w:val="TOCHeading"/>
            <w:rPr>
              <w:rFonts w:asciiTheme="minorHAnsi" w:hAnsiTheme="minorHAnsi" w:cstheme="minorHAnsi"/>
            </w:rPr>
          </w:pPr>
          <w:r>
            <w:rPr>
              <w:rFonts w:asciiTheme="minorHAnsi" w:hAnsiTheme="minorHAnsi" w:cstheme="minorHAnsi"/>
              <w:lang w:val="ro"/>
            </w:rPr>
            <w:t>Cuprins</w:t>
          </w:r>
        </w:p>
        <w:p w14:paraId="30C62520" w14:textId="7C6C0A2D" w:rsidR="002B73CA" w:rsidRDefault="00730769">
          <w:pPr>
            <w:pStyle w:val="TOC1"/>
            <w:rPr>
              <w:rFonts w:asciiTheme="minorHAnsi" w:eastAsiaTheme="minorEastAsia" w:hAnsiTheme="minorHAnsi"/>
              <w:noProof/>
              <w:lang w:val="en-US"/>
            </w:rPr>
          </w:pPr>
          <w:r>
            <w:rPr>
              <w:rFonts w:ascii="Calibri" w:hAnsi="Calibri" w:cs="Times New Roman"/>
              <w:lang w:val="ro"/>
            </w:rPr>
            <w:fldChar w:fldCharType="begin"/>
          </w:r>
          <w:r>
            <w:rPr>
              <w:rFonts w:ascii="Calibri" w:hAnsi="Calibri" w:cs="Times New Roman"/>
            </w:rPr>
            <w:instrText xml:space="preserve"> TOC \o "1-3" \h \z \u </w:instrText>
          </w:r>
          <w:r>
            <w:rPr>
              <w:rFonts w:ascii="Calibri" w:hAnsi="Calibri" w:cs="Times New Roman"/>
            </w:rPr>
            <w:fldChar w:fldCharType="separate"/>
          </w:r>
          <w:hyperlink w:anchor="_Toc508617803" w:history="1">
            <w:r w:rsidR="002B73CA" w:rsidRPr="00D4012A">
              <w:rPr>
                <w:rStyle w:val="Hyperlink"/>
                <w:rFonts w:cstheme="minorHAnsi"/>
                <w:bCs/>
                <w:noProof/>
                <w:lang w:val="ro"/>
              </w:rPr>
              <w:t>Preambul</w:t>
            </w:r>
            <w:r w:rsidR="002B73CA">
              <w:rPr>
                <w:noProof/>
                <w:webHidden/>
              </w:rPr>
              <w:tab/>
            </w:r>
            <w:r w:rsidR="002B73CA">
              <w:rPr>
                <w:noProof/>
                <w:webHidden/>
              </w:rPr>
              <w:fldChar w:fldCharType="begin"/>
            </w:r>
            <w:r w:rsidR="002B73CA">
              <w:rPr>
                <w:noProof/>
                <w:webHidden/>
              </w:rPr>
              <w:instrText xml:space="preserve"> PAGEREF _Toc508617803 \h </w:instrText>
            </w:r>
            <w:r w:rsidR="002B73CA">
              <w:rPr>
                <w:noProof/>
                <w:webHidden/>
              </w:rPr>
            </w:r>
            <w:r w:rsidR="002B73CA">
              <w:rPr>
                <w:noProof/>
                <w:webHidden/>
              </w:rPr>
              <w:fldChar w:fldCharType="separate"/>
            </w:r>
            <w:r w:rsidR="002B73CA">
              <w:rPr>
                <w:noProof/>
                <w:webHidden/>
              </w:rPr>
              <w:t>3</w:t>
            </w:r>
            <w:r w:rsidR="002B73CA">
              <w:rPr>
                <w:noProof/>
                <w:webHidden/>
              </w:rPr>
              <w:fldChar w:fldCharType="end"/>
            </w:r>
          </w:hyperlink>
        </w:p>
        <w:p w14:paraId="3C8B10C5" w14:textId="5294CACF" w:rsidR="002B73CA" w:rsidRDefault="008D73D2">
          <w:pPr>
            <w:pStyle w:val="TOC1"/>
            <w:rPr>
              <w:rFonts w:asciiTheme="minorHAnsi" w:eastAsiaTheme="minorEastAsia" w:hAnsiTheme="minorHAnsi"/>
              <w:noProof/>
              <w:lang w:val="en-US"/>
            </w:rPr>
          </w:pPr>
          <w:hyperlink w:anchor="_Toc508617804" w:history="1">
            <w:r w:rsidR="002B73CA" w:rsidRPr="00D4012A">
              <w:rPr>
                <w:rStyle w:val="Hyperlink"/>
                <w:rFonts w:cstheme="minorHAnsi"/>
                <w:bCs/>
                <w:noProof/>
                <w:lang w:val="ro"/>
              </w:rPr>
              <w:t>Articolul 1 - Obiect și domeniu de aplicare</w:t>
            </w:r>
            <w:r w:rsidR="002B73CA">
              <w:rPr>
                <w:noProof/>
                <w:webHidden/>
              </w:rPr>
              <w:tab/>
            </w:r>
            <w:r w:rsidR="002B73CA">
              <w:rPr>
                <w:noProof/>
                <w:webHidden/>
              </w:rPr>
              <w:fldChar w:fldCharType="begin"/>
            </w:r>
            <w:r w:rsidR="002B73CA">
              <w:rPr>
                <w:noProof/>
                <w:webHidden/>
              </w:rPr>
              <w:instrText xml:space="preserve"> PAGEREF _Toc508617804 \h </w:instrText>
            </w:r>
            <w:r w:rsidR="002B73CA">
              <w:rPr>
                <w:noProof/>
                <w:webHidden/>
              </w:rPr>
            </w:r>
            <w:r w:rsidR="002B73CA">
              <w:rPr>
                <w:noProof/>
                <w:webHidden/>
              </w:rPr>
              <w:fldChar w:fldCharType="separate"/>
            </w:r>
            <w:r w:rsidR="002B73CA">
              <w:rPr>
                <w:noProof/>
                <w:webHidden/>
              </w:rPr>
              <w:t>5</w:t>
            </w:r>
            <w:r w:rsidR="002B73CA">
              <w:rPr>
                <w:noProof/>
                <w:webHidden/>
              </w:rPr>
              <w:fldChar w:fldCharType="end"/>
            </w:r>
          </w:hyperlink>
        </w:p>
        <w:p w14:paraId="3E0F2EBB" w14:textId="6ABCCB56" w:rsidR="002B73CA" w:rsidRDefault="008D73D2">
          <w:pPr>
            <w:pStyle w:val="TOC1"/>
            <w:rPr>
              <w:rFonts w:asciiTheme="minorHAnsi" w:eastAsiaTheme="minorEastAsia" w:hAnsiTheme="minorHAnsi"/>
              <w:noProof/>
              <w:lang w:val="en-US"/>
            </w:rPr>
          </w:pPr>
          <w:hyperlink w:anchor="_Toc508617805" w:history="1">
            <w:r w:rsidR="002B73CA" w:rsidRPr="00D4012A">
              <w:rPr>
                <w:rStyle w:val="Hyperlink"/>
                <w:rFonts w:cstheme="minorHAnsi"/>
                <w:bCs/>
                <w:noProof/>
                <w:lang w:val="ro"/>
              </w:rPr>
              <w:t>Articolul 2 - Definiții și interpretări</w:t>
            </w:r>
            <w:r w:rsidR="002B73CA">
              <w:rPr>
                <w:noProof/>
                <w:webHidden/>
              </w:rPr>
              <w:tab/>
            </w:r>
            <w:r w:rsidR="002B73CA">
              <w:rPr>
                <w:noProof/>
                <w:webHidden/>
              </w:rPr>
              <w:fldChar w:fldCharType="begin"/>
            </w:r>
            <w:r w:rsidR="002B73CA">
              <w:rPr>
                <w:noProof/>
                <w:webHidden/>
              </w:rPr>
              <w:instrText xml:space="preserve"> PAGEREF _Toc508617805 \h </w:instrText>
            </w:r>
            <w:r w:rsidR="002B73CA">
              <w:rPr>
                <w:noProof/>
                <w:webHidden/>
              </w:rPr>
            </w:r>
            <w:r w:rsidR="002B73CA">
              <w:rPr>
                <w:noProof/>
                <w:webHidden/>
              </w:rPr>
              <w:fldChar w:fldCharType="separate"/>
            </w:r>
            <w:r w:rsidR="002B73CA">
              <w:rPr>
                <w:noProof/>
                <w:webHidden/>
              </w:rPr>
              <w:t>5</w:t>
            </w:r>
            <w:r w:rsidR="002B73CA">
              <w:rPr>
                <w:noProof/>
                <w:webHidden/>
              </w:rPr>
              <w:fldChar w:fldCharType="end"/>
            </w:r>
          </w:hyperlink>
        </w:p>
        <w:p w14:paraId="67809B9D" w14:textId="301A3876" w:rsidR="002B73CA" w:rsidRDefault="008D73D2">
          <w:pPr>
            <w:pStyle w:val="TOC1"/>
            <w:rPr>
              <w:rFonts w:asciiTheme="minorHAnsi" w:eastAsiaTheme="minorEastAsia" w:hAnsiTheme="minorHAnsi"/>
              <w:noProof/>
              <w:lang w:val="en-US"/>
            </w:rPr>
          </w:pPr>
          <w:hyperlink w:anchor="_Toc508617806" w:history="1">
            <w:r w:rsidR="002B73CA" w:rsidRPr="00D4012A">
              <w:rPr>
                <w:rStyle w:val="Hyperlink"/>
                <w:rFonts w:cstheme="minorHAnsi"/>
                <w:bCs/>
                <w:noProof/>
                <w:lang w:val="ro"/>
              </w:rPr>
              <w:t>Articolul 3 - Lista cu Informațiile Solicitate de la OPEED-urile Relevante</w:t>
            </w:r>
            <w:r w:rsidR="002B73CA">
              <w:rPr>
                <w:noProof/>
                <w:webHidden/>
              </w:rPr>
              <w:tab/>
            </w:r>
            <w:r w:rsidR="002B73CA">
              <w:rPr>
                <w:noProof/>
                <w:webHidden/>
              </w:rPr>
              <w:fldChar w:fldCharType="begin"/>
            </w:r>
            <w:r w:rsidR="002B73CA">
              <w:rPr>
                <w:noProof/>
                <w:webHidden/>
              </w:rPr>
              <w:instrText xml:space="preserve"> PAGEREF _Toc508617806 \h </w:instrText>
            </w:r>
            <w:r w:rsidR="002B73CA">
              <w:rPr>
                <w:noProof/>
                <w:webHidden/>
              </w:rPr>
            </w:r>
            <w:r w:rsidR="002B73CA">
              <w:rPr>
                <w:noProof/>
                <w:webHidden/>
              </w:rPr>
              <w:fldChar w:fldCharType="separate"/>
            </w:r>
            <w:r w:rsidR="002B73CA">
              <w:rPr>
                <w:noProof/>
                <w:webHidden/>
              </w:rPr>
              <w:t>6</w:t>
            </w:r>
            <w:r w:rsidR="002B73CA">
              <w:rPr>
                <w:noProof/>
                <w:webHidden/>
              </w:rPr>
              <w:fldChar w:fldCharType="end"/>
            </w:r>
          </w:hyperlink>
        </w:p>
        <w:p w14:paraId="4BDED484" w14:textId="7B3CDE42" w:rsidR="002B73CA" w:rsidRDefault="008D73D2">
          <w:pPr>
            <w:pStyle w:val="TOC1"/>
            <w:rPr>
              <w:rFonts w:asciiTheme="minorHAnsi" w:eastAsiaTheme="minorEastAsia" w:hAnsiTheme="minorHAnsi"/>
              <w:noProof/>
              <w:lang w:val="en-US"/>
            </w:rPr>
          </w:pPr>
          <w:hyperlink w:anchor="_Toc508617807" w:history="1">
            <w:r w:rsidR="002B73CA" w:rsidRPr="00D4012A">
              <w:rPr>
                <w:rStyle w:val="Hyperlink"/>
                <w:rFonts w:cstheme="minorHAnsi"/>
                <w:bCs/>
                <w:noProof/>
                <w:lang w:val="ro"/>
              </w:rPr>
              <w:t>Articolul 4 - Calculul Schimburilor Planificate între zonele de ofertare și ariile de planificare</w:t>
            </w:r>
            <w:r w:rsidR="002B73CA">
              <w:rPr>
                <w:noProof/>
                <w:webHidden/>
              </w:rPr>
              <w:tab/>
            </w:r>
            <w:r w:rsidR="002B73CA">
              <w:rPr>
                <w:noProof/>
                <w:webHidden/>
              </w:rPr>
              <w:fldChar w:fldCharType="begin"/>
            </w:r>
            <w:r w:rsidR="002B73CA">
              <w:rPr>
                <w:noProof/>
                <w:webHidden/>
              </w:rPr>
              <w:instrText xml:space="preserve"> PAGEREF _Toc508617807 \h </w:instrText>
            </w:r>
            <w:r w:rsidR="002B73CA">
              <w:rPr>
                <w:noProof/>
                <w:webHidden/>
              </w:rPr>
            </w:r>
            <w:r w:rsidR="002B73CA">
              <w:rPr>
                <w:noProof/>
                <w:webHidden/>
              </w:rPr>
              <w:fldChar w:fldCharType="separate"/>
            </w:r>
            <w:r w:rsidR="002B73CA">
              <w:rPr>
                <w:noProof/>
                <w:webHidden/>
              </w:rPr>
              <w:t>6</w:t>
            </w:r>
            <w:r w:rsidR="002B73CA">
              <w:rPr>
                <w:noProof/>
                <w:webHidden/>
              </w:rPr>
              <w:fldChar w:fldCharType="end"/>
            </w:r>
          </w:hyperlink>
        </w:p>
        <w:p w14:paraId="3E8B96CF" w14:textId="287A7FD5" w:rsidR="002B73CA" w:rsidRDefault="008D73D2">
          <w:pPr>
            <w:pStyle w:val="TOC1"/>
            <w:rPr>
              <w:rFonts w:asciiTheme="minorHAnsi" w:eastAsiaTheme="minorEastAsia" w:hAnsiTheme="minorHAnsi"/>
              <w:noProof/>
              <w:lang w:val="en-US"/>
            </w:rPr>
          </w:pPr>
          <w:hyperlink w:anchor="_Toc508617808" w:history="1">
            <w:r w:rsidR="002B73CA" w:rsidRPr="00D4012A">
              <w:rPr>
                <w:rStyle w:val="Hyperlink"/>
                <w:rFonts w:cstheme="minorHAnsi"/>
                <w:bCs/>
                <w:noProof/>
                <w:lang w:val="ro"/>
              </w:rPr>
              <w:t>Articolul 5 - Implementarea Propunerii ID SEC</w:t>
            </w:r>
            <w:r w:rsidR="002B73CA">
              <w:rPr>
                <w:noProof/>
                <w:webHidden/>
              </w:rPr>
              <w:tab/>
            </w:r>
            <w:r w:rsidR="002B73CA">
              <w:rPr>
                <w:noProof/>
                <w:webHidden/>
              </w:rPr>
              <w:fldChar w:fldCharType="begin"/>
            </w:r>
            <w:r w:rsidR="002B73CA">
              <w:rPr>
                <w:noProof/>
                <w:webHidden/>
              </w:rPr>
              <w:instrText xml:space="preserve"> PAGEREF _Toc508617808 \h </w:instrText>
            </w:r>
            <w:r w:rsidR="002B73CA">
              <w:rPr>
                <w:noProof/>
                <w:webHidden/>
              </w:rPr>
            </w:r>
            <w:r w:rsidR="002B73CA">
              <w:rPr>
                <w:noProof/>
                <w:webHidden/>
              </w:rPr>
              <w:fldChar w:fldCharType="separate"/>
            </w:r>
            <w:r w:rsidR="002B73CA">
              <w:rPr>
                <w:noProof/>
                <w:webHidden/>
              </w:rPr>
              <w:t>7</w:t>
            </w:r>
            <w:r w:rsidR="002B73CA">
              <w:rPr>
                <w:noProof/>
                <w:webHidden/>
              </w:rPr>
              <w:fldChar w:fldCharType="end"/>
            </w:r>
          </w:hyperlink>
        </w:p>
        <w:p w14:paraId="0C254849" w14:textId="194346CA" w:rsidR="002B73CA" w:rsidRDefault="008D73D2">
          <w:pPr>
            <w:pStyle w:val="TOC1"/>
            <w:rPr>
              <w:rFonts w:asciiTheme="minorHAnsi" w:eastAsiaTheme="minorEastAsia" w:hAnsiTheme="minorHAnsi"/>
              <w:noProof/>
              <w:lang w:val="en-US"/>
            </w:rPr>
          </w:pPr>
          <w:hyperlink w:anchor="_Toc508617809" w:history="1">
            <w:r w:rsidR="002B73CA" w:rsidRPr="00D4012A">
              <w:rPr>
                <w:rStyle w:val="Hyperlink"/>
                <w:rFonts w:cstheme="minorHAnsi"/>
                <w:bCs/>
                <w:noProof/>
                <w:lang w:val="ro"/>
              </w:rPr>
              <w:t>Articolul 6 - Limba</w:t>
            </w:r>
            <w:r w:rsidR="002B73CA">
              <w:rPr>
                <w:noProof/>
                <w:webHidden/>
              </w:rPr>
              <w:tab/>
            </w:r>
            <w:r w:rsidR="002B73CA">
              <w:rPr>
                <w:noProof/>
                <w:webHidden/>
              </w:rPr>
              <w:fldChar w:fldCharType="begin"/>
            </w:r>
            <w:r w:rsidR="002B73CA">
              <w:rPr>
                <w:noProof/>
                <w:webHidden/>
              </w:rPr>
              <w:instrText xml:space="preserve"> PAGEREF _Toc508617809 \h </w:instrText>
            </w:r>
            <w:r w:rsidR="002B73CA">
              <w:rPr>
                <w:noProof/>
                <w:webHidden/>
              </w:rPr>
            </w:r>
            <w:r w:rsidR="002B73CA">
              <w:rPr>
                <w:noProof/>
                <w:webHidden/>
              </w:rPr>
              <w:fldChar w:fldCharType="separate"/>
            </w:r>
            <w:r w:rsidR="002B73CA">
              <w:rPr>
                <w:noProof/>
                <w:webHidden/>
              </w:rPr>
              <w:t>7</w:t>
            </w:r>
            <w:r w:rsidR="002B73CA">
              <w:rPr>
                <w:noProof/>
                <w:webHidden/>
              </w:rPr>
              <w:fldChar w:fldCharType="end"/>
            </w:r>
          </w:hyperlink>
        </w:p>
        <w:p w14:paraId="42099219" w14:textId="7BBA2FBB" w:rsidR="00730769" w:rsidRPr="003832F2" w:rsidRDefault="00730769">
          <w:pPr>
            <w:rPr>
              <w:rFonts w:ascii="Calibri" w:hAnsi="Calibri" w:cs="Times New Roman"/>
            </w:rPr>
          </w:pPr>
          <w:r>
            <w:rPr>
              <w:rFonts w:ascii="Calibri" w:hAnsi="Calibri" w:cs="Times New Roman"/>
              <w:b/>
              <w:bCs/>
            </w:rPr>
            <w:fldChar w:fldCharType="end"/>
          </w:r>
        </w:p>
      </w:sdtContent>
    </w:sdt>
    <w:p w14:paraId="04369164" w14:textId="77777777" w:rsidR="005E1BC2" w:rsidRPr="00370ACD" w:rsidRDefault="005E1BC2" w:rsidP="00E210F0">
      <w:pPr>
        <w:spacing w:before="100" w:beforeAutospacing="1" w:after="100" w:afterAutospacing="1" w:line="276" w:lineRule="auto"/>
        <w:rPr>
          <w:rFonts w:cstheme="minorHAnsi"/>
          <w:color w:val="000000" w:themeColor="text1"/>
        </w:rPr>
      </w:pPr>
    </w:p>
    <w:p w14:paraId="3C7467AB" w14:textId="77777777" w:rsidR="004A1545" w:rsidRPr="00370ACD" w:rsidRDefault="004B6993" w:rsidP="00E210F0">
      <w:pPr>
        <w:spacing w:before="100" w:beforeAutospacing="1" w:after="100" w:afterAutospacing="1" w:line="276" w:lineRule="auto"/>
        <w:jc w:val="both"/>
        <w:rPr>
          <w:rFonts w:cstheme="minorHAnsi"/>
          <w:color w:val="000000" w:themeColor="text1"/>
        </w:rPr>
      </w:pPr>
      <w:r>
        <w:rPr>
          <w:rFonts w:cstheme="minorHAnsi"/>
          <w:color w:val="000000" w:themeColor="text1"/>
          <w:lang w:val="ro"/>
        </w:rPr>
        <w:br w:type="page"/>
      </w:r>
      <w:bookmarkStart w:id="0" w:name="_Toc378091729"/>
    </w:p>
    <w:p w14:paraId="58B9E9C1" w14:textId="77777777" w:rsidR="004A1545" w:rsidRPr="00370ACD" w:rsidRDefault="00202413" w:rsidP="00E210F0">
      <w:pPr>
        <w:spacing w:before="100" w:beforeAutospacing="1" w:after="100" w:afterAutospacing="1" w:line="276" w:lineRule="auto"/>
        <w:jc w:val="both"/>
        <w:rPr>
          <w:rFonts w:cstheme="minorHAnsi"/>
          <w:color w:val="000000" w:themeColor="text1"/>
        </w:rPr>
      </w:pPr>
      <w:r>
        <w:rPr>
          <w:rFonts w:cstheme="minorHAnsi"/>
          <w:color w:val="000000" w:themeColor="text1"/>
          <w:lang w:val="ro"/>
        </w:rPr>
        <w:lastRenderedPageBreak/>
        <w:t>Toți Operatorii de Transport și de Sistem, având în vedere următorul:</w:t>
      </w:r>
    </w:p>
    <w:p w14:paraId="6F497AC2" w14:textId="77777777" w:rsidR="004A1545" w:rsidRPr="00370ACD" w:rsidRDefault="004A1545" w:rsidP="00730769">
      <w:pPr>
        <w:pStyle w:val="headline1"/>
        <w:rPr>
          <w:rFonts w:asciiTheme="minorHAnsi" w:hAnsiTheme="minorHAnsi" w:cstheme="minorHAnsi"/>
        </w:rPr>
      </w:pPr>
      <w:bookmarkStart w:id="1" w:name="_Toc505249293"/>
      <w:bookmarkStart w:id="2" w:name="_Toc456339227"/>
      <w:bookmarkStart w:id="3" w:name="_Toc508617803"/>
      <w:r>
        <w:rPr>
          <w:rFonts w:asciiTheme="minorHAnsi" w:hAnsiTheme="minorHAnsi" w:cstheme="minorHAnsi"/>
          <w:bCs/>
          <w:lang w:val="ro"/>
        </w:rPr>
        <w:t>Preambul</w:t>
      </w:r>
      <w:bookmarkEnd w:id="1"/>
      <w:bookmarkEnd w:id="2"/>
      <w:bookmarkEnd w:id="3"/>
    </w:p>
    <w:p w14:paraId="70F76906" w14:textId="5486C0F4" w:rsidR="00823CEE" w:rsidRDefault="004A1545" w:rsidP="00E36258">
      <w:pPr>
        <w:pStyle w:val="ListParagraph"/>
        <w:numPr>
          <w:ilvl w:val="0"/>
          <w:numId w:val="5"/>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Prezentul document reprezintă o propunere comună elaborată de către toți Operatorii de Transport și de Sistem (numiți în continuare „</w:t>
      </w:r>
      <w:r>
        <w:rPr>
          <w:rFonts w:cstheme="minorHAnsi"/>
          <w:b/>
          <w:bCs/>
          <w:color w:val="000000" w:themeColor="text1"/>
          <w:lang w:val="ro"/>
        </w:rPr>
        <w:t>OTS-uri</w:t>
      </w:r>
      <w:r>
        <w:rPr>
          <w:rFonts w:cstheme="minorHAnsi"/>
          <w:color w:val="000000" w:themeColor="text1"/>
          <w:lang w:val="ro"/>
        </w:rPr>
        <w:t xml:space="preserve">”) care intenționează să calculeze Schimburile Planificate care rezultă din cuplarea unică a piețelor </w:t>
      </w:r>
      <w:proofErr w:type="spellStart"/>
      <w:r>
        <w:rPr>
          <w:rFonts w:cstheme="minorHAnsi"/>
          <w:color w:val="000000" w:themeColor="text1"/>
          <w:lang w:val="ro"/>
        </w:rPr>
        <w:t>intrazilnice</w:t>
      </w:r>
      <w:proofErr w:type="spellEnd"/>
      <w:r>
        <w:rPr>
          <w:rFonts w:cstheme="minorHAnsi"/>
          <w:color w:val="000000" w:themeColor="text1"/>
          <w:lang w:val="ro"/>
        </w:rPr>
        <w:t xml:space="preserve"> (numită în continuare „</w:t>
      </w:r>
      <w:r>
        <w:rPr>
          <w:rFonts w:cstheme="minorHAnsi"/>
          <w:b/>
          <w:bCs/>
          <w:color w:val="000000" w:themeColor="text1"/>
          <w:lang w:val="ro"/>
        </w:rPr>
        <w:t>SIDC</w:t>
      </w:r>
      <w:r>
        <w:rPr>
          <w:rFonts w:cstheme="minorHAnsi"/>
          <w:color w:val="000000" w:themeColor="text1"/>
          <w:lang w:val="ro"/>
        </w:rPr>
        <w:t>”) sau care vor utiliza în mod direct rezultatul din SIDC. Prezentul document reprezintă o metodologie pentru calculul Schimburilor Planificate care rezultă din SIDC (numită în continuare „</w:t>
      </w:r>
      <w:r>
        <w:rPr>
          <w:rFonts w:cstheme="minorHAnsi"/>
          <w:b/>
          <w:bCs/>
          <w:color w:val="000000" w:themeColor="text1"/>
          <w:lang w:val="ro"/>
        </w:rPr>
        <w:t>Metodologia ID SEC</w:t>
      </w:r>
      <w:r>
        <w:rPr>
          <w:rFonts w:cstheme="minorHAnsi"/>
          <w:color w:val="000000" w:themeColor="text1"/>
          <w:lang w:val="ro"/>
        </w:rPr>
        <w:t>”) în conformitate cu articolul 56 din Regulamentul (UE) 2015/1222 al Comisiei de stabilire a unor linii directoare privind Alocarea Capacităților și Gestionarea Congestiilor (numit în continuare „</w:t>
      </w:r>
      <w:r>
        <w:rPr>
          <w:rFonts w:cstheme="minorHAnsi"/>
          <w:b/>
          <w:bCs/>
          <w:color w:val="000000" w:themeColor="text1"/>
          <w:lang w:val="ro"/>
        </w:rPr>
        <w:t>Regulamentul CACM</w:t>
      </w:r>
      <w:r>
        <w:rPr>
          <w:rFonts w:cstheme="minorHAnsi"/>
          <w:color w:val="000000" w:themeColor="text1"/>
          <w:lang w:val="ro"/>
        </w:rPr>
        <w:t>”). Prezenta propunere este numită în continuare „</w:t>
      </w:r>
      <w:r>
        <w:rPr>
          <w:rFonts w:cstheme="minorHAnsi"/>
          <w:b/>
          <w:bCs/>
          <w:color w:val="000000" w:themeColor="text1"/>
          <w:lang w:val="ro"/>
        </w:rPr>
        <w:t>Propunerea ID SEC</w:t>
      </w:r>
      <w:r>
        <w:rPr>
          <w:rFonts w:cstheme="minorHAnsi"/>
          <w:color w:val="000000" w:themeColor="text1"/>
          <w:lang w:val="ro"/>
        </w:rPr>
        <w:t xml:space="preserve">”. Totuși, </w:t>
      </w:r>
      <w:bookmarkStart w:id="4" w:name="_Hlk504487470"/>
      <w:r>
        <w:rPr>
          <w:rFonts w:cstheme="minorHAnsi"/>
          <w:color w:val="000000" w:themeColor="text1"/>
          <w:lang w:val="ro"/>
        </w:rPr>
        <w:t>toate OTS-urile vor utiliza în mod direct rezultatele din SIDC și nu există intenția de a calcula Schimburile Planificate care rezultă din SIDC</w:t>
      </w:r>
      <w:bookmarkEnd w:id="4"/>
      <w:r>
        <w:rPr>
          <w:rFonts w:cstheme="minorHAnsi"/>
          <w:color w:val="000000" w:themeColor="text1"/>
          <w:lang w:val="ro"/>
        </w:rPr>
        <w:t xml:space="preserve">. </w:t>
      </w:r>
    </w:p>
    <w:p w14:paraId="5E84F175" w14:textId="77777777" w:rsidR="00823CEE" w:rsidRDefault="00823CEE" w:rsidP="00823CEE">
      <w:pPr>
        <w:pStyle w:val="ListParagraph"/>
        <w:spacing w:after="120" w:line="276" w:lineRule="auto"/>
        <w:ind w:left="1068"/>
        <w:rPr>
          <w:rFonts w:cstheme="minorHAnsi"/>
          <w:color w:val="000000" w:themeColor="text1"/>
        </w:rPr>
      </w:pPr>
    </w:p>
    <w:p w14:paraId="2D2FED19" w14:textId="77777777" w:rsidR="005667D6" w:rsidRDefault="005667D6" w:rsidP="00E36258">
      <w:pPr>
        <w:pStyle w:val="ListParagraph"/>
        <w:numPr>
          <w:ilvl w:val="0"/>
          <w:numId w:val="5"/>
        </w:numPr>
        <w:spacing w:before="100" w:beforeAutospacing="1" w:after="100" w:afterAutospacing="1" w:line="276" w:lineRule="auto"/>
        <w:ind w:left="360"/>
        <w:rPr>
          <w:rFonts w:cstheme="minorHAnsi"/>
        </w:rPr>
      </w:pPr>
      <w:r>
        <w:rPr>
          <w:rFonts w:cstheme="minorHAnsi"/>
          <w:lang w:val="ro"/>
        </w:rPr>
        <w:t>Propunerea ID SEC ia în consi</w:t>
      </w:r>
      <w:bookmarkStart w:id="5" w:name="_GoBack"/>
      <w:bookmarkEnd w:id="5"/>
      <w:r>
        <w:rPr>
          <w:rFonts w:cstheme="minorHAnsi"/>
          <w:lang w:val="ro"/>
        </w:rPr>
        <w:t xml:space="preserve">derare principiile generale, obiectivele și alte metodologii reflectate în </w:t>
      </w:r>
      <w:r>
        <w:rPr>
          <w:rFonts w:cstheme="minorHAnsi"/>
          <w:color w:val="000000" w:themeColor="text1"/>
          <w:lang w:val="ro"/>
        </w:rPr>
        <w:t>Regulamentul CACM</w:t>
      </w:r>
      <w:r>
        <w:rPr>
          <w:rFonts w:cstheme="minorHAnsi"/>
          <w:lang w:val="ro"/>
        </w:rPr>
        <w:t xml:space="preserve">. Obiectivul </w:t>
      </w:r>
      <w:r>
        <w:rPr>
          <w:rFonts w:cstheme="minorHAnsi"/>
          <w:color w:val="000000" w:themeColor="text1"/>
          <w:lang w:val="ro"/>
        </w:rPr>
        <w:t>Regulamentului CACM</w:t>
      </w:r>
      <w:r>
        <w:rPr>
          <w:rFonts w:cstheme="minorHAnsi"/>
          <w:lang w:val="ro"/>
        </w:rPr>
        <w:t xml:space="preserve"> este coordonarea și armonizarea calculului și alocării capacităților pe piețele transfrontaliere pentru ziua următoare și </w:t>
      </w:r>
      <w:proofErr w:type="spellStart"/>
      <w:r>
        <w:rPr>
          <w:rFonts w:cstheme="minorHAnsi"/>
          <w:lang w:val="ro"/>
        </w:rPr>
        <w:t>intrazilnice</w:t>
      </w:r>
      <w:proofErr w:type="spellEnd"/>
      <w:r>
        <w:rPr>
          <w:rFonts w:cstheme="minorHAnsi"/>
          <w:lang w:val="ro"/>
        </w:rPr>
        <w:t>.</w:t>
      </w:r>
    </w:p>
    <w:p w14:paraId="22A79886" w14:textId="77777777" w:rsidR="005667D6" w:rsidRPr="005667D6" w:rsidRDefault="005667D6" w:rsidP="005667D6">
      <w:pPr>
        <w:pStyle w:val="ListParagraph"/>
        <w:rPr>
          <w:rFonts w:cstheme="minorHAnsi"/>
        </w:rPr>
      </w:pPr>
    </w:p>
    <w:p w14:paraId="12930840" w14:textId="0F371846" w:rsidR="005667D6" w:rsidRDefault="00823CEE" w:rsidP="00E36258">
      <w:pPr>
        <w:pStyle w:val="ListParagraph"/>
        <w:numPr>
          <w:ilvl w:val="0"/>
          <w:numId w:val="5"/>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 xml:space="preserve">Propunerea ID SEC, în conformitate cu articolul 56 din Regulamentul CACM, acomodează situațiile în care există mai mult de un Operator al Pieței de Energie Electrică Desemnat (numit în continuare „OPEED”) nominalizat și/sau care oferă servicii de tranzacționare </w:t>
      </w:r>
      <w:proofErr w:type="spellStart"/>
      <w:r>
        <w:rPr>
          <w:rFonts w:cstheme="minorHAnsi"/>
          <w:color w:val="000000" w:themeColor="text1"/>
          <w:lang w:val="ro"/>
        </w:rPr>
        <w:t>intrazilnică</w:t>
      </w:r>
      <w:proofErr w:type="spellEnd"/>
      <w:r>
        <w:rPr>
          <w:rFonts w:cstheme="minorHAnsi"/>
          <w:color w:val="000000" w:themeColor="text1"/>
          <w:lang w:val="ro"/>
        </w:rPr>
        <w:t xml:space="preserve"> într-o anumită zonă geografică. În plus, </w:t>
      </w:r>
      <w:r>
        <w:rPr>
          <w:rFonts w:cstheme="minorHAnsi"/>
          <w:lang w:val="ro"/>
        </w:rPr>
        <w:t xml:space="preserve">în conformitate cu articolul 4 (1) din </w:t>
      </w:r>
      <w:r>
        <w:rPr>
          <w:rFonts w:cstheme="minorHAnsi"/>
          <w:color w:val="000000" w:themeColor="text1"/>
          <w:lang w:val="ro"/>
        </w:rPr>
        <w:t>Regulamentul CACM</w:t>
      </w:r>
      <w:r>
        <w:rPr>
          <w:rFonts w:cstheme="minorHAnsi"/>
          <w:lang w:val="ro"/>
        </w:rPr>
        <w:t>, OPEED-urile multiple pot fi desemnate să realizeze SIDC într-un Stat Membru. Pentru</w:t>
      </w:r>
      <w:r>
        <w:rPr>
          <w:rFonts w:cstheme="minorHAnsi"/>
          <w:color w:val="000000" w:themeColor="text1"/>
          <w:lang w:val="ro"/>
        </w:rPr>
        <w:t xml:space="preserve"> fiecare OPEED se atribuie un Punct Central de Tranzacționare al OPEED. Atunci când OPEED-uri multiple operează într-o arie geografică există multiple Puncte Centrale de Tranzacționare ale OPEED în respectiva arie geografică.</w:t>
      </w:r>
    </w:p>
    <w:p w14:paraId="2DB0423D" w14:textId="77777777" w:rsidR="0061521A" w:rsidRPr="005667D6" w:rsidRDefault="0061521A" w:rsidP="00B108C8">
      <w:pPr>
        <w:pStyle w:val="ListParagraph"/>
        <w:spacing w:after="120" w:line="276" w:lineRule="auto"/>
        <w:ind w:left="1068"/>
        <w:rPr>
          <w:rFonts w:cstheme="minorHAnsi"/>
          <w:color w:val="000000" w:themeColor="text1"/>
        </w:rPr>
      </w:pPr>
    </w:p>
    <w:p w14:paraId="5DE9E078" w14:textId="77777777" w:rsidR="005667D6" w:rsidRDefault="005667D6" w:rsidP="00E36258">
      <w:pPr>
        <w:pStyle w:val="ListParagraph"/>
        <w:numPr>
          <w:ilvl w:val="0"/>
          <w:numId w:val="5"/>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 xml:space="preserve">Propunerea ID SEC ia în considerare situațiile în care zona de ofertare este egală cu aria de planificare, precum și cele în care există mai multe arii de planificare în cadrul unei zone de ofertare. </w:t>
      </w:r>
    </w:p>
    <w:p w14:paraId="70555247" w14:textId="77777777" w:rsidR="00B108C8" w:rsidRPr="00B108C8" w:rsidRDefault="00B108C8" w:rsidP="00B108C8">
      <w:pPr>
        <w:pStyle w:val="ListParagraph"/>
        <w:spacing w:after="120" w:line="276" w:lineRule="auto"/>
        <w:ind w:left="1068"/>
        <w:rPr>
          <w:rFonts w:cstheme="minorHAnsi"/>
          <w:color w:val="000000" w:themeColor="text1"/>
        </w:rPr>
      </w:pPr>
    </w:p>
    <w:p w14:paraId="14426335" w14:textId="4C973EA0" w:rsidR="00F01D32" w:rsidRPr="008F02FE" w:rsidRDefault="0061521A" w:rsidP="001E3E0B">
      <w:pPr>
        <w:pStyle w:val="ListParagraph"/>
        <w:numPr>
          <w:ilvl w:val="0"/>
          <w:numId w:val="5"/>
        </w:numPr>
        <w:spacing w:before="100" w:beforeAutospacing="1" w:after="100" w:afterAutospacing="1" w:line="276" w:lineRule="auto"/>
        <w:ind w:left="360"/>
        <w:rPr>
          <w:rFonts w:cstheme="minorHAnsi"/>
          <w:color w:val="000000" w:themeColor="text1"/>
        </w:rPr>
      </w:pPr>
      <w:r>
        <w:rPr>
          <w:color w:val="000000" w:themeColor="text1"/>
          <w:lang w:val="ro"/>
        </w:rPr>
        <w:t>Propunerea DA SEC nu privește calculul Schimburilor Planificate pentru fiecare Punct Central de Tranzacționare al OPEED. Este confirmat faptul că un Punct Central de Tranzacționare al OPEED nu reprezintă o zonă geografică și astfel Schimburile Planificate nu privesc Punctul Central de Tranzacționare al OPEED.</w:t>
      </w:r>
      <w:r>
        <w:rPr>
          <w:color w:val="000000"/>
          <w:lang w:val="ro"/>
        </w:rPr>
        <w:t xml:space="preserve"> </w:t>
      </w:r>
    </w:p>
    <w:p w14:paraId="51E4B401" w14:textId="77777777" w:rsidR="004306DF" w:rsidRPr="004306DF" w:rsidRDefault="004306DF" w:rsidP="004306DF">
      <w:pPr>
        <w:pStyle w:val="ListParagraph"/>
        <w:rPr>
          <w:rStyle w:val="textregularZchn"/>
          <w:rFonts w:cstheme="minorHAnsi"/>
        </w:rPr>
      </w:pPr>
    </w:p>
    <w:p w14:paraId="4DDA7CB4" w14:textId="0DB8CFAC" w:rsidR="00864F9C" w:rsidRPr="0076351D" w:rsidRDefault="0038164D" w:rsidP="00E36258">
      <w:pPr>
        <w:pStyle w:val="ListParagraph"/>
        <w:numPr>
          <w:ilvl w:val="0"/>
          <w:numId w:val="5"/>
        </w:numPr>
        <w:spacing w:before="100" w:beforeAutospacing="1" w:after="100" w:afterAutospacing="1" w:line="276" w:lineRule="auto"/>
        <w:ind w:left="360"/>
        <w:rPr>
          <w:rFonts w:cstheme="minorHAnsi"/>
        </w:rPr>
      </w:pPr>
      <w:r>
        <w:rPr>
          <w:rFonts w:ascii="Calibri" w:hAnsi="Calibri"/>
          <w:lang w:val="ro"/>
        </w:rPr>
        <w:t xml:space="preserve">În conformitate cu articolul 9 (9) din Regulamentul CACM, termenul propus pentru implementarea </w:t>
      </w:r>
      <w:r>
        <w:rPr>
          <w:rFonts w:cstheme="minorHAnsi"/>
          <w:color w:val="000000" w:themeColor="text1"/>
          <w:lang w:val="ro"/>
        </w:rPr>
        <w:t xml:space="preserve">Metodologiei ID SEC propusă este inclus în </w:t>
      </w:r>
      <w:r>
        <w:rPr>
          <w:rFonts w:cstheme="minorHAnsi"/>
          <w:lang w:val="ro"/>
        </w:rPr>
        <w:t>Propunerea ID SEC</w:t>
      </w:r>
      <w:r>
        <w:rPr>
          <w:rFonts w:cstheme="minorHAnsi"/>
          <w:color w:val="000000" w:themeColor="text1"/>
          <w:lang w:val="ro"/>
        </w:rPr>
        <w:t>.</w:t>
      </w:r>
    </w:p>
    <w:p w14:paraId="51EEE646" w14:textId="77777777" w:rsidR="0076351D" w:rsidRPr="0076351D" w:rsidRDefault="0076351D" w:rsidP="0076351D">
      <w:pPr>
        <w:pStyle w:val="ListParagraph"/>
        <w:rPr>
          <w:rFonts w:cstheme="minorHAnsi"/>
        </w:rPr>
      </w:pPr>
    </w:p>
    <w:p w14:paraId="5504DFF3" w14:textId="37472903" w:rsidR="0076351D" w:rsidRPr="0076351D" w:rsidRDefault="00EE1FFE" w:rsidP="00E36258">
      <w:pPr>
        <w:pStyle w:val="ListParagraph"/>
        <w:numPr>
          <w:ilvl w:val="0"/>
          <w:numId w:val="5"/>
        </w:numPr>
        <w:spacing w:before="100" w:beforeAutospacing="1" w:after="100" w:afterAutospacing="1" w:line="276" w:lineRule="auto"/>
        <w:ind w:left="360"/>
        <w:rPr>
          <w:rFonts w:cstheme="minorHAnsi"/>
        </w:rPr>
      </w:pPr>
      <w:r>
        <w:rPr>
          <w:rFonts w:cstheme="minorHAnsi"/>
          <w:lang w:val="ro"/>
        </w:rPr>
        <w:t>Implementarea Metodologiei ID SEC utilizează soluțiile elaborate pentru propunerea de algoritm în conformitate cu articolul 37</w:t>
      </w:r>
      <w:r>
        <w:rPr>
          <w:rStyle w:val="textregularZchn"/>
          <w:rFonts w:cstheme="minorHAnsi"/>
          <w:lang w:val="ro"/>
        </w:rPr>
        <w:t xml:space="preserve"> din Regulamentul CACM</w:t>
      </w:r>
      <w:r>
        <w:rPr>
          <w:rFonts w:cstheme="minorHAnsi"/>
          <w:lang w:val="ro"/>
        </w:rPr>
        <w:t xml:space="preserve">, acordurile elaborate în conformitate cu articolul 57 </w:t>
      </w:r>
      <w:r>
        <w:rPr>
          <w:rStyle w:val="textregularZchn"/>
          <w:rFonts w:cstheme="minorHAnsi"/>
          <w:lang w:val="ro"/>
        </w:rPr>
        <w:t>din Regulamentul CACM</w:t>
      </w:r>
      <w:r>
        <w:rPr>
          <w:rFonts w:cstheme="minorHAnsi"/>
          <w:lang w:val="ro"/>
        </w:rPr>
        <w:t xml:space="preserve"> pentru mai mult de un OPEED în cadrul unei Zone de Ofertare și acordurile elaborate pentru compensare și decontare între </w:t>
      </w:r>
      <w:proofErr w:type="spellStart"/>
      <w:r>
        <w:rPr>
          <w:rFonts w:cstheme="minorHAnsi"/>
          <w:lang w:val="ro"/>
        </w:rPr>
        <w:t>contrapărțile</w:t>
      </w:r>
      <w:proofErr w:type="spellEnd"/>
      <w:r>
        <w:rPr>
          <w:rFonts w:cstheme="minorHAnsi"/>
          <w:lang w:val="ro"/>
        </w:rPr>
        <w:t xml:space="preserve"> centrale și agenții de transfer în conformitate cu articolul 77</w:t>
      </w:r>
      <w:r>
        <w:rPr>
          <w:rStyle w:val="textregularZchn"/>
          <w:rFonts w:cstheme="minorHAnsi"/>
          <w:lang w:val="ro"/>
        </w:rPr>
        <w:t xml:space="preserve"> din Regulamentul CACM</w:t>
      </w:r>
      <w:r>
        <w:rPr>
          <w:rFonts w:cstheme="minorHAnsi"/>
          <w:lang w:val="ro"/>
        </w:rPr>
        <w:t>. Astfel, implementarea ar trebui să aibă loc în cooperare cu OPEED-urile care aplică soluții comune pentru a asigura consistența și alinierea în calculele fluxurilor.</w:t>
      </w:r>
    </w:p>
    <w:p w14:paraId="371042EC" w14:textId="77777777" w:rsidR="00864F9C" w:rsidRPr="00370ACD" w:rsidRDefault="00864F9C" w:rsidP="00864F9C">
      <w:pPr>
        <w:pStyle w:val="ListParagraph"/>
        <w:rPr>
          <w:rFonts w:cstheme="minorHAnsi"/>
          <w:color w:val="000000" w:themeColor="text1"/>
        </w:rPr>
      </w:pPr>
    </w:p>
    <w:p w14:paraId="05E422D1" w14:textId="6C45074B" w:rsidR="0038164D" w:rsidRPr="00370ACD" w:rsidRDefault="00864F9C" w:rsidP="00E36258">
      <w:pPr>
        <w:pStyle w:val="ListParagraph"/>
        <w:numPr>
          <w:ilvl w:val="0"/>
          <w:numId w:val="5"/>
        </w:numPr>
        <w:spacing w:before="100" w:beforeAutospacing="1" w:after="100" w:afterAutospacing="1" w:line="276" w:lineRule="auto"/>
        <w:ind w:left="360"/>
        <w:rPr>
          <w:rStyle w:val="textregularZchn"/>
          <w:rFonts w:cstheme="minorHAnsi"/>
        </w:rPr>
      </w:pPr>
      <w:r>
        <w:rPr>
          <w:color w:val="000000" w:themeColor="text1"/>
          <w:lang w:val="ro"/>
        </w:rPr>
        <w:t xml:space="preserve">În conformitate cu articolul 9 (9) din Regulamentul CACM, impactul prevăzut al Metodologiei ID SEC </w:t>
      </w:r>
      <w:r>
        <w:rPr>
          <w:lang w:val="ro"/>
        </w:rPr>
        <w:t xml:space="preserve">asupra obiectivelor </w:t>
      </w:r>
      <w:r>
        <w:rPr>
          <w:color w:val="000000" w:themeColor="text1"/>
          <w:lang w:val="ro"/>
        </w:rPr>
        <w:t>Regulamentului CACM trebuie să fie descris.</w:t>
      </w:r>
    </w:p>
    <w:p w14:paraId="1C185F8E" w14:textId="77777777" w:rsidR="004A1545" w:rsidRPr="00370ACD" w:rsidRDefault="004A1545">
      <w:pPr>
        <w:pStyle w:val="ListParagraph"/>
        <w:spacing w:after="120" w:line="276" w:lineRule="auto"/>
        <w:rPr>
          <w:rStyle w:val="textregularZchn"/>
          <w:rFonts w:cstheme="minorHAnsi"/>
          <w:color w:val="000000" w:themeColor="text1"/>
        </w:rPr>
      </w:pPr>
    </w:p>
    <w:p w14:paraId="6E1683D4" w14:textId="3376AB5D" w:rsidR="00F77B3F"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Articolul 3 (a) din Regulamentul CACM are drept scop promovarea concurenței eficiente în generarea, comercializarea și furnizarea energiei electrice.</w:t>
      </w:r>
    </w:p>
    <w:p w14:paraId="70CC5386" w14:textId="2CD9C38B" w:rsidR="00D066A3" w:rsidRPr="00370ACD" w:rsidRDefault="004A1545" w:rsidP="00F66A58">
      <w:pPr>
        <w:pStyle w:val="ListParagraph"/>
        <w:numPr>
          <w:ilvl w:val="1"/>
          <w:numId w:val="7"/>
        </w:numPr>
        <w:spacing w:after="120" w:line="276" w:lineRule="auto"/>
        <w:rPr>
          <w:rFonts w:cstheme="minorHAnsi"/>
          <w:color w:val="000000" w:themeColor="text1"/>
        </w:rPr>
      </w:pPr>
      <w:r>
        <w:rPr>
          <w:rFonts w:cstheme="minorHAnsi"/>
          <w:color w:val="000000" w:themeColor="text1"/>
          <w:lang w:val="ro"/>
        </w:rPr>
        <w:t>Metodologia ID SEC, întrucât va utiliza direct rezultatele din SIDC, nu are influență asupra competiției în generarea, comercializarea și furnizarea energiei electrice.</w:t>
      </w:r>
    </w:p>
    <w:p w14:paraId="69AD3117" w14:textId="77777777" w:rsidR="005B3B49" w:rsidRPr="00370ACD" w:rsidRDefault="005B3B49" w:rsidP="008B710C">
      <w:pPr>
        <w:pStyle w:val="ListParagraph"/>
        <w:spacing w:after="120" w:line="276" w:lineRule="auto"/>
        <w:ind w:left="1800"/>
        <w:rPr>
          <w:rFonts w:cstheme="minorHAnsi"/>
          <w:color w:val="000000" w:themeColor="text1"/>
        </w:rPr>
      </w:pPr>
    </w:p>
    <w:p w14:paraId="34413179" w14:textId="5C1083C7" w:rsidR="00F77B3F" w:rsidRPr="00370ACD" w:rsidRDefault="004A1545" w:rsidP="00F66A58">
      <w:pPr>
        <w:pStyle w:val="ListParagraph"/>
        <w:numPr>
          <w:ilvl w:val="0"/>
          <w:numId w:val="7"/>
        </w:numPr>
        <w:spacing w:after="120" w:line="276" w:lineRule="auto"/>
        <w:rPr>
          <w:rFonts w:cstheme="minorHAnsi"/>
        </w:rPr>
      </w:pPr>
      <w:r>
        <w:rPr>
          <w:rFonts w:cstheme="minorHAnsi"/>
          <w:lang w:val="ro"/>
        </w:rPr>
        <w:t xml:space="preserve">Articolul 3 (b) din </w:t>
      </w:r>
      <w:r>
        <w:rPr>
          <w:rFonts w:cstheme="minorHAnsi"/>
          <w:color w:val="000000" w:themeColor="text1"/>
          <w:lang w:val="ro"/>
        </w:rPr>
        <w:t xml:space="preserve">Regulamentul CACM </w:t>
      </w:r>
      <w:r>
        <w:rPr>
          <w:rFonts w:cstheme="minorHAnsi"/>
          <w:lang w:val="ro"/>
        </w:rPr>
        <w:t>are obiectivul de a asigura utilizarea optimă a infrastructurii de transport.</w:t>
      </w:r>
    </w:p>
    <w:p w14:paraId="4413BAEF" w14:textId="22F6658A" w:rsidR="003B4CC0" w:rsidRPr="003B4CC0" w:rsidRDefault="0039692F" w:rsidP="00F66A58">
      <w:pPr>
        <w:pStyle w:val="ListParagraph"/>
        <w:numPr>
          <w:ilvl w:val="1"/>
          <w:numId w:val="7"/>
        </w:numPr>
        <w:spacing w:after="120" w:line="276" w:lineRule="auto"/>
        <w:rPr>
          <w:rFonts w:cstheme="minorHAnsi"/>
        </w:rPr>
      </w:pPr>
      <w:r>
        <w:rPr>
          <w:rFonts w:cstheme="minorHAnsi"/>
          <w:lang w:val="ro"/>
        </w:rPr>
        <w:t xml:space="preserve">Schimburile Planificate care rezultă din Metodologia ID SEC </w:t>
      </w:r>
      <w:r>
        <w:rPr>
          <w:rFonts w:cstheme="minorHAnsi"/>
          <w:color w:val="000000" w:themeColor="text1"/>
          <w:lang w:val="ro"/>
        </w:rPr>
        <w:t xml:space="preserve">vor utiliza direct rezultatele din SIDC, </w:t>
      </w:r>
      <w:r>
        <w:rPr>
          <w:rFonts w:cstheme="minorHAnsi"/>
          <w:lang w:val="ro"/>
        </w:rPr>
        <w:t>adică acestea sunt bazate pe capacitățile alocate sub forma Fluxurilor Planificate între zonele de ofertare.</w:t>
      </w:r>
    </w:p>
    <w:p w14:paraId="43F743B5" w14:textId="77777777" w:rsidR="004A1545" w:rsidRPr="00370ACD" w:rsidRDefault="004A1545" w:rsidP="008B710C">
      <w:pPr>
        <w:pStyle w:val="ListParagraph"/>
        <w:spacing w:after="120" w:line="276" w:lineRule="auto"/>
        <w:ind w:left="1080"/>
        <w:rPr>
          <w:rFonts w:cstheme="minorHAnsi"/>
          <w:color w:val="000000" w:themeColor="text1"/>
          <w:highlight w:val="red"/>
        </w:rPr>
      </w:pPr>
    </w:p>
    <w:p w14:paraId="7FED4B45" w14:textId="5CDE502A" w:rsidR="00F77B3F"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(c) din Regulamentul CACM are obiectivul de a asigura siguranța în funcționare. </w:t>
      </w:r>
    </w:p>
    <w:p w14:paraId="4D6D9212" w14:textId="39DC334A" w:rsidR="00AE087E" w:rsidRDefault="004A1545" w:rsidP="00F66A58">
      <w:pPr>
        <w:pStyle w:val="ListParagraph"/>
        <w:numPr>
          <w:ilvl w:val="1"/>
          <w:numId w:val="7"/>
        </w:numPr>
        <w:spacing w:after="120" w:line="276" w:lineRule="auto"/>
        <w:rPr>
          <w:rFonts w:cstheme="minorHAnsi"/>
        </w:rPr>
      </w:pPr>
      <w:r>
        <w:rPr>
          <w:rFonts w:cstheme="minorHAnsi"/>
          <w:lang w:val="ro"/>
        </w:rPr>
        <w:t xml:space="preserve">Metodologia ID SEC </w:t>
      </w:r>
      <w:r>
        <w:rPr>
          <w:rFonts w:cstheme="minorHAnsi"/>
          <w:color w:val="000000" w:themeColor="text1"/>
          <w:lang w:val="ro"/>
        </w:rPr>
        <w:t xml:space="preserve">aplică direct rezultatele din SIDC. </w:t>
      </w:r>
      <w:r>
        <w:rPr>
          <w:rFonts w:cstheme="minorHAnsi"/>
          <w:lang w:val="ro"/>
        </w:rPr>
        <w:t>Metodologia ID SEC este inițiată post-</w:t>
      </w:r>
      <w:r>
        <w:rPr>
          <w:rFonts w:cstheme="minorHAnsi"/>
          <w:color w:val="000000" w:themeColor="text1"/>
          <w:lang w:val="ro"/>
        </w:rPr>
        <w:t xml:space="preserve">SIDC </w:t>
      </w:r>
      <w:r>
        <w:rPr>
          <w:rFonts w:cstheme="minorHAnsi"/>
          <w:lang w:val="ro"/>
        </w:rPr>
        <w:t xml:space="preserve">și nu are nicio influență asupra siguranței în funcționare în conformitate cu </w:t>
      </w:r>
      <w:r>
        <w:rPr>
          <w:rFonts w:cstheme="minorHAnsi"/>
          <w:color w:val="000000" w:themeColor="text1"/>
          <w:lang w:val="ro"/>
        </w:rPr>
        <w:t>Regulamentul CACM</w:t>
      </w:r>
      <w:r>
        <w:rPr>
          <w:rFonts w:cstheme="minorHAnsi"/>
          <w:lang w:val="ro"/>
        </w:rPr>
        <w:t>.</w:t>
      </w:r>
    </w:p>
    <w:p w14:paraId="7F89AE0D" w14:textId="77777777" w:rsidR="0039692F" w:rsidRPr="00370ACD" w:rsidRDefault="0039692F" w:rsidP="00AE087E">
      <w:pPr>
        <w:pStyle w:val="ListParagraph"/>
        <w:spacing w:after="120" w:line="276" w:lineRule="auto"/>
        <w:ind w:left="1800"/>
        <w:rPr>
          <w:rFonts w:cstheme="minorHAnsi"/>
          <w:color w:val="000000" w:themeColor="text1"/>
        </w:rPr>
      </w:pPr>
    </w:p>
    <w:p w14:paraId="5FE7300B" w14:textId="3DEA9AFD" w:rsidR="00F77B3F"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(d) din Regulamentul CACM are obiectivul de a optimiza calculul și alocarea capacităților interzonale. </w:t>
      </w:r>
    </w:p>
    <w:p w14:paraId="432AF1A2" w14:textId="60223E4D" w:rsidR="00D05EE6" w:rsidRPr="00D05EE6" w:rsidRDefault="00D81E7B" w:rsidP="00F66A58">
      <w:pPr>
        <w:pStyle w:val="ListParagraph"/>
        <w:numPr>
          <w:ilvl w:val="1"/>
          <w:numId w:val="7"/>
        </w:numPr>
        <w:spacing w:after="120" w:line="276" w:lineRule="auto"/>
        <w:ind w:left="2127"/>
        <w:rPr>
          <w:rFonts w:cstheme="minorHAnsi"/>
          <w:color w:val="000000" w:themeColor="text1"/>
        </w:rPr>
      </w:pPr>
      <w:r>
        <w:rPr>
          <w:rFonts w:cstheme="minorHAnsi"/>
          <w:lang w:val="ro"/>
        </w:rPr>
        <w:t xml:space="preserve">Schimburile Planificate care rezultă din SIDC nu modifică rezultatele sesiunii cuplării pieței unice </w:t>
      </w:r>
      <w:proofErr w:type="spellStart"/>
      <w:r>
        <w:rPr>
          <w:rFonts w:cstheme="minorHAnsi"/>
          <w:lang w:val="ro"/>
        </w:rPr>
        <w:t>intrazilnice</w:t>
      </w:r>
      <w:proofErr w:type="spellEnd"/>
      <w:r>
        <w:rPr>
          <w:rFonts w:cstheme="minorHAnsi"/>
          <w:lang w:val="ro"/>
        </w:rPr>
        <w:t>.</w:t>
      </w:r>
    </w:p>
    <w:p w14:paraId="6184B34F" w14:textId="77777777" w:rsidR="0039692F" w:rsidRPr="00D05EE6" w:rsidRDefault="0039692F" w:rsidP="00D05EE6">
      <w:pPr>
        <w:pStyle w:val="ListParagraph"/>
        <w:spacing w:after="120" w:line="276" w:lineRule="auto"/>
        <w:ind w:left="1800"/>
        <w:rPr>
          <w:rFonts w:cstheme="minorHAnsi"/>
          <w:color w:val="000000" w:themeColor="text1"/>
        </w:rPr>
      </w:pPr>
    </w:p>
    <w:p w14:paraId="3ADFC746" w14:textId="75AE0A9A" w:rsidR="00631298"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(e) din Regulamentul CACM are obiectivul de a asigura un tratament echitabil și nediscriminatoriu pentru OTS-uri, OPEED-uri, agenție, autoritățile de reglementare și participanții la piață. </w:t>
      </w:r>
    </w:p>
    <w:p w14:paraId="35EC9FA6" w14:textId="6967EA97" w:rsidR="004A1545" w:rsidRPr="00370ACD" w:rsidRDefault="004A1545"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este echitabilă, transparentă și bazată pe rezultatele SIDC.</w:t>
      </w:r>
    </w:p>
    <w:p w14:paraId="51B56744" w14:textId="77777777" w:rsidR="00313FDF" w:rsidRPr="00370ACD" w:rsidRDefault="00313FDF" w:rsidP="00313FDF">
      <w:pPr>
        <w:pStyle w:val="ListParagraph"/>
        <w:spacing w:after="120" w:line="276" w:lineRule="auto"/>
        <w:ind w:left="1800"/>
        <w:rPr>
          <w:rFonts w:cstheme="minorHAnsi"/>
          <w:color w:val="000000" w:themeColor="text1"/>
        </w:rPr>
      </w:pPr>
    </w:p>
    <w:p w14:paraId="37476BE1" w14:textId="6A824EA1" w:rsidR="00756FA7"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(f) din Regulamentul CACM are obiectivul de a asigurare și îmbunătăți transparența și fiabilitatea informațiilor. </w:t>
      </w:r>
    </w:p>
    <w:p w14:paraId="4A0257DA" w14:textId="684645A2" w:rsidR="00313FDF" w:rsidRPr="00370ACD" w:rsidRDefault="004A1545"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cuprinde o metodă etapizată, de jos în sus (de la fiecare tranzacție ce trebuie agregată în zona de ofertare, la aria de planificare) pentru calculul Schimburilor Planificate, ceea ce asigură și îmbunătățește transparența și fiabilitatea </w:t>
      </w:r>
      <w:r>
        <w:rPr>
          <w:rFonts w:cstheme="minorHAnsi"/>
          <w:lang w:val="ro"/>
        </w:rPr>
        <w:t>Metodologiei ID SEC</w:t>
      </w:r>
      <w:r>
        <w:rPr>
          <w:rFonts w:cstheme="minorHAnsi"/>
          <w:color w:val="000000" w:themeColor="text1"/>
          <w:lang w:val="ro"/>
        </w:rPr>
        <w:t xml:space="preserve">. </w:t>
      </w:r>
    </w:p>
    <w:p w14:paraId="56F11A1D" w14:textId="77777777" w:rsidR="00BE3CE7" w:rsidRPr="00370ACD" w:rsidRDefault="004A1545" w:rsidP="007E0A5D">
      <w:pPr>
        <w:pStyle w:val="ListParagraph"/>
        <w:spacing w:after="120" w:line="276" w:lineRule="auto"/>
        <w:ind w:left="1800"/>
        <w:rPr>
          <w:rFonts w:cstheme="minorHAnsi"/>
          <w:color w:val="000000" w:themeColor="text1"/>
        </w:rPr>
      </w:pPr>
      <w:r>
        <w:rPr>
          <w:rFonts w:cstheme="minorHAnsi"/>
          <w:color w:val="000000" w:themeColor="text1"/>
          <w:lang w:val="ro"/>
        </w:rPr>
        <w:t xml:space="preserve"> </w:t>
      </w:r>
    </w:p>
    <w:p w14:paraId="7A83B528" w14:textId="0F9C2D4F" w:rsidR="00BE3CE7"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(g) din Regulamentul CACM are obiectivul de a contribui la funcționarea și dezvoltarea eficientă și pe termen lung a sistemelor de transport al energiei electrice și a sectorului energiei electrice din Uniune. </w:t>
      </w:r>
    </w:p>
    <w:p w14:paraId="29C9AB94" w14:textId="2D9625B2" w:rsidR="004A1545" w:rsidRPr="00370ACD" w:rsidRDefault="004A1545"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a fost elaborată în spiritul Codului inter-Rețea pentru a contribui la dezvoltarea eficientă a pieței de electricitate </w:t>
      </w:r>
      <w:proofErr w:type="spellStart"/>
      <w:r>
        <w:rPr>
          <w:rFonts w:cstheme="minorHAnsi"/>
          <w:color w:val="000000" w:themeColor="text1"/>
          <w:lang w:val="ro"/>
        </w:rPr>
        <w:t>intrazilnică</w:t>
      </w:r>
      <w:proofErr w:type="spellEnd"/>
      <w:r>
        <w:rPr>
          <w:rFonts w:cstheme="minorHAnsi"/>
          <w:color w:val="000000" w:themeColor="text1"/>
          <w:lang w:val="ro"/>
        </w:rPr>
        <w:t xml:space="preserve"> în Europa. </w:t>
      </w:r>
      <w:r>
        <w:rPr>
          <w:rFonts w:cstheme="minorHAnsi"/>
          <w:lang w:val="ro"/>
        </w:rPr>
        <w:lastRenderedPageBreak/>
        <w:t>Metodologia ID SEC</w:t>
      </w:r>
      <w:r>
        <w:rPr>
          <w:rFonts w:cstheme="minorHAnsi"/>
          <w:color w:val="000000" w:themeColor="text1"/>
          <w:lang w:val="ro"/>
        </w:rPr>
        <w:t xml:space="preserve"> facilitează prin structura sa funcționarea și dezvoltarea eficientă și pe termen lung a sistemului de transport european. </w:t>
      </w:r>
    </w:p>
    <w:p w14:paraId="38C823E8" w14:textId="77777777" w:rsidR="00313FDF" w:rsidRPr="00370ACD" w:rsidRDefault="00313FDF" w:rsidP="007E0A5D">
      <w:pPr>
        <w:pStyle w:val="ListParagraph"/>
        <w:spacing w:after="120" w:line="276" w:lineRule="auto"/>
        <w:ind w:left="1800"/>
        <w:rPr>
          <w:rFonts w:cstheme="minorHAnsi"/>
          <w:color w:val="000000" w:themeColor="text1"/>
        </w:rPr>
      </w:pPr>
    </w:p>
    <w:p w14:paraId="71165EA2" w14:textId="7F5BBC74" w:rsidR="00A86DBE"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(h) din Regulamentul CACM are obiectivul respectării necesității unei piețe echitabile și ordonate și a unei formări a prețurilor echitabile și ordonate. </w:t>
      </w:r>
    </w:p>
    <w:p w14:paraId="02396783" w14:textId="6B363555" w:rsidR="004A1545" w:rsidRPr="00370ACD" w:rsidRDefault="004A1545"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nu intervine asupra și nu compromite piața și formarea corectă și ordonată a prețului, întrucât nu are nicio influență asupra rezultatelor SIDC. </w:t>
      </w:r>
    </w:p>
    <w:p w14:paraId="6F44CD66" w14:textId="77777777" w:rsidR="00E00B0B" w:rsidRPr="00370ACD" w:rsidRDefault="00E00B0B" w:rsidP="007E0A5D">
      <w:pPr>
        <w:pStyle w:val="ListParagraph"/>
        <w:spacing w:after="120" w:line="276" w:lineRule="auto"/>
        <w:ind w:left="1800"/>
        <w:rPr>
          <w:rFonts w:cstheme="minorHAnsi"/>
          <w:color w:val="000000" w:themeColor="text1"/>
        </w:rPr>
      </w:pPr>
    </w:p>
    <w:p w14:paraId="3D88C6D5" w14:textId="7F1DCC3C" w:rsidR="00E00B0B"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(i) din Regulamentul CACM are obiectivul de a crea condiții de concurență echitabile pentru OPEED-uri. </w:t>
      </w:r>
    </w:p>
    <w:p w14:paraId="43409ED6" w14:textId="64EBE747" w:rsidR="00CB73E8" w:rsidRPr="00370ACD" w:rsidRDefault="00CB73E8"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creează condiții de concurență echitabilă pentru OPEED-uri și nu are nicio influență asupra rezultatelor SIDC. În plus, </w:t>
      </w:r>
      <w:r>
        <w:rPr>
          <w:rFonts w:cstheme="minorHAnsi"/>
          <w:lang w:val="ro"/>
        </w:rPr>
        <w:t>Metodologia ID SEC</w:t>
      </w:r>
      <w:r>
        <w:rPr>
          <w:rFonts w:cstheme="minorHAnsi"/>
          <w:color w:val="000000" w:themeColor="text1"/>
          <w:lang w:val="ro"/>
        </w:rPr>
        <w:t xml:space="preserve"> permite scenarii în care există OPEED-uri multiple în cadrul unei zone de ofertare sau arii de planificare.</w:t>
      </w:r>
    </w:p>
    <w:p w14:paraId="211A6032" w14:textId="77777777" w:rsidR="00E00B0B" w:rsidRPr="00370ACD" w:rsidRDefault="00E00B0B" w:rsidP="007E0A5D">
      <w:pPr>
        <w:pStyle w:val="ListParagraph"/>
        <w:spacing w:after="120" w:line="276" w:lineRule="auto"/>
        <w:ind w:left="1800"/>
        <w:rPr>
          <w:rFonts w:cstheme="minorHAnsi"/>
          <w:color w:val="000000" w:themeColor="text1"/>
        </w:rPr>
      </w:pPr>
    </w:p>
    <w:p w14:paraId="0BE91996" w14:textId="1A098513" w:rsidR="00CB73E8" w:rsidRPr="00370ACD" w:rsidRDefault="004A1545" w:rsidP="00F66A58">
      <w:pPr>
        <w:pStyle w:val="ListParagraph"/>
        <w:numPr>
          <w:ilvl w:val="0"/>
          <w:numId w:val="7"/>
        </w:numPr>
        <w:spacing w:after="120" w:line="276" w:lineRule="auto"/>
        <w:rPr>
          <w:rFonts w:cstheme="minorHAnsi"/>
          <w:color w:val="000000" w:themeColor="text1"/>
        </w:rPr>
      </w:pPr>
      <w:r>
        <w:rPr>
          <w:rFonts w:cstheme="minorHAnsi"/>
          <w:color w:val="000000" w:themeColor="text1"/>
          <w:lang w:val="ro"/>
        </w:rPr>
        <w:t xml:space="preserve">Articolul 3 (j) din Regulamentul CACM are obiectivul de a oferi acces nediscriminatoriu la capacitatea interzonală. </w:t>
      </w:r>
    </w:p>
    <w:p w14:paraId="0887448C" w14:textId="77777777" w:rsidR="004A1545" w:rsidRDefault="004A1545" w:rsidP="00F66A58">
      <w:pPr>
        <w:pStyle w:val="ListParagraph"/>
        <w:numPr>
          <w:ilvl w:val="1"/>
          <w:numId w:val="7"/>
        </w:numPr>
        <w:spacing w:after="120" w:line="276" w:lineRule="auto"/>
        <w:rPr>
          <w:rFonts w:cstheme="minorHAnsi"/>
          <w:color w:val="000000" w:themeColor="text1"/>
        </w:rPr>
      </w:pPr>
      <w:r>
        <w:rPr>
          <w:rFonts w:cstheme="minorHAnsi"/>
          <w:lang w:val="ro"/>
        </w:rPr>
        <w:t>Metodologia ID SEC</w:t>
      </w:r>
      <w:r>
        <w:rPr>
          <w:rFonts w:cstheme="minorHAnsi"/>
          <w:color w:val="000000" w:themeColor="text1"/>
          <w:lang w:val="ro"/>
        </w:rPr>
        <w:t xml:space="preserve"> nu intervine asupra furnizării și nici asupra alocării capacității interzonale.</w:t>
      </w:r>
    </w:p>
    <w:p w14:paraId="485D530D" w14:textId="77777777" w:rsidR="00FC5AA8" w:rsidRDefault="00FC5AA8" w:rsidP="00FC5AA8">
      <w:pPr>
        <w:pStyle w:val="ListParagraph"/>
        <w:spacing w:after="120" w:line="276" w:lineRule="auto"/>
        <w:ind w:left="2148"/>
        <w:rPr>
          <w:rFonts w:cstheme="minorHAnsi"/>
          <w:color w:val="000000" w:themeColor="text1"/>
        </w:rPr>
      </w:pPr>
    </w:p>
    <w:p w14:paraId="3F47E94C" w14:textId="77777777" w:rsidR="00382893" w:rsidRPr="00382893" w:rsidRDefault="00382893" w:rsidP="00382893">
      <w:pPr>
        <w:spacing w:after="120" w:line="276" w:lineRule="auto"/>
        <w:rPr>
          <w:rFonts w:cstheme="minorHAnsi"/>
          <w:color w:val="000000" w:themeColor="text1"/>
        </w:rPr>
      </w:pPr>
      <w:r>
        <w:rPr>
          <w:lang w:val="ro"/>
        </w:rPr>
        <w:t>PREZENTA METODOLOGIE ID SEC ESTE ÎNAINTATĂ TUTUROR AUTORITĂȚILOR DE REGLEMENTARE:</w:t>
      </w:r>
    </w:p>
    <w:p w14:paraId="44CDDEB4" w14:textId="77777777" w:rsidR="008A0967" w:rsidRPr="00370ACD" w:rsidRDefault="00D070C8" w:rsidP="00BD166E">
      <w:pPr>
        <w:pStyle w:val="headline1"/>
        <w:rPr>
          <w:rFonts w:asciiTheme="minorHAnsi" w:hAnsiTheme="minorHAnsi" w:cstheme="minorHAnsi"/>
        </w:rPr>
      </w:pPr>
      <w:bookmarkStart w:id="6" w:name="_Toc505249294"/>
      <w:bookmarkStart w:id="7" w:name="_Toc432586789"/>
      <w:bookmarkStart w:id="8" w:name="_Toc432586769"/>
      <w:bookmarkStart w:id="9" w:name="_Toc508617804"/>
      <w:r>
        <w:rPr>
          <w:rFonts w:asciiTheme="minorHAnsi" w:hAnsiTheme="minorHAnsi" w:cstheme="minorHAnsi"/>
          <w:bCs/>
          <w:lang w:val="ro"/>
        </w:rPr>
        <w:t>Articolul 1 - Obiect și domeniu de aplicare</w:t>
      </w:r>
      <w:bookmarkEnd w:id="6"/>
      <w:bookmarkEnd w:id="7"/>
      <w:bookmarkEnd w:id="8"/>
      <w:bookmarkEnd w:id="9"/>
    </w:p>
    <w:p w14:paraId="28E56DEB" w14:textId="51A070D6" w:rsidR="000817C5" w:rsidRDefault="00F7731E" w:rsidP="00F66A58">
      <w:pPr>
        <w:pStyle w:val="ListParagraph"/>
        <w:numPr>
          <w:ilvl w:val="0"/>
          <w:numId w:val="20"/>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 xml:space="preserve">Toate OTS-urile stipulează în prezenta Propunere </w:t>
      </w:r>
      <w:r>
        <w:rPr>
          <w:rFonts w:cstheme="minorHAnsi"/>
          <w:lang w:val="ro"/>
        </w:rPr>
        <w:t xml:space="preserve">ID SEC </w:t>
      </w:r>
      <w:r>
        <w:rPr>
          <w:rFonts w:cstheme="minorHAnsi"/>
          <w:color w:val="000000" w:themeColor="text1"/>
          <w:lang w:val="ro"/>
        </w:rPr>
        <w:t>cerințele privind calculul Schimburilor Planificate care rezultă din SIDC, informațiile necesare din partea tuturor OPEED-urilor pentru calcul și calculul Schimburilor Planificate.</w:t>
      </w:r>
    </w:p>
    <w:p w14:paraId="04B691A3" w14:textId="77777777" w:rsidR="007665ED" w:rsidRPr="007665ED" w:rsidRDefault="007665ED" w:rsidP="007665ED">
      <w:pPr>
        <w:pStyle w:val="ListParagraph"/>
        <w:spacing w:before="100" w:beforeAutospacing="1" w:after="100" w:afterAutospacing="1" w:line="276" w:lineRule="auto"/>
        <w:rPr>
          <w:rFonts w:cstheme="minorHAnsi"/>
          <w:color w:val="000000" w:themeColor="text1"/>
        </w:rPr>
      </w:pPr>
    </w:p>
    <w:p w14:paraId="6AFDD5B5" w14:textId="1C435883" w:rsidR="000817C5" w:rsidRDefault="00D22908" w:rsidP="00F66A58">
      <w:pPr>
        <w:pStyle w:val="ListParagraph"/>
        <w:numPr>
          <w:ilvl w:val="0"/>
          <w:numId w:val="20"/>
        </w:numPr>
        <w:spacing w:before="100" w:beforeAutospacing="1" w:after="100" w:afterAutospacing="1" w:line="276" w:lineRule="auto"/>
        <w:ind w:left="360"/>
      </w:pPr>
      <w:r>
        <w:rPr>
          <w:lang w:val="ro"/>
        </w:rPr>
        <w:t xml:space="preserve">Domeniul de aplicare al Metodologiei ID SEC nu include alocarea de roluri și responsabilități către părți specifice. </w:t>
      </w:r>
      <w:r>
        <w:rPr>
          <w:color w:val="000000" w:themeColor="text1"/>
          <w:lang w:val="ro"/>
        </w:rPr>
        <w:t>De asemenea, nici cadrul de guvernanță pentru roluri sau responsabilități specifice nu face parte din domeniul de aplicare al Propunerii ID SEC</w:t>
      </w:r>
      <w:r>
        <w:rPr>
          <w:lang w:val="ro"/>
        </w:rPr>
        <w:t xml:space="preserve">. Aceste aspecte sunt definite de OTS-uri, acolo unde este necesar în conformitate cu articolul 8 (2g) din </w:t>
      </w:r>
      <w:r>
        <w:rPr>
          <w:color w:val="000000" w:themeColor="text1"/>
          <w:lang w:val="ro"/>
        </w:rPr>
        <w:t>Regulamentul CACM</w:t>
      </w:r>
      <w:r>
        <w:rPr>
          <w:lang w:val="ro"/>
        </w:rPr>
        <w:t>.</w:t>
      </w:r>
    </w:p>
    <w:p w14:paraId="26FC6323" w14:textId="77777777" w:rsidR="007665ED" w:rsidRPr="007665ED" w:rsidRDefault="007665ED" w:rsidP="007665ED">
      <w:pPr>
        <w:pStyle w:val="ListParagraph"/>
        <w:spacing w:before="100" w:beforeAutospacing="1" w:after="100" w:afterAutospacing="1" w:line="276" w:lineRule="auto"/>
        <w:ind w:left="360"/>
      </w:pPr>
    </w:p>
    <w:p w14:paraId="3B73FC39" w14:textId="77777777" w:rsidR="004C0185" w:rsidRPr="00B108C8" w:rsidRDefault="004C0185" w:rsidP="00F66A58">
      <w:pPr>
        <w:pStyle w:val="ListParagraph"/>
        <w:numPr>
          <w:ilvl w:val="0"/>
          <w:numId w:val="20"/>
        </w:numPr>
        <w:spacing w:before="100" w:beforeAutospacing="1" w:after="100" w:afterAutospacing="1" w:line="276" w:lineRule="auto"/>
        <w:ind w:left="360"/>
        <w:rPr>
          <w:rFonts w:cstheme="minorHAnsi"/>
          <w:color w:val="000000" w:themeColor="text1"/>
        </w:rPr>
      </w:pPr>
      <w:bookmarkStart w:id="10" w:name="_Toc432586790"/>
      <w:bookmarkStart w:id="11" w:name="_Toc432586770"/>
      <w:r>
        <w:rPr>
          <w:rFonts w:cstheme="minorHAnsi"/>
          <w:color w:val="000000" w:themeColor="text1"/>
          <w:lang w:val="ro"/>
        </w:rPr>
        <w:t xml:space="preserve">Metodologia ID SEC se aplică OTS-urilor care utilizează Fluxurile Planificate calculate de algoritmul de cuplare </w:t>
      </w:r>
      <w:proofErr w:type="spellStart"/>
      <w:r>
        <w:rPr>
          <w:rFonts w:cstheme="minorHAnsi"/>
          <w:color w:val="000000" w:themeColor="text1"/>
          <w:lang w:val="ro"/>
        </w:rPr>
        <w:t>intrazilnică</w:t>
      </w:r>
      <w:proofErr w:type="spellEnd"/>
      <w:r>
        <w:rPr>
          <w:rFonts w:cstheme="minorHAnsi"/>
          <w:color w:val="000000" w:themeColor="text1"/>
          <w:lang w:val="ro"/>
        </w:rPr>
        <w:t xml:space="preserve"> drept Schimburi Planificate.</w:t>
      </w:r>
    </w:p>
    <w:p w14:paraId="6B9FED9F" w14:textId="77777777" w:rsidR="00877DA5" w:rsidRPr="003832F2" w:rsidRDefault="00877DA5" w:rsidP="003832F2">
      <w:pPr>
        <w:pStyle w:val="headline1"/>
        <w:rPr>
          <w:rFonts w:asciiTheme="minorHAnsi" w:hAnsiTheme="minorHAnsi" w:cstheme="minorHAnsi"/>
        </w:rPr>
      </w:pPr>
      <w:bookmarkStart w:id="12" w:name="_Toc505249295"/>
      <w:bookmarkStart w:id="13" w:name="_Toc508617805"/>
      <w:r>
        <w:rPr>
          <w:rFonts w:asciiTheme="minorHAnsi" w:hAnsiTheme="minorHAnsi" w:cstheme="minorHAnsi"/>
          <w:bCs/>
          <w:lang w:val="ro"/>
        </w:rPr>
        <w:t>Articolul 2 - Definiții și interpretări</w:t>
      </w:r>
      <w:bookmarkEnd w:id="10"/>
      <w:bookmarkEnd w:id="11"/>
      <w:bookmarkEnd w:id="12"/>
      <w:bookmarkEnd w:id="13"/>
    </w:p>
    <w:p w14:paraId="716BE192" w14:textId="77777777" w:rsidR="00F75E34" w:rsidRPr="00370ACD" w:rsidRDefault="00F75E34" w:rsidP="00F66A58">
      <w:pPr>
        <w:pStyle w:val="ListParagraph"/>
        <w:numPr>
          <w:ilvl w:val="0"/>
          <w:numId w:val="13"/>
        </w:numPr>
        <w:spacing w:before="100" w:beforeAutospacing="1" w:after="100" w:afterAutospacing="1" w:line="276" w:lineRule="auto"/>
        <w:rPr>
          <w:rFonts w:cstheme="minorHAnsi"/>
          <w:color w:val="000000" w:themeColor="text1"/>
        </w:rPr>
      </w:pPr>
      <w:r>
        <w:rPr>
          <w:color w:val="000000" w:themeColor="text1"/>
          <w:lang w:val="ro"/>
        </w:rPr>
        <w:t>În sensul prezentei Propuneri ID SEC, termenii utilizați au semnificația definițiilor incluse la articolul 2 din Regulamentul CACM</w:t>
      </w:r>
      <w:r>
        <w:rPr>
          <w:rFonts w:ascii="Calibri" w:hAnsi="Calibri"/>
          <w:lang w:val="ro"/>
        </w:rPr>
        <w:t xml:space="preserve">, </w:t>
      </w:r>
      <w:r>
        <w:rPr>
          <w:color w:val="000000" w:themeColor="text1"/>
          <w:lang w:val="ro"/>
        </w:rPr>
        <w:t>Regulamentele (UE) 543/2013 și (UE) 1227/2011 ale Comisiei, precum și</w:t>
      </w:r>
      <w:r>
        <w:rPr>
          <w:lang w:val="ro"/>
        </w:rPr>
        <w:t xml:space="preserve"> articolul 3 din Regulamentul (UE) 2017/1485 al Comisiei</w:t>
      </w:r>
      <w:r>
        <w:rPr>
          <w:color w:val="000000" w:themeColor="text1"/>
          <w:lang w:val="ro"/>
        </w:rPr>
        <w:t>. În plus, se aplică următoarele definiții:</w:t>
      </w:r>
    </w:p>
    <w:p w14:paraId="52B9A522" w14:textId="77777777" w:rsidR="00F75E34" w:rsidRPr="00370ACD" w:rsidRDefault="00F75E34" w:rsidP="00E210F0">
      <w:pPr>
        <w:pStyle w:val="ListParagraph"/>
        <w:spacing w:before="100" w:beforeAutospacing="1" w:after="100" w:afterAutospacing="1" w:line="276" w:lineRule="auto"/>
        <w:ind w:left="360"/>
        <w:rPr>
          <w:rFonts w:cstheme="minorHAnsi"/>
          <w:color w:val="000000" w:themeColor="text1"/>
        </w:rPr>
      </w:pPr>
    </w:p>
    <w:p w14:paraId="3700F660" w14:textId="77777777" w:rsidR="00076B2D" w:rsidRPr="00C7439A" w:rsidRDefault="00076B2D" w:rsidP="00F66A58">
      <w:pPr>
        <w:pStyle w:val="ListParagraph"/>
        <w:numPr>
          <w:ilvl w:val="0"/>
          <w:numId w:val="10"/>
        </w:numPr>
        <w:spacing w:before="100" w:beforeAutospacing="1" w:after="100" w:afterAutospacing="1" w:line="276" w:lineRule="auto"/>
        <w:rPr>
          <w:rFonts w:cstheme="minorHAnsi"/>
          <w:color w:val="000000" w:themeColor="text1"/>
        </w:rPr>
      </w:pPr>
      <w:r>
        <w:rPr>
          <w:rFonts w:cstheme="minorHAnsi"/>
          <w:color w:val="000000" w:themeColor="text1"/>
          <w:lang w:val="ro"/>
        </w:rPr>
        <w:t>„Punct Central de Tranzacționare al OPEED” are semnificația conform definiției din termenele și condițiile sau metodologiile în conformitate cu articolul 37 și articolul 45 din Regulamentul CACM; și</w:t>
      </w:r>
    </w:p>
    <w:p w14:paraId="3AF87F5E" w14:textId="0547DA61" w:rsidR="00076B2D" w:rsidRPr="00AC0DFD" w:rsidRDefault="00076B2D" w:rsidP="00F66A58">
      <w:pPr>
        <w:pStyle w:val="ListParagraph"/>
        <w:numPr>
          <w:ilvl w:val="0"/>
          <w:numId w:val="10"/>
        </w:numPr>
      </w:pPr>
      <w:r>
        <w:rPr>
          <w:rFonts w:cstheme="minorHAnsi"/>
          <w:color w:val="000000" w:themeColor="text1"/>
          <w:lang w:val="ro"/>
        </w:rPr>
        <w:t>„Flux Planificat” are semnificația conform definiției din termenele și condițiile sau metodologiile în conformitate cu articolul 37 din Regulamentul CACM elaborat de toate OPEED-urile.</w:t>
      </w:r>
    </w:p>
    <w:p w14:paraId="6A3AFF5B" w14:textId="77777777" w:rsidR="005C03A6" w:rsidRPr="001A0A9B" w:rsidRDefault="005C03A6" w:rsidP="00443C1F">
      <w:pPr>
        <w:pStyle w:val="ListParagraph"/>
        <w:spacing w:before="100" w:beforeAutospacing="1" w:after="100" w:afterAutospacing="1" w:line="276" w:lineRule="auto"/>
        <w:rPr>
          <w:rFonts w:cstheme="minorHAnsi"/>
          <w:color w:val="000000" w:themeColor="text1"/>
        </w:rPr>
      </w:pPr>
    </w:p>
    <w:p w14:paraId="74632776" w14:textId="21E0A68F" w:rsidR="00D22908" w:rsidRPr="00370ACD" w:rsidRDefault="00D22908" w:rsidP="00F66A58">
      <w:pPr>
        <w:pStyle w:val="ListParagraph"/>
        <w:numPr>
          <w:ilvl w:val="0"/>
          <w:numId w:val="13"/>
        </w:numPr>
        <w:spacing w:before="100" w:beforeAutospacing="1" w:after="100" w:afterAutospacing="1" w:line="276" w:lineRule="auto"/>
        <w:ind w:left="426" w:hanging="426"/>
        <w:rPr>
          <w:rFonts w:cstheme="minorHAnsi"/>
          <w:color w:val="000000" w:themeColor="text1"/>
        </w:rPr>
      </w:pPr>
      <w:r>
        <w:rPr>
          <w:lang w:val="ro"/>
        </w:rPr>
        <w:t xml:space="preserve">Termenul „Schimb Planificat” este definit la </w:t>
      </w:r>
      <w:r>
        <w:rPr>
          <w:color w:val="000000" w:themeColor="text1"/>
          <w:lang w:val="ro"/>
        </w:rPr>
        <w:t>articolul 2 din Regulamentul CACM. În scopul Propunerii ID SEC, termenul „arie geografică” înseamnă atât aria de planificare cât și zona de ofertare. Este confirmat faptul că un Punct Central de Tranzacționare al OPEED nu reprezintă o zonă geografică și astfel Schimburile Planificate nu privesc Punctele Centrale de Tranzacționare ale OPEED. Noțiunea de „Punct Central de Tranzacționare al OPEED” este necesară pentru a asigura funcționarea adecvată a proceselor de post-cuplare a piețelor în regimurile de decontare de pe piețele pe care operează OPEED-uri multiple într-o zonă de ofertare sau arie de planificare în conformitate cu cerințele stipulate la articolul 57 din Regulamentul CACM.</w:t>
      </w:r>
    </w:p>
    <w:p w14:paraId="1AEDDF2B" w14:textId="77777777" w:rsidR="003D5350" w:rsidRPr="00370ACD" w:rsidRDefault="003D5350" w:rsidP="003D5350">
      <w:pPr>
        <w:pStyle w:val="ListParagraph"/>
        <w:spacing w:before="100" w:beforeAutospacing="1" w:after="100" w:afterAutospacing="1" w:line="276" w:lineRule="auto"/>
        <w:ind w:left="426"/>
        <w:rPr>
          <w:rFonts w:cstheme="minorHAnsi"/>
          <w:color w:val="000000" w:themeColor="text1"/>
        </w:rPr>
      </w:pPr>
      <w:r>
        <w:rPr>
          <w:rFonts w:cstheme="minorHAnsi"/>
          <w:color w:val="000000" w:themeColor="text1"/>
          <w:lang w:val="ro"/>
        </w:rPr>
        <w:t xml:space="preserve"> </w:t>
      </w:r>
    </w:p>
    <w:p w14:paraId="32972D7E" w14:textId="77777777" w:rsidR="00F75E34" w:rsidRPr="00370ACD" w:rsidRDefault="00F75E34" w:rsidP="00F66A58">
      <w:pPr>
        <w:pStyle w:val="ListParagraph"/>
        <w:numPr>
          <w:ilvl w:val="0"/>
          <w:numId w:val="13"/>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În cadrul prezentei Propuneri ID SEC, cu excepția cazului în care se impune diferit în context: </w:t>
      </w:r>
    </w:p>
    <w:p w14:paraId="6CB90F71" w14:textId="5A2AB15A" w:rsidR="009667D6" w:rsidRPr="000C7840" w:rsidRDefault="00E32C33" w:rsidP="00F66A58">
      <w:pPr>
        <w:pStyle w:val="ListParagraph"/>
        <w:numPr>
          <w:ilvl w:val="0"/>
          <w:numId w:val="14"/>
        </w:numPr>
        <w:spacing w:before="100" w:beforeAutospacing="1" w:after="100" w:afterAutospacing="1" w:line="276" w:lineRule="auto"/>
        <w:rPr>
          <w:rFonts w:cstheme="minorHAnsi"/>
          <w:color w:val="000000" w:themeColor="text1"/>
        </w:rPr>
      </w:pPr>
      <w:r>
        <w:rPr>
          <w:rFonts w:cstheme="minorHAnsi"/>
          <w:color w:val="000000" w:themeColor="text1"/>
          <w:lang w:val="ro"/>
        </w:rPr>
        <w:t>termenii utilizați se aplică în contextul SIDC</w:t>
      </w:r>
    </w:p>
    <w:p w14:paraId="129245A2" w14:textId="77777777" w:rsidR="009667D6" w:rsidRPr="009667D6" w:rsidRDefault="00F75E34" w:rsidP="00F66A58">
      <w:pPr>
        <w:pStyle w:val="ListParagraph"/>
        <w:numPr>
          <w:ilvl w:val="0"/>
          <w:numId w:val="14"/>
        </w:numPr>
        <w:spacing w:before="100" w:beforeAutospacing="1" w:after="100" w:afterAutospacing="1" w:line="276" w:lineRule="auto"/>
        <w:rPr>
          <w:rFonts w:cstheme="minorHAnsi"/>
          <w:color w:val="000000" w:themeColor="text1"/>
        </w:rPr>
      </w:pPr>
      <w:r>
        <w:rPr>
          <w:rFonts w:cstheme="minorHAnsi"/>
          <w:color w:val="000000" w:themeColor="text1"/>
          <w:lang w:val="ro"/>
        </w:rPr>
        <w:t>cuprinsul și anteturile sunt incluse doar în scopuri informative și nu vor afecta interpretarea prezentei metodologii; și</w:t>
      </w:r>
    </w:p>
    <w:p w14:paraId="10861AC4" w14:textId="77777777" w:rsidR="00F75E34" w:rsidRPr="009667D6" w:rsidRDefault="00F75E34" w:rsidP="00F66A58">
      <w:pPr>
        <w:pStyle w:val="ListParagraph"/>
        <w:numPr>
          <w:ilvl w:val="0"/>
          <w:numId w:val="14"/>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orice referințe la legislație, regulamente, directive, ordine, instrumente, coduri sau orice alte legiferări includ orice modificare, completare sau repromulgare în vigoare la momentul respectiv. </w:t>
      </w:r>
    </w:p>
    <w:p w14:paraId="03BD8C8D" w14:textId="77777777" w:rsidR="00C46743" w:rsidRPr="00370ACD" w:rsidRDefault="00C46743" w:rsidP="00730769">
      <w:pPr>
        <w:pStyle w:val="headline1"/>
        <w:rPr>
          <w:rFonts w:asciiTheme="minorHAnsi" w:hAnsiTheme="minorHAnsi" w:cstheme="minorHAnsi"/>
        </w:rPr>
      </w:pPr>
      <w:bookmarkStart w:id="14" w:name="_Toc456339232"/>
      <w:bookmarkStart w:id="15" w:name="_Toc505249296"/>
      <w:bookmarkStart w:id="16" w:name="_Toc508617806"/>
      <w:r>
        <w:rPr>
          <w:rFonts w:asciiTheme="minorHAnsi" w:hAnsiTheme="minorHAnsi" w:cstheme="minorHAnsi"/>
          <w:bCs/>
          <w:lang w:val="ro"/>
        </w:rPr>
        <w:t>Articolul 3 -</w:t>
      </w:r>
      <w:bookmarkEnd w:id="14"/>
      <w:r>
        <w:rPr>
          <w:rFonts w:asciiTheme="minorHAnsi" w:hAnsiTheme="minorHAnsi" w:cstheme="minorHAnsi"/>
          <w:bCs/>
          <w:lang w:val="ro"/>
        </w:rPr>
        <w:t xml:space="preserve"> </w:t>
      </w:r>
      <w:bookmarkStart w:id="17" w:name="_Toc456339233"/>
      <w:bookmarkStart w:id="18" w:name="_Toc453271823"/>
      <w:r>
        <w:rPr>
          <w:rFonts w:asciiTheme="minorHAnsi" w:hAnsiTheme="minorHAnsi" w:cstheme="minorHAnsi"/>
          <w:bCs/>
          <w:lang w:val="ro"/>
        </w:rPr>
        <w:t>Lista cu Informațiile Solicitate de la OPEED-urile Relevante</w:t>
      </w:r>
      <w:bookmarkEnd w:id="15"/>
      <w:bookmarkEnd w:id="16"/>
      <w:bookmarkEnd w:id="17"/>
      <w:bookmarkEnd w:id="18"/>
    </w:p>
    <w:p w14:paraId="19C5AB4E" w14:textId="77777777" w:rsidR="0025508C" w:rsidRPr="00DD786F" w:rsidRDefault="004F4146" w:rsidP="004F4146">
      <w:pPr>
        <w:pStyle w:val="ListParagraph"/>
        <w:numPr>
          <w:ilvl w:val="0"/>
          <w:numId w:val="31"/>
        </w:numPr>
        <w:spacing w:before="100" w:beforeAutospacing="1" w:after="100" w:afterAutospacing="1" w:line="276" w:lineRule="auto"/>
        <w:rPr>
          <w:rFonts w:cstheme="minorHAnsi"/>
          <w:color w:val="000000" w:themeColor="text1"/>
        </w:rPr>
      </w:pPr>
      <w:bookmarkStart w:id="19" w:name="_Toc453271824"/>
      <w:r>
        <w:rPr>
          <w:rFonts w:cstheme="minorHAnsi"/>
          <w:color w:val="000000" w:themeColor="text1"/>
          <w:lang w:val="ro"/>
        </w:rPr>
        <w:t xml:space="preserve">Toate OPEED-urile transmit următoarele informații care rezultă din algoritmul de cuplare a pieței unice </w:t>
      </w:r>
      <w:proofErr w:type="spellStart"/>
      <w:r>
        <w:rPr>
          <w:rFonts w:cstheme="minorHAnsi"/>
          <w:color w:val="000000" w:themeColor="text1"/>
          <w:lang w:val="ro"/>
        </w:rPr>
        <w:t>intrazilnice</w:t>
      </w:r>
      <w:proofErr w:type="spellEnd"/>
      <w:r>
        <w:rPr>
          <w:rFonts w:cstheme="minorHAnsi"/>
          <w:color w:val="000000" w:themeColor="text1"/>
          <w:lang w:val="ro"/>
        </w:rPr>
        <w:t xml:space="preserve"> către toate OTS-urile, pentru fiecare unitate de timp a pieței, pentru realizarea </w:t>
      </w:r>
      <w:r>
        <w:rPr>
          <w:rFonts w:cstheme="minorHAnsi"/>
          <w:lang w:val="ro"/>
        </w:rPr>
        <w:t>Calculului Schimburilor Planificate ID</w:t>
      </w:r>
      <w:r>
        <w:rPr>
          <w:rFonts w:cstheme="minorHAnsi"/>
          <w:color w:val="000000" w:themeColor="text1"/>
          <w:lang w:val="ro"/>
        </w:rPr>
        <w:t>:</w:t>
      </w:r>
      <w:bookmarkEnd w:id="19"/>
    </w:p>
    <w:p w14:paraId="4F499E03" w14:textId="2FD78D48" w:rsidR="00FC5AA8" w:rsidRDefault="0025508C" w:rsidP="00F66A58">
      <w:pPr>
        <w:pStyle w:val="ListParagraph"/>
        <w:numPr>
          <w:ilvl w:val="0"/>
          <w:numId w:val="8"/>
        </w:numPr>
        <w:spacing w:before="100" w:beforeAutospacing="1" w:after="100" w:afterAutospacing="1" w:line="276" w:lineRule="auto"/>
        <w:rPr>
          <w:rFonts w:cstheme="minorHAnsi"/>
          <w:color w:val="000000" w:themeColor="text1"/>
        </w:rPr>
      </w:pPr>
      <w:r>
        <w:rPr>
          <w:rFonts w:cstheme="minorHAnsi"/>
          <w:color w:val="000000" w:themeColor="text1"/>
          <w:lang w:val="ro"/>
        </w:rPr>
        <w:t>Capacitățile alocate sub forma Fluxurilor Planificate între zonele de ofertare; și</w:t>
      </w:r>
    </w:p>
    <w:p w14:paraId="7B53E10A" w14:textId="3E035DF8" w:rsidR="00AC67DF" w:rsidRDefault="00AC67DF" w:rsidP="00F66A58">
      <w:pPr>
        <w:pStyle w:val="ListParagraph"/>
        <w:numPr>
          <w:ilvl w:val="0"/>
          <w:numId w:val="8"/>
        </w:numPr>
        <w:spacing w:before="100" w:beforeAutospacing="1" w:after="100" w:afterAutospacing="1" w:line="276" w:lineRule="auto"/>
        <w:rPr>
          <w:rFonts w:cstheme="minorHAnsi"/>
          <w:color w:val="000000" w:themeColor="text1"/>
        </w:rPr>
      </w:pPr>
      <w:r>
        <w:rPr>
          <w:rFonts w:cstheme="minorHAnsi"/>
          <w:color w:val="000000" w:themeColor="text1"/>
          <w:lang w:val="ro"/>
        </w:rPr>
        <w:t>Capacitățile alocate sub forma Fluxurilor Planificate între ariile de planificare</w:t>
      </w:r>
    </w:p>
    <w:p w14:paraId="0F750345" w14:textId="2B43FED8" w:rsidR="002161A7" w:rsidRPr="007665ED" w:rsidRDefault="00EF7EA0" w:rsidP="007665ED">
      <w:pPr>
        <w:pStyle w:val="headline1"/>
        <w:rPr>
          <w:rFonts w:asciiTheme="minorHAnsi" w:hAnsiTheme="minorHAnsi" w:cstheme="minorHAnsi"/>
        </w:rPr>
      </w:pPr>
      <w:bookmarkStart w:id="20" w:name="_Toc505249297"/>
      <w:bookmarkStart w:id="21" w:name="_Toc508617807"/>
      <w:bookmarkStart w:id="22" w:name="_Toc432586772"/>
      <w:bookmarkStart w:id="23" w:name="_Toc432586792"/>
      <w:r>
        <w:rPr>
          <w:rFonts w:asciiTheme="minorHAnsi" w:hAnsiTheme="minorHAnsi" w:cstheme="minorHAnsi"/>
          <w:bCs/>
          <w:lang w:val="ro"/>
        </w:rPr>
        <w:t>Articolul 4 - Calculul Schimburilor Planificate între zonele de ofertare și ariile de planificare</w:t>
      </w:r>
      <w:bookmarkEnd w:id="20"/>
      <w:bookmarkEnd w:id="21"/>
    </w:p>
    <w:bookmarkEnd w:id="22"/>
    <w:bookmarkEnd w:id="23"/>
    <w:p w14:paraId="170B2D75" w14:textId="02886841" w:rsidR="0025508C" w:rsidRDefault="001A76C5" w:rsidP="00F66A58">
      <w:pPr>
        <w:pStyle w:val="ListParagraph"/>
        <w:numPr>
          <w:ilvl w:val="0"/>
          <w:numId w:val="17"/>
        </w:numPr>
        <w:spacing w:before="100" w:beforeAutospacing="1" w:after="100" w:afterAutospacing="1" w:line="276" w:lineRule="auto"/>
        <w:rPr>
          <w:rFonts w:cstheme="minorHAnsi"/>
          <w:iCs/>
          <w:color w:val="000000" w:themeColor="text1"/>
        </w:rPr>
      </w:pPr>
      <w:r>
        <w:rPr>
          <w:rFonts w:cstheme="minorHAnsi"/>
          <w:color w:val="000000" w:themeColor="text1"/>
          <w:lang w:val="ro"/>
        </w:rPr>
        <w:t xml:space="preserve">Fluxurile Planificate se calculează prin algoritmul de cuplare </w:t>
      </w:r>
      <w:proofErr w:type="spellStart"/>
      <w:r>
        <w:rPr>
          <w:rFonts w:cstheme="minorHAnsi"/>
          <w:color w:val="000000" w:themeColor="text1"/>
          <w:lang w:val="ro"/>
        </w:rPr>
        <w:t>intrazilnică</w:t>
      </w:r>
      <w:proofErr w:type="spellEnd"/>
      <w:r>
        <w:rPr>
          <w:rFonts w:cstheme="minorHAnsi"/>
          <w:color w:val="000000" w:themeColor="text1"/>
          <w:lang w:val="ro"/>
        </w:rPr>
        <w:t xml:space="preserve"> din capacitățile alocate între zonele de ofertare și ariile de planificare.</w:t>
      </w:r>
    </w:p>
    <w:p w14:paraId="22DBAE9B" w14:textId="77777777" w:rsidR="0025508C" w:rsidRDefault="0025508C" w:rsidP="0025508C">
      <w:pPr>
        <w:pStyle w:val="ListParagraph"/>
        <w:spacing w:before="100" w:beforeAutospacing="1" w:after="100" w:afterAutospacing="1" w:line="276" w:lineRule="auto"/>
        <w:ind w:left="360"/>
        <w:rPr>
          <w:rFonts w:cstheme="minorHAnsi"/>
          <w:iCs/>
          <w:color w:val="000000" w:themeColor="text1"/>
        </w:rPr>
      </w:pPr>
    </w:p>
    <w:p w14:paraId="60C646A0" w14:textId="0B319E65" w:rsidR="0025508C" w:rsidRDefault="0025508C" w:rsidP="0025508C">
      <w:pPr>
        <w:pStyle w:val="ListParagraph"/>
        <w:numPr>
          <w:ilvl w:val="0"/>
          <w:numId w:val="17"/>
        </w:numPr>
        <w:rPr>
          <w:rFonts w:cstheme="minorHAnsi"/>
          <w:iCs/>
          <w:color w:val="000000" w:themeColor="text1"/>
        </w:rPr>
      </w:pPr>
      <w:r>
        <w:rPr>
          <w:rFonts w:cstheme="minorHAnsi"/>
          <w:color w:val="000000" w:themeColor="text1"/>
          <w:lang w:val="ro"/>
        </w:rPr>
        <w:t>OTS-urile utilizează capacitățile alocate sub forma Fluxurilor Planificate primite de la OPEED-urile relevante, așa cum se prevede la articolul 3 din prezenta Metodologie ID SEC, și calculate în conformitate cu articolul 37 din Regulamentul CACM. Tranzacțiile finalizate în SIDC se agregă pentru datele de ieșire detaliate la nivelul solicitat al Schimburilor Planificate în conformitate cu articolul 3 din prezenta Metodologie ID SEC, adică Fluxurile Planificate între zonele de ofertare și între ariile de planificare.</w:t>
      </w:r>
    </w:p>
    <w:p w14:paraId="31904B8E" w14:textId="77777777" w:rsidR="0025508C" w:rsidRPr="0025508C" w:rsidRDefault="0025508C" w:rsidP="0025508C">
      <w:pPr>
        <w:pStyle w:val="ListParagraph"/>
        <w:rPr>
          <w:rFonts w:cstheme="minorHAnsi"/>
          <w:iCs/>
          <w:color w:val="000000" w:themeColor="text1"/>
        </w:rPr>
      </w:pPr>
    </w:p>
    <w:p w14:paraId="07AF61DA" w14:textId="77777777" w:rsidR="00391071" w:rsidRDefault="0025508C" w:rsidP="001E3E0B">
      <w:pPr>
        <w:pStyle w:val="ListParagraph"/>
        <w:numPr>
          <w:ilvl w:val="0"/>
          <w:numId w:val="17"/>
        </w:numPr>
        <w:rPr>
          <w:rFonts w:cstheme="minorHAnsi"/>
          <w:iCs/>
          <w:color w:val="000000" w:themeColor="text1"/>
        </w:rPr>
      </w:pPr>
      <w:r>
        <w:rPr>
          <w:rFonts w:cstheme="minorHAnsi"/>
          <w:color w:val="000000" w:themeColor="text1"/>
          <w:lang w:val="ro"/>
        </w:rPr>
        <w:t xml:space="preserve">Aceste Fluxuri Planificate se validează de către OTS-uri și sunt utilizate drept Schimburi Planificate care rezultă din SIDC pentru acea unitate de timp a pieței. </w:t>
      </w:r>
    </w:p>
    <w:p w14:paraId="5C353D23" w14:textId="4B0E780D" w:rsidR="003832F2" w:rsidRPr="00806505" w:rsidRDefault="00455A91" w:rsidP="00E9286A">
      <w:pPr>
        <w:pStyle w:val="headline1"/>
        <w:rPr>
          <w:rFonts w:asciiTheme="minorHAnsi" w:hAnsiTheme="minorHAnsi" w:cstheme="minorHAnsi"/>
        </w:rPr>
      </w:pPr>
      <w:bookmarkStart w:id="24" w:name="_Toc432586805"/>
      <w:bookmarkStart w:id="25" w:name="_Toc432586785"/>
      <w:bookmarkStart w:id="26" w:name="_Toc426468206"/>
      <w:bookmarkStart w:id="27" w:name="_Toc422749331"/>
      <w:bookmarkStart w:id="28" w:name="_Toc422742328"/>
      <w:bookmarkStart w:id="29" w:name="_Toc422337372"/>
      <w:bookmarkStart w:id="30" w:name="_Toc505249298"/>
      <w:bookmarkStart w:id="31" w:name="_Toc508617808"/>
      <w:bookmarkStart w:id="32" w:name="_Toc413748339"/>
      <w:r>
        <w:rPr>
          <w:rFonts w:asciiTheme="minorHAnsi" w:hAnsiTheme="minorHAnsi" w:cstheme="minorHAnsi"/>
          <w:bCs/>
          <w:lang w:val="ro"/>
        </w:rPr>
        <w:lastRenderedPageBreak/>
        <w:t xml:space="preserve">Articolul </w:t>
      </w:r>
      <w:bookmarkEnd w:id="24"/>
      <w:bookmarkEnd w:id="25"/>
      <w:bookmarkEnd w:id="26"/>
      <w:bookmarkEnd w:id="27"/>
      <w:bookmarkEnd w:id="28"/>
      <w:bookmarkEnd w:id="29"/>
      <w:r>
        <w:rPr>
          <w:rFonts w:asciiTheme="minorHAnsi" w:hAnsiTheme="minorHAnsi" w:cstheme="minorHAnsi"/>
          <w:bCs/>
          <w:lang w:val="ro"/>
        </w:rPr>
        <w:t>5 - Implementarea Propunerii ID SEC</w:t>
      </w:r>
      <w:bookmarkEnd w:id="30"/>
      <w:bookmarkEnd w:id="31"/>
    </w:p>
    <w:p w14:paraId="017745E7" w14:textId="77777777" w:rsidR="00FC5AA8" w:rsidRDefault="00FC5AA8" w:rsidP="000445E6">
      <w:pPr>
        <w:pStyle w:val="ListParagraph"/>
        <w:spacing w:after="0" w:line="276" w:lineRule="auto"/>
        <w:ind w:left="0"/>
        <w:rPr>
          <w:rFonts w:cs="Arial"/>
        </w:rPr>
      </w:pPr>
    </w:p>
    <w:p w14:paraId="57C16EC1" w14:textId="77777777" w:rsidR="004F4146" w:rsidRPr="004F4146" w:rsidRDefault="004F4146" w:rsidP="004F4146">
      <w:pPr>
        <w:pStyle w:val="ListParagraph"/>
        <w:numPr>
          <w:ilvl w:val="0"/>
          <w:numId w:val="29"/>
        </w:numPr>
        <w:spacing w:before="100" w:beforeAutospacing="1" w:after="100" w:afterAutospacing="1" w:line="276" w:lineRule="auto"/>
        <w:rPr>
          <w:rFonts w:cstheme="minorHAnsi"/>
          <w:iCs/>
          <w:color w:val="000000" w:themeColor="text1"/>
        </w:rPr>
      </w:pPr>
      <w:r>
        <w:rPr>
          <w:lang w:val="ro"/>
        </w:rPr>
        <w:t xml:space="preserve">OTS-urile implementează </w:t>
      </w:r>
      <w:r>
        <w:rPr>
          <w:color w:val="000000" w:themeColor="text1"/>
          <w:lang w:val="ro"/>
        </w:rPr>
        <w:t xml:space="preserve">Propunerea ID SEC atunci când </w:t>
      </w:r>
      <w:r>
        <w:rPr>
          <w:lang w:val="ro"/>
        </w:rPr>
        <w:t xml:space="preserve">la fiecare zonă de ofertare și la granițele acesteia se implementează funcția de operator de cuplare a piețelor </w:t>
      </w:r>
      <w:proofErr w:type="spellStart"/>
      <w:r>
        <w:rPr>
          <w:lang w:val="ro"/>
        </w:rPr>
        <w:t>intrazilnice</w:t>
      </w:r>
      <w:proofErr w:type="spellEnd"/>
      <w:r>
        <w:rPr>
          <w:lang w:val="ro"/>
        </w:rPr>
        <w:t>, elaborată în conformitate cu articolul 7 (3) din Regulamentul CACM și, acolo unde este relevant, acordurile cu privire la OPEED-uri multiple în conformitate cu articolul 57 din Regulamentul CACM.</w:t>
      </w:r>
    </w:p>
    <w:p w14:paraId="32C2D907" w14:textId="3240D3C5" w:rsidR="00B90FA6" w:rsidRPr="00370ACD" w:rsidRDefault="00442D45" w:rsidP="00E9286A">
      <w:pPr>
        <w:pStyle w:val="headline1"/>
        <w:rPr>
          <w:rFonts w:asciiTheme="minorHAnsi" w:hAnsiTheme="minorHAnsi" w:cstheme="minorHAnsi"/>
        </w:rPr>
      </w:pPr>
      <w:bookmarkStart w:id="33" w:name="_Toc505249299"/>
      <w:bookmarkStart w:id="34" w:name="_Toc432586806"/>
      <w:bookmarkStart w:id="35" w:name="_Toc432586786"/>
      <w:bookmarkStart w:id="36" w:name="_Toc508617809"/>
      <w:r>
        <w:rPr>
          <w:rFonts w:asciiTheme="minorHAnsi" w:hAnsiTheme="minorHAnsi" w:cstheme="minorHAnsi"/>
          <w:bCs/>
          <w:lang w:val="ro"/>
        </w:rPr>
        <w:t>Articolul 6 - Limba</w:t>
      </w:r>
      <w:bookmarkEnd w:id="33"/>
      <w:bookmarkEnd w:id="34"/>
      <w:bookmarkEnd w:id="35"/>
      <w:bookmarkEnd w:id="36"/>
    </w:p>
    <w:p w14:paraId="780CAA98" w14:textId="77777777" w:rsidR="004F4146" w:rsidRDefault="004F4146" w:rsidP="004F4146">
      <w:pPr>
        <w:pStyle w:val="ListParagraph"/>
        <w:spacing w:after="0" w:line="276" w:lineRule="auto"/>
        <w:ind w:left="0"/>
        <w:rPr>
          <w:rFonts w:cs="Arial"/>
        </w:rPr>
      </w:pPr>
    </w:p>
    <w:p w14:paraId="18F98D3F" w14:textId="50438E1A" w:rsidR="004F4146" w:rsidRPr="004F4146" w:rsidRDefault="004F4146" w:rsidP="004F4146">
      <w:pPr>
        <w:pStyle w:val="ListParagraph"/>
        <w:numPr>
          <w:ilvl w:val="0"/>
          <w:numId w:val="30"/>
        </w:numPr>
        <w:spacing w:before="100" w:beforeAutospacing="1" w:after="100" w:afterAutospacing="1" w:line="276" w:lineRule="auto"/>
        <w:rPr>
          <w:rFonts w:cstheme="minorHAnsi"/>
          <w:iCs/>
          <w:color w:val="000000" w:themeColor="text1"/>
        </w:rPr>
      </w:pPr>
      <w:r>
        <w:rPr>
          <w:rFonts w:cstheme="minorHAnsi"/>
          <w:color w:val="000000" w:themeColor="text1"/>
          <w:lang w:val="ro"/>
        </w:rPr>
        <w:t>Limba de referință pentru prezenta Propunere ID SEC este limba engleză. Pentru a evita orice interpretare, în cazul în care OTS-urile au nevoie să traducă prezenta Propunere ID SEC în limba/limbile lor naționale, în eventualitatea unor neconcordanțe între versiunea în limba engleză publicată de către OTS-uri conform articolului 9 (14) din Regulamentul CACM și orice versiune în altă limbă, OTS-urile relevante sunt obligate să elimine orice neconcordanțe prin furnizarea unei traduceri revizuite a prezentei Propuneri ID SEC către autoritățile naționale de reglementare relevante.</w:t>
      </w:r>
      <w:bookmarkEnd w:id="0"/>
      <w:bookmarkEnd w:id="32"/>
    </w:p>
    <w:sectPr w:rsidR="004F4146" w:rsidRPr="004F4146" w:rsidSect="008E6BAB">
      <w:headerReference w:type="default" r:id="rId11"/>
      <w:footerReference w:type="default" r:id="rId12"/>
      <w:headerReference w:type="first" r:id="rId13"/>
      <w:footerReference w:type="first" r:id="rId14"/>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9AE4A" w14:textId="77777777" w:rsidR="00847C71" w:rsidRDefault="00847C71" w:rsidP="00B04144">
      <w:r>
        <w:separator/>
      </w:r>
    </w:p>
  </w:endnote>
  <w:endnote w:type="continuationSeparator" w:id="0">
    <w:p w14:paraId="14D90D6E" w14:textId="77777777" w:rsidR="00847C71" w:rsidRDefault="00847C71" w:rsidP="00B04144">
      <w:r>
        <w:continuationSeparator/>
      </w:r>
    </w:p>
  </w:endnote>
  <w:endnote w:type="continuationNotice" w:id="1">
    <w:p w14:paraId="1C39C565" w14:textId="77777777" w:rsidR="00847C71" w:rsidRDefault="00847C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1E3E0B" w:rsidRPr="00700B3B" w14:paraId="5419BAA7" w14:textId="77777777" w:rsidTr="003D0965">
      <w:trPr>
        <w:trHeight w:hRule="exact" w:val="284"/>
      </w:trPr>
      <w:tc>
        <w:tcPr>
          <w:tcW w:w="9923" w:type="dxa"/>
          <w:vAlign w:val="center"/>
        </w:tcPr>
        <w:p w14:paraId="66E4017B" w14:textId="77777777" w:rsidR="001E3E0B" w:rsidRPr="003D0965" w:rsidRDefault="001E3E0B" w:rsidP="00CD009F">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w:t>
          </w:r>
          <w:proofErr w:type="spellStart"/>
          <w:r>
            <w:rPr>
              <w:rFonts w:asciiTheme="majorHAnsi" w:hAnsiTheme="majorHAnsi" w:cstheme="majorHAnsi"/>
              <w:sz w:val="14"/>
              <w:szCs w:val="14"/>
              <w:lang w:val="ro"/>
            </w:rPr>
            <w:t>Avenue</w:t>
          </w:r>
          <w:proofErr w:type="spellEnd"/>
          <w:r>
            <w:rPr>
              <w:rFonts w:asciiTheme="majorHAnsi" w:hAnsiTheme="majorHAnsi" w:cstheme="majorHAnsi"/>
              <w:sz w:val="14"/>
              <w:szCs w:val="14"/>
              <w:lang w:val="ro"/>
            </w:rPr>
            <w:t xml:space="preserve"> de </w:t>
          </w:r>
          <w:proofErr w:type="spellStart"/>
          <w:r>
            <w:rPr>
              <w:rFonts w:asciiTheme="majorHAnsi" w:hAnsiTheme="majorHAnsi" w:cstheme="majorHAnsi"/>
              <w:sz w:val="14"/>
              <w:szCs w:val="14"/>
              <w:lang w:val="ro"/>
            </w:rPr>
            <w:t>Cortenbergh</w:t>
          </w:r>
          <w:proofErr w:type="spellEnd"/>
          <w:r>
            <w:rPr>
              <w:rFonts w:asciiTheme="majorHAnsi" w:hAnsiTheme="majorHAnsi" w:cstheme="majorHAnsi"/>
              <w:sz w:val="14"/>
              <w:szCs w:val="14"/>
              <w:lang w:val="ro"/>
            </w:rPr>
            <w:t xml:space="preserve"> 100 • 1000 Bruxelles • Belgia • Tel + 32 2 741 09 50 • Fax + 32 2 741 09 51 • info@entsoe.eu • www. entsoe.eu</w:t>
          </w:r>
        </w:p>
      </w:tc>
    </w:tr>
  </w:tbl>
  <w:tbl>
    <w:tblPr>
      <w:tblStyle w:val="TableGrid"/>
      <w:tblpPr w:leftFromText="142" w:rightFromText="142" w:vertAnchor="page" w:horzAnchor="margin" w:tblpXSpec="right"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1E3E0B" w14:paraId="63B61640" w14:textId="77777777" w:rsidTr="006E5DF6">
      <w:trPr>
        <w:trHeight w:hRule="exact" w:val="284"/>
      </w:trPr>
      <w:tc>
        <w:tcPr>
          <w:tcW w:w="624" w:type="dxa"/>
        </w:tcPr>
        <w:p w14:paraId="7A1A72E1" w14:textId="3C9A984C" w:rsidR="001E3E0B" w:rsidRDefault="001E3E0B" w:rsidP="00B0464F">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2</w:t>
          </w:r>
          <w:r>
            <w:rPr>
              <w:noProof/>
              <w:lang w:val="ro"/>
            </w:rPr>
            <w:fldChar w:fldCharType="end"/>
          </w:r>
        </w:p>
      </w:tc>
    </w:tr>
  </w:tbl>
  <w:p w14:paraId="5B808079" w14:textId="77777777" w:rsidR="001E3E0B" w:rsidRPr="003D0965" w:rsidRDefault="001E3E0B" w:rsidP="003D0965">
    <w:pPr>
      <w:pStyle w:val="Footer"/>
    </w:pPr>
    <w:r>
      <w:rPr>
        <w:noProof/>
        <w:lang w:val="ro"/>
      </w:rPr>
      <w:drawing>
        <wp:anchor distT="0" distB="0" distL="114300" distR="114300" simplePos="0" relativeHeight="251660288" behindDoc="1" locked="1" layoutInCell="1" allowOverlap="1" wp14:anchorId="28BBAC10" wp14:editId="42C4B163">
          <wp:simplePos x="0" y="0"/>
          <wp:positionH relativeFrom="page">
            <wp:posOffset>0</wp:posOffset>
          </wp:positionH>
          <wp:positionV relativeFrom="page">
            <wp:posOffset>9725025</wp:posOffset>
          </wp:positionV>
          <wp:extent cx="7000875" cy="426085"/>
          <wp:effectExtent l="0" t="0" r="9525" b="0"/>
          <wp:wrapNone/>
          <wp:docPr id="1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000875" cy="426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1E3E0B" w:rsidRPr="00700B3B" w14:paraId="3E16B1DE" w14:textId="77777777" w:rsidTr="003D0965">
      <w:trPr>
        <w:trHeight w:hRule="exact" w:val="284"/>
      </w:trPr>
      <w:tc>
        <w:tcPr>
          <w:tcW w:w="9923" w:type="dxa"/>
          <w:vAlign w:val="center"/>
        </w:tcPr>
        <w:p w14:paraId="104EE793" w14:textId="77777777" w:rsidR="001E3E0B" w:rsidRPr="00A10F07" w:rsidRDefault="001E3E0B" w:rsidP="003D0965">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w:t>
          </w:r>
          <w:proofErr w:type="spellStart"/>
          <w:r>
            <w:rPr>
              <w:rFonts w:asciiTheme="majorHAnsi" w:hAnsiTheme="majorHAnsi" w:cstheme="majorHAnsi"/>
              <w:sz w:val="14"/>
              <w:szCs w:val="14"/>
              <w:lang w:val="ro"/>
            </w:rPr>
            <w:t>Avenue</w:t>
          </w:r>
          <w:proofErr w:type="spellEnd"/>
          <w:r>
            <w:rPr>
              <w:rFonts w:asciiTheme="majorHAnsi" w:hAnsiTheme="majorHAnsi" w:cstheme="majorHAnsi"/>
              <w:sz w:val="14"/>
              <w:szCs w:val="14"/>
              <w:lang w:val="ro"/>
            </w:rPr>
            <w:t xml:space="preserve"> de </w:t>
          </w:r>
          <w:proofErr w:type="spellStart"/>
          <w:r>
            <w:rPr>
              <w:rFonts w:asciiTheme="majorHAnsi" w:hAnsiTheme="majorHAnsi" w:cstheme="majorHAnsi"/>
              <w:sz w:val="14"/>
              <w:szCs w:val="14"/>
              <w:lang w:val="ro"/>
            </w:rPr>
            <w:t>Cortenbergh</w:t>
          </w:r>
          <w:proofErr w:type="spellEnd"/>
          <w:r>
            <w:rPr>
              <w:rFonts w:asciiTheme="majorHAnsi" w:hAnsiTheme="majorHAnsi" w:cstheme="majorHAnsi"/>
              <w:sz w:val="14"/>
              <w:szCs w:val="14"/>
              <w:lang w:val="ro"/>
            </w:rPr>
            <w:t xml:space="preserve"> 100 • 1000 Bruxelles • Belgia • Tel + 32 2 741 09 50 • Fax + 32 2 741 09 51 • info@entsoe.eu • www. entsoe.eu</w:t>
          </w:r>
        </w:p>
      </w:tc>
    </w:tr>
  </w:tbl>
  <w:p w14:paraId="07B265B9" w14:textId="77777777" w:rsidR="001E3E0B" w:rsidRDefault="001E3E0B">
    <w:pPr>
      <w:pStyle w:val="Footer"/>
    </w:pPr>
    <w:r>
      <w:rPr>
        <w:noProof/>
        <w:lang w:val="ro"/>
      </w:rPr>
      <mc:AlternateContent>
        <mc:Choice Requires="wps">
          <w:drawing>
            <wp:anchor distT="0" distB="0" distL="114300" distR="114300" simplePos="0" relativeHeight="251664384" behindDoc="1" locked="0" layoutInCell="1" allowOverlap="1" wp14:anchorId="116D7216" wp14:editId="2EBE717D">
              <wp:simplePos x="0" y="0"/>
              <wp:positionH relativeFrom="column">
                <wp:posOffset>-864235</wp:posOffset>
              </wp:positionH>
              <wp:positionV relativeFrom="paragraph">
                <wp:posOffset>-298450</wp:posOffset>
              </wp:positionV>
              <wp:extent cx="6991350" cy="638175"/>
              <wp:effectExtent l="0" t="0" r="0"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135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5AD75" id="Rectangle 6" o:spid="_x0000_s1026" style="position:absolute;margin-left:-68.05pt;margin-top:-23.5pt;width:550.5pt;height:50.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GE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WV0X51O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" fillcolor="white [3212]" stroked="f" strokecolor="#7f5a9b [3206]"/>
          </w:pict>
        </mc:Fallback>
      </mc:AlternateContent>
    </w:r>
    <w:r>
      <w:rPr>
        <w:noProof/>
        <w:lang w:val="ro"/>
      </w:rPr>
      <mc:AlternateContent>
        <mc:Choice Requires="wps">
          <w:drawing>
            <wp:anchor distT="0" distB="0" distL="114300" distR="114300" simplePos="0" relativeHeight="251662336" behindDoc="1" locked="1" layoutInCell="1" allowOverlap="1" wp14:anchorId="5B14846D" wp14:editId="3D293665">
              <wp:simplePos x="0" y="0"/>
              <wp:positionH relativeFrom="page">
                <wp:posOffset>0</wp:posOffset>
              </wp:positionH>
              <wp:positionV relativeFrom="page">
                <wp:posOffset>6642735</wp:posOffset>
              </wp:positionV>
              <wp:extent cx="7578090" cy="3834130"/>
              <wp:effectExtent l="0" t="0" r="381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49629" id="Rectangle 5" o:spid="_x0000_s1026" style="position:absolute;margin-left:0;margin-top:523.05pt;width:596.7pt;height:301.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ro"/>
      </w:rPr>
      <w:drawing>
        <wp:anchor distT="0" distB="0" distL="114300" distR="114300" simplePos="0" relativeHeight="251663360" behindDoc="1" locked="1" layoutInCell="1" allowOverlap="1" wp14:anchorId="711890A3" wp14:editId="5671B626">
          <wp:simplePos x="0" y="0"/>
          <wp:positionH relativeFrom="page">
            <wp:posOffset>0</wp:posOffset>
          </wp:positionH>
          <wp:positionV relativeFrom="page">
            <wp:posOffset>9725025</wp:posOffset>
          </wp:positionV>
          <wp:extent cx="6994525" cy="426085"/>
          <wp:effectExtent l="0" t="0" r="0" b="0"/>
          <wp:wrapNone/>
          <wp:docPr id="13"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6994525" cy="426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CA224" w14:textId="77777777" w:rsidR="00847C71" w:rsidRDefault="00847C71" w:rsidP="00B04144">
      <w:r>
        <w:separator/>
      </w:r>
    </w:p>
  </w:footnote>
  <w:footnote w:type="continuationSeparator" w:id="0">
    <w:p w14:paraId="35808E59" w14:textId="77777777" w:rsidR="00847C71" w:rsidRDefault="00847C71" w:rsidP="00B04144">
      <w:r>
        <w:continuationSeparator/>
      </w:r>
    </w:p>
  </w:footnote>
  <w:footnote w:type="continuationNotice" w:id="1">
    <w:p w14:paraId="32CFDF6B" w14:textId="77777777" w:rsidR="00847C71" w:rsidRDefault="00847C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3"/>
    </w:tblGrid>
    <w:tr w:rsidR="001E3E0B" w:rsidRPr="00696EBB" w14:paraId="1F2E18D6" w14:textId="77777777" w:rsidTr="009D64BC">
      <w:trPr>
        <w:trHeight w:hRule="exact" w:val="907"/>
      </w:trPr>
      <w:sdt>
        <w:sdtPr>
          <w:rPr>
            <w:sz w:val="20"/>
          </w:rPr>
          <w:alias w:val="Titel"/>
          <w:tag w:val="Titel"/>
          <w:id w:val="142390586"/>
          <w:dataBinding w:prefixMappings="xmlns:ns0='http://purl.org/dc/elements/1.1/' xmlns:ns1='http://schemas.openxmlformats.org/package/2006/metadata/core-properties' " w:xpath="/ns1:coreProperties[1]/ns0:title[1]" w:storeItemID="{6C3C8BC8-F283-45AE-878A-BAB7291924A1}"/>
          <w:text w:multiLine="1"/>
        </w:sdtPr>
        <w:sdtEndPr/>
        <w:sdtContent>
          <w:tc>
            <w:tcPr>
              <w:tcW w:w="6663" w:type="dxa"/>
            </w:tcPr>
            <w:p w14:paraId="47D706D6" w14:textId="2FEC8497" w:rsidR="001E3E0B" w:rsidRPr="00992ABA" w:rsidRDefault="00753649" w:rsidP="00CA0C0C">
              <w:proofErr w:type="spellStart"/>
              <w:r>
                <w:rPr>
                  <w:sz w:val="20"/>
                </w:rPr>
                <w:t>Propunerea</w:t>
              </w:r>
              <w:proofErr w:type="spellEnd"/>
              <w:r>
                <w:rPr>
                  <w:sz w:val="20"/>
                </w:rPr>
                <w:t xml:space="preserve"> </w:t>
              </w:r>
              <w:proofErr w:type="spellStart"/>
              <w:r>
                <w:rPr>
                  <w:sz w:val="20"/>
                </w:rPr>
                <w:t>tuturor</w:t>
              </w:r>
              <w:proofErr w:type="spellEnd"/>
              <w:r>
                <w:rPr>
                  <w:sz w:val="20"/>
                </w:rPr>
                <w:t xml:space="preserve"> OTS-</w:t>
              </w:r>
              <w:proofErr w:type="spellStart"/>
              <w:r>
                <w:rPr>
                  <w:sz w:val="20"/>
                </w:rPr>
                <w:t>urilor</w:t>
              </w:r>
              <w:proofErr w:type="spellEnd"/>
              <w:r>
                <w:rPr>
                  <w:sz w:val="20"/>
                </w:rPr>
                <w:t xml:space="preserve"> </w:t>
              </w:r>
              <w:proofErr w:type="spellStart"/>
              <w:r>
                <w:rPr>
                  <w:sz w:val="20"/>
                </w:rPr>
                <w:t>privind</w:t>
              </w:r>
              <w:proofErr w:type="spellEnd"/>
              <w:r>
                <w:rPr>
                  <w:sz w:val="20"/>
                </w:rPr>
                <w:t xml:space="preserve"> </w:t>
              </w:r>
              <w:proofErr w:type="spellStart"/>
              <w:r>
                <w:rPr>
                  <w:sz w:val="20"/>
                </w:rPr>
                <w:t>Metodologia</w:t>
              </w:r>
              <w:proofErr w:type="spellEnd"/>
              <w:r>
                <w:rPr>
                  <w:sz w:val="20"/>
                </w:rPr>
                <w:t xml:space="preserve"> de </w:t>
              </w:r>
              <w:proofErr w:type="spellStart"/>
              <w:r>
                <w:rPr>
                  <w:sz w:val="20"/>
                </w:rPr>
                <w:t>Calcul</w:t>
              </w:r>
              <w:proofErr w:type="spellEnd"/>
              <w:r>
                <w:rPr>
                  <w:sz w:val="20"/>
                </w:rPr>
                <w:t xml:space="preserve"> al </w:t>
              </w:r>
              <w:proofErr w:type="spellStart"/>
              <w:r>
                <w:rPr>
                  <w:sz w:val="20"/>
                </w:rPr>
                <w:t>Schimburilor</w:t>
              </w:r>
              <w:proofErr w:type="spellEnd"/>
              <w:r>
                <w:rPr>
                  <w:sz w:val="20"/>
                </w:rPr>
                <w:t xml:space="preserve"> </w:t>
              </w:r>
              <w:proofErr w:type="spellStart"/>
              <w:r>
                <w:rPr>
                  <w:sz w:val="20"/>
                </w:rPr>
                <w:t>Planificate</w:t>
              </w:r>
              <w:proofErr w:type="spellEnd"/>
              <w:r>
                <w:rPr>
                  <w:sz w:val="20"/>
                </w:rPr>
                <w:t xml:space="preserve"> care </w:t>
              </w:r>
              <w:proofErr w:type="spellStart"/>
              <w:r>
                <w:rPr>
                  <w:sz w:val="20"/>
                </w:rPr>
                <w:t>rezultă</w:t>
              </w:r>
              <w:proofErr w:type="spellEnd"/>
              <w:r>
                <w:rPr>
                  <w:sz w:val="20"/>
                </w:rPr>
                <w:t xml:space="preserve"> din </w:t>
              </w:r>
              <w:proofErr w:type="spellStart"/>
              <w:r>
                <w:rPr>
                  <w:sz w:val="20"/>
                </w:rPr>
                <w:t>cuplarea</w:t>
              </w:r>
              <w:proofErr w:type="spellEnd"/>
              <w:r>
                <w:rPr>
                  <w:sz w:val="20"/>
                </w:rPr>
                <w:t xml:space="preserve"> </w:t>
              </w:r>
              <w:proofErr w:type="spellStart"/>
              <w:r>
                <w:rPr>
                  <w:sz w:val="20"/>
                </w:rPr>
                <w:t>unică</w:t>
              </w:r>
              <w:proofErr w:type="spellEnd"/>
              <w:r>
                <w:rPr>
                  <w:sz w:val="20"/>
                </w:rPr>
                <w:t xml:space="preserve"> a </w:t>
              </w:r>
              <w:proofErr w:type="spellStart"/>
              <w:r>
                <w:rPr>
                  <w:sz w:val="20"/>
                </w:rPr>
                <w:t>piețelor</w:t>
              </w:r>
              <w:proofErr w:type="spellEnd"/>
              <w:r>
                <w:rPr>
                  <w:sz w:val="20"/>
                </w:rPr>
                <w:t xml:space="preserve"> </w:t>
              </w:r>
              <w:proofErr w:type="spellStart"/>
              <w:r>
                <w:rPr>
                  <w:sz w:val="20"/>
                </w:rPr>
                <w:t>intrazilnice</w:t>
              </w:r>
              <w:proofErr w:type="spellEnd"/>
              <w:r>
                <w:rPr>
                  <w:sz w:val="20"/>
                </w:rPr>
                <w:t xml:space="preserve">, </w:t>
              </w:r>
              <w:proofErr w:type="spellStart"/>
              <w:r>
                <w:rPr>
                  <w:sz w:val="20"/>
                </w:rPr>
                <w:t>în</w:t>
              </w:r>
              <w:proofErr w:type="spellEnd"/>
              <w:r>
                <w:rPr>
                  <w:sz w:val="20"/>
                </w:rPr>
                <w:t xml:space="preserve"> </w:t>
              </w:r>
              <w:proofErr w:type="spellStart"/>
              <w:r>
                <w:rPr>
                  <w:sz w:val="20"/>
                </w:rPr>
                <w:t>conformitate</w:t>
              </w:r>
              <w:proofErr w:type="spellEnd"/>
              <w:r>
                <w:rPr>
                  <w:sz w:val="20"/>
                </w:rPr>
                <w:t xml:space="preserve"> cu </w:t>
              </w:r>
              <w:proofErr w:type="spellStart"/>
              <w:r>
                <w:rPr>
                  <w:sz w:val="20"/>
                </w:rPr>
                <w:t>articolul</w:t>
              </w:r>
              <w:proofErr w:type="spellEnd"/>
              <w:r>
                <w:rPr>
                  <w:sz w:val="20"/>
                </w:rPr>
                <w:t xml:space="preserve"> 56 din </w:t>
              </w:r>
              <w:proofErr w:type="spellStart"/>
              <w:r>
                <w:rPr>
                  <w:sz w:val="20"/>
                </w:rPr>
                <w:t>Regulamentul</w:t>
              </w:r>
              <w:proofErr w:type="spellEnd"/>
              <w:r>
                <w:rPr>
                  <w:sz w:val="20"/>
                </w:rPr>
                <w:t xml:space="preserve"> (UE) 2015/1222 al </w:t>
              </w:r>
              <w:proofErr w:type="spellStart"/>
              <w:r>
                <w:rPr>
                  <w:sz w:val="20"/>
                </w:rPr>
                <w:t>Comisiei</w:t>
              </w:r>
              <w:proofErr w:type="spellEnd"/>
              <w:r>
                <w:rPr>
                  <w:sz w:val="20"/>
                </w:rPr>
                <w:t xml:space="preserve"> din 24 </w:t>
              </w:r>
              <w:proofErr w:type="spellStart"/>
              <w:r>
                <w:rPr>
                  <w:sz w:val="20"/>
                </w:rPr>
                <w:t>iulie</w:t>
              </w:r>
              <w:proofErr w:type="spellEnd"/>
              <w:r>
                <w:rPr>
                  <w:sz w:val="20"/>
                </w:rPr>
                <w:t xml:space="preserve"> 2015 de </w:t>
              </w:r>
              <w:proofErr w:type="spellStart"/>
              <w:r>
                <w:rPr>
                  <w:sz w:val="20"/>
                </w:rPr>
                <w:t>stabilire</w:t>
              </w:r>
              <w:proofErr w:type="spellEnd"/>
              <w:r>
                <w:rPr>
                  <w:sz w:val="20"/>
                </w:rPr>
                <w:t xml:space="preserve"> a </w:t>
              </w:r>
              <w:proofErr w:type="spellStart"/>
              <w:r>
                <w:rPr>
                  <w:sz w:val="20"/>
                </w:rPr>
                <w:t>unor</w:t>
              </w:r>
              <w:proofErr w:type="spellEnd"/>
              <w:r>
                <w:rPr>
                  <w:sz w:val="20"/>
                </w:rPr>
                <w:t xml:space="preserve"> </w:t>
              </w:r>
              <w:proofErr w:type="spellStart"/>
              <w:r>
                <w:rPr>
                  <w:sz w:val="20"/>
                </w:rPr>
                <w:t>linii</w:t>
              </w:r>
              <w:proofErr w:type="spellEnd"/>
              <w:r>
                <w:rPr>
                  <w:sz w:val="20"/>
                </w:rPr>
                <w:t xml:space="preserve"> </w:t>
              </w:r>
              <w:proofErr w:type="spellStart"/>
              <w:r>
                <w:rPr>
                  <w:sz w:val="20"/>
                </w:rPr>
                <w:t>directoare</w:t>
              </w:r>
              <w:proofErr w:type="spellEnd"/>
              <w:r>
                <w:rPr>
                  <w:sz w:val="20"/>
                </w:rPr>
                <w:t xml:space="preserve"> </w:t>
              </w:r>
              <w:proofErr w:type="spellStart"/>
              <w:r>
                <w:rPr>
                  <w:sz w:val="20"/>
                </w:rPr>
                <w:t>privind</w:t>
              </w:r>
              <w:proofErr w:type="spellEnd"/>
              <w:r>
                <w:rPr>
                  <w:sz w:val="20"/>
                </w:rPr>
                <w:t xml:space="preserve"> </w:t>
              </w:r>
              <w:proofErr w:type="spellStart"/>
              <w:r>
                <w:rPr>
                  <w:sz w:val="20"/>
                </w:rPr>
                <w:t>alocarea</w:t>
              </w:r>
              <w:proofErr w:type="spellEnd"/>
              <w:r>
                <w:rPr>
                  <w:sz w:val="20"/>
                </w:rPr>
                <w:t xml:space="preserve"> </w:t>
              </w:r>
              <w:proofErr w:type="spellStart"/>
              <w:r>
                <w:rPr>
                  <w:sz w:val="20"/>
                </w:rPr>
                <w:t>capacităților</w:t>
              </w:r>
              <w:proofErr w:type="spellEnd"/>
              <w:r>
                <w:rPr>
                  <w:sz w:val="20"/>
                </w:rPr>
                <w:t xml:space="preserve"> </w:t>
              </w:r>
              <w:proofErr w:type="spellStart"/>
              <w:r>
                <w:rPr>
                  <w:sz w:val="20"/>
                </w:rPr>
                <w:t>și</w:t>
              </w:r>
              <w:proofErr w:type="spellEnd"/>
              <w:r>
                <w:rPr>
                  <w:sz w:val="20"/>
                </w:rPr>
                <w:t xml:space="preserve"> </w:t>
              </w:r>
              <w:proofErr w:type="spellStart"/>
              <w:r>
                <w:rPr>
                  <w:sz w:val="20"/>
                </w:rPr>
                <w:t>gestionarea</w:t>
              </w:r>
              <w:proofErr w:type="spellEnd"/>
              <w:r>
                <w:rPr>
                  <w:sz w:val="20"/>
                </w:rPr>
                <w:t xml:space="preserve"> </w:t>
              </w:r>
              <w:proofErr w:type="spellStart"/>
              <w:r>
                <w:rPr>
                  <w:sz w:val="20"/>
                </w:rPr>
                <w:t>congestiilor</w:t>
              </w:r>
              <w:proofErr w:type="spellEnd"/>
            </w:p>
          </w:tc>
        </w:sdtContent>
      </w:sdt>
    </w:tr>
  </w:tbl>
  <w:p w14:paraId="467B7C18" w14:textId="77777777" w:rsidR="001E3E0B" w:rsidRDefault="001E3E0B" w:rsidP="003D0965">
    <w:pPr>
      <w:pStyle w:val="Footer"/>
    </w:pPr>
    <w:r>
      <w:rPr>
        <w:noProof/>
        <w:lang w:val="ro"/>
      </w:rPr>
      <mc:AlternateContent>
        <mc:Choice Requires="wps">
          <w:drawing>
            <wp:anchor distT="4294967294" distB="4294967294" distL="114300" distR="114300" simplePos="0" relativeHeight="251654144" behindDoc="0" locked="1" layoutInCell="1" allowOverlap="1" wp14:anchorId="7A58AA7A" wp14:editId="3690F398">
              <wp:simplePos x="0" y="0"/>
              <wp:positionH relativeFrom="page">
                <wp:posOffset>864235</wp:posOffset>
              </wp:positionH>
              <wp:positionV relativeFrom="page">
                <wp:posOffset>1062354</wp:posOffset>
              </wp:positionV>
              <wp:extent cx="6047740" cy="0"/>
              <wp:effectExtent l="0" t="0" r="2921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875BD5"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414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ro"/>
      </w:rPr>
      <w:drawing>
        <wp:anchor distT="0" distB="0" distL="114300" distR="114300" simplePos="0" relativeHeight="251652096" behindDoc="0" locked="1" layoutInCell="1" allowOverlap="1" wp14:anchorId="71DDEFFF" wp14:editId="6A4D0B69">
          <wp:simplePos x="0" y="0"/>
          <wp:positionH relativeFrom="page">
            <wp:posOffset>5483225</wp:posOffset>
          </wp:positionH>
          <wp:positionV relativeFrom="page">
            <wp:posOffset>360045</wp:posOffset>
          </wp:positionV>
          <wp:extent cx="1514475" cy="381000"/>
          <wp:effectExtent l="0" t="0" r="9525" b="0"/>
          <wp:wrapNone/>
          <wp:docPr id="7"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1E3E0B" w14:paraId="17970E2B" w14:textId="77777777" w:rsidTr="006A737C">
      <w:tc>
        <w:tcPr>
          <w:tcW w:w="9524" w:type="dxa"/>
          <w:tcMar>
            <w:top w:w="198" w:type="dxa"/>
          </w:tcMar>
        </w:tcPr>
        <w:p w14:paraId="44A8B791" w14:textId="77777777" w:rsidR="001E3E0B" w:rsidRDefault="001E3E0B" w:rsidP="00696EBB">
          <w:pPr>
            <w:pStyle w:val="headlineheader"/>
          </w:pPr>
        </w:p>
      </w:tc>
    </w:tr>
    <w:tr w:rsidR="001E3E0B" w14:paraId="486CBD7B" w14:textId="77777777" w:rsidTr="006A737C">
      <w:tc>
        <w:tcPr>
          <w:tcW w:w="9524" w:type="dxa"/>
        </w:tcPr>
        <w:p w14:paraId="19074EF5" w14:textId="77777777" w:rsidR="001E3E0B" w:rsidRPr="00AF06B7" w:rsidRDefault="001E3E0B" w:rsidP="006A737C">
          <w:pPr>
            <w:pStyle w:val="textheader"/>
          </w:pPr>
        </w:p>
      </w:tc>
    </w:tr>
    <w:tr w:rsidR="001E3E0B" w14:paraId="4516F0D2" w14:textId="77777777" w:rsidTr="006A737C">
      <w:tc>
        <w:tcPr>
          <w:tcW w:w="9524" w:type="dxa"/>
        </w:tcPr>
        <w:p w14:paraId="0EAE0588" w14:textId="77777777" w:rsidR="001E3E0B" w:rsidRPr="007A686E" w:rsidRDefault="001E3E0B" w:rsidP="006A737C">
          <w:pPr>
            <w:pStyle w:val="textheader"/>
          </w:pPr>
        </w:p>
      </w:tc>
    </w:tr>
    <w:tr w:rsidR="001E3E0B" w:rsidRPr="00903B95" w14:paraId="4E4D495B" w14:textId="77777777" w:rsidTr="006A737C">
      <w:tc>
        <w:tcPr>
          <w:tcW w:w="9524" w:type="dxa"/>
          <w:tcMar>
            <w:bottom w:w="142" w:type="dxa"/>
          </w:tcMar>
        </w:tcPr>
        <w:p w14:paraId="1C218DE5" w14:textId="77777777" w:rsidR="001E3E0B" w:rsidRPr="00256312" w:rsidRDefault="001E3E0B" w:rsidP="006A737C">
          <w:pPr>
            <w:pStyle w:val="time"/>
            <w:framePr w:hSpace="0" w:vSpace="0" w:wrap="auto" w:vAnchor="margin" w:hAnchor="text" w:xAlign="left" w:yAlign="inline"/>
          </w:pPr>
        </w:p>
      </w:tc>
    </w:tr>
  </w:tbl>
  <w:p w14:paraId="0604069F" w14:textId="77777777" w:rsidR="001E3E0B" w:rsidRDefault="001E3E0B">
    <w:pPr>
      <w:pStyle w:val="Header"/>
    </w:pPr>
    <w:r>
      <w:rPr>
        <w:noProof/>
        <w:lang w:val="ro"/>
      </w:rPr>
      <w:drawing>
        <wp:anchor distT="0" distB="0" distL="114300" distR="114300" simplePos="0" relativeHeight="251661312" behindDoc="0" locked="1" layoutInCell="1" allowOverlap="1" wp14:anchorId="0ED5F910" wp14:editId="41C082F9">
          <wp:simplePos x="0" y="0"/>
          <wp:positionH relativeFrom="page">
            <wp:posOffset>4068445</wp:posOffset>
          </wp:positionH>
          <wp:positionV relativeFrom="page">
            <wp:posOffset>720090</wp:posOffset>
          </wp:positionV>
          <wp:extent cx="2930400" cy="383059"/>
          <wp:effectExtent l="19050" t="0" r="3300" b="0"/>
          <wp:wrapNone/>
          <wp:docPr id="1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05B3E"/>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DE2E4A"/>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 w15:restartNumberingAfterBreak="0">
    <w:nsid w:val="16711767"/>
    <w:multiLevelType w:val="hybridMultilevel"/>
    <w:tmpl w:val="CDCA5262"/>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507228"/>
    <w:multiLevelType w:val="hybridMultilevel"/>
    <w:tmpl w:val="35E4FB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B0EA7"/>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7" w15:restartNumberingAfterBreak="0">
    <w:nsid w:val="2B411B3B"/>
    <w:multiLevelType w:val="hybridMultilevel"/>
    <w:tmpl w:val="F288D35C"/>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15:restartNumberingAfterBreak="0">
    <w:nsid w:val="2BC13E21"/>
    <w:multiLevelType w:val="hybridMultilevel"/>
    <w:tmpl w:val="CDCA5262"/>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DA14555"/>
    <w:multiLevelType w:val="hybridMultilevel"/>
    <w:tmpl w:val="3134E5D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8B251A"/>
    <w:multiLevelType w:val="hybridMultilevel"/>
    <w:tmpl w:val="35E4FB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8E4FCD"/>
    <w:multiLevelType w:val="hybridMultilevel"/>
    <w:tmpl w:val="3EE0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EB351E"/>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C1B1C01"/>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4D61839"/>
    <w:multiLevelType w:val="hybridMultilevel"/>
    <w:tmpl w:val="FFF8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AC1F9B"/>
    <w:multiLevelType w:val="hybridMultilevel"/>
    <w:tmpl w:val="63B69DEE"/>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4A914F8D"/>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131221"/>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1A74255"/>
    <w:multiLevelType w:val="hybridMultilevel"/>
    <w:tmpl w:val="E5BE5762"/>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62E67C3"/>
    <w:multiLevelType w:val="hybridMultilevel"/>
    <w:tmpl w:val="37F0538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23" w15:restartNumberingAfterBreak="0">
    <w:nsid w:val="5D9740A3"/>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EA1093A"/>
    <w:multiLevelType w:val="hybridMultilevel"/>
    <w:tmpl w:val="E200B55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613F7FF0"/>
    <w:multiLevelType w:val="hybridMultilevel"/>
    <w:tmpl w:val="47DE744E"/>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5DE53A3"/>
    <w:multiLevelType w:val="hybridMultilevel"/>
    <w:tmpl w:val="A75AC8F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0041E0D"/>
    <w:multiLevelType w:val="hybridMultilevel"/>
    <w:tmpl w:val="2F4CFA3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4260FF"/>
    <w:multiLevelType w:val="hybridMultilevel"/>
    <w:tmpl w:val="2632C070"/>
    <w:lvl w:ilvl="0" w:tplc="03425F40">
      <w:start w:val="1"/>
      <w:numFmt w:val="decimal"/>
      <w:lvlText w:val="%1."/>
      <w:lvlJc w:val="left"/>
      <w:pPr>
        <w:ind w:left="360" w:hanging="360"/>
      </w:pPr>
      <w:rPr>
        <w:rFonts w:hint="default"/>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69B7121"/>
    <w:multiLevelType w:val="hybridMultilevel"/>
    <w:tmpl w:val="14344F6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22"/>
  </w:num>
  <w:num w:numId="2">
    <w:abstractNumId w:val="25"/>
  </w:num>
  <w:num w:numId="3">
    <w:abstractNumId w:val="17"/>
  </w:num>
  <w:num w:numId="4">
    <w:abstractNumId w:val="6"/>
  </w:num>
  <w:num w:numId="5">
    <w:abstractNumId w:val="2"/>
  </w:num>
  <w:num w:numId="6">
    <w:abstractNumId w:val="3"/>
  </w:num>
  <w:num w:numId="7">
    <w:abstractNumId w:val="7"/>
  </w:num>
  <w:num w:numId="8">
    <w:abstractNumId w:val="14"/>
  </w:num>
  <w:num w:numId="9">
    <w:abstractNumId w:val="9"/>
  </w:num>
  <w:num w:numId="10">
    <w:abstractNumId w:val="4"/>
  </w:num>
  <w:num w:numId="11">
    <w:abstractNumId w:val="15"/>
  </w:num>
  <w:num w:numId="12">
    <w:abstractNumId w:val="28"/>
  </w:num>
  <w:num w:numId="13">
    <w:abstractNumId w:val="23"/>
  </w:num>
  <w:num w:numId="14">
    <w:abstractNumId w:val="10"/>
  </w:num>
  <w:num w:numId="15">
    <w:abstractNumId w:val="12"/>
  </w:num>
  <w:num w:numId="16">
    <w:abstractNumId w:val="29"/>
  </w:num>
  <w:num w:numId="17">
    <w:abstractNumId w:val="19"/>
  </w:num>
  <w:num w:numId="18">
    <w:abstractNumId w:val="21"/>
  </w:num>
  <w:num w:numId="19">
    <w:abstractNumId w:val="11"/>
  </w:num>
  <w:num w:numId="20">
    <w:abstractNumId w:val="8"/>
  </w:num>
  <w:num w:numId="21">
    <w:abstractNumId w:val="18"/>
  </w:num>
  <w:num w:numId="22">
    <w:abstractNumId w:val="16"/>
  </w:num>
  <w:num w:numId="23">
    <w:abstractNumId w:val="24"/>
  </w:num>
  <w:num w:numId="24">
    <w:abstractNumId w:val="1"/>
  </w:num>
  <w:num w:numId="25">
    <w:abstractNumId w:val="26"/>
  </w:num>
  <w:num w:numId="26">
    <w:abstractNumId w:val="27"/>
  </w:num>
  <w:num w:numId="27">
    <w:abstractNumId w:val="20"/>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5"/>
  </w:num>
  <w:num w:numId="3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NotTrackFormatting/>
  <w:defaultTabStop w:val="708"/>
  <w:hyphenationZone w:val="425"/>
  <w:drawingGridHorizontalSpacing w:val="110"/>
  <w:displayHorizontalDrawingGridEvery w:val="2"/>
  <w:characterSpacingControl w:val="doNotCompress"/>
  <w:hdrShapeDefaults>
    <o:shapedefaults v:ext="edit" spidmax="4097"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0F07"/>
    <w:rsid w:val="00000169"/>
    <w:rsid w:val="00000249"/>
    <w:rsid w:val="000003B9"/>
    <w:rsid w:val="000005BD"/>
    <w:rsid w:val="0000065C"/>
    <w:rsid w:val="000011B0"/>
    <w:rsid w:val="00002150"/>
    <w:rsid w:val="00006873"/>
    <w:rsid w:val="00007F4F"/>
    <w:rsid w:val="00010408"/>
    <w:rsid w:val="000118B0"/>
    <w:rsid w:val="00012A1C"/>
    <w:rsid w:val="000137EB"/>
    <w:rsid w:val="000140AC"/>
    <w:rsid w:val="00015488"/>
    <w:rsid w:val="000173D6"/>
    <w:rsid w:val="000179C1"/>
    <w:rsid w:val="00020055"/>
    <w:rsid w:val="00022D11"/>
    <w:rsid w:val="000235E9"/>
    <w:rsid w:val="00023A5C"/>
    <w:rsid w:val="00023C94"/>
    <w:rsid w:val="00024957"/>
    <w:rsid w:val="00027B57"/>
    <w:rsid w:val="00030180"/>
    <w:rsid w:val="00032424"/>
    <w:rsid w:val="000336A7"/>
    <w:rsid w:val="0003392C"/>
    <w:rsid w:val="000357A0"/>
    <w:rsid w:val="00035A65"/>
    <w:rsid w:val="00035E73"/>
    <w:rsid w:val="00036F87"/>
    <w:rsid w:val="00042115"/>
    <w:rsid w:val="000429D4"/>
    <w:rsid w:val="00042D86"/>
    <w:rsid w:val="000445E6"/>
    <w:rsid w:val="00044996"/>
    <w:rsid w:val="00045E03"/>
    <w:rsid w:val="00046D0D"/>
    <w:rsid w:val="00046FC1"/>
    <w:rsid w:val="000508B7"/>
    <w:rsid w:val="000510CE"/>
    <w:rsid w:val="00053056"/>
    <w:rsid w:val="00054050"/>
    <w:rsid w:val="000561DA"/>
    <w:rsid w:val="000626F6"/>
    <w:rsid w:val="00062E48"/>
    <w:rsid w:val="00063861"/>
    <w:rsid w:val="00063E5E"/>
    <w:rsid w:val="000640E2"/>
    <w:rsid w:val="0006467A"/>
    <w:rsid w:val="00064F0B"/>
    <w:rsid w:val="000675D9"/>
    <w:rsid w:val="0007274E"/>
    <w:rsid w:val="000735DF"/>
    <w:rsid w:val="00074AA7"/>
    <w:rsid w:val="000763F9"/>
    <w:rsid w:val="00076649"/>
    <w:rsid w:val="00076B2D"/>
    <w:rsid w:val="000817C5"/>
    <w:rsid w:val="00082BB9"/>
    <w:rsid w:val="00083F22"/>
    <w:rsid w:val="00084461"/>
    <w:rsid w:val="00085222"/>
    <w:rsid w:val="00085D3E"/>
    <w:rsid w:val="00087731"/>
    <w:rsid w:val="000877E3"/>
    <w:rsid w:val="000920AE"/>
    <w:rsid w:val="00092C31"/>
    <w:rsid w:val="00093484"/>
    <w:rsid w:val="0009375D"/>
    <w:rsid w:val="0009502C"/>
    <w:rsid w:val="00095B96"/>
    <w:rsid w:val="000961F8"/>
    <w:rsid w:val="00096798"/>
    <w:rsid w:val="00097E8E"/>
    <w:rsid w:val="000A0308"/>
    <w:rsid w:val="000A11C8"/>
    <w:rsid w:val="000A28B8"/>
    <w:rsid w:val="000A2C78"/>
    <w:rsid w:val="000A3A13"/>
    <w:rsid w:val="000A3FB8"/>
    <w:rsid w:val="000A45F7"/>
    <w:rsid w:val="000A5765"/>
    <w:rsid w:val="000A7492"/>
    <w:rsid w:val="000A7B19"/>
    <w:rsid w:val="000A7F43"/>
    <w:rsid w:val="000B0939"/>
    <w:rsid w:val="000B23F1"/>
    <w:rsid w:val="000B2D2E"/>
    <w:rsid w:val="000B3D5F"/>
    <w:rsid w:val="000B5F21"/>
    <w:rsid w:val="000B6BD7"/>
    <w:rsid w:val="000B7651"/>
    <w:rsid w:val="000B7A6B"/>
    <w:rsid w:val="000C02AA"/>
    <w:rsid w:val="000C081E"/>
    <w:rsid w:val="000C1901"/>
    <w:rsid w:val="000C1BDF"/>
    <w:rsid w:val="000C282A"/>
    <w:rsid w:val="000C4633"/>
    <w:rsid w:val="000C50C7"/>
    <w:rsid w:val="000C5F91"/>
    <w:rsid w:val="000C6465"/>
    <w:rsid w:val="000C777B"/>
    <w:rsid w:val="000C7929"/>
    <w:rsid w:val="000C7C91"/>
    <w:rsid w:val="000D0842"/>
    <w:rsid w:val="000D19EE"/>
    <w:rsid w:val="000D1A83"/>
    <w:rsid w:val="000D2604"/>
    <w:rsid w:val="000D31A4"/>
    <w:rsid w:val="000D360E"/>
    <w:rsid w:val="000D4815"/>
    <w:rsid w:val="000D5C38"/>
    <w:rsid w:val="000D6CF2"/>
    <w:rsid w:val="000D6DDD"/>
    <w:rsid w:val="000D7AA3"/>
    <w:rsid w:val="000E04B1"/>
    <w:rsid w:val="000E0873"/>
    <w:rsid w:val="000E1BB6"/>
    <w:rsid w:val="000E268A"/>
    <w:rsid w:val="000E32FA"/>
    <w:rsid w:val="000E39DF"/>
    <w:rsid w:val="000E41B2"/>
    <w:rsid w:val="000E4CD5"/>
    <w:rsid w:val="000E5E19"/>
    <w:rsid w:val="000E642E"/>
    <w:rsid w:val="000E7214"/>
    <w:rsid w:val="000E773E"/>
    <w:rsid w:val="000F0261"/>
    <w:rsid w:val="000F0523"/>
    <w:rsid w:val="000F105D"/>
    <w:rsid w:val="000F1582"/>
    <w:rsid w:val="000F1606"/>
    <w:rsid w:val="000F1D46"/>
    <w:rsid w:val="000F1F21"/>
    <w:rsid w:val="000F2416"/>
    <w:rsid w:val="000F2853"/>
    <w:rsid w:val="000F2DFC"/>
    <w:rsid w:val="000F3D7D"/>
    <w:rsid w:val="000F415F"/>
    <w:rsid w:val="000F4510"/>
    <w:rsid w:val="000F45F8"/>
    <w:rsid w:val="000F51E7"/>
    <w:rsid w:val="000F5893"/>
    <w:rsid w:val="000F627D"/>
    <w:rsid w:val="000F693C"/>
    <w:rsid w:val="000F6F31"/>
    <w:rsid w:val="0010092F"/>
    <w:rsid w:val="00101814"/>
    <w:rsid w:val="00101AB3"/>
    <w:rsid w:val="00102A02"/>
    <w:rsid w:val="00102BB0"/>
    <w:rsid w:val="00102C27"/>
    <w:rsid w:val="00104938"/>
    <w:rsid w:val="0010511E"/>
    <w:rsid w:val="00107537"/>
    <w:rsid w:val="0010762F"/>
    <w:rsid w:val="00107A15"/>
    <w:rsid w:val="00110443"/>
    <w:rsid w:val="0011150A"/>
    <w:rsid w:val="00112014"/>
    <w:rsid w:val="001124B6"/>
    <w:rsid w:val="00112580"/>
    <w:rsid w:val="0011332D"/>
    <w:rsid w:val="00113784"/>
    <w:rsid w:val="00114EF0"/>
    <w:rsid w:val="00114F54"/>
    <w:rsid w:val="001170AF"/>
    <w:rsid w:val="00120464"/>
    <w:rsid w:val="001206D1"/>
    <w:rsid w:val="00121263"/>
    <w:rsid w:val="001220EC"/>
    <w:rsid w:val="00122521"/>
    <w:rsid w:val="001227E8"/>
    <w:rsid w:val="00122F33"/>
    <w:rsid w:val="001246DB"/>
    <w:rsid w:val="00124E0F"/>
    <w:rsid w:val="00125519"/>
    <w:rsid w:val="0013129D"/>
    <w:rsid w:val="00135071"/>
    <w:rsid w:val="00140797"/>
    <w:rsid w:val="00142539"/>
    <w:rsid w:val="0014258F"/>
    <w:rsid w:val="00145F78"/>
    <w:rsid w:val="0014697D"/>
    <w:rsid w:val="00146A17"/>
    <w:rsid w:val="00150168"/>
    <w:rsid w:val="00151284"/>
    <w:rsid w:val="00151B4A"/>
    <w:rsid w:val="00151C89"/>
    <w:rsid w:val="00151D7B"/>
    <w:rsid w:val="00152CAE"/>
    <w:rsid w:val="001540CD"/>
    <w:rsid w:val="00155F93"/>
    <w:rsid w:val="00156976"/>
    <w:rsid w:val="0016087D"/>
    <w:rsid w:val="001608DF"/>
    <w:rsid w:val="00161CD5"/>
    <w:rsid w:val="00162B68"/>
    <w:rsid w:val="00165FDE"/>
    <w:rsid w:val="00166888"/>
    <w:rsid w:val="001675C6"/>
    <w:rsid w:val="00167C50"/>
    <w:rsid w:val="00170027"/>
    <w:rsid w:val="00170D5E"/>
    <w:rsid w:val="00170F1D"/>
    <w:rsid w:val="001735E0"/>
    <w:rsid w:val="00174666"/>
    <w:rsid w:val="00175575"/>
    <w:rsid w:val="001779B1"/>
    <w:rsid w:val="0018178A"/>
    <w:rsid w:val="001827D8"/>
    <w:rsid w:val="0018322B"/>
    <w:rsid w:val="001853A1"/>
    <w:rsid w:val="0018540A"/>
    <w:rsid w:val="00185A01"/>
    <w:rsid w:val="00186689"/>
    <w:rsid w:val="00186BD1"/>
    <w:rsid w:val="00186C7D"/>
    <w:rsid w:val="0018757E"/>
    <w:rsid w:val="001919A3"/>
    <w:rsid w:val="001933F9"/>
    <w:rsid w:val="00194D05"/>
    <w:rsid w:val="00196528"/>
    <w:rsid w:val="00197B69"/>
    <w:rsid w:val="00197F68"/>
    <w:rsid w:val="001A0A9B"/>
    <w:rsid w:val="001A0C74"/>
    <w:rsid w:val="001A1787"/>
    <w:rsid w:val="001A1989"/>
    <w:rsid w:val="001A1BB5"/>
    <w:rsid w:val="001A2330"/>
    <w:rsid w:val="001A2C09"/>
    <w:rsid w:val="001A467E"/>
    <w:rsid w:val="001A51C2"/>
    <w:rsid w:val="001A55A2"/>
    <w:rsid w:val="001A6ED0"/>
    <w:rsid w:val="001A736A"/>
    <w:rsid w:val="001A76C5"/>
    <w:rsid w:val="001B1D50"/>
    <w:rsid w:val="001B1F19"/>
    <w:rsid w:val="001B2C21"/>
    <w:rsid w:val="001B2EB0"/>
    <w:rsid w:val="001B35ED"/>
    <w:rsid w:val="001B3A9B"/>
    <w:rsid w:val="001B4C4A"/>
    <w:rsid w:val="001B4F2D"/>
    <w:rsid w:val="001B57E7"/>
    <w:rsid w:val="001B5E44"/>
    <w:rsid w:val="001B646F"/>
    <w:rsid w:val="001B7C05"/>
    <w:rsid w:val="001C02BD"/>
    <w:rsid w:val="001C064F"/>
    <w:rsid w:val="001C09F1"/>
    <w:rsid w:val="001C1DF6"/>
    <w:rsid w:val="001C22D4"/>
    <w:rsid w:val="001C238F"/>
    <w:rsid w:val="001C268D"/>
    <w:rsid w:val="001C2ED2"/>
    <w:rsid w:val="001C4169"/>
    <w:rsid w:val="001C560B"/>
    <w:rsid w:val="001C72A5"/>
    <w:rsid w:val="001C72E0"/>
    <w:rsid w:val="001D03F1"/>
    <w:rsid w:val="001D0606"/>
    <w:rsid w:val="001D178A"/>
    <w:rsid w:val="001D1B82"/>
    <w:rsid w:val="001D42AD"/>
    <w:rsid w:val="001D46C2"/>
    <w:rsid w:val="001D5029"/>
    <w:rsid w:val="001D5544"/>
    <w:rsid w:val="001D56D4"/>
    <w:rsid w:val="001D713B"/>
    <w:rsid w:val="001E07F1"/>
    <w:rsid w:val="001E0D37"/>
    <w:rsid w:val="001E2E2D"/>
    <w:rsid w:val="001E3ABE"/>
    <w:rsid w:val="001E3DFD"/>
    <w:rsid w:val="001E3E0B"/>
    <w:rsid w:val="001E4F1D"/>
    <w:rsid w:val="001E55C0"/>
    <w:rsid w:val="001E5F7C"/>
    <w:rsid w:val="001E6652"/>
    <w:rsid w:val="001E6868"/>
    <w:rsid w:val="001E6BEF"/>
    <w:rsid w:val="001F098D"/>
    <w:rsid w:val="001F09FA"/>
    <w:rsid w:val="001F0B88"/>
    <w:rsid w:val="001F13A6"/>
    <w:rsid w:val="001F28B9"/>
    <w:rsid w:val="001F5DBD"/>
    <w:rsid w:val="001F6977"/>
    <w:rsid w:val="001F6D8C"/>
    <w:rsid w:val="001F734A"/>
    <w:rsid w:val="001F79E4"/>
    <w:rsid w:val="001F7DA6"/>
    <w:rsid w:val="002006EC"/>
    <w:rsid w:val="002021B1"/>
    <w:rsid w:val="00202413"/>
    <w:rsid w:val="00202FDA"/>
    <w:rsid w:val="00204595"/>
    <w:rsid w:val="002045AF"/>
    <w:rsid w:val="00204643"/>
    <w:rsid w:val="002106B3"/>
    <w:rsid w:val="00210F80"/>
    <w:rsid w:val="00211914"/>
    <w:rsid w:val="00211D7E"/>
    <w:rsid w:val="00212104"/>
    <w:rsid w:val="00213225"/>
    <w:rsid w:val="00214558"/>
    <w:rsid w:val="0021591E"/>
    <w:rsid w:val="00216130"/>
    <w:rsid w:val="002161A7"/>
    <w:rsid w:val="00216EE9"/>
    <w:rsid w:val="00217B68"/>
    <w:rsid w:val="002204E4"/>
    <w:rsid w:val="00220937"/>
    <w:rsid w:val="002215F2"/>
    <w:rsid w:val="00221A91"/>
    <w:rsid w:val="00221FC8"/>
    <w:rsid w:val="00223F13"/>
    <w:rsid w:val="0022428D"/>
    <w:rsid w:val="00226C4A"/>
    <w:rsid w:val="002275CF"/>
    <w:rsid w:val="0023120A"/>
    <w:rsid w:val="00231CA6"/>
    <w:rsid w:val="00231F6C"/>
    <w:rsid w:val="002325FF"/>
    <w:rsid w:val="002332FB"/>
    <w:rsid w:val="00237F76"/>
    <w:rsid w:val="00240F01"/>
    <w:rsid w:val="0024169C"/>
    <w:rsid w:val="0024239E"/>
    <w:rsid w:val="002423DE"/>
    <w:rsid w:val="002436FB"/>
    <w:rsid w:val="0024418B"/>
    <w:rsid w:val="00244559"/>
    <w:rsid w:val="00246321"/>
    <w:rsid w:val="00247449"/>
    <w:rsid w:val="00250379"/>
    <w:rsid w:val="00251EBB"/>
    <w:rsid w:val="002522CF"/>
    <w:rsid w:val="00252CF4"/>
    <w:rsid w:val="002549B0"/>
    <w:rsid w:val="0025508C"/>
    <w:rsid w:val="00255204"/>
    <w:rsid w:val="00255697"/>
    <w:rsid w:val="002624B9"/>
    <w:rsid w:val="002628DE"/>
    <w:rsid w:val="00266360"/>
    <w:rsid w:val="00267EAD"/>
    <w:rsid w:val="00267FB2"/>
    <w:rsid w:val="002704D4"/>
    <w:rsid w:val="0027088B"/>
    <w:rsid w:val="002748F5"/>
    <w:rsid w:val="0027521B"/>
    <w:rsid w:val="002752A9"/>
    <w:rsid w:val="00275B12"/>
    <w:rsid w:val="002766B2"/>
    <w:rsid w:val="00277F1E"/>
    <w:rsid w:val="00280367"/>
    <w:rsid w:val="00280618"/>
    <w:rsid w:val="002811AE"/>
    <w:rsid w:val="00285B00"/>
    <w:rsid w:val="00290620"/>
    <w:rsid w:val="002934D5"/>
    <w:rsid w:val="00294F1F"/>
    <w:rsid w:val="00295216"/>
    <w:rsid w:val="00295AA0"/>
    <w:rsid w:val="002964F8"/>
    <w:rsid w:val="00296C02"/>
    <w:rsid w:val="00296D01"/>
    <w:rsid w:val="002973AD"/>
    <w:rsid w:val="002A1799"/>
    <w:rsid w:val="002A1FC2"/>
    <w:rsid w:val="002A28E6"/>
    <w:rsid w:val="002A3E99"/>
    <w:rsid w:val="002A4598"/>
    <w:rsid w:val="002A5603"/>
    <w:rsid w:val="002A560C"/>
    <w:rsid w:val="002A59DA"/>
    <w:rsid w:val="002A6736"/>
    <w:rsid w:val="002A7432"/>
    <w:rsid w:val="002A7EA8"/>
    <w:rsid w:val="002B032F"/>
    <w:rsid w:val="002B14B8"/>
    <w:rsid w:val="002B1CE5"/>
    <w:rsid w:val="002B2718"/>
    <w:rsid w:val="002B2A81"/>
    <w:rsid w:val="002B3B73"/>
    <w:rsid w:val="002B4BF6"/>
    <w:rsid w:val="002B4DBF"/>
    <w:rsid w:val="002B73CA"/>
    <w:rsid w:val="002C00E4"/>
    <w:rsid w:val="002C01CE"/>
    <w:rsid w:val="002C4DC9"/>
    <w:rsid w:val="002C54AF"/>
    <w:rsid w:val="002C58A2"/>
    <w:rsid w:val="002C5F0B"/>
    <w:rsid w:val="002C64DA"/>
    <w:rsid w:val="002D0372"/>
    <w:rsid w:val="002D0CAB"/>
    <w:rsid w:val="002D1A22"/>
    <w:rsid w:val="002D2A1B"/>
    <w:rsid w:val="002D322B"/>
    <w:rsid w:val="002D47C5"/>
    <w:rsid w:val="002D6AE2"/>
    <w:rsid w:val="002D7945"/>
    <w:rsid w:val="002E1684"/>
    <w:rsid w:val="002E16AB"/>
    <w:rsid w:val="002E189E"/>
    <w:rsid w:val="002E2A8C"/>
    <w:rsid w:val="002E470A"/>
    <w:rsid w:val="002E4F8E"/>
    <w:rsid w:val="002E537D"/>
    <w:rsid w:val="002E5CE0"/>
    <w:rsid w:val="002F3569"/>
    <w:rsid w:val="002F3CEC"/>
    <w:rsid w:val="002F403D"/>
    <w:rsid w:val="002F5EFD"/>
    <w:rsid w:val="002F5F91"/>
    <w:rsid w:val="002F664C"/>
    <w:rsid w:val="002F6B92"/>
    <w:rsid w:val="002F6F02"/>
    <w:rsid w:val="003000B2"/>
    <w:rsid w:val="0030235A"/>
    <w:rsid w:val="003024C9"/>
    <w:rsid w:val="0030366B"/>
    <w:rsid w:val="003037F3"/>
    <w:rsid w:val="00306BB5"/>
    <w:rsid w:val="00310DC3"/>
    <w:rsid w:val="00312018"/>
    <w:rsid w:val="003128FE"/>
    <w:rsid w:val="00312961"/>
    <w:rsid w:val="00312ABB"/>
    <w:rsid w:val="003130C8"/>
    <w:rsid w:val="00313FDF"/>
    <w:rsid w:val="003156F2"/>
    <w:rsid w:val="003164E8"/>
    <w:rsid w:val="0031773D"/>
    <w:rsid w:val="0032132C"/>
    <w:rsid w:val="00321683"/>
    <w:rsid w:val="0032180B"/>
    <w:rsid w:val="00323886"/>
    <w:rsid w:val="00323DF2"/>
    <w:rsid w:val="00324221"/>
    <w:rsid w:val="00325452"/>
    <w:rsid w:val="0032618D"/>
    <w:rsid w:val="0032652F"/>
    <w:rsid w:val="00327044"/>
    <w:rsid w:val="003274A2"/>
    <w:rsid w:val="00330B78"/>
    <w:rsid w:val="00331048"/>
    <w:rsid w:val="003314D0"/>
    <w:rsid w:val="00331DA0"/>
    <w:rsid w:val="003369E9"/>
    <w:rsid w:val="00336BDA"/>
    <w:rsid w:val="00337FDE"/>
    <w:rsid w:val="00340EA7"/>
    <w:rsid w:val="00344367"/>
    <w:rsid w:val="00344AD2"/>
    <w:rsid w:val="00345215"/>
    <w:rsid w:val="00345787"/>
    <w:rsid w:val="00345F7E"/>
    <w:rsid w:val="00350A68"/>
    <w:rsid w:val="00350B7D"/>
    <w:rsid w:val="00352F2A"/>
    <w:rsid w:val="00353037"/>
    <w:rsid w:val="00356595"/>
    <w:rsid w:val="00356D38"/>
    <w:rsid w:val="0035703A"/>
    <w:rsid w:val="00357A7E"/>
    <w:rsid w:val="00360D60"/>
    <w:rsid w:val="00361935"/>
    <w:rsid w:val="003633CF"/>
    <w:rsid w:val="003636D0"/>
    <w:rsid w:val="00364FF5"/>
    <w:rsid w:val="00365C79"/>
    <w:rsid w:val="003662AB"/>
    <w:rsid w:val="0036649B"/>
    <w:rsid w:val="00366852"/>
    <w:rsid w:val="00367938"/>
    <w:rsid w:val="0037079F"/>
    <w:rsid w:val="00370ACD"/>
    <w:rsid w:val="00370CA3"/>
    <w:rsid w:val="0037308F"/>
    <w:rsid w:val="00373ABB"/>
    <w:rsid w:val="00373E92"/>
    <w:rsid w:val="003765C1"/>
    <w:rsid w:val="00377B9E"/>
    <w:rsid w:val="00380111"/>
    <w:rsid w:val="00380737"/>
    <w:rsid w:val="0038164D"/>
    <w:rsid w:val="00382253"/>
    <w:rsid w:val="00382893"/>
    <w:rsid w:val="003832F2"/>
    <w:rsid w:val="00383F69"/>
    <w:rsid w:val="00384749"/>
    <w:rsid w:val="0038669D"/>
    <w:rsid w:val="00387A66"/>
    <w:rsid w:val="00390A85"/>
    <w:rsid w:val="00390DE4"/>
    <w:rsid w:val="00391071"/>
    <w:rsid w:val="003911EE"/>
    <w:rsid w:val="00392E34"/>
    <w:rsid w:val="00394C59"/>
    <w:rsid w:val="00395E09"/>
    <w:rsid w:val="0039608F"/>
    <w:rsid w:val="0039692F"/>
    <w:rsid w:val="00397038"/>
    <w:rsid w:val="003A1F20"/>
    <w:rsid w:val="003A260E"/>
    <w:rsid w:val="003A2884"/>
    <w:rsid w:val="003A50DB"/>
    <w:rsid w:val="003A61A1"/>
    <w:rsid w:val="003A7B3C"/>
    <w:rsid w:val="003B012B"/>
    <w:rsid w:val="003B18D1"/>
    <w:rsid w:val="003B3054"/>
    <w:rsid w:val="003B495F"/>
    <w:rsid w:val="003B4CC0"/>
    <w:rsid w:val="003B667D"/>
    <w:rsid w:val="003B6C6F"/>
    <w:rsid w:val="003B78DE"/>
    <w:rsid w:val="003C0C0A"/>
    <w:rsid w:val="003C245E"/>
    <w:rsid w:val="003C2EED"/>
    <w:rsid w:val="003C3441"/>
    <w:rsid w:val="003C5D67"/>
    <w:rsid w:val="003C5EDD"/>
    <w:rsid w:val="003C66B3"/>
    <w:rsid w:val="003C6E2F"/>
    <w:rsid w:val="003C712A"/>
    <w:rsid w:val="003C7D64"/>
    <w:rsid w:val="003D0366"/>
    <w:rsid w:val="003D0965"/>
    <w:rsid w:val="003D09D2"/>
    <w:rsid w:val="003D0B4D"/>
    <w:rsid w:val="003D0E89"/>
    <w:rsid w:val="003D10E1"/>
    <w:rsid w:val="003D16BD"/>
    <w:rsid w:val="003D172F"/>
    <w:rsid w:val="003D1830"/>
    <w:rsid w:val="003D18BD"/>
    <w:rsid w:val="003D3585"/>
    <w:rsid w:val="003D5000"/>
    <w:rsid w:val="003D5350"/>
    <w:rsid w:val="003D74BA"/>
    <w:rsid w:val="003D7C54"/>
    <w:rsid w:val="003D7D23"/>
    <w:rsid w:val="003E01C0"/>
    <w:rsid w:val="003E045D"/>
    <w:rsid w:val="003E170C"/>
    <w:rsid w:val="003E4407"/>
    <w:rsid w:val="003E58CE"/>
    <w:rsid w:val="003E72D6"/>
    <w:rsid w:val="003E7350"/>
    <w:rsid w:val="003F1C9E"/>
    <w:rsid w:val="003F3985"/>
    <w:rsid w:val="003F4045"/>
    <w:rsid w:val="003F55AB"/>
    <w:rsid w:val="003F7AC2"/>
    <w:rsid w:val="004004F7"/>
    <w:rsid w:val="004033E9"/>
    <w:rsid w:val="004038AE"/>
    <w:rsid w:val="00406E7E"/>
    <w:rsid w:val="00407D33"/>
    <w:rsid w:val="004104D9"/>
    <w:rsid w:val="00410A3C"/>
    <w:rsid w:val="00410D76"/>
    <w:rsid w:val="00412B54"/>
    <w:rsid w:val="00412EAE"/>
    <w:rsid w:val="00415136"/>
    <w:rsid w:val="004153EC"/>
    <w:rsid w:val="00415A76"/>
    <w:rsid w:val="00415FFF"/>
    <w:rsid w:val="00416028"/>
    <w:rsid w:val="0041787F"/>
    <w:rsid w:val="00423C51"/>
    <w:rsid w:val="00424A4B"/>
    <w:rsid w:val="004250D3"/>
    <w:rsid w:val="00425ED5"/>
    <w:rsid w:val="00426632"/>
    <w:rsid w:val="004306DF"/>
    <w:rsid w:val="00430C89"/>
    <w:rsid w:val="00431F55"/>
    <w:rsid w:val="00433669"/>
    <w:rsid w:val="004347A1"/>
    <w:rsid w:val="0043549B"/>
    <w:rsid w:val="00436525"/>
    <w:rsid w:val="00436631"/>
    <w:rsid w:val="0043682A"/>
    <w:rsid w:val="00436908"/>
    <w:rsid w:val="00436BF4"/>
    <w:rsid w:val="00440441"/>
    <w:rsid w:val="00440FF6"/>
    <w:rsid w:val="00441E84"/>
    <w:rsid w:val="0044264F"/>
    <w:rsid w:val="004428A3"/>
    <w:rsid w:val="00442D45"/>
    <w:rsid w:val="00443C1F"/>
    <w:rsid w:val="00447ED3"/>
    <w:rsid w:val="0045209B"/>
    <w:rsid w:val="0045210E"/>
    <w:rsid w:val="0045336B"/>
    <w:rsid w:val="00454C64"/>
    <w:rsid w:val="00455A91"/>
    <w:rsid w:val="00455E41"/>
    <w:rsid w:val="00456041"/>
    <w:rsid w:val="0045635C"/>
    <w:rsid w:val="004635E3"/>
    <w:rsid w:val="00463A0B"/>
    <w:rsid w:val="00463D90"/>
    <w:rsid w:val="00465953"/>
    <w:rsid w:val="00470F74"/>
    <w:rsid w:val="00473949"/>
    <w:rsid w:val="00474E1F"/>
    <w:rsid w:val="00475A98"/>
    <w:rsid w:val="00476125"/>
    <w:rsid w:val="00481F16"/>
    <w:rsid w:val="004836D0"/>
    <w:rsid w:val="0048389E"/>
    <w:rsid w:val="00485275"/>
    <w:rsid w:val="004857D1"/>
    <w:rsid w:val="00485997"/>
    <w:rsid w:val="00490093"/>
    <w:rsid w:val="00490B5E"/>
    <w:rsid w:val="00490D92"/>
    <w:rsid w:val="00492089"/>
    <w:rsid w:val="00492466"/>
    <w:rsid w:val="00492578"/>
    <w:rsid w:val="00494030"/>
    <w:rsid w:val="00496106"/>
    <w:rsid w:val="0049784F"/>
    <w:rsid w:val="00497B29"/>
    <w:rsid w:val="004A095A"/>
    <w:rsid w:val="004A0968"/>
    <w:rsid w:val="004A0FBC"/>
    <w:rsid w:val="004A1446"/>
    <w:rsid w:val="004A1545"/>
    <w:rsid w:val="004A16AE"/>
    <w:rsid w:val="004A39B6"/>
    <w:rsid w:val="004A5702"/>
    <w:rsid w:val="004A5D6F"/>
    <w:rsid w:val="004A675F"/>
    <w:rsid w:val="004B1024"/>
    <w:rsid w:val="004B42F2"/>
    <w:rsid w:val="004B6993"/>
    <w:rsid w:val="004B7B56"/>
    <w:rsid w:val="004B7FD7"/>
    <w:rsid w:val="004C0185"/>
    <w:rsid w:val="004C0FCF"/>
    <w:rsid w:val="004C2BA4"/>
    <w:rsid w:val="004C2CA1"/>
    <w:rsid w:val="004C378A"/>
    <w:rsid w:val="004C3B9C"/>
    <w:rsid w:val="004C471E"/>
    <w:rsid w:val="004C57FB"/>
    <w:rsid w:val="004D201F"/>
    <w:rsid w:val="004D22E4"/>
    <w:rsid w:val="004D2426"/>
    <w:rsid w:val="004D38BE"/>
    <w:rsid w:val="004D3B71"/>
    <w:rsid w:val="004D4557"/>
    <w:rsid w:val="004D50A7"/>
    <w:rsid w:val="004D787A"/>
    <w:rsid w:val="004E3DB2"/>
    <w:rsid w:val="004E3E4A"/>
    <w:rsid w:val="004E3E72"/>
    <w:rsid w:val="004E3F0D"/>
    <w:rsid w:val="004E4B71"/>
    <w:rsid w:val="004E4BEF"/>
    <w:rsid w:val="004E7FAE"/>
    <w:rsid w:val="004F0DBB"/>
    <w:rsid w:val="004F1D1D"/>
    <w:rsid w:val="004F2CE6"/>
    <w:rsid w:val="004F4146"/>
    <w:rsid w:val="004F490B"/>
    <w:rsid w:val="004F4991"/>
    <w:rsid w:val="004F5A1B"/>
    <w:rsid w:val="00500215"/>
    <w:rsid w:val="00501B16"/>
    <w:rsid w:val="00502668"/>
    <w:rsid w:val="00504A30"/>
    <w:rsid w:val="00505AA3"/>
    <w:rsid w:val="00507160"/>
    <w:rsid w:val="00507703"/>
    <w:rsid w:val="00510F1E"/>
    <w:rsid w:val="00512C27"/>
    <w:rsid w:val="00512EAD"/>
    <w:rsid w:val="00514797"/>
    <w:rsid w:val="00514820"/>
    <w:rsid w:val="00514C5F"/>
    <w:rsid w:val="00516527"/>
    <w:rsid w:val="00517632"/>
    <w:rsid w:val="00520AFE"/>
    <w:rsid w:val="00521D87"/>
    <w:rsid w:val="005233DE"/>
    <w:rsid w:val="005234C9"/>
    <w:rsid w:val="0052357A"/>
    <w:rsid w:val="00523A83"/>
    <w:rsid w:val="005256C4"/>
    <w:rsid w:val="00527845"/>
    <w:rsid w:val="00530894"/>
    <w:rsid w:val="005319D4"/>
    <w:rsid w:val="00532172"/>
    <w:rsid w:val="0053286E"/>
    <w:rsid w:val="00532E8C"/>
    <w:rsid w:val="00533398"/>
    <w:rsid w:val="00534175"/>
    <w:rsid w:val="0053447F"/>
    <w:rsid w:val="0053455C"/>
    <w:rsid w:val="00534D81"/>
    <w:rsid w:val="005358A6"/>
    <w:rsid w:val="00536822"/>
    <w:rsid w:val="00537D0E"/>
    <w:rsid w:val="00540221"/>
    <w:rsid w:val="005407D8"/>
    <w:rsid w:val="00542A73"/>
    <w:rsid w:val="0054429D"/>
    <w:rsid w:val="00545B24"/>
    <w:rsid w:val="00546950"/>
    <w:rsid w:val="00547043"/>
    <w:rsid w:val="005473E2"/>
    <w:rsid w:val="005508ED"/>
    <w:rsid w:val="005520D9"/>
    <w:rsid w:val="00552C72"/>
    <w:rsid w:val="00553000"/>
    <w:rsid w:val="0055458F"/>
    <w:rsid w:val="00554D8B"/>
    <w:rsid w:val="0055586B"/>
    <w:rsid w:val="00556772"/>
    <w:rsid w:val="005578B4"/>
    <w:rsid w:val="00557D8E"/>
    <w:rsid w:val="00557FBF"/>
    <w:rsid w:val="0056114B"/>
    <w:rsid w:val="0056152A"/>
    <w:rsid w:val="005626BC"/>
    <w:rsid w:val="00562A4D"/>
    <w:rsid w:val="00562D09"/>
    <w:rsid w:val="005630D5"/>
    <w:rsid w:val="005634C2"/>
    <w:rsid w:val="005667D6"/>
    <w:rsid w:val="005667EB"/>
    <w:rsid w:val="00570B83"/>
    <w:rsid w:val="00570C66"/>
    <w:rsid w:val="00571BFF"/>
    <w:rsid w:val="00572069"/>
    <w:rsid w:val="0057300E"/>
    <w:rsid w:val="005742E2"/>
    <w:rsid w:val="00574542"/>
    <w:rsid w:val="0057460C"/>
    <w:rsid w:val="00575101"/>
    <w:rsid w:val="00575177"/>
    <w:rsid w:val="00575B91"/>
    <w:rsid w:val="0057655C"/>
    <w:rsid w:val="00576E3D"/>
    <w:rsid w:val="005770F9"/>
    <w:rsid w:val="005803AB"/>
    <w:rsid w:val="005815EC"/>
    <w:rsid w:val="00581A5C"/>
    <w:rsid w:val="00581A76"/>
    <w:rsid w:val="00581B14"/>
    <w:rsid w:val="00583D1A"/>
    <w:rsid w:val="005840A1"/>
    <w:rsid w:val="00585336"/>
    <w:rsid w:val="005860DD"/>
    <w:rsid w:val="00586628"/>
    <w:rsid w:val="0058674F"/>
    <w:rsid w:val="00587B9D"/>
    <w:rsid w:val="00590A19"/>
    <w:rsid w:val="0059106B"/>
    <w:rsid w:val="00592DC2"/>
    <w:rsid w:val="00594DD6"/>
    <w:rsid w:val="00595095"/>
    <w:rsid w:val="005A0E21"/>
    <w:rsid w:val="005A1036"/>
    <w:rsid w:val="005A1709"/>
    <w:rsid w:val="005A1DE2"/>
    <w:rsid w:val="005A2795"/>
    <w:rsid w:val="005A2DDF"/>
    <w:rsid w:val="005A3188"/>
    <w:rsid w:val="005A4AE9"/>
    <w:rsid w:val="005A5DC8"/>
    <w:rsid w:val="005A73F8"/>
    <w:rsid w:val="005B13C0"/>
    <w:rsid w:val="005B1A9C"/>
    <w:rsid w:val="005B33FC"/>
    <w:rsid w:val="005B37E0"/>
    <w:rsid w:val="005B3B49"/>
    <w:rsid w:val="005B4A48"/>
    <w:rsid w:val="005B4D99"/>
    <w:rsid w:val="005B4F8D"/>
    <w:rsid w:val="005B6697"/>
    <w:rsid w:val="005B6CB3"/>
    <w:rsid w:val="005B783F"/>
    <w:rsid w:val="005C03A6"/>
    <w:rsid w:val="005C0746"/>
    <w:rsid w:val="005C0B1C"/>
    <w:rsid w:val="005C160B"/>
    <w:rsid w:val="005C1731"/>
    <w:rsid w:val="005C204F"/>
    <w:rsid w:val="005C3A79"/>
    <w:rsid w:val="005C3E9C"/>
    <w:rsid w:val="005C498A"/>
    <w:rsid w:val="005C5312"/>
    <w:rsid w:val="005C5C9E"/>
    <w:rsid w:val="005C5FB8"/>
    <w:rsid w:val="005C610E"/>
    <w:rsid w:val="005D0002"/>
    <w:rsid w:val="005D04FD"/>
    <w:rsid w:val="005D09CF"/>
    <w:rsid w:val="005D1ED1"/>
    <w:rsid w:val="005D5061"/>
    <w:rsid w:val="005D6D0D"/>
    <w:rsid w:val="005D7D74"/>
    <w:rsid w:val="005E1BC2"/>
    <w:rsid w:val="005E3ABC"/>
    <w:rsid w:val="005E49D7"/>
    <w:rsid w:val="005E4A18"/>
    <w:rsid w:val="005E4C6F"/>
    <w:rsid w:val="005E51A3"/>
    <w:rsid w:val="005E6847"/>
    <w:rsid w:val="005E75C0"/>
    <w:rsid w:val="005E7D4B"/>
    <w:rsid w:val="005F117E"/>
    <w:rsid w:val="005F28D7"/>
    <w:rsid w:val="005F336C"/>
    <w:rsid w:val="005F40DA"/>
    <w:rsid w:val="005F5A9C"/>
    <w:rsid w:val="005F5BC0"/>
    <w:rsid w:val="005F5D04"/>
    <w:rsid w:val="005F6A13"/>
    <w:rsid w:val="005F6D7D"/>
    <w:rsid w:val="00600DDF"/>
    <w:rsid w:val="006024D2"/>
    <w:rsid w:val="006045A5"/>
    <w:rsid w:val="00604BB9"/>
    <w:rsid w:val="00604D46"/>
    <w:rsid w:val="00606038"/>
    <w:rsid w:val="00606345"/>
    <w:rsid w:val="006066DE"/>
    <w:rsid w:val="0060678E"/>
    <w:rsid w:val="006074A4"/>
    <w:rsid w:val="006134BE"/>
    <w:rsid w:val="00613D66"/>
    <w:rsid w:val="0061521A"/>
    <w:rsid w:val="006157B9"/>
    <w:rsid w:val="00615D8C"/>
    <w:rsid w:val="0061660B"/>
    <w:rsid w:val="00616D4E"/>
    <w:rsid w:val="00617395"/>
    <w:rsid w:val="00617C64"/>
    <w:rsid w:val="00620CAF"/>
    <w:rsid w:val="006212C9"/>
    <w:rsid w:val="0062178A"/>
    <w:rsid w:val="006218DB"/>
    <w:rsid w:val="00621DE5"/>
    <w:rsid w:val="006229D2"/>
    <w:rsid w:val="00624F73"/>
    <w:rsid w:val="006279DB"/>
    <w:rsid w:val="00627B50"/>
    <w:rsid w:val="00627B9D"/>
    <w:rsid w:val="0063067E"/>
    <w:rsid w:val="0063117A"/>
    <w:rsid w:val="00631298"/>
    <w:rsid w:val="0063152E"/>
    <w:rsid w:val="006316D5"/>
    <w:rsid w:val="00631C1E"/>
    <w:rsid w:val="0063224C"/>
    <w:rsid w:val="00632C8A"/>
    <w:rsid w:val="00635566"/>
    <w:rsid w:val="006357A2"/>
    <w:rsid w:val="006364C9"/>
    <w:rsid w:val="006371F6"/>
    <w:rsid w:val="00637334"/>
    <w:rsid w:val="006375C4"/>
    <w:rsid w:val="0064058C"/>
    <w:rsid w:val="00640DC1"/>
    <w:rsid w:val="006418DC"/>
    <w:rsid w:val="00644562"/>
    <w:rsid w:val="00645C50"/>
    <w:rsid w:val="006472A5"/>
    <w:rsid w:val="00647373"/>
    <w:rsid w:val="00651EE6"/>
    <w:rsid w:val="00652C6A"/>
    <w:rsid w:val="00652C7D"/>
    <w:rsid w:val="00652EEA"/>
    <w:rsid w:val="00653B83"/>
    <w:rsid w:val="00656E21"/>
    <w:rsid w:val="00656E3B"/>
    <w:rsid w:val="00657076"/>
    <w:rsid w:val="00657727"/>
    <w:rsid w:val="00662B3A"/>
    <w:rsid w:val="00662D39"/>
    <w:rsid w:val="00662DEC"/>
    <w:rsid w:val="0066322F"/>
    <w:rsid w:val="00663649"/>
    <w:rsid w:val="00663793"/>
    <w:rsid w:val="00663D86"/>
    <w:rsid w:val="0066488A"/>
    <w:rsid w:val="0066523F"/>
    <w:rsid w:val="0066599F"/>
    <w:rsid w:val="00665CBD"/>
    <w:rsid w:val="00665F30"/>
    <w:rsid w:val="00666172"/>
    <w:rsid w:val="0066727E"/>
    <w:rsid w:val="00670ED8"/>
    <w:rsid w:val="00671621"/>
    <w:rsid w:val="00672F13"/>
    <w:rsid w:val="006730B6"/>
    <w:rsid w:val="00673406"/>
    <w:rsid w:val="00673520"/>
    <w:rsid w:val="00676432"/>
    <w:rsid w:val="006774DF"/>
    <w:rsid w:val="00682DE2"/>
    <w:rsid w:val="00682EF8"/>
    <w:rsid w:val="00683CED"/>
    <w:rsid w:val="0068447A"/>
    <w:rsid w:val="00686353"/>
    <w:rsid w:val="0068636C"/>
    <w:rsid w:val="00687835"/>
    <w:rsid w:val="0069027A"/>
    <w:rsid w:val="006910BF"/>
    <w:rsid w:val="00691A4E"/>
    <w:rsid w:val="006944F3"/>
    <w:rsid w:val="00696EBB"/>
    <w:rsid w:val="00697488"/>
    <w:rsid w:val="006975B6"/>
    <w:rsid w:val="006A00E9"/>
    <w:rsid w:val="006A0CC6"/>
    <w:rsid w:val="006A1C42"/>
    <w:rsid w:val="006A47B4"/>
    <w:rsid w:val="006A52C3"/>
    <w:rsid w:val="006A609B"/>
    <w:rsid w:val="006A737C"/>
    <w:rsid w:val="006A774E"/>
    <w:rsid w:val="006B24C4"/>
    <w:rsid w:val="006B3C6B"/>
    <w:rsid w:val="006B3C8D"/>
    <w:rsid w:val="006B4668"/>
    <w:rsid w:val="006B5E0B"/>
    <w:rsid w:val="006C21A1"/>
    <w:rsid w:val="006C29A2"/>
    <w:rsid w:val="006C2E0B"/>
    <w:rsid w:val="006C3C9F"/>
    <w:rsid w:val="006C7790"/>
    <w:rsid w:val="006D2559"/>
    <w:rsid w:val="006D3393"/>
    <w:rsid w:val="006D4130"/>
    <w:rsid w:val="006D5B9C"/>
    <w:rsid w:val="006D65D3"/>
    <w:rsid w:val="006D739F"/>
    <w:rsid w:val="006E1F48"/>
    <w:rsid w:val="006E282A"/>
    <w:rsid w:val="006E2C9B"/>
    <w:rsid w:val="006E4FEA"/>
    <w:rsid w:val="006E5DF6"/>
    <w:rsid w:val="006E614B"/>
    <w:rsid w:val="006E6408"/>
    <w:rsid w:val="006E6F33"/>
    <w:rsid w:val="006E7258"/>
    <w:rsid w:val="006E7EA7"/>
    <w:rsid w:val="006F0C67"/>
    <w:rsid w:val="006F1BB2"/>
    <w:rsid w:val="006F5F92"/>
    <w:rsid w:val="006F6192"/>
    <w:rsid w:val="00700104"/>
    <w:rsid w:val="00700B3B"/>
    <w:rsid w:val="007014B4"/>
    <w:rsid w:val="00704866"/>
    <w:rsid w:val="0070626B"/>
    <w:rsid w:val="0070643E"/>
    <w:rsid w:val="007102D5"/>
    <w:rsid w:val="007106BE"/>
    <w:rsid w:val="00713148"/>
    <w:rsid w:val="007144CC"/>
    <w:rsid w:val="007147A8"/>
    <w:rsid w:val="00714CF1"/>
    <w:rsid w:val="00715E1A"/>
    <w:rsid w:val="0071702B"/>
    <w:rsid w:val="00720FDC"/>
    <w:rsid w:val="00723AE9"/>
    <w:rsid w:val="00727F68"/>
    <w:rsid w:val="00730421"/>
    <w:rsid w:val="00730434"/>
    <w:rsid w:val="00730769"/>
    <w:rsid w:val="00730A57"/>
    <w:rsid w:val="00731173"/>
    <w:rsid w:val="00732158"/>
    <w:rsid w:val="00734933"/>
    <w:rsid w:val="00735014"/>
    <w:rsid w:val="00736814"/>
    <w:rsid w:val="00737197"/>
    <w:rsid w:val="00737B91"/>
    <w:rsid w:val="007400E0"/>
    <w:rsid w:val="0074178D"/>
    <w:rsid w:val="00741A5F"/>
    <w:rsid w:val="00741CA8"/>
    <w:rsid w:val="00744178"/>
    <w:rsid w:val="007441BC"/>
    <w:rsid w:val="007442CD"/>
    <w:rsid w:val="0074542B"/>
    <w:rsid w:val="00745E9F"/>
    <w:rsid w:val="00746256"/>
    <w:rsid w:val="00746AFD"/>
    <w:rsid w:val="0075000C"/>
    <w:rsid w:val="00750962"/>
    <w:rsid w:val="00750E9E"/>
    <w:rsid w:val="00751049"/>
    <w:rsid w:val="00751106"/>
    <w:rsid w:val="0075126F"/>
    <w:rsid w:val="00753649"/>
    <w:rsid w:val="0075388F"/>
    <w:rsid w:val="00756761"/>
    <w:rsid w:val="00756A0A"/>
    <w:rsid w:val="00756FA7"/>
    <w:rsid w:val="00756FE9"/>
    <w:rsid w:val="00761510"/>
    <w:rsid w:val="00761820"/>
    <w:rsid w:val="00762198"/>
    <w:rsid w:val="007632AF"/>
    <w:rsid w:val="0076351D"/>
    <w:rsid w:val="007652E8"/>
    <w:rsid w:val="00765A00"/>
    <w:rsid w:val="00765C82"/>
    <w:rsid w:val="007665ED"/>
    <w:rsid w:val="00767F4D"/>
    <w:rsid w:val="007704D7"/>
    <w:rsid w:val="00771582"/>
    <w:rsid w:val="00771F91"/>
    <w:rsid w:val="00772173"/>
    <w:rsid w:val="007737CA"/>
    <w:rsid w:val="00774A4F"/>
    <w:rsid w:val="007775F5"/>
    <w:rsid w:val="00780647"/>
    <w:rsid w:val="007824AB"/>
    <w:rsid w:val="00784D79"/>
    <w:rsid w:val="00784F57"/>
    <w:rsid w:val="00786BEA"/>
    <w:rsid w:val="0079057B"/>
    <w:rsid w:val="007910CB"/>
    <w:rsid w:val="00792AA9"/>
    <w:rsid w:val="00792C7D"/>
    <w:rsid w:val="0079313F"/>
    <w:rsid w:val="00793F75"/>
    <w:rsid w:val="00794298"/>
    <w:rsid w:val="0079519B"/>
    <w:rsid w:val="007A03F9"/>
    <w:rsid w:val="007A24A3"/>
    <w:rsid w:val="007A2736"/>
    <w:rsid w:val="007A4AAA"/>
    <w:rsid w:val="007A63A6"/>
    <w:rsid w:val="007A686E"/>
    <w:rsid w:val="007A6E8A"/>
    <w:rsid w:val="007B3222"/>
    <w:rsid w:val="007B3455"/>
    <w:rsid w:val="007B3D1D"/>
    <w:rsid w:val="007B5FAE"/>
    <w:rsid w:val="007B64A4"/>
    <w:rsid w:val="007B70D4"/>
    <w:rsid w:val="007B79CD"/>
    <w:rsid w:val="007C0667"/>
    <w:rsid w:val="007C240E"/>
    <w:rsid w:val="007C3F89"/>
    <w:rsid w:val="007C4146"/>
    <w:rsid w:val="007C4BA4"/>
    <w:rsid w:val="007C538C"/>
    <w:rsid w:val="007C5813"/>
    <w:rsid w:val="007C72F1"/>
    <w:rsid w:val="007D05D6"/>
    <w:rsid w:val="007D1B44"/>
    <w:rsid w:val="007D4407"/>
    <w:rsid w:val="007D4B49"/>
    <w:rsid w:val="007D4C7B"/>
    <w:rsid w:val="007D590C"/>
    <w:rsid w:val="007D5B17"/>
    <w:rsid w:val="007D7D53"/>
    <w:rsid w:val="007E0A5D"/>
    <w:rsid w:val="007E1C6A"/>
    <w:rsid w:val="007E38EA"/>
    <w:rsid w:val="007E6984"/>
    <w:rsid w:val="007E6BA1"/>
    <w:rsid w:val="007E7351"/>
    <w:rsid w:val="007F25D0"/>
    <w:rsid w:val="007F3266"/>
    <w:rsid w:val="007F3F2A"/>
    <w:rsid w:val="007F46B8"/>
    <w:rsid w:val="007F4F0D"/>
    <w:rsid w:val="007F5BD3"/>
    <w:rsid w:val="007F64FB"/>
    <w:rsid w:val="007F7177"/>
    <w:rsid w:val="007F7350"/>
    <w:rsid w:val="008001AC"/>
    <w:rsid w:val="00800A15"/>
    <w:rsid w:val="008013AE"/>
    <w:rsid w:val="00804210"/>
    <w:rsid w:val="00805E9C"/>
    <w:rsid w:val="00806505"/>
    <w:rsid w:val="008078DC"/>
    <w:rsid w:val="00810EAA"/>
    <w:rsid w:val="0081150F"/>
    <w:rsid w:val="00811D05"/>
    <w:rsid w:val="00812852"/>
    <w:rsid w:val="00813484"/>
    <w:rsid w:val="00813617"/>
    <w:rsid w:val="00813ADF"/>
    <w:rsid w:val="00813C12"/>
    <w:rsid w:val="008140A0"/>
    <w:rsid w:val="008144A2"/>
    <w:rsid w:val="00816C4E"/>
    <w:rsid w:val="00816C99"/>
    <w:rsid w:val="00816ED3"/>
    <w:rsid w:val="00821BDA"/>
    <w:rsid w:val="008223C0"/>
    <w:rsid w:val="00822C59"/>
    <w:rsid w:val="00823CEE"/>
    <w:rsid w:val="0082523E"/>
    <w:rsid w:val="00825667"/>
    <w:rsid w:val="00826819"/>
    <w:rsid w:val="008333E9"/>
    <w:rsid w:val="008333EA"/>
    <w:rsid w:val="00833A4C"/>
    <w:rsid w:val="008348BB"/>
    <w:rsid w:val="0083592C"/>
    <w:rsid w:val="00835CD4"/>
    <w:rsid w:val="00837D02"/>
    <w:rsid w:val="0084049E"/>
    <w:rsid w:val="00841C97"/>
    <w:rsid w:val="00842496"/>
    <w:rsid w:val="00842896"/>
    <w:rsid w:val="00842C25"/>
    <w:rsid w:val="00843F71"/>
    <w:rsid w:val="00845CB8"/>
    <w:rsid w:val="00845F44"/>
    <w:rsid w:val="00846170"/>
    <w:rsid w:val="00847059"/>
    <w:rsid w:val="00847C71"/>
    <w:rsid w:val="00850117"/>
    <w:rsid w:val="008521DF"/>
    <w:rsid w:val="0085355F"/>
    <w:rsid w:val="00853FC9"/>
    <w:rsid w:val="00855165"/>
    <w:rsid w:val="008564B2"/>
    <w:rsid w:val="008565EF"/>
    <w:rsid w:val="00857EFE"/>
    <w:rsid w:val="008600BB"/>
    <w:rsid w:val="00860989"/>
    <w:rsid w:val="0086193A"/>
    <w:rsid w:val="00862846"/>
    <w:rsid w:val="00864DEB"/>
    <w:rsid w:val="00864E46"/>
    <w:rsid w:val="00864F9C"/>
    <w:rsid w:val="00864FC5"/>
    <w:rsid w:val="00865A6E"/>
    <w:rsid w:val="0086623C"/>
    <w:rsid w:val="008669C4"/>
    <w:rsid w:val="008727E0"/>
    <w:rsid w:val="00872EC5"/>
    <w:rsid w:val="008743C7"/>
    <w:rsid w:val="00875065"/>
    <w:rsid w:val="00876D5E"/>
    <w:rsid w:val="00877DA5"/>
    <w:rsid w:val="00880370"/>
    <w:rsid w:val="008804D3"/>
    <w:rsid w:val="008822DC"/>
    <w:rsid w:val="008827CD"/>
    <w:rsid w:val="00882F19"/>
    <w:rsid w:val="008836C9"/>
    <w:rsid w:val="0088446E"/>
    <w:rsid w:val="00885898"/>
    <w:rsid w:val="00886A7B"/>
    <w:rsid w:val="008871D6"/>
    <w:rsid w:val="0088737D"/>
    <w:rsid w:val="008921D1"/>
    <w:rsid w:val="0089280F"/>
    <w:rsid w:val="00893726"/>
    <w:rsid w:val="008947BD"/>
    <w:rsid w:val="00894F9C"/>
    <w:rsid w:val="008959BF"/>
    <w:rsid w:val="008A00EF"/>
    <w:rsid w:val="008A0967"/>
    <w:rsid w:val="008A0F48"/>
    <w:rsid w:val="008A19F7"/>
    <w:rsid w:val="008A35C4"/>
    <w:rsid w:val="008A459E"/>
    <w:rsid w:val="008A5392"/>
    <w:rsid w:val="008A63F3"/>
    <w:rsid w:val="008A75A0"/>
    <w:rsid w:val="008A7953"/>
    <w:rsid w:val="008B0933"/>
    <w:rsid w:val="008B0C7C"/>
    <w:rsid w:val="008B1532"/>
    <w:rsid w:val="008B37C5"/>
    <w:rsid w:val="008B45EB"/>
    <w:rsid w:val="008B4CB0"/>
    <w:rsid w:val="008B4D69"/>
    <w:rsid w:val="008B5FB5"/>
    <w:rsid w:val="008B710C"/>
    <w:rsid w:val="008C038C"/>
    <w:rsid w:val="008C2D9D"/>
    <w:rsid w:val="008C427A"/>
    <w:rsid w:val="008C4FC7"/>
    <w:rsid w:val="008C6C9D"/>
    <w:rsid w:val="008C6FB6"/>
    <w:rsid w:val="008D1567"/>
    <w:rsid w:val="008D28EE"/>
    <w:rsid w:val="008D3597"/>
    <w:rsid w:val="008D71B7"/>
    <w:rsid w:val="008D73D2"/>
    <w:rsid w:val="008E0564"/>
    <w:rsid w:val="008E211C"/>
    <w:rsid w:val="008E243F"/>
    <w:rsid w:val="008E2B50"/>
    <w:rsid w:val="008E3DE8"/>
    <w:rsid w:val="008E5451"/>
    <w:rsid w:val="008E5AC9"/>
    <w:rsid w:val="008E6BAB"/>
    <w:rsid w:val="008F02FE"/>
    <w:rsid w:val="008F0704"/>
    <w:rsid w:val="008F19D8"/>
    <w:rsid w:val="008F2516"/>
    <w:rsid w:val="008F30DB"/>
    <w:rsid w:val="008F42BF"/>
    <w:rsid w:val="008F449D"/>
    <w:rsid w:val="008F4E13"/>
    <w:rsid w:val="008F5023"/>
    <w:rsid w:val="008F5797"/>
    <w:rsid w:val="008F59C3"/>
    <w:rsid w:val="008F6168"/>
    <w:rsid w:val="008F744F"/>
    <w:rsid w:val="00902CD9"/>
    <w:rsid w:val="00903B95"/>
    <w:rsid w:val="0090642B"/>
    <w:rsid w:val="00907666"/>
    <w:rsid w:val="009076AB"/>
    <w:rsid w:val="00910468"/>
    <w:rsid w:val="00911CA6"/>
    <w:rsid w:val="009134C5"/>
    <w:rsid w:val="00913615"/>
    <w:rsid w:val="00913BD9"/>
    <w:rsid w:val="00917D34"/>
    <w:rsid w:val="00917EC5"/>
    <w:rsid w:val="00920370"/>
    <w:rsid w:val="009205E4"/>
    <w:rsid w:val="00921397"/>
    <w:rsid w:val="009215C0"/>
    <w:rsid w:val="00921BB7"/>
    <w:rsid w:val="009221D1"/>
    <w:rsid w:val="00922A3D"/>
    <w:rsid w:val="00922C7B"/>
    <w:rsid w:val="0092412B"/>
    <w:rsid w:val="00926984"/>
    <w:rsid w:val="00926D40"/>
    <w:rsid w:val="009276FE"/>
    <w:rsid w:val="00927B49"/>
    <w:rsid w:val="00927F59"/>
    <w:rsid w:val="00931433"/>
    <w:rsid w:val="009317FF"/>
    <w:rsid w:val="00932269"/>
    <w:rsid w:val="009325C3"/>
    <w:rsid w:val="009328EE"/>
    <w:rsid w:val="00935219"/>
    <w:rsid w:val="0093524E"/>
    <w:rsid w:val="00937FF7"/>
    <w:rsid w:val="00940048"/>
    <w:rsid w:val="00940308"/>
    <w:rsid w:val="00940558"/>
    <w:rsid w:val="00941583"/>
    <w:rsid w:val="00941E96"/>
    <w:rsid w:val="009426AF"/>
    <w:rsid w:val="00942AA1"/>
    <w:rsid w:val="00943152"/>
    <w:rsid w:val="00943731"/>
    <w:rsid w:val="009437D1"/>
    <w:rsid w:val="00944DF9"/>
    <w:rsid w:val="009524AA"/>
    <w:rsid w:val="00952531"/>
    <w:rsid w:val="009536AC"/>
    <w:rsid w:val="00953718"/>
    <w:rsid w:val="00953900"/>
    <w:rsid w:val="00961802"/>
    <w:rsid w:val="0096441E"/>
    <w:rsid w:val="0096480A"/>
    <w:rsid w:val="009653B1"/>
    <w:rsid w:val="00965C04"/>
    <w:rsid w:val="0096650C"/>
    <w:rsid w:val="009667D6"/>
    <w:rsid w:val="00967AE4"/>
    <w:rsid w:val="00967FB8"/>
    <w:rsid w:val="00971973"/>
    <w:rsid w:val="00975412"/>
    <w:rsid w:val="00976185"/>
    <w:rsid w:val="00977123"/>
    <w:rsid w:val="0097791F"/>
    <w:rsid w:val="009817AE"/>
    <w:rsid w:val="00981CAA"/>
    <w:rsid w:val="009834DF"/>
    <w:rsid w:val="009838DA"/>
    <w:rsid w:val="00983ED7"/>
    <w:rsid w:val="009842AB"/>
    <w:rsid w:val="0098485B"/>
    <w:rsid w:val="00984E78"/>
    <w:rsid w:val="00985011"/>
    <w:rsid w:val="00985B43"/>
    <w:rsid w:val="00985E5E"/>
    <w:rsid w:val="009866EF"/>
    <w:rsid w:val="009867B7"/>
    <w:rsid w:val="009902F4"/>
    <w:rsid w:val="00990BFA"/>
    <w:rsid w:val="00991E8A"/>
    <w:rsid w:val="00992536"/>
    <w:rsid w:val="00992927"/>
    <w:rsid w:val="0099295F"/>
    <w:rsid w:val="00992ABA"/>
    <w:rsid w:val="0099378F"/>
    <w:rsid w:val="00993AAF"/>
    <w:rsid w:val="009953F6"/>
    <w:rsid w:val="00996A53"/>
    <w:rsid w:val="009A01DD"/>
    <w:rsid w:val="009A1E13"/>
    <w:rsid w:val="009A2602"/>
    <w:rsid w:val="009A26F5"/>
    <w:rsid w:val="009A3371"/>
    <w:rsid w:val="009A479F"/>
    <w:rsid w:val="009A5598"/>
    <w:rsid w:val="009A6725"/>
    <w:rsid w:val="009A7FAA"/>
    <w:rsid w:val="009B2DC6"/>
    <w:rsid w:val="009B3E9D"/>
    <w:rsid w:val="009B48E1"/>
    <w:rsid w:val="009B513D"/>
    <w:rsid w:val="009B526B"/>
    <w:rsid w:val="009B6777"/>
    <w:rsid w:val="009B765D"/>
    <w:rsid w:val="009C17D8"/>
    <w:rsid w:val="009C1F56"/>
    <w:rsid w:val="009C317B"/>
    <w:rsid w:val="009C3479"/>
    <w:rsid w:val="009C5987"/>
    <w:rsid w:val="009D1AFD"/>
    <w:rsid w:val="009D3F43"/>
    <w:rsid w:val="009D570B"/>
    <w:rsid w:val="009D5AC5"/>
    <w:rsid w:val="009D64BC"/>
    <w:rsid w:val="009E1F4A"/>
    <w:rsid w:val="009E2FCA"/>
    <w:rsid w:val="009E3ACA"/>
    <w:rsid w:val="009E4230"/>
    <w:rsid w:val="009E581B"/>
    <w:rsid w:val="009E5F3B"/>
    <w:rsid w:val="009E6BA4"/>
    <w:rsid w:val="009F10E6"/>
    <w:rsid w:val="009F2A08"/>
    <w:rsid w:val="009F3806"/>
    <w:rsid w:val="009F4F37"/>
    <w:rsid w:val="009F5093"/>
    <w:rsid w:val="009F5445"/>
    <w:rsid w:val="009F554A"/>
    <w:rsid w:val="009F57BF"/>
    <w:rsid w:val="009F5A83"/>
    <w:rsid w:val="009F5A93"/>
    <w:rsid w:val="009F6BDE"/>
    <w:rsid w:val="009F77D6"/>
    <w:rsid w:val="00A0012F"/>
    <w:rsid w:val="00A07012"/>
    <w:rsid w:val="00A0769F"/>
    <w:rsid w:val="00A07968"/>
    <w:rsid w:val="00A1036E"/>
    <w:rsid w:val="00A10F07"/>
    <w:rsid w:val="00A11F7D"/>
    <w:rsid w:val="00A123A8"/>
    <w:rsid w:val="00A12422"/>
    <w:rsid w:val="00A1265E"/>
    <w:rsid w:val="00A138E8"/>
    <w:rsid w:val="00A142B1"/>
    <w:rsid w:val="00A14B55"/>
    <w:rsid w:val="00A15B67"/>
    <w:rsid w:val="00A16DBE"/>
    <w:rsid w:val="00A17B4B"/>
    <w:rsid w:val="00A2151C"/>
    <w:rsid w:val="00A21C13"/>
    <w:rsid w:val="00A21F94"/>
    <w:rsid w:val="00A237F1"/>
    <w:rsid w:val="00A23D29"/>
    <w:rsid w:val="00A24D9A"/>
    <w:rsid w:val="00A24EBD"/>
    <w:rsid w:val="00A24FF9"/>
    <w:rsid w:val="00A25161"/>
    <w:rsid w:val="00A25813"/>
    <w:rsid w:val="00A26359"/>
    <w:rsid w:val="00A26502"/>
    <w:rsid w:val="00A26774"/>
    <w:rsid w:val="00A26922"/>
    <w:rsid w:val="00A26B5E"/>
    <w:rsid w:val="00A26BCF"/>
    <w:rsid w:val="00A27931"/>
    <w:rsid w:val="00A31C94"/>
    <w:rsid w:val="00A31FFF"/>
    <w:rsid w:val="00A32E44"/>
    <w:rsid w:val="00A34884"/>
    <w:rsid w:val="00A3496A"/>
    <w:rsid w:val="00A35FDA"/>
    <w:rsid w:val="00A3703E"/>
    <w:rsid w:val="00A37165"/>
    <w:rsid w:val="00A373D9"/>
    <w:rsid w:val="00A37528"/>
    <w:rsid w:val="00A37FB8"/>
    <w:rsid w:val="00A412A7"/>
    <w:rsid w:val="00A41C71"/>
    <w:rsid w:val="00A44C3E"/>
    <w:rsid w:val="00A46166"/>
    <w:rsid w:val="00A46564"/>
    <w:rsid w:val="00A470C1"/>
    <w:rsid w:val="00A47D69"/>
    <w:rsid w:val="00A526F1"/>
    <w:rsid w:val="00A536F0"/>
    <w:rsid w:val="00A55277"/>
    <w:rsid w:val="00A556D4"/>
    <w:rsid w:val="00A5657A"/>
    <w:rsid w:val="00A57632"/>
    <w:rsid w:val="00A57FCB"/>
    <w:rsid w:val="00A601B9"/>
    <w:rsid w:val="00A625EF"/>
    <w:rsid w:val="00A62A70"/>
    <w:rsid w:val="00A6516E"/>
    <w:rsid w:val="00A667F0"/>
    <w:rsid w:val="00A66D30"/>
    <w:rsid w:val="00A66D56"/>
    <w:rsid w:val="00A6738F"/>
    <w:rsid w:val="00A70CB3"/>
    <w:rsid w:val="00A71CAF"/>
    <w:rsid w:val="00A72294"/>
    <w:rsid w:val="00A725D2"/>
    <w:rsid w:val="00A742BA"/>
    <w:rsid w:val="00A74514"/>
    <w:rsid w:val="00A74CB1"/>
    <w:rsid w:val="00A756FA"/>
    <w:rsid w:val="00A77B99"/>
    <w:rsid w:val="00A77C79"/>
    <w:rsid w:val="00A77D79"/>
    <w:rsid w:val="00A8181E"/>
    <w:rsid w:val="00A85C8D"/>
    <w:rsid w:val="00A86053"/>
    <w:rsid w:val="00A86DBE"/>
    <w:rsid w:val="00A872A2"/>
    <w:rsid w:val="00A8788A"/>
    <w:rsid w:val="00A92AD0"/>
    <w:rsid w:val="00A934A6"/>
    <w:rsid w:val="00A93586"/>
    <w:rsid w:val="00A93853"/>
    <w:rsid w:val="00A95689"/>
    <w:rsid w:val="00A956D2"/>
    <w:rsid w:val="00A9577A"/>
    <w:rsid w:val="00A95A4C"/>
    <w:rsid w:val="00A95B29"/>
    <w:rsid w:val="00A96873"/>
    <w:rsid w:val="00A970BF"/>
    <w:rsid w:val="00AA1330"/>
    <w:rsid w:val="00AA1966"/>
    <w:rsid w:val="00AA2503"/>
    <w:rsid w:val="00AA26DD"/>
    <w:rsid w:val="00AA34E0"/>
    <w:rsid w:val="00AA4836"/>
    <w:rsid w:val="00AA4949"/>
    <w:rsid w:val="00AA4E86"/>
    <w:rsid w:val="00AA5D41"/>
    <w:rsid w:val="00AA76AF"/>
    <w:rsid w:val="00AA7AAB"/>
    <w:rsid w:val="00AA7B5D"/>
    <w:rsid w:val="00AB0F58"/>
    <w:rsid w:val="00AB6806"/>
    <w:rsid w:val="00AB707F"/>
    <w:rsid w:val="00AC023F"/>
    <w:rsid w:val="00AC0DFD"/>
    <w:rsid w:val="00AC10BA"/>
    <w:rsid w:val="00AC2CF1"/>
    <w:rsid w:val="00AC2DC3"/>
    <w:rsid w:val="00AC41F3"/>
    <w:rsid w:val="00AC630F"/>
    <w:rsid w:val="00AC67DF"/>
    <w:rsid w:val="00AC6915"/>
    <w:rsid w:val="00AC794E"/>
    <w:rsid w:val="00AD0287"/>
    <w:rsid w:val="00AD02A8"/>
    <w:rsid w:val="00AD3208"/>
    <w:rsid w:val="00AD370A"/>
    <w:rsid w:val="00AD7A8E"/>
    <w:rsid w:val="00AD7BAE"/>
    <w:rsid w:val="00AE087E"/>
    <w:rsid w:val="00AE088D"/>
    <w:rsid w:val="00AE1863"/>
    <w:rsid w:val="00AE3D88"/>
    <w:rsid w:val="00AE4F1F"/>
    <w:rsid w:val="00AE5721"/>
    <w:rsid w:val="00AF00B2"/>
    <w:rsid w:val="00AF017A"/>
    <w:rsid w:val="00AF06B7"/>
    <w:rsid w:val="00AF1354"/>
    <w:rsid w:val="00AF17BB"/>
    <w:rsid w:val="00AF4B80"/>
    <w:rsid w:val="00AF5BE0"/>
    <w:rsid w:val="00AF5C4B"/>
    <w:rsid w:val="00AF7203"/>
    <w:rsid w:val="00AF746D"/>
    <w:rsid w:val="00AF77E5"/>
    <w:rsid w:val="00B0017F"/>
    <w:rsid w:val="00B005C3"/>
    <w:rsid w:val="00B02535"/>
    <w:rsid w:val="00B03B12"/>
    <w:rsid w:val="00B04144"/>
    <w:rsid w:val="00B0464F"/>
    <w:rsid w:val="00B04AC9"/>
    <w:rsid w:val="00B05183"/>
    <w:rsid w:val="00B05DA0"/>
    <w:rsid w:val="00B063F3"/>
    <w:rsid w:val="00B07276"/>
    <w:rsid w:val="00B108C8"/>
    <w:rsid w:val="00B131B4"/>
    <w:rsid w:val="00B13929"/>
    <w:rsid w:val="00B13C3D"/>
    <w:rsid w:val="00B15314"/>
    <w:rsid w:val="00B15385"/>
    <w:rsid w:val="00B15703"/>
    <w:rsid w:val="00B17186"/>
    <w:rsid w:val="00B208D9"/>
    <w:rsid w:val="00B21745"/>
    <w:rsid w:val="00B21D59"/>
    <w:rsid w:val="00B232F5"/>
    <w:rsid w:val="00B234BE"/>
    <w:rsid w:val="00B23AA9"/>
    <w:rsid w:val="00B23BDF"/>
    <w:rsid w:val="00B23FB8"/>
    <w:rsid w:val="00B244CF"/>
    <w:rsid w:val="00B24825"/>
    <w:rsid w:val="00B24EE3"/>
    <w:rsid w:val="00B25066"/>
    <w:rsid w:val="00B26A79"/>
    <w:rsid w:val="00B26E68"/>
    <w:rsid w:val="00B27C18"/>
    <w:rsid w:val="00B30836"/>
    <w:rsid w:val="00B30A9B"/>
    <w:rsid w:val="00B30D59"/>
    <w:rsid w:val="00B312E5"/>
    <w:rsid w:val="00B319CF"/>
    <w:rsid w:val="00B31BF9"/>
    <w:rsid w:val="00B32C9D"/>
    <w:rsid w:val="00B35085"/>
    <w:rsid w:val="00B37311"/>
    <w:rsid w:val="00B3744D"/>
    <w:rsid w:val="00B37892"/>
    <w:rsid w:val="00B40988"/>
    <w:rsid w:val="00B4114A"/>
    <w:rsid w:val="00B41722"/>
    <w:rsid w:val="00B41E39"/>
    <w:rsid w:val="00B41E6F"/>
    <w:rsid w:val="00B429F5"/>
    <w:rsid w:val="00B42F27"/>
    <w:rsid w:val="00B43861"/>
    <w:rsid w:val="00B43CBB"/>
    <w:rsid w:val="00B45906"/>
    <w:rsid w:val="00B469A3"/>
    <w:rsid w:val="00B46A8A"/>
    <w:rsid w:val="00B503DD"/>
    <w:rsid w:val="00B50543"/>
    <w:rsid w:val="00B505EB"/>
    <w:rsid w:val="00B51EF7"/>
    <w:rsid w:val="00B5773B"/>
    <w:rsid w:val="00B606B3"/>
    <w:rsid w:val="00B60B10"/>
    <w:rsid w:val="00B6339E"/>
    <w:rsid w:val="00B634F6"/>
    <w:rsid w:val="00B644AA"/>
    <w:rsid w:val="00B64680"/>
    <w:rsid w:val="00B65243"/>
    <w:rsid w:val="00B65532"/>
    <w:rsid w:val="00B7033E"/>
    <w:rsid w:val="00B705B3"/>
    <w:rsid w:val="00B70BBF"/>
    <w:rsid w:val="00B717A1"/>
    <w:rsid w:val="00B72693"/>
    <w:rsid w:val="00B74759"/>
    <w:rsid w:val="00B772AE"/>
    <w:rsid w:val="00B7747F"/>
    <w:rsid w:val="00B80FC2"/>
    <w:rsid w:val="00B81865"/>
    <w:rsid w:val="00B81D6F"/>
    <w:rsid w:val="00B8500A"/>
    <w:rsid w:val="00B85EFB"/>
    <w:rsid w:val="00B86262"/>
    <w:rsid w:val="00B872C5"/>
    <w:rsid w:val="00B87AB4"/>
    <w:rsid w:val="00B90B0F"/>
    <w:rsid w:val="00B90D74"/>
    <w:rsid w:val="00B90DCA"/>
    <w:rsid w:val="00B90FA6"/>
    <w:rsid w:val="00B91534"/>
    <w:rsid w:val="00B91B32"/>
    <w:rsid w:val="00B91D7E"/>
    <w:rsid w:val="00B931B4"/>
    <w:rsid w:val="00B94173"/>
    <w:rsid w:val="00B94AC5"/>
    <w:rsid w:val="00B96301"/>
    <w:rsid w:val="00B96CEC"/>
    <w:rsid w:val="00BA2699"/>
    <w:rsid w:val="00BA71A4"/>
    <w:rsid w:val="00BB04DC"/>
    <w:rsid w:val="00BB1195"/>
    <w:rsid w:val="00BB3CBD"/>
    <w:rsid w:val="00BB5A9C"/>
    <w:rsid w:val="00BC0271"/>
    <w:rsid w:val="00BC0867"/>
    <w:rsid w:val="00BC0C49"/>
    <w:rsid w:val="00BC1679"/>
    <w:rsid w:val="00BC1961"/>
    <w:rsid w:val="00BC2216"/>
    <w:rsid w:val="00BC2AA6"/>
    <w:rsid w:val="00BC3453"/>
    <w:rsid w:val="00BC35D6"/>
    <w:rsid w:val="00BC3691"/>
    <w:rsid w:val="00BC4927"/>
    <w:rsid w:val="00BC55EE"/>
    <w:rsid w:val="00BD166E"/>
    <w:rsid w:val="00BD17F1"/>
    <w:rsid w:val="00BD1C64"/>
    <w:rsid w:val="00BD21C2"/>
    <w:rsid w:val="00BD2BA0"/>
    <w:rsid w:val="00BD3778"/>
    <w:rsid w:val="00BD4657"/>
    <w:rsid w:val="00BD4F54"/>
    <w:rsid w:val="00BD5779"/>
    <w:rsid w:val="00BD66EE"/>
    <w:rsid w:val="00BD7C3E"/>
    <w:rsid w:val="00BD7D6F"/>
    <w:rsid w:val="00BE2701"/>
    <w:rsid w:val="00BE2A26"/>
    <w:rsid w:val="00BE3A9A"/>
    <w:rsid w:val="00BE3CE7"/>
    <w:rsid w:val="00BE48AD"/>
    <w:rsid w:val="00BE63EF"/>
    <w:rsid w:val="00BE77DF"/>
    <w:rsid w:val="00BF18DC"/>
    <w:rsid w:val="00BF2666"/>
    <w:rsid w:val="00BF39A7"/>
    <w:rsid w:val="00BF4792"/>
    <w:rsid w:val="00BF5C26"/>
    <w:rsid w:val="00BF6165"/>
    <w:rsid w:val="00BF73FE"/>
    <w:rsid w:val="00BF7CCA"/>
    <w:rsid w:val="00BF7F12"/>
    <w:rsid w:val="00C011FC"/>
    <w:rsid w:val="00C015B5"/>
    <w:rsid w:val="00C018A2"/>
    <w:rsid w:val="00C02889"/>
    <w:rsid w:val="00C02F9C"/>
    <w:rsid w:val="00C03772"/>
    <w:rsid w:val="00C0639F"/>
    <w:rsid w:val="00C0693E"/>
    <w:rsid w:val="00C07E7F"/>
    <w:rsid w:val="00C100B4"/>
    <w:rsid w:val="00C107CE"/>
    <w:rsid w:val="00C11F85"/>
    <w:rsid w:val="00C145F6"/>
    <w:rsid w:val="00C14890"/>
    <w:rsid w:val="00C1564C"/>
    <w:rsid w:val="00C175B3"/>
    <w:rsid w:val="00C178EA"/>
    <w:rsid w:val="00C17E9C"/>
    <w:rsid w:val="00C20AB7"/>
    <w:rsid w:val="00C21920"/>
    <w:rsid w:val="00C21E46"/>
    <w:rsid w:val="00C22098"/>
    <w:rsid w:val="00C22742"/>
    <w:rsid w:val="00C24017"/>
    <w:rsid w:val="00C26866"/>
    <w:rsid w:val="00C27BB9"/>
    <w:rsid w:val="00C302F8"/>
    <w:rsid w:val="00C30CAB"/>
    <w:rsid w:val="00C31F48"/>
    <w:rsid w:val="00C31FCE"/>
    <w:rsid w:val="00C3279E"/>
    <w:rsid w:val="00C33374"/>
    <w:rsid w:val="00C36140"/>
    <w:rsid w:val="00C36F1C"/>
    <w:rsid w:val="00C407C4"/>
    <w:rsid w:val="00C40AC8"/>
    <w:rsid w:val="00C40CFD"/>
    <w:rsid w:val="00C40E93"/>
    <w:rsid w:val="00C4219D"/>
    <w:rsid w:val="00C42246"/>
    <w:rsid w:val="00C43E09"/>
    <w:rsid w:val="00C43F8C"/>
    <w:rsid w:val="00C441D7"/>
    <w:rsid w:val="00C46743"/>
    <w:rsid w:val="00C469A7"/>
    <w:rsid w:val="00C46FAF"/>
    <w:rsid w:val="00C470CA"/>
    <w:rsid w:val="00C500B2"/>
    <w:rsid w:val="00C53436"/>
    <w:rsid w:val="00C54619"/>
    <w:rsid w:val="00C54EB4"/>
    <w:rsid w:val="00C54F8D"/>
    <w:rsid w:val="00C57494"/>
    <w:rsid w:val="00C5783F"/>
    <w:rsid w:val="00C57A52"/>
    <w:rsid w:val="00C60510"/>
    <w:rsid w:val="00C607C2"/>
    <w:rsid w:val="00C6150C"/>
    <w:rsid w:val="00C618C6"/>
    <w:rsid w:val="00C61933"/>
    <w:rsid w:val="00C62018"/>
    <w:rsid w:val="00C6436F"/>
    <w:rsid w:val="00C6479D"/>
    <w:rsid w:val="00C64A2E"/>
    <w:rsid w:val="00C64C78"/>
    <w:rsid w:val="00C65456"/>
    <w:rsid w:val="00C66FE3"/>
    <w:rsid w:val="00C67D97"/>
    <w:rsid w:val="00C67DF3"/>
    <w:rsid w:val="00C716C4"/>
    <w:rsid w:val="00C71DA8"/>
    <w:rsid w:val="00C7439A"/>
    <w:rsid w:val="00C74BD5"/>
    <w:rsid w:val="00C74FC1"/>
    <w:rsid w:val="00C75D0A"/>
    <w:rsid w:val="00C77FA5"/>
    <w:rsid w:val="00C8170A"/>
    <w:rsid w:val="00C81908"/>
    <w:rsid w:val="00C830C6"/>
    <w:rsid w:val="00C835B0"/>
    <w:rsid w:val="00C87A5F"/>
    <w:rsid w:val="00C902AB"/>
    <w:rsid w:val="00C90C67"/>
    <w:rsid w:val="00C91A79"/>
    <w:rsid w:val="00C92D1E"/>
    <w:rsid w:val="00C931D9"/>
    <w:rsid w:val="00C93838"/>
    <w:rsid w:val="00C93847"/>
    <w:rsid w:val="00C95B7A"/>
    <w:rsid w:val="00C95B7B"/>
    <w:rsid w:val="00C96425"/>
    <w:rsid w:val="00C964AF"/>
    <w:rsid w:val="00C97443"/>
    <w:rsid w:val="00CA0C0C"/>
    <w:rsid w:val="00CA308E"/>
    <w:rsid w:val="00CA36FA"/>
    <w:rsid w:val="00CA3B1F"/>
    <w:rsid w:val="00CA3BCB"/>
    <w:rsid w:val="00CA4418"/>
    <w:rsid w:val="00CA44FC"/>
    <w:rsid w:val="00CA4E20"/>
    <w:rsid w:val="00CA5050"/>
    <w:rsid w:val="00CA5851"/>
    <w:rsid w:val="00CB0837"/>
    <w:rsid w:val="00CB09E6"/>
    <w:rsid w:val="00CB0E77"/>
    <w:rsid w:val="00CB17F0"/>
    <w:rsid w:val="00CB1C0B"/>
    <w:rsid w:val="00CB3C89"/>
    <w:rsid w:val="00CB5AE6"/>
    <w:rsid w:val="00CB62AA"/>
    <w:rsid w:val="00CB64A5"/>
    <w:rsid w:val="00CB73E8"/>
    <w:rsid w:val="00CB7F8C"/>
    <w:rsid w:val="00CC1708"/>
    <w:rsid w:val="00CC255C"/>
    <w:rsid w:val="00CC5886"/>
    <w:rsid w:val="00CC5D63"/>
    <w:rsid w:val="00CC7A30"/>
    <w:rsid w:val="00CD009F"/>
    <w:rsid w:val="00CD01F4"/>
    <w:rsid w:val="00CD1860"/>
    <w:rsid w:val="00CD2791"/>
    <w:rsid w:val="00CD3AC2"/>
    <w:rsid w:val="00CD57CE"/>
    <w:rsid w:val="00CD64CB"/>
    <w:rsid w:val="00CE0B47"/>
    <w:rsid w:val="00CE203F"/>
    <w:rsid w:val="00CE23FE"/>
    <w:rsid w:val="00CE3C63"/>
    <w:rsid w:val="00CE7EF4"/>
    <w:rsid w:val="00CF0A7B"/>
    <w:rsid w:val="00CF12DF"/>
    <w:rsid w:val="00CF1A21"/>
    <w:rsid w:val="00CF2451"/>
    <w:rsid w:val="00CF2ACE"/>
    <w:rsid w:val="00D01668"/>
    <w:rsid w:val="00D018D1"/>
    <w:rsid w:val="00D01BCB"/>
    <w:rsid w:val="00D02E1D"/>
    <w:rsid w:val="00D034AD"/>
    <w:rsid w:val="00D03A7A"/>
    <w:rsid w:val="00D03B0B"/>
    <w:rsid w:val="00D03BF6"/>
    <w:rsid w:val="00D03EE0"/>
    <w:rsid w:val="00D042EA"/>
    <w:rsid w:val="00D04D9A"/>
    <w:rsid w:val="00D0537B"/>
    <w:rsid w:val="00D05EE6"/>
    <w:rsid w:val="00D066A3"/>
    <w:rsid w:val="00D0688E"/>
    <w:rsid w:val="00D06E58"/>
    <w:rsid w:val="00D070C8"/>
    <w:rsid w:val="00D070DA"/>
    <w:rsid w:val="00D10B14"/>
    <w:rsid w:val="00D15D3B"/>
    <w:rsid w:val="00D15F1C"/>
    <w:rsid w:val="00D162F5"/>
    <w:rsid w:val="00D16BDD"/>
    <w:rsid w:val="00D16E1E"/>
    <w:rsid w:val="00D16F2F"/>
    <w:rsid w:val="00D1768C"/>
    <w:rsid w:val="00D17985"/>
    <w:rsid w:val="00D20910"/>
    <w:rsid w:val="00D222DD"/>
    <w:rsid w:val="00D22668"/>
    <w:rsid w:val="00D22908"/>
    <w:rsid w:val="00D22931"/>
    <w:rsid w:val="00D23A3D"/>
    <w:rsid w:val="00D243EC"/>
    <w:rsid w:val="00D24BA0"/>
    <w:rsid w:val="00D25607"/>
    <w:rsid w:val="00D27152"/>
    <w:rsid w:val="00D27514"/>
    <w:rsid w:val="00D27F58"/>
    <w:rsid w:val="00D3065A"/>
    <w:rsid w:val="00D320BB"/>
    <w:rsid w:val="00D32398"/>
    <w:rsid w:val="00D3258E"/>
    <w:rsid w:val="00D33184"/>
    <w:rsid w:val="00D35957"/>
    <w:rsid w:val="00D36E7C"/>
    <w:rsid w:val="00D4155F"/>
    <w:rsid w:val="00D4299C"/>
    <w:rsid w:val="00D43048"/>
    <w:rsid w:val="00D44026"/>
    <w:rsid w:val="00D448C6"/>
    <w:rsid w:val="00D45DCF"/>
    <w:rsid w:val="00D466FC"/>
    <w:rsid w:val="00D47946"/>
    <w:rsid w:val="00D50AD6"/>
    <w:rsid w:val="00D51747"/>
    <w:rsid w:val="00D53737"/>
    <w:rsid w:val="00D53FE2"/>
    <w:rsid w:val="00D548E3"/>
    <w:rsid w:val="00D5584E"/>
    <w:rsid w:val="00D5671C"/>
    <w:rsid w:val="00D56846"/>
    <w:rsid w:val="00D609E3"/>
    <w:rsid w:val="00D60B2B"/>
    <w:rsid w:val="00D60CAD"/>
    <w:rsid w:val="00D61E9A"/>
    <w:rsid w:val="00D62106"/>
    <w:rsid w:val="00D628F1"/>
    <w:rsid w:val="00D629B2"/>
    <w:rsid w:val="00D639D1"/>
    <w:rsid w:val="00D65013"/>
    <w:rsid w:val="00D6583D"/>
    <w:rsid w:val="00D65F80"/>
    <w:rsid w:val="00D6701A"/>
    <w:rsid w:val="00D679C8"/>
    <w:rsid w:val="00D67C68"/>
    <w:rsid w:val="00D67D03"/>
    <w:rsid w:val="00D702B9"/>
    <w:rsid w:val="00D71412"/>
    <w:rsid w:val="00D71EF5"/>
    <w:rsid w:val="00D73ECD"/>
    <w:rsid w:val="00D74C08"/>
    <w:rsid w:val="00D74EC4"/>
    <w:rsid w:val="00D760A8"/>
    <w:rsid w:val="00D763BD"/>
    <w:rsid w:val="00D8188F"/>
    <w:rsid w:val="00D81E7B"/>
    <w:rsid w:val="00D8242A"/>
    <w:rsid w:val="00D83540"/>
    <w:rsid w:val="00D83EF3"/>
    <w:rsid w:val="00D85622"/>
    <w:rsid w:val="00D8562D"/>
    <w:rsid w:val="00D868FD"/>
    <w:rsid w:val="00D86ADD"/>
    <w:rsid w:val="00D908E7"/>
    <w:rsid w:val="00D928DD"/>
    <w:rsid w:val="00D92FE1"/>
    <w:rsid w:val="00D933F2"/>
    <w:rsid w:val="00D94273"/>
    <w:rsid w:val="00D942C2"/>
    <w:rsid w:val="00D9486F"/>
    <w:rsid w:val="00D94F76"/>
    <w:rsid w:val="00D97CD3"/>
    <w:rsid w:val="00D97E2C"/>
    <w:rsid w:val="00DA2E33"/>
    <w:rsid w:val="00DA3CDA"/>
    <w:rsid w:val="00DA3E20"/>
    <w:rsid w:val="00DA423F"/>
    <w:rsid w:val="00DA4BBA"/>
    <w:rsid w:val="00DA4CE3"/>
    <w:rsid w:val="00DA5164"/>
    <w:rsid w:val="00DA5530"/>
    <w:rsid w:val="00DA6F64"/>
    <w:rsid w:val="00DB0030"/>
    <w:rsid w:val="00DB0160"/>
    <w:rsid w:val="00DB38B0"/>
    <w:rsid w:val="00DB3A36"/>
    <w:rsid w:val="00DB40F2"/>
    <w:rsid w:val="00DB4E80"/>
    <w:rsid w:val="00DB60D4"/>
    <w:rsid w:val="00DB6484"/>
    <w:rsid w:val="00DB65C5"/>
    <w:rsid w:val="00DB745F"/>
    <w:rsid w:val="00DC0427"/>
    <w:rsid w:val="00DC1469"/>
    <w:rsid w:val="00DC1D82"/>
    <w:rsid w:val="00DC4F63"/>
    <w:rsid w:val="00DC54AB"/>
    <w:rsid w:val="00DC7A72"/>
    <w:rsid w:val="00DD09AA"/>
    <w:rsid w:val="00DD0D97"/>
    <w:rsid w:val="00DD0E8A"/>
    <w:rsid w:val="00DD1036"/>
    <w:rsid w:val="00DD1717"/>
    <w:rsid w:val="00DD18C2"/>
    <w:rsid w:val="00DD21DF"/>
    <w:rsid w:val="00DD2996"/>
    <w:rsid w:val="00DD2CD9"/>
    <w:rsid w:val="00DD39C3"/>
    <w:rsid w:val="00DD3A1E"/>
    <w:rsid w:val="00DD4450"/>
    <w:rsid w:val="00DD4A6E"/>
    <w:rsid w:val="00DD5322"/>
    <w:rsid w:val="00DD540D"/>
    <w:rsid w:val="00DD6466"/>
    <w:rsid w:val="00DD6564"/>
    <w:rsid w:val="00DD7548"/>
    <w:rsid w:val="00DD77DE"/>
    <w:rsid w:val="00DD786F"/>
    <w:rsid w:val="00DE133F"/>
    <w:rsid w:val="00DE14D7"/>
    <w:rsid w:val="00DE161A"/>
    <w:rsid w:val="00DE450E"/>
    <w:rsid w:val="00DE4FD2"/>
    <w:rsid w:val="00DF06D9"/>
    <w:rsid w:val="00DF1520"/>
    <w:rsid w:val="00DF30F5"/>
    <w:rsid w:val="00DF3344"/>
    <w:rsid w:val="00DF4CE1"/>
    <w:rsid w:val="00DF688A"/>
    <w:rsid w:val="00DF7400"/>
    <w:rsid w:val="00DF7E8C"/>
    <w:rsid w:val="00E00B0B"/>
    <w:rsid w:val="00E015E5"/>
    <w:rsid w:val="00E03398"/>
    <w:rsid w:val="00E04F6D"/>
    <w:rsid w:val="00E06E09"/>
    <w:rsid w:val="00E11BC2"/>
    <w:rsid w:val="00E12539"/>
    <w:rsid w:val="00E13B68"/>
    <w:rsid w:val="00E1620F"/>
    <w:rsid w:val="00E2000C"/>
    <w:rsid w:val="00E2006C"/>
    <w:rsid w:val="00E210F0"/>
    <w:rsid w:val="00E212B6"/>
    <w:rsid w:val="00E22D31"/>
    <w:rsid w:val="00E22E15"/>
    <w:rsid w:val="00E2301F"/>
    <w:rsid w:val="00E248E1"/>
    <w:rsid w:val="00E303E0"/>
    <w:rsid w:val="00E30943"/>
    <w:rsid w:val="00E30B28"/>
    <w:rsid w:val="00E30DB8"/>
    <w:rsid w:val="00E3141E"/>
    <w:rsid w:val="00E32C33"/>
    <w:rsid w:val="00E35370"/>
    <w:rsid w:val="00E3541D"/>
    <w:rsid w:val="00E35F42"/>
    <w:rsid w:val="00E36258"/>
    <w:rsid w:val="00E377D1"/>
    <w:rsid w:val="00E40636"/>
    <w:rsid w:val="00E413E8"/>
    <w:rsid w:val="00E4352E"/>
    <w:rsid w:val="00E43659"/>
    <w:rsid w:val="00E4388B"/>
    <w:rsid w:val="00E4503E"/>
    <w:rsid w:val="00E45EA5"/>
    <w:rsid w:val="00E47C73"/>
    <w:rsid w:val="00E503B7"/>
    <w:rsid w:val="00E50482"/>
    <w:rsid w:val="00E50C14"/>
    <w:rsid w:val="00E5376D"/>
    <w:rsid w:val="00E54D0F"/>
    <w:rsid w:val="00E554E6"/>
    <w:rsid w:val="00E55CCE"/>
    <w:rsid w:val="00E56E05"/>
    <w:rsid w:val="00E60C97"/>
    <w:rsid w:val="00E63582"/>
    <w:rsid w:val="00E64155"/>
    <w:rsid w:val="00E6416B"/>
    <w:rsid w:val="00E6489A"/>
    <w:rsid w:val="00E64C02"/>
    <w:rsid w:val="00E651A8"/>
    <w:rsid w:val="00E65946"/>
    <w:rsid w:val="00E66981"/>
    <w:rsid w:val="00E70842"/>
    <w:rsid w:val="00E70AB1"/>
    <w:rsid w:val="00E71757"/>
    <w:rsid w:val="00E727AF"/>
    <w:rsid w:val="00E72E56"/>
    <w:rsid w:val="00E7480B"/>
    <w:rsid w:val="00E74FC4"/>
    <w:rsid w:val="00E75C80"/>
    <w:rsid w:val="00E76BA1"/>
    <w:rsid w:val="00E7785F"/>
    <w:rsid w:val="00E80197"/>
    <w:rsid w:val="00E80A8E"/>
    <w:rsid w:val="00E81A69"/>
    <w:rsid w:val="00E841D5"/>
    <w:rsid w:val="00E84528"/>
    <w:rsid w:val="00E877B1"/>
    <w:rsid w:val="00E87ED2"/>
    <w:rsid w:val="00E90C6B"/>
    <w:rsid w:val="00E91213"/>
    <w:rsid w:val="00E918A8"/>
    <w:rsid w:val="00E9275A"/>
    <w:rsid w:val="00E92802"/>
    <w:rsid w:val="00E9286A"/>
    <w:rsid w:val="00E93426"/>
    <w:rsid w:val="00E94622"/>
    <w:rsid w:val="00E94FC4"/>
    <w:rsid w:val="00E97E14"/>
    <w:rsid w:val="00EA06A4"/>
    <w:rsid w:val="00EA06FB"/>
    <w:rsid w:val="00EA16AC"/>
    <w:rsid w:val="00EA34E8"/>
    <w:rsid w:val="00EA4A98"/>
    <w:rsid w:val="00EA5014"/>
    <w:rsid w:val="00EA5391"/>
    <w:rsid w:val="00EA5719"/>
    <w:rsid w:val="00EA58A3"/>
    <w:rsid w:val="00EA671B"/>
    <w:rsid w:val="00EA7B40"/>
    <w:rsid w:val="00EA7CFB"/>
    <w:rsid w:val="00EB03AC"/>
    <w:rsid w:val="00EB048F"/>
    <w:rsid w:val="00EB0887"/>
    <w:rsid w:val="00EB18A2"/>
    <w:rsid w:val="00EB1E61"/>
    <w:rsid w:val="00EB21B9"/>
    <w:rsid w:val="00EB28F4"/>
    <w:rsid w:val="00EB29A1"/>
    <w:rsid w:val="00EB4900"/>
    <w:rsid w:val="00EB59E7"/>
    <w:rsid w:val="00EB7965"/>
    <w:rsid w:val="00EC0368"/>
    <w:rsid w:val="00EC0A16"/>
    <w:rsid w:val="00EC0D14"/>
    <w:rsid w:val="00EC2C09"/>
    <w:rsid w:val="00EC366D"/>
    <w:rsid w:val="00EC60F5"/>
    <w:rsid w:val="00EC6858"/>
    <w:rsid w:val="00ED033F"/>
    <w:rsid w:val="00ED04D6"/>
    <w:rsid w:val="00ED15E7"/>
    <w:rsid w:val="00ED260E"/>
    <w:rsid w:val="00ED2E52"/>
    <w:rsid w:val="00ED400D"/>
    <w:rsid w:val="00ED45F6"/>
    <w:rsid w:val="00ED6574"/>
    <w:rsid w:val="00ED6B87"/>
    <w:rsid w:val="00EE1FFE"/>
    <w:rsid w:val="00EE2F48"/>
    <w:rsid w:val="00EE353E"/>
    <w:rsid w:val="00EE5951"/>
    <w:rsid w:val="00EE5F89"/>
    <w:rsid w:val="00EE6A0B"/>
    <w:rsid w:val="00EF31B3"/>
    <w:rsid w:val="00EF56E3"/>
    <w:rsid w:val="00EF62D5"/>
    <w:rsid w:val="00EF7EA0"/>
    <w:rsid w:val="00F01279"/>
    <w:rsid w:val="00F01598"/>
    <w:rsid w:val="00F01D32"/>
    <w:rsid w:val="00F01D97"/>
    <w:rsid w:val="00F026FF"/>
    <w:rsid w:val="00F0494E"/>
    <w:rsid w:val="00F05B2B"/>
    <w:rsid w:val="00F06052"/>
    <w:rsid w:val="00F0648A"/>
    <w:rsid w:val="00F11D20"/>
    <w:rsid w:val="00F1430D"/>
    <w:rsid w:val="00F21479"/>
    <w:rsid w:val="00F23501"/>
    <w:rsid w:val="00F23798"/>
    <w:rsid w:val="00F23E81"/>
    <w:rsid w:val="00F248F1"/>
    <w:rsid w:val="00F25682"/>
    <w:rsid w:val="00F25F29"/>
    <w:rsid w:val="00F26566"/>
    <w:rsid w:val="00F27A16"/>
    <w:rsid w:val="00F30245"/>
    <w:rsid w:val="00F30FA2"/>
    <w:rsid w:val="00F31DAA"/>
    <w:rsid w:val="00F328BE"/>
    <w:rsid w:val="00F33662"/>
    <w:rsid w:val="00F35573"/>
    <w:rsid w:val="00F362CC"/>
    <w:rsid w:val="00F36F95"/>
    <w:rsid w:val="00F42BB8"/>
    <w:rsid w:val="00F4452E"/>
    <w:rsid w:val="00F44C62"/>
    <w:rsid w:val="00F44F33"/>
    <w:rsid w:val="00F456C5"/>
    <w:rsid w:val="00F458D3"/>
    <w:rsid w:val="00F45CBB"/>
    <w:rsid w:val="00F46084"/>
    <w:rsid w:val="00F476F7"/>
    <w:rsid w:val="00F47A54"/>
    <w:rsid w:val="00F51E46"/>
    <w:rsid w:val="00F51EE9"/>
    <w:rsid w:val="00F53C7C"/>
    <w:rsid w:val="00F54116"/>
    <w:rsid w:val="00F5593E"/>
    <w:rsid w:val="00F60201"/>
    <w:rsid w:val="00F61E50"/>
    <w:rsid w:val="00F6279D"/>
    <w:rsid w:val="00F62F28"/>
    <w:rsid w:val="00F64116"/>
    <w:rsid w:val="00F66999"/>
    <w:rsid w:val="00F66A58"/>
    <w:rsid w:val="00F67DC1"/>
    <w:rsid w:val="00F70AE5"/>
    <w:rsid w:val="00F70ED6"/>
    <w:rsid w:val="00F721EB"/>
    <w:rsid w:val="00F7224D"/>
    <w:rsid w:val="00F72317"/>
    <w:rsid w:val="00F73A40"/>
    <w:rsid w:val="00F73D75"/>
    <w:rsid w:val="00F74745"/>
    <w:rsid w:val="00F75515"/>
    <w:rsid w:val="00F75E34"/>
    <w:rsid w:val="00F761B2"/>
    <w:rsid w:val="00F76974"/>
    <w:rsid w:val="00F76B32"/>
    <w:rsid w:val="00F7731E"/>
    <w:rsid w:val="00F77352"/>
    <w:rsid w:val="00F77413"/>
    <w:rsid w:val="00F77B3F"/>
    <w:rsid w:val="00F80150"/>
    <w:rsid w:val="00F8017B"/>
    <w:rsid w:val="00F80655"/>
    <w:rsid w:val="00F82AE6"/>
    <w:rsid w:val="00F84775"/>
    <w:rsid w:val="00F847BC"/>
    <w:rsid w:val="00F84B87"/>
    <w:rsid w:val="00F85581"/>
    <w:rsid w:val="00F85693"/>
    <w:rsid w:val="00F867F3"/>
    <w:rsid w:val="00F87219"/>
    <w:rsid w:val="00F926F8"/>
    <w:rsid w:val="00FA054E"/>
    <w:rsid w:val="00FA19F4"/>
    <w:rsid w:val="00FA1C08"/>
    <w:rsid w:val="00FA1CA5"/>
    <w:rsid w:val="00FA1E36"/>
    <w:rsid w:val="00FA20CE"/>
    <w:rsid w:val="00FA2235"/>
    <w:rsid w:val="00FA4202"/>
    <w:rsid w:val="00FA522B"/>
    <w:rsid w:val="00FA6161"/>
    <w:rsid w:val="00FB10BF"/>
    <w:rsid w:val="00FB15B0"/>
    <w:rsid w:val="00FB2816"/>
    <w:rsid w:val="00FB39B2"/>
    <w:rsid w:val="00FB3FA0"/>
    <w:rsid w:val="00FB44AB"/>
    <w:rsid w:val="00FB462A"/>
    <w:rsid w:val="00FB53C3"/>
    <w:rsid w:val="00FB57AE"/>
    <w:rsid w:val="00FB60A6"/>
    <w:rsid w:val="00FB61AC"/>
    <w:rsid w:val="00FB7B45"/>
    <w:rsid w:val="00FB7B4A"/>
    <w:rsid w:val="00FB7DEE"/>
    <w:rsid w:val="00FC01B1"/>
    <w:rsid w:val="00FC0E63"/>
    <w:rsid w:val="00FC2D89"/>
    <w:rsid w:val="00FC3460"/>
    <w:rsid w:val="00FC4336"/>
    <w:rsid w:val="00FC5501"/>
    <w:rsid w:val="00FC5AA8"/>
    <w:rsid w:val="00FC62C9"/>
    <w:rsid w:val="00FC6DB4"/>
    <w:rsid w:val="00FC6F23"/>
    <w:rsid w:val="00FC7696"/>
    <w:rsid w:val="00FC7E90"/>
    <w:rsid w:val="00FD001B"/>
    <w:rsid w:val="00FD039C"/>
    <w:rsid w:val="00FD09FE"/>
    <w:rsid w:val="00FD2C40"/>
    <w:rsid w:val="00FD34C2"/>
    <w:rsid w:val="00FD362B"/>
    <w:rsid w:val="00FD3794"/>
    <w:rsid w:val="00FD7657"/>
    <w:rsid w:val="00FE1E6F"/>
    <w:rsid w:val="00FE1EC5"/>
    <w:rsid w:val="00FE23DA"/>
    <w:rsid w:val="00FE35E4"/>
    <w:rsid w:val="00FE3634"/>
    <w:rsid w:val="00FE36F2"/>
    <w:rsid w:val="00FE4B61"/>
    <w:rsid w:val="00FE4C0C"/>
    <w:rsid w:val="00FE4E2D"/>
    <w:rsid w:val="00FE5306"/>
    <w:rsid w:val="00FE64B2"/>
    <w:rsid w:val="00FE6632"/>
    <w:rsid w:val="00FF0093"/>
    <w:rsid w:val="00FF05C5"/>
    <w:rsid w:val="00FF163C"/>
    <w:rsid w:val="00FF189F"/>
    <w:rsid w:val="00FF1F3F"/>
    <w:rsid w:val="00FF329C"/>
    <w:rsid w:val="00FF379D"/>
    <w:rsid w:val="00FF43E4"/>
    <w:rsid w:val="00FF5D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style="mso-position-horizontal-relative:page;mso-position-vertical-relative:page" strokecolor="none [3215]">
      <v:stroke color="none [3215]" weight="1pt"/>
    </o:shapedefaults>
    <o:shapelayout v:ext="edit">
      <o:idmap v:ext="edit" data="1"/>
    </o:shapelayout>
  </w:shapeDefaults>
  <w:decimalSymbol w:val="."/>
  <w:listSeparator w:val=","/>
  <w14:docId w14:val="3E9B35CF"/>
  <w15:docId w15:val="{068370ED-0F25-4956-9CAC-066184D3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D009F"/>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rsid w:val="00B04144"/>
    <w:pPr>
      <w:tabs>
        <w:tab w:val="center" w:pos="4536"/>
        <w:tab w:val="right" w:pos="9072"/>
      </w:tabs>
    </w:pPr>
  </w:style>
  <w:style w:type="character" w:customStyle="1" w:styleId="FooterChar">
    <w:name w:val="Footer Char"/>
    <w:basedOn w:val="DefaultParagraphFont"/>
    <w:link w:val="Footer"/>
    <w:uiPriority w:val="99"/>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FF163C"/>
    <w:pPr>
      <w:spacing w:before="400" w:line="340" w:lineRule="exact"/>
      <w:jc w:val="center"/>
      <w:outlineLvl w:val="0"/>
    </w:pPr>
    <w:rPr>
      <w:rFonts w:ascii="Times New Roman" w:hAnsi="Times New Roman" w:cstheme="majorHAnsi"/>
      <w:b/>
      <w:color w:val="23236E" w:themeColor="text2"/>
      <w:sz w:val="24"/>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5F336C"/>
    <w:pPr>
      <w:tabs>
        <w:tab w:val="right" w:leader="dot" w:pos="9514"/>
      </w:tabs>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3F4045"/>
    <w:pPr>
      <w:spacing w:line="260" w:lineRule="exact"/>
      <w:jc w:val="center"/>
      <w:outlineLvl w:val="1"/>
    </w:pPr>
    <w:rPr>
      <w:rFonts w:ascii="Times New Roman" w:hAnsi="Times New Roman"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character" w:styleId="CommentReference">
    <w:name w:val="annotation reference"/>
    <w:basedOn w:val="DefaultParagraphFont"/>
    <w:uiPriority w:val="99"/>
    <w:semiHidden/>
    <w:unhideWhenUsed/>
    <w:rsid w:val="00E377D1"/>
    <w:rPr>
      <w:sz w:val="16"/>
      <w:szCs w:val="16"/>
    </w:rPr>
  </w:style>
  <w:style w:type="paragraph" w:styleId="CommentText">
    <w:name w:val="annotation text"/>
    <w:basedOn w:val="Normal"/>
    <w:link w:val="CommentTextChar"/>
    <w:uiPriority w:val="99"/>
    <w:unhideWhenUsed/>
    <w:rsid w:val="00E377D1"/>
    <w:rPr>
      <w:sz w:val="20"/>
      <w:szCs w:val="20"/>
    </w:rPr>
  </w:style>
  <w:style w:type="character" w:customStyle="1" w:styleId="CommentTextChar">
    <w:name w:val="Comment Text Char"/>
    <w:basedOn w:val="DefaultParagraphFont"/>
    <w:link w:val="CommentText"/>
    <w:uiPriority w:val="99"/>
    <w:rsid w:val="00E377D1"/>
    <w:rPr>
      <w:sz w:val="20"/>
      <w:szCs w:val="20"/>
      <w:lang w:val="en-GB"/>
    </w:rPr>
  </w:style>
  <w:style w:type="paragraph" w:styleId="Title">
    <w:name w:val="Title"/>
    <w:basedOn w:val="Normal"/>
    <w:next w:val="Normal"/>
    <w:link w:val="TitleChar"/>
    <w:uiPriority w:val="10"/>
    <w:qFormat/>
    <w:rsid w:val="00E377D1"/>
    <w:pPr>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E377D1"/>
    <w:rPr>
      <w:rFonts w:asciiTheme="majorHAnsi" w:eastAsiaTheme="majorEastAsia" w:hAnsiTheme="majorHAnsi" w:cstheme="majorBidi"/>
      <w:spacing w:val="-10"/>
      <w:kern w:val="28"/>
      <w:sz w:val="56"/>
      <w:szCs w:val="56"/>
      <w:lang w:val="fi-FI"/>
    </w:rPr>
  </w:style>
  <w:style w:type="paragraph" w:styleId="FootnoteText">
    <w:name w:val="footnote text"/>
    <w:aliases w:val="footnotes"/>
    <w:basedOn w:val="Normal"/>
    <w:link w:val="FootnoteTextChar"/>
    <w:unhideWhenUsed/>
    <w:rsid w:val="006A737C"/>
    <w:rPr>
      <w:sz w:val="20"/>
      <w:szCs w:val="20"/>
    </w:rPr>
  </w:style>
  <w:style w:type="character" w:customStyle="1" w:styleId="FootnoteTextChar">
    <w:name w:val="Footnote Text Char"/>
    <w:aliases w:val="footnotes Char"/>
    <w:basedOn w:val="DefaultParagraphFont"/>
    <w:link w:val="FootnoteText"/>
    <w:rsid w:val="006A737C"/>
    <w:rPr>
      <w:sz w:val="20"/>
      <w:szCs w:val="20"/>
      <w:lang w:val="en-GB"/>
    </w:rPr>
  </w:style>
  <w:style w:type="character" w:styleId="FootnoteReference">
    <w:name w:val="footnote reference"/>
    <w:basedOn w:val="DefaultParagraphFont"/>
    <w:semiHidden/>
    <w:unhideWhenUsed/>
    <w:rsid w:val="006A737C"/>
    <w:rPr>
      <w:vertAlign w:val="superscript"/>
    </w:rPr>
  </w:style>
  <w:style w:type="paragraph" w:styleId="CommentSubject">
    <w:name w:val="annotation subject"/>
    <w:basedOn w:val="CommentText"/>
    <w:next w:val="CommentText"/>
    <w:link w:val="CommentSubjectChar"/>
    <w:uiPriority w:val="99"/>
    <w:semiHidden/>
    <w:unhideWhenUsed/>
    <w:rsid w:val="006A737C"/>
    <w:pPr>
      <w:spacing w:after="160"/>
    </w:pPr>
    <w:rPr>
      <w:b/>
      <w:bCs/>
      <w:lang w:val="fi-FI"/>
    </w:rPr>
  </w:style>
  <w:style w:type="character" w:customStyle="1" w:styleId="CommentSubjectChar">
    <w:name w:val="Comment Subject Char"/>
    <w:basedOn w:val="CommentTextChar"/>
    <w:link w:val="CommentSubject"/>
    <w:uiPriority w:val="99"/>
    <w:semiHidden/>
    <w:rsid w:val="006A737C"/>
    <w:rPr>
      <w:b/>
      <w:bCs/>
      <w:sz w:val="20"/>
      <w:szCs w:val="20"/>
      <w:lang w:val="fi-FI"/>
    </w:rPr>
  </w:style>
  <w:style w:type="character" w:customStyle="1" w:styleId="KommentintekstiChar">
    <w:name w:val="Kommentin teksti Char"/>
    <w:basedOn w:val="DefaultParagraphFont"/>
    <w:uiPriority w:val="99"/>
    <w:rsid w:val="006A737C"/>
    <w:rPr>
      <w:sz w:val="20"/>
      <w:szCs w:val="20"/>
    </w:rPr>
  </w:style>
  <w:style w:type="paragraph" w:styleId="ListParagraph">
    <w:name w:val="List Paragraph"/>
    <w:aliases w:val="Odstavec1,Puce"/>
    <w:basedOn w:val="Normal"/>
    <w:link w:val="ListParagraphChar"/>
    <w:uiPriority w:val="34"/>
    <w:qFormat/>
    <w:rsid w:val="004038AE"/>
    <w:pPr>
      <w:spacing w:after="160" w:line="259" w:lineRule="auto"/>
      <w:ind w:left="720"/>
      <w:contextualSpacing/>
      <w:jc w:val="both"/>
    </w:pPr>
    <w:rPr>
      <w:lang w:val="fi-FI"/>
    </w:rPr>
  </w:style>
  <w:style w:type="paragraph" w:customStyle="1" w:styleId="Default">
    <w:name w:val="Default"/>
    <w:rsid w:val="006A737C"/>
    <w:pPr>
      <w:autoSpaceDE w:val="0"/>
      <w:autoSpaceDN w:val="0"/>
      <w:adjustRightInd w:val="0"/>
    </w:pPr>
    <w:rPr>
      <w:rFonts w:ascii="EUAlbertina" w:hAnsi="EUAlbertina" w:cs="EUAlbertina"/>
      <w:color w:val="000000"/>
      <w:sz w:val="24"/>
      <w:szCs w:val="24"/>
      <w:lang w:val="de-AT"/>
    </w:rPr>
  </w:style>
  <w:style w:type="character" w:customStyle="1" w:styleId="AlaviitteentekstiChar">
    <w:name w:val="Alaviitteen teksti Char"/>
    <w:basedOn w:val="DefaultParagraphFont"/>
    <w:uiPriority w:val="99"/>
    <w:semiHidden/>
    <w:rsid w:val="006A737C"/>
    <w:rPr>
      <w:sz w:val="20"/>
      <w:szCs w:val="20"/>
    </w:rPr>
  </w:style>
  <w:style w:type="character" w:customStyle="1" w:styleId="descriptionid1siteid2571">
    <w:name w:val="descriptionid1siteid2571"/>
    <w:basedOn w:val="DefaultParagraphFont"/>
    <w:rsid w:val="006A737C"/>
    <w:rPr>
      <w:rFonts w:ascii="Arial" w:hAnsi="Arial" w:cs="Arial" w:hint="default"/>
      <w:color w:val="666666"/>
      <w:sz w:val="18"/>
      <w:szCs w:val="18"/>
    </w:rPr>
  </w:style>
  <w:style w:type="paragraph" w:customStyle="1" w:styleId="Normln1">
    <w:name w:val="Normální1"/>
    <w:aliases w:val="ČEPS Arial"/>
    <w:basedOn w:val="Normal"/>
    <w:rsid w:val="006A737C"/>
    <w:rPr>
      <w:rFonts w:ascii="Calibri" w:hAnsi="Calibri" w:cs="Times New Roman"/>
      <w:lang w:val="pl-PL"/>
    </w:rPr>
  </w:style>
  <w:style w:type="character" w:styleId="FollowedHyperlink">
    <w:name w:val="FollowedHyperlink"/>
    <w:basedOn w:val="DefaultParagraphFont"/>
    <w:uiPriority w:val="99"/>
    <w:semiHidden/>
    <w:unhideWhenUsed/>
    <w:rsid w:val="006A737C"/>
    <w:rPr>
      <w:color w:val="800080" w:themeColor="followedHyperlink"/>
      <w:u w:val="single"/>
    </w:rPr>
  </w:style>
  <w:style w:type="paragraph" w:styleId="Revision">
    <w:name w:val="Revision"/>
    <w:hidden/>
    <w:uiPriority w:val="99"/>
    <w:semiHidden/>
    <w:rsid w:val="006A737C"/>
    <w:rPr>
      <w:lang w:val="fi-FI"/>
    </w:rPr>
  </w:style>
  <w:style w:type="character" w:customStyle="1" w:styleId="textregularZchn">
    <w:name w:val="text regular Zchn"/>
    <w:basedOn w:val="DefaultParagraphFont"/>
    <w:link w:val="textregular"/>
    <w:locked/>
    <w:rsid w:val="00FA1C08"/>
    <w:rPr>
      <w:lang w:val="en-GB"/>
    </w:rPr>
  </w:style>
  <w:style w:type="paragraph" w:styleId="NormalWeb">
    <w:name w:val="Normal (Web)"/>
    <w:basedOn w:val="Normal"/>
    <w:uiPriority w:val="99"/>
    <w:unhideWhenUsed/>
    <w:rsid w:val="007C72F1"/>
    <w:pPr>
      <w:spacing w:before="100" w:beforeAutospacing="1" w:after="100" w:afterAutospacing="1"/>
    </w:pPr>
    <w:rPr>
      <w:rFonts w:ascii="Times New Roman" w:eastAsia="Times New Roman" w:hAnsi="Times New Roman" w:cs="Times New Roman"/>
      <w:sz w:val="24"/>
      <w:szCs w:val="24"/>
      <w:lang w:val="en-US"/>
    </w:rPr>
  </w:style>
  <w:style w:type="character" w:customStyle="1" w:styleId="ListParagraphChar">
    <w:name w:val="List Paragraph Char"/>
    <w:aliases w:val="Odstavec1 Char,Puce Char"/>
    <w:basedOn w:val="DefaultParagraphFont"/>
    <w:link w:val="ListParagraph"/>
    <w:uiPriority w:val="34"/>
    <w:locked/>
    <w:rsid w:val="007C72F1"/>
    <w:rPr>
      <w:lang w:val="fi-FI"/>
    </w:rPr>
  </w:style>
  <w:style w:type="paragraph" w:customStyle="1" w:styleId="NumPar1">
    <w:name w:val="NumPar 1"/>
    <w:basedOn w:val="Normal"/>
    <w:next w:val="Normal"/>
    <w:rsid w:val="004A1545"/>
    <w:pPr>
      <w:numPr>
        <w:numId w:val="6"/>
      </w:numPr>
      <w:spacing w:before="120" w:after="120"/>
      <w:jc w:val="both"/>
    </w:pPr>
    <w:rPr>
      <w:rFonts w:ascii="Times New Roman" w:hAnsi="Times New Roman" w:cs="Times New Roman"/>
      <w:sz w:val="24"/>
    </w:rPr>
  </w:style>
  <w:style w:type="paragraph" w:customStyle="1" w:styleId="NumPar2">
    <w:name w:val="NumPar 2"/>
    <w:basedOn w:val="Normal"/>
    <w:next w:val="Normal"/>
    <w:rsid w:val="004A1545"/>
    <w:pPr>
      <w:numPr>
        <w:ilvl w:val="1"/>
        <w:numId w:val="6"/>
      </w:numPr>
      <w:spacing w:before="120" w:after="120"/>
      <w:jc w:val="both"/>
    </w:pPr>
    <w:rPr>
      <w:rFonts w:ascii="Times New Roman" w:hAnsi="Times New Roman" w:cs="Times New Roman"/>
      <w:sz w:val="24"/>
    </w:rPr>
  </w:style>
  <w:style w:type="paragraph" w:customStyle="1" w:styleId="NumPar3">
    <w:name w:val="NumPar 3"/>
    <w:basedOn w:val="Normal"/>
    <w:next w:val="Normal"/>
    <w:rsid w:val="004A1545"/>
    <w:pPr>
      <w:numPr>
        <w:ilvl w:val="2"/>
        <w:numId w:val="6"/>
      </w:numPr>
      <w:spacing w:before="120" w:after="120"/>
      <w:jc w:val="both"/>
    </w:pPr>
    <w:rPr>
      <w:rFonts w:ascii="Times New Roman" w:hAnsi="Times New Roman" w:cs="Times New Roman"/>
      <w:sz w:val="24"/>
    </w:rPr>
  </w:style>
  <w:style w:type="paragraph" w:customStyle="1" w:styleId="NumPar4">
    <w:name w:val="NumPar 4"/>
    <w:basedOn w:val="Normal"/>
    <w:next w:val="Normal"/>
    <w:rsid w:val="004A1545"/>
    <w:pPr>
      <w:numPr>
        <w:ilvl w:val="3"/>
        <w:numId w:val="6"/>
      </w:numPr>
      <w:spacing w:before="120" w:after="120"/>
      <w:jc w:val="both"/>
    </w:pPr>
    <w:rPr>
      <w:rFonts w:ascii="Times New Roman" w:hAnsi="Times New Roman" w:cs="Times New Roman"/>
      <w:sz w:val="24"/>
    </w:rPr>
  </w:style>
  <w:style w:type="paragraph" w:styleId="Caption">
    <w:name w:val="caption"/>
    <w:basedOn w:val="Normal"/>
    <w:next w:val="Normal"/>
    <w:uiPriority w:val="35"/>
    <w:unhideWhenUsed/>
    <w:qFormat/>
    <w:rsid w:val="000E773E"/>
    <w:pPr>
      <w:spacing w:after="200"/>
    </w:pPr>
    <w:rPr>
      <w:i/>
      <w:iCs/>
      <w:color w:val="23236E" w:themeColor="text2"/>
      <w:sz w:val="18"/>
      <w:szCs w:val="18"/>
    </w:rPr>
  </w:style>
  <w:style w:type="character" w:styleId="LineNumber">
    <w:name w:val="line number"/>
    <w:basedOn w:val="DefaultParagraphFont"/>
    <w:uiPriority w:val="99"/>
    <w:semiHidden/>
    <w:unhideWhenUsed/>
    <w:rsid w:val="00302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8124">
      <w:bodyDiv w:val="1"/>
      <w:marLeft w:val="0"/>
      <w:marRight w:val="0"/>
      <w:marTop w:val="0"/>
      <w:marBottom w:val="0"/>
      <w:divBdr>
        <w:top w:val="none" w:sz="0" w:space="0" w:color="auto"/>
        <w:left w:val="none" w:sz="0" w:space="0" w:color="auto"/>
        <w:bottom w:val="none" w:sz="0" w:space="0" w:color="auto"/>
        <w:right w:val="none" w:sz="0" w:space="0" w:color="auto"/>
      </w:divBdr>
    </w:div>
    <w:div w:id="188225808">
      <w:bodyDiv w:val="1"/>
      <w:marLeft w:val="0"/>
      <w:marRight w:val="0"/>
      <w:marTop w:val="0"/>
      <w:marBottom w:val="0"/>
      <w:divBdr>
        <w:top w:val="none" w:sz="0" w:space="0" w:color="auto"/>
        <w:left w:val="none" w:sz="0" w:space="0" w:color="auto"/>
        <w:bottom w:val="none" w:sz="0" w:space="0" w:color="auto"/>
        <w:right w:val="none" w:sz="0" w:space="0" w:color="auto"/>
      </w:divBdr>
    </w:div>
    <w:div w:id="302084168">
      <w:bodyDiv w:val="1"/>
      <w:marLeft w:val="0"/>
      <w:marRight w:val="0"/>
      <w:marTop w:val="0"/>
      <w:marBottom w:val="0"/>
      <w:divBdr>
        <w:top w:val="none" w:sz="0" w:space="0" w:color="auto"/>
        <w:left w:val="none" w:sz="0" w:space="0" w:color="auto"/>
        <w:bottom w:val="none" w:sz="0" w:space="0" w:color="auto"/>
        <w:right w:val="none" w:sz="0" w:space="0" w:color="auto"/>
      </w:divBdr>
    </w:div>
    <w:div w:id="401604933">
      <w:bodyDiv w:val="1"/>
      <w:marLeft w:val="0"/>
      <w:marRight w:val="0"/>
      <w:marTop w:val="0"/>
      <w:marBottom w:val="0"/>
      <w:divBdr>
        <w:top w:val="none" w:sz="0" w:space="0" w:color="auto"/>
        <w:left w:val="none" w:sz="0" w:space="0" w:color="auto"/>
        <w:bottom w:val="none" w:sz="0" w:space="0" w:color="auto"/>
        <w:right w:val="none" w:sz="0" w:space="0" w:color="auto"/>
      </w:divBdr>
    </w:div>
    <w:div w:id="642392771">
      <w:bodyDiv w:val="1"/>
      <w:marLeft w:val="0"/>
      <w:marRight w:val="0"/>
      <w:marTop w:val="0"/>
      <w:marBottom w:val="0"/>
      <w:divBdr>
        <w:top w:val="none" w:sz="0" w:space="0" w:color="auto"/>
        <w:left w:val="none" w:sz="0" w:space="0" w:color="auto"/>
        <w:bottom w:val="none" w:sz="0" w:space="0" w:color="auto"/>
        <w:right w:val="none" w:sz="0" w:space="0" w:color="auto"/>
      </w:divBdr>
    </w:div>
    <w:div w:id="735592175">
      <w:bodyDiv w:val="1"/>
      <w:marLeft w:val="0"/>
      <w:marRight w:val="0"/>
      <w:marTop w:val="0"/>
      <w:marBottom w:val="0"/>
      <w:divBdr>
        <w:top w:val="none" w:sz="0" w:space="0" w:color="auto"/>
        <w:left w:val="none" w:sz="0" w:space="0" w:color="auto"/>
        <w:bottom w:val="none" w:sz="0" w:space="0" w:color="auto"/>
        <w:right w:val="none" w:sz="0" w:space="0" w:color="auto"/>
      </w:divBdr>
    </w:div>
    <w:div w:id="761298046">
      <w:bodyDiv w:val="1"/>
      <w:marLeft w:val="0"/>
      <w:marRight w:val="0"/>
      <w:marTop w:val="0"/>
      <w:marBottom w:val="0"/>
      <w:divBdr>
        <w:top w:val="none" w:sz="0" w:space="0" w:color="auto"/>
        <w:left w:val="none" w:sz="0" w:space="0" w:color="auto"/>
        <w:bottom w:val="none" w:sz="0" w:space="0" w:color="auto"/>
        <w:right w:val="none" w:sz="0" w:space="0" w:color="auto"/>
      </w:divBdr>
    </w:div>
    <w:div w:id="802579339">
      <w:bodyDiv w:val="1"/>
      <w:marLeft w:val="0"/>
      <w:marRight w:val="0"/>
      <w:marTop w:val="0"/>
      <w:marBottom w:val="0"/>
      <w:divBdr>
        <w:top w:val="none" w:sz="0" w:space="0" w:color="auto"/>
        <w:left w:val="none" w:sz="0" w:space="0" w:color="auto"/>
        <w:bottom w:val="none" w:sz="0" w:space="0" w:color="auto"/>
        <w:right w:val="none" w:sz="0" w:space="0" w:color="auto"/>
      </w:divBdr>
      <w:divsChild>
        <w:div w:id="240527733">
          <w:marLeft w:val="547"/>
          <w:marRight w:val="0"/>
          <w:marTop w:val="0"/>
          <w:marBottom w:val="0"/>
          <w:divBdr>
            <w:top w:val="none" w:sz="0" w:space="0" w:color="auto"/>
            <w:left w:val="none" w:sz="0" w:space="0" w:color="auto"/>
            <w:bottom w:val="none" w:sz="0" w:space="0" w:color="auto"/>
            <w:right w:val="none" w:sz="0" w:space="0" w:color="auto"/>
          </w:divBdr>
        </w:div>
        <w:div w:id="333382749">
          <w:marLeft w:val="547"/>
          <w:marRight w:val="0"/>
          <w:marTop w:val="0"/>
          <w:marBottom w:val="0"/>
          <w:divBdr>
            <w:top w:val="none" w:sz="0" w:space="0" w:color="auto"/>
            <w:left w:val="none" w:sz="0" w:space="0" w:color="auto"/>
            <w:bottom w:val="none" w:sz="0" w:space="0" w:color="auto"/>
            <w:right w:val="none" w:sz="0" w:space="0" w:color="auto"/>
          </w:divBdr>
        </w:div>
        <w:div w:id="161624788">
          <w:marLeft w:val="547"/>
          <w:marRight w:val="0"/>
          <w:marTop w:val="0"/>
          <w:marBottom w:val="0"/>
          <w:divBdr>
            <w:top w:val="none" w:sz="0" w:space="0" w:color="auto"/>
            <w:left w:val="none" w:sz="0" w:space="0" w:color="auto"/>
            <w:bottom w:val="none" w:sz="0" w:space="0" w:color="auto"/>
            <w:right w:val="none" w:sz="0" w:space="0" w:color="auto"/>
          </w:divBdr>
        </w:div>
        <w:div w:id="2092314378">
          <w:marLeft w:val="547"/>
          <w:marRight w:val="0"/>
          <w:marTop w:val="0"/>
          <w:marBottom w:val="0"/>
          <w:divBdr>
            <w:top w:val="none" w:sz="0" w:space="0" w:color="auto"/>
            <w:left w:val="none" w:sz="0" w:space="0" w:color="auto"/>
            <w:bottom w:val="none" w:sz="0" w:space="0" w:color="auto"/>
            <w:right w:val="none" w:sz="0" w:space="0" w:color="auto"/>
          </w:divBdr>
        </w:div>
      </w:divsChild>
    </w:div>
    <w:div w:id="915163957">
      <w:bodyDiv w:val="1"/>
      <w:marLeft w:val="0"/>
      <w:marRight w:val="0"/>
      <w:marTop w:val="0"/>
      <w:marBottom w:val="0"/>
      <w:divBdr>
        <w:top w:val="none" w:sz="0" w:space="0" w:color="auto"/>
        <w:left w:val="none" w:sz="0" w:space="0" w:color="auto"/>
        <w:bottom w:val="none" w:sz="0" w:space="0" w:color="auto"/>
        <w:right w:val="none" w:sz="0" w:space="0" w:color="auto"/>
      </w:divBdr>
      <w:divsChild>
        <w:div w:id="1190072783">
          <w:marLeft w:val="547"/>
          <w:marRight w:val="0"/>
          <w:marTop w:val="0"/>
          <w:marBottom w:val="0"/>
          <w:divBdr>
            <w:top w:val="none" w:sz="0" w:space="0" w:color="auto"/>
            <w:left w:val="none" w:sz="0" w:space="0" w:color="auto"/>
            <w:bottom w:val="none" w:sz="0" w:space="0" w:color="auto"/>
            <w:right w:val="none" w:sz="0" w:space="0" w:color="auto"/>
          </w:divBdr>
        </w:div>
      </w:divsChild>
    </w:div>
    <w:div w:id="1133911758">
      <w:bodyDiv w:val="1"/>
      <w:marLeft w:val="0"/>
      <w:marRight w:val="0"/>
      <w:marTop w:val="0"/>
      <w:marBottom w:val="0"/>
      <w:divBdr>
        <w:top w:val="none" w:sz="0" w:space="0" w:color="auto"/>
        <w:left w:val="none" w:sz="0" w:space="0" w:color="auto"/>
        <w:bottom w:val="none" w:sz="0" w:space="0" w:color="auto"/>
        <w:right w:val="none" w:sz="0" w:space="0" w:color="auto"/>
      </w:divBdr>
    </w:div>
    <w:div w:id="1170565438">
      <w:bodyDiv w:val="1"/>
      <w:marLeft w:val="0"/>
      <w:marRight w:val="0"/>
      <w:marTop w:val="0"/>
      <w:marBottom w:val="0"/>
      <w:divBdr>
        <w:top w:val="none" w:sz="0" w:space="0" w:color="auto"/>
        <w:left w:val="none" w:sz="0" w:space="0" w:color="auto"/>
        <w:bottom w:val="none" w:sz="0" w:space="0" w:color="auto"/>
        <w:right w:val="none" w:sz="0" w:space="0" w:color="auto"/>
      </w:divBdr>
    </w:div>
    <w:div w:id="1518807986">
      <w:bodyDiv w:val="1"/>
      <w:marLeft w:val="0"/>
      <w:marRight w:val="0"/>
      <w:marTop w:val="0"/>
      <w:marBottom w:val="0"/>
      <w:divBdr>
        <w:top w:val="none" w:sz="0" w:space="0" w:color="auto"/>
        <w:left w:val="none" w:sz="0" w:space="0" w:color="auto"/>
        <w:bottom w:val="none" w:sz="0" w:space="0" w:color="auto"/>
        <w:right w:val="none" w:sz="0" w:space="0" w:color="auto"/>
      </w:divBdr>
    </w:div>
    <w:div w:id="1520923059">
      <w:bodyDiv w:val="1"/>
      <w:marLeft w:val="0"/>
      <w:marRight w:val="0"/>
      <w:marTop w:val="0"/>
      <w:marBottom w:val="0"/>
      <w:divBdr>
        <w:top w:val="none" w:sz="0" w:space="0" w:color="auto"/>
        <w:left w:val="none" w:sz="0" w:space="0" w:color="auto"/>
        <w:bottom w:val="none" w:sz="0" w:space="0" w:color="auto"/>
        <w:right w:val="none" w:sz="0" w:space="0" w:color="auto"/>
      </w:divBdr>
    </w:div>
    <w:div w:id="1627152331">
      <w:bodyDiv w:val="1"/>
      <w:marLeft w:val="0"/>
      <w:marRight w:val="0"/>
      <w:marTop w:val="0"/>
      <w:marBottom w:val="0"/>
      <w:divBdr>
        <w:top w:val="none" w:sz="0" w:space="0" w:color="auto"/>
        <w:left w:val="none" w:sz="0" w:space="0" w:color="auto"/>
        <w:bottom w:val="none" w:sz="0" w:space="0" w:color="auto"/>
        <w:right w:val="none" w:sz="0" w:space="0" w:color="auto"/>
      </w:divBdr>
    </w:div>
    <w:div w:id="1744371995">
      <w:bodyDiv w:val="1"/>
      <w:marLeft w:val="0"/>
      <w:marRight w:val="0"/>
      <w:marTop w:val="0"/>
      <w:marBottom w:val="0"/>
      <w:divBdr>
        <w:top w:val="none" w:sz="0" w:space="0" w:color="auto"/>
        <w:left w:val="none" w:sz="0" w:space="0" w:color="auto"/>
        <w:bottom w:val="none" w:sz="0" w:space="0" w:color="auto"/>
        <w:right w:val="none" w:sz="0" w:space="0" w:color="auto"/>
      </w:divBdr>
    </w:div>
    <w:div w:id="1745567611">
      <w:bodyDiv w:val="1"/>
      <w:marLeft w:val="0"/>
      <w:marRight w:val="0"/>
      <w:marTop w:val="0"/>
      <w:marBottom w:val="0"/>
      <w:divBdr>
        <w:top w:val="none" w:sz="0" w:space="0" w:color="auto"/>
        <w:left w:val="none" w:sz="0" w:space="0" w:color="auto"/>
        <w:bottom w:val="none" w:sz="0" w:space="0" w:color="auto"/>
        <w:right w:val="none" w:sz="0" w:space="0" w:color="auto"/>
      </w:divBdr>
    </w:div>
    <w:div w:id="2072580184">
      <w:bodyDiv w:val="1"/>
      <w:marLeft w:val="0"/>
      <w:marRight w:val="0"/>
      <w:marTop w:val="0"/>
      <w:marBottom w:val="0"/>
      <w:divBdr>
        <w:top w:val="none" w:sz="0" w:space="0" w:color="auto"/>
        <w:left w:val="none" w:sz="0" w:space="0" w:color="auto"/>
        <w:bottom w:val="none" w:sz="0" w:space="0" w:color="auto"/>
        <w:right w:val="none" w:sz="0" w:space="0" w:color="auto"/>
      </w:divBdr>
    </w:div>
    <w:div w:id="20797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vveramyeva\AppData\Roaming\Microsoft\Templates\ENTSOE\140121_ENTSO-E_Template_Report_no%20LSPp.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2177B848EC4D8DAAF49E065A155815"/>
        <w:category>
          <w:name w:val="General"/>
          <w:gallery w:val="placeholder"/>
        </w:category>
        <w:types>
          <w:type w:val="bbPlcHdr"/>
        </w:types>
        <w:behaviors>
          <w:behavior w:val="content"/>
        </w:behaviors>
        <w:guid w:val="{C939558C-28CB-4FF5-AA96-886B91BCB2B4}"/>
      </w:docPartPr>
      <w:docPartBody>
        <w:p w:rsidR="00544909" w:rsidRDefault="00061F71" w:rsidP="00061F71">
          <w:pPr>
            <w:pStyle w:val="DD2177B848EC4D8DAAF49E065A155815"/>
          </w:pPr>
          <w:r w:rsidRPr="000C30E5">
            <w:rPr>
              <w:rStyle w:val="Placehold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inkAnnotations="0"/>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C1702"/>
    <w:rsid w:val="00030F2C"/>
    <w:rsid w:val="00050A72"/>
    <w:rsid w:val="00061F71"/>
    <w:rsid w:val="0006451E"/>
    <w:rsid w:val="000C1702"/>
    <w:rsid w:val="000D5C2C"/>
    <w:rsid w:val="000F4763"/>
    <w:rsid w:val="0012119C"/>
    <w:rsid w:val="001212EA"/>
    <w:rsid w:val="00127C44"/>
    <w:rsid w:val="00146659"/>
    <w:rsid w:val="00157173"/>
    <w:rsid w:val="001761B0"/>
    <w:rsid w:val="00184531"/>
    <w:rsid w:val="001C26FA"/>
    <w:rsid w:val="001C56BF"/>
    <w:rsid w:val="001D574B"/>
    <w:rsid w:val="002265A9"/>
    <w:rsid w:val="00243D3A"/>
    <w:rsid w:val="0024712D"/>
    <w:rsid w:val="00254C04"/>
    <w:rsid w:val="00286C41"/>
    <w:rsid w:val="002C327B"/>
    <w:rsid w:val="002F769D"/>
    <w:rsid w:val="003001DF"/>
    <w:rsid w:val="00331E5B"/>
    <w:rsid w:val="00333020"/>
    <w:rsid w:val="00353B7E"/>
    <w:rsid w:val="0037162F"/>
    <w:rsid w:val="00390FCC"/>
    <w:rsid w:val="003B0C68"/>
    <w:rsid w:val="003C3806"/>
    <w:rsid w:val="003E3D5F"/>
    <w:rsid w:val="003F19CC"/>
    <w:rsid w:val="003F3585"/>
    <w:rsid w:val="004101BB"/>
    <w:rsid w:val="00426CFD"/>
    <w:rsid w:val="0044376D"/>
    <w:rsid w:val="0048070A"/>
    <w:rsid w:val="00491855"/>
    <w:rsid w:val="00494548"/>
    <w:rsid w:val="00495AFD"/>
    <w:rsid w:val="004B6E1C"/>
    <w:rsid w:val="005428DA"/>
    <w:rsid w:val="00544909"/>
    <w:rsid w:val="00556052"/>
    <w:rsid w:val="005630F1"/>
    <w:rsid w:val="005941EB"/>
    <w:rsid w:val="005A26A3"/>
    <w:rsid w:val="005C02AF"/>
    <w:rsid w:val="005D43D5"/>
    <w:rsid w:val="005D66E1"/>
    <w:rsid w:val="005E464A"/>
    <w:rsid w:val="00604EDC"/>
    <w:rsid w:val="006217A6"/>
    <w:rsid w:val="00622305"/>
    <w:rsid w:val="0065619D"/>
    <w:rsid w:val="00657CA0"/>
    <w:rsid w:val="00666A3B"/>
    <w:rsid w:val="00676B1B"/>
    <w:rsid w:val="006A4E51"/>
    <w:rsid w:val="006B7F56"/>
    <w:rsid w:val="006F0D0D"/>
    <w:rsid w:val="006F4CE6"/>
    <w:rsid w:val="00700E72"/>
    <w:rsid w:val="007031E9"/>
    <w:rsid w:val="007045D1"/>
    <w:rsid w:val="00707A70"/>
    <w:rsid w:val="00746202"/>
    <w:rsid w:val="00751447"/>
    <w:rsid w:val="007572A6"/>
    <w:rsid w:val="007B030A"/>
    <w:rsid w:val="007B4AC6"/>
    <w:rsid w:val="007C202E"/>
    <w:rsid w:val="007D20DE"/>
    <w:rsid w:val="007F7CEE"/>
    <w:rsid w:val="00801837"/>
    <w:rsid w:val="00801CA6"/>
    <w:rsid w:val="00803EE1"/>
    <w:rsid w:val="008511D8"/>
    <w:rsid w:val="00861F6D"/>
    <w:rsid w:val="0087550D"/>
    <w:rsid w:val="0089539B"/>
    <w:rsid w:val="008B32A0"/>
    <w:rsid w:val="008C5782"/>
    <w:rsid w:val="008D354F"/>
    <w:rsid w:val="00916986"/>
    <w:rsid w:val="00935465"/>
    <w:rsid w:val="0093562D"/>
    <w:rsid w:val="00954E7D"/>
    <w:rsid w:val="009936C7"/>
    <w:rsid w:val="00A10954"/>
    <w:rsid w:val="00A1347B"/>
    <w:rsid w:val="00A14A99"/>
    <w:rsid w:val="00A164DF"/>
    <w:rsid w:val="00A51B02"/>
    <w:rsid w:val="00A55839"/>
    <w:rsid w:val="00A75640"/>
    <w:rsid w:val="00B34BD9"/>
    <w:rsid w:val="00B432A0"/>
    <w:rsid w:val="00B51CCE"/>
    <w:rsid w:val="00B53701"/>
    <w:rsid w:val="00B82BF7"/>
    <w:rsid w:val="00B87DA8"/>
    <w:rsid w:val="00BC3453"/>
    <w:rsid w:val="00BF76A4"/>
    <w:rsid w:val="00C03342"/>
    <w:rsid w:val="00C1683C"/>
    <w:rsid w:val="00C77F2D"/>
    <w:rsid w:val="00CA3C0B"/>
    <w:rsid w:val="00CB0136"/>
    <w:rsid w:val="00CB0631"/>
    <w:rsid w:val="00CF16BF"/>
    <w:rsid w:val="00CF3B6D"/>
    <w:rsid w:val="00D04A0A"/>
    <w:rsid w:val="00D37EAF"/>
    <w:rsid w:val="00D41E98"/>
    <w:rsid w:val="00D450F2"/>
    <w:rsid w:val="00D47262"/>
    <w:rsid w:val="00D910EA"/>
    <w:rsid w:val="00DB7881"/>
    <w:rsid w:val="00DD2100"/>
    <w:rsid w:val="00DE06A8"/>
    <w:rsid w:val="00E11AE1"/>
    <w:rsid w:val="00E214D3"/>
    <w:rsid w:val="00E6204C"/>
    <w:rsid w:val="00E935B5"/>
    <w:rsid w:val="00EB1BEA"/>
    <w:rsid w:val="00EF574D"/>
    <w:rsid w:val="00F0401F"/>
    <w:rsid w:val="00F4137D"/>
    <w:rsid w:val="00F52621"/>
    <w:rsid w:val="00F57006"/>
    <w:rsid w:val="00F673CA"/>
    <w:rsid w:val="00F73DC9"/>
    <w:rsid w:val="00F82F17"/>
    <w:rsid w:val="00F91158"/>
    <w:rsid w:val="00FB3EC8"/>
    <w:rsid w:val="00FC0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0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A70"/>
    <w:rPr>
      <w:color w:val="808080"/>
    </w:rPr>
  </w:style>
  <w:style w:type="paragraph" w:customStyle="1" w:styleId="CDFDBB588FF544A2BE4B07EF265F4079">
    <w:name w:val="CDFDBB588FF544A2BE4B07EF265F4079"/>
    <w:rsid w:val="007C202E"/>
  </w:style>
  <w:style w:type="paragraph" w:customStyle="1" w:styleId="E4808C9FD07C476C8EEE44B0023B0EA1">
    <w:name w:val="E4808C9FD07C476C8EEE44B0023B0EA1"/>
    <w:rsid w:val="007C202E"/>
  </w:style>
  <w:style w:type="paragraph" w:customStyle="1" w:styleId="6A213B2B9CDA4A7D9AD80267A67DE97B">
    <w:name w:val="6A213B2B9CDA4A7D9AD80267A67DE97B"/>
    <w:rsid w:val="00861F6D"/>
  </w:style>
  <w:style w:type="paragraph" w:customStyle="1" w:styleId="C3E2D64D79544F05964D1032302263CA">
    <w:name w:val="C3E2D64D79544F05964D1032302263CA"/>
    <w:rsid w:val="00861F6D"/>
  </w:style>
  <w:style w:type="paragraph" w:customStyle="1" w:styleId="61DE4AE60CCB44C898F9278ADA225A7F">
    <w:name w:val="61DE4AE60CCB44C898F9278ADA225A7F"/>
    <w:rsid w:val="00861F6D"/>
  </w:style>
  <w:style w:type="paragraph" w:customStyle="1" w:styleId="3761179C89C24EE3A2D6537CA53132F6">
    <w:name w:val="3761179C89C24EE3A2D6537CA53132F6"/>
    <w:rsid w:val="00061F71"/>
  </w:style>
  <w:style w:type="paragraph" w:customStyle="1" w:styleId="DD2177B848EC4D8DAAF49E065A155815">
    <w:name w:val="DD2177B848EC4D8DAAF49E065A155815"/>
    <w:rsid w:val="00061F71"/>
  </w:style>
  <w:style w:type="paragraph" w:customStyle="1" w:styleId="078E53168CDE41F6A0E1054BFA46CD8A">
    <w:name w:val="078E53168CDE41F6A0E1054BFA46CD8A"/>
    <w:rsid w:val="00061F71"/>
  </w:style>
  <w:style w:type="paragraph" w:customStyle="1" w:styleId="0C65DDC7C16B4CCAA6E295AFF143C8E6">
    <w:name w:val="0C65DDC7C16B4CCAA6E295AFF143C8E6"/>
    <w:rsid w:val="00061F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98AF70-9683-4331-9854-0FCE3C15A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0056C-A517-4123-B0B0-0297228A982A}">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6F13020-ED37-46CE-86BF-CA854E2F0300}">
  <ds:schemaRefs>
    <ds:schemaRef ds:uri="http://schemas.microsoft.com/sharepoint/v3/contenttype/forms"/>
  </ds:schemaRefs>
</ds:datastoreItem>
</file>

<file path=customXml/itemProps4.xml><?xml version="1.0" encoding="utf-8"?>
<ds:datastoreItem xmlns:ds="http://schemas.openxmlformats.org/officeDocument/2006/customXml" ds:itemID="{CB07F47A-84F3-4D05-ACB9-3C22BF0B2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Template>
  <TotalTime>150</TotalTime>
  <Pages>7</Pages>
  <Words>1894</Words>
  <Characters>11329</Characters>
  <Application>Microsoft Office Word</Application>
  <DocSecurity>0</DocSecurity>
  <Lines>222</Lines>
  <Paragraphs>79</Paragraphs>
  <ScaleCrop>false</ScaleCrop>
  <HeadingPairs>
    <vt:vector size="20" baseType="variant">
      <vt:variant>
        <vt:lpstr>Title</vt:lpstr>
      </vt:variant>
      <vt:variant>
        <vt:i4>1</vt:i4>
      </vt:variant>
      <vt:variant>
        <vt:lpstr>Titel</vt:lpstr>
      </vt:variant>
      <vt:variant>
        <vt:i4>1</vt:i4>
      </vt:variant>
      <vt:variant>
        <vt:lpstr>Título</vt:lpstr>
      </vt:variant>
      <vt:variant>
        <vt:i4>1</vt:i4>
      </vt:variant>
      <vt:variant>
        <vt:lpstr>Názov</vt:lpstr>
      </vt:variant>
      <vt:variant>
        <vt:i4>1</vt:i4>
      </vt:variant>
      <vt:variant>
        <vt:lpstr>Tytuł</vt:lpstr>
      </vt:variant>
      <vt:variant>
        <vt:i4>1</vt:i4>
      </vt:variant>
      <vt:variant>
        <vt:lpstr>Rubrik</vt:lpstr>
      </vt:variant>
      <vt:variant>
        <vt:i4>1</vt:i4>
      </vt:variant>
      <vt:variant>
        <vt:lpstr>Cím</vt:lpstr>
      </vt:variant>
      <vt:variant>
        <vt:i4>1</vt:i4>
      </vt:variant>
      <vt:variant>
        <vt:lpstr>Titre</vt:lpstr>
      </vt:variant>
      <vt:variant>
        <vt:i4>1</vt:i4>
      </vt:variant>
      <vt:variant>
        <vt:lpstr>Otsikko</vt:lpstr>
      </vt:variant>
      <vt:variant>
        <vt:i4>1</vt:i4>
      </vt:variant>
      <vt:variant>
        <vt:lpstr>Název</vt:lpstr>
      </vt:variant>
      <vt:variant>
        <vt:i4>1</vt:i4>
      </vt:variant>
    </vt:vector>
  </HeadingPairs>
  <TitlesOfParts>
    <vt:vector size="10" baseType="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 </vt:lpstr>
      <vt:lpstr>Draft methodology for calculating Scheduled Exchanges resulting from single day-ahead coupling</vt:lpstr>
      <vt:lpstr>Draft methodology for calculating Scheduled Exchanges resulting from single day-ahead coupling</vt:lpstr>
      <vt:lpstr>Draft methodology for calculating scheduled exchanges resulting from single day ahead coupling</vt:lpstr>
      <vt:lpstr>Draft methodology for calculating scheduled exchanges resulting from single day ahead coupling</vt:lpstr>
      <vt:lpstr>All TSOs’ proposal for the day-ahead firmness deadline (DAFD) in accordance with Article 69 of the Commission Regulation (EU) 2015/1222 of 24 July 2015 establishing a guideline on capacity allocation and congestion management</vt:lpstr>
      <vt:lpstr>All TSOs’ proposal for Capacity Calculation Regions (CCRs)</vt:lpstr>
    </vt:vector>
  </TitlesOfParts>
  <Company>HP</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Propunerea tuturor OTS-urilor privind Metodologia de Calcul al Schimburilor Planificate care rezultă din cuplarea unică a piețelor intrazilnice, în conformitate cu articolul 56 din Regulamentul (UE) 2015/1222 al Comisiei din 24 iulie 2015 de stabilire a unor linii directoare privind alocarea capacităților și gestionarea congestiilor</dc:title>
  <dc:creator>Volha Veramyeva</dc:creator>
  <cp:lastModifiedBy>Admin</cp:lastModifiedBy>
  <cp:revision>23</cp:revision>
  <cp:lastPrinted>2018-01-25T11:14:00Z</cp:lastPrinted>
  <dcterms:created xsi:type="dcterms:W3CDTF">2018-01-18T09:51:00Z</dcterms:created>
  <dcterms:modified xsi:type="dcterms:W3CDTF">2018-03-12T10:01:00Z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0x01010007E13F251F3D664980037DF6DCC9790E</vt:lpwstr>
  </property>
  <property fmtid="{D5CDD505-2E9C-101B-9397-08002B2CF9AE}" pid="4" name="TaxKeyword">
    <vt:lpwstr/>
  </property>
  <property fmtid="{D5CDD505-2E9C-101B-9397-08002B2CF9AE}" pid="5" name="m21e1f176c4a4ad491d679d83442a8a3">
    <vt:lpwstr/>
  </property>
  <property fmtid="{D5CDD505-2E9C-101B-9397-08002B2CF9AE}" pid="6" name="b">
    <vt:lpwstr/>
  </property>
  <property fmtid="{D5CDD505-2E9C-101B-9397-08002B2CF9AE}" pid="7" name="Addo_DocID">
    <vt:lpwstr>6fbf3a3b-6786-4633-b863-d335d3e7fcf8</vt:lpwstr>
  </property>
</Properties>
</file>