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57E" w:rsidRDefault="00A0357E" w:rsidP="00A0357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0357E" w:rsidRPr="008E3045" w:rsidRDefault="00A0357E" w:rsidP="008E30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E30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COMUNICAT</w:t>
      </w:r>
    </w:p>
    <w:p w:rsidR="008E3045" w:rsidRPr="008E3045" w:rsidRDefault="008E3045" w:rsidP="008E30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privind dublarea numărului contractelor încheiate în regim concurențial î</w:t>
      </w:r>
      <w:r w:rsidRPr="008E3045">
        <w:rPr>
          <w:rFonts w:ascii="Times New Roman" w:hAnsi="Times New Roman" w:cs="Times New Roman"/>
          <w:b/>
          <w:sz w:val="24"/>
          <w:szCs w:val="24"/>
        </w:rPr>
        <w:t>n numai 3 luni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FD69E5">
        <w:rPr>
          <w:rFonts w:ascii="Times New Roman" w:eastAsia="Times New Roman" w:hAnsi="Times New Roman"/>
          <w:sz w:val="24"/>
          <w:szCs w:val="24"/>
        </w:rPr>
        <w:t>Potrivit prevederilor Leg</w:t>
      </w:r>
      <w:r>
        <w:rPr>
          <w:rFonts w:ascii="Times New Roman" w:eastAsia="Times New Roman" w:hAnsi="Times New Roman"/>
          <w:sz w:val="24"/>
          <w:szCs w:val="24"/>
        </w:rPr>
        <w:t>ii</w:t>
      </w:r>
      <w:r w:rsidRPr="00FD69E5">
        <w:rPr>
          <w:rFonts w:ascii="Times New Roman" w:eastAsia="Times New Roman" w:hAnsi="Times New Roman"/>
          <w:sz w:val="24"/>
          <w:szCs w:val="24"/>
        </w:rPr>
        <w:t xml:space="preserve"> energiei electrice </w:t>
      </w:r>
      <w:proofErr w:type="spellStart"/>
      <w:r w:rsidRPr="00FD69E5"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FD69E5">
        <w:rPr>
          <w:rFonts w:ascii="Times New Roman" w:eastAsia="Times New Roman" w:hAnsi="Times New Roman"/>
          <w:sz w:val="24"/>
          <w:szCs w:val="24"/>
        </w:rPr>
        <w:t xml:space="preserve"> a gazelor naturale nr. 123/2012, </w:t>
      </w:r>
      <w:r w:rsidRPr="00984538">
        <w:rPr>
          <w:rFonts w:ascii="Times New Roman" w:eastAsia="Times New Roman" w:hAnsi="Times New Roman"/>
          <w:b/>
          <w:sz w:val="24"/>
          <w:szCs w:val="24"/>
        </w:rPr>
        <w:t xml:space="preserve">începând cu data de 1 iulie 2020 a fost liberalizată </w:t>
      </w:r>
      <w:proofErr w:type="spellStart"/>
      <w:r w:rsidRPr="00984538">
        <w:rPr>
          <w:rFonts w:ascii="Times New Roman" w:eastAsia="Times New Roman" w:hAnsi="Times New Roman"/>
          <w:b/>
          <w:sz w:val="24"/>
          <w:szCs w:val="24"/>
        </w:rPr>
        <w:t>piaţa</w:t>
      </w:r>
      <w:proofErr w:type="spellEnd"/>
      <w:r w:rsidRPr="00984538">
        <w:rPr>
          <w:rFonts w:ascii="Times New Roman" w:eastAsia="Times New Roman" w:hAnsi="Times New Roman"/>
          <w:b/>
          <w:sz w:val="24"/>
          <w:szCs w:val="24"/>
        </w:rPr>
        <w:t xml:space="preserve"> internă de gaze naturale pentru </w:t>
      </w:r>
      <w:proofErr w:type="spellStart"/>
      <w:r w:rsidRPr="00984538">
        <w:rPr>
          <w:rFonts w:ascii="Times New Roman" w:eastAsia="Times New Roman" w:hAnsi="Times New Roman"/>
          <w:b/>
          <w:sz w:val="24"/>
          <w:szCs w:val="24"/>
        </w:rPr>
        <w:t>clienţii</w:t>
      </w:r>
      <w:proofErr w:type="spellEnd"/>
      <w:r w:rsidRPr="00984538">
        <w:rPr>
          <w:rFonts w:ascii="Times New Roman" w:eastAsia="Times New Roman" w:hAnsi="Times New Roman"/>
          <w:b/>
          <w:sz w:val="24"/>
          <w:szCs w:val="24"/>
        </w:rPr>
        <w:t xml:space="preserve"> casn</w:t>
      </w:r>
      <w:bookmarkStart w:id="0" w:name="_GoBack"/>
      <w:bookmarkEnd w:id="0"/>
      <w:r w:rsidRPr="00984538">
        <w:rPr>
          <w:rFonts w:ascii="Times New Roman" w:eastAsia="Times New Roman" w:hAnsi="Times New Roman"/>
          <w:b/>
          <w:sz w:val="24"/>
          <w:szCs w:val="24"/>
        </w:rPr>
        <w:t>ici</w:t>
      </w:r>
      <w:r>
        <w:rPr>
          <w:rFonts w:ascii="Times New Roman" w:eastAsia="Times New Roman" w:hAnsi="Times New Roman"/>
          <w:sz w:val="24"/>
          <w:szCs w:val="24"/>
        </w:rPr>
        <w:t xml:space="preserve">, iar </w:t>
      </w:r>
      <w:proofErr w:type="spellStart"/>
      <w:r w:rsidRPr="00FD69E5">
        <w:rPr>
          <w:rFonts w:ascii="Times New Roman" w:eastAsia="Times New Roman" w:hAnsi="Times New Roman"/>
          <w:sz w:val="24"/>
          <w:szCs w:val="24"/>
        </w:rPr>
        <w:t>preţurile</w:t>
      </w:r>
      <w:proofErr w:type="spellEnd"/>
      <w:r w:rsidRPr="00FD69E5">
        <w:rPr>
          <w:rFonts w:ascii="Times New Roman" w:eastAsia="Times New Roman" w:hAnsi="Times New Roman"/>
          <w:sz w:val="24"/>
          <w:szCs w:val="24"/>
        </w:rPr>
        <w:t xml:space="preserve"> finale</w:t>
      </w:r>
      <w:r>
        <w:rPr>
          <w:rFonts w:ascii="Times New Roman" w:eastAsia="Times New Roman" w:hAnsi="Times New Roman"/>
          <w:sz w:val="24"/>
          <w:szCs w:val="24"/>
        </w:rPr>
        <w:t xml:space="preserve"> reglementate pentru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aceştia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-au încetat aplicabilitatea. 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Până la data liberalizării, respectiv la data de 30 iunie 2020, din numărul total de 3.844.474 clienți casnici (NT</w:t>
      </w:r>
      <w:r w:rsidRPr="00D42E58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iunie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2020</w:t>
      </w:r>
      <w:r>
        <w:rPr>
          <w:rFonts w:ascii="Times New Roman" w:eastAsia="Times New Roman" w:hAnsi="Times New Roman"/>
          <w:sz w:val="24"/>
          <w:szCs w:val="24"/>
        </w:rPr>
        <w:t xml:space="preserve">), </w:t>
      </w:r>
      <w:r w:rsidRPr="006932AC">
        <w:rPr>
          <w:rFonts w:ascii="Times New Roman" w:eastAsia="Times New Roman" w:hAnsi="Times New Roman"/>
          <w:b/>
          <w:sz w:val="24"/>
          <w:szCs w:val="24"/>
        </w:rPr>
        <w:t>12% aveau încheiate contracte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D2435">
        <w:rPr>
          <w:rFonts w:ascii="Times New Roman" w:eastAsia="Times New Roman" w:hAnsi="Times New Roman"/>
          <w:sz w:val="24"/>
          <w:szCs w:val="24"/>
        </w:rPr>
        <w:t xml:space="preserve">aferente furnizării gazelor naturale </w:t>
      </w:r>
      <w:r w:rsidRPr="006932AC">
        <w:rPr>
          <w:rFonts w:ascii="Times New Roman" w:eastAsia="Times New Roman" w:hAnsi="Times New Roman"/>
          <w:b/>
          <w:sz w:val="24"/>
          <w:szCs w:val="24"/>
        </w:rPr>
        <w:t xml:space="preserve">în regim </w:t>
      </w:r>
      <w:proofErr w:type="spellStart"/>
      <w:r w:rsidRPr="006932AC">
        <w:rPr>
          <w:rFonts w:ascii="Times New Roman" w:eastAsia="Times New Roman" w:hAnsi="Times New Roman"/>
          <w:b/>
          <w:sz w:val="24"/>
          <w:szCs w:val="24"/>
        </w:rPr>
        <w:t>concurenţial</w:t>
      </w:r>
      <w:proofErr w:type="spellEnd"/>
      <w:r w:rsidRPr="006932AC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conform următorului grafic: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 wp14:anchorId="74154D45" wp14:editId="704241CE">
            <wp:extent cx="4324350" cy="30099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*NT</w:t>
      </w:r>
      <w:r w:rsidRPr="00D42E58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iunie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2020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n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um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ă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r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total </w:t>
      </w:r>
      <w:proofErr w:type="spellStart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clien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ţ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i</w:t>
      </w:r>
      <w:proofErr w:type="spellEnd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casnici la data de 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30 iunie 202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0</w:t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Pentru clientul casnic pasiv, care nu </w:t>
      </w:r>
      <w:proofErr w:type="spellStart"/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>-a exercitat dreptul de eligibilitate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nu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 încheia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 un contract de furnizare a gazelor naturale în regim concurențial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932AC">
        <w:rPr>
          <w:rFonts w:ascii="Times New Roman" w:eastAsia="Times New Roman" w:hAnsi="Times New Roman" w:cs="Times New Roman"/>
          <w:b/>
          <w:sz w:val="24"/>
          <w:szCs w:val="24"/>
        </w:rPr>
        <w:t xml:space="preserve">furnizorul actual asigură </w:t>
      </w:r>
      <w:r w:rsidRPr="00693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furnizarea gazelor naturale </w:t>
      </w:r>
      <w:r w:rsidRPr="006932AC">
        <w:rPr>
          <w:rFonts w:ascii="Times New Roman" w:eastAsia="Times New Roman" w:hAnsi="Times New Roman" w:cs="Times New Roman"/>
          <w:b/>
          <w:sz w:val="24"/>
          <w:szCs w:val="24"/>
        </w:rPr>
        <w:t>în mod automat</w:t>
      </w:r>
      <w:r w:rsidRPr="006932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>şi</w:t>
      </w:r>
      <w:proofErr w:type="spellEnd"/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 după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>dat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 liberalizării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în conformitate cu prevederile </w:t>
      </w:r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Ordinului </w:t>
      </w:r>
      <w:proofErr w:type="spellStart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>preşedintelui</w:t>
      </w:r>
      <w:proofErr w:type="spellEnd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>Autorităţii</w:t>
      </w:r>
      <w:proofErr w:type="spellEnd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>Naţionale</w:t>
      </w:r>
      <w:proofErr w:type="spellEnd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de Reglementare în domeniul Energiei nr. 27/2020 pentru stabilirea unor măsuri privind furnizarea gazelor naturale la </w:t>
      </w:r>
      <w:proofErr w:type="spellStart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>clienţii</w:t>
      </w:r>
      <w:proofErr w:type="spellEnd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casnici în perspectiva eliminării </w:t>
      </w:r>
      <w:proofErr w:type="spellStart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>preţurilor</w:t>
      </w:r>
      <w:proofErr w:type="spellEnd"/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reglementate.</w:t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Pr="00A6476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Astfel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 xml:space="preserve">începând cu data de 1 iulie 2020 </w:t>
      </w:r>
      <w:proofErr w:type="spellStart"/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>şi</w:t>
      </w:r>
      <w:proofErr w:type="spellEnd"/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 xml:space="preserve"> până la data încheierii unui contract de furnizare a gazelor naturale în regim concurențial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>, dar nu mai târziu de data de 30 iunie 2021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furnizarea gazelor naturale pentru </w:t>
      </w:r>
      <w:proofErr w:type="spellStart"/>
      <w:r w:rsidRPr="00A64769">
        <w:rPr>
          <w:rFonts w:ascii="Times New Roman" w:eastAsia="Times New Roman" w:hAnsi="Times New Roman" w:cs="Times New Roman"/>
          <w:sz w:val="24"/>
          <w:szCs w:val="24"/>
        </w:rPr>
        <w:t>clienţii</w:t>
      </w:r>
      <w:proofErr w:type="spellEnd"/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 casnici </w:t>
      </w:r>
      <w:r>
        <w:rPr>
          <w:rFonts w:ascii="Times New Roman" w:eastAsia="Times New Roman" w:hAnsi="Times New Roman" w:cs="Times New Roman"/>
          <w:sz w:val="24"/>
          <w:szCs w:val="24"/>
        </w:rPr>
        <w:t>pasivi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 se face </w:t>
      </w:r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 xml:space="preserve">în </w:t>
      </w:r>
      <w:proofErr w:type="spellStart"/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>condiţiile</w:t>
      </w:r>
      <w:proofErr w:type="spellEnd"/>
      <w:r w:rsidRPr="00984538">
        <w:rPr>
          <w:rFonts w:ascii="Times New Roman" w:eastAsia="Times New Roman" w:hAnsi="Times New Roman" w:cs="Times New Roman"/>
          <w:b/>
          <w:sz w:val="24"/>
          <w:szCs w:val="24"/>
        </w:rPr>
        <w:t xml:space="preserve"> contractuale anterioare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respectiv în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baza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lastRenderedPageBreak/>
        <w:t>contractului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reglementat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>pe care clientul îl 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vea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 încheiat cu furnizorul actual,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>dar</w:t>
      </w:r>
      <w:r w:rsidRPr="00A6476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proofErr w:type="spellStart"/>
      <w:r w:rsidRPr="003E0E18">
        <w:rPr>
          <w:rFonts w:ascii="Times New Roman" w:eastAsia="Times New Roman" w:hAnsi="Times New Roman" w:cs="Times New Roman"/>
          <w:b/>
          <w:sz w:val="24"/>
          <w:szCs w:val="24"/>
        </w:rPr>
        <w:t>preţul</w:t>
      </w:r>
      <w:proofErr w:type="spellEnd"/>
      <w:r w:rsidRPr="003E0E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0E18">
        <w:rPr>
          <w:rFonts w:ascii="Times New Roman" w:eastAsia="Times New Roman" w:hAnsi="Times New Roman" w:cs="Times New Roman"/>
          <w:b/>
          <w:sz w:val="24"/>
          <w:szCs w:val="24"/>
        </w:rPr>
        <w:t>concurenţial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4769">
        <w:rPr>
          <w:rFonts w:ascii="Times New Roman" w:eastAsia="Times New Roman" w:hAnsi="Times New Roman" w:cs="Times New Roman"/>
          <w:sz w:val="24"/>
          <w:szCs w:val="24"/>
        </w:rPr>
        <w:t xml:space="preserve">comunicat clientului de către </w:t>
      </w:r>
      <w:r>
        <w:rPr>
          <w:rFonts w:ascii="Times New Roman" w:eastAsia="Times New Roman" w:hAnsi="Times New Roman" w:cs="Times New Roman"/>
          <w:sz w:val="24"/>
          <w:szCs w:val="24"/>
        </w:rPr>
        <w:t>furnizorul actual în perioada anterioară liberalizării.</w:t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Pe baza datelor raportate pentru perioada 1 iulie – 30 septembrie 2020 de către cei 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 xml:space="preserve"> de furnizori care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 xml:space="preserve"> până la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data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 xml:space="preserve"> liberalizării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 xml:space="preserve"> au avut în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portofoliul propriu clienți 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>casnici pentru care furnizarea gazelor naturale se realiza în regim reglementat,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ANRE a analizat </w:t>
      </w:r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stadiul încheierii de către clienții casnici a contractelor aferente furnizării gazelor naturale în regim </w:t>
      </w:r>
      <w:proofErr w:type="spellStart"/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>concurenţial</w:t>
      </w:r>
      <w:proofErr w:type="spellEnd"/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cu intrare în vigoare în perioada 1 iulie – 30 septembrie 2020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Astfel, din numărul de </w:t>
      </w:r>
      <w:r w:rsidRPr="003E0E18">
        <w:rPr>
          <w:rFonts w:ascii="Times New Roman" w:eastAsia="Times New Roman" w:hAnsi="Times New Roman" w:cs="Times New Roman"/>
          <w:bCs/>
          <w:sz w:val="24"/>
          <w:szCs w:val="24"/>
        </w:rPr>
        <w:t>3.378.722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clienți casnici care nu își exercitaseră dreptul de eligibilitate la data de 30 iunie 2020 (NR), </w:t>
      </w:r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10,55% au încheiat contracte aferente furnizării gazelor naturale în regim </w:t>
      </w:r>
      <w:proofErr w:type="spellStart"/>
      <w:r w:rsidRPr="003E0E1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concurenţial</w:t>
      </w:r>
      <w:proofErr w:type="spellEnd"/>
      <w:r w:rsidRPr="005A311C">
        <w:rPr>
          <w:rFonts w:ascii="Times New Roman" w:eastAsia="Times New Roman" w:hAnsi="Times New Roman" w:cs="Times New Roman"/>
          <w:bCs/>
          <w:sz w:val="24"/>
          <w:szCs w:val="24"/>
        </w:rPr>
        <w:t>, r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ezultatele fiind prezentate în graficul de mai jos</w:t>
      </w:r>
      <w:r w:rsidRPr="006936E5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o-RO"/>
        </w:rPr>
        <w:drawing>
          <wp:inline distT="0" distB="0" distL="0" distR="0" wp14:anchorId="38E371D9" wp14:editId="08936EF9">
            <wp:extent cx="3914775" cy="3438525"/>
            <wp:effectExtent l="0" t="0" r="9525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*NR -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n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um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ă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r </w:t>
      </w:r>
      <w:proofErr w:type="spellStart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clien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ţ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i</w:t>
      </w:r>
      <w:proofErr w:type="spellEnd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casnici la care furnizarea gazelor naturale se </w:t>
      </w:r>
      <w:proofErr w:type="spellStart"/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desfăşura</w:t>
      </w:r>
      <w:proofErr w:type="spellEnd"/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 în regim 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reglement la 30 iunie 202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0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Astfel , </w:t>
      </w:r>
      <w:r w:rsidRPr="006932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la data de 30 septembrie 2020, din numărul total estimat de 3.874.817 clienți casnici (NT</w:t>
      </w:r>
      <w:r w:rsidRPr="006932AC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septembrie2020</w:t>
      </w:r>
      <w:r w:rsidRPr="006932A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), </w:t>
      </w:r>
      <w:r w:rsidRPr="003E0E1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aproximativ 22% aveau încheiate contracte aferente furnizării gazelor naturale în regim </w:t>
      </w:r>
      <w:proofErr w:type="spellStart"/>
      <w:r w:rsidRPr="003E0E1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concurenţial</w:t>
      </w:r>
      <w:proofErr w:type="spellEnd"/>
      <w:r w:rsidRPr="003E0E1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,</w:t>
      </w:r>
      <w:r w:rsidRPr="00D42E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situație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reflectată în graficul </w:t>
      </w:r>
      <w:r w:rsidRPr="00D42E58">
        <w:rPr>
          <w:rFonts w:ascii="Times New Roman" w:eastAsia="Times New Roman" w:hAnsi="Times New Roman" w:cs="Times New Roman"/>
          <w:color w:val="000000"/>
          <w:sz w:val="24"/>
          <w:szCs w:val="24"/>
        </w:rPr>
        <w:t>de mai jos: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o-RO"/>
        </w:rPr>
        <w:lastRenderedPageBreak/>
        <w:drawing>
          <wp:inline distT="0" distB="0" distL="0" distR="0" wp14:anchorId="1B14F178" wp14:editId="0D80461D">
            <wp:extent cx="5314950" cy="28956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7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*NT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septembrie2020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n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um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ă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r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total </w:t>
      </w:r>
      <w:proofErr w:type="spellStart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clien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ţ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i</w:t>
      </w:r>
      <w:proofErr w:type="spellEnd"/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casnici estimat la data de 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30 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septembrie</w:t>
      </w:r>
      <w:r w:rsidRPr="00FC2F8D"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 xml:space="preserve"> 202</w:t>
      </w:r>
      <w:r>
        <w:rPr>
          <w:rFonts w:ascii="Book Antiqua" w:eastAsia="Times New Roman" w:hAnsi="Book Antiqua" w:cs="Times New Roman"/>
          <w:b/>
          <w:color w:val="000000"/>
          <w:sz w:val="18"/>
          <w:szCs w:val="18"/>
          <w:lang w:eastAsia="en-GB"/>
        </w:rPr>
        <w:t>0</w:t>
      </w:r>
    </w:p>
    <w:p w:rsidR="00A0357E" w:rsidRDefault="00A0357E" w:rsidP="00A0357E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0357E" w:rsidRDefault="00A0357E" w:rsidP="00A0357E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Totodată, reamintim că </w:t>
      </w:r>
      <w:proofErr w:type="spellStart"/>
      <w:r w:rsidRPr="00343FF0">
        <w:rPr>
          <w:rFonts w:ascii="Times New Roman" w:eastAsia="Times New Roman" w:hAnsi="Times New Roman" w:cs="Times New Roman"/>
          <w:b/>
          <w:sz w:val="24"/>
          <w:szCs w:val="24"/>
        </w:rPr>
        <w:t>toţi</w:t>
      </w:r>
      <w:proofErr w:type="spellEnd"/>
      <w:r w:rsidRPr="00343F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43FF0">
        <w:rPr>
          <w:rFonts w:ascii="Times New Roman" w:eastAsia="Times New Roman" w:hAnsi="Times New Roman" w:cs="Times New Roman"/>
          <w:b/>
          <w:sz w:val="24"/>
          <w:szCs w:val="24"/>
        </w:rPr>
        <w:t>clienţii</w:t>
      </w:r>
      <w:proofErr w:type="spellEnd"/>
      <w:r w:rsidRPr="00343FF0">
        <w:rPr>
          <w:rFonts w:ascii="Times New Roman" w:eastAsia="Times New Roman" w:hAnsi="Times New Roman" w:cs="Times New Roman"/>
          <w:b/>
          <w:sz w:val="24"/>
          <w:szCs w:val="24"/>
        </w:rPr>
        <w:t xml:space="preserve"> finali au dreptul </w:t>
      </w:r>
      <w:r w:rsidRPr="00343FF0">
        <w:rPr>
          <w:rFonts w:ascii="Times New Roman" w:eastAsia="Times New Roman" w:hAnsi="Times New Roman"/>
          <w:b/>
          <w:bCs/>
          <w:sz w:val="24"/>
          <w:szCs w:val="24"/>
        </w:rPr>
        <w:t>de a</w:t>
      </w:r>
      <w:r>
        <w:rPr>
          <w:rFonts w:ascii="Times New Roman" w:eastAsia="Times New Roman" w:hAnsi="Times New Roman"/>
          <w:b/>
          <w:bCs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alege în mod liber furnizorul cu care să</w:t>
      </w:r>
      <w:r w:rsidRPr="00343FF0">
        <w:rPr>
          <w:rFonts w:ascii="Times New Roman" w:eastAsia="Times New Roman" w:hAnsi="Times New Roman"/>
          <w:b/>
          <w:bCs/>
          <w:sz w:val="24"/>
          <w:szCs w:val="24"/>
        </w:rPr>
        <w:t xml:space="preserve"> închei</w:t>
      </w:r>
      <w:r>
        <w:rPr>
          <w:rFonts w:ascii="Times New Roman" w:eastAsia="Times New Roman" w:hAnsi="Times New Roman"/>
          <w:b/>
          <w:bCs/>
          <w:sz w:val="24"/>
          <w:szCs w:val="24"/>
        </w:rPr>
        <w:t>e</w:t>
      </w:r>
      <w:r w:rsidRPr="00343FF0">
        <w:rPr>
          <w:rFonts w:ascii="Times New Roman" w:eastAsia="Times New Roman" w:hAnsi="Times New Roman"/>
          <w:b/>
          <w:bCs/>
          <w:sz w:val="24"/>
          <w:szCs w:val="24"/>
        </w:rPr>
        <w:t xml:space="preserve"> contracte aferente furnizării gazelor naturale în regim concurențial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iar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procesul de schimbare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furnizorului de gaze naturale este simplu, gratuit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nu implică modificări de ordin tehnic, indiferent de furnizorul de gaze naturale ales de către client. 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Pentru efectuarea unei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analize comparative a ofertelor-tip de furnizare a gazelor naturale existente pe piață, se poate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accesa aplicația "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Comparator oferte-tip de furnizare a gazelor naturale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", disponibilă pe pagina de internet a ANRE, la adresa: </w:t>
      </w:r>
      <w:hyperlink r:id="rId10" w:history="1">
        <w:r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</w:rPr>
          <w:t>http://www.anre.ro/ro/info-consumatori/comparator-oferte-tip-de-furnizare-a-gn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sau prin descărcarea pe dispozitivele mobile a aplicației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”ANRE”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disponibilă în magazinele online de aplicații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și Google Play.</w:t>
      </w:r>
    </w:p>
    <w:p w:rsidR="00A0357E" w:rsidRDefault="00A0357E" w:rsidP="00A035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De asemenea, pentru </w:t>
      </w:r>
      <w:r w:rsidRPr="003E0A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armonizarea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nivel european, până în 2026, </w:t>
      </w:r>
      <w:r w:rsidRPr="003E0A53">
        <w:rPr>
          <w:rFonts w:ascii="Times New Roman" w:eastAsia="Times New Roman" w:hAnsi="Times New Roman" w:cs="Times New Roman"/>
          <w:color w:val="000000"/>
          <w:sz w:val="24"/>
          <w:szCs w:val="24"/>
        </w:rPr>
        <w:t>a regulilor din piața de energie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33A4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în vederea schimbării tehnice a furnizorului în 24 de ore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6283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ANRE </w:t>
      </w:r>
      <w:r w:rsidRPr="00B62832">
        <w:rPr>
          <w:rFonts w:ascii="Times New Roman" w:hAnsi="Times New Roman" w:cs="Times New Roman"/>
          <w:b/>
          <w:sz w:val="24"/>
          <w:szCs w:val="24"/>
        </w:rPr>
        <w:t xml:space="preserve"> implementează un proiect </w:t>
      </w:r>
      <w:proofErr w:type="spellStart"/>
      <w:r w:rsidRPr="00B62832">
        <w:rPr>
          <w:rFonts w:ascii="Times New Roman" w:hAnsi="Times New Roman" w:cs="Times New Roman"/>
          <w:b/>
          <w:sz w:val="24"/>
          <w:szCs w:val="24"/>
        </w:rPr>
        <w:t>finanţat</w:t>
      </w:r>
      <w:proofErr w:type="spellEnd"/>
      <w:r w:rsidRPr="00B62832">
        <w:rPr>
          <w:rFonts w:ascii="Times New Roman" w:hAnsi="Times New Roman" w:cs="Times New Roman"/>
          <w:b/>
          <w:sz w:val="24"/>
          <w:szCs w:val="24"/>
        </w:rPr>
        <w:t xml:space="preserve"> din fonduri nerambursabile</w:t>
      </w:r>
      <w:r w:rsidRPr="00B62832">
        <w:rPr>
          <w:rFonts w:ascii="Times New Roman" w:hAnsi="Times New Roman" w:cs="Times New Roman"/>
          <w:sz w:val="24"/>
          <w:szCs w:val="24"/>
        </w:rPr>
        <w:t xml:space="preserve"> care </w:t>
      </w:r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determina optimizarea proceselor </w:t>
      </w:r>
      <w:proofErr w:type="spellStart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>operaţionale</w:t>
      </w:r>
      <w:proofErr w:type="spellEnd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>piaţa</w:t>
      </w:r>
      <w:proofErr w:type="spellEnd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energie (gaze naturale </w:t>
      </w:r>
      <w:proofErr w:type="spellStart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proofErr w:type="spellEnd"/>
      <w:r w:rsidRPr="00B628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energie electrică) generate de solicitările de schimbare</w:t>
      </w:r>
      <w:r w:rsidRPr="005306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furnizorului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306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gest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ionarea fluxului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informatii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</w:t>
      </w:r>
      <w:r w:rsidRPr="005306BC">
        <w:rPr>
          <w:rFonts w:ascii="Times New Roman" w:eastAsia="Times New Roman" w:hAnsi="Times New Roman" w:cs="Times New Roman"/>
          <w:color w:val="000000"/>
          <w:sz w:val="24"/>
          <w:szCs w:val="24"/>
        </w:rPr>
        <w:t>n mod complet automatizat.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Proiectul</w:t>
      </w:r>
      <w:r w:rsidRPr="00131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31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„Dezvoltarea capacității instituționale a Autorității Naționale de Reglementare în Domeniul Energiei pentru simplificarea procesului de schimbare a furnizorului de energie electrică și de gaze naturale”</w:t>
      </w:r>
      <w:r w:rsidRPr="0013143F"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are ca perioadă de implementare</w:t>
      </w:r>
      <w:r w:rsidRPr="00131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24 de luni, respectiv 01 iulie 2020 – 30 iunie 2022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o valoare totală </w:t>
      </w:r>
      <w:r w:rsidRPr="001314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13143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19.923.503,70 lei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0357E" w:rsidRDefault="00A0357E" w:rsidP="00A0357E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5EB">
        <w:rPr>
          <w:rFonts w:ascii="Times New Roman" w:eastAsia="Times New Roman" w:hAnsi="Times New Roman" w:cs="Times New Roman"/>
          <w:b/>
          <w:sz w:val="24"/>
          <w:szCs w:val="24"/>
        </w:rPr>
        <w:t>L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iberaliz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area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01498">
        <w:rPr>
          <w:rFonts w:ascii="Times New Roman" w:eastAsia="Times New Roman" w:hAnsi="Times New Roman"/>
          <w:b/>
          <w:sz w:val="24"/>
          <w:szCs w:val="24"/>
        </w:rPr>
        <w:t>pieței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984538">
        <w:rPr>
          <w:rFonts w:ascii="Times New Roman" w:eastAsia="Times New Roman" w:hAnsi="Times New Roman"/>
          <w:b/>
          <w:sz w:val="24"/>
          <w:szCs w:val="24"/>
        </w:rPr>
        <w:t xml:space="preserve">de gaze naturale pentru </w:t>
      </w:r>
      <w:proofErr w:type="spellStart"/>
      <w:r w:rsidRPr="00984538">
        <w:rPr>
          <w:rFonts w:ascii="Times New Roman" w:eastAsia="Times New Roman" w:hAnsi="Times New Roman"/>
          <w:b/>
          <w:sz w:val="24"/>
          <w:szCs w:val="24"/>
        </w:rPr>
        <w:t>clienţii</w:t>
      </w:r>
      <w:proofErr w:type="spellEnd"/>
      <w:r w:rsidRPr="00984538">
        <w:rPr>
          <w:rFonts w:ascii="Times New Roman" w:eastAsia="Times New Roman" w:hAnsi="Times New Roman"/>
          <w:b/>
          <w:sz w:val="24"/>
          <w:szCs w:val="24"/>
        </w:rPr>
        <w:t xml:space="preserve"> casnici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a fost </w:t>
      </w:r>
      <w:r>
        <w:rPr>
          <w:rFonts w:ascii="Times New Roman" w:eastAsia="Times New Roman" w:hAnsi="Times New Roman" w:cs="Times New Roman"/>
          <w:sz w:val="24"/>
          <w:szCs w:val="24"/>
        </w:rPr>
        <w:t>stimulată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programul de ofertare de gaze naturale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pe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pieţele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centralizate din România </w:t>
      </w:r>
      <w:r w:rsidRPr="00B33A40">
        <w:rPr>
          <w:rFonts w:ascii="Times New Roman" w:eastAsia="Times New Roman" w:hAnsi="Times New Roman" w:cs="Times New Roman"/>
          <w:b/>
          <w:sz w:val="24"/>
          <w:szCs w:val="24"/>
        </w:rPr>
        <w:t xml:space="preserve">elaborat </w:t>
      </w:r>
      <w:proofErr w:type="spellStart"/>
      <w:r w:rsidRPr="00B33A40">
        <w:rPr>
          <w:rFonts w:ascii="Times New Roman" w:eastAsia="Times New Roman" w:hAnsi="Times New Roman" w:cs="Times New Roman"/>
          <w:b/>
          <w:sz w:val="24"/>
          <w:szCs w:val="24"/>
        </w:rPr>
        <w:t>şi</w:t>
      </w:r>
      <w:proofErr w:type="spellEnd"/>
      <w:r w:rsidRPr="00B33A40">
        <w:rPr>
          <w:rFonts w:ascii="Times New Roman" w:eastAsia="Times New Roman" w:hAnsi="Times New Roman" w:cs="Times New Roman"/>
          <w:b/>
          <w:sz w:val="24"/>
          <w:szCs w:val="24"/>
        </w:rPr>
        <w:t xml:space="preserve"> aprobat de ANRE prin Ordinul nr. 143/2020</w:t>
      </w:r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privind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obligaţia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de a oferta gaze naturale pe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pieţele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centralizate a producătorilor </w:t>
      </w:r>
      <w:r w:rsidRPr="003E0A5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 gaze naturale a căror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producţie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anuală realizată în anul anterior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depăşeşte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3.000.000 MWh respectiv </w:t>
      </w:r>
      <w:r w:rsidRPr="00B33A40">
        <w:rPr>
          <w:rFonts w:ascii="Times New Roman" w:eastAsia="Times New Roman" w:hAnsi="Times New Roman" w:cs="Times New Roman"/>
          <w:b/>
          <w:sz w:val="24"/>
          <w:szCs w:val="24"/>
        </w:rPr>
        <w:t>Ordinul ANRE nr. 144/2020</w:t>
      </w:r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privind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obligaţia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participanţilor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piaţa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de gaze naturale de a oferta pe </w:t>
      </w:r>
      <w:proofErr w:type="spellStart"/>
      <w:r w:rsidRPr="003E0A53">
        <w:rPr>
          <w:rFonts w:ascii="Times New Roman" w:eastAsia="Times New Roman" w:hAnsi="Times New Roman" w:cs="Times New Roman"/>
          <w:sz w:val="24"/>
          <w:szCs w:val="24"/>
        </w:rPr>
        <w:t>pieţele</w:t>
      </w:r>
      <w:proofErr w:type="spellEnd"/>
      <w:r w:rsidRPr="003E0A53">
        <w:rPr>
          <w:rFonts w:ascii="Times New Roman" w:eastAsia="Times New Roman" w:hAnsi="Times New Roman" w:cs="Times New Roman"/>
          <w:sz w:val="24"/>
          <w:szCs w:val="24"/>
        </w:rPr>
        <w:t xml:space="preserve"> centralizate</w:t>
      </w:r>
      <w:r>
        <w:rPr>
          <w:rFonts w:ascii="Times New Roman" w:eastAsia="Times New Roman" w:hAnsi="Times New Roman" w:cs="Times New Roman"/>
          <w:sz w:val="24"/>
          <w:szCs w:val="24"/>
        </w:rPr>
        <w:t>. Aceste reglementări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condus la impulsionarea dezvoltării mediilor transparente de comercializare, prin creșterea lichidității și tranzacționarea unor cantități de gaze naturale suficiente pentru a transmite semnale relevante de preț.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A0357E" w:rsidRPr="00A01498" w:rsidRDefault="00A0357E" w:rsidP="00A0357E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1498">
        <w:rPr>
          <w:rFonts w:ascii="Times New Roman" w:eastAsia="Times New Roman" w:hAnsi="Times New Roman" w:cs="Times New Roman"/>
          <w:sz w:val="24"/>
          <w:szCs w:val="24"/>
        </w:rPr>
        <w:t>Din datele publice puse la dispoziție de operatorii de piață centralizată reiese faptul că, ulterior intrării în vigoare a programului de ofertare, numărul tranzacțiilor încheiate a crescut semnific</w:t>
      </w:r>
      <w:r>
        <w:rPr>
          <w:rFonts w:ascii="Times New Roman" w:eastAsia="Times New Roman" w:hAnsi="Times New Roman" w:cs="Times New Roman"/>
          <w:sz w:val="24"/>
          <w:szCs w:val="24"/>
        </w:rPr>
        <w:t>ativ. Astfel, în perioada iulie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–septembrie 2020 s-au încheiat 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640 de tranzacții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faţă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de aceeași perioadă a anului 2019, când s-au încheiat un număr de 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267 de tranzacții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Prețul mediu ponder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at de vânzare în perioada iulie</w:t>
      </w:r>
      <w:r w:rsidRPr="00A01498">
        <w:rPr>
          <w:rFonts w:ascii="Times New Roman" w:eastAsia="Times New Roman" w:hAnsi="Times New Roman" w:cs="Times New Roman"/>
          <w:b/>
          <w:sz w:val="24"/>
          <w:szCs w:val="24"/>
        </w:rPr>
        <w:t>–septembrie 2020 a fost de 57,15 lei/MWh, preț  mai mic cu 50% decât cel înregistrat în aceeași perioadă a anului 2019, respectiv 114,3 lei/MWh.</w:t>
      </w:r>
    </w:p>
    <w:p w:rsidR="00A0357E" w:rsidRPr="0013143F" w:rsidRDefault="00A0357E" w:rsidP="00A0357E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De asemenea, prin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obligaţia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de ofertare gaze naturale se asigură accesul, prin intermediul unor cantități de gaze naturale ofertate de către principalii producătorii autohtoni</w:t>
      </w:r>
      <w:r w:rsidRPr="00A01498">
        <w:rPr>
          <w:rFonts w:ascii="Times New Roman" w:eastAsia="Calibri" w:hAnsi="Times New Roman" w:cs="Times New Roman"/>
          <w:iCs/>
          <w:sz w:val="24"/>
          <w:szCs w:val="24"/>
        </w:rPr>
        <w:t xml:space="preserve"> în mod continuu</w:t>
      </w:r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pe piețele centralizate din România, a unui număr cât mai ridicat de participanți (furnizori, consumatori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noncasnici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traderi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, operatori de distribuție, de transport și de înmagazinare), care au astfel la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dispoziţie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posibilitatea ofertării la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preţuri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competitive, către </w:t>
      </w:r>
      <w:proofErr w:type="spellStart"/>
      <w:r w:rsidRPr="00A01498">
        <w:rPr>
          <w:rFonts w:ascii="Times New Roman" w:eastAsia="Times New Roman" w:hAnsi="Times New Roman" w:cs="Times New Roman"/>
          <w:sz w:val="24"/>
          <w:szCs w:val="24"/>
        </w:rPr>
        <w:t>clienţii</w:t>
      </w:r>
      <w:proofErr w:type="spellEnd"/>
      <w:r w:rsidRPr="00A01498">
        <w:rPr>
          <w:rFonts w:ascii="Times New Roman" w:eastAsia="Times New Roman" w:hAnsi="Times New Roman" w:cs="Times New Roman"/>
          <w:sz w:val="24"/>
          <w:szCs w:val="24"/>
        </w:rPr>
        <w:t xml:space="preserve"> finali, a întregului necesar de gaze naturale.</w:t>
      </w:r>
    </w:p>
    <w:p w:rsidR="00A0357E" w:rsidRPr="00A01498" w:rsidRDefault="00A0357E" w:rsidP="00A0357E">
      <w:pPr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6AA5" w:rsidRPr="00A0357E" w:rsidRDefault="00A0357E" w:rsidP="00A0357E">
      <w:pPr>
        <w:rPr>
          <w:rFonts w:ascii="Times New Roman" w:hAnsi="Times New Roman" w:cs="Times New Roman"/>
          <w:i/>
          <w:sz w:val="24"/>
          <w:szCs w:val="24"/>
        </w:rPr>
      </w:pPr>
      <w:r w:rsidRPr="00A0357E">
        <w:rPr>
          <w:rFonts w:ascii="Times New Roman" w:hAnsi="Times New Roman" w:cs="Times New Roman"/>
          <w:i/>
          <w:sz w:val="24"/>
          <w:szCs w:val="24"/>
        </w:rPr>
        <w:t>București, 21.10.2020</w:t>
      </w:r>
    </w:p>
    <w:sectPr w:rsidR="00806AA5" w:rsidRPr="00A0357E" w:rsidSect="003427FA">
      <w:footerReference w:type="default" r:id="rId11"/>
      <w:headerReference w:type="first" r:id="rId12"/>
      <w:footerReference w:type="first" r:id="rId13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B24" w:rsidRDefault="00287B24" w:rsidP="003B4C37">
      <w:pPr>
        <w:spacing w:after="0" w:line="240" w:lineRule="auto"/>
      </w:pPr>
      <w:r>
        <w:separator/>
      </w:r>
    </w:p>
  </w:endnote>
  <w:endnote w:type="continuationSeparator" w:id="0">
    <w:p w:rsidR="00287B24" w:rsidRDefault="00287B2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0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B24" w:rsidRDefault="00287B24" w:rsidP="003B4C37">
      <w:pPr>
        <w:spacing w:after="0" w:line="240" w:lineRule="auto"/>
      </w:pPr>
      <w:r>
        <w:separator/>
      </w:r>
    </w:p>
  </w:footnote>
  <w:footnote w:type="continuationSeparator" w:id="0">
    <w:p w:rsidR="00287B24" w:rsidRDefault="00287B2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3130D"/>
    <w:rsid w:val="000D4689"/>
    <w:rsid w:val="000D7AE0"/>
    <w:rsid w:val="00123A54"/>
    <w:rsid w:val="001378AB"/>
    <w:rsid w:val="00140718"/>
    <w:rsid w:val="00160D1D"/>
    <w:rsid w:val="0016112A"/>
    <w:rsid w:val="00162E44"/>
    <w:rsid w:val="00172D21"/>
    <w:rsid w:val="001A1DA0"/>
    <w:rsid w:val="00262A39"/>
    <w:rsid w:val="0027738A"/>
    <w:rsid w:val="00287B24"/>
    <w:rsid w:val="00293F32"/>
    <w:rsid w:val="002A66A8"/>
    <w:rsid w:val="002A6DA5"/>
    <w:rsid w:val="002B3467"/>
    <w:rsid w:val="002C3090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783B"/>
    <w:rsid w:val="00437C42"/>
    <w:rsid w:val="004B55AA"/>
    <w:rsid w:val="00520268"/>
    <w:rsid w:val="0052287D"/>
    <w:rsid w:val="00545B75"/>
    <w:rsid w:val="00561D6D"/>
    <w:rsid w:val="005E003D"/>
    <w:rsid w:val="005E3B03"/>
    <w:rsid w:val="00605E8C"/>
    <w:rsid w:val="00620875"/>
    <w:rsid w:val="00677CF9"/>
    <w:rsid w:val="006C1CB9"/>
    <w:rsid w:val="0076099F"/>
    <w:rsid w:val="00787AA2"/>
    <w:rsid w:val="007D1F9B"/>
    <w:rsid w:val="00806AA5"/>
    <w:rsid w:val="00845749"/>
    <w:rsid w:val="0085060E"/>
    <w:rsid w:val="0088430C"/>
    <w:rsid w:val="00891A82"/>
    <w:rsid w:val="008D456A"/>
    <w:rsid w:val="008D7198"/>
    <w:rsid w:val="008E3045"/>
    <w:rsid w:val="008F401E"/>
    <w:rsid w:val="008F6221"/>
    <w:rsid w:val="00913135"/>
    <w:rsid w:val="00936332"/>
    <w:rsid w:val="00997D09"/>
    <w:rsid w:val="00A0357E"/>
    <w:rsid w:val="00A12310"/>
    <w:rsid w:val="00A270B1"/>
    <w:rsid w:val="00A277E7"/>
    <w:rsid w:val="00A53F29"/>
    <w:rsid w:val="00A67B3D"/>
    <w:rsid w:val="00AB62C4"/>
    <w:rsid w:val="00AE22CA"/>
    <w:rsid w:val="00AE6F05"/>
    <w:rsid w:val="00AF2BC1"/>
    <w:rsid w:val="00B50AEF"/>
    <w:rsid w:val="00B63563"/>
    <w:rsid w:val="00B81C1F"/>
    <w:rsid w:val="00BB0029"/>
    <w:rsid w:val="00BC0B70"/>
    <w:rsid w:val="00BD4091"/>
    <w:rsid w:val="00C042DC"/>
    <w:rsid w:val="00C17D43"/>
    <w:rsid w:val="00C2096C"/>
    <w:rsid w:val="00D005D5"/>
    <w:rsid w:val="00D4133D"/>
    <w:rsid w:val="00D76985"/>
    <w:rsid w:val="00DF7952"/>
    <w:rsid w:val="00E56C1A"/>
    <w:rsid w:val="00E7037E"/>
    <w:rsid w:val="00ED494E"/>
    <w:rsid w:val="00EF36DB"/>
    <w:rsid w:val="00F404C1"/>
    <w:rsid w:val="00F646F0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57E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nre.ro/ro/info-consumatori/comparator-oferte-tip-de-furnizare-a-gn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2.16\spgn2017\Monitorizare%20Ordin%2027_2020\Anexa%203%20Ordin%2027_2020\pentru%20presedinte\CENTRALIZATOR%20Anexa%203%20clienti%20casnici_stadiul%20la%2030septembrie2020.xls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600" b="0" i="0" baseline="0">
                <a:effectLst/>
                <a:latin typeface="Book Antiqua" panose="02040602050305030304" pitchFamily="18" charset="0"/>
              </a:rPr>
              <a:t>30 iunie 2020</a:t>
            </a:r>
            <a:endParaRPr lang="en-US" sz="1600">
              <a:latin typeface="Book Antiqua" panose="0204060205030503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ro-RO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7724849513507561E-2"/>
          <c:y val="0.10141464192214066"/>
          <c:w val="0.90138888888888891"/>
          <c:h val="0.72089967920676579"/>
        </c:manualLayout>
      </c:layout>
      <c:pie3DChart>
        <c:varyColors val="1"/>
        <c:ser>
          <c:idx val="0"/>
          <c:order val="0"/>
          <c:tx>
            <c:strRef>
              <c:f>Sheet1!$H$3:$H$4</c:f>
              <c:strCache>
                <c:ptCount val="2"/>
                <c:pt idx="0">
                  <c:v>reglementati</c:v>
                </c:pt>
                <c:pt idx="1">
                  <c:v>eligibili</c:v>
                </c:pt>
              </c:strCache>
            </c:strRef>
          </c:tx>
          <c:spPr>
            <a:solidFill>
              <a:srgbClr val="92D050"/>
            </a:solidFill>
          </c:spPr>
          <c:explosion val="43"/>
          <c:dPt>
            <c:idx val="0"/>
            <c:bubble3D val="0"/>
            <c:explosion val="25"/>
            <c:spPr>
              <a:solidFill>
                <a:schemeClr val="accent6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386-41BB-BC8A-DF8431F299AC}"/>
              </c:ext>
            </c:extLst>
          </c:dPt>
          <c:dPt>
            <c:idx val="1"/>
            <c:bubble3D val="0"/>
            <c:explosion val="0"/>
            <c:spPr>
              <a:solidFill>
                <a:srgbClr val="92D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386-41BB-BC8A-DF8431F299AC}"/>
              </c:ext>
            </c:extLst>
          </c:dPt>
          <c:dLbls>
            <c:dLbl>
              <c:idx val="0"/>
              <c:layout>
                <c:manualLayout>
                  <c:x val="6.5895682676942444E-2"/>
                  <c:y val="-5.1443065258620913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endParaRPr lang="en-US" baseline="0"/>
                  </a:p>
                  <a:p>
                    <a:pPr>
                      <a:defRPr b="1"/>
                    </a:pPr>
                    <a:r>
                      <a:rPr lang="en-US" sz="14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88%</a:t>
                    </a:r>
                  </a:p>
                  <a:p>
                    <a:pPr>
                      <a:defRPr b="1"/>
                    </a:pPr>
                    <a:r>
                      <a:rPr lang="en-US" sz="10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3.378.722</a:t>
                    </a:r>
                  </a:p>
                  <a:p>
                    <a:pPr>
                      <a:defRPr b="1"/>
                    </a:pPr>
                    <a:r>
                      <a:rPr lang="en-US" sz="7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Număr clienţi casnici, din NT, care nu şi-au exercitat dreptul de eligibilitate până la data de 30 iunie 2020 (clienți casnici pasivi)</a:t>
                    </a:r>
                  </a:p>
                  <a:p>
                    <a:pPr>
                      <a:defRPr b="1"/>
                    </a:pPr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o-RO"/>
                </a:p>
              </c:txPr>
              <c:showLegendKey val="1"/>
              <c:showVal val="1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1386-41BB-BC8A-DF8431F299AC}"/>
                </c:ext>
                <c:ext xmlns:c15="http://schemas.microsoft.com/office/drawing/2012/chart" uri="{CE6537A1-D6FC-4f65-9D91-7224C49458BB}">
                  <c15:layout>
                    <c:manualLayout>
                      <c:w val="0.22532600146255422"/>
                      <c:h val="0.40579635748617376"/>
                    </c:manualLayout>
                  </c15:layout>
                </c:ext>
              </c:extLst>
            </c:dLbl>
            <c:dLbl>
              <c:idx val="1"/>
              <c:layout>
                <c:manualLayout>
                  <c:x val="-0.16674846377893152"/>
                  <c:y val="0.1111111111111111"/>
                </c:manualLayout>
              </c:layout>
              <c:tx>
                <c:rich>
                  <a:bodyPr/>
                  <a:lstStyle/>
                  <a:p>
                    <a:r>
                      <a:rPr lang="en-US" sz="14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12%</a:t>
                    </a:r>
                  </a:p>
                  <a:p>
                    <a:r>
                      <a:rPr lang="en-US" sz="10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465.752</a:t>
                    </a:r>
                  </a:p>
                  <a:p>
                    <a:r>
                      <a:rPr lang="en-US" sz="800" b="0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Număr </a:t>
                    </a:r>
                    <a:r>
                      <a:rPr lang="en-US" sz="8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clienti </a:t>
                    </a:r>
                    <a:r>
                      <a:rPr lang="en-US" sz="7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casnici, din NT, care aveau încheiate contracte negociate la data de 30 iunie 2020 (clienți casnici eligibili)</a:t>
                    </a:r>
                  </a:p>
                  <a:p>
                    <a:endParaRPr lang="en-US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1386-41BB-BC8A-DF8431F299A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o-RO"/>
              </a:p>
            </c:txPr>
            <c:showLegendKey val="1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numRef>
              <c:f>Sheet1!$I$2</c:f>
              <c:numCache>
                <c:formatCode>mmm\-yy</c:formatCode>
                <c:ptCount val="1"/>
                <c:pt idx="0">
                  <c:v>43983</c:v>
                </c:pt>
              </c:numCache>
            </c:numRef>
          </c:cat>
          <c:val>
            <c:numRef>
              <c:f>Sheet1!$I$3:$I$4</c:f>
              <c:numCache>
                <c:formatCode>#,##0</c:formatCode>
                <c:ptCount val="2"/>
                <c:pt idx="0">
                  <c:v>3378722</c:v>
                </c:pt>
                <c:pt idx="1">
                  <c:v>465752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386-41BB-BC8A-DF8431F299AC}"/>
            </c:ext>
          </c:extLst>
        </c:ser>
        <c:ser>
          <c:idx val="1"/>
          <c:order val="1"/>
          <c:tx>
            <c:strRef>
              <c:f>Sheet1!$H$4</c:f>
              <c:strCache>
                <c:ptCount val="1"/>
                <c:pt idx="0">
                  <c:v>eligibili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1386-41BB-BC8A-DF8431F299AC}"/>
              </c:ext>
            </c:extLst>
          </c:dPt>
          <c:cat>
            <c:numRef>
              <c:f>Sheet1!$I$2</c:f>
              <c:numCache>
                <c:formatCode>mmm\-yy</c:formatCode>
                <c:ptCount val="1"/>
                <c:pt idx="0">
                  <c:v>43983</c:v>
                </c:pt>
              </c:numCache>
            </c:numRef>
          </c:cat>
          <c:val>
            <c:numRef>
              <c:f>Sheet1!$I$4</c:f>
              <c:numCache>
                <c:formatCode>#,##0</c:formatCode>
                <c:ptCount val="1"/>
                <c:pt idx="0">
                  <c:v>465752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1386-41BB-BC8A-DF8431F299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RO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0" i="0" u="none" strike="noStrike" baseline="0">
                <a:solidFill>
                  <a:srgbClr val="333333"/>
                </a:solidFill>
                <a:latin typeface="Book Antiqua"/>
                <a:ea typeface="Book Antiqua"/>
                <a:cs typeface="Book Antiqua"/>
              </a:defRPr>
            </a:pPr>
            <a:r>
              <a:rPr lang="en-GB"/>
              <a:t>30 septembrie</a:t>
            </a:r>
            <a:r>
              <a:rPr lang="en-GB" baseline="0"/>
              <a:t> </a:t>
            </a:r>
            <a:r>
              <a:rPr lang="en-GB"/>
              <a:t>2020</a:t>
            </a:r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1917885264341962E-2"/>
          <c:y val="0.11264756005025438"/>
          <c:w val="0.81679915010623672"/>
          <c:h val="0.74947303820842859"/>
        </c:manualLayout>
      </c:layout>
      <c:pie3DChart>
        <c:varyColors val="1"/>
        <c:ser>
          <c:idx val="0"/>
          <c:order val="0"/>
          <c:spPr>
            <a:ln w="34925">
              <a:solidFill>
                <a:schemeClr val="tx1"/>
              </a:solidFill>
            </a:ln>
            <a:effectLst>
              <a:innerShdw blurRad="114300">
                <a:prstClr val="black"/>
              </a:innerShdw>
            </a:effectLst>
          </c:spPr>
          <c:dPt>
            <c:idx val="0"/>
            <c:bubble3D val="0"/>
            <c:explosion val="24"/>
            <c:spPr>
              <a:solidFill>
                <a:srgbClr val="92D050"/>
              </a:solidFill>
              <a:ln w="34925">
                <a:solidFill>
                  <a:srgbClr val="92D050"/>
                </a:solidFill>
              </a:ln>
              <a:effectLst>
                <a:innerShdw blurRad="114300">
                  <a:prstClr val="black"/>
                </a:inn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3A9-4DB0-A252-F4A9DCF7ACCC}"/>
              </c:ext>
            </c:extLst>
          </c:dPt>
          <c:dPt>
            <c:idx val="1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13A9-4DB0-A252-F4A9DCF7ACCC}"/>
              </c:ext>
            </c:extLst>
          </c:dPt>
          <c:dLbls>
            <c:dLbl>
              <c:idx val="0"/>
              <c:layout>
                <c:manualLayout>
                  <c:x val="0.18506370021873786"/>
                  <c:y val="6.8614175033807262E-2"/>
                </c:manualLayout>
              </c:layout>
              <c:tx>
                <c:rich>
                  <a:bodyPr/>
                  <a:lstStyle/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 sz="1800">
                        <a:solidFill>
                          <a:srgbClr val="92D050"/>
                        </a:solidFill>
                      </a:rPr>
                      <a:t>10,55%</a:t>
                    </a:r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 sz="1200">
                        <a:solidFill>
                          <a:srgbClr val="92D050"/>
                        </a:solidFill>
                      </a:rPr>
                      <a:t>356.506</a:t>
                    </a:r>
                    <a:endParaRPr lang="en-US" sz="1200"/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/>
                      <a:t>Număr clienţi casnici, din NR, care au încheiat contracte aferente furnizării gazelor naturale în regim concurenţial  cu intrare</a:t>
                    </a:r>
                    <a:r>
                      <a:rPr lang="en-US" baseline="0"/>
                      <a:t> în vigoare în perioada 1 iulie - 30 septembrie 2020</a:t>
                    </a:r>
                    <a:endParaRPr lang="en-US"/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endParaRPr lang="en-US"/>
                  </a:p>
                </c:rich>
              </c:tx>
              <c:numFmt formatCode="0.0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13A9-4DB0-A252-F4A9DCF7ACCC}"/>
                </c:ext>
                <c:ext xmlns:c15="http://schemas.microsoft.com/office/drawing/2012/chart" uri="{CE6537A1-D6FC-4f65-9D91-7224C49458BB}">
                  <c15:layout>
                    <c:manualLayout>
                      <c:w val="0.22331679343001834"/>
                      <c:h val="0.60581557499218408"/>
                    </c:manualLayout>
                  </c15:layout>
                </c:ext>
              </c:extLst>
            </c:dLbl>
            <c:dLbl>
              <c:idx val="1"/>
              <c:layout>
                <c:manualLayout>
                  <c:x val="2.7410133515919227E-2"/>
                  <c:y val="-1.1951517009279504E-3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 sz="1800">
                        <a:solidFill>
                          <a:srgbClr val="92D050"/>
                        </a:solidFill>
                      </a:rPr>
                      <a:t>89,45%</a:t>
                    </a:r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 sz="1200">
                        <a:solidFill>
                          <a:srgbClr val="92D050"/>
                        </a:solidFill>
                      </a:rPr>
                      <a:t>3.022.288</a:t>
                    </a:r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r>
                      <a:rPr lang="en-US" baseline="0"/>
                      <a:t>Număr clienţi casnici, din NR, care nu şi-au exercitat dreptul de eligibilitate până la data de 30 septembrie 2020</a:t>
                    </a:r>
                  </a:p>
                  <a:p>
                    <a:pPr>
                      <a:defRPr sz="800" b="1" i="1" u="none" strike="noStrike" baseline="0">
                        <a:solidFill>
                          <a:srgbClr val="333333"/>
                        </a:solidFill>
                        <a:latin typeface="Book Antiqua"/>
                        <a:ea typeface="Book Antiqua"/>
                        <a:cs typeface="Book Antiqua"/>
                      </a:defRPr>
                    </a:pPr>
                    <a:endParaRPr lang="en-US"/>
                  </a:p>
                </c:rich>
              </c:tx>
              <c:numFmt formatCode="0.00%" sourceLinked="0"/>
              <c:spPr>
                <a:noFill/>
                <a:ln w="25400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13A9-4DB0-A252-F4A9DCF7ACCC}"/>
                </c:ex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0.41182334816843547"/>
                      <c:h val="0.29465167219061111"/>
                    </c:manualLayout>
                  </c15:layout>
                </c:ext>
              </c:extLst>
            </c:dLbl>
            <c:numFmt formatCode="0.00%" sourceLinked="0"/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1" i="0" u="none" strike="noStrike" baseline="0">
                    <a:solidFill>
                      <a:srgbClr val="333333"/>
                    </a:solidFill>
                    <a:latin typeface="Book Antiqua"/>
                    <a:ea typeface="Book Antiqua"/>
                    <a:cs typeface="Book Antiqua"/>
                  </a:defRPr>
                </a:pPr>
                <a:endParaRPr lang="ro-RO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'[CENTRALIZATOR Anexa 3 clienti casnici_stadiul la 30septembrie2020.xls]stadiul la 30 sept 2020'!$E$2:$F$2</c:f>
              <c:strCache>
                <c:ptCount val="2"/>
                <c:pt idx="0">
                  <c:v>Numar clienti, din NR, care au incheiat contracte negociate cu intrare in vigoare intre 1 iulie si 30 septembrie 2020</c:v>
                </c:pt>
                <c:pt idx="1">
                  <c:v>Numar clienti, din NR, care nu si-au exercitat dreptul de eligibilitate pana la data de 30 septembrie 2020</c:v>
                </c:pt>
              </c:strCache>
            </c:strRef>
          </c:cat>
          <c:val>
            <c:numRef>
              <c:f>'[CENTRALIZATOR Anexa 3 clienti casnici_stadiul la 30septembrie2020.xls]stadiul la 30 sept 2020'!$E$7:$F$7</c:f>
              <c:numCache>
                <c:formatCode>#,##0</c:formatCode>
                <c:ptCount val="2"/>
                <c:pt idx="0">
                  <c:v>356506</c:v>
                </c:pt>
                <c:pt idx="1">
                  <c:v>3022288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3A9-4DB0-A252-F4A9DCF7AC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o-RO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600" b="0" i="0" baseline="0">
                <a:effectLst/>
                <a:latin typeface="Book Antiqua" panose="02040602050305030304" pitchFamily="18" charset="0"/>
              </a:rPr>
              <a:t>30 </a:t>
            </a:r>
            <a:r>
              <a:rPr lang="ro-RO" sz="1600" b="0" i="0" baseline="0">
                <a:effectLst/>
                <a:latin typeface="Book Antiqua" panose="02040602050305030304" pitchFamily="18" charset="0"/>
              </a:rPr>
              <a:t>septembrie </a:t>
            </a:r>
            <a:r>
              <a:rPr lang="en-US" sz="1600" b="0" i="0" baseline="0">
                <a:effectLst/>
                <a:latin typeface="Book Antiqua" panose="02040602050305030304" pitchFamily="18" charset="0"/>
              </a:rPr>
              <a:t>2020</a:t>
            </a:r>
            <a:endParaRPr lang="en-US" sz="1600">
              <a:latin typeface="Book Antiqua" panose="0204060205030503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ro-RO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2304744468383551E-2"/>
          <c:y val="0.10141468012652992"/>
          <c:w val="0.90138888888888891"/>
          <c:h val="0.72089967920676579"/>
        </c:manualLayout>
      </c:layout>
      <c:pie3DChart>
        <c:varyColors val="1"/>
        <c:ser>
          <c:idx val="0"/>
          <c:order val="0"/>
          <c:tx>
            <c:strRef>
              <c:f>Sheet1!$H$3:$H$4</c:f>
              <c:strCache>
                <c:ptCount val="2"/>
                <c:pt idx="0">
                  <c:v>reglementati</c:v>
                </c:pt>
                <c:pt idx="1">
                  <c:v>eligibili</c:v>
                </c:pt>
              </c:strCache>
            </c:strRef>
          </c:tx>
          <c:spPr>
            <a:solidFill>
              <a:srgbClr val="92D050"/>
            </a:solidFill>
          </c:spPr>
          <c:explosion val="43"/>
          <c:dPt>
            <c:idx val="0"/>
            <c:bubble3D val="0"/>
            <c:explosion val="0"/>
            <c:spPr>
              <a:solidFill>
                <a:schemeClr val="accent6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2FD-4DD0-A071-8DB6582DF421}"/>
              </c:ext>
            </c:extLst>
          </c:dPt>
          <c:dPt>
            <c:idx val="1"/>
            <c:bubble3D val="0"/>
            <c:explosion val="27"/>
            <c:spPr>
              <a:solidFill>
                <a:srgbClr val="92D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2FD-4DD0-A071-8DB6582DF421}"/>
              </c:ext>
            </c:extLst>
          </c:dPt>
          <c:dLbls>
            <c:dLbl>
              <c:idx val="0"/>
              <c:layout>
                <c:manualLayout>
                  <c:x val="7.1501573302807579E-4"/>
                  <c:y val="6.5346688490499072E-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endParaRPr lang="en-US" baseline="0"/>
                  </a:p>
                  <a:p>
                    <a:pPr>
                      <a:defRPr b="1"/>
                    </a:pPr>
                    <a:r>
                      <a:rPr lang="en-US" sz="14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78%</a:t>
                    </a:r>
                  </a:p>
                  <a:p>
                    <a:pPr>
                      <a:defRPr b="1"/>
                    </a:pPr>
                    <a:r>
                      <a:rPr lang="en-US" sz="10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3.022.288</a:t>
                    </a:r>
                  </a:p>
                  <a:p>
                    <a:pPr>
                      <a:defRPr b="1"/>
                    </a:pPr>
                    <a:r>
                      <a:rPr lang="en-US" sz="7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Număr clienţi casnici, din NT, care nu şi-au exercitat dreptul de eligibilitate până la data de 30 septembrie 2020 (clienți casnici pasivi)</a:t>
                    </a:r>
                  </a:p>
                  <a:p>
                    <a:pPr>
                      <a:defRPr b="1"/>
                    </a:pPr>
                    <a:endParaRPr lang="en-US"/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o-RO"/>
                </a:p>
              </c:txPr>
              <c:showLegendKey val="1"/>
              <c:showVal val="1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52FD-4DD0-A071-8DB6582DF421}"/>
                </c:ext>
                <c:ext xmlns:c15="http://schemas.microsoft.com/office/drawing/2012/chart" uri="{CE6537A1-D6FC-4f65-9D91-7224C49458BB}">
                  <c15:layout>
                    <c:manualLayout>
                      <c:w val="0.2253261061929378"/>
                      <c:h val="0.42059074808445845"/>
                    </c:manualLayout>
                  </c15:layout>
                </c:ext>
              </c:extLst>
            </c:dLbl>
            <c:dLbl>
              <c:idx val="1"/>
              <c:layout>
                <c:manualLayout>
                  <c:x val="-4.8453011045618076E-2"/>
                  <c:y val="0.23641757490386048"/>
                </c:manualLayout>
              </c:layout>
              <c:tx>
                <c:rich>
                  <a:bodyPr/>
                  <a:lstStyle/>
                  <a:p>
                    <a:r>
                      <a:rPr lang="en-US" sz="14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22%</a:t>
                    </a:r>
                  </a:p>
                  <a:p>
                    <a:r>
                      <a:rPr lang="en-US" sz="1000" b="1" i="0" u="none" strike="noStrike" kern="1200" baseline="0">
                        <a:solidFill>
                          <a:srgbClr val="92D050"/>
                        </a:solidFill>
                        <a:latin typeface="Book Antiqua" panose="02040602050305030304" pitchFamily="18" charset="0"/>
                      </a:rPr>
                      <a:t>852.529</a:t>
                    </a:r>
                  </a:p>
                  <a:p>
                    <a:r>
                      <a:rPr lang="en-US" sz="800" b="0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Număr </a:t>
                    </a:r>
                    <a:r>
                      <a:rPr lang="en-US" sz="8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clienti </a:t>
                    </a:r>
                    <a:r>
                      <a:rPr lang="en-US" sz="700" b="1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Book Antiqua" panose="02040602050305030304" pitchFamily="18" charset="0"/>
                      </a:rPr>
                      <a:t>casnici, din NT, care aveau încheiate contracte negociate la data de 30 septembrie 2020 (clienți casnici eligibili)</a:t>
                    </a:r>
                  </a:p>
                  <a:p>
                    <a:endParaRPr lang="en-US"/>
                  </a:p>
                </c:rich>
              </c:tx>
              <c:showLegendKey val="1"/>
              <c:showVal val="1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52FD-4DD0-A071-8DB6582DF421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o-RO"/>
              </a:p>
            </c:txPr>
            <c:showLegendKey val="1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numRef>
              <c:f>Sheet1!$L$2</c:f>
              <c:numCache>
                <c:formatCode>mmm\-yy</c:formatCode>
                <c:ptCount val="1"/>
                <c:pt idx="0">
                  <c:v>44075</c:v>
                </c:pt>
              </c:numCache>
            </c:numRef>
          </c:cat>
          <c:val>
            <c:numRef>
              <c:f>Sheet1!$L$3:$L$4</c:f>
              <c:numCache>
                <c:formatCode>#,##0</c:formatCode>
                <c:ptCount val="2"/>
                <c:pt idx="0">
                  <c:v>3022288</c:v>
                </c:pt>
                <c:pt idx="1">
                  <c:v>852529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2FD-4DD0-A071-8DB6582DF421}"/>
            </c:ext>
          </c:extLst>
        </c:ser>
        <c:ser>
          <c:idx val="1"/>
          <c:order val="1"/>
          <c:tx>
            <c:strRef>
              <c:f>Sheet1!$H$4</c:f>
              <c:strCache>
                <c:ptCount val="1"/>
                <c:pt idx="0">
                  <c:v>eligibili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52FD-4DD0-A071-8DB6582DF421}"/>
              </c:ext>
            </c:extLst>
          </c:dPt>
          <c:cat>
            <c:numRef>
              <c:f>Sheet1!$L$2</c:f>
              <c:numCache>
                <c:formatCode>mmm\-yy</c:formatCode>
                <c:ptCount val="1"/>
                <c:pt idx="0">
                  <c:v>44075</c:v>
                </c:pt>
              </c:numCache>
            </c:numRef>
          </c:cat>
          <c:val>
            <c:numRef>
              <c:f>Sheet1!$I$4</c:f>
              <c:numCache>
                <c:formatCode>#,##0</c:formatCode>
                <c:ptCount val="1"/>
                <c:pt idx="0">
                  <c:v>465752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52FD-4DD0-A071-8DB6582DF4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RO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958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8</cp:revision>
  <cp:lastPrinted>2017-09-06T10:01:00Z</cp:lastPrinted>
  <dcterms:created xsi:type="dcterms:W3CDTF">2020-10-21T09:13:00Z</dcterms:created>
  <dcterms:modified xsi:type="dcterms:W3CDTF">2020-10-21T10:23:00Z</dcterms:modified>
</cp:coreProperties>
</file>