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5" w:type="dxa"/>
        <w:tblLook w:val="04A0" w:firstRow="1" w:lastRow="0" w:firstColumn="1" w:lastColumn="0" w:noHBand="0" w:noVBand="1"/>
      </w:tblPr>
      <w:tblGrid>
        <w:gridCol w:w="8663"/>
        <w:gridCol w:w="1716"/>
        <w:gridCol w:w="241"/>
        <w:gridCol w:w="275"/>
      </w:tblGrid>
      <w:tr w:rsidR="00A537AF" w:rsidRPr="00E83065" w:rsidTr="00DC1C32">
        <w:trPr>
          <w:trHeight w:val="370"/>
        </w:trPr>
        <w:tc>
          <w:tcPr>
            <w:tcW w:w="10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Indicative results of the application of the proposed methodology for setting reference </w:t>
            </w:r>
            <w:r w:rsidR="00DC1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prices</w:t>
            </w: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CB5F3E" w:rsidRPr="00E83065" w:rsidRDefault="00CB5F3E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estimated revenue for the gas year 2019-2020 (lei)</w:t>
            </w:r>
          </w:p>
        </w:tc>
        <w:tc>
          <w:tcPr>
            <w:tcW w:w="17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1.332.108.833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The share of the allocation of the total revenue in the fixed component (lei)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75,00%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Capacity tariff (lei)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999.081.625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The share of the allocation of the capacity tariff per entry/exit points 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50,00%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The capacity tariff allocated to the entry points (lei)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499.540.812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The capacity tariff allocated to the exit points (lei)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499.540.812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The share of the allocation of the total revenue in the capacity tariff (lei)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25,00%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Capacity tariff (lei)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333.027.208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10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Indicative, estimated reference 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prices</w:t>
            </w: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resulted from the application of the "Postage stamp" type</w:t>
            </w:r>
          </w:p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proposed methodology </w:t>
            </w:r>
          </w:p>
          <w:p w:rsidR="00CB5F3E" w:rsidRPr="00E83065" w:rsidRDefault="00CB5F3E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600"/>
        </w:trPr>
        <w:tc>
          <w:tcPr>
            <w:tcW w:w="86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The reference 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price</w:t>
            </w: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related to the </w:t>
            </w:r>
            <w:proofErr w:type="gramStart"/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long term</w:t>
            </w:r>
            <w:proofErr w:type="gramEnd"/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firm capacity booking services for the group of NTS entry points expressed in lei/MWh/h</w:t>
            </w:r>
          </w:p>
        </w:tc>
        <w:tc>
          <w:tcPr>
            <w:tcW w:w="171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2,3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590"/>
        </w:trPr>
        <w:tc>
          <w:tcPr>
            <w:tcW w:w="8663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The reference 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price</w:t>
            </w: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related to the firm </w:t>
            </w:r>
            <w:proofErr w:type="gramStart"/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long term</w:t>
            </w:r>
            <w:proofErr w:type="gramEnd"/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capacity booking services for the group of NTS exit points lei/MWh/h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1,65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Commodity 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tariff</w:t>
            </w: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applied to the quantities transmitted through the NTS lei/MWh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1,9</w:t>
            </w:r>
            <w:r w:rsid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065" w:rsidRPr="00E83065" w:rsidRDefault="00E83065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10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Determination of the allocation tests according to Art.5 of Reg.(EU) no. 460/2017</w:t>
            </w:r>
          </w:p>
          <w:p w:rsidR="00CB5F3E" w:rsidRPr="00E83065" w:rsidRDefault="00CB5F3E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Revenue(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Intra cap)-lei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828.385.599,20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Revenue(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Cross cap)-lei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170.696.025,47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Revenue(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Intra </w:t>
            </w:r>
            <w:proofErr w:type="spell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</w:t>
            </w:r>
            <w:proofErr w:type="spell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)-lei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269.050.509,76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Revenue(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Cross </w:t>
            </w:r>
            <w:proofErr w:type="spell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</w:t>
            </w:r>
            <w:proofErr w:type="spell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)-lei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63.976.698,46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Ratio(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intra cap)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1,9735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Ratio(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cross cap)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2,1375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Ratio(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intra </w:t>
            </w:r>
            <w:proofErr w:type="spell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</w:t>
            </w:r>
            <w:proofErr w:type="spell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1,9580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Ratio(</w:t>
            </w:r>
            <w:proofErr w:type="gram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cross </w:t>
            </w:r>
            <w:proofErr w:type="spellStart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</w:t>
            </w:r>
            <w:proofErr w:type="spellEnd"/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1,9580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F3E" w:rsidRPr="00E83065" w:rsidRDefault="00CB5F3E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290"/>
        </w:trPr>
        <w:tc>
          <w:tcPr>
            <w:tcW w:w="866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CAPACITY TEST 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7,98%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7AF" w:rsidRPr="00E83065" w:rsidTr="00DC1C32">
        <w:trPr>
          <w:trHeight w:val="300"/>
        </w:trPr>
        <w:tc>
          <w:tcPr>
            <w:tcW w:w="8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FLOW TEST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7AF" w:rsidRPr="00E83065" w:rsidRDefault="00A537AF" w:rsidP="00A537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40DA" w:rsidRPr="00E83065" w:rsidRDefault="001E40DA" w:rsidP="00A537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0D0AD2" w:rsidRPr="00E83065" w:rsidRDefault="00BF19BD" w:rsidP="00A537A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The assumptions associated to the presented values are: </w:t>
      </w:r>
    </w:p>
    <w:p w:rsidR="00BF19BD" w:rsidRPr="00E83065" w:rsidRDefault="00BF19BD" w:rsidP="00BF19B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lastRenderedPageBreak/>
        <w:t xml:space="preserve">the revenue related to the gas year 2019-2020 is estimated based on the last regulated revenue and </w:t>
      </w:r>
      <w:r w:rsidR="00E83065">
        <w:rPr>
          <w:rFonts w:ascii="Times New Roman" w:hAnsi="Times New Roman"/>
          <w:sz w:val="24"/>
          <w:szCs w:val="24"/>
          <w:lang w:val="en-GB"/>
        </w:rPr>
        <w:t>pass-through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costs approved by ANRE and considering the investments planned to be commissioned by 30 September 2019;</w:t>
      </w:r>
    </w:p>
    <w:p w:rsidR="00BF19BD" w:rsidRPr="00E83065" w:rsidRDefault="00BF19BD" w:rsidP="00A537A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the capacity bookings related to the gas year 2019-2020 are estimated starting from the estimations used upon the substantiation of the regulated tariffs for the gas year 2018-2019 and considering the </w:t>
      </w:r>
      <w:r w:rsidR="00816712" w:rsidRPr="00E83065">
        <w:rPr>
          <w:rFonts w:ascii="Times New Roman" w:hAnsi="Times New Roman"/>
          <w:sz w:val="24"/>
          <w:szCs w:val="24"/>
          <w:lang w:val="en-GB"/>
        </w:rPr>
        <w:t>capacities planned to be commissioned by 30 September 2019 as a result of the ongoing incremental capacity processes;</w:t>
      </w:r>
    </w:p>
    <w:p w:rsidR="00816712" w:rsidRPr="00E83065" w:rsidRDefault="00816712" w:rsidP="00A537A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the gas transmission pipeline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Isaccea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–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Negru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Vodă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will be included in the NTS and the estimations of capacity booking substantiated for the gas year </w:t>
      </w:r>
      <w:r w:rsidRPr="00E83065">
        <w:rPr>
          <w:rFonts w:ascii="Times New Roman" w:hAnsi="Times New Roman"/>
          <w:sz w:val="24"/>
          <w:szCs w:val="24"/>
        </w:rPr>
        <w:t>2018-2019 will be used;</w:t>
      </w:r>
    </w:p>
    <w:p w:rsidR="00816712" w:rsidRPr="00E83065" w:rsidRDefault="00816712" w:rsidP="00A537A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>a 50% discount will be used for the capacity booking products offered for storage services;</w:t>
      </w:r>
    </w:p>
    <w:p w:rsidR="00816712" w:rsidRPr="00E83065" w:rsidRDefault="00816712" w:rsidP="008167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>capacity booking estimates will cons</w:t>
      </w:r>
      <w:bookmarkStart w:id="0" w:name="_GoBack"/>
      <w:bookmarkEnd w:id="0"/>
      <w:r w:rsidRPr="00E83065">
        <w:rPr>
          <w:rFonts w:ascii="Times New Roman" w:hAnsi="Times New Roman"/>
          <w:sz w:val="24"/>
          <w:szCs w:val="24"/>
          <w:lang w:val="en-GB"/>
        </w:rPr>
        <w:t xml:space="preserve">ider a maximum consumption </w:t>
      </w:r>
      <w:r w:rsidR="004675C6" w:rsidRPr="00E83065">
        <w:rPr>
          <w:rFonts w:ascii="Times New Roman" w:hAnsi="Times New Roman"/>
          <w:sz w:val="24"/>
          <w:szCs w:val="24"/>
          <w:lang w:val="en-GB"/>
        </w:rPr>
        <w:t xml:space="preserve">long-term booking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at the </w:t>
      </w:r>
      <w:r w:rsidR="004675C6" w:rsidRPr="00E83065">
        <w:rPr>
          <w:rFonts w:ascii="Times New Roman" w:hAnsi="Times New Roman"/>
          <w:sz w:val="24"/>
          <w:szCs w:val="24"/>
          <w:lang w:val="en-GB"/>
        </w:rPr>
        <w:t>TSO/DSO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interface. At this interface, short-term capacity </w:t>
      </w:r>
      <w:r w:rsidR="004675C6" w:rsidRPr="00E83065">
        <w:rPr>
          <w:rFonts w:ascii="Times New Roman" w:hAnsi="Times New Roman"/>
          <w:sz w:val="24"/>
          <w:szCs w:val="24"/>
          <w:lang w:val="en-GB"/>
        </w:rPr>
        <w:t xml:space="preserve">bookings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will no longer be estimated. This principle is presented in the concept paper for the market model published on ANRE and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Transgaz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web pages on 06.03.2018. The principles of the concept </w:t>
      </w:r>
      <w:r w:rsidR="004675C6" w:rsidRPr="00E83065">
        <w:rPr>
          <w:rFonts w:ascii="Times New Roman" w:hAnsi="Times New Roman"/>
          <w:sz w:val="24"/>
          <w:szCs w:val="24"/>
          <w:lang w:val="en-GB"/>
        </w:rPr>
        <w:t xml:space="preserve">paper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are to be taken in the Network Code </w:t>
      </w:r>
      <w:r w:rsidR="004675C6" w:rsidRPr="00E83065">
        <w:rPr>
          <w:rFonts w:ascii="Times New Roman" w:hAnsi="Times New Roman"/>
          <w:sz w:val="24"/>
          <w:szCs w:val="24"/>
          <w:lang w:val="en-GB"/>
        </w:rPr>
        <w:t xml:space="preserve">subsequent to the completion of the </w:t>
      </w:r>
      <w:r w:rsidRPr="00E83065">
        <w:rPr>
          <w:rFonts w:ascii="Times New Roman" w:hAnsi="Times New Roman"/>
          <w:sz w:val="24"/>
          <w:szCs w:val="24"/>
          <w:lang w:val="en-GB"/>
        </w:rPr>
        <w:t>public consultation processes;</w:t>
      </w:r>
    </w:p>
    <w:p w:rsidR="004675C6" w:rsidRPr="00E83065" w:rsidRDefault="004675C6" w:rsidP="00A537A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for the determination of the results of the allocation tests related to the estimated tariffs the following parameters were employed: </w:t>
      </w:r>
    </w:p>
    <w:p w:rsidR="004675C6" w:rsidRPr="00E83065" w:rsidRDefault="004675C6" w:rsidP="004675C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>The cross-</w:t>
      </w:r>
      <w:r w:rsidR="009B5E6F">
        <w:rPr>
          <w:rFonts w:ascii="Times New Roman" w:hAnsi="Times New Roman"/>
          <w:sz w:val="24"/>
          <w:szCs w:val="24"/>
          <w:lang w:val="en-GB"/>
        </w:rPr>
        <w:t>system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revenue related to capacity booking products consists of the estimated revenue to be made from the capacity booking products related to the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Isaccea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1 -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Negru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Voda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transit pipeline, as well as the estimated revenue to be derived from the estimated natural gas exports through IP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Csanadpalota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(the estimated revenue to be made from the capacity booking in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Csanadpalota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IP in the RO-HU direction and the estimated revenue to be made by booking an equivalent capacity at the domestic entry points from production);</w:t>
      </w:r>
    </w:p>
    <w:p w:rsidR="004675C6" w:rsidRPr="00E83065" w:rsidRDefault="004675C6" w:rsidP="004675C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>The cross-</w:t>
      </w:r>
      <w:r w:rsidR="009B5E6F">
        <w:rPr>
          <w:rFonts w:ascii="Times New Roman" w:hAnsi="Times New Roman"/>
          <w:sz w:val="24"/>
          <w:szCs w:val="24"/>
          <w:lang w:val="en-GB"/>
        </w:rPr>
        <w:t>system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revenue estimated to be achieved by applying the 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commodity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tariff is 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made up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of the 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commodity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revenue related to the 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gas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quantity 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transmitted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through the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Isaccea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1 -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Negru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Voda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1 pipeline, as wel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 xml:space="preserve">l as by </w:t>
      </w:r>
      <w:r w:rsidRPr="00E83065">
        <w:rPr>
          <w:rFonts w:ascii="Times New Roman" w:hAnsi="Times New Roman"/>
          <w:sz w:val="24"/>
          <w:szCs w:val="24"/>
          <w:lang w:val="en-GB"/>
        </w:rPr>
        <w:t>I</w:t>
      </w:r>
      <w:r w:rsidR="009441C8" w:rsidRPr="00E83065">
        <w:rPr>
          <w:rFonts w:ascii="Times New Roman" w:hAnsi="Times New Roman"/>
          <w:sz w:val="24"/>
          <w:szCs w:val="24"/>
          <w:lang w:val="en-GB"/>
        </w:rPr>
        <w:t>P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E83065">
        <w:rPr>
          <w:rFonts w:ascii="Times New Roman" w:hAnsi="Times New Roman"/>
          <w:sz w:val="24"/>
          <w:szCs w:val="24"/>
          <w:lang w:val="en-GB"/>
        </w:rPr>
        <w:t>Csanadpalota</w:t>
      </w:r>
      <w:proofErr w:type="spellEnd"/>
      <w:r w:rsidRPr="00E83065">
        <w:rPr>
          <w:rFonts w:ascii="Times New Roman" w:hAnsi="Times New Roman"/>
          <w:sz w:val="24"/>
          <w:szCs w:val="24"/>
          <w:lang w:val="en-GB"/>
        </w:rPr>
        <w:t xml:space="preserve"> in the RO-HU direction;</w:t>
      </w:r>
    </w:p>
    <w:p w:rsidR="009441C8" w:rsidRPr="00E83065" w:rsidRDefault="009441C8" w:rsidP="00A537A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>The revenue deemed to be made from the domestic use of the transmission network is determined as a difference between the total rev</w:t>
      </w:r>
      <w:r w:rsidR="009B5E6F">
        <w:rPr>
          <w:rFonts w:ascii="Times New Roman" w:hAnsi="Times New Roman"/>
          <w:sz w:val="24"/>
          <w:szCs w:val="24"/>
          <w:lang w:val="en-GB"/>
        </w:rPr>
        <w:t>e</w:t>
      </w:r>
      <w:r w:rsidRPr="00E83065">
        <w:rPr>
          <w:rFonts w:ascii="Times New Roman" w:hAnsi="Times New Roman"/>
          <w:sz w:val="24"/>
          <w:szCs w:val="24"/>
          <w:lang w:val="en-GB"/>
        </w:rPr>
        <w:t>nue and the cross-</w:t>
      </w:r>
      <w:r w:rsidR="009B5E6F">
        <w:rPr>
          <w:rFonts w:ascii="Times New Roman" w:hAnsi="Times New Roman"/>
          <w:sz w:val="24"/>
          <w:szCs w:val="24"/>
          <w:lang w:val="en-GB"/>
        </w:rPr>
        <w:t>system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revenue related to capacity booking products, respectively the revenue obtained by the application of the commodity tariff; </w:t>
      </w:r>
    </w:p>
    <w:p w:rsidR="009441C8" w:rsidRPr="00E83065" w:rsidRDefault="009441C8" w:rsidP="009441C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For the proposed </w:t>
      </w:r>
      <w:r w:rsidR="008F08CA" w:rsidRPr="00E83065">
        <w:rPr>
          <w:rFonts w:ascii="Times New Roman" w:hAnsi="Times New Roman"/>
          <w:sz w:val="24"/>
          <w:szCs w:val="24"/>
          <w:lang w:val="en-GB"/>
        </w:rPr>
        <w:t xml:space="preserve">reference </w:t>
      </w:r>
      <w:r w:rsidRPr="00E83065">
        <w:rPr>
          <w:rFonts w:ascii="Times New Roman" w:hAnsi="Times New Roman"/>
          <w:sz w:val="24"/>
          <w:szCs w:val="24"/>
          <w:lang w:val="en-GB"/>
        </w:rPr>
        <w:t>methodology, the capacity booking estimate</w:t>
      </w:r>
      <w:r w:rsidR="009B5E6F">
        <w:rPr>
          <w:rFonts w:ascii="Times New Roman" w:hAnsi="Times New Roman"/>
          <w:sz w:val="24"/>
          <w:szCs w:val="24"/>
          <w:lang w:val="en-GB"/>
        </w:rPr>
        <w:t>s and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the quantities o</w:t>
      </w:r>
      <w:r w:rsidR="008F08CA" w:rsidRPr="00E83065">
        <w:rPr>
          <w:rFonts w:ascii="Times New Roman" w:hAnsi="Times New Roman"/>
          <w:sz w:val="24"/>
          <w:szCs w:val="24"/>
          <w:lang w:val="en-GB"/>
        </w:rPr>
        <w:t>f gas expected to be transmitted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, were used as relevant cost </w:t>
      </w:r>
      <w:r w:rsidR="009B5E6F">
        <w:rPr>
          <w:rFonts w:ascii="Times New Roman" w:hAnsi="Times New Roman"/>
          <w:sz w:val="24"/>
          <w:szCs w:val="24"/>
          <w:lang w:val="en-GB"/>
        </w:rPr>
        <w:t>drivers</w:t>
      </w:r>
      <w:r w:rsidRPr="00E83065">
        <w:rPr>
          <w:rFonts w:ascii="Times New Roman" w:hAnsi="Times New Roman"/>
          <w:sz w:val="24"/>
          <w:szCs w:val="24"/>
          <w:lang w:val="en-GB"/>
        </w:rPr>
        <w:t>;</w:t>
      </w:r>
    </w:p>
    <w:p w:rsidR="008F08CA" w:rsidRPr="00E83065" w:rsidRDefault="008F08CA" w:rsidP="008F08C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t xml:space="preserve">For the distance-weighted capacity methodology, the estimated distance-weighted capacity booking estimate was used as the relevant cost </w:t>
      </w:r>
      <w:r w:rsidR="009B5E6F">
        <w:rPr>
          <w:rFonts w:ascii="Times New Roman" w:hAnsi="Times New Roman"/>
          <w:sz w:val="24"/>
          <w:szCs w:val="24"/>
          <w:lang w:val="en-GB"/>
        </w:rPr>
        <w:t>driver</w:t>
      </w:r>
      <w:r w:rsidRPr="00E83065">
        <w:rPr>
          <w:rFonts w:ascii="Times New Roman" w:hAnsi="Times New Roman"/>
          <w:sz w:val="24"/>
          <w:szCs w:val="24"/>
          <w:lang w:val="en-GB"/>
        </w:rPr>
        <w:t>.</w:t>
      </w:r>
    </w:p>
    <w:p w:rsidR="008F08CA" w:rsidRPr="00E83065" w:rsidRDefault="008F08CA" w:rsidP="008F08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3065">
        <w:rPr>
          <w:rFonts w:ascii="Times New Roman" w:hAnsi="Times New Roman"/>
          <w:sz w:val="24"/>
          <w:szCs w:val="24"/>
        </w:rPr>
        <w:t>At point</w:t>
      </w:r>
      <w:r w:rsidR="000D0AD2" w:rsidRPr="00E83065">
        <w:rPr>
          <w:rFonts w:ascii="Times New Roman" w:hAnsi="Times New Roman"/>
          <w:sz w:val="24"/>
          <w:szCs w:val="24"/>
        </w:rPr>
        <w:t xml:space="preserve"> B.7.E. </w:t>
      </w:r>
      <w:r w:rsidR="00270962">
        <w:rPr>
          <w:rFonts w:ascii="Times New Roman" w:hAnsi="Times New Roman"/>
          <w:sz w:val="24"/>
          <w:szCs w:val="24"/>
        </w:rPr>
        <w:t xml:space="preserve">of documentation </w:t>
      </w:r>
      <w:r w:rsidR="000D0AD2" w:rsidRPr="00E83065">
        <w:rPr>
          <w:rFonts w:ascii="Times New Roman" w:hAnsi="Times New Roman"/>
          <w:sz w:val="24"/>
          <w:szCs w:val="24"/>
        </w:rPr>
        <w:t xml:space="preserve">– </w:t>
      </w:r>
      <w:r w:rsidRPr="00E83065">
        <w:rPr>
          <w:rFonts w:ascii="Times New Roman" w:hAnsi="Times New Roman"/>
          <w:sz w:val="24"/>
          <w:szCs w:val="24"/>
        </w:rPr>
        <w:t xml:space="preserve">The </w:t>
      </w:r>
      <w:r w:rsidRPr="00E83065">
        <w:rPr>
          <w:rFonts w:ascii="Times New Roman" w:hAnsi="Times New Roman"/>
          <w:sz w:val="24"/>
          <w:szCs w:val="24"/>
          <w:lang w:val="en-GB"/>
        </w:rPr>
        <w:t>intra-system/cross-</w:t>
      </w:r>
      <w:r w:rsidR="009B5E6F">
        <w:rPr>
          <w:rFonts w:ascii="Times New Roman" w:hAnsi="Times New Roman"/>
          <w:sz w:val="24"/>
          <w:szCs w:val="24"/>
          <w:lang w:val="en-GB"/>
        </w:rPr>
        <w:t>system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 breakdown of revenues from transmission services correlated with the information used and presented in Annex 7, the recovery rate of transmission revenues from domestic users is of 82.38% and the rate of revenue recovery of transmission services from cross-border users is of 17.62%.</w:t>
      </w:r>
    </w:p>
    <w:p w:rsidR="008F08CA" w:rsidRPr="00E83065" w:rsidRDefault="008F08CA" w:rsidP="008F08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E83065">
        <w:rPr>
          <w:rFonts w:ascii="Times New Roman" w:hAnsi="Times New Roman"/>
          <w:sz w:val="24"/>
          <w:szCs w:val="24"/>
          <w:lang w:val="en-GB"/>
        </w:rPr>
        <w:lastRenderedPageBreak/>
        <w:t xml:space="preserve">The multipliers </w:t>
      </w:r>
      <w:r w:rsidR="00CB5F3E" w:rsidRPr="00E83065">
        <w:rPr>
          <w:rFonts w:ascii="Times New Roman" w:hAnsi="Times New Roman"/>
          <w:sz w:val="24"/>
          <w:szCs w:val="24"/>
          <w:lang w:val="en-GB"/>
        </w:rPr>
        <w:t>and the seasonal factors</w:t>
      </w:r>
      <w:r w:rsidR="00732D19" w:rsidRPr="00E83065">
        <w:rPr>
          <w:rFonts w:ascii="Times New Roman" w:hAnsi="Times New Roman"/>
          <w:sz w:val="24"/>
          <w:szCs w:val="24"/>
          <w:lang w:val="en-GB"/>
        </w:rPr>
        <w:t xml:space="preserve"> used short term products for capacity booking</w:t>
      </w:r>
      <w:r w:rsidR="00CB5F3E" w:rsidRPr="00E83065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E83065">
        <w:rPr>
          <w:rFonts w:ascii="Times New Roman" w:hAnsi="Times New Roman"/>
          <w:sz w:val="24"/>
          <w:szCs w:val="24"/>
          <w:lang w:val="en-GB"/>
        </w:rPr>
        <w:t xml:space="preserve">have been determined in accordance with the provisions of Regulation (EU) No 460/2017. </w:t>
      </w:r>
      <w:r w:rsidR="00CB5F3E" w:rsidRPr="00E83065">
        <w:rPr>
          <w:rFonts w:ascii="Times New Roman" w:hAnsi="Times New Roman"/>
          <w:sz w:val="24"/>
          <w:szCs w:val="24"/>
          <w:lang w:val="en-GB"/>
        </w:rPr>
        <w:t>Below are presented the estimated level of the multipliers and the seasonal factors:</w:t>
      </w:r>
    </w:p>
    <w:p w:rsidR="00CB5F3E" w:rsidRPr="00E83065" w:rsidRDefault="00CB5F3E" w:rsidP="00CB5F3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0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64"/>
        <w:gridCol w:w="1275"/>
        <w:gridCol w:w="1134"/>
        <w:gridCol w:w="1134"/>
        <w:gridCol w:w="1560"/>
        <w:gridCol w:w="1558"/>
      </w:tblGrid>
      <w:tr w:rsidR="00CB5F3E" w:rsidRPr="00E83065" w:rsidTr="00CB5F3E">
        <w:trPr>
          <w:trHeight w:val="640"/>
        </w:trPr>
        <w:tc>
          <w:tcPr>
            <w:tcW w:w="568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Capacity product type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Period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Seasonal Factor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Multiplier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Product between multiplier and seasonal factor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Multipliers average </w:t>
            </w:r>
          </w:p>
        </w:tc>
      </w:tr>
      <w:tr w:rsidR="00CB5F3E" w:rsidRPr="00E83065" w:rsidTr="00CB5F3E">
        <w:tc>
          <w:tcPr>
            <w:tcW w:w="568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B5F3E" w:rsidRPr="00E83065" w:rsidTr="00CB5F3E">
        <w:trPr>
          <w:trHeight w:val="386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64" w:type="dxa"/>
            <w:vMerge w:val="restart"/>
            <w:shd w:val="clear" w:color="auto" w:fill="auto"/>
            <w:vAlign w:val="center"/>
          </w:tcPr>
          <w:p w:rsidR="00CB5F3E" w:rsidRPr="00E83065" w:rsidRDefault="00CB5F3E" w:rsidP="00CB5F3E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Quarterly Firm/interruptible capacity products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Oct-Dec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1,52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1,3</w:t>
            </w:r>
          </w:p>
        </w:tc>
      </w:tr>
      <w:tr w:rsidR="00CB5F3E" w:rsidRPr="00E83065" w:rsidTr="00CB5F3E">
        <w:trPr>
          <w:trHeight w:val="386"/>
        </w:trPr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CB5F3E" w:rsidRPr="00E83065">
              <w:rPr>
                <w:rFonts w:ascii="Times New Roman" w:hAnsi="Times New Roman" w:cs="Times New Roman"/>
                <w:sz w:val="24"/>
                <w:szCs w:val="24"/>
              </w:rPr>
              <w:t>an-Mar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1,35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1,71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Apr-J</w:t>
            </w:r>
            <w:r w:rsidR="00CB5F3E" w:rsidRPr="00E83065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0,92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CB5F3E" w:rsidRPr="00E83065">
              <w:rPr>
                <w:rFonts w:ascii="Times New Roman" w:hAnsi="Times New Roman" w:cs="Times New Roman"/>
                <w:sz w:val="24"/>
                <w:szCs w:val="24"/>
              </w:rPr>
              <w:t>ul-Sept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0,84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1,05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64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Mounthly</w:t>
            </w:r>
            <w:proofErr w:type="spellEnd"/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 Firm/interruptible capacity products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Octo</w:t>
            </w:r>
            <w:r w:rsidR="00732D19" w:rsidRPr="00E8306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732D19" w:rsidRPr="00E8306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1,46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1,36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732D19" w:rsidRPr="00E83065">
              <w:rPr>
                <w:rFonts w:ascii="Times New Roman" w:hAnsi="Times New Roman" w:cs="Times New Roman"/>
                <w:sz w:val="24"/>
                <w:szCs w:val="24"/>
              </w:rPr>
              <w:t>vember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1,57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Decembe</w:t>
            </w:r>
            <w:r w:rsidR="00732D19" w:rsidRPr="00E8306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2,32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January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1,99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2,90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February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1,11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1,62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732D19" w:rsidRPr="00E83065">
              <w:rPr>
                <w:rFonts w:ascii="Times New Roman" w:hAnsi="Times New Roman" w:cs="Times New Roman"/>
                <w:sz w:val="24"/>
                <w:szCs w:val="24"/>
              </w:rPr>
              <w:t>arch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1,40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April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1,10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1,27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June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0,80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July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1,31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August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1,24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F3E" w:rsidRPr="00E83065" w:rsidTr="00CB5F3E">
        <w:tc>
          <w:tcPr>
            <w:tcW w:w="56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B5F3E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September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1,10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CB5F3E" w:rsidRPr="00E83065" w:rsidRDefault="00CB5F3E" w:rsidP="00B07A40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64" w:type="dxa"/>
            <w:vMerge w:val="restart"/>
            <w:shd w:val="clear" w:color="auto" w:fill="auto"/>
            <w:vAlign w:val="center"/>
          </w:tcPr>
          <w:p w:rsidR="00732D19" w:rsidRPr="00E83065" w:rsidRDefault="00732D19" w:rsidP="00732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Daily and Within Day Firm/interruptible capacity products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October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2,91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2,72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November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3,15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December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4,65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January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1,99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5,80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February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1,11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3,25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March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2,80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April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2,20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2,54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June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1,61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July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2,63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rPr>
          <w:trHeight w:val="368"/>
        </w:trPr>
        <w:tc>
          <w:tcPr>
            <w:tcW w:w="56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August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2,47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D19" w:rsidRPr="00E83065" w:rsidTr="00CB5F3E">
        <w:tc>
          <w:tcPr>
            <w:tcW w:w="568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 xml:space="preserve">September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065">
              <w:rPr>
                <w:rFonts w:ascii="Times New Roman" w:hAnsi="Times New Roman" w:cs="Times New Roman"/>
                <w:b/>
                <w:sz w:val="24"/>
                <w:szCs w:val="24"/>
              </w:rPr>
              <w:t>2,21</w:t>
            </w:r>
          </w:p>
        </w:tc>
        <w:tc>
          <w:tcPr>
            <w:tcW w:w="1558" w:type="dxa"/>
            <w:vMerge/>
            <w:shd w:val="clear" w:color="auto" w:fill="auto"/>
          </w:tcPr>
          <w:p w:rsidR="00732D19" w:rsidRPr="00E83065" w:rsidRDefault="00732D19" w:rsidP="00732D19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0AD2" w:rsidRPr="00E83065" w:rsidRDefault="000D0AD2" w:rsidP="0064632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0D0AD2" w:rsidRPr="00E83065" w:rsidSect="00270962">
      <w:headerReference w:type="default" r:id="rId7"/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C13" w:rsidRDefault="00BC4C13" w:rsidP="000D0AD2">
      <w:pPr>
        <w:spacing w:after="0" w:line="240" w:lineRule="auto"/>
      </w:pPr>
      <w:r>
        <w:separator/>
      </w:r>
    </w:p>
  </w:endnote>
  <w:endnote w:type="continuationSeparator" w:id="0">
    <w:p w:rsidR="00BC4C13" w:rsidRDefault="00BC4C13" w:rsidP="000D0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C13" w:rsidRDefault="00BC4C13" w:rsidP="000D0AD2">
      <w:pPr>
        <w:spacing w:after="0" w:line="240" w:lineRule="auto"/>
      </w:pPr>
      <w:r>
        <w:separator/>
      </w:r>
    </w:p>
  </w:footnote>
  <w:footnote w:type="continuationSeparator" w:id="0">
    <w:p w:rsidR="00BC4C13" w:rsidRDefault="00BC4C13" w:rsidP="000D0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59" w:type="dxa"/>
      <w:tblLook w:val="04A0" w:firstRow="1" w:lastRow="0" w:firstColumn="1" w:lastColumn="0" w:noHBand="0" w:noVBand="1"/>
    </w:tblPr>
    <w:tblGrid>
      <w:gridCol w:w="5728"/>
      <w:gridCol w:w="1231"/>
      <w:gridCol w:w="1249"/>
      <w:gridCol w:w="1251"/>
    </w:tblGrid>
    <w:tr w:rsidR="000D0AD2" w:rsidRPr="000D0AD2" w:rsidTr="00270962">
      <w:trPr>
        <w:trHeight w:val="237"/>
      </w:trPr>
      <w:tc>
        <w:tcPr>
          <w:tcW w:w="9459" w:type="dxa"/>
          <w:gridSpan w:val="4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0AD2" w:rsidRPr="00E83065" w:rsidRDefault="00E83065" w:rsidP="000D0AD2">
          <w:pPr>
            <w:spacing w:after="0" w:line="240" w:lineRule="auto"/>
            <w:rPr>
              <w:rFonts w:ascii="Arial Narrow" w:eastAsia="Times New Roman" w:hAnsi="Arial Narrow" w:cs="Times New Roman"/>
              <w:b/>
              <w:bCs/>
              <w:color w:val="000000"/>
              <w:sz w:val="24"/>
              <w:szCs w:val="24"/>
            </w:rPr>
          </w:pPr>
          <w:r w:rsidRPr="00E83065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Annex 7: Indicative results of the application of the proposed methodology for setting reference prices</w:t>
          </w:r>
        </w:p>
      </w:tc>
    </w:tr>
    <w:tr w:rsidR="000D0AD2" w:rsidRPr="000D0AD2" w:rsidTr="00270962">
      <w:trPr>
        <w:gridAfter w:val="1"/>
        <w:wAfter w:w="1251" w:type="dxa"/>
        <w:trHeight w:val="192"/>
      </w:trPr>
      <w:tc>
        <w:tcPr>
          <w:tcW w:w="572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0AD2" w:rsidRPr="00A537AF" w:rsidRDefault="000D0AD2" w:rsidP="000D0AD2">
          <w:pPr>
            <w:spacing w:after="0" w:line="240" w:lineRule="auto"/>
            <w:rPr>
              <w:rFonts w:ascii="Arial Narrow" w:eastAsia="Times New Roman" w:hAnsi="Arial Narrow" w:cs="Times New Roman"/>
              <w:b/>
              <w:bCs/>
              <w:color w:val="000000"/>
              <w:sz w:val="20"/>
              <w:szCs w:val="20"/>
            </w:rPr>
          </w:pPr>
        </w:p>
      </w:tc>
      <w:tc>
        <w:tcPr>
          <w:tcW w:w="123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0AD2" w:rsidRPr="00A537AF" w:rsidRDefault="000D0AD2" w:rsidP="000D0AD2">
          <w:pPr>
            <w:spacing w:after="0" w:line="240" w:lineRule="auto"/>
            <w:rPr>
              <w:rFonts w:ascii="Arial Narrow" w:eastAsia="Times New Roman" w:hAnsi="Arial Narrow" w:cs="Times New Roman"/>
              <w:sz w:val="20"/>
              <w:szCs w:val="20"/>
            </w:rPr>
          </w:pPr>
        </w:p>
      </w:tc>
      <w:tc>
        <w:tcPr>
          <w:tcW w:w="12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0AD2" w:rsidRPr="00A537AF" w:rsidRDefault="000D0AD2" w:rsidP="000D0AD2">
          <w:pPr>
            <w:spacing w:after="0" w:line="240" w:lineRule="auto"/>
            <w:rPr>
              <w:rFonts w:ascii="Arial Narrow" w:eastAsia="Times New Roman" w:hAnsi="Arial Narrow" w:cs="Times New Roman"/>
              <w:sz w:val="20"/>
              <w:szCs w:val="20"/>
            </w:rPr>
          </w:pPr>
        </w:p>
      </w:tc>
    </w:tr>
  </w:tbl>
  <w:p w:rsidR="000D0AD2" w:rsidRDefault="000D0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876C27"/>
    <w:multiLevelType w:val="hybridMultilevel"/>
    <w:tmpl w:val="BAD87B22"/>
    <w:lvl w:ilvl="0" w:tplc="CBEE250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F26ACF"/>
    <w:multiLevelType w:val="hybridMultilevel"/>
    <w:tmpl w:val="BEC8726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7FAB1199"/>
    <w:multiLevelType w:val="hybridMultilevel"/>
    <w:tmpl w:val="B30EA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D2"/>
    <w:rsid w:val="000A53B3"/>
    <w:rsid w:val="000B2B67"/>
    <w:rsid w:val="000D0AD2"/>
    <w:rsid w:val="00176AC7"/>
    <w:rsid w:val="0018660C"/>
    <w:rsid w:val="001E40DA"/>
    <w:rsid w:val="00270962"/>
    <w:rsid w:val="00322566"/>
    <w:rsid w:val="004675C6"/>
    <w:rsid w:val="00646322"/>
    <w:rsid w:val="00732D19"/>
    <w:rsid w:val="00816712"/>
    <w:rsid w:val="008E2F1C"/>
    <w:rsid w:val="008F08CA"/>
    <w:rsid w:val="009441C8"/>
    <w:rsid w:val="009B5E6F"/>
    <w:rsid w:val="009C175F"/>
    <w:rsid w:val="00A52E61"/>
    <w:rsid w:val="00A537AF"/>
    <w:rsid w:val="00B51689"/>
    <w:rsid w:val="00BC4C13"/>
    <w:rsid w:val="00BF19BD"/>
    <w:rsid w:val="00CB5F3E"/>
    <w:rsid w:val="00D05A6D"/>
    <w:rsid w:val="00D47002"/>
    <w:rsid w:val="00DC1C32"/>
    <w:rsid w:val="00E8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3BABB0"/>
  <w15:chartTrackingRefBased/>
  <w15:docId w15:val="{2C2EB966-7712-4945-8C47-4ECA424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AD2"/>
  </w:style>
  <w:style w:type="paragraph" w:styleId="Footer">
    <w:name w:val="footer"/>
    <w:basedOn w:val="Normal"/>
    <w:link w:val="FooterChar"/>
    <w:uiPriority w:val="99"/>
    <w:unhideWhenUsed/>
    <w:rsid w:val="000D0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AD2"/>
  </w:style>
  <w:style w:type="paragraph" w:styleId="ListParagraph">
    <w:name w:val="List Paragraph"/>
    <w:basedOn w:val="Normal"/>
    <w:uiPriority w:val="34"/>
    <w:qFormat/>
    <w:rsid w:val="000D0AD2"/>
    <w:pPr>
      <w:ind w:left="720"/>
      <w:contextualSpacing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Adrian Ionita</dc:creator>
  <cp:keywords/>
  <dc:description/>
  <cp:lastModifiedBy>Vlad TIUGAN</cp:lastModifiedBy>
  <cp:revision>9</cp:revision>
  <dcterms:created xsi:type="dcterms:W3CDTF">2018-04-23T08:43:00Z</dcterms:created>
  <dcterms:modified xsi:type="dcterms:W3CDTF">2018-04-26T15:21:00Z</dcterms:modified>
</cp:coreProperties>
</file>