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72C5" w:rsidRPr="00B93DE3" w:rsidRDefault="002A72C5">
      <w:pPr>
        <w:pStyle w:val="BodyText"/>
        <w:rPr>
          <w:sz w:val="20"/>
          <w:lang w:val="ro-RO"/>
        </w:rPr>
      </w:pPr>
    </w:p>
    <w:p w:rsidR="002A72C5" w:rsidRPr="00B93DE3" w:rsidRDefault="002A72C5">
      <w:pPr>
        <w:pStyle w:val="BodyText"/>
        <w:rPr>
          <w:sz w:val="20"/>
          <w:lang w:val="ro-RO"/>
        </w:rPr>
      </w:pPr>
    </w:p>
    <w:p w:rsidR="002A72C5" w:rsidRPr="00B93DE3" w:rsidRDefault="002A72C5">
      <w:pPr>
        <w:pStyle w:val="BodyText"/>
        <w:rPr>
          <w:sz w:val="20"/>
          <w:lang w:val="ro-RO"/>
        </w:rPr>
      </w:pPr>
    </w:p>
    <w:p w:rsidR="002A72C5" w:rsidRPr="00B93DE3" w:rsidRDefault="002A72C5">
      <w:pPr>
        <w:pStyle w:val="BodyText"/>
        <w:rPr>
          <w:sz w:val="20"/>
          <w:lang w:val="ro-RO"/>
        </w:rPr>
      </w:pPr>
    </w:p>
    <w:p w:rsidR="002A72C5" w:rsidRPr="00B93DE3" w:rsidRDefault="002A72C5">
      <w:pPr>
        <w:pStyle w:val="BodyText"/>
        <w:rPr>
          <w:sz w:val="20"/>
          <w:lang w:val="ro-RO"/>
        </w:rPr>
      </w:pPr>
    </w:p>
    <w:p w:rsidR="002A72C5" w:rsidRPr="00B93DE3" w:rsidRDefault="002A72C5">
      <w:pPr>
        <w:pStyle w:val="BodyText"/>
        <w:rPr>
          <w:sz w:val="20"/>
          <w:lang w:val="ro-RO"/>
        </w:rPr>
      </w:pPr>
    </w:p>
    <w:p w:rsidR="002A72C5" w:rsidRPr="00B93DE3" w:rsidRDefault="002A72C5">
      <w:pPr>
        <w:pStyle w:val="BodyText"/>
        <w:rPr>
          <w:sz w:val="20"/>
          <w:lang w:val="ro-RO"/>
        </w:rPr>
      </w:pPr>
    </w:p>
    <w:p w:rsidR="002A72C5" w:rsidRPr="00B93DE3" w:rsidRDefault="002A72C5">
      <w:pPr>
        <w:pStyle w:val="BodyText"/>
        <w:rPr>
          <w:sz w:val="20"/>
          <w:lang w:val="ro-RO"/>
        </w:rPr>
      </w:pPr>
    </w:p>
    <w:p w:rsidR="002A72C5" w:rsidRPr="00B93DE3" w:rsidRDefault="002A72C5">
      <w:pPr>
        <w:pStyle w:val="BodyText"/>
        <w:rPr>
          <w:sz w:val="20"/>
          <w:lang w:val="ro-RO"/>
        </w:rPr>
      </w:pPr>
    </w:p>
    <w:p w:rsidR="002A72C5" w:rsidRPr="00B93DE3" w:rsidRDefault="002A72C5">
      <w:pPr>
        <w:pStyle w:val="BodyText"/>
        <w:rPr>
          <w:sz w:val="20"/>
          <w:lang w:val="ro-RO"/>
        </w:rPr>
      </w:pPr>
    </w:p>
    <w:p w:rsidR="002A72C5" w:rsidRPr="00B93DE3" w:rsidRDefault="002A72C5">
      <w:pPr>
        <w:pStyle w:val="BodyText"/>
        <w:rPr>
          <w:sz w:val="20"/>
          <w:lang w:val="ro-RO"/>
        </w:rPr>
      </w:pPr>
    </w:p>
    <w:p w:rsidR="002A72C5" w:rsidRPr="00B93DE3" w:rsidRDefault="002A72C5">
      <w:pPr>
        <w:pStyle w:val="BodyText"/>
        <w:rPr>
          <w:sz w:val="20"/>
          <w:lang w:val="ro-RO"/>
        </w:rPr>
      </w:pPr>
    </w:p>
    <w:p w:rsidR="002A72C5" w:rsidRPr="00B93DE3" w:rsidRDefault="002A72C5">
      <w:pPr>
        <w:pStyle w:val="BodyText"/>
        <w:rPr>
          <w:sz w:val="20"/>
          <w:lang w:val="ro-RO"/>
        </w:rPr>
      </w:pPr>
    </w:p>
    <w:p w:rsidR="002A72C5" w:rsidRPr="00B93DE3" w:rsidRDefault="002A72C5">
      <w:pPr>
        <w:pStyle w:val="BodyText"/>
        <w:rPr>
          <w:sz w:val="20"/>
          <w:lang w:val="ro-RO"/>
        </w:rPr>
      </w:pPr>
    </w:p>
    <w:p w:rsidR="002A72C5" w:rsidRPr="00B93DE3" w:rsidRDefault="002A72C5">
      <w:pPr>
        <w:pStyle w:val="BodyText"/>
        <w:spacing w:before="6"/>
        <w:rPr>
          <w:sz w:val="24"/>
          <w:lang w:val="ro-RO"/>
        </w:rPr>
      </w:pPr>
    </w:p>
    <w:p w:rsidR="002A72C5" w:rsidRPr="00B93DE3" w:rsidRDefault="00C35965">
      <w:pPr>
        <w:pStyle w:val="BodyText"/>
        <w:spacing w:line="20" w:lineRule="exact"/>
        <w:ind w:left="140"/>
        <w:rPr>
          <w:sz w:val="2"/>
          <w:highlight w:val="yellow"/>
          <w:lang w:val="ro-RO"/>
        </w:rPr>
      </w:pPr>
      <w:r w:rsidRPr="00B93DE3">
        <w:rPr>
          <w:noProof/>
          <w:sz w:val="2"/>
          <w:lang w:val="ro-RO"/>
        </w:rPr>
        <mc:AlternateContent>
          <mc:Choice Requires="wpg">
            <w:drawing>
              <wp:inline distT="0" distB="0" distL="0" distR="0">
                <wp:extent cx="6047740" cy="12700"/>
                <wp:effectExtent l="0" t="0" r="3810" b="0"/>
                <wp:docPr id="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7740" cy="12700"/>
                          <a:chOff x="0" y="0"/>
                          <a:chExt cx="9524" cy="20"/>
                        </a:xfrm>
                      </wpg:grpSpPr>
                      <wps:wsp>
                        <wps:cNvPr id="5" name="Rectangle 10"/>
                        <wps:cNvSpPr>
                          <a:spLocks noChangeArrowheads="1"/>
                        </wps:cNvSpPr>
                        <wps:spPr bwMode="auto">
                          <a:xfrm>
                            <a:off x="0" y="0"/>
                            <a:ext cx="9523" cy="19"/>
                          </a:xfrm>
                          <a:prstGeom prst="rect">
                            <a:avLst/>
                          </a:prstGeom>
                          <a:solidFill>
                            <a:srgbClr val="2222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9"/>
                        <wps:cNvSpPr>
                          <a:spLocks noChangeArrowheads="1"/>
                        </wps:cNvSpPr>
                        <wps:spPr bwMode="auto">
                          <a:xfrm>
                            <a:off x="0" y="0"/>
                            <a:ext cx="9523" cy="19"/>
                          </a:xfrm>
                          <a:prstGeom prst="rect">
                            <a:avLst/>
                          </a:prstGeom>
                          <a:solidFill>
                            <a:srgbClr val="2222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4AB4D4A" id="Group 8" o:spid="_x0000_s1026" style="width:476.2pt;height:1pt;mso-position-horizontal-relative:char;mso-position-vertical-relative:line" coordsize="95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">
                <v:rect id="Rectangle 10" o:spid="_x0000_s1027" style="position:absolute;width:9523;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" fillcolor="#22226d" stroked="f"/>
                <v:rect id="Rectangle 9" o:spid="_x0000_s1028" style="position:absolute;width:9523;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" fillcolor="#22226d" stroked="f"/>
                <w10:anchorlock/>
              </v:group>
            </w:pict>
          </mc:Fallback>
        </mc:AlternateContent>
      </w:r>
    </w:p>
    <w:p w:rsidR="002A72C5" w:rsidRPr="00B93DE3" w:rsidRDefault="002A72C5">
      <w:pPr>
        <w:pStyle w:val="BodyText"/>
        <w:spacing w:before="6"/>
        <w:rPr>
          <w:sz w:val="23"/>
          <w:highlight w:val="yellow"/>
          <w:lang w:val="ro-RO"/>
        </w:rPr>
      </w:pPr>
    </w:p>
    <w:p w:rsidR="002A72C5" w:rsidRPr="00B93DE3" w:rsidRDefault="004632B7">
      <w:pPr>
        <w:spacing w:before="51" w:line="328" w:lineRule="auto"/>
        <w:ind w:left="159" w:right="128"/>
        <w:jc w:val="center"/>
        <w:rPr>
          <w:rFonts w:ascii="Arial"/>
          <w:sz w:val="38"/>
          <w:lang w:val="ro-RO"/>
        </w:rPr>
      </w:pPr>
      <w:r w:rsidRPr="00B93DE3">
        <w:rPr>
          <w:rFonts w:ascii="Arial" w:hAnsi="Arial"/>
          <w:sz w:val="38"/>
          <w:lang w:val="ro-RO"/>
        </w:rPr>
        <w:t>Metodologia pentru redispecerizarea și comercializarea în contrapartidă coordonate pentru OTS-urile din CCR SEE în conformitate cu articolul 35 din Regulamentul (UE) 2015/1222 al Comisiei din 24 iulie 2015 de stabilire a unor linii directoare privind alocarea capacităților și gestionarea congestiilor</w:t>
      </w:r>
    </w:p>
    <w:p w:rsidR="002A72C5" w:rsidRPr="00B93DE3" w:rsidRDefault="002A72C5">
      <w:pPr>
        <w:pStyle w:val="BodyText"/>
        <w:rPr>
          <w:rFonts w:ascii="Arial"/>
          <w:sz w:val="20"/>
          <w:lang w:val="ro-RO"/>
        </w:rPr>
      </w:pPr>
    </w:p>
    <w:p w:rsidR="002A72C5" w:rsidRPr="00B93DE3" w:rsidRDefault="00C35965">
      <w:pPr>
        <w:pStyle w:val="BodyText"/>
        <w:spacing w:before="2"/>
        <w:rPr>
          <w:rFonts w:ascii="Arial"/>
          <w:sz w:val="11"/>
          <w:lang w:val="ro-RO"/>
        </w:rPr>
      </w:pPr>
      <w:r w:rsidRPr="00B93DE3">
        <w:rPr>
          <w:noProof/>
          <w:lang w:val="ro-RO"/>
        </w:rPr>
        <mc:AlternateContent>
          <mc:Choice Requires="wps">
            <w:drawing>
              <wp:anchor distT="4294967293" distB="4294967293" distL="0" distR="0" simplePos="0" relativeHeight="1048" behindDoc="0" locked="0" layoutInCell="1" allowOverlap="1" wp14:anchorId="1B779769" wp14:editId="55F85A6E">
                <wp:simplePos x="0" y="0"/>
                <wp:positionH relativeFrom="page">
                  <wp:posOffset>854710</wp:posOffset>
                </wp:positionH>
                <wp:positionV relativeFrom="paragraph">
                  <wp:posOffset>113029</wp:posOffset>
                </wp:positionV>
                <wp:extent cx="6056630" cy="0"/>
                <wp:effectExtent l="0" t="0" r="20320" b="19050"/>
                <wp:wrapTopAndBottom/>
                <wp:docPr id="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6630"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7FEDCE" id="Line 7" o:spid="_x0000_s1026" style="position:absolute;z-index:1048;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67.3pt,8.9pt" to="544.2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" strokeweight=".96pt">
                <w10:wrap type="topAndBottom" anchorx="page"/>
              </v:line>
            </w:pict>
          </mc:Fallback>
        </mc:AlternateContent>
      </w:r>
    </w:p>
    <w:p w:rsidR="002A72C5" w:rsidRPr="00B93DE3" w:rsidRDefault="002A72C5">
      <w:pPr>
        <w:pStyle w:val="BodyText"/>
        <w:spacing w:line="20" w:lineRule="exact"/>
        <w:ind w:left="116"/>
        <w:rPr>
          <w:rFonts w:ascii="Arial"/>
          <w:sz w:val="2"/>
          <w:lang w:val="ro-RO"/>
        </w:rPr>
      </w:pPr>
    </w:p>
    <w:p w:rsidR="002A72C5" w:rsidRPr="00B93DE3" w:rsidRDefault="002A72C5">
      <w:pPr>
        <w:pStyle w:val="BodyText"/>
        <w:rPr>
          <w:rFonts w:ascii="Arial"/>
          <w:sz w:val="16"/>
          <w:highlight w:val="yellow"/>
          <w:lang w:val="ro-RO"/>
        </w:rPr>
      </w:pPr>
    </w:p>
    <w:p w:rsidR="002A72C5" w:rsidRPr="00B93DE3" w:rsidRDefault="00F07952">
      <w:pPr>
        <w:pStyle w:val="Heading1"/>
        <w:ind w:left="148" w:right="128"/>
        <w:jc w:val="center"/>
        <w:rPr>
          <w:lang w:val="ro-RO"/>
        </w:rPr>
      </w:pPr>
      <w:r w:rsidRPr="00B93DE3">
        <w:rPr>
          <w:color w:val="22226D"/>
          <w:lang w:val="ro-RO"/>
        </w:rPr>
        <w:t>Martie 2018</w:t>
      </w: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2A72C5" w:rsidRPr="00B93DE3" w:rsidRDefault="002A72C5">
      <w:pPr>
        <w:pStyle w:val="BodyText"/>
        <w:spacing w:before="6"/>
        <w:rPr>
          <w:rFonts w:ascii="Arial"/>
          <w:b/>
          <w:sz w:val="11"/>
          <w:highlight w:val="yellow"/>
          <w:lang w:val="ro-RO"/>
        </w:rPr>
      </w:pPr>
    </w:p>
    <w:p w:rsidR="002A72C5" w:rsidRPr="00B93DE3" w:rsidRDefault="002A72C5">
      <w:pPr>
        <w:rPr>
          <w:rFonts w:ascii="Arial"/>
          <w:sz w:val="11"/>
          <w:highlight w:val="yellow"/>
          <w:lang w:val="ro-RO"/>
        </w:rPr>
        <w:sectPr w:rsidR="002A72C5" w:rsidRPr="00B93DE3">
          <w:type w:val="continuous"/>
          <w:pgSz w:w="11900" w:h="16840"/>
          <w:pgMar w:top="1600" w:right="900" w:bottom="0" w:left="1220" w:header="720" w:footer="720" w:gutter="0"/>
          <w:cols w:space="720"/>
        </w:sectPr>
      </w:pPr>
    </w:p>
    <w:p w:rsidR="002A72C5" w:rsidRPr="00B93DE3" w:rsidRDefault="002A72C5">
      <w:pPr>
        <w:pStyle w:val="BodyText"/>
        <w:rPr>
          <w:rFonts w:ascii="Arial"/>
          <w:b/>
          <w:sz w:val="20"/>
          <w:highlight w:val="yellow"/>
          <w:lang w:val="ro-RO"/>
        </w:rPr>
      </w:pPr>
    </w:p>
    <w:p w:rsidR="002A72C5" w:rsidRPr="00B93DE3" w:rsidRDefault="002A72C5">
      <w:pPr>
        <w:pStyle w:val="BodyText"/>
        <w:rPr>
          <w:rFonts w:ascii="Arial"/>
          <w:b/>
          <w:sz w:val="20"/>
          <w:highlight w:val="yellow"/>
          <w:lang w:val="ro-RO"/>
        </w:rPr>
      </w:pPr>
    </w:p>
    <w:p w:rsidR="00E2580F" w:rsidRPr="00B93DE3" w:rsidRDefault="00E2580F" w:rsidP="00E2580F">
      <w:pPr>
        <w:spacing w:after="120"/>
        <w:ind w:left="360"/>
        <w:rPr>
          <w:rFonts w:asciiTheme="minorHAnsi" w:hAnsiTheme="minorHAnsi" w:cstheme="minorBidi"/>
          <w:lang w:val="ro-RO"/>
        </w:rPr>
      </w:pPr>
      <w:bookmarkStart w:id="0" w:name="_TOC_250004"/>
      <w:bookmarkStart w:id="1" w:name="_Toc432586787"/>
      <w:bookmarkStart w:id="2" w:name="_Toc445298912"/>
      <w:bookmarkStart w:id="3" w:name="_Toc445299174"/>
      <w:bookmarkStart w:id="4" w:name="_Toc445825430"/>
      <w:bookmarkStart w:id="5" w:name="_Toc432586767"/>
      <w:bookmarkEnd w:id="0"/>
      <w:r w:rsidRPr="00B93DE3">
        <w:rPr>
          <w:rFonts w:asciiTheme="minorHAnsi" w:hAnsiTheme="minorHAnsi" w:cstheme="minorBidi"/>
          <w:lang w:val="ro-RO"/>
        </w:rPr>
        <w:t>Toți Operatorii de Transport și de Sistem din CCR SEE, având în vedere următorul:</w:t>
      </w:r>
    </w:p>
    <w:p w:rsidR="00E2580F" w:rsidRPr="00B93DE3" w:rsidRDefault="00E2580F" w:rsidP="00E2580F">
      <w:pPr>
        <w:spacing w:before="400" w:after="120" w:line="340" w:lineRule="exact"/>
        <w:jc w:val="center"/>
        <w:outlineLvl w:val="0"/>
        <w:rPr>
          <w:rFonts w:asciiTheme="minorHAnsi" w:hAnsiTheme="minorHAnsi" w:cstheme="minorBidi"/>
          <w:b/>
          <w:bCs/>
          <w:color w:val="23236E"/>
          <w:sz w:val="24"/>
          <w:lang w:val="ro-RO"/>
        </w:rPr>
      </w:pPr>
      <w:bookmarkStart w:id="6" w:name="_Toc497816904"/>
      <w:r w:rsidRPr="00B93DE3">
        <w:rPr>
          <w:rFonts w:asciiTheme="minorHAnsi" w:hAnsiTheme="minorHAnsi" w:cstheme="minorBidi"/>
          <w:b/>
          <w:bCs/>
          <w:color w:val="23236E"/>
          <w:sz w:val="24"/>
          <w:lang w:val="ro-RO"/>
        </w:rPr>
        <w:t>Preambul</w:t>
      </w:r>
      <w:bookmarkEnd w:id="1"/>
      <w:bookmarkEnd w:id="2"/>
      <w:bookmarkEnd w:id="3"/>
      <w:bookmarkEnd w:id="4"/>
      <w:bookmarkEnd w:id="5"/>
      <w:bookmarkEnd w:id="6"/>
    </w:p>
    <w:p w:rsidR="001D1AA5" w:rsidRPr="00B93DE3" w:rsidRDefault="001D1AA5" w:rsidP="001D1AA5">
      <w:pPr>
        <w:pStyle w:val="ListParagraph"/>
        <w:numPr>
          <w:ilvl w:val="0"/>
          <w:numId w:val="14"/>
        </w:numPr>
        <w:tabs>
          <w:tab w:val="left" w:pos="1115"/>
        </w:tabs>
        <w:spacing w:before="131" w:line="259" w:lineRule="auto"/>
        <w:rPr>
          <w:lang w:val="ro-RO"/>
        </w:rPr>
      </w:pPr>
      <w:r w:rsidRPr="00B93DE3">
        <w:rPr>
          <w:lang w:val="ro-RO"/>
        </w:rPr>
        <w:t>Regulamentul (UE) 2015/1222 stabilește linii directoare privind alocarea capacităților și gestionarea congestiilor (numit în continuare „Regulamentul CACM”) și a intrat în vigoare în data de 14 august 2015.</w:t>
      </w:r>
    </w:p>
    <w:p w:rsidR="00CB228F" w:rsidRPr="00B93DE3" w:rsidRDefault="00CB228F" w:rsidP="00CB228F">
      <w:pPr>
        <w:pStyle w:val="ListParagraph"/>
        <w:numPr>
          <w:ilvl w:val="0"/>
          <w:numId w:val="14"/>
        </w:numPr>
        <w:tabs>
          <w:tab w:val="left" w:pos="1115"/>
        </w:tabs>
        <w:spacing w:before="131" w:line="259" w:lineRule="auto"/>
        <w:rPr>
          <w:lang w:val="ro-RO"/>
        </w:rPr>
      </w:pPr>
      <w:r w:rsidRPr="00B93DE3">
        <w:rPr>
          <w:lang w:val="ro-RO"/>
        </w:rPr>
        <w:t>Prezenta metodologie este elaborată de către toți Operatorii de Transport și de Sistem (numiți în continuare „OTS-uri”) din CCR SEE, conform celor definite în conformitate cu articolul 15 (1) din Regulamentul (UE) 2015/1222 de stabilire a unor linii directoare privind Alocarea Capacităților și Gestionarea Congestiilor („Regulamentul CACM”), pentru metodologia pentru Redispecerizarea și Comercializarea în Contrapartidă Coordonate. Prezenta metodologie este solicitată prin articolul 35 (1) din Regulamentul CACM.</w:t>
      </w:r>
    </w:p>
    <w:p w:rsidR="00CB228F" w:rsidRPr="00B93DE3" w:rsidRDefault="00CB228F" w:rsidP="004C414B">
      <w:pPr>
        <w:pStyle w:val="ListParagraph"/>
        <w:numPr>
          <w:ilvl w:val="0"/>
          <w:numId w:val="14"/>
        </w:numPr>
        <w:tabs>
          <w:tab w:val="left" w:pos="1115"/>
        </w:tabs>
        <w:spacing w:before="131" w:line="259" w:lineRule="auto"/>
        <w:rPr>
          <w:lang w:val="ro-RO"/>
        </w:rPr>
      </w:pPr>
      <w:r w:rsidRPr="00B93DE3">
        <w:rPr>
          <w:lang w:val="ro-RO"/>
        </w:rPr>
        <w:t>Prezentul document ia în considerare propunerea OTS-urilor pentru metodologia de calcul al capacităților pentru ziua următoare și intrazilnice, în conformitate cu articolul 20 din Regulamentul CACM. Prezenta metodologie ia în considerare principiile și obiectivele generale stabilite prin Regulamentul (UE) 2015/1222 de stabilire a unor linii directoare privind alocarea capacităților și gestionarea congestiilor (numit în continuare „Regulamentul CACM”).</w:t>
      </w:r>
    </w:p>
    <w:p w:rsidR="00CB228F" w:rsidRPr="00B93DE3" w:rsidRDefault="00CB228F" w:rsidP="00CB228F">
      <w:pPr>
        <w:pStyle w:val="ListParagraph"/>
        <w:numPr>
          <w:ilvl w:val="0"/>
          <w:numId w:val="14"/>
        </w:numPr>
        <w:tabs>
          <w:tab w:val="left" w:pos="1115"/>
        </w:tabs>
        <w:spacing w:before="131" w:line="259" w:lineRule="auto"/>
        <w:rPr>
          <w:lang w:val="ro-RO"/>
        </w:rPr>
      </w:pPr>
      <w:r w:rsidRPr="00B93DE3">
        <w:rPr>
          <w:lang w:val="ro-RO"/>
        </w:rPr>
        <w:t xml:space="preserve">Articolul 35 (1) din Regulamentul CACM precizează că metodologia pentru redispecerizarea și comercializarea în contrapartidă coordonate trebuie să facă obiectul consultării în conformitate cu articolul 12.Articolul 9 (9) din Regulamentul CACM impune descrierea orizontului de timp propus pentru implementare și a impactului preconizat al Metodologiei RD și CT asupra obiectivelor Regulamentului CACM. Impactul este prezentat mai jos (punctul </w:t>
      </w:r>
      <w:r w:rsidRPr="00B93DE3">
        <w:rPr>
          <w:highlight w:val="yellow"/>
          <w:lang w:val="ro-RO"/>
        </w:rPr>
        <w:fldChar w:fldCharType="begin"/>
      </w:r>
      <w:r w:rsidRPr="00B93DE3">
        <w:rPr>
          <w:lang w:val="ro-RO"/>
        </w:rPr>
        <w:instrText xml:space="preserve"> REF _Ref501031202 \r \h </w:instrText>
      </w:r>
      <w:r w:rsidRPr="00B93DE3">
        <w:rPr>
          <w:highlight w:val="yellow"/>
          <w:lang w:val="ro-RO"/>
        </w:rPr>
      </w:r>
      <w:r w:rsidRPr="00B93DE3">
        <w:rPr>
          <w:highlight w:val="yellow"/>
          <w:lang w:val="ro-RO"/>
        </w:rPr>
        <w:fldChar w:fldCharType="separate"/>
      </w:r>
      <w:r w:rsidRPr="00B93DE3">
        <w:rPr>
          <w:lang w:val="ro-RO"/>
        </w:rPr>
        <w:t>(5)</w:t>
      </w:r>
      <w:r w:rsidRPr="00B93DE3">
        <w:rPr>
          <w:highlight w:val="yellow"/>
          <w:lang w:val="ro-RO"/>
        </w:rPr>
        <w:fldChar w:fldCharType="end"/>
      </w:r>
      <w:r w:rsidRPr="00B93DE3">
        <w:rPr>
          <w:lang w:val="ro-RO"/>
        </w:rPr>
        <w:t xml:space="preserve"> din acest Preambul).</w:t>
      </w:r>
    </w:p>
    <w:p w:rsidR="00CB228F" w:rsidRPr="00B93DE3" w:rsidRDefault="00CB228F" w:rsidP="00CB228F">
      <w:pPr>
        <w:pStyle w:val="ListParagraph"/>
        <w:numPr>
          <w:ilvl w:val="0"/>
          <w:numId w:val="14"/>
        </w:numPr>
        <w:tabs>
          <w:tab w:val="left" w:pos="1115"/>
        </w:tabs>
        <w:spacing w:before="131" w:line="259" w:lineRule="auto"/>
        <w:rPr>
          <w:lang w:val="ro-RO"/>
        </w:rPr>
      </w:pPr>
      <w:bookmarkStart w:id="7" w:name="_Ref501031202"/>
      <w:r w:rsidRPr="00B93DE3">
        <w:rPr>
          <w:lang w:val="ro-RO"/>
        </w:rPr>
        <w:t>Metodologia RD și CT contribuie la și nu împiedică în niciun fel atingerea obiectivelor stabilite prin articolul 3 din Regulamentul CACM:</w:t>
      </w:r>
      <w:bookmarkEnd w:id="7"/>
    </w:p>
    <w:p w:rsidR="00CB228F" w:rsidRPr="00B93DE3" w:rsidRDefault="00CB228F" w:rsidP="00CB228F">
      <w:pPr>
        <w:pStyle w:val="BodyText"/>
        <w:spacing w:line="259" w:lineRule="auto"/>
        <w:ind w:left="1114" w:right="510"/>
        <w:jc w:val="both"/>
        <w:rPr>
          <w:lang w:val="ro-RO"/>
        </w:rPr>
      </w:pPr>
    </w:p>
    <w:p w:rsidR="00CB228F" w:rsidRPr="00B93DE3" w:rsidRDefault="00CB228F" w:rsidP="00CB228F">
      <w:pPr>
        <w:pStyle w:val="BodyText"/>
        <w:spacing w:line="259" w:lineRule="auto"/>
        <w:ind w:left="1134" w:right="510"/>
        <w:jc w:val="both"/>
        <w:rPr>
          <w:lang w:val="ro-RO"/>
        </w:rPr>
      </w:pPr>
      <w:r w:rsidRPr="00B93DE3">
        <w:rPr>
          <w:lang w:val="ro-RO"/>
        </w:rPr>
        <w:t>Articolul 3 (a) din Regulamentul CACM are drept scop promovarea concurenței eficiente în generarea, comercializarea și furnizarea energiei electrice. Metodologia RD și CT CCR SEE servește la îndeplinirea obiectivului de promovare a concurenței eficiente în generarea, comercializarea și furnizarea energiei electrice prin definirea unui set de norme armonizate pentru reducerea eficientă a congestiilor fizice cu costuri minime.</w:t>
      </w:r>
    </w:p>
    <w:p w:rsidR="00CB228F" w:rsidRPr="00B93DE3" w:rsidRDefault="00CB228F" w:rsidP="00CB228F">
      <w:pPr>
        <w:pStyle w:val="BodyText"/>
        <w:spacing w:before="7"/>
        <w:ind w:left="1134" w:hanging="141"/>
        <w:rPr>
          <w:sz w:val="23"/>
          <w:lang w:val="ro-RO"/>
        </w:rPr>
      </w:pPr>
    </w:p>
    <w:p w:rsidR="00CB228F" w:rsidRPr="00B93DE3" w:rsidRDefault="00CB228F" w:rsidP="00CB228F">
      <w:pPr>
        <w:pStyle w:val="BodyText"/>
        <w:spacing w:before="1" w:line="259" w:lineRule="auto"/>
        <w:ind w:left="1134" w:right="507"/>
        <w:jc w:val="both"/>
        <w:rPr>
          <w:lang w:val="ro-RO"/>
        </w:rPr>
      </w:pPr>
      <w:r w:rsidRPr="00B93DE3">
        <w:rPr>
          <w:lang w:val="ro-RO"/>
        </w:rPr>
        <w:t>Articolul 3 (b) din Regulamentul CACM are obiectivul de a asigura utilizarea optimă a infrastructurii de transport. Metodologia RD și CT CCR SEE contribuie la îndeplinirea obiectivului de asigurare a unei utilizări optime a infrastructurii de transport prin folosirea ultimelor date de intrare disponibile, bazate pe cea mai bună prognoză posibilă a sistemelor de transport și pe rezultatele pieței la momentul în care are loc monitorizarea securității pentru identificarea nevoilor de redispecerizare și comercializare în contrapartidă coordonate.</w:t>
      </w:r>
    </w:p>
    <w:p w:rsidR="00CB228F" w:rsidRPr="00B93DE3" w:rsidRDefault="00CB228F" w:rsidP="00CB228F">
      <w:pPr>
        <w:pStyle w:val="BodyText"/>
        <w:spacing w:before="1" w:line="259" w:lineRule="auto"/>
        <w:ind w:left="1134" w:right="507"/>
        <w:jc w:val="both"/>
        <w:rPr>
          <w:lang w:val="ro-RO"/>
        </w:rPr>
      </w:pPr>
    </w:p>
    <w:p w:rsidR="00CB228F" w:rsidRPr="00B93DE3" w:rsidRDefault="00CB228F" w:rsidP="00CB228F">
      <w:pPr>
        <w:pStyle w:val="BodyText"/>
        <w:spacing w:line="259" w:lineRule="auto"/>
        <w:ind w:left="1114" w:right="507"/>
        <w:jc w:val="both"/>
        <w:rPr>
          <w:lang w:val="ro-RO"/>
        </w:rPr>
      </w:pPr>
      <w:r w:rsidRPr="00B93DE3">
        <w:rPr>
          <w:lang w:val="ro-RO"/>
        </w:rPr>
        <w:t>Articolul 3 (c) din Regulamentul CACM are obiectivul de a asigura siguranța în funcționare. Metodologia RD și CT CCR SEE contribuie la îndeplinirea obiectivului de asigurare a siguranței prin coordonarea redispecerizării și a comercializării în contrapartidă la nivel regional pentru a asigura fiabilitatea și eficiența pentru toate OTS-urile.</w:t>
      </w:r>
    </w:p>
    <w:p w:rsidR="00CB228F" w:rsidRPr="00B93DE3" w:rsidRDefault="00CB228F" w:rsidP="00CB228F">
      <w:pPr>
        <w:pStyle w:val="BodyText"/>
        <w:spacing w:before="7"/>
        <w:rPr>
          <w:sz w:val="23"/>
          <w:highlight w:val="yellow"/>
          <w:lang w:val="ro-RO"/>
        </w:rPr>
      </w:pPr>
    </w:p>
    <w:p w:rsidR="00CB228F" w:rsidRPr="00B93DE3" w:rsidRDefault="00CB228F" w:rsidP="00CB228F">
      <w:pPr>
        <w:pStyle w:val="BodyText"/>
        <w:spacing w:before="1" w:line="259" w:lineRule="auto"/>
        <w:ind w:left="1134" w:right="507"/>
        <w:jc w:val="both"/>
        <w:rPr>
          <w:lang w:val="ro-RO"/>
        </w:rPr>
      </w:pPr>
      <w:r w:rsidRPr="00B93DE3">
        <w:rPr>
          <w:lang w:val="ro-RO"/>
        </w:rPr>
        <w:t xml:space="preserve">Articolul 3 (d) din Regulamentul CACM are obiectivul de a optimiza calculul și alocarea capacităților interzonale. Metodologia RD și CT CCR SEE contribuie la îndeplinirea </w:t>
      </w:r>
      <w:r w:rsidRPr="00B93DE3">
        <w:rPr>
          <w:lang w:val="ro-RO"/>
        </w:rPr>
        <w:lastRenderedPageBreak/>
        <w:t>obiectivului prin definirea normelor pentru identificarea și activarea redispecerizării și comercializării în contrapartidă coordonate, contribuind la asigurarea disponibilității și fermității capacității și prin integrarea calendarelor din cadrul etapelor procesului de Calcul al Capacităților pentru diferite intervale de timp.</w:t>
      </w:r>
    </w:p>
    <w:p w:rsidR="001D1AA5" w:rsidRPr="00B93DE3" w:rsidRDefault="001D1AA5" w:rsidP="001D1AA5">
      <w:pPr>
        <w:pStyle w:val="ListParagraph"/>
        <w:numPr>
          <w:ilvl w:val="0"/>
          <w:numId w:val="14"/>
        </w:numPr>
        <w:tabs>
          <w:tab w:val="left" w:pos="1115"/>
        </w:tabs>
        <w:spacing w:before="131" w:line="259" w:lineRule="auto"/>
        <w:rPr>
          <w:lang w:val="ro-RO"/>
        </w:rPr>
      </w:pPr>
      <w:r w:rsidRPr="00B93DE3">
        <w:rPr>
          <w:lang w:val="ro-RO"/>
        </w:rPr>
        <w:t>Prin definiție, Comercializarea în Contrapartidă se limitează la reducerea congestiilor fizice prin intermediul unui schimb interzonal inițiat de operatorii de sistem între două zone de ofertare. OTS-urile pot conveni de asemenea asupra unei alte proceduri de schimb interzonal, pentru motive altele decât reducerea congestiilor fizice. Astfel de acorduri nu fac parte din domeniul de aplicare al prezentei Metodologii RDCT.</w:t>
      </w:r>
    </w:p>
    <w:p w:rsidR="001D1AA5" w:rsidRPr="00B93DE3" w:rsidRDefault="001D1AA5" w:rsidP="00CB228F">
      <w:pPr>
        <w:pStyle w:val="BodyText"/>
        <w:spacing w:before="1" w:line="259" w:lineRule="auto"/>
        <w:ind w:left="1134" w:right="507"/>
        <w:jc w:val="both"/>
        <w:rPr>
          <w:lang w:val="ro-RO"/>
        </w:rPr>
      </w:pPr>
    </w:p>
    <w:p w:rsidR="001D1AA5" w:rsidRPr="00B93DE3" w:rsidRDefault="001D1AA5" w:rsidP="001D1AA5">
      <w:pPr>
        <w:pStyle w:val="ListParagraph"/>
        <w:numPr>
          <w:ilvl w:val="0"/>
          <w:numId w:val="14"/>
        </w:numPr>
        <w:tabs>
          <w:tab w:val="left" w:pos="1115"/>
        </w:tabs>
        <w:spacing w:before="131" w:line="259" w:lineRule="auto"/>
        <w:rPr>
          <w:lang w:val="ro-RO"/>
        </w:rPr>
      </w:pPr>
      <w:r w:rsidRPr="00B93DE3">
        <w:rPr>
          <w:lang w:val="ro-RO"/>
        </w:rPr>
        <w:t>Metodologia pentru Redispecerizare și Comercializare în Contrapartidă ia de asemenea în considerare cerințele Regulamentului (UE) 2017/1485 al Comisiei de stabilire a unei linii directoare privind Operarea Sistemului (numit în continuare „SO GL”), ținând cont de interdependența cu articolele 75 și 76 din acest Regulament.</w:t>
      </w:r>
    </w:p>
    <w:p w:rsidR="001D1AA5" w:rsidRPr="00B93DE3" w:rsidRDefault="001D1AA5" w:rsidP="001D1AA5">
      <w:pPr>
        <w:tabs>
          <w:tab w:val="left" w:pos="1115"/>
        </w:tabs>
        <w:spacing w:before="131" w:line="259" w:lineRule="auto"/>
        <w:rPr>
          <w:lang w:val="ro-RO"/>
        </w:rPr>
      </w:pPr>
    </w:p>
    <w:p w:rsidR="002A72C5" w:rsidRPr="00B93DE3" w:rsidRDefault="007F2107">
      <w:pPr>
        <w:pStyle w:val="ListParagraph"/>
        <w:numPr>
          <w:ilvl w:val="0"/>
          <w:numId w:val="14"/>
        </w:numPr>
        <w:tabs>
          <w:tab w:val="left" w:pos="1114"/>
          <w:tab w:val="left" w:pos="1115"/>
        </w:tabs>
        <w:spacing w:line="259" w:lineRule="auto"/>
        <w:ind w:right="510"/>
        <w:rPr>
          <w:lang w:val="ro-RO"/>
        </w:rPr>
      </w:pPr>
      <w:r w:rsidRPr="00B93DE3">
        <w:rPr>
          <w:lang w:val="ro-RO"/>
        </w:rPr>
        <w:t>În concluzie, metodologia pentru redispecerizarea și comercializarea în contrapartidă coordonate contribuie la obiectivele generale ale Regulamentului CACM.</w:t>
      </w:r>
    </w:p>
    <w:p w:rsidR="002A72C5" w:rsidRPr="00B93DE3" w:rsidRDefault="002A72C5">
      <w:pPr>
        <w:pStyle w:val="BodyText"/>
        <w:spacing w:before="1"/>
        <w:rPr>
          <w:sz w:val="24"/>
          <w:highlight w:val="yellow"/>
          <w:lang w:val="ro-RO"/>
        </w:rPr>
      </w:pPr>
    </w:p>
    <w:p w:rsidR="002A72C5" w:rsidRPr="00B93DE3" w:rsidRDefault="007F2107">
      <w:pPr>
        <w:ind w:left="120"/>
        <w:rPr>
          <w:b/>
          <w:lang w:val="ro-RO"/>
        </w:rPr>
      </w:pPr>
      <w:r w:rsidRPr="00B93DE3">
        <w:rPr>
          <w:b/>
          <w:bCs/>
          <w:lang w:val="ro-RO"/>
        </w:rPr>
        <w:t>PREZENTA METODOLOGIE PENTRU REDISPECERIZARE ȘI COMERCIALIZARE ÎN CONTRAPARTIDĂ ESTE ÎNAINTATĂ TUTUROR AUTORITĂȚILOR DE REGLEMENTARE:</w:t>
      </w:r>
    </w:p>
    <w:p w:rsidR="002A72C5" w:rsidRPr="00B93DE3" w:rsidRDefault="002A72C5">
      <w:pPr>
        <w:rPr>
          <w:highlight w:val="yellow"/>
          <w:lang w:val="ro-RO"/>
        </w:rPr>
        <w:sectPr w:rsidR="002A72C5" w:rsidRPr="00B93DE3">
          <w:headerReference w:type="default" r:id="rId8"/>
          <w:footerReference w:type="default" r:id="rId9"/>
          <w:pgSz w:w="11900" w:h="16840"/>
          <w:pgMar w:top="1860" w:right="500" w:bottom="1100" w:left="1240" w:header="703" w:footer="909" w:gutter="0"/>
          <w:cols w:space="720"/>
        </w:sectPr>
      </w:pPr>
    </w:p>
    <w:p w:rsidR="002A72C5" w:rsidRPr="00B93DE3" w:rsidRDefault="002A72C5">
      <w:pPr>
        <w:pStyle w:val="BodyText"/>
        <w:rPr>
          <w:b/>
          <w:sz w:val="20"/>
          <w:highlight w:val="yellow"/>
          <w:lang w:val="ro-RO"/>
        </w:rPr>
      </w:pPr>
    </w:p>
    <w:p w:rsidR="002A72C5" w:rsidRPr="00B93DE3" w:rsidRDefault="002A72C5" w:rsidP="00462895">
      <w:pPr>
        <w:pStyle w:val="Article"/>
        <w:rPr>
          <w:lang w:val="ro-RO"/>
        </w:rPr>
      </w:pPr>
    </w:p>
    <w:p w:rsidR="002A72C5" w:rsidRPr="00B93DE3" w:rsidRDefault="007F2107" w:rsidP="00457547">
      <w:pPr>
        <w:pStyle w:val="Title1"/>
        <w:rPr>
          <w:lang w:val="ro-RO"/>
        </w:rPr>
      </w:pPr>
      <w:r w:rsidRPr="00B93DE3">
        <w:rPr>
          <w:lang w:val="ro-RO"/>
        </w:rPr>
        <w:t>Obiect și domeniu de aplicare</w:t>
      </w:r>
    </w:p>
    <w:p w:rsidR="002A72C5" w:rsidRPr="00B93DE3" w:rsidRDefault="007F2107" w:rsidP="004E0824">
      <w:pPr>
        <w:pStyle w:val="BodyText"/>
        <w:spacing w:before="112" w:line="259" w:lineRule="auto"/>
        <w:ind w:left="120" w:right="512"/>
        <w:jc w:val="both"/>
        <w:rPr>
          <w:lang w:val="ro-RO"/>
        </w:rPr>
      </w:pPr>
      <w:r w:rsidRPr="00B93DE3">
        <w:rPr>
          <w:lang w:val="ro-RO"/>
        </w:rPr>
        <w:t>Metodologia pentru redispecerizare și comercializare în contrapartidă coordonate, așa cum este determinată în prezentul document, reprezintă propunerea comună a tuturor OTS-urilor din CCR SEE în conformitate cu articolul 35 din Regulamentul CACM. OTS-urile participante la redispecerizarea și comercializarea în contrapartidă coordonate sunt astfel ADMIE (Grecia), ESO (Bulgaria) și Transelectrica (Romania).</w:t>
      </w:r>
    </w:p>
    <w:p w:rsidR="002A72C5" w:rsidRPr="00B93DE3" w:rsidRDefault="002A72C5">
      <w:pPr>
        <w:pStyle w:val="BodyText"/>
        <w:rPr>
          <w:highlight w:val="yellow"/>
          <w:lang w:val="ro-RO"/>
        </w:rPr>
      </w:pPr>
    </w:p>
    <w:p w:rsidR="008D1C88" w:rsidRPr="00B93DE3" w:rsidRDefault="008D1C88" w:rsidP="00457547">
      <w:pPr>
        <w:pStyle w:val="Title1"/>
        <w:rPr>
          <w:highlight w:val="yellow"/>
          <w:lang w:val="ro-RO"/>
        </w:rPr>
      </w:pPr>
      <w:bookmarkStart w:id="8" w:name="_TOC_250003"/>
      <w:bookmarkEnd w:id="8"/>
    </w:p>
    <w:p w:rsidR="00457547" w:rsidRPr="00B93DE3" w:rsidRDefault="00457547" w:rsidP="00462895">
      <w:pPr>
        <w:pStyle w:val="Article"/>
        <w:rPr>
          <w:lang w:val="ro-RO"/>
        </w:rPr>
      </w:pPr>
    </w:p>
    <w:p w:rsidR="002A72C5" w:rsidRPr="00B93DE3" w:rsidRDefault="007F2107" w:rsidP="00457547">
      <w:pPr>
        <w:pStyle w:val="Title1"/>
        <w:rPr>
          <w:lang w:val="ro-RO"/>
        </w:rPr>
      </w:pPr>
      <w:r w:rsidRPr="00B93DE3">
        <w:rPr>
          <w:lang w:val="ro-RO"/>
        </w:rPr>
        <w:t>Definiții și interpretări</w:t>
      </w:r>
    </w:p>
    <w:p w:rsidR="002A72C5" w:rsidRPr="00B93DE3" w:rsidRDefault="007F2107" w:rsidP="00374FB9">
      <w:pPr>
        <w:pStyle w:val="ListParagraph"/>
        <w:numPr>
          <w:ilvl w:val="0"/>
          <w:numId w:val="13"/>
        </w:numPr>
        <w:tabs>
          <w:tab w:val="left" w:pos="841"/>
        </w:tabs>
        <w:spacing w:before="112" w:line="259" w:lineRule="auto"/>
        <w:rPr>
          <w:lang w:val="ro-RO"/>
        </w:rPr>
      </w:pPr>
      <w:r w:rsidRPr="00B93DE3">
        <w:rPr>
          <w:lang w:val="ro-RO"/>
        </w:rPr>
        <w:t>În scopul metodologiei pentru redispecerizarea și comercializarea în contrapartidă coordonate, termenii utilizați au semnificația oferită acestora la articolul 2 din Regulamentul (CE) 714/2009, articolul 2 of din Regulamentul (CE) 543/2013 care modifică regulamentul anterior, articolul 2 din Regulamentul (CE) 2015/1222 și articolul 3 din SO GL.</w:t>
      </w:r>
    </w:p>
    <w:p w:rsidR="002A72C5" w:rsidRPr="00B93DE3" w:rsidRDefault="002A72C5" w:rsidP="00374FB9">
      <w:pPr>
        <w:pStyle w:val="BodyText"/>
        <w:spacing w:before="7"/>
        <w:ind w:right="509"/>
        <w:rPr>
          <w:highlight w:val="yellow"/>
          <w:lang w:val="ro-RO"/>
        </w:rPr>
      </w:pPr>
    </w:p>
    <w:p w:rsidR="002A72C5" w:rsidRPr="00B93DE3" w:rsidRDefault="007F2107" w:rsidP="00374FB9">
      <w:pPr>
        <w:pStyle w:val="ListParagraph"/>
        <w:numPr>
          <w:ilvl w:val="0"/>
          <w:numId w:val="13"/>
        </w:numPr>
        <w:tabs>
          <w:tab w:val="left" w:pos="840"/>
          <w:tab w:val="left" w:pos="841"/>
        </w:tabs>
        <w:spacing w:before="1"/>
        <w:rPr>
          <w:lang w:val="ro-RO"/>
        </w:rPr>
      </w:pPr>
      <w:r w:rsidRPr="00B93DE3">
        <w:rPr>
          <w:lang w:val="ro-RO"/>
        </w:rPr>
        <w:t>În plus, se aplică următoarele definiții:</w:t>
      </w:r>
    </w:p>
    <w:p w:rsidR="002A72C5" w:rsidRPr="00B93DE3" w:rsidRDefault="007F2107" w:rsidP="008B7509">
      <w:pPr>
        <w:pStyle w:val="ListParagraph"/>
        <w:numPr>
          <w:ilvl w:val="1"/>
          <w:numId w:val="13"/>
        </w:numPr>
        <w:spacing w:before="119"/>
        <w:rPr>
          <w:lang w:val="ro-RO"/>
        </w:rPr>
      </w:pPr>
      <w:r w:rsidRPr="00B93DE3">
        <w:rPr>
          <w:lang w:val="ro-RO"/>
        </w:rPr>
        <w:t>„ADMIE” reprezintă Operatorul de Transport și de Sistem din Grecia;</w:t>
      </w:r>
    </w:p>
    <w:p w:rsidR="004D68F2" w:rsidRPr="00B93DE3" w:rsidRDefault="004D68F2" w:rsidP="008B7509">
      <w:pPr>
        <w:pStyle w:val="ListParagraph"/>
        <w:numPr>
          <w:ilvl w:val="1"/>
          <w:numId w:val="13"/>
        </w:numPr>
        <w:spacing w:before="119"/>
        <w:rPr>
          <w:lang w:val="ro-RO"/>
        </w:rPr>
      </w:pPr>
      <w:r w:rsidRPr="00B93DE3">
        <w:rPr>
          <w:lang w:val="ro-RO"/>
        </w:rPr>
        <w:t>„ESO EAD” reprezintă Operatorul de Transport și de Sistem din Bulgaria;</w:t>
      </w:r>
    </w:p>
    <w:p w:rsidR="004D68F2" w:rsidRPr="00B93DE3" w:rsidRDefault="004D68F2" w:rsidP="004D68F2">
      <w:pPr>
        <w:pStyle w:val="ListParagraph"/>
        <w:numPr>
          <w:ilvl w:val="1"/>
          <w:numId w:val="13"/>
        </w:numPr>
        <w:spacing w:before="119"/>
        <w:rPr>
          <w:lang w:val="ro-RO"/>
        </w:rPr>
      </w:pPr>
      <w:r w:rsidRPr="00B93DE3">
        <w:rPr>
          <w:lang w:val="ro-RO"/>
        </w:rPr>
        <w:t>„Transelectrica” reprezintă Operatorul de Transport și de Sistem din România;</w:t>
      </w:r>
    </w:p>
    <w:p w:rsidR="002A72C5" w:rsidRPr="00B93DE3" w:rsidRDefault="007F2107" w:rsidP="00374FB9">
      <w:pPr>
        <w:pStyle w:val="ListParagraph"/>
        <w:numPr>
          <w:ilvl w:val="1"/>
          <w:numId w:val="13"/>
        </w:numPr>
        <w:tabs>
          <w:tab w:val="left" w:pos="1617"/>
        </w:tabs>
        <w:spacing w:before="119"/>
        <w:rPr>
          <w:lang w:val="ro-RO"/>
        </w:rPr>
      </w:pPr>
      <w:r w:rsidRPr="00B93DE3">
        <w:rPr>
          <w:lang w:val="ro-RO"/>
        </w:rPr>
        <w:t>„Sensibilitatea unui element critic de rețea la o resursă” reprezintă variația fluxului pe un element critic de rețea odată cu o modificare de 1 MW a resurselor activate;</w:t>
      </w:r>
    </w:p>
    <w:p w:rsidR="002A72C5" w:rsidRPr="00B93DE3" w:rsidRDefault="002A72C5" w:rsidP="00374FB9">
      <w:pPr>
        <w:pStyle w:val="BodyText"/>
        <w:ind w:right="509"/>
        <w:rPr>
          <w:highlight w:val="yellow"/>
          <w:lang w:val="ro-RO"/>
        </w:rPr>
      </w:pPr>
    </w:p>
    <w:p w:rsidR="002A72C5" w:rsidRPr="00B93DE3" w:rsidRDefault="007F2107" w:rsidP="00374FB9">
      <w:pPr>
        <w:pStyle w:val="ListParagraph"/>
        <w:numPr>
          <w:ilvl w:val="0"/>
          <w:numId w:val="13"/>
        </w:numPr>
        <w:tabs>
          <w:tab w:val="left" w:pos="840"/>
          <w:tab w:val="left" w:pos="841"/>
        </w:tabs>
        <w:spacing w:before="139"/>
        <w:rPr>
          <w:lang w:val="ro-RO"/>
        </w:rPr>
      </w:pPr>
      <w:r w:rsidRPr="00B93DE3">
        <w:rPr>
          <w:lang w:val="ro-RO"/>
        </w:rPr>
        <w:t>În prezenta metodologie pentru redispecerizarea și comercializarea în contrapartidă coordonate, cu excepția cazului în care se impune diferit în context:</w:t>
      </w:r>
    </w:p>
    <w:p w:rsidR="002A72C5" w:rsidRPr="00B93DE3" w:rsidRDefault="007F2107" w:rsidP="00374FB9">
      <w:pPr>
        <w:pStyle w:val="ListParagraph"/>
        <w:numPr>
          <w:ilvl w:val="0"/>
          <w:numId w:val="12"/>
        </w:numPr>
        <w:tabs>
          <w:tab w:val="left" w:pos="829"/>
        </w:tabs>
        <w:spacing w:before="140"/>
        <w:rPr>
          <w:lang w:val="ro-RO"/>
        </w:rPr>
      </w:pPr>
      <w:r w:rsidRPr="00B93DE3">
        <w:rPr>
          <w:lang w:val="ro-RO"/>
        </w:rPr>
        <w:t>singularul face referire și la plural, și viceversa;</w:t>
      </w:r>
    </w:p>
    <w:p w:rsidR="002A72C5" w:rsidRPr="00B93DE3" w:rsidRDefault="007F2107" w:rsidP="00374FB9">
      <w:pPr>
        <w:pStyle w:val="ListParagraph"/>
        <w:numPr>
          <w:ilvl w:val="0"/>
          <w:numId w:val="12"/>
        </w:numPr>
        <w:tabs>
          <w:tab w:val="left" w:pos="829"/>
        </w:tabs>
        <w:spacing w:before="13"/>
        <w:rPr>
          <w:lang w:val="ro-RO"/>
        </w:rPr>
      </w:pPr>
      <w:r w:rsidRPr="00B93DE3">
        <w:rPr>
          <w:lang w:val="ro-RO"/>
        </w:rPr>
        <w:t>anteturile sunt incluse doar în scopuri informative și nu vor afecta interpretarea prezentei propuneri; și</w:t>
      </w:r>
    </w:p>
    <w:p w:rsidR="002A72C5" w:rsidRPr="00B93DE3" w:rsidRDefault="007F2107" w:rsidP="00374FB9">
      <w:pPr>
        <w:pStyle w:val="ListParagraph"/>
        <w:numPr>
          <w:ilvl w:val="0"/>
          <w:numId w:val="12"/>
        </w:numPr>
        <w:tabs>
          <w:tab w:val="left" w:pos="829"/>
        </w:tabs>
        <w:spacing w:before="11" w:line="252" w:lineRule="auto"/>
        <w:rPr>
          <w:lang w:val="ro-RO"/>
        </w:rPr>
      </w:pPr>
      <w:r w:rsidRPr="00B93DE3">
        <w:rPr>
          <w:lang w:val="ro-RO"/>
        </w:rPr>
        <w:t>orice referințe la legislație, regulamente, directive, ordine, instrumente sau coduri includ orice modificare, completare sau repromulgare în vigoare la momentul respectiv.</w:t>
      </w:r>
    </w:p>
    <w:p w:rsidR="00E730C9" w:rsidRPr="00B93DE3" w:rsidRDefault="00E730C9" w:rsidP="008B7509">
      <w:pPr>
        <w:tabs>
          <w:tab w:val="left" w:pos="829"/>
        </w:tabs>
        <w:spacing w:before="11" w:line="252" w:lineRule="auto"/>
        <w:ind w:right="509"/>
        <w:rPr>
          <w:highlight w:val="yellow"/>
          <w:lang w:val="ro-RO"/>
        </w:rPr>
      </w:pPr>
    </w:p>
    <w:p w:rsidR="00E730C9" w:rsidRPr="00B93DE3" w:rsidRDefault="00E730C9" w:rsidP="008B7509">
      <w:pPr>
        <w:tabs>
          <w:tab w:val="left" w:pos="829"/>
        </w:tabs>
        <w:spacing w:before="11" w:line="252" w:lineRule="auto"/>
        <w:ind w:right="509"/>
        <w:rPr>
          <w:highlight w:val="yellow"/>
          <w:lang w:val="ro-RO"/>
        </w:rPr>
      </w:pPr>
    </w:p>
    <w:p w:rsidR="00457547" w:rsidRPr="00B93DE3" w:rsidRDefault="00457547" w:rsidP="00462895">
      <w:pPr>
        <w:pStyle w:val="Article"/>
        <w:rPr>
          <w:lang w:val="ro-RO"/>
        </w:rPr>
      </w:pPr>
      <w:bookmarkStart w:id="9" w:name="_TOC_250002"/>
      <w:bookmarkEnd w:id="9"/>
    </w:p>
    <w:p w:rsidR="002A72C5" w:rsidRPr="00B93DE3" w:rsidRDefault="007F2107" w:rsidP="00457547">
      <w:pPr>
        <w:pStyle w:val="Title1"/>
        <w:rPr>
          <w:lang w:val="ro-RO"/>
        </w:rPr>
      </w:pPr>
      <w:r w:rsidRPr="00B93DE3">
        <w:rPr>
          <w:lang w:val="ro-RO"/>
        </w:rPr>
        <w:t>Aplicarea prezentei metodologii</w:t>
      </w:r>
    </w:p>
    <w:p w:rsidR="002A72C5" w:rsidRPr="00B93DE3" w:rsidRDefault="002A72C5">
      <w:pPr>
        <w:pStyle w:val="BodyText"/>
        <w:spacing w:before="9"/>
        <w:rPr>
          <w:b/>
          <w:sz w:val="17"/>
          <w:lang w:val="ro-RO"/>
        </w:rPr>
      </w:pPr>
    </w:p>
    <w:p w:rsidR="002A72C5" w:rsidRPr="00B93DE3" w:rsidRDefault="007F2107">
      <w:pPr>
        <w:pStyle w:val="BodyText"/>
        <w:spacing w:before="1"/>
        <w:ind w:left="120" w:right="509"/>
        <w:jc w:val="both"/>
        <w:rPr>
          <w:lang w:val="ro-RO"/>
        </w:rPr>
      </w:pPr>
      <w:r w:rsidRPr="00B93DE3">
        <w:rPr>
          <w:lang w:val="ro-RO"/>
        </w:rPr>
        <w:t xml:space="preserve">Prezenta metodologie pentru redispecerizarea și comercializarea în contrapartidă coordonate se aplică în cadrul CCR SEE. </w:t>
      </w:r>
    </w:p>
    <w:p w:rsidR="002A72C5" w:rsidRPr="00B93DE3" w:rsidRDefault="002A72C5">
      <w:pPr>
        <w:pStyle w:val="BodyText"/>
        <w:spacing w:before="10"/>
        <w:rPr>
          <w:sz w:val="32"/>
          <w:highlight w:val="yellow"/>
          <w:lang w:val="ro-RO"/>
        </w:rPr>
      </w:pPr>
    </w:p>
    <w:p w:rsidR="00C35965" w:rsidRPr="00B93DE3" w:rsidRDefault="00C35965">
      <w:pPr>
        <w:pStyle w:val="BodyText"/>
        <w:spacing w:before="10"/>
        <w:rPr>
          <w:sz w:val="32"/>
          <w:highlight w:val="yellow"/>
          <w:lang w:val="ro-RO"/>
        </w:rPr>
      </w:pPr>
    </w:p>
    <w:p w:rsidR="00267A17" w:rsidRPr="00B93DE3" w:rsidRDefault="00267A17" w:rsidP="00267A17">
      <w:pPr>
        <w:pStyle w:val="Article"/>
        <w:rPr>
          <w:lang w:val="ro-RO"/>
        </w:rPr>
      </w:pPr>
    </w:p>
    <w:p w:rsidR="00267A17" w:rsidRPr="00B93DE3" w:rsidRDefault="00267A17" w:rsidP="00267A17">
      <w:pPr>
        <w:pStyle w:val="Title1"/>
        <w:rPr>
          <w:lang w:val="ro-RO"/>
        </w:rPr>
      </w:pPr>
      <w:r w:rsidRPr="00B93DE3">
        <w:rPr>
          <w:lang w:val="ro-RO"/>
        </w:rPr>
        <w:t xml:space="preserve">Arie de Interes Comun (ACI) </w:t>
      </w:r>
    </w:p>
    <w:p w:rsidR="00267A17" w:rsidRPr="00B93DE3" w:rsidRDefault="00267A17" w:rsidP="00267A17">
      <w:pPr>
        <w:pStyle w:val="BodyText"/>
        <w:spacing w:before="9"/>
        <w:rPr>
          <w:b/>
          <w:sz w:val="17"/>
          <w:lang w:val="ro-RO"/>
        </w:rPr>
      </w:pPr>
    </w:p>
    <w:p w:rsidR="00421302" w:rsidRPr="00B93DE3" w:rsidRDefault="007D3031" w:rsidP="00421302">
      <w:pPr>
        <w:pStyle w:val="ListParagraph"/>
        <w:numPr>
          <w:ilvl w:val="0"/>
          <w:numId w:val="11"/>
        </w:numPr>
        <w:tabs>
          <w:tab w:val="left" w:pos="548"/>
        </w:tabs>
        <w:spacing w:before="1" w:line="259" w:lineRule="auto"/>
        <w:ind w:left="547" w:right="521" w:hanging="427"/>
        <w:rPr>
          <w:lang w:val="ro-RO"/>
        </w:rPr>
      </w:pPr>
      <w:r w:rsidRPr="00B93DE3">
        <w:rPr>
          <w:lang w:val="ro-RO"/>
        </w:rPr>
        <w:t>Metodologia pentru redispecerizarea și comercializarea în contrapartidă coordonată include măsuri cu relevanță transfrontalieră.</w:t>
      </w:r>
    </w:p>
    <w:p w:rsidR="00E2580F" w:rsidRPr="00B93DE3" w:rsidRDefault="00E2580F" w:rsidP="00421302">
      <w:pPr>
        <w:pStyle w:val="ListParagraph"/>
        <w:numPr>
          <w:ilvl w:val="0"/>
          <w:numId w:val="11"/>
        </w:numPr>
        <w:tabs>
          <w:tab w:val="left" w:pos="548"/>
        </w:tabs>
        <w:spacing w:before="1" w:line="259" w:lineRule="auto"/>
        <w:ind w:left="547" w:right="521" w:hanging="427"/>
        <w:rPr>
          <w:lang w:val="ro-RO"/>
        </w:rPr>
      </w:pPr>
      <w:r w:rsidRPr="00B93DE3">
        <w:rPr>
          <w:lang w:val="ro-RO"/>
        </w:rPr>
        <w:t>O măsură cu relevanță transfrontalieră sau o măsură de remediere cu relevanță transfrontalieră reprezintă o măsură de remediere care reduce o congestie dintr-un element de rețea cu relevanță transfrontalieră. Un element de rețea cu relevanță transfrontalieră este un element critic de rețea, conform celor definite în Metodologiile de Calcul al Capacităților SEE.</w:t>
      </w:r>
    </w:p>
    <w:p w:rsidR="00306308" w:rsidRPr="00B93DE3" w:rsidRDefault="00306308" w:rsidP="00421302">
      <w:pPr>
        <w:pStyle w:val="ListParagraph"/>
        <w:numPr>
          <w:ilvl w:val="0"/>
          <w:numId w:val="11"/>
        </w:numPr>
        <w:tabs>
          <w:tab w:val="left" w:pos="548"/>
        </w:tabs>
        <w:spacing w:before="1" w:line="259" w:lineRule="auto"/>
        <w:ind w:left="547" w:right="521" w:hanging="427"/>
        <w:rPr>
          <w:lang w:val="ro-RO"/>
        </w:rPr>
      </w:pPr>
      <w:r w:rsidRPr="00B93DE3">
        <w:rPr>
          <w:lang w:val="ro-RO"/>
        </w:rPr>
        <w:lastRenderedPageBreak/>
        <w:t>Metodologia pentru redispecerizarea și comercializarea în contrapartidă coordonate permite tuturor OTS-urilor din CCR SEE să reducă în mod eficient congestia fizică pe elementele cu relevanță transfrontalieră din regiune care constituie Aria de Interes Comun (ACI), indiferent dacă motivele pentru congestia fizică se află în principal în afara ariei de control a acestora.</w:t>
      </w:r>
    </w:p>
    <w:p w:rsidR="00743A3E" w:rsidRPr="00B93DE3" w:rsidRDefault="00743A3E" w:rsidP="00B762DD">
      <w:pPr>
        <w:pStyle w:val="ListParagraph"/>
        <w:tabs>
          <w:tab w:val="left" w:pos="548"/>
        </w:tabs>
        <w:spacing w:before="1" w:line="259" w:lineRule="auto"/>
        <w:ind w:left="547" w:right="521" w:firstLine="0"/>
        <w:rPr>
          <w:lang w:val="ro-RO"/>
        </w:rPr>
      </w:pPr>
    </w:p>
    <w:p w:rsidR="00267A17" w:rsidRPr="00B93DE3" w:rsidRDefault="00267A17" w:rsidP="00267A17">
      <w:pPr>
        <w:pStyle w:val="BodyText"/>
        <w:spacing w:before="10"/>
        <w:rPr>
          <w:sz w:val="32"/>
          <w:highlight w:val="yellow"/>
          <w:lang w:val="ro-RO"/>
        </w:rPr>
      </w:pPr>
    </w:p>
    <w:p w:rsidR="00A3033A" w:rsidRPr="00B93DE3" w:rsidRDefault="00A3033A" w:rsidP="00A3033A">
      <w:pPr>
        <w:pStyle w:val="Article"/>
        <w:rPr>
          <w:lang w:val="ro-RO"/>
        </w:rPr>
      </w:pPr>
      <w:bookmarkStart w:id="10" w:name="_Ref499885276"/>
    </w:p>
    <w:bookmarkEnd w:id="10"/>
    <w:p w:rsidR="00A3033A" w:rsidRPr="00B93DE3" w:rsidRDefault="00202348" w:rsidP="00A3033A">
      <w:pPr>
        <w:pStyle w:val="Title1"/>
        <w:rPr>
          <w:lang w:val="ro-RO"/>
        </w:rPr>
      </w:pPr>
      <w:r w:rsidRPr="00B93DE3">
        <w:rPr>
          <w:lang w:val="ro-RO"/>
        </w:rPr>
        <w:t>Resurse pentru redispecerizare și comercializarea în contrapartidă</w:t>
      </w:r>
    </w:p>
    <w:p w:rsidR="00A3033A" w:rsidRPr="00B93DE3" w:rsidRDefault="00A3033A" w:rsidP="00A3033A">
      <w:pPr>
        <w:pStyle w:val="BodyText"/>
        <w:spacing w:before="9"/>
        <w:rPr>
          <w:b/>
          <w:sz w:val="17"/>
          <w:lang w:val="ro-RO"/>
        </w:rPr>
      </w:pPr>
    </w:p>
    <w:p w:rsidR="000629FF" w:rsidRPr="00B93DE3" w:rsidRDefault="00A3033A" w:rsidP="00A3033A">
      <w:pPr>
        <w:pStyle w:val="ListParagraph"/>
        <w:numPr>
          <w:ilvl w:val="0"/>
          <w:numId w:val="22"/>
        </w:numPr>
        <w:tabs>
          <w:tab w:val="left" w:pos="548"/>
        </w:tabs>
        <w:spacing w:before="1" w:line="259" w:lineRule="auto"/>
        <w:ind w:left="547" w:right="521" w:hanging="427"/>
        <w:rPr>
          <w:lang w:val="ro-RO"/>
        </w:rPr>
      </w:pPr>
      <w:r w:rsidRPr="00B93DE3">
        <w:rPr>
          <w:lang w:val="ro-RO"/>
        </w:rPr>
        <w:t>Fiecare OTS poate redispeceriza toate unitățile generatoare și consumatoare disponibile în conformitate cu mecanismele și acordurile adecvate aplicabile în aria sa de control.</w:t>
      </w:r>
    </w:p>
    <w:p w:rsidR="00B86175" w:rsidRPr="00B93DE3" w:rsidRDefault="00A3033A" w:rsidP="00EE79CA">
      <w:pPr>
        <w:pStyle w:val="ListParagraph"/>
        <w:numPr>
          <w:ilvl w:val="0"/>
          <w:numId w:val="22"/>
        </w:numPr>
        <w:tabs>
          <w:tab w:val="left" w:pos="548"/>
        </w:tabs>
        <w:spacing w:before="1" w:line="259" w:lineRule="auto"/>
        <w:ind w:left="547" w:right="521" w:hanging="427"/>
        <w:rPr>
          <w:rFonts w:cs="Arial"/>
          <w:lang w:val="ro-RO"/>
        </w:rPr>
      </w:pPr>
      <w:r w:rsidRPr="00B93DE3">
        <w:rPr>
          <w:lang w:val="ro-RO"/>
        </w:rPr>
        <w:t>Fiecare OTS definește, pentru fiecare interval de timp, resursele sale disponibile pentru redispecerizare și comercializare în contrapartidă precum și prețurile aferente. Volumele disponibile ale unui OTS nu compromit furnizarea de servicii tehnologice de sistem și nu pun în pericol siguranța aprovizionării ariei sale de control, menținând în același timp sistemul său în stare normală. Resursele vor fi definite pentru două tipuri de servicii:</w:t>
      </w:r>
    </w:p>
    <w:p w:rsidR="00B86175" w:rsidRPr="00B93DE3" w:rsidRDefault="00B86175" w:rsidP="00B86175">
      <w:pPr>
        <w:pStyle w:val="ListParagraph"/>
        <w:numPr>
          <w:ilvl w:val="1"/>
          <w:numId w:val="22"/>
        </w:numPr>
        <w:tabs>
          <w:tab w:val="left" w:pos="548"/>
        </w:tabs>
        <w:spacing w:before="1" w:line="259" w:lineRule="auto"/>
        <w:ind w:right="521"/>
        <w:rPr>
          <w:lang w:val="ro-RO"/>
        </w:rPr>
      </w:pPr>
      <w:r w:rsidRPr="00B93DE3">
        <w:rPr>
          <w:lang w:val="ro-RO"/>
        </w:rPr>
        <w:t>creșterea echilibrului ariei de control sau injecției nodale (de ex. creșterea producției/scăderea consumului);</w:t>
      </w:r>
    </w:p>
    <w:p w:rsidR="00A3033A" w:rsidRPr="00B93DE3" w:rsidRDefault="00B86175" w:rsidP="00B86175">
      <w:pPr>
        <w:pStyle w:val="ListParagraph"/>
        <w:numPr>
          <w:ilvl w:val="1"/>
          <w:numId w:val="22"/>
        </w:numPr>
        <w:tabs>
          <w:tab w:val="left" w:pos="548"/>
        </w:tabs>
        <w:spacing w:before="1" w:line="259" w:lineRule="auto"/>
        <w:ind w:right="521"/>
        <w:rPr>
          <w:lang w:val="ro-RO"/>
        </w:rPr>
      </w:pPr>
      <w:r w:rsidRPr="00B93DE3">
        <w:rPr>
          <w:lang w:val="ro-RO"/>
        </w:rPr>
        <w:t>scăderea echilibrului ariei de control sau injecției nodale (de ex. scăderea producției/creșterea consumului);</w:t>
      </w:r>
    </w:p>
    <w:p w:rsidR="0038413B" w:rsidRPr="00B93DE3" w:rsidRDefault="0038413B" w:rsidP="00B86175">
      <w:pPr>
        <w:pStyle w:val="ListParagraph"/>
        <w:numPr>
          <w:ilvl w:val="0"/>
          <w:numId w:val="22"/>
        </w:numPr>
        <w:tabs>
          <w:tab w:val="left" w:pos="548"/>
        </w:tabs>
        <w:spacing w:before="1" w:line="259" w:lineRule="auto"/>
        <w:ind w:left="547" w:right="521" w:hanging="427"/>
        <w:rPr>
          <w:lang w:val="ro-RO"/>
        </w:rPr>
      </w:pPr>
      <w:r w:rsidRPr="00B93DE3">
        <w:rPr>
          <w:lang w:val="ro-RO"/>
        </w:rPr>
        <w:t>În funcție de mecanismele și acordurile aplicabile ariei sale de control, fiecare OTS furnizează prețurile reale pentru resursele de redispecerizare și comercializare în contrapartidă disponibile în aria sa de control sau cea mai bună estimare a costurilor survenite, calculate în mod transparent.</w:t>
      </w:r>
    </w:p>
    <w:p w:rsidR="00A3033A" w:rsidRPr="00B93DE3" w:rsidRDefault="00A2529E" w:rsidP="00B86175">
      <w:pPr>
        <w:pStyle w:val="ListParagraph"/>
        <w:numPr>
          <w:ilvl w:val="0"/>
          <w:numId w:val="22"/>
        </w:numPr>
        <w:tabs>
          <w:tab w:val="left" w:pos="548"/>
        </w:tabs>
        <w:spacing w:before="1" w:line="259" w:lineRule="auto"/>
        <w:ind w:left="547" w:right="521" w:hanging="427"/>
        <w:rPr>
          <w:lang w:val="ro-RO"/>
        </w:rPr>
      </w:pPr>
      <w:r w:rsidRPr="00B93DE3">
        <w:rPr>
          <w:lang w:val="ro-RO"/>
        </w:rPr>
        <w:t>În ceea ce privește redispecerizarea, fiecare OTS se angajează să activeze unitățile specifice (producție/consum) decise de OTS-uri conform instrucțiunilor emise de RSC-uri în timpul etapei de optimizare.</w:t>
      </w:r>
    </w:p>
    <w:p w:rsidR="00B86175" w:rsidRPr="00B93DE3" w:rsidRDefault="00A2529E" w:rsidP="00B86175">
      <w:pPr>
        <w:pStyle w:val="ListParagraph"/>
        <w:numPr>
          <w:ilvl w:val="0"/>
          <w:numId w:val="22"/>
        </w:numPr>
        <w:tabs>
          <w:tab w:val="left" w:pos="548"/>
        </w:tabs>
        <w:spacing w:before="1" w:line="259" w:lineRule="auto"/>
        <w:ind w:left="547" w:right="521" w:hanging="427"/>
        <w:rPr>
          <w:lang w:val="ro-RO"/>
        </w:rPr>
      </w:pPr>
      <w:r w:rsidRPr="00B93DE3">
        <w:rPr>
          <w:lang w:val="ro-RO"/>
        </w:rPr>
        <w:t>În ceea ce privește comercializarea în contrapartidă, fiecare OTS se angajează să activeze resursele pentru cantitatea totală decisă de OTS-uri conform instrucțiunilor emise de RSC-uri, fără a se angaja cu privire la unitățile specifice (producție/consum) ce vor fi activate în conformitate cu ordinea de merit și cu mecanismele și acordurile aplicabile ariei sale de control.</w:t>
      </w:r>
    </w:p>
    <w:p w:rsidR="00A2529E" w:rsidRPr="00B93DE3" w:rsidRDefault="00A2529E" w:rsidP="00A2529E">
      <w:pPr>
        <w:tabs>
          <w:tab w:val="left" w:pos="548"/>
        </w:tabs>
        <w:spacing w:before="1" w:line="259" w:lineRule="auto"/>
        <w:ind w:right="521"/>
        <w:rPr>
          <w:lang w:val="ro-RO"/>
        </w:rPr>
      </w:pPr>
    </w:p>
    <w:p w:rsidR="0038413B" w:rsidRPr="00B93DE3" w:rsidRDefault="0038413B" w:rsidP="00A2529E">
      <w:pPr>
        <w:tabs>
          <w:tab w:val="left" w:pos="548"/>
        </w:tabs>
        <w:spacing w:before="1" w:line="259" w:lineRule="auto"/>
        <w:ind w:right="521"/>
        <w:rPr>
          <w:lang w:val="ro-RO"/>
        </w:rPr>
      </w:pPr>
    </w:p>
    <w:p w:rsidR="00493983" w:rsidRPr="00B93DE3" w:rsidRDefault="00493983" w:rsidP="00493983">
      <w:pPr>
        <w:pStyle w:val="Article"/>
        <w:rPr>
          <w:lang w:val="ro-RO"/>
        </w:rPr>
      </w:pPr>
      <w:bookmarkStart w:id="11" w:name="_Ref499815755"/>
    </w:p>
    <w:bookmarkEnd w:id="11"/>
    <w:p w:rsidR="00493983" w:rsidRPr="00B93DE3" w:rsidRDefault="00493983" w:rsidP="00493983">
      <w:pPr>
        <w:pStyle w:val="Title1"/>
        <w:rPr>
          <w:lang w:val="ro-RO"/>
        </w:rPr>
      </w:pPr>
      <w:r w:rsidRPr="00B93DE3">
        <w:rPr>
          <w:lang w:val="ro-RO"/>
        </w:rPr>
        <w:t>Procesul general pentru redispecerizare și comercializarea în contrapartidă</w:t>
      </w:r>
    </w:p>
    <w:p w:rsidR="00493983" w:rsidRPr="00B93DE3" w:rsidRDefault="00493983" w:rsidP="00493983">
      <w:pPr>
        <w:pStyle w:val="Title1"/>
        <w:rPr>
          <w:lang w:val="ro-RO"/>
        </w:rPr>
      </w:pPr>
    </w:p>
    <w:p w:rsidR="00493983" w:rsidRPr="00B93DE3" w:rsidRDefault="00493983" w:rsidP="00493983">
      <w:pPr>
        <w:pStyle w:val="ListParagraph"/>
        <w:numPr>
          <w:ilvl w:val="0"/>
          <w:numId w:val="26"/>
        </w:numPr>
        <w:tabs>
          <w:tab w:val="left" w:pos="548"/>
        </w:tabs>
        <w:spacing w:before="1" w:line="259" w:lineRule="auto"/>
        <w:ind w:left="547" w:right="521" w:hanging="427"/>
        <w:rPr>
          <w:lang w:val="ro-RO"/>
        </w:rPr>
      </w:pPr>
      <w:r w:rsidRPr="00B93DE3">
        <w:rPr>
          <w:lang w:val="ro-RO"/>
        </w:rPr>
        <w:t>Metodologia pentru redispecerizarea și comercializarea în contrapartidă coordonate permite tuturor OTS-urilor din regiunea de calcul al capacităților CCR SEE să reducă în mod eficient congestia fizică din Aria de Interes Comun (ACI), indiferent dacă motivele pentru congestia fizică se află în principal în afara ariei de control a acestora.</w:t>
      </w:r>
    </w:p>
    <w:p w:rsidR="00493983" w:rsidRPr="00B93DE3" w:rsidRDefault="00493983" w:rsidP="00493983">
      <w:pPr>
        <w:pStyle w:val="ListParagraph"/>
        <w:numPr>
          <w:ilvl w:val="0"/>
          <w:numId w:val="26"/>
        </w:numPr>
        <w:tabs>
          <w:tab w:val="left" w:pos="548"/>
        </w:tabs>
        <w:spacing w:before="1" w:line="259" w:lineRule="auto"/>
        <w:ind w:left="547" w:right="521" w:hanging="427"/>
        <w:rPr>
          <w:lang w:val="ro-RO"/>
        </w:rPr>
      </w:pPr>
      <w:r w:rsidRPr="00B93DE3">
        <w:rPr>
          <w:lang w:val="ro-RO"/>
        </w:rPr>
        <w:t>Măsurile de redispecerizare și comercializare în contrapartidă coordonate se decid după ce toate celelalte măsuri disponibile și necostisitoare (de ex. variații ale topologiei rețelei, utilizarea coordonată a PST-urilor) au fost coordonate și dacă elementele de rețea din cadrul ACI sunt încă congestionate.</w:t>
      </w:r>
    </w:p>
    <w:p w:rsidR="000629FF" w:rsidRPr="00B93DE3" w:rsidRDefault="000629FF" w:rsidP="00493983">
      <w:pPr>
        <w:pStyle w:val="ListParagraph"/>
        <w:numPr>
          <w:ilvl w:val="0"/>
          <w:numId w:val="26"/>
        </w:numPr>
        <w:tabs>
          <w:tab w:val="left" w:pos="548"/>
        </w:tabs>
        <w:spacing w:before="1" w:line="259" w:lineRule="auto"/>
        <w:ind w:left="547" w:right="521" w:hanging="427"/>
        <w:rPr>
          <w:lang w:val="ro-RO"/>
        </w:rPr>
      </w:pPr>
      <w:r w:rsidRPr="00B93DE3">
        <w:rPr>
          <w:lang w:val="ro-RO"/>
        </w:rPr>
        <w:t>Coordonarea măsurilor de remediere se armonizează și completează în conformitate cu metodologiile prevăzute la articolele 75 și 76 din SO GL.</w:t>
      </w:r>
    </w:p>
    <w:p w:rsidR="00523D54" w:rsidRPr="00B93DE3" w:rsidRDefault="00523D54" w:rsidP="00493983">
      <w:pPr>
        <w:pStyle w:val="ListParagraph"/>
        <w:numPr>
          <w:ilvl w:val="0"/>
          <w:numId w:val="26"/>
        </w:numPr>
        <w:tabs>
          <w:tab w:val="left" w:pos="548"/>
        </w:tabs>
        <w:spacing w:before="1" w:line="259" w:lineRule="auto"/>
        <w:ind w:left="547" w:right="521" w:hanging="427"/>
        <w:rPr>
          <w:lang w:val="ro-RO"/>
        </w:rPr>
      </w:pPr>
      <w:r w:rsidRPr="00B93DE3">
        <w:rPr>
          <w:lang w:val="ro-RO"/>
        </w:rPr>
        <w:t>OTS-urile furnizează informații cu privire la măsurile lor necostisitoare disponibile pentru reducerea congestiilor.</w:t>
      </w:r>
    </w:p>
    <w:p w:rsidR="00493983" w:rsidRPr="00B93DE3" w:rsidRDefault="00493983" w:rsidP="00493983">
      <w:pPr>
        <w:pStyle w:val="ListParagraph"/>
        <w:numPr>
          <w:ilvl w:val="0"/>
          <w:numId w:val="26"/>
        </w:numPr>
        <w:tabs>
          <w:tab w:val="left" w:pos="548"/>
        </w:tabs>
        <w:spacing w:before="1" w:line="259" w:lineRule="auto"/>
        <w:ind w:left="547" w:right="521" w:hanging="427"/>
        <w:rPr>
          <w:lang w:val="ro-RO"/>
        </w:rPr>
      </w:pPr>
      <w:r w:rsidRPr="00B93DE3">
        <w:rPr>
          <w:lang w:val="ro-RO"/>
        </w:rPr>
        <w:t>Măsurile de redispecerizare și comercializare în contrapartidă coordonate se activează după următoarele procese coordonate preliminare:</w:t>
      </w:r>
    </w:p>
    <w:p w:rsidR="008843F7" w:rsidRPr="00B93DE3" w:rsidRDefault="00F35F4C" w:rsidP="008843F7">
      <w:pPr>
        <w:pStyle w:val="ListParagraph"/>
        <w:numPr>
          <w:ilvl w:val="1"/>
          <w:numId w:val="26"/>
        </w:numPr>
        <w:tabs>
          <w:tab w:val="left" w:pos="548"/>
        </w:tabs>
        <w:spacing w:before="1" w:line="259" w:lineRule="auto"/>
        <w:ind w:right="521"/>
        <w:rPr>
          <w:lang w:val="ro-RO"/>
        </w:rPr>
      </w:pPr>
      <w:r w:rsidRPr="00B93DE3">
        <w:rPr>
          <w:lang w:val="ro-RO"/>
        </w:rPr>
        <w:t xml:space="preserve">Monitorizarea securității coordonată a ACI realizată de RSC și identificarea elementului de rețea congestionat care aparține ACI. Acest proces se completează și se armonizează cu cel </w:t>
      </w:r>
      <w:r w:rsidRPr="00B93DE3">
        <w:rPr>
          <w:lang w:val="ro-RO"/>
        </w:rPr>
        <w:lastRenderedPageBreak/>
        <w:t>ce urmează a fi definit în conformitate cu articolele 75 și 76 din SO GL;</w:t>
      </w:r>
    </w:p>
    <w:p w:rsidR="008843F7" w:rsidRPr="00B93DE3" w:rsidRDefault="008843F7" w:rsidP="008843F7">
      <w:pPr>
        <w:pStyle w:val="ListParagraph"/>
        <w:numPr>
          <w:ilvl w:val="1"/>
          <w:numId w:val="26"/>
        </w:numPr>
        <w:tabs>
          <w:tab w:val="left" w:pos="548"/>
        </w:tabs>
        <w:spacing w:before="1" w:line="259" w:lineRule="auto"/>
        <w:ind w:right="521"/>
        <w:rPr>
          <w:lang w:val="ro-RO"/>
        </w:rPr>
      </w:pPr>
      <w:r w:rsidRPr="00B93DE3">
        <w:rPr>
          <w:lang w:val="ro-RO"/>
        </w:rPr>
        <w:t>Coordonarea măsurilor de remediere necostisitoare disponibile pentru reducerea congestiilor pe elementele din cadrul ACI, cu sprijinul RSC. Acest proces se completează și se armonizează cu cel ce urmează a fi definit în conformitate cu articolele 75 și 76 din SO GL.</w:t>
      </w:r>
    </w:p>
    <w:p w:rsidR="00660AD3" w:rsidRPr="00B93DE3" w:rsidRDefault="00660AD3" w:rsidP="00493983">
      <w:pPr>
        <w:pStyle w:val="ListParagraph"/>
        <w:numPr>
          <w:ilvl w:val="0"/>
          <w:numId w:val="26"/>
        </w:numPr>
        <w:tabs>
          <w:tab w:val="left" w:pos="548"/>
        </w:tabs>
        <w:spacing w:before="1" w:line="259" w:lineRule="auto"/>
        <w:ind w:left="547" w:right="521" w:hanging="427"/>
        <w:rPr>
          <w:lang w:val="ro-RO"/>
        </w:rPr>
      </w:pPr>
      <w:r w:rsidRPr="00B93DE3">
        <w:rPr>
          <w:lang w:val="ro-RO"/>
        </w:rPr>
        <w:t xml:space="preserve">Selectarea resurselor de redispecerizare și comercializare în contrapartidă se realizează cu obiectivul de a minimiza costul general estimat pentru OTS-urile din regiunea de calcul al capacităților SEE. </w:t>
      </w:r>
    </w:p>
    <w:p w:rsidR="00AD5ADE" w:rsidRPr="00B93DE3" w:rsidRDefault="0041274E" w:rsidP="00493983">
      <w:pPr>
        <w:pStyle w:val="ListParagraph"/>
        <w:numPr>
          <w:ilvl w:val="0"/>
          <w:numId w:val="26"/>
        </w:numPr>
        <w:tabs>
          <w:tab w:val="left" w:pos="548"/>
        </w:tabs>
        <w:spacing w:before="1" w:line="259" w:lineRule="auto"/>
        <w:ind w:left="547" w:right="521" w:hanging="427"/>
        <w:rPr>
          <w:lang w:val="ro-RO"/>
        </w:rPr>
      </w:pPr>
      <w:r w:rsidRPr="00B93DE3">
        <w:rPr>
          <w:lang w:val="ro-RO"/>
        </w:rPr>
        <w:t>Resursele de redispecerizare și comercializare în contrapartidă care au fost decise de către OTS-uri la sfârșitul procesului de coordonare se includ în modelul comun de rețea conform celor prevăzute în metodologiile CGM.</w:t>
      </w:r>
    </w:p>
    <w:p w:rsidR="00493983" w:rsidRPr="00B93DE3" w:rsidRDefault="00493983" w:rsidP="00A2529E">
      <w:pPr>
        <w:tabs>
          <w:tab w:val="left" w:pos="548"/>
        </w:tabs>
        <w:spacing w:before="1" w:line="259" w:lineRule="auto"/>
        <w:ind w:right="521"/>
        <w:rPr>
          <w:lang w:val="ro-RO"/>
        </w:rPr>
      </w:pPr>
    </w:p>
    <w:p w:rsidR="00C35965" w:rsidRPr="00B93DE3" w:rsidRDefault="00C35965" w:rsidP="00A2529E">
      <w:pPr>
        <w:tabs>
          <w:tab w:val="left" w:pos="548"/>
        </w:tabs>
        <w:spacing w:before="1" w:line="259" w:lineRule="auto"/>
        <w:ind w:right="521"/>
        <w:rPr>
          <w:lang w:val="ro-RO"/>
        </w:rPr>
      </w:pPr>
    </w:p>
    <w:p w:rsidR="00073CAF" w:rsidRPr="00B93DE3" w:rsidRDefault="00073CAF" w:rsidP="00073CAF">
      <w:pPr>
        <w:pStyle w:val="Article"/>
        <w:rPr>
          <w:lang w:val="ro-RO"/>
        </w:rPr>
      </w:pPr>
      <w:bookmarkStart w:id="12" w:name="_Ref499820799"/>
    </w:p>
    <w:bookmarkEnd w:id="12"/>
    <w:p w:rsidR="00073CAF" w:rsidRPr="00B93DE3" w:rsidRDefault="00073CAF" w:rsidP="00073CAF">
      <w:pPr>
        <w:pStyle w:val="Title1"/>
        <w:rPr>
          <w:lang w:val="ro-RO"/>
        </w:rPr>
      </w:pPr>
      <w:r w:rsidRPr="00B93DE3">
        <w:rPr>
          <w:lang w:val="ro-RO"/>
        </w:rPr>
        <w:t>Procesul de activare rapidă în situații critice neașteptate</w:t>
      </w:r>
    </w:p>
    <w:p w:rsidR="00073CAF" w:rsidRPr="00B93DE3" w:rsidRDefault="00073CAF" w:rsidP="00A2529E">
      <w:pPr>
        <w:tabs>
          <w:tab w:val="left" w:pos="548"/>
        </w:tabs>
        <w:spacing w:before="1" w:line="259" w:lineRule="auto"/>
        <w:ind w:right="521"/>
        <w:rPr>
          <w:lang w:val="ro-RO"/>
        </w:rPr>
      </w:pPr>
    </w:p>
    <w:p w:rsidR="006E23E5" w:rsidRPr="00B93DE3" w:rsidRDefault="006E23E5" w:rsidP="006E23E5">
      <w:pPr>
        <w:pStyle w:val="ListParagraph"/>
        <w:numPr>
          <w:ilvl w:val="0"/>
          <w:numId w:val="29"/>
        </w:numPr>
        <w:tabs>
          <w:tab w:val="left" w:pos="548"/>
        </w:tabs>
        <w:spacing w:before="1" w:line="259" w:lineRule="auto"/>
        <w:ind w:left="547" w:right="521" w:hanging="427"/>
        <w:rPr>
          <w:lang w:val="ro-RO"/>
        </w:rPr>
      </w:pPr>
      <w:r w:rsidRPr="00B93DE3">
        <w:rPr>
          <w:lang w:val="ro-RO"/>
        </w:rPr>
        <w:t xml:space="preserve">În cazul unei situații critice neașteptate (cum ar fi, dar fără a se limita la o retragere neplanificată din exploatare în timp real sau o eroare relevantă de prognoză), care duce la supraîncărcarea pe elementele ACI și necesită măsuri rapide care nu pot fi gestionate în mod eficient și prompt prin intermediul Procesului normal descris la </w:t>
      </w:r>
      <w:r w:rsidRPr="00B93DE3">
        <w:rPr>
          <w:lang w:val="ro-RO"/>
        </w:rPr>
        <w:fldChar w:fldCharType="begin"/>
      </w:r>
      <w:r w:rsidRPr="00B93DE3">
        <w:rPr>
          <w:lang w:val="ro-RO"/>
        </w:rPr>
        <w:instrText xml:space="preserve"> REF _Ref499815755 \r \h </w:instrText>
      </w:r>
      <w:r w:rsidRPr="00B93DE3">
        <w:rPr>
          <w:lang w:val="ro-RO"/>
        </w:rPr>
      </w:r>
      <w:r w:rsidRPr="00B93DE3">
        <w:rPr>
          <w:lang w:val="ro-RO"/>
        </w:rPr>
        <w:fldChar w:fldCharType="separate"/>
      </w:r>
      <w:r w:rsidRPr="00B93DE3">
        <w:rPr>
          <w:lang w:val="ro-RO"/>
        </w:rPr>
        <w:t>articolul 6</w:t>
      </w:r>
      <w:r w:rsidRPr="00B93DE3">
        <w:rPr>
          <w:lang w:val="ro-RO"/>
        </w:rPr>
        <w:fldChar w:fldCharType="end"/>
      </w:r>
      <w:r w:rsidRPr="00B93DE3">
        <w:rPr>
          <w:lang w:val="ro-RO"/>
        </w:rPr>
        <w:t xml:space="preserve">, se va adopta un Proces de activare rapidă pentru redispecerizarea și comercializarea în contrapartidă coordonate pentru a acoperi orizontul de timp până când Procesul normal descris la </w:t>
      </w:r>
      <w:r w:rsidRPr="00B93DE3">
        <w:rPr>
          <w:lang w:val="ro-RO"/>
        </w:rPr>
        <w:fldChar w:fldCharType="begin"/>
      </w:r>
      <w:r w:rsidRPr="00B93DE3">
        <w:rPr>
          <w:lang w:val="ro-RO"/>
        </w:rPr>
        <w:instrText xml:space="preserve"> REF _Ref499815755 \r \h </w:instrText>
      </w:r>
      <w:r w:rsidRPr="00B93DE3">
        <w:rPr>
          <w:lang w:val="ro-RO"/>
        </w:rPr>
      </w:r>
      <w:r w:rsidRPr="00B93DE3">
        <w:rPr>
          <w:lang w:val="ro-RO"/>
        </w:rPr>
        <w:fldChar w:fldCharType="separate"/>
      </w:r>
      <w:r w:rsidRPr="00B93DE3">
        <w:rPr>
          <w:lang w:val="ro-RO"/>
        </w:rPr>
        <w:t>articolul 6</w:t>
      </w:r>
      <w:r w:rsidRPr="00B93DE3">
        <w:rPr>
          <w:lang w:val="ro-RO"/>
        </w:rPr>
        <w:fldChar w:fldCharType="end"/>
      </w:r>
      <w:r w:rsidRPr="00B93DE3">
        <w:rPr>
          <w:lang w:val="ro-RO"/>
        </w:rPr>
        <w:t xml:space="preserve"> poate fi aplicat în mod eficient.</w:t>
      </w:r>
    </w:p>
    <w:p w:rsidR="006E23E5" w:rsidRPr="00B93DE3" w:rsidRDefault="00F35F4C" w:rsidP="006E23E5">
      <w:pPr>
        <w:pStyle w:val="ListParagraph"/>
        <w:numPr>
          <w:ilvl w:val="0"/>
          <w:numId w:val="29"/>
        </w:numPr>
        <w:tabs>
          <w:tab w:val="left" w:pos="548"/>
        </w:tabs>
        <w:spacing w:before="1" w:line="259" w:lineRule="auto"/>
        <w:ind w:left="547" w:right="521" w:hanging="427"/>
        <w:rPr>
          <w:lang w:val="ro-RO"/>
        </w:rPr>
      </w:pPr>
      <w:r w:rsidRPr="00B93DE3">
        <w:rPr>
          <w:lang w:val="ro-RO"/>
        </w:rPr>
        <w:t xml:space="preserve">Procesul de activare rapidă pentru redispecerizarea și comercializarea în contrapartidă coordonate este de asemenea considerat drept procedură de ultimă instanță atunci când coordonarea prin intermediul RSC nu mai este posibilă din pricina timpului insuficient și, în orice caz, Procesul normal descris la </w:t>
      </w:r>
      <w:r w:rsidRPr="00B93DE3">
        <w:rPr>
          <w:lang w:val="ro-RO"/>
        </w:rPr>
        <w:fldChar w:fldCharType="begin"/>
      </w:r>
      <w:r w:rsidRPr="00B93DE3">
        <w:rPr>
          <w:lang w:val="ro-RO"/>
        </w:rPr>
        <w:instrText xml:space="preserve"> REF _Ref499815755 \r \h </w:instrText>
      </w:r>
      <w:r w:rsidRPr="00B93DE3">
        <w:rPr>
          <w:lang w:val="ro-RO"/>
        </w:rPr>
      </w:r>
      <w:r w:rsidRPr="00B93DE3">
        <w:rPr>
          <w:lang w:val="ro-RO"/>
        </w:rPr>
        <w:fldChar w:fldCharType="separate"/>
      </w:r>
      <w:r w:rsidRPr="00B93DE3">
        <w:rPr>
          <w:lang w:val="ro-RO"/>
        </w:rPr>
        <w:t>articolul 6</w:t>
      </w:r>
      <w:r w:rsidRPr="00B93DE3">
        <w:rPr>
          <w:lang w:val="ro-RO"/>
        </w:rPr>
        <w:fldChar w:fldCharType="end"/>
      </w:r>
      <w:r w:rsidRPr="00B93DE3">
        <w:rPr>
          <w:lang w:val="ro-RO"/>
        </w:rPr>
        <w:t xml:space="preserve"> nu ar putea fi aplicat în mod corespunzător (de ex. date lipsă, defectarea instrumentelor).</w:t>
      </w:r>
    </w:p>
    <w:p w:rsidR="00577E63" w:rsidRPr="00B93DE3" w:rsidRDefault="00577E63" w:rsidP="006E23E5">
      <w:pPr>
        <w:pStyle w:val="ListParagraph"/>
        <w:numPr>
          <w:ilvl w:val="0"/>
          <w:numId w:val="29"/>
        </w:numPr>
        <w:tabs>
          <w:tab w:val="left" w:pos="548"/>
        </w:tabs>
        <w:spacing w:before="1" w:line="259" w:lineRule="auto"/>
        <w:ind w:left="547" w:right="521" w:hanging="427"/>
        <w:rPr>
          <w:lang w:val="ro-RO"/>
        </w:rPr>
      </w:pPr>
      <w:r w:rsidRPr="00B93DE3">
        <w:rPr>
          <w:lang w:val="ro-RO"/>
        </w:rPr>
        <w:t>Procesul de activare rapidă pentru redispecerizarea și comercializarea în contrapartidă coordonate se activează de unul sau mai multe OTS-uri din regiunea SEE care identifică supraîncărcări pe elementele ACI în timpul monitorizării securității propriilor rețele, realizată cu regularitate de către OTS-uri în cadrul activităților operaționale și responsabilităților acestora.</w:t>
      </w:r>
    </w:p>
    <w:p w:rsidR="00577E63" w:rsidRPr="00B93DE3" w:rsidRDefault="00577E63" w:rsidP="006E23E5">
      <w:pPr>
        <w:pStyle w:val="ListParagraph"/>
        <w:numPr>
          <w:ilvl w:val="0"/>
          <w:numId w:val="29"/>
        </w:numPr>
        <w:tabs>
          <w:tab w:val="left" w:pos="548"/>
        </w:tabs>
        <w:spacing w:before="1" w:line="259" w:lineRule="auto"/>
        <w:ind w:left="547" w:right="521" w:hanging="427"/>
        <w:rPr>
          <w:lang w:val="ro-RO"/>
        </w:rPr>
      </w:pPr>
      <w:r w:rsidRPr="00B93DE3">
        <w:rPr>
          <w:lang w:val="ro-RO"/>
        </w:rPr>
        <w:t>Înaintea activării redispecerizării și comercializării în contrapartidă coordonate prin intermediul Procesului de activare rapidă, OTS-urile din regiunea SEE coordonează măsurile de remediere necostisitoare disponibile pentru reducerea congestiilor pe elementele din cadrul ACI.</w:t>
      </w:r>
    </w:p>
    <w:p w:rsidR="00577E63" w:rsidRPr="00B93DE3" w:rsidRDefault="00577E63" w:rsidP="006E23E5">
      <w:pPr>
        <w:pStyle w:val="ListParagraph"/>
        <w:numPr>
          <w:ilvl w:val="0"/>
          <w:numId w:val="29"/>
        </w:numPr>
        <w:tabs>
          <w:tab w:val="left" w:pos="548"/>
        </w:tabs>
        <w:spacing w:before="1" w:line="259" w:lineRule="auto"/>
        <w:ind w:left="547" w:right="521" w:hanging="427"/>
        <w:rPr>
          <w:lang w:val="ro-RO"/>
        </w:rPr>
      </w:pPr>
      <w:r w:rsidRPr="00B93DE3">
        <w:rPr>
          <w:lang w:val="ro-RO"/>
        </w:rPr>
        <w:t>După ce măsurile de remediere necostisitoare disponibile au fost luate în considerare, se selectează resursele de redispecerizare și comercializare în contrapartidă care trebuie activate pentru reducerea congestiei rămase pe elementele din ACI;</w:t>
      </w:r>
    </w:p>
    <w:p w:rsidR="00073CAF" w:rsidRPr="00B93DE3" w:rsidRDefault="006E23E5" w:rsidP="00073CAF">
      <w:pPr>
        <w:pStyle w:val="ListParagraph"/>
        <w:numPr>
          <w:ilvl w:val="0"/>
          <w:numId w:val="29"/>
        </w:numPr>
        <w:tabs>
          <w:tab w:val="left" w:pos="548"/>
        </w:tabs>
        <w:spacing w:before="1" w:line="259" w:lineRule="auto"/>
        <w:ind w:left="547" w:right="521" w:hanging="427"/>
        <w:rPr>
          <w:lang w:val="ro-RO"/>
        </w:rPr>
      </w:pPr>
      <w:r w:rsidRPr="00B93DE3">
        <w:rPr>
          <w:lang w:val="ro-RO"/>
        </w:rPr>
        <w:t xml:space="preserve">Având în vedere că aplicarea acestui proces ar trebui să aibă loc doar ocazional, fiind asociat evenimentelor extraordinare și neobișnuite, și faptul că acesta trebuie să se caracterizeze prin activarea rapidă și flexibilitatea suplimentară, este acceptat un nivel mai scăzut de coordonare, însă trebuie să se garanteze cel puțin coordonarea bilaterală și doar comercializarea în contrapartidă poate fi luată în considerare datorită flexibilității acesteia. </w:t>
      </w:r>
    </w:p>
    <w:p w:rsidR="00F67128" w:rsidRPr="00B93DE3" w:rsidRDefault="00F67128" w:rsidP="00F67128">
      <w:pPr>
        <w:pStyle w:val="ListParagraph"/>
        <w:tabs>
          <w:tab w:val="left" w:pos="548"/>
        </w:tabs>
        <w:spacing w:before="1" w:line="259" w:lineRule="auto"/>
        <w:ind w:left="547" w:right="521" w:firstLine="0"/>
        <w:rPr>
          <w:lang w:val="ro-RO"/>
        </w:rPr>
      </w:pPr>
    </w:p>
    <w:p w:rsidR="00C35965" w:rsidRPr="00B93DE3" w:rsidRDefault="00C35965" w:rsidP="00F67128">
      <w:pPr>
        <w:pStyle w:val="ListParagraph"/>
        <w:tabs>
          <w:tab w:val="left" w:pos="548"/>
        </w:tabs>
        <w:spacing w:before="1" w:line="259" w:lineRule="auto"/>
        <w:ind w:left="547" w:right="521" w:firstLine="0"/>
        <w:rPr>
          <w:lang w:val="ro-RO"/>
        </w:rPr>
      </w:pPr>
    </w:p>
    <w:p w:rsidR="00073CAF" w:rsidRPr="00B93DE3" w:rsidRDefault="00073CAF" w:rsidP="00073CAF">
      <w:pPr>
        <w:pStyle w:val="Article"/>
        <w:rPr>
          <w:lang w:val="ro-RO"/>
        </w:rPr>
      </w:pPr>
      <w:bookmarkStart w:id="13" w:name="_Ref499818223"/>
    </w:p>
    <w:bookmarkEnd w:id="13"/>
    <w:p w:rsidR="00073CAF" w:rsidRPr="00B93DE3" w:rsidRDefault="00073CAF" w:rsidP="00073CAF">
      <w:pPr>
        <w:pStyle w:val="Title1"/>
        <w:rPr>
          <w:lang w:val="ro-RO"/>
        </w:rPr>
      </w:pPr>
      <w:r w:rsidRPr="00B93DE3">
        <w:rPr>
          <w:lang w:val="ro-RO"/>
        </w:rPr>
        <w:t>Intervale de timp pentru aplicarea redispecerizării și comercializării în contrapartidă coordonate</w:t>
      </w:r>
    </w:p>
    <w:p w:rsidR="00073CAF" w:rsidRPr="00B93DE3" w:rsidRDefault="00073CAF" w:rsidP="00073CAF">
      <w:pPr>
        <w:tabs>
          <w:tab w:val="left" w:pos="548"/>
        </w:tabs>
        <w:spacing w:before="1" w:line="259" w:lineRule="auto"/>
        <w:ind w:right="521"/>
        <w:rPr>
          <w:lang w:val="ro-RO"/>
        </w:rPr>
      </w:pPr>
    </w:p>
    <w:p w:rsidR="006E1904" w:rsidRPr="00B93DE3" w:rsidRDefault="006E1904" w:rsidP="006E1904">
      <w:pPr>
        <w:pStyle w:val="ListParagraph"/>
        <w:numPr>
          <w:ilvl w:val="0"/>
          <w:numId w:val="33"/>
        </w:numPr>
        <w:tabs>
          <w:tab w:val="left" w:pos="548"/>
        </w:tabs>
        <w:spacing w:before="1" w:line="259" w:lineRule="auto"/>
        <w:ind w:left="547" w:right="521" w:hanging="427"/>
        <w:rPr>
          <w:lang w:val="ro-RO"/>
        </w:rPr>
      </w:pPr>
      <w:r w:rsidRPr="00B93DE3">
        <w:rPr>
          <w:lang w:val="ro-RO"/>
        </w:rPr>
        <w:t>Metodologia pentru redispecerizare și comercializare în contrapartidă coordonate permite OTS-urilor să reducă congestiile fizice în toate intervalele de timp din ziua livrării.</w:t>
      </w:r>
    </w:p>
    <w:p w:rsidR="006E1904" w:rsidRPr="00B93DE3" w:rsidRDefault="006E1904" w:rsidP="006E1904">
      <w:pPr>
        <w:pStyle w:val="ListParagraph"/>
        <w:numPr>
          <w:ilvl w:val="0"/>
          <w:numId w:val="33"/>
        </w:numPr>
        <w:tabs>
          <w:tab w:val="left" w:pos="548"/>
        </w:tabs>
        <w:spacing w:before="1" w:line="259" w:lineRule="auto"/>
        <w:ind w:left="547" w:right="521" w:hanging="427"/>
        <w:rPr>
          <w:lang w:val="ro-RO"/>
        </w:rPr>
      </w:pPr>
      <w:r w:rsidRPr="00B93DE3">
        <w:rPr>
          <w:lang w:val="ro-RO"/>
        </w:rPr>
        <w:t>Procesul redispecerizării și comercializării în contrapartidă coordonate pornește pentru fiecare interval de timp dintr-o zi de livrare și nu înainte de momentul în care rezultatele pieței pentru ziua următoare sunt disponibile, fiind posibil pentru OTS-uri să prognozeze congestiile fizice de pe elementele ACI.</w:t>
      </w:r>
    </w:p>
    <w:p w:rsidR="00820C2C" w:rsidRPr="00B93DE3" w:rsidRDefault="00547D98" w:rsidP="006E1904">
      <w:pPr>
        <w:pStyle w:val="ListParagraph"/>
        <w:numPr>
          <w:ilvl w:val="0"/>
          <w:numId w:val="33"/>
        </w:numPr>
        <w:tabs>
          <w:tab w:val="left" w:pos="548"/>
        </w:tabs>
        <w:spacing w:before="1" w:line="259" w:lineRule="auto"/>
        <w:ind w:left="547" w:right="521" w:hanging="427"/>
        <w:rPr>
          <w:lang w:val="ro-RO"/>
        </w:rPr>
      </w:pPr>
      <w:r w:rsidRPr="00B93DE3">
        <w:rPr>
          <w:lang w:val="ro-RO"/>
        </w:rPr>
        <w:lastRenderedPageBreak/>
        <w:t>Procesul redispecerizării și comercializării în contrapartidă coordonate se repetă atunci când este necesar în timpul zilei de livrare, pentru intervalele de timp rămase din aceeași zi, atunci când rezultatele pieței intrazilnice sunt disponibile, fiind posibil pentru OTS-uri să prognozeze congestiile fizice de pe elementele ACI.</w:t>
      </w:r>
    </w:p>
    <w:p w:rsidR="00547D98" w:rsidRPr="00B93DE3" w:rsidRDefault="000B738C" w:rsidP="006E1904">
      <w:pPr>
        <w:pStyle w:val="ListParagraph"/>
        <w:numPr>
          <w:ilvl w:val="0"/>
          <w:numId w:val="33"/>
        </w:numPr>
        <w:tabs>
          <w:tab w:val="left" w:pos="548"/>
        </w:tabs>
        <w:spacing w:before="1" w:line="259" w:lineRule="auto"/>
        <w:ind w:left="547" w:right="521" w:hanging="427"/>
        <w:rPr>
          <w:lang w:val="ro-RO"/>
        </w:rPr>
      </w:pPr>
      <w:r w:rsidRPr="00B93DE3">
        <w:rPr>
          <w:lang w:val="ro-RO"/>
        </w:rPr>
        <w:t>Având în vedere că pot exista imprecizii în prognozele congestiilor și faptul că acestea pot îngreuna apropierea de timpul real la care fac referire, OTS-urile din regiunea SEE pot decide să amâne activarea efectivă a resurselor de redispecerizare și comercializare în contrapartidă necesare pentru reducerea congestiilor fizice de pe elementele din ACI într-un anumit interval de timp, atunci când procesul subsecvent pentru redispecerizarea și comercializarea în contrapartidă coordonate este prevăzut pentru același interval de timp.</w:t>
      </w:r>
    </w:p>
    <w:p w:rsidR="00370EB7" w:rsidRPr="00B93DE3" w:rsidRDefault="00370EB7" w:rsidP="00370EB7">
      <w:pPr>
        <w:pStyle w:val="ListParagraph"/>
        <w:numPr>
          <w:ilvl w:val="0"/>
          <w:numId w:val="33"/>
        </w:numPr>
        <w:tabs>
          <w:tab w:val="left" w:pos="548"/>
        </w:tabs>
        <w:spacing w:before="1" w:line="259" w:lineRule="auto"/>
        <w:ind w:left="547" w:right="521" w:hanging="427"/>
        <w:rPr>
          <w:lang w:val="ro-RO"/>
        </w:rPr>
      </w:pPr>
      <w:r w:rsidRPr="00B93DE3">
        <w:rPr>
          <w:lang w:val="ro-RO"/>
        </w:rPr>
        <w:t xml:space="preserve">Toate intervalele de timp pot fi acoperite de Procesul de activare rapidă de la </w:t>
      </w:r>
      <w:r w:rsidRPr="00B93DE3">
        <w:rPr>
          <w:lang w:val="ro-RO"/>
        </w:rPr>
        <w:fldChar w:fldCharType="begin"/>
      </w:r>
      <w:r w:rsidRPr="00B93DE3">
        <w:rPr>
          <w:lang w:val="ro-RO"/>
        </w:rPr>
        <w:instrText xml:space="preserve"> REF _Ref499820799 \r \h </w:instrText>
      </w:r>
      <w:r w:rsidRPr="00B93DE3">
        <w:rPr>
          <w:lang w:val="ro-RO"/>
        </w:rPr>
      </w:r>
      <w:r w:rsidRPr="00B93DE3">
        <w:rPr>
          <w:lang w:val="ro-RO"/>
        </w:rPr>
        <w:fldChar w:fldCharType="separate"/>
      </w:r>
      <w:r w:rsidRPr="00B93DE3">
        <w:rPr>
          <w:lang w:val="ro-RO"/>
        </w:rPr>
        <w:t>articolul 7</w:t>
      </w:r>
      <w:r w:rsidRPr="00B93DE3">
        <w:rPr>
          <w:lang w:val="ro-RO"/>
        </w:rPr>
        <w:fldChar w:fldCharType="end"/>
      </w:r>
      <w:r w:rsidRPr="00B93DE3">
        <w:rPr>
          <w:lang w:val="ro-RO"/>
        </w:rPr>
        <w:t xml:space="preserve">, în cazurile în care Procesul normal de la </w:t>
      </w:r>
      <w:r w:rsidRPr="00B93DE3">
        <w:rPr>
          <w:lang w:val="ro-RO"/>
        </w:rPr>
        <w:fldChar w:fldCharType="begin"/>
      </w:r>
      <w:r w:rsidRPr="00B93DE3">
        <w:rPr>
          <w:lang w:val="ro-RO"/>
        </w:rPr>
        <w:instrText xml:space="preserve"> REF _Ref499815755 \r \h </w:instrText>
      </w:r>
      <w:r w:rsidRPr="00B93DE3">
        <w:rPr>
          <w:lang w:val="ro-RO"/>
        </w:rPr>
      </w:r>
      <w:r w:rsidRPr="00B93DE3">
        <w:rPr>
          <w:lang w:val="ro-RO"/>
        </w:rPr>
        <w:fldChar w:fldCharType="separate"/>
      </w:r>
      <w:r w:rsidRPr="00B93DE3">
        <w:rPr>
          <w:lang w:val="ro-RO"/>
        </w:rPr>
        <w:t>articolul 6</w:t>
      </w:r>
      <w:r w:rsidRPr="00B93DE3">
        <w:rPr>
          <w:lang w:val="ro-RO"/>
        </w:rPr>
        <w:fldChar w:fldCharType="end"/>
      </w:r>
      <w:r w:rsidRPr="00B93DE3">
        <w:rPr>
          <w:lang w:val="ro-RO"/>
        </w:rPr>
        <w:t xml:space="preserve"> nu poate fi aplicat în mod eficient.</w:t>
      </w:r>
    </w:p>
    <w:p w:rsidR="00073CAF" w:rsidRPr="00B93DE3" w:rsidRDefault="00073CAF" w:rsidP="00073CAF">
      <w:pPr>
        <w:tabs>
          <w:tab w:val="left" w:pos="548"/>
        </w:tabs>
        <w:spacing w:before="1" w:line="259" w:lineRule="auto"/>
        <w:ind w:right="521"/>
        <w:rPr>
          <w:lang w:val="ro-RO"/>
        </w:rPr>
      </w:pPr>
    </w:p>
    <w:p w:rsidR="00523D54" w:rsidRPr="00B93DE3" w:rsidRDefault="00523D54" w:rsidP="00523D54">
      <w:pPr>
        <w:pStyle w:val="Article"/>
        <w:rPr>
          <w:lang w:val="ro-RO"/>
        </w:rPr>
      </w:pPr>
    </w:p>
    <w:p w:rsidR="00523D54" w:rsidRPr="00B93DE3" w:rsidRDefault="00523D54" w:rsidP="00523D54">
      <w:pPr>
        <w:pStyle w:val="Title1"/>
        <w:rPr>
          <w:lang w:val="ro-RO"/>
        </w:rPr>
      </w:pPr>
      <w:r w:rsidRPr="00B93DE3">
        <w:rPr>
          <w:lang w:val="ro-RO"/>
        </w:rPr>
        <w:t>Calculul costului total</w:t>
      </w:r>
    </w:p>
    <w:p w:rsidR="00523D54" w:rsidRPr="00B93DE3" w:rsidRDefault="00523D54" w:rsidP="00523D54">
      <w:pPr>
        <w:tabs>
          <w:tab w:val="left" w:pos="548"/>
        </w:tabs>
        <w:spacing w:before="1" w:line="259" w:lineRule="auto"/>
        <w:ind w:right="521"/>
        <w:rPr>
          <w:lang w:val="ro-RO"/>
        </w:rPr>
      </w:pPr>
    </w:p>
    <w:p w:rsidR="00486AB0" w:rsidRPr="00B93DE3" w:rsidRDefault="00FC08A9" w:rsidP="006E23E5">
      <w:pPr>
        <w:pStyle w:val="ListParagraph"/>
        <w:numPr>
          <w:ilvl w:val="0"/>
          <w:numId w:val="32"/>
        </w:numPr>
        <w:tabs>
          <w:tab w:val="left" w:pos="548"/>
        </w:tabs>
        <w:spacing w:before="1" w:line="259" w:lineRule="auto"/>
        <w:ind w:left="547" w:right="521" w:hanging="427"/>
        <w:rPr>
          <w:lang w:val="ro-RO"/>
        </w:rPr>
      </w:pPr>
      <w:r w:rsidRPr="00B93DE3">
        <w:rPr>
          <w:lang w:val="ro-RO"/>
        </w:rPr>
        <w:t>Metodologia pentru redispecerizare pentru comercializare în contrapartidă minimizează costurile totale așteptate pentru reducerea congestiilor fizice pe elementele din ACI.</w:t>
      </w:r>
    </w:p>
    <w:p w:rsidR="00486AB0" w:rsidRPr="00B93DE3" w:rsidRDefault="00486AB0" w:rsidP="006E23E5">
      <w:pPr>
        <w:pStyle w:val="ListParagraph"/>
        <w:numPr>
          <w:ilvl w:val="0"/>
          <w:numId w:val="32"/>
        </w:numPr>
        <w:tabs>
          <w:tab w:val="left" w:pos="548"/>
        </w:tabs>
        <w:spacing w:before="1" w:line="259" w:lineRule="auto"/>
        <w:ind w:left="547" w:right="521" w:hanging="427"/>
        <w:rPr>
          <w:lang w:val="ro-RO"/>
        </w:rPr>
      </w:pPr>
      <w:r w:rsidRPr="00B93DE3">
        <w:rPr>
          <w:lang w:val="ro-RO"/>
        </w:rPr>
        <w:t xml:space="preserve">Costurile totale așteptate ce urmează a fi minimizate se calculează în baza prețurilor resurselor declarate de către OTS-uri, conform celor definite la </w:t>
      </w:r>
      <w:r w:rsidRPr="00B93DE3">
        <w:rPr>
          <w:lang w:val="ro-RO"/>
        </w:rPr>
        <w:fldChar w:fldCharType="begin"/>
      </w:r>
      <w:r w:rsidRPr="00B93DE3">
        <w:rPr>
          <w:lang w:val="ro-RO"/>
        </w:rPr>
        <w:instrText xml:space="preserve"> REF _Ref499885276 \r \h  \* MERGEFORMAT </w:instrText>
      </w:r>
      <w:r w:rsidRPr="00B93DE3">
        <w:rPr>
          <w:lang w:val="ro-RO"/>
        </w:rPr>
      </w:r>
      <w:r w:rsidRPr="00B93DE3">
        <w:rPr>
          <w:lang w:val="ro-RO"/>
        </w:rPr>
        <w:fldChar w:fldCharType="separate"/>
      </w:r>
      <w:r w:rsidRPr="00B93DE3">
        <w:rPr>
          <w:lang w:val="ro-RO"/>
        </w:rPr>
        <w:t>articolul 5</w:t>
      </w:r>
      <w:r w:rsidRPr="00B93DE3">
        <w:rPr>
          <w:lang w:val="ro-RO"/>
        </w:rPr>
        <w:fldChar w:fldCharType="end"/>
      </w:r>
      <w:r w:rsidRPr="00B93DE3">
        <w:rPr>
          <w:lang w:val="ro-RO"/>
        </w:rPr>
        <w:t>.</w:t>
      </w:r>
    </w:p>
    <w:p w:rsidR="00226A70" w:rsidRPr="00B93DE3" w:rsidRDefault="00226A70" w:rsidP="006E23E5">
      <w:pPr>
        <w:pStyle w:val="ListParagraph"/>
        <w:numPr>
          <w:ilvl w:val="0"/>
          <w:numId w:val="32"/>
        </w:numPr>
        <w:tabs>
          <w:tab w:val="left" w:pos="548"/>
        </w:tabs>
        <w:spacing w:before="1" w:line="259" w:lineRule="auto"/>
        <w:ind w:left="547" w:right="521" w:hanging="427"/>
        <w:rPr>
          <w:lang w:val="ro-RO"/>
        </w:rPr>
      </w:pPr>
      <w:r w:rsidRPr="00B93DE3">
        <w:rPr>
          <w:rFonts w:cs="Arial"/>
          <w:lang w:val="ro-RO"/>
        </w:rPr>
        <w:t>Având în vedere interdependența cu articolele 75 și 76 din SO GL care au ca obiectiv coordonarea și optimizarea resurselor din cadrul regiunilor, OTS-urile din CCR SEE armonizează metodologia propusă pentru redispecerizarea și comercializarea în contrapartidă coordonate cu metodologiile ce urmează a fi definite în conformitate cu SO GL.</w:t>
      </w:r>
    </w:p>
    <w:p w:rsidR="00A47EDC" w:rsidRPr="00B93DE3" w:rsidRDefault="00A47EDC" w:rsidP="006E23E5">
      <w:pPr>
        <w:pStyle w:val="ListParagraph"/>
        <w:numPr>
          <w:ilvl w:val="0"/>
          <w:numId w:val="32"/>
        </w:numPr>
        <w:tabs>
          <w:tab w:val="left" w:pos="548"/>
        </w:tabs>
        <w:spacing w:before="1" w:line="259" w:lineRule="auto"/>
        <w:ind w:left="547" w:right="521" w:hanging="427"/>
        <w:rPr>
          <w:lang w:val="ro-RO"/>
        </w:rPr>
      </w:pPr>
      <w:r w:rsidRPr="00B93DE3">
        <w:rPr>
          <w:lang w:val="ro-RO"/>
        </w:rPr>
        <w:t>Costurile totale reale ale redispecerizării și comercializării în contrapartidă coordonate se calculează în baza costurilor survenite OTS-urilor din regiunea SEE cu ocazia activării resurselor reale.</w:t>
      </w:r>
    </w:p>
    <w:p w:rsidR="002A72C5" w:rsidRPr="00B93DE3" w:rsidRDefault="002A72C5">
      <w:pPr>
        <w:pStyle w:val="BodyText"/>
        <w:rPr>
          <w:highlight w:val="yellow"/>
          <w:lang w:val="ro-RO"/>
        </w:rPr>
      </w:pPr>
    </w:p>
    <w:p w:rsidR="002A72C5" w:rsidRPr="00B93DE3" w:rsidRDefault="002A72C5">
      <w:pPr>
        <w:pStyle w:val="BodyText"/>
        <w:spacing w:before="5"/>
        <w:rPr>
          <w:highlight w:val="yellow"/>
          <w:lang w:val="ro-RO"/>
        </w:rPr>
      </w:pPr>
    </w:p>
    <w:p w:rsidR="00523D54" w:rsidRPr="00B93DE3" w:rsidRDefault="00523D54" w:rsidP="00523D54">
      <w:pPr>
        <w:pStyle w:val="Article"/>
        <w:rPr>
          <w:lang w:val="ro-RO"/>
        </w:rPr>
      </w:pPr>
      <w:bookmarkStart w:id="14" w:name="_Ref501030697"/>
    </w:p>
    <w:bookmarkEnd w:id="14"/>
    <w:p w:rsidR="002A72C5" w:rsidRPr="00B93DE3" w:rsidRDefault="007F2107" w:rsidP="00457547">
      <w:pPr>
        <w:pStyle w:val="Title1"/>
        <w:rPr>
          <w:lang w:val="ro-RO"/>
        </w:rPr>
      </w:pPr>
      <w:r w:rsidRPr="00B93DE3">
        <w:rPr>
          <w:lang w:val="ro-RO"/>
        </w:rPr>
        <w:t>Publicarea și implementarea metodologiei pentru redispecerizarea și comercializarea în contrapartidă coordonate</w:t>
      </w:r>
    </w:p>
    <w:p w:rsidR="00967505" w:rsidRPr="00B93DE3" w:rsidRDefault="007F2107">
      <w:pPr>
        <w:pStyle w:val="ListParagraph"/>
        <w:numPr>
          <w:ilvl w:val="0"/>
          <w:numId w:val="2"/>
        </w:numPr>
        <w:tabs>
          <w:tab w:val="left" w:pos="548"/>
        </w:tabs>
        <w:spacing w:before="112" w:line="259" w:lineRule="auto"/>
        <w:rPr>
          <w:lang w:val="ro-RO"/>
        </w:rPr>
      </w:pPr>
      <w:bookmarkStart w:id="15" w:name="_Ref501030703"/>
      <w:r w:rsidRPr="00B93DE3">
        <w:rPr>
          <w:lang w:val="ro-RO"/>
        </w:rPr>
        <w:t>OTS-urile din regiunea SEE publică metodologia pentru redispecerizarea și comercializarea în contrapartidă coordonate, fără întârzieri nejustificate, după ce autoritățile naționale de reglementare relevante au aprobat metodologia pentru redispecerizarea și comercializarea în contrapartidă coordonate propusă sau după ce s-a luat o decizie de către Agenția pentru Cooperarea Autorităților de Reglementare din Domeniul Energiei, în conformitate cu articolul 9 (10), articolul 9 (11) și articolul 9 (12) din Regulamentul CACM.</w:t>
      </w:r>
      <w:bookmarkEnd w:id="15"/>
    </w:p>
    <w:p w:rsidR="008644E0" w:rsidRPr="00B93DE3" w:rsidRDefault="008644E0" w:rsidP="008644E0">
      <w:pPr>
        <w:pStyle w:val="ListParagraph"/>
        <w:numPr>
          <w:ilvl w:val="0"/>
          <w:numId w:val="2"/>
        </w:numPr>
        <w:tabs>
          <w:tab w:val="left" w:pos="548"/>
        </w:tabs>
        <w:spacing w:before="112" w:line="259" w:lineRule="auto"/>
        <w:rPr>
          <w:lang w:val="ro-RO"/>
        </w:rPr>
      </w:pPr>
      <w:bookmarkStart w:id="16" w:name="_Ref501030709"/>
      <w:r w:rsidRPr="00B93DE3">
        <w:rPr>
          <w:rFonts w:cs="Arial"/>
          <w:lang w:val="ro-RO"/>
        </w:rPr>
        <w:t>Implementarea prezentei Metodologii RD și CT face obiectul:</w:t>
      </w:r>
      <w:bookmarkEnd w:id="16"/>
    </w:p>
    <w:p w:rsidR="00967505" w:rsidRPr="00B93DE3" w:rsidRDefault="00967505" w:rsidP="00967505">
      <w:pPr>
        <w:tabs>
          <w:tab w:val="left" w:pos="548"/>
        </w:tabs>
        <w:spacing w:before="1" w:line="259" w:lineRule="auto"/>
        <w:ind w:left="1080" w:right="521"/>
        <w:rPr>
          <w:lang w:val="ro-RO"/>
        </w:rPr>
      </w:pPr>
    </w:p>
    <w:p w:rsidR="00C35965" w:rsidRPr="00B93DE3" w:rsidRDefault="00A573C8" w:rsidP="00B762DD">
      <w:pPr>
        <w:pStyle w:val="ListParagraph"/>
        <w:widowControl/>
        <w:numPr>
          <w:ilvl w:val="1"/>
          <w:numId w:val="26"/>
        </w:numPr>
        <w:spacing w:after="120"/>
        <w:ind w:left="1134" w:hanging="567"/>
        <w:contextualSpacing/>
        <w:rPr>
          <w:rFonts w:cs="Arial"/>
          <w:bCs/>
          <w:lang w:val="ro-RO"/>
        </w:rPr>
      </w:pPr>
      <w:r w:rsidRPr="00B93DE3">
        <w:rPr>
          <w:rFonts w:cs="Arial"/>
          <w:lang w:val="ro-RO"/>
        </w:rPr>
        <w:t>Aprobării de către autoritățile de reglementare a prezentei Metodologii RD și CT, în conformitate cu articolul 9 din Regulamentul CACM;</w:t>
      </w:r>
    </w:p>
    <w:p w:rsidR="00C35965" w:rsidRPr="00B93DE3" w:rsidRDefault="00A573C8" w:rsidP="00B762DD">
      <w:pPr>
        <w:pStyle w:val="ListParagraph"/>
        <w:widowControl/>
        <w:numPr>
          <w:ilvl w:val="1"/>
          <w:numId w:val="26"/>
        </w:numPr>
        <w:spacing w:after="120"/>
        <w:ind w:left="1134" w:hanging="567"/>
        <w:contextualSpacing/>
        <w:rPr>
          <w:rFonts w:cs="Arial"/>
          <w:bCs/>
          <w:lang w:val="ro-RO"/>
        </w:rPr>
      </w:pPr>
      <w:r w:rsidRPr="00B93DE3">
        <w:rPr>
          <w:rFonts w:cs="Arial"/>
          <w:lang w:val="ro-RO"/>
        </w:rPr>
        <w:t>Aprobării de către autoritățile de reglementare a Metodologiei pentru Partajarea Costurilor de Redispecerizare și Comercializare în Contrapartidă solicitate de articolul 74 din Regulamentul CACM, în conformitate cu articolul 9 din Regulamentul CACM;</w:t>
      </w:r>
    </w:p>
    <w:p w:rsidR="00C35965" w:rsidRPr="00B93DE3" w:rsidRDefault="00A573C8" w:rsidP="00B762DD">
      <w:pPr>
        <w:pStyle w:val="ListParagraph"/>
        <w:widowControl/>
        <w:numPr>
          <w:ilvl w:val="1"/>
          <w:numId w:val="26"/>
        </w:numPr>
        <w:spacing w:after="120"/>
        <w:ind w:left="1134" w:hanging="567"/>
        <w:contextualSpacing/>
        <w:rPr>
          <w:rFonts w:cs="Arial"/>
          <w:lang w:val="ro-RO"/>
        </w:rPr>
      </w:pPr>
      <w:r w:rsidRPr="00B93DE3">
        <w:rPr>
          <w:rFonts w:cs="Arial"/>
          <w:lang w:val="ro-RO"/>
        </w:rPr>
        <w:t>Implementarea metodologiei de calcul al capacităților;</w:t>
      </w:r>
    </w:p>
    <w:p w:rsidR="00A573C8" w:rsidRPr="00B93DE3" w:rsidRDefault="00A573C8" w:rsidP="00B762DD">
      <w:pPr>
        <w:pStyle w:val="ListParagraph"/>
        <w:widowControl/>
        <w:numPr>
          <w:ilvl w:val="1"/>
          <w:numId w:val="26"/>
        </w:numPr>
        <w:spacing w:after="120"/>
        <w:ind w:left="1134" w:hanging="567"/>
        <w:contextualSpacing/>
        <w:rPr>
          <w:rFonts w:cs="Arial"/>
          <w:lang w:val="ro-RO"/>
        </w:rPr>
      </w:pPr>
      <w:r w:rsidRPr="00B93DE3">
        <w:rPr>
          <w:rFonts w:cs="Arial"/>
          <w:lang w:val="ro-RO"/>
        </w:rPr>
        <w:t xml:space="preserve">Elaborarea și implementarea sistemelor necesare pentru sprijinirea Metodologiei RD și CT. </w:t>
      </w:r>
    </w:p>
    <w:p w:rsidR="00A573C8" w:rsidRPr="00B93DE3" w:rsidRDefault="00A573C8" w:rsidP="00B762DD">
      <w:pPr>
        <w:pStyle w:val="ListParagraph"/>
        <w:widowControl/>
        <w:spacing w:after="120"/>
        <w:ind w:left="1519"/>
        <w:contextualSpacing/>
        <w:rPr>
          <w:lang w:val="ro-RO"/>
        </w:rPr>
      </w:pPr>
    </w:p>
    <w:p w:rsidR="00D84E8E" w:rsidRPr="00B93DE3" w:rsidRDefault="00A573C8" w:rsidP="00B762DD">
      <w:pPr>
        <w:widowControl/>
        <w:spacing w:after="120"/>
        <w:contextualSpacing/>
        <w:jc w:val="both"/>
        <w:rPr>
          <w:highlight w:val="yellow"/>
          <w:lang w:val="ro-RO"/>
        </w:rPr>
      </w:pPr>
      <w:r w:rsidRPr="00B93DE3">
        <w:rPr>
          <w:rFonts w:cs="Arial"/>
          <w:lang w:val="ro-RO"/>
        </w:rPr>
        <w:t>OTS-urile din Regiunea CCR SEE implementează Metodologia pentru Redispecerizarea și Comercializarea în Contrapartidă Coordonate propusă în termen de cel mult 12 luni de la data îndeplinirii condițiilor prevăzute la alineatele a-c.</w:t>
      </w:r>
    </w:p>
    <w:p w:rsidR="008D1C88" w:rsidRPr="00B93DE3" w:rsidRDefault="008D1C88" w:rsidP="00457547">
      <w:pPr>
        <w:pStyle w:val="Title1"/>
        <w:rPr>
          <w:lang w:val="ro-RO"/>
        </w:rPr>
      </w:pPr>
      <w:bookmarkStart w:id="17" w:name="_TOC_250000"/>
      <w:bookmarkEnd w:id="17"/>
    </w:p>
    <w:p w:rsidR="008335AE" w:rsidRPr="00B93DE3" w:rsidRDefault="008335AE" w:rsidP="008335AE">
      <w:pPr>
        <w:pStyle w:val="Article"/>
        <w:rPr>
          <w:lang w:val="ro-RO"/>
        </w:rPr>
      </w:pPr>
    </w:p>
    <w:p w:rsidR="002A72C5" w:rsidRPr="00B93DE3" w:rsidRDefault="007F2107" w:rsidP="00457547">
      <w:pPr>
        <w:pStyle w:val="Title1"/>
        <w:rPr>
          <w:lang w:val="ro-RO"/>
        </w:rPr>
      </w:pPr>
      <w:r w:rsidRPr="00B93DE3">
        <w:rPr>
          <w:lang w:val="ro-RO"/>
        </w:rPr>
        <w:t>Limba</w:t>
      </w:r>
    </w:p>
    <w:p w:rsidR="00617647" w:rsidRPr="00B93DE3" w:rsidRDefault="007F2107" w:rsidP="006B3B47">
      <w:pPr>
        <w:pStyle w:val="ListParagraph"/>
        <w:numPr>
          <w:ilvl w:val="0"/>
          <w:numId w:val="16"/>
        </w:numPr>
        <w:tabs>
          <w:tab w:val="left" w:pos="481"/>
        </w:tabs>
        <w:spacing w:before="120"/>
        <w:ind w:left="544" w:right="522" w:hanging="425"/>
        <w:rPr>
          <w:lang w:val="ro-RO"/>
        </w:rPr>
      </w:pPr>
      <w:r w:rsidRPr="00B93DE3">
        <w:rPr>
          <w:lang w:val="ro-RO"/>
        </w:rPr>
        <w:t>Limba de referință pentru prezenta metodologie comună este limba engleză.</w:t>
      </w:r>
    </w:p>
    <w:p w:rsidR="00046C29" w:rsidRPr="00B93DE3" w:rsidRDefault="00046C29" w:rsidP="006B3B47">
      <w:pPr>
        <w:pStyle w:val="ListParagraph"/>
        <w:tabs>
          <w:tab w:val="left" w:pos="481"/>
        </w:tabs>
        <w:ind w:right="524" w:firstLine="0"/>
        <w:rPr>
          <w:lang w:val="ro-RO"/>
        </w:rPr>
      </w:pPr>
    </w:p>
    <w:p w:rsidR="002A72C5" w:rsidRPr="00B93DE3" w:rsidRDefault="007F2107" w:rsidP="006B3B47">
      <w:pPr>
        <w:pStyle w:val="ListParagraph"/>
        <w:numPr>
          <w:ilvl w:val="0"/>
          <w:numId w:val="16"/>
        </w:numPr>
        <w:tabs>
          <w:tab w:val="left" w:pos="481"/>
        </w:tabs>
        <w:ind w:left="480" w:right="524" w:hanging="360"/>
        <w:rPr>
          <w:lang w:val="ro-RO"/>
        </w:rPr>
      </w:pPr>
      <w:r w:rsidRPr="00B93DE3">
        <w:rPr>
          <w:lang w:val="ro-RO"/>
        </w:rPr>
        <w:t>Pentru a evita orice interpretare, în cazul în care OTS-urile au nevoie să traducă prezenta metodologie pentru Redispecerizarea și Comercializarea în Contrapartidă Coordonate în limba/limbile lor naționale, în eventualitatea unor neconcordanțe între versiunea în limba engleză publicată de către OTS-uri conform articolului 9 (14) din Regulamentul CACM și orice versiune în altă limbă, OTS-urile relevante sunt obligate să elimine orice neconcordanțe prin furnizarea unei traduceri revizuite a prezentei metodologii pentru Redispecerizarea și Comercializarea în Contrapartidă Coordonate către autoritățile naționale de reglementare relevante.</w:t>
      </w:r>
    </w:p>
    <w:p w:rsidR="00CF1C36" w:rsidRPr="00B93DE3" w:rsidRDefault="00CF1C36" w:rsidP="00CF1C36">
      <w:pPr>
        <w:pStyle w:val="ListParagraph"/>
        <w:rPr>
          <w:lang w:val="ro-RO"/>
        </w:rPr>
      </w:pPr>
    </w:p>
    <w:p w:rsidR="00CF1C36" w:rsidRPr="00B93DE3" w:rsidRDefault="00CF1C36" w:rsidP="00CF1C36">
      <w:pPr>
        <w:pStyle w:val="Title1"/>
        <w:rPr>
          <w:lang w:val="ro-RO"/>
        </w:rPr>
      </w:pPr>
      <w:bookmarkStart w:id="18" w:name="_Toc500145923"/>
      <w:r w:rsidRPr="00B93DE3">
        <w:rPr>
          <w:lang w:val="ro-RO"/>
        </w:rPr>
        <w:t>Articolul 12</w:t>
      </w:r>
    </w:p>
    <w:p w:rsidR="00CF1C36" w:rsidRPr="00B93DE3" w:rsidRDefault="00CF1C36" w:rsidP="00CF1C36">
      <w:pPr>
        <w:pStyle w:val="Title1"/>
        <w:rPr>
          <w:lang w:val="ro-RO"/>
        </w:rPr>
      </w:pPr>
      <w:r w:rsidRPr="00B93DE3">
        <w:rPr>
          <w:lang w:val="ro-RO"/>
        </w:rPr>
        <w:t>Păstrarea confidențialității informațiilor</w:t>
      </w:r>
      <w:bookmarkEnd w:id="18"/>
    </w:p>
    <w:p w:rsidR="00CF1C36" w:rsidRPr="00B93DE3" w:rsidRDefault="00CF1C36" w:rsidP="00CF1C36">
      <w:pPr>
        <w:pStyle w:val="ListParagraph"/>
        <w:spacing w:line="276" w:lineRule="auto"/>
        <w:rPr>
          <w:rFonts w:asciiTheme="minorHAnsi" w:hAnsiTheme="minorHAnsi" w:cstheme="minorHAnsi"/>
          <w:lang w:val="ro-RO"/>
        </w:rPr>
      </w:pPr>
    </w:p>
    <w:p w:rsidR="00CF1C36" w:rsidRPr="00B93DE3" w:rsidRDefault="00CF1C36" w:rsidP="00967505">
      <w:pPr>
        <w:pStyle w:val="ListParagraph"/>
        <w:numPr>
          <w:ilvl w:val="0"/>
          <w:numId w:val="40"/>
        </w:numPr>
        <w:tabs>
          <w:tab w:val="left" w:pos="481"/>
        </w:tabs>
        <w:ind w:right="524"/>
        <w:rPr>
          <w:lang w:val="ro-RO"/>
        </w:rPr>
      </w:pPr>
      <w:r w:rsidRPr="00B93DE3">
        <w:rPr>
          <w:lang w:val="ro-RO"/>
        </w:rPr>
        <w:t xml:space="preserve">Informațiile și datele gestionate în timpul procesului RDCT sunt sensibile și astfel ar trebui tratate drept confidențiale.  Pe cale de consecință, toate informațiile colectate, analizele realizate și toate celelalte date disponibile Părților implicate sunt considerate drept confidențiale și trebuie gestionate în conformitate cu articolul 13 din Regulamentul CACM, asigurând protecția acestora. </w:t>
      </w:r>
    </w:p>
    <w:p w:rsidR="00CF1C36" w:rsidRPr="00B93DE3" w:rsidRDefault="00CF1C36" w:rsidP="00967505">
      <w:pPr>
        <w:tabs>
          <w:tab w:val="left" w:pos="481"/>
        </w:tabs>
        <w:ind w:left="120" w:right="524"/>
        <w:rPr>
          <w:lang w:val="ro-RO"/>
        </w:rPr>
      </w:pPr>
    </w:p>
    <w:p w:rsidR="00CF1C36" w:rsidRPr="00B93DE3" w:rsidRDefault="00CF1C36" w:rsidP="00967505">
      <w:pPr>
        <w:pStyle w:val="ListParagraph"/>
        <w:numPr>
          <w:ilvl w:val="0"/>
          <w:numId w:val="40"/>
        </w:numPr>
        <w:tabs>
          <w:tab w:val="left" w:pos="481"/>
        </w:tabs>
        <w:ind w:left="480" w:right="524" w:hanging="360"/>
        <w:rPr>
          <w:lang w:val="ro-RO"/>
        </w:rPr>
      </w:pPr>
      <w:r w:rsidRPr="00B93DE3">
        <w:rPr>
          <w:lang w:val="ro-RO"/>
        </w:rPr>
        <w:t>Informațiile puse la dispoziție de unitățile generatoare și consumatoare sau orice alte costuri relevante pentru calculul costului comercializării în contrapartidă sunt partajate între OTS-urile relevante doar în scopuri de comercializare în contrapartidă, inclusiv raportarea și monitorizarea obligațiilor definite în cadrul metodologiei de la articolul 74 din Regulamentul CACM.</w:t>
      </w:r>
    </w:p>
    <w:p w:rsidR="00CF1C36" w:rsidRPr="00B93DE3" w:rsidRDefault="00CF1C36" w:rsidP="009C59AC">
      <w:pPr>
        <w:pStyle w:val="ListParagraph"/>
        <w:tabs>
          <w:tab w:val="left" w:pos="481"/>
        </w:tabs>
        <w:ind w:left="480" w:right="524" w:firstLine="0"/>
        <w:rPr>
          <w:lang w:val="ro-RO"/>
        </w:rPr>
      </w:pPr>
    </w:p>
    <w:p w:rsidR="00CF1C36" w:rsidRPr="00B93DE3" w:rsidRDefault="00CF1C36" w:rsidP="00967505">
      <w:pPr>
        <w:pStyle w:val="ListParagraph"/>
        <w:numPr>
          <w:ilvl w:val="0"/>
          <w:numId w:val="40"/>
        </w:numPr>
        <w:tabs>
          <w:tab w:val="left" w:pos="481"/>
        </w:tabs>
        <w:ind w:left="480" w:right="524" w:hanging="360"/>
        <w:rPr>
          <w:lang w:val="ro-RO"/>
        </w:rPr>
      </w:pPr>
      <w:r w:rsidRPr="00B93DE3">
        <w:rPr>
          <w:lang w:val="ro-RO"/>
        </w:rPr>
        <w:t>Părțile vor întocmi acorduri de confidențialitate ad-hoc.</w:t>
      </w:r>
      <w:bookmarkStart w:id="19" w:name="_GoBack"/>
      <w:bookmarkEnd w:id="19"/>
    </w:p>
    <w:sectPr w:rsidR="00CF1C36" w:rsidRPr="00B93DE3" w:rsidSect="0077009F">
      <w:footerReference w:type="default" r:id="rId10"/>
      <w:pgSz w:w="11900" w:h="16840"/>
      <w:pgMar w:top="1860" w:right="500" w:bottom="1100" w:left="1240" w:header="703" w:footer="9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2A94" w:rsidRDefault="006A2A94">
      <w:r>
        <w:separator/>
      </w:r>
    </w:p>
  </w:endnote>
  <w:endnote w:type="continuationSeparator" w:id="0">
    <w:p w:rsidR="006A2A94" w:rsidRDefault="006A2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1DC3" w:rsidRDefault="00C35965">
    <w:pPr>
      <w:pStyle w:val="BodyText"/>
      <w:spacing w:line="14" w:lineRule="auto"/>
      <w:rPr>
        <w:sz w:val="20"/>
      </w:rPr>
    </w:pPr>
    <w:r>
      <w:rPr>
        <w:noProof/>
        <w:lang w:val="ro"/>
      </w:rPr>
      <mc:AlternateContent>
        <mc:Choice Requires="wps">
          <w:drawing>
            <wp:anchor distT="0" distB="0" distL="114300" distR="114300" simplePos="0" relativeHeight="503304368" behindDoc="1" locked="0" layoutInCell="1" allowOverlap="1" wp14:anchorId="28B88401" wp14:editId="49ACE18B">
              <wp:simplePos x="0" y="0"/>
              <wp:positionH relativeFrom="page">
                <wp:posOffset>7062470</wp:posOffset>
              </wp:positionH>
              <wp:positionV relativeFrom="page">
                <wp:posOffset>9976485</wp:posOffset>
              </wp:positionV>
              <wp:extent cx="128905" cy="165735"/>
              <wp:effectExtent l="0" t="0" r="4445"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1DC3" w:rsidRDefault="00594A1C">
                          <w:pPr>
                            <w:pStyle w:val="BodyText"/>
                            <w:spacing w:line="246" w:lineRule="exact"/>
                            <w:ind w:left="40"/>
                            <w:rPr>
                              <w:rFonts w:ascii="Arial"/>
                            </w:rPr>
                          </w:pPr>
                          <w:r>
                            <w:rPr>
                              <w:rFonts w:ascii="Arial" w:hAnsi="Arial"/>
                              <w:lang w:val="ro"/>
                            </w:rPr>
                            <w:fldChar w:fldCharType="begin"/>
                          </w:r>
                          <w:r>
                            <w:rPr>
                              <w:rFonts w:ascii="Arial" w:hAnsi="Arial"/>
                              <w:lang w:val="ro"/>
                            </w:rPr>
                            <w:instrText xml:space="preserve"> PAGE </w:instrText>
                          </w:r>
                          <w:r>
                            <w:rPr>
                              <w:rFonts w:ascii="Arial" w:hAnsi="Arial"/>
                              <w:lang w:val="ro"/>
                            </w:rPr>
                            <w:fldChar w:fldCharType="separate"/>
                          </w:r>
                          <w:r>
                            <w:rPr>
                              <w:rFonts w:ascii="Arial" w:hAnsi="Arial"/>
                              <w:noProof/>
                              <w:lang w:val="ro"/>
                            </w:rPr>
                            <w:t>2</w:t>
                          </w:r>
                          <w:r>
                            <w:rPr>
                              <w:rFonts w:ascii="Arial" w:hAnsi="Arial"/>
                              <w:lang w:val="ro"/>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B88401" id="_x0000_t202" coordsize="21600,21600" o:spt="202" path="m,l,21600r21600,l21600,xe">
              <v:stroke joinstyle="miter"/>
              <v:path gradientshapeok="t" o:connecttype="rect"/>
            </v:shapetype>
            <v:shape id="Text Box 2" o:spid="_x0000_s1027" type="#_x0000_t202" style="position:absolute;margin-left:556.1pt;margin-top:785.55pt;width:10.15pt;height:13.05pt;z-index:-12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fQBrgIAAK8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" filled="f" stroked="f">
              <v:textbox inset="0,0,0,0">
                <w:txbxContent>
                  <w:p w:rsidR="00F51DC3" w:rsidRDefault="00594A1C">
                    <w:pPr>
                      <w:pStyle w:val="BodyText"/>
                      <w:spacing w:line="246" w:lineRule="exact"/>
                      <w:ind w:left="40"/>
                      <w:rPr>
                        <w:rFonts w:ascii="Arial"/>
                      </w:rPr>
                    </w:pPr>
                    <w:r>
                      <w:rPr>
                        <w:rFonts w:ascii="Arial" w:hAnsi="Arial"/>
                        <w:lang w:val="ro"/>
                      </w:rPr>
                      <w:fldChar w:fldCharType="begin"/>
                    </w:r>
                    <w:r>
                      <w:rPr>
                        <w:rFonts w:ascii="Arial" w:hAnsi="Arial"/>
                        <w:lang w:val="ro"/>
                      </w:rPr>
                      <w:instrText xml:space="preserve"> PAGE </w:instrText>
                    </w:r>
                    <w:r>
                      <w:rPr>
                        <w:rFonts w:ascii="Arial" w:hAnsi="Arial"/>
                        <w:lang w:val="ro"/>
                      </w:rPr>
                      <w:fldChar w:fldCharType="separate"/>
                    </w:r>
                    <w:r>
                      <w:rPr>
                        <w:rFonts w:ascii="Arial" w:hAnsi="Arial"/>
                        <w:noProof/>
                        <w:lang w:val="ro"/>
                      </w:rPr>
                      <w:t>2</w:t>
                    </w:r>
                    <w:r>
                      <w:rPr>
                        <w:rFonts w:ascii="Arial" w:hAnsi="Arial"/>
                        <w:lang w:val="ro"/>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1DC3" w:rsidRDefault="00C35965">
    <w:pPr>
      <w:pStyle w:val="BodyText"/>
      <w:spacing w:line="14" w:lineRule="auto"/>
      <w:rPr>
        <w:sz w:val="20"/>
      </w:rPr>
    </w:pPr>
    <w:r>
      <w:rPr>
        <w:noProof/>
        <w:lang w:val="ro"/>
      </w:rPr>
      <mc:AlternateContent>
        <mc:Choice Requires="wps">
          <w:drawing>
            <wp:anchor distT="0" distB="0" distL="114300" distR="114300" simplePos="0" relativeHeight="503304392" behindDoc="1" locked="0" layoutInCell="1" allowOverlap="1">
              <wp:simplePos x="0" y="0"/>
              <wp:positionH relativeFrom="page">
                <wp:posOffset>6985000</wp:posOffset>
              </wp:positionH>
              <wp:positionV relativeFrom="page">
                <wp:posOffset>9976485</wp:posOffset>
              </wp:positionV>
              <wp:extent cx="207010" cy="165735"/>
              <wp:effectExtent l="0" t="0" r="2540" b="571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1DC3" w:rsidRDefault="00594A1C">
                          <w:pPr>
                            <w:pStyle w:val="BodyText"/>
                            <w:spacing w:line="246" w:lineRule="exact"/>
                            <w:ind w:left="40"/>
                            <w:rPr>
                              <w:rFonts w:ascii="Arial"/>
                            </w:rPr>
                          </w:pPr>
                          <w:r>
                            <w:rPr>
                              <w:rFonts w:ascii="Arial" w:hAnsi="Arial"/>
                              <w:lang w:val="ro"/>
                            </w:rPr>
                            <w:fldChar w:fldCharType="begin"/>
                          </w:r>
                          <w:r>
                            <w:rPr>
                              <w:rFonts w:ascii="Arial" w:hAnsi="Arial"/>
                              <w:lang w:val="ro"/>
                            </w:rPr>
                            <w:instrText xml:space="preserve"> PAGE </w:instrText>
                          </w:r>
                          <w:r>
                            <w:rPr>
                              <w:rFonts w:ascii="Arial" w:hAnsi="Arial"/>
                              <w:lang w:val="ro"/>
                            </w:rPr>
                            <w:fldChar w:fldCharType="separate"/>
                          </w:r>
                          <w:r>
                            <w:rPr>
                              <w:rFonts w:ascii="Arial" w:hAnsi="Arial"/>
                              <w:noProof/>
                              <w:lang w:val="ro"/>
                            </w:rPr>
                            <w:t>8</w:t>
                          </w:r>
                          <w:r>
                            <w:rPr>
                              <w:rFonts w:ascii="Arial" w:hAnsi="Arial"/>
                              <w:lang w:val="ro"/>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550pt;margin-top:785.55pt;width:16.3pt;height:13.05pt;z-index:-12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" filled="f" stroked="f">
              <v:textbox inset="0,0,0,0">
                <w:txbxContent>
                  <w:p w:rsidR="00F51DC3" w:rsidRDefault="00594A1C">
                    <w:pPr>
                      <w:pStyle w:val="BodyText"/>
                      <w:spacing w:line="246" w:lineRule="exact"/>
                      <w:ind w:left="40"/>
                      <w:rPr>
                        <w:rFonts w:ascii="Arial"/>
                      </w:rPr>
                    </w:pPr>
                    <w:r>
                      <w:rPr>
                        <w:rFonts w:ascii="Arial" w:hAnsi="Arial"/>
                        <w:lang w:val="ro"/>
                      </w:rPr>
                      <w:fldChar w:fldCharType="begin"/>
                    </w:r>
                    <w:r>
                      <w:rPr>
                        <w:rFonts w:ascii="Arial" w:hAnsi="Arial"/>
                        <w:lang w:val="ro"/>
                      </w:rPr>
                      <w:instrText xml:space="preserve"> PAGE </w:instrText>
                    </w:r>
                    <w:r>
                      <w:rPr>
                        <w:rFonts w:ascii="Arial" w:hAnsi="Arial"/>
                        <w:lang w:val="ro"/>
                      </w:rPr>
                      <w:fldChar w:fldCharType="separate"/>
                    </w:r>
                    <w:r>
                      <w:rPr>
                        <w:rFonts w:ascii="Arial" w:hAnsi="Arial"/>
                        <w:noProof/>
                        <w:lang w:val="ro"/>
                      </w:rPr>
                      <w:t>8</w:t>
                    </w:r>
                    <w:r>
                      <w:rPr>
                        <w:rFonts w:ascii="Arial" w:hAnsi="Arial"/>
                        <w:lang w:val="ro"/>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2A94" w:rsidRDefault="006A2A94">
      <w:r>
        <w:separator/>
      </w:r>
    </w:p>
  </w:footnote>
  <w:footnote w:type="continuationSeparator" w:id="0">
    <w:p w:rsidR="006A2A94" w:rsidRDefault="006A2A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1DC3" w:rsidRDefault="00C35965">
    <w:pPr>
      <w:pStyle w:val="BodyText"/>
      <w:spacing w:line="14" w:lineRule="auto"/>
      <w:rPr>
        <w:sz w:val="20"/>
      </w:rPr>
    </w:pPr>
    <w:r>
      <w:rPr>
        <w:noProof/>
        <w:lang w:val="ro"/>
      </w:rPr>
      <mc:AlternateContent>
        <mc:Choice Requires="wps">
          <w:drawing>
            <wp:anchor distT="0" distB="0" distL="114300" distR="114300" simplePos="0" relativeHeight="503304344" behindDoc="1" locked="0" layoutInCell="1" allowOverlap="1" wp14:anchorId="215E492F" wp14:editId="392A5981">
              <wp:simplePos x="0" y="0"/>
              <wp:positionH relativeFrom="page">
                <wp:posOffset>864870</wp:posOffset>
              </wp:positionH>
              <wp:positionV relativeFrom="page">
                <wp:posOffset>454660</wp:posOffset>
              </wp:positionV>
              <wp:extent cx="5895975" cy="360680"/>
              <wp:effectExtent l="0" t="0" r="9525" b="12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360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1DC3" w:rsidRPr="006E15D8" w:rsidRDefault="00585392" w:rsidP="006E15D8">
                          <w:r>
                            <w:rPr>
                              <w:rFonts w:ascii="Arial" w:hAnsi="Arial"/>
                              <w:sz w:val="16"/>
                              <w:lang w:val="ro"/>
                            </w:rPr>
                            <w:t>Propunerea OTS-urilor din CCR SEE pentru Metodologia pentru redispecerizarea și comercializarea în contrapartidă coordonate, în conformitate cu articolul 35 din Regulamentul (UE) 2015/1222 al Comisiei din 24 iulie 2015 de stabilire a unor linii directoare privind alocarea capacităților și gestionarea congestiilor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5E492F" id="_x0000_t202" coordsize="21600,21600" o:spt="202" path="m,l,21600r21600,l21600,xe">
              <v:stroke joinstyle="miter"/>
              <v:path gradientshapeok="t" o:connecttype="rect"/>
            </v:shapetype>
            <v:shape id="Text Box 3" o:spid="_x0000_s1026" type="#_x0000_t202" style="position:absolute;margin-left:68.1pt;margin-top:35.8pt;width:464.25pt;height:28.4pt;z-index:-12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" filled="f" stroked="f">
              <v:textbox inset="0,0,0,0">
                <w:txbxContent>
                  <w:p w:rsidR="00F51DC3" w:rsidRPr="006E15D8" w:rsidRDefault="00585392" w:rsidP="006E15D8">
                    <w:r>
                      <w:rPr>
                        <w:rFonts w:ascii="Arial" w:hAnsi="Arial"/>
                        <w:sz w:val="16"/>
                        <w:lang w:val="ro"/>
                      </w:rPr>
                      <w:t>Propunerea OTS-urilor din CCR SEE pentru Metodologia pentru redispecerizarea și comercializarea în contrapartidă coordonate, în conformitate cu articolul 35 din Regulamentul (UE) 2015/1222 al Comisiei din 24 iulie 2015 de stabilire a unor linii directoare privind alocarea capacităților și gestionarea congestiilor</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64D24"/>
    <w:multiLevelType w:val="hybridMultilevel"/>
    <w:tmpl w:val="52563FE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5AB0E88"/>
    <w:multiLevelType w:val="hybridMultilevel"/>
    <w:tmpl w:val="5896C85C"/>
    <w:lvl w:ilvl="0" w:tplc="EEEEBA10">
      <w:start w:val="1"/>
      <w:numFmt w:val="decimal"/>
      <w:lvlText w:val="%1."/>
      <w:lvlJc w:val="left"/>
      <w:pPr>
        <w:ind w:left="548" w:hanging="428"/>
      </w:pPr>
      <w:rPr>
        <w:rFonts w:ascii="Times New Roman" w:eastAsia="Times New Roman" w:hAnsi="Times New Roman" w:cs="Times New Roman" w:hint="default"/>
        <w:w w:val="100"/>
        <w:sz w:val="22"/>
        <w:szCs w:val="22"/>
      </w:rPr>
    </w:lvl>
    <w:lvl w:ilvl="1" w:tplc="6E5AE33E">
      <w:numFmt w:val="bullet"/>
      <w:lvlText w:val="•"/>
      <w:lvlJc w:val="left"/>
      <w:pPr>
        <w:ind w:left="1502" w:hanging="428"/>
      </w:pPr>
      <w:rPr>
        <w:rFonts w:hint="default"/>
      </w:rPr>
    </w:lvl>
    <w:lvl w:ilvl="2" w:tplc="5A7CBDD0">
      <w:numFmt w:val="bullet"/>
      <w:lvlText w:val="•"/>
      <w:lvlJc w:val="left"/>
      <w:pPr>
        <w:ind w:left="2464" w:hanging="428"/>
      </w:pPr>
      <w:rPr>
        <w:rFonts w:hint="default"/>
      </w:rPr>
    </w:lvl>
    <w:lvl w:ilvl="3" w:tplc="63F060FE">
      <w:numFmt w:val="bullet"/>
      <w:lvlText w:val="•"/>
      <w:lvlJc w:val="left"/>
      <w:pPr>
        <w:ind w:left="3426" w:hanging="428"/>
      </w:pPr>
      <w:rPr>
        <w:rFonts w:hint="default"/>
      </w:rPr>
    </w:lvl>
    <w:lvl w:ilvl="4" w:tplc="806C13A4">
      <w:numFmt w:val="bullet"/>
      <w:lvlText w:val="•"/>
      <w:lvlJc w:val="left"/>
      <w:pPr>
        <w:ind w:left="4388" w:hanging="428"/>
      </w:pPr>
      <w:rPr>
        <w:rFonts w:hint="default"/>
      </w:rPr>
    </w:lvl>
    <w:lvl w:ilvl="5" w:tplc="CD6097B0">
      <w:numFmt w:val="bullet"/>
      <w:lvlText w:val="•"/>
      <w:lvlJc w:val="left"/>
      <w:pPr>
        <w:ind w:left="5350" w:hanging="428"/>
      </w:pPr>
      <w:rPr>
        <w:rFonts w:hint="default"/>
      </w:rPr>
    </w:lvl>
    <w:lvl w:ilvl="6" w:tplc="DC5E9B1A">
      <w:numFmt w:val="bullet"/>
      <w:lvlText w:val="•"/>
      <w:lvlJc w:val="left"/>
      <w:pPr>
        <w:ind w:left="6312" w:hanging="428"/>
      </w:pPr>
      <w:rPr>
        <w:rFonts w:hint="default"/>
      </w:rPr>
    </w:lvl>
    <w:lvl w:ilvl="7" w:tplc="A72E3762">
      <w:numFmt w:val="bullet"/>
      <w:lvlText w:val="•"/>
      <w:lvlJc w:val="left"/>
      <w:pPr>
        <w:ind w:left="7274" w:hanging="428"/>
      </w:pPr>
      <w:rPr>
        <w:rFonts w:hint="default"/>
      </w:rPr>
    </w:lvl>
    <w:lvl w:ilvl="8" w:tplc="FC306C68">
      <w:numFmt w:val="bullet"/>
      <w:lvlText w:val="•"/>
      <w:lvlJc w:val="left"/>
      <w:pPr>
        <w:ind w:left="8236" w:hanging="428"/>
      </w:pPr>
      <w:rPr>
        <w:rFonts w:hint="default"/>
      </w:rPr>
    </w:lvl>
  </w:abstractNum>
  <w:abstractNum w:abstractNumId="2" w15:restartNumberingAfterBreak="0">
    <w:nsid w:val="065403A3"/>
    <w:multiLevelType w:val="hybridMultilevel"/>
    <w:tmpl w:val="475ABCFA"/>
    <w:lvl w:ilvl="0" w:tplc="A9406654">
      <w:start w:val="3"/>
      <w:numFmt w:val="decimal"/>
      <w:lvlText w:val="%1."/>
      <w:lvlJc w:val="left"/>
      <w:pPr>
        <w:ind w:left="1282" w:hanging="428"/>
      </w:pPr>
      <w:rPr>
        <w:rFonts w:ascii="Times New Roman" w:eastAsia="Times New Roman" w:hAnsi="Times New Roman" w:cs="Times New Roman" w:hint="default"/>
        <w:w w:val="10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02A6098"/>
    <w:multiLevelType w:val="hybridMultilevel"/>
    <w:tmpl w:val="0D76C89C"/>
    <w:lvl w:ilvl="0" w:tplc="79EE455A">
      <w:start w:val="1"/>
      <w:numFmt w:val="decimal"/>
      <w:lvlText w:val="(%1)"/>
      <w:lvlJc w:val="left"/>
      <w:pPr>
        <w:ind w:left="720" w:hanging="360"/>
      </w:pPr>
      <w:rPr>
        <w:rFonts w:hint="default"/>
        <w:b w:val="0"/>
      </w:rPr>
    </w:lvl>
    <w:lvl w:ilvl="1" w:tplc="0106ACEC">
      <w:start w:val="1"/>
      <w:numFmt w:val="lowerLetter"/>
      <w:lvlText w:val="%2."/>
      <w:lvlJc w:val="left"/>
      <w:pPr>
        <w:ind w:left="1440" w:hanging="360"/>
      </w:pPr>
      <w:rPr>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A83861"/>
    <w:multiLevelType w:val="hybridMultilevel"/>
    <w:tmpl w:val="6BB8F6F6"/>
    <w:lvl w:ilvl="0" w:tplc="040C000F">
      <w:start w:val="1"/>
      <w:numFmt w:val="decimal"/>
      <w:lvlText w:val="%1."/>
      <w:lvlJc w:val="left"/>
      <w:pPr>
        <w:ind w:left="1282" w:hanging="428"/>
      </w:pPr>
      <w:rPr>
        <w:rFonts w:hint="default"/>
        <w:w w:val="100"/>
        <w:sz w:val="22"/>
        <w:szCs w:val="22"/>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3FE23C4"/>
    <w:multiLevelType w:val="multilevel"/>
    <w:tmpl w:val="7B1411C6"/>
    <w:lvl w:ilvl="0">
      <w:start w:val="1"/>
      <w:numFmt w:val="decimal"/>
      <w:lvlText w:val="%1."/>
      <w:lvlJc w:val="left"/>
      <w:pPr>
        <w:ind w:left="818" w:hanging="351"/>
      </w:pPr>
      <w:rPr>
        <w:rFonts w:ascii="Calibri Light" w:eastAsia="Calibri Light" w:hAnsi="Calibri Light" w:cs="Calibri Light" w:hint="default"/>
        <w:color w:val="2D73B5"/>
        <w:spacing w:val="-2"/>
        <w:w w:val="100"/>
        <w:sz w:val="31"/>
        <w:szCs w:val="31"/>
      </w:rPr>
    </w:lvl>
    <w:lvl w:ilvl="1">
      <w:start w:val="1"/>
      <w:numFmt w:val="lowerLetter"/>
      <w:lvlText w:val="%2."/>
      <w:lvlJc w:val="left"/>
      <w:pPr>
        <w:ind w:left="1519" w:hanging="1052"/>
      </w:pPr>
      <w:rPr>
        <w:rFonts w:ascii="Times New Roman" w:eastAsia="Times New Roman" w:hAnsi="Times New Roman" w:cs="Arial"/>
        <w:color w:val="2D73B5"/>
        <w:spacing w:val="-1"/>
        <w:w w:val="100"/>
        <w:sz w:val="25"/>
        <w:szCs w:val="25"/>
      </w:rPr>
    </w:lvl>
    <w:lvl w:ilvl="2">
      <w:start w:val="1"/>
      <w:numFmt w:val="decimal"/>
      <w:lvlText w:val="%1.%2.%3."/>
      <w:lvlJc w:val="left"/>
      <w:pPr>
        <w:ind w:left="1168" w:hanging="701"/>
      </w:pPr>
      <w:rPr>
        <w:rFonts w:ascii="Calibri Light" w:eastAsia="Calibri Light" w:hAnsi="Calibri Light" w:cs="Calibri Light" w:hint="default"/>
        <w:color w:val="1E4C77"/>
        <w:spacing w:val="-1"/>
        <w:w w:val="101"/>
        <w:sz w:val="23"/>
        <w:szCs w:val="23"/>
      </w:rPr>
    </w:lvl>
    <w:lvl w:ilvl="3">
      <w:start w:val="1"/>
      <w:numFmt w:val="decimal"/>
      <w:pStyle w:val="titolo4new"/>
      <w:lvlText w:val="%1.%2.%3.%4."/>
      <w:lvlJc w:val="left"/>
      <w:pPr>
        <w:ind w:left="1168" w:hanging="701"/>
      </w:pPr>
      <w:rPr>
        <w:rFonts w:ascii="Calibri Light" w:eastAsia="Calibri Light" w:hAnsi="Calibri Light" w:cs="Calibri Light" w:hint="default"/>
        <w:i/>
        <w:color w:val="2D73B5"/>
        <w:spacing w:val="-3"/>
        <w:w w:val="102"/>
        <w:sz w:val="21"/>
        <w:szCs w:val="21"/>
      </w:rPr>
    </w:lvl>
    <w:lvl w:ilvl="4">
      <w:numFmt w:val="bullet"/>
      <w:lvlText w:val="-"/>
      <w:lvlJc w:val="left"/>
      <w:pPr>
        <w:ind w:left="1168" w:hanging="351"/>
      </w:pPr>
      <w:rPr>
        <w:rFonts w:ascii="Calibri" w:eastAsia="Calibri" w:hAnsi="Calibri" w:cs="Calibri" w:hint="default"/>
        <w:w w:val="102"/>
        <w:sz w:val="21"/>
        <w:szCs w:val="21"/>
      </w:rPr>
    </w:lvl>
    <w:lvl w:ilvl="5">
      <w:numFmt w:val="bullet"/>
      <w:lvlText w:val="•"/>
      <w:lvlJc w:val="left"/>
      <w:pPr>
        <w:ind w:left="4467" w:hanging="351"/>
      </w:pPr>
      <w:rPr>
        <w:rFonts w:hint="default"/>
      </w:rPr>
    </w:lvl>
    <w:lvl w:ilvl="6">
      <w:numFmt w:val="bullet"/>
      <w:lvlText w:val="•"/>
      <w:lvlJc w:val="left"/>
      <w:pPr>
        <w:ind w:left="5450" w:hanging="351"/>
      </w:pPr>
      <w:rPr>
        <w:rFonts w:hint="default"/>
      </w:rPr>
    </w:lvl>
    <w:lvl w:ilvl="7">
      <w:numFmt w:val="bullet"/>
      <w:lvlText w:val="•"/>
      <w:lvlJc w:val="left"/>
      <w:pPr>
        <w:ind w:left="6432" w:hanging="351"/>
      </w:pPr>
      <w:rPr>
        <w:rFonts w:hint="default"/>
      </w:rPr>
    </w:lvl>
    <w:lvl w:ilvl="8">
      <w:numFmt w:val="bullet"/>
      <w:lvlText w:val="•"/>
      <w:lvlJc w:val="left"/>
      <w:pPr>
        <w:ind w:left="7415" w:hanging="351"/>
      </w:pPr>
      <w:rPr>
        <w:rFonts w:hint="default"/>
      </w:rPr>
    </w:lvl>
  </w:abstractNum>
  <w:abstractNum w:abstractNumId="6" w15:restartNumberingAfterBreak="0">
    <w:nsid w:val="14331B83"/>
    <w:multiLevelType w:val="hybridMultilevel"/>
    <w:tmpl w:val="4A16B5CA"/>
    <w:lvl w:ilvl="0" w:tplc="9B8845C2">
      <w:start w:val="1"/>
      <w:numFmt w:val="decimal"/>
      <w:lvlText w:val="(%1)"/>
      <w:lvlJc w:val="left"/>
      <w:pPr>
        <w:ind w:left="1114" w:hanging="634"/>
      </w:pPr>
      <w:rPr>
        <w:rFonts w:ascii="Times New Roman" w:eastAsia="Times New Roman" w:hAnsi="Times New Roman" w:cs="Times New Roman" w:hint="default"/>
        <w:i w:val="0"/>
        <w:w w:val="100"/>
        <w:sz w:val="22"/>
        <w:szCs w:val="22"/>
      </w:rPr>
    </w:lvl>
    <w:lvl w:ilvl="1" w:tplc="5E22B8DC">
      <w:start w:val="1"/>
      <w:numFmt w:val="lowerLetter"/>
      <w:lvlText w:val="(%2)"/>
      <w:lvlJc w:val="left"/>
      <w:pPr>
        <w:ind w:left="2364" w:hanging="1252"/>
      </w:pPr>
      <w:rPr>
        <w:rFonts w:ascii="Times New Roman" w:eastAsia="Times New Roman" w:hAnsi="Times New Roman" w:cs="Times New Roman" w:hint="default"/>
        <w:i/>
        <w:spacing w:val="-2"/>
        <w:w w:val="100"/>
        <w:sz w:val="22"/>
        <w:szCs w:val="22"/>
      </w:rPr>
    </w:lvl>
    <w:lvl w:ilvl="2" w:tplc="8758D202">
      <w:start w:val="1"/>
      <w:numFmt w:val="lowerRoman"/>
      <w:lvlText w:val="(%3)"/>
      <w:lvlJc w:val="left"/>
      <w:pPr>
        <w:ind w:left="3687" w:hanging="1323"/>
      </w:pPr>
      <w:rPr>
        <w:rFonts w:ascii="Times New Roman" w:eastAsia="Times New Roman" w:hAnsi="Times New Roman" w:cs="Times New Roman" w:hint="default"/>
        <w:i/>
        <w:spacing w:val="-2"/>
        <w:w w:val="100"/>
        <w:sz w:val="22"/>
        <w:szCs w:val="22"/>
      </w:rPr>
    </w:lvl>
    <w:lvl w:ilvl="3" w:tplc="42540F18">
      <w:numFmt w:val="bullet"/>
      <w:lvlText w:val="•"/>
      <w:lvlJc w:val="left"/>
      <w:pPr>
        <w:ind w:left="3720" w:hanging="1323"/>
      </w:pPr>
      <w:rPr>
        <w:rFonts w:hint="default"/>
      </w:rPr>
    </w:lvl>
    <w:lvl w:ilvl="4" w:tplc="55FC257E">
      <w:numFmt w:val="bullet"/>
      <w:lvlText w:val="•"/>
      <w:lvlJc w:val="left"/>
      <w:pPr>
        <w:ind w:left="4640" w:hanging="1323"/>
      </w:pPr>
      <w:rPr>
        <w:rFonts w:hint="default"/>
      </w:rPr>
    </w:lvl>
    <w:lvl w:ilvl="5" w:tplc="DFF675E0">
      <w:numFmt w:val="bullet"/>
      <w:lvlText w:val="•"/>
      <w:lvlJc w:val="left"/>
      <w:pPr>
        <w:ind w:left="5560" w:hanging="1323"/>
      </w:pPr>
      <w:rPr>
        <w:rFonts w:hint="default"/>
      </w:rPr>
    </w:lvl>
    <w:lvl w:ilvl="6" w:tplc="726C2A96">
      <w:numFmt w:val="bullet"/>
      <w:lvlText w:val="•"/>
      <w:lvlJc w:val="left"/>
      <w:pPr>
        <w:ind w:left="6480" w:hanging="1323"/>
      </w:pPr>
      <w:rPr>
        <w:rFonts w:hint="default"/>
      </w:rPr>
    </w:lvl>
    <w:lvl w:ilvl="7" w:tplc="0144FFD4">
      <w:numFmt w:val="bullet"/>
      <w:lvlText w:val="•"/>
      <w:lvlJc w:val="left"/>
      <w:pPr>
        <w:ind w:left="7400" w:hanging="1323"/>
      </w:pPr>
      <w:rPr>
        <w:rFonts w:hint="default"/>
      </w:rPr>
    </w:lvl>
    <w:lvl w:ilvl="8" w:tplc="F1FC0F22">
      <w:numFmt w:val="bullet"/>
      <w:lvlText w:val="•"/>
      <w:lvlJc w:val="left"/>
      <w:pPr>
        <w:ind w:left="8320" w:hanging="1323"/>
      </w:pPr>
      <w:rPr>
        <w:rFonts w:hint="default"/>
      </w:rPr>
    </w:lvl>
  </w:abstractNum>
  <w:abstractNum w:abstractNumId="7" w15:restartNumberingAfterBreak="0">
    <w:nsid w:val="1DBE44DC"/>
    <w:multiLevelType w:val="hybridMultilevel"/>
    <w:tmpl w:val="C8A2659C"/>
    <w:lvl w:ilvl="0" w:tplc="7B166A58">
      <w:start w:val="1"/>
      <w:numFmt w:val="decimal"/>
      <w:lvlText w:val="%1."/>
      <w:lvlJc w:val="left"/>
      <w:pPr>
        <w:ind w:left="548" w:hanging="428"/>
      </w:pPr>
      <w:rPr>
        <w:rFonts w:ascii="Times New Roman" w:eastAsia="Times New Roman" w:hAnsi="Times New Roman" w:cs="Times New Roman" w:hint="default"/>
        <w:w w:val="100"/>
        <w:sz w:val="22"/>
        <w:szCs w:val="22"/>
      </w:rPr>
    </w:lvl>
    <w:lvl w:ilvl="1" w:tplc="20AA7F80">
      <w:numFmt w:val="bullet"/>
      <w:lvlText w:val="•"/>
      <w:lvlJc w:val="left"/>
      <w:pPr>
        <w:ind w:left="1502" w:hanging="428"/>
      </w:pPr>
      <w:rPr>
        <w:rFonts w:hint="default"/>
      </w:rPr>
    </w:lvl>
    <w:lvl w:ilvl="2" w:tplc="CF069CE4">
      <w:numFmt w:val="bullet"/>
      <w:lvlText w:val="•"/>
      <w:lvlJc w:val="left"/>
      <w:pPr>
        <w:ind w:left="2464" w:hanging="428"/>
      </w:pPr>
      <w:rPr>
        <w:rFonts w:hint="default"/>
      </w:rPr>
    </w:lvl>
    <w:lvl w:ilvl="3" w:tplc="5ED8E92E">
      <w:numFmt w:val="bullet"/>
      <w:lvlText w:val="•"/>
      <w:lvlJc w:val="left"/>
      <w:pPr>
        <w:ind w:left="3426" w:hanging="428"/>
      </w:pPr>
      <w:rPr>
        <w:rFonts w:hint="default"/>
      </w:rPr>
    </w:lvl>
    <w:lvl w:ilvl="4" w:tplc="33268A28">
      <w:numFmt w:val="bullet"/>
      <w:lvlText w:val="•"/>
      <w:lvlJc w:val="left"/>
      <w:pPr>
        <w:ind w:left="4388" w:hanging="428"/>
      </w:pPr>
      <w:rPr>
        <w:rFonts w:hint="default"/>
      </w:rPr>
    </w:lvl>
    <w:lvl w:ilvl="5" w:tplc="9A3C7804">
      <w:numFmt w:val="bullet"/>
      <w:lvlText w:val="•"/>
      <w:lvlJc w:val="left"/>
      <w:pPr>
        <w:ind w:left="5350" w:hanging="428"/>
      </w:pPr>
      <w:rPr>
        <w:rFonts w:hint="default"/>
      </w:rPr>
    </w:lvl>
    <w:lvl w:ilvl="6" w:tplc="95D20020">
      <w:numFmt w:val="bullet"/>
      <w:lvlText w:val="•"/>
      <w:lvlJc w:val="left"/>
      <w:pPr>
        <w:ind w:left="6312" w:hanging="428"/>
      </w:pPr>
      <w:rPr>
        <w:rFonts w:hint="default"/>
      </w:rPr>
    </w:lvl>
    <w:lvl w:ilvl="7" w:tplc="3EE2F86C">
      <w:numFmt w:val="bullet"/>
      <w:lvlText w:val="•"/>
      <w:lvlJc w:val="left"/>
      <w:pPr>
        <w:ind w:left="7274" w:hanging="428"/>
      </w:pPr>
      <w:rPr>
        <w:rFonts w:hint="default"/>
      </w:rPr>
    </w:lvl>
    <w:lvl w:ilvl="8" w:tplc="05A861DA">
      <w:numFmt w:val="bullet"/>
      <w:lvlText w:val="•"/>
      <w:lvlJc w:val="left"/>
      <w:pPr>
        <w:ind w:left="8236" w:hanging="428"/>
      </w:pPr>
      <w:rPr>
        <w:rFonts w:hint="default"/>
      </w:rPr>
    </w:lvl>
  </w:abstractNum>
  <w:abstractNum w:abstractNumId="8" w15:restartNumberingAfterBreak="0">
    <w:nsid w:val="21AA2DB8"/>
    <w:multiLevelType w:val="hybridMultilevel"/>
    <w:tmpl w:val="385ECDF0"/>
    <w:lvl w:ilvl="0" w:tplc="06E859BE">
      <w:start w:val="1"/>
      <w:numFmt w:val="decimal"/>
      <w:lvlText w:val="%1."/>
      <w:lvlJc w:val="left"/>
      <w:pPr>
        <w:ind w:left="548" w:hanging="428"/>
      </w:pPr>
      <w:rPr>
        <w:rFonts w:ascii="Times New Roman" w:eastAsia="Times New Roman" w:hAnsi="Times New Roman" w:cs="Times New Roman" w:hint="default"/>
        <w:w w:val="10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297310D"/>
    <w:multiLevelType w:val="hybridMultilevel"/>
    <w:tmpl w:val="F6F26D9E"/>
    <w:lvl w:ilvl="0" w:tplc="0B76124C">
      <w:start w:val="1"/>
      <w:numFmt w:val="decimal"/>
      <w:lvlText w:val="%1."/>
      <w:lvlJc w:val="left"/>
      <w:pPr>
        <w:ind w:left="1282" w:hanging="428"/>
      </w:pPr>
      <w:rPr>
        <w:rFonts w:ascii="Times New Roman" w:eastAsia="Times New Roman" w:hAnsi="Times New Roman" w:cs="Times New Roman" w:hint="default"/>
        <w:w w:val="10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13D27FD"/>
    <w:multiLevelType w:val="hybridMultilevel"/>
    <w:tmpl w:val="EB361FCA"/>
    <w:lvl w:ilvl="0" w:tplc="040C000F">
      <w:start w:val="1"/>
      <w:numFmt w:val="decimal"/>
      <w:lvlText w:val="%1."/>
      <w:lvlJc w:val="left"/>
      <w:pPr>
        <w:ind w:left="548" w:hanging="428"/>
      </w:pPr>
      <w:rPr>
        <w:rFonts w:hint="default"/>
        <w:w w:val="100"/>
        <w:sz w:val="22"/>
        <w:szCs w:val="22"/>
      </w:rPr>
    </w:lvl>
    <w:lvl w:ilvl="1" w:tplc="0450BE5C">
      <w:numFmt w:val="bullet"/>
      <w:lvlText w:val="•"/>
      <w:lvlJc w:val="left"/>
      <w:pPr>
        <w:ind w:left="1502" w:hanging="428"/>
      </w:pPr>
      <w:rPr>
        <w:rFonts w:hint="default"/>
      </w:rPr>
    </w:lvl>
    <w:lvl w:ilvl="2" w:tplc="46162DE0">
      <w:numFmt w:val="bullet"/>
      <w:lvlText w:val="•"/>
      <w:lvlJc w:val="left"/>
      <w:pPr>
        <w:ind w:left="2464" w:hanging="428"/>
      </w:pPr>
      <w:rPr>
        <w:rFonts w:hint="default"/>
      </w:rPr>
    </w:lvl>
    <w:lvl w:ilvl="3" w:tplc="6866ACB8">
      <w:numFmt w:val="bullet"/>
      <w:lvlText w:val="•"/>
      <w:lvlJc w:val="left"/>
      <w:pPr>
        <w:ind w:left="3426" w:hanging="428"/>
      </w:pPr>
      <w:rPr>
        <w:rFonts w:hint="default"/>
      </w:rPr>
    </w:lvl>
    <w:lvl w:ilvl="4" w:tplc="8D128576">
      <w:numFmt w:val="bullet"/>
      <w:lvlText w:val="•"/>
      <w:lvlJc w:val="left"/>
      <w:pPr>
        <w:ind w:left="4388" w:hanging="428"/>
      </w:pPr>
      <w:rPr>
        <w:rFonts w:hint="default"/>
      </w:rPr>
    </w:lvl>
    <w:lvl w:ilvl="5" w:tplc="7772DAB8">
      <w:numFmt w:val="bullet"/>
      <w:lvlText w:val="•"/>
      <w:lvlJc w:val="left"/>
      <w:pPr>
        <w:ind w:left="5350" w:hanging="428"/>
      </w:pPr>
      <w:rPr>
        <w:rFonts w:hint="default"/>
      </w:rPr>
    </w:lvl>
    <w:lvl w:ilvl="6" w:tplc="8342D8E2">
      <w:numFmt w:val="bullet"/>
      <w:lvlText w:val="•"/>
      <w:lvlJc w:val="left"/>
      <w:pPr>
        <w:ind w:left="6312" w:hanging="428"/>
      </w:pPr>
      <w:rPr>
        <w:rFonts w:hint="default"/>
      </w:rPr>
    </w:lvl>
    <w:lvl w:ilvl="7" w:tplc="D33E9FF4">
      <w:numFmt w:val="bullet"/>
      <w:lvlText w:val="•"/>
      <w:lvlJc w:val="left"/>
      <w:pPr>
        <w:ind w:left="7274" w:hanging="428"/>
      </w:pPr>
      <w:rPr>
        <w:rFonts w:hint="default"/>
      </w:rPr>
    </w:lvl>
    <w:lvl w:ilvl="8" w:tplc="01206A08">
      <w:numFmt w:val="bullet"/>
      <w:lvlText w:val="•"/>
      <w:lvlJc w:val="left"/>
      <w:pPr>
        <w:ind w:left="8236" w:hanging="428"/>
      </w:pPr>
      <w:rPr>
        <w:rFonts w:hint="default"/>
      </w:rPr>
    </w:lvl>
  </w:abstractNum>
  <w:abstractNum w:abstractNumId="11" w15:restartNumberingAfterBreak="0">
    <w:nsid w:val="364E7EF8"/>
    <w:multiLevelType w:val="hybridMultilevel"/>
    <w:tmpl w:val="891EE5D2"/>
    <w:lvl w:ilvl="0" w:tplc="5CB89B22">
      <w:start w:val="1"/>
      <w:numFmt w:val="lowerLetter"/>
      <w:lvlText w:val="%1)"/>
      <w:lvlJc w:val="left"/>
      <w:pPr>
        <w:ind w:left="828" w:hanging="360"/>
      </w:pPr>
      <w:rPr>
        <w:rFonts w:ascii="Times New Roman" w:eastAsia="Times New Roman" w:hAnsi="Times New Roman" w:cs="Times New Roman" w:hint="default"/>
        <w:w w:val="100"/>
        <w:sz w:val="22"/>
        <w:szCs w:val="22"/>
      </w:rPr>
    </w:lvl>
    <w:lvl w:ilvl="1" w:tplc="1246614A">
      <w:numFmt w:val="bullet"/>
      <w:lvlText w:val="•"/>
      <w:lvlJc w:val="left"/>
      <w:pPr>
        <w:ind w:left="1754" w:hanging="360"/>
      </w:pPr>
      <w:rPr>
        <w:rFonts w:hint="default"/>
      </w:rPr>
    </w:lvl>
    <w:lvl w:ilvl="2" w:tplc="E0522FAE">
      <w:numFmt w:val="bullet"/>
      <w:lvlText w:val="•"/>
      <w:lvlJc w:val="left"/>
      <w:pPr>
        <w:ind w:left="2688" w:hanging="360"/>
      </w:pPr>
      <w:rPr>
        <w:rFonts w:hint="default"/>
      </w:rPr>
    </w:lvl>
    <w:lvl w:ilvl="3" w:tplc="9372EE8E">
      <w:numFmt w:val="bullet"/>
      <w:lvlText w:val="•"/>
      <w:lvlJc w:val="left"/>
      <w:pPr>
        <w:ind w:left="3622" w:hanging="360"/>
      </w:pPr>
      <w:rPr>
        <w:rFonts w:hint="default"/>
      </w:rPr>
    </w:lvl>
    <w:lvl w:ilvl="4" w:tplc="601A4A2E">
      <w:numFmt w:val="bullet"/>
      <w:lvlText w:val="•"/>
      <w:lvlJc w:val="left"/>
      <w:pPr>
        <w:ind w:left="4556" w:hanging="360"/>
      </w:pPr>
      <w:rPr>
        <w:rFonts w:hint="default"/>
      </w:rPr>
    </w:lvl>
    <w:lvl w:ilvl="5" w:tplc="1FE4C4FA">
      <w:numFmt w:val="bullet"/>
      <w:lvlText w:val="•"/>
      <w:lvlJc w:val="left"/>
      <w:pPr>
        <w:ind w:left="5490" w:hanging="360"/>
      </w:pPr>
      <w:rPr>
        <w:rFonts w:hint="default"/>
      </w:rPr>
    </w:lvl>
    <w:lvl w:ilvl="6" w:tplc="55F282EA">
      <w:numFmt w:val="bullet"/>
      <w:lvlText w:val="•"/>
      <w:lvlJc w:val="left"/>
      <w:pPr>
        <w:ind w:left="6424" w:hanging="360"/>
      </w:pPr>
      <w:rPr>
        <w:rFonts w:hint="default"/>
      </w:rPr>
    </w:lvl>
    <w:lvl w:ilvl="7" w:tplc="D9D2E024">
      <w:numFmt w:val="bullet"/>
      <w:lvlText w:val="•"/>
      <w:lvlJc w:val="left"/>
      <w:pPr>
        <w:ind w:left="7358" w:hanging="360"/>
      </w:pPr>
      <w:rPr>
        <w:rFonts w:hint="default"/>
      </w:rPr>
    </w:lvl>
    <w:lvl w:ilvl="8" w:tplc="7F7AD108">
      <w:numFmt w:val="bullet"/>
      <w:lvlText w:val="•"/>
      <w:lvlJc w:val="left"/>
      <w:pPr>
        <w:ind w:left="8292" w:hanging="360"/>
      </w:pPr>
      <w:rPr>
        <w:rFonts w:hint="default"/>
      </w:rPr>
    </w:lvl>
  </w:abstractNum>
  <w:abstractNum w:abstractNumId="12" w15:restartNumberingAfterBreak="0">
    <w:nsid w:val="376E270C"/>
    <w:multiLevelType w:val="hybridMultilevel"/>
    <w:tmpl w:val="3D881C58"/>
    <w:lvl w:ilvl="0" w:tplc="DCC4DFDA">
      <w:start w:val="1"/>
      <w:numFmt w:val="decimal"/>
      <w:lvlText w:val="%1."/>
      <w:lvlJc w:val="left"/>
      <w:pPr>
        <w:ind w:left="548" w:hanging="428"/>
      </w:pPr>
      <w:rPr>
        <w:rFonts w:ascii="Times New Roman" w:eastAsia="Times New Roman" w:hAnsi="Times New Roman" w:cs="Times New Roman" w:hint="default"/>
        <w:w w:val="100"/>
        <w:sz w:val="22"/>
        <w:szCs w:val="22"/>
      </w:rPr>
    </w:lvl>
    <w:lvl w:ilvl="1" w:tplc="6A24555A">
      <w:numFmt w:val="bullet"/>
      <w:lvlText w:val="•"/>
      <w:lvlJc w:val="left"/>
      <w:pPr>
        <w:ind w:left="1502" w:hanging="428"/>
      </w:pPr>
      <w:rPr>
        <w:rFonts w:hint="default"/>
      </w:rPr>
    </w:lvl>
    <w:lvl w:ilvl="2" w:tplc="C1A68D8C">
      <w:numFmt w:val="bullet"/>
      <w:lvlText w:val="•"/>
      <w:lvlJc w:val="left"/>
      <w:pPr>
        <w:ind w:left="2464" w:hanging="428"/>
      </w:pPr>
      <w:rPr>
        <w:rFonts w:hint="default"/>
      </w:rPr>
    </w:lvl>
    <w:lvl w:ilvl="3" w:tplc="AAAC0192">
      <w:numFmt w:val="bullet"/>
      <w:lvlText w:val="•"/>
      <w:lvlJc w:val="left"/>
      <w:pPr>
        <w:ind w:left="3426" w:hanging="428"/>
      </w:pPr>
      <w:rPr>
        <w:rFonts w:hint="default"/>
      </w:rPr>
    </w:lvl>
    <w:lvl w:ilvl="4" w:tplc="9F3C4082">
      <w:numFmt w:val="bullet"/>
      <w:lvlText w:val="•"/>
      <w:lvlJc w:val="left"/>
      <w:pPr>
        <w:ind w:left="4388" w:hanging="428"/>
      </w:pPr>
      <w:rPr>
        <w:rFonts w:hint="default"/>
      </w:rPr>
    </w:lvl>
    <w:lvl w:ilvl="5" w:tplc="3D6A5DDA">
      <w:numFmt w:val="bullet"/>
      <w:lvlText w:val="•"/>
      <w:lvlJc w:val="left"/>
      <w:pPr>
        <w:ind w:left="5350" w:hanging="428"/>
      </w:pPr>
      <w:rPr>
        <w:rFonts w:hint="default"/>
      </w:rPr>
    </w:lvl>
    <w:lvl w:ilvl="6" w:tplc="E486A192">
      <w:numFmt w:val="bullet"/>
      <w:lvlText w:val="•"/>
      <w:lvlJc w:val="left"/>
      <w:pPr>
        <w:ind w:left="6312" w:hanging="428"/>
      </w:pPr>
      <w:rPr>
        <w:rFonts w:hint="default"/>
      </w:rPr>
    </w:lvl>
    <w:lvl w:ilvl="7" w:tplc="D3A01E02">
      <w:numFmt w:val="bullet"/>
      <w:lvlText w:val="•"/>
      <w:lvlJc w:val="left"/>
      <w:pPr>
        <w:ind w:left="7274" w:hanging="428"/>
      </w:pPr>
      <w:rPr>
        <w:rFonts w:hint="default"/>
      </w:rPr>
    </w:lvl>
    <w:lvl w:ilvl="8" w:tplc="BBE01E34">
      <w:numFmt w:val="bullet"/>
      <w:lvlText w:val="•"/>
      <w:lvlJc w:val="left"/>
      <w:pPr>
        <w:ind w:left="8236" w:hanging="428"/>
      </w:pPr>
      <w:rPr>
        <w:rFonts w:hint="default"/>
      </w:rPr>
    </w:lvl>
  </w:abstractNum>
  <w:abstractNum w:abstractNumId="13" w15:restartNumberingAfterBreak="0">
    <w:nsid w:val="38140EF6"/>
    <w:multiLevelType w:val="hybridMultilevel"/>
    <w:tmpl w:val="47CCD068"/>
    <w:lvl w:ilvl="0" w:tplc="A7ACE5D8">
      <w:start w:val="1"/>
      <w:numFmt w:val="decimal"/>
      <w:lvlText w:val="%1."/>
      <w:lvlJc w:val="left"/>
      <w:pPr>
        <w:ind w:left="548" w:hanging="428"/>
      </w:pPr>
      <w:rPr>
        <w:rFonts w:ascii="Times New Roman" w:eastAsia="Times New Roman" w:hAnsi="Times New Roman" w:cs="Times New Roman" w:hint="default"/>
        <w:w w:val="100"/>
        <w:sz w:val="22"/>
        <w:szCs w:val="22"/>
      </w:rPr>
    </w:lvl>
    <w:lvl w:ilvl="1" w:tplc="188E68A8">
      <w:numFmt w:val="bullet"/>
      <w:lvlText w:val="•"/>
      <w:lvlJc w:val="left"/>
      <w:pPr>
        <w:ind w:left="1502" w:hanging="428"/>
      </w:pPr>
      <w:rPr>
        <w:rFonts w:hint="default"/>
      </w:rPr>
    </w:lvl>
    <w:lvl w:ilvl="2" w:tplc="4D38B62A">
      <w:numFmt w:val="bullet"/>
      <w:lvlText w:val="•"/>
      <w:lvlJc w:val="left"/>
      <w:pPr>
        <w:ind w:left="2464" w:hanging="428"/>
      </w:pPr>
      <w:rPr>
        <w:rFonts w:hint="default"/>
      </w:rPr>
    </w:lvl>
    <w:lvl w:ilvl="3" w:tplc="E76823BC">
      <w:numFmt w:val="bullet"/>
      <w:lvlText w:val="•"/>
      <w:lvlJc w:val="left"/>
      <w:pPr>
        <w:ind w:left="3426" w:hanging="428"/>
      </w:pPr>
      <w:rPr>
        <w:rFonts w:hint="default"/>
      </w:rPr>
    </w:lvl>
    <w:lvl w:ilvl="4" w:tplc="38E074CE">
      <w:numFmt w:val="bullet"/>
      <w:lvlText w:val="•"/>
      <w:lvlJc w:val="left"/>
      <w:pPr>
        <w:ind w:left="4388" w:hanging="428"/>
      </w:pPr>
      <w:rPr>
        <w:rFonts w:hint="default"/>
      </w:rPr>
    </w:lvl>
    <w:lvl w:ilvl="5" w:tplc="6B6ECCFC">
      <w:numFmt w:val="bullet"/>
      <w:lvlText w:val="•"/>
      <w:lvlJc w:val="left"/>
      <w:pPr>
        <w:ind w:left="5350" w:hanging="428"/>
      </w:pPr>
      <w:rPr>
        <w:rFonts w:hint="default"/>
      </w:rPr>
    </w:lvl>
    <w:lvl w:ilvl="6" w:tplc="5B3C928E">
      <w:numFmt w:val="bullet"/>
      <w:lvlText w:val="•"/>
      <w:lvlJc w:val="left"/>
      <w:pPr>
        <w:ind w:left="6312" w:hanging="428"/>
      </w:pPr>
      <w:rPr>
        <w:rFonts w:hint="default"/>
      </w:rPr>
    </w:lvl>
    <w:lvl w:ilvl="7" w:tplc="CB3E8A06">
      <w:numFmt w:val="bullet"/>
      <w:lvlText w:val="•"/>
      <w:lvlJc w:val="left"/>
      <w:pPr>
        <w:ind w:left="7274" w:hanging="428"/>
      </w:pPr>
      <w:rPr>
        <w:rFonts w:hint="default"/>
      </w:rPr>
    </w:lvl>
    <w:lvl w:ilvl="8" w:tplc="B1F0D8DA">
      <w:numFmt w:val="bullet"/>
      <w:lvlText w:val="•"/>
      <w:lvlJc w:val="left"/>
      <w:pPr>
        <w:ind w:left="8236" w:hanging="428"/>
      </w:pPr>
      <w:rPr>
        <w:rFonts w:hint="default"/>
      </w:rPr>
    </w:lvl>
  </w:abstractNum>
  <w:abstractNum w:abstractNumId="14" w15:restartNumberingAfterBreak="0">
    <w:nsid w:val="3BE32F1E"/>
    <w:multiLevelType w:val="hybridMultilevel"/>
    <w:tmpl w:val="7F208DB4"/>
    <w:lvl w:ilvl="0" w:tplc="C90A405C">
      <w:start w:val="1"/>
      <w:numFmt w:val="decimal"/>
      <w:lvlText w:val="%1."/>
      <w:lvlJc w:val="left"/>
      <w:pPr>
        <w:ind w:left="548" w:hanging="428"/>
      </w:pPr>
      <w:rPr>
        <w:rFonts w:ascii="Times New Roman" w:eastAsia="Times New Roman" w:hAnsi="Times New Roman" w:cs="Times New Roman" w:hint="default"/>
        <w:w w:val="100"/>
        <w:sz w:val="22"/>
        <w:szCs w:val="22"/>
      </w:rPr>
    </w:lvl>
    <w:lvl w:ilvl="1" w:tplc="832A5EBA">
      <w:numFmt w:val="bullet"/>
      <w:lvlText w:val="•"/>
      <w:lvlJc w:val="left"/>
      <w:pPr>
        <w:ind w:left="1502" w:hanging="428"/>
      </w:pPr>
      <w:rPr>
        <w:rFonts w:hint="default"/>
      </w:rPr>
    </w:lvl>
    <w:lvl w:ilvl="2" w:tplc="9A985D9C">
      <w:numFmt w:val="bullet"/>
      <w:lvlText w:val="•"/>
      <w:lvlJc w:val="left"/>
      <w:pPr>
        <w:ind w:left="2464" w:hanging="428"/>
      </w:pPr>
      <w:rPr>
        <w:rFonts w:hint="default"/>
      </w:rPr>
    </w:lvl>
    <w:lvl w:ilvl="3" w:tplc="A5DEB192">
      <w:numFmt w:val="bullet"/>
      <w:lvlText w:val="•"/>
      <w:lvlJc w:val="left"/>
      <w:pPr>
        <w:ind w:left="3426" w:hanging="428"/>
      </w:pPr>
      <w:rPr>
        <w:rFonts w:hint="default"/>
      </w:rPr>
    </w:lvl>
    <w:lvl w:ilvl="4" w:tplc="A086E07A">
      <w:numFmt w:val="bullet"/>
      <w:lvlText w:val="•"/>
      <w:lvlJc w:val="left"/>
      <w:pPr>
        <w:ind w:left="4388" w:hanging="428"/>
      </w:pPr>
      <w:rPr>
        <w:rFonts w:hint="default"/>
      </w:rPr>
    </w:lvl>
    <w:lvl w:ilvl="5" w:tplc="6E10B932">
      <w:numFmt w:val="bullet"/>
      <w:lvlText w:val="•"/>
      <w:lvlJc w:val="left"/>
      <w:pPr>
        <w:ind w:left="5350" w:hanging="428"/>
      </w:pPr>
      <w:rPr>
        <w:rFonts w:hint="default"/>
      </w:rPr>
    </w:lvl>
    <w:lvl w:ilvl="6" w:tplc="58D43064">
      <w:numFmt w:val="bullet"/>
      <w:lvlText w:val="•"/>
      <w:lvlJc w:val="left"/>
      <w:pPr>
        <w:ind w:left="6312" w:hanging="428"/>
      </w:pPr>
      <w:rPr>
        <w:rFonts w:hint="default"/>
      </w:rPr>
    </w:lvl>
    <w:lvl w:ilvl="7" w:tplc="D402E7F6">
      <w:numFmt w:val="bullet"/>
      <w:lvlText w:val="•"/>
      <w:lvlJc w:val="left"/>
      <w:pPr>
        <w:ind w:left="7274" w:hanging="428"/>
      </w:pPr>
      <w:rPr>
        <w:rFonts w:hint="default"/>
      </w:rPr>
    </w:lvl>
    <w:lvl w:ilvl="8" w:tplc="7C02DAB2">
      <w:numFmt w:val="bullet"/>
      <w:lvlText w:val="•"/>
      <w:lvlJc w:val="left"/>
      <w:pPr>
        <w:ind w:left="8236" w:hanging="428"/>
      </w:pPr>
      <w:rPr>
        <w:rFonts w:hint="default"/>
      </w:rPr>
    </w:lvl>
  </w:abstractNum>
  <w:abstractNum w:abstractNumId="15" w15:restartNumberingAfterBreak="0">
    <w:nsid w:val="440B213A"/>
    <w:multiLevelType w:val="hybridMultilevel"/>
    <w:tmpl w:val="5AAAB144"/>
    <w:lvl w:ilvl="0" w:tplc="375E8588">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493748"/>
    <w:multiLevelType w:val="hybridMultilevel"/>
    <w:tmpl w:val="2B1AE7EE"/>
    <w:lvl w:ilvl="0" w:tplc="2D5CAD5E">
      <w:start w:val="1"/>
      <w:numFmt w:val="decimal"/>
      <w:lvlText w:val="%1."/>
      <w:lvlJc w:val="left"/>
      <w:pPr>
        <w:ind w:left="548" w:hanging="428"/>
      </w:pPr>
      <w:rPr>
        <w:rFonts w:ascii="Times New Roman" w:eastAsia="Times New Roman" w:hAnsi="Times New Roman" w:cs="Times New Roman" w:hint="default"/>
        <w:w w:val="100"/>
        <w:sz w:val="22"/>
        <w:szCs w:val="22"/>
      </w:rPr>
    </w:lvl>
    <w:lvl w:ilvl="1" w:tplc="8A8A7B3C">
      <w:numFmt w:val="bullet"/>
      <w:lvlText w:val="•"/>
      <w:lvlJc w:val="left"/>
      <w:pPr>
        <w:ind w:left="1502" w:hanging="428"/>
      </w:pPr>
      <w:rPr>
        <w:rFonts w:hint="default"/>
      </w:rPr>
    </w:lvl>
    <w:lvl w:ilvl="2" w:tplc="0F22DD36">
      <w:numFmt w:val="bullet"/>
      <w:lvlText w:val="•"/>
      <w:lvlJc w:val="left"/>
      <w:pPr>
        <w:ind w:left="2464" w:hanging="428"/>
      </w:pPr>
      <w:rPr>
        <w:rFonts w:hint="default"/>
      </w:rPr>
    </w:lvl>
    <w:lvl w:ilvl="3" w:tplc="F8BE5C70">
      <w:numFmt w:val="bullet"/>
      <w:lvlText w:val="•"/>
      <w:lvlJc w:val="left"/>
      <w:pPr>
        <w:ind w:left="3426" w:hanging="428"/>
      </w:pPr>
      <w:rPr>
        <w:rFonts w:hint="default"/>
      </w:rPr>
    </w:lvl>
    <w:lvl w:ilvl="4" w:tplc="A968A292">
      <w:numFmt w:val="bullet"/>
      <w:lvlText w:val="•"/>
      <w:lvlJc w:val="left"/>
      <w:pPr>
        <w:ind w:left="4388" w:hanging="428"/>
      </w:pPr>
      <w:rPr>
        <w:rFonts w:hint="default"/>
      </w:rPr>
    </w:lvl>
    <w:lvl w:ilvl="5" w:tplc="4D6C8302">
      <w:numFmt w:val="bullet"/>
      <w:lvlText w:val="•"/>
      <w:lvlJc w:val="left"/>
      <w:pPr>
        <w:ind w:left="5350" w:hanging="428"/>
      </w:pPr>
      <w:rPr>
        <w:rFonts w:hint="default"/>
      </w:rPr>
    </w:lvl>
    <w:lvl w:ilvl="6" w:tplc="6CC4350A">
      <w:numFmt w:val="bullet"/>
      <w:lvlText w:val="•"/>
      <w:lvlJc w:val="left"/>
      <w:pPr>
        <w:ind w:left="6312" w:hanging="428"/>
      </w:pPr>
      <w:rPr>
        <w:rFonts w:hint="default"/>
      </w:rPr>
    </w:lvl>
    <w:lvl w:ilvl="7" w:tplc="2CAACFCA">
      <w:numFmt w:val="bullet"/>
      <w:lvlText w:val="•"/>
      <w:lvlJc w:val="left"/>
      <w:pPr>
        <w:ind w:left="7274" w:hanging="428"/>
      </w:pPr>
      <w:rPr>
        <w:rFonts w:hint="default"/>
      </w:rPr>
    </w:lvl>
    <w:lvl w:ilvl="8" w:tplc="223CDD06">
      <w:numFmt w:val="bullet"/>
      <w:lvlText w:val="•"/>
      <w:lvlJc w:val="left"/>
      <w:pPr>
        <w:ind w:left="8236" w:hanging="428"/>
      </w:pPr>
      <w:rPr>
        <w:rFonts w:hint="default"/>
      </w:rPr>
    </w:lvl>
  </w:abstractNum>
  <w:abstractNum w:abstractNumId="17" w15:restartNumberingAfterBreak="0">
    <w:nsid w:val="4E2B0980"/>
    <w:multiLevelType w:val="hybridMultilevel"/>
    <w:tmpl w:val="5E22CB40"/>
    <w:lvl w:ilvl="0" w:tplc="D72AFC02">
      <w:start w:val="1"/>
      <w:numFmt w:val="decimal"/>
      <w:lvlText w:val="%1."/>
      <w:lvlJc w:val="left"/>
      <w:pPr>
        <w:ind w:left="1282" w:hanging="428"/>
      </w:pPr>
      <w:rPr>
        <w:rFonts w:ascii="Times New Roman" w:eastAsia="Times New Roman" w:hAnsi="Times New Roman" w:cs="Times New Roman" w:hint="default"/>
        <w:w w:val="100"/>
        <w:sz w:val="22"/>
        <w:szCs w:val="22"/>
      </w:rPr>
    </w:lvl>
    <w:lvl w:ilvl="1" w:tplc="88083C74">
      <w:numFmt w:val="bullet"/>
      <w:lvlText w:val="•"/>
      <w:lvlJc w:val="left"/>
      <w:pPr>
        <w:ind w:left="2236" w:hanging="428"/>
      </w:pPr>
      <w:rPr>
        <w:rFonts w:hint="default"/>
      </w:rPr>
    </w:lvl>
    <w:lvl w:ilvl="2" w:tplc="B8FC4BD8">
      <w:numFmt w:val="bullet"/>
      <w:lvlText w:val="•"/>
      <w:lvlJc w:val="left"/>
      <w:pPr>
        <w:ind w:left="3198" w:hanging="428"/>
      </w:pPr>
      <w:rPr>
        <w:rFonts w:hint="default"/>
      </w:rPr>
    </w:lvl>
    <w:lvl w:ilvl="3" w:tplc="29529612">
      <w:numFmt w:val="bullet"/>
      <w:lvlText w:val="•"/>
      <w:lvlJc w:val="left"/>
      <w:pPr>
        <w:ind w:left="4160" w:hanging="428"/>
      </w:pPr>
      <w:rPr>
        <w:rFonts w:hint="default"/>
      </w:rPr>
    </w:lvl>
    <w:lvl w:ilvl="4" w:tplc="A860ED32">
      <w:numFmt w:val="bullet"/>
      <w:lvlText w:val="•"/>
      <w:lvlJc w:val="left"/>
      <w:pPr>
        <w:ind w:left="5122" w:hanging="428"/>
      </w:pPr>
      <w:rPr>
        <w:rFonts w:hint="default"/>
      </w:rPr>
    </w:lvl>
    <w:lvl w:ilvl="5" w:tplc="19E01C16">
      <w:numFmt w:val="bullet"/>
      <w:lvlText w:val="•"/>
      <w:lvlJc w:val="left"/>
      <w:pPr>
        <w:ind w:left="6084" w:hanging="428"/>
      </w:pPr>
      <w:rPr>
        <w:rFonts w:hint="default"/>
      </w:rPr>
    </w:lvl>
    <w:lvl w:ilvl="6" w:tplc="D05E3F0E">
      <w:numFmt w:val="bullet"/>
      <w:lvlText w:val="•"/>
      <w:lvlJc w:val="left"/>
      <w:pPr>
        <w:ind w:left="7046" w:hanging="428"/>
      </w:pPr>
      <w:rPr>
        <w:rFonts w:hint="default"/>
      </w:rPr>
    </w:lvl>
    <w:lvl w:ilvl="7" w:tplc="5E323718">
      <w:numFmt w:val="bullet"/>
      <w:lvlText w:val="•"/>
      <w:lvlJc w:val="left"/>
      <w:pPr>
        <w:ind w:left="8008" w:hanging="428"/>
      </w:pPr>
      <w:rPr>
        <w:rFonts w:hint="default"/>
      </w:rPr>
    </w:lvl>
    <w:lvl w:ilvl="8" w:tplc="0C686836">
      <w:numFmt w:val="bullet"/>
      <w:lvlText w:val="•"/>
      <w:lvlJc w:val="left"/>
      <w:pPr>
        <w:ind w:left="8970" w:hanging="428"/>
      </w:pPr>
      <w:rPr>
        <w:rFonts w:hint="default"/>
      </w:rPr>
    </w:lvl>
  </w:abstractNum>
  <w:abstractNum w:abstractNumId="18" w15:restartNumberingAfterBreak="0">
    <w:nsid w:val="4F3C7231"/>
    <w:multiLevelType w:val="hybridMultilevel"/>
    <w:tmpl w:val="5B3CA59E"/>
    <w:lvl w:ilvl="0" w:tplc="EE4A2B4A">
      <w:start w:val="1"/>
      <w:numFmt w:val="decimal"/>
      <w:lvlText w:val="%1."/>
      <w:lvlJc w:val="left"/>
      <w:pPr>
        <w:ind w:left="548" w:hanging="428"/>
      </w:pPr>
      <w:rPr>
        <w:rFonts w:ascii="Times New Roman" w:eastAsia="Times New Roman" w:hAnsi="Times New Roman" w:cs="Times New Roman" w:hint="default"/>
        <w:w w:val="100"/>
        <w:sz w:val="22"/>
        <w:szCs w:val="22"/>
      </w:rPr>
    </w:lvl>
    <w:lvl w:ilvl="1" w:tplc="0450BE5C">
      <w:numFmt w:val="bullet"/>
      <w:lvlText w:val="•"/>
      <w:lvlJc w:val="left"/>
      <w:pPr>
        <w:ind w:left="1502" w:hanging="428"/>
      </w:pPr>
      <w:rPr>
        <w:rFonts w:hint="default"/>
      </w:rPr>
    </w:lvl>
    <w:lvl w:ilvl="2" w:tplc="46162DE0">
      <w:numFmt w:val="bullet"/>
      <w:lvlText w:val="•"/>
      <w:lvlJc w:val="left"/>
      <w:pPr>
        <w:ind w:left="2464" w:hanging="428"/>
      </w:pPr>
      <w:rPr>
        <w:rFonts w:hint="default"/>
      </w:rPr>
    </w:lvl>
    <w:lvl w:ilvl="3" w:tplc="6866ACB8">
      <w:numFmt w:val="bullet"/>
      <w:lvlText w:val="•"/>
      <w:lvlJc w:val="left"/>
      <w:pPr>
        <w:ind w:left="3426" w:hanging="428"/>
      </w:pPr>
      <w:rPr>
        <w:rFonts w:hint="default"/>
      </w:rPr>
    </w:lvl>
    <w:lvl w:ilvl="4" w:tplc="8D128576">
      <w:numFmt w:val="bullet"/>
      <w:lvlText w:val="•"/>
      <w:lvlJc w:val="left"/>
      <w:pPr>
        <w:ind w:left="4388" w:hanging="428"/>
      </w:pPr>
      <w:rPr>
        <w:rFonts w:hint="default"/>
      </w:rPr>
    </w:lvl>
    <w:lvl w:ilvl="5" w:tplc="7772DAB8">
      <w:numFmt w:val="bullet"/>
      <w:lvlText w:val="•"/>
      <w:lvlJc w:val="left"/>
      <w:pPr>
        <w:ind w:left="5350" w:hanging="428"/>
      </w:pPr>
      <w:rPr>
        <w:rFonts w:hint="default"/>
      </w:rPr>
    </w:lvl>
    <w:lvl w:ilvl="6" w:tplc="8342D8E2">
      <w:numFmt w:val="bullet"/>
      <w:lvlText w:val="•"/>
      <w:lvlJc w:val="left"/>
      <w:pPr>
        <w:ind w:left="6312" w:hanging="428"/>
      </w:pPr>
      <w:rPr>
        <w:rFonts w:hint="default"/>
      </w:rPr>
    </w:lvl>
    <w:lvl w:ilvl="7" w:tplc="D33E9FF4">
      <w:numFmt w:val="bullet"/>
      <w:lvlText w:val="•"/>
      <w:lvlJc w:val="left"/>
      <w:pPr>
        <w:ind w:left="7274" w:hanging="428"/>
      </w:pPr>
      <w:rPr>
        <w:rFonts w:hint="default"/>
      </w:rPr>
    </w:lvl>
    <w:lvl w:ilvl="8" w:tplc="01206A08">
      <w:numFmt w:val="bullet"/>
      <w:lvlText w:val="•"/>
      <w:lvlJc w:val="left"/>
      <w:pPr>
        <w:ind w:left="8236" w:hanging="428"/>
      </w:pPr>
      <w:rPr>
        <w:rFonts w:hint="default"/>
      </w:rPr>
    </w:lvl>
  </w:abstractNum>
  <w:abstractNum w:abstractNumId="19" w15:restartNumberingAfterBreak="0">
    <w:nsid w:val="51BB2A09"/>
    <w:multiLevelType w:val="hybridMultilevel"/>
    <w:tmpl w:val="5E22CB40"/>
    <w:lvl w:ilvl="0" w:tplc="D72AFC02">
      <w:start w:val="1"/>
      <w:numFmt w:val="decimal"/>
      <w:lvlText w:val="%1."/>
      <w:lvlJc w:val="left"/>
      <w:pPr>
        <w:ind w:left="1282" w:hanging="428"/>
      </w:pPr>
      <w:rPr>
        <w:rFonts w:ascii="Times New Roman" w:eastAsia="Times New Roman" w:hAnsi="Times New Roman" w:cs="Times New Roman" w:hint="default"/>
        <w:w w:val="100"/>
        <w:sz w:val="22"/>
        <w:szCs w:val="22"/>
      </w:rPr>
    </w:lvl>
    <w:lvl w:ilvl="1" w:tplc="88083C74">
      <w:numFmt w:val="bullet"/>
      <w:lvlText w:val="•"/>
      <w:lvlJc w:val="left"/>
      <w:pPr>
        <w:ind w:left="2236" w:hanging="428"/>
      </w:pPr>
      <w:rPr>
        <w:rFonts w:hint="default"/>
      </w:rPr>
    </w:lvl>
    <w:lvl w:ilvl="2" w:tplc="B8FC4BD8">
      <w:numFmt w:val="bullet"/>
      <w:lvlText w:val="•"/>
      <w:lvlJc w:val="left"/>
      <w:pPr>
        <w:ind w:left="3198" w:hanging="428"/>
      </w:pPr>
      <w:rPr>
        <w:rFonts w:hint="default"/>
      </w:rPr>
    </w:lvl>
    <w:lvl w:ilvl="3" w:tplc="29529612">
      <w:numFmt w:val="bullet"/>
      <w:lvlText w:val="•"/>
      <w:lvlJc w:val="left"/>
      <w:pPr>
        <w:ind w:left="4160" w:hanging="428"/>
      </w:pPr>
      <w:rPr>
        <w:rFonts w:hint="default"/>
      </w:rPr>
    </w:lvl>
    <w:lvl w:ilvl="4" w:tplc="A860ED32">
      <w:numFmt w:val="bullet"/>
      <w:lvlText w:val="•"/>
      <w:lvlJc w:val="left"/>
      <w:pPr>
        <w:ind w:left="5122" w:hanging="428"/>
      </w:pPr>
      <w:rPr>
        <w:rFonts w:hint="default"/>
      </w:rPr>
    </w:lvl>
    <w:lvl w:ilvl="5" w:tplc="19E01C16">
      <w:numFmt w:val="bullet"/>
      <w:lvlText w:val="•"/>
      <w:lvlJc w:val="left"/>
      <w:pPr>
        <w:ind w:left="6084" w:hanging="428"/>
      </w:pPr>
      <w:rPr>
        <w:rFonts w:hint="default"/>
      </w:rPr>
    </w:lvl>
    <w:lvl w:ilvl="6" w:tplc="D05E3F0E">
      <w:numFmt w:val="bullet"/>
      <w:lvlText w:val="•"/>
      <w:lvlJc w:val="left"/>
      <w:pPr>
        <w:ind w:left="7046" w:hanging="428"/>
      </w:pPr>
      <w:rPr>
        <w:rFonts w:hint="default"/>
      </w:rPr>
    </w:lvl>
    <w:lvl w:ilvl="7" w:tplc="5E323718">
      <w:numFmt w:val="bullet"/>
      <w:lvlText w:val="•"/>
      <w:lvlJc w:val="left"/>
      <w:pPr>
        <w:ind w:left="8008" w:hanging="428"/>
      </w:pPr>
      <w:rPr>
        <w:rFonts w:hint="default"/>
      </w:rPr>
    </w:lvl>
    <w:lvl w:ilvl="8" w:tplc="0C686836">
      <w:numFmt w:val="bullet"/>
      <w:lvlText w:val="•"/>
      <w:lvlJc w:val="left"/>
      <w:pPr>
        <w:ind w:left="8970" w:hanging="428"/>
      </w:pPr>
      <w:rPr>
        <w:rFonts w:hint="default"/>
      </w:rPr>
    </w:lvl>
  </w:abstractNum>
  <w:abstractNum w:abstractNumId="20" w15:restartNumberingAfterBreak="0">
    <w:nsid w:val="52CB0E72"/>
    <w:multiLevelType w:val="hybridMultilevel"/>
    <w:tmpl w:val="B1708F90"/>
    <w:lvl w:ilvl="0" w:tplc="0178BA9C">
      <w:start w:val="1"/>
      <w:numFmt w:val="decimal"/>
      <w:lvlText w:val="%1."/>
      <w:lvlJc w:val="left"/>
      <w:pPr>
        <w:ind w:left="840" w:hanging="720"/>
      </w:pPr>
      <w:rPr>
        <w:rFonts w:ascii="Times New Roman" w:eastAsia="Times New Roman" w:hAnsi="Times New Roman" w:cs="Times New Roman" w:hint="default"/>
        <w:w w:val="100"/>
        <w:sz w:val="22"/>
        <w:szCs w:val="22"/>
      </w:rPr>
    </w:lvl>
    <w:lvl w:ilvl="1" w:tplc="A3E06034">
      <w:start w:val="1"/>
      <w:numFmt w:val="lowerLetter"/>
      <w:lvlText w:val="%2."/>
      <w:lvlJc w:val="left"/>
      <w:pPr>
        <w:ind w:left="1560" w:hanging="360"/>
      </w:pPr>
      <w:rPr>
        <w:rFonts w:ascii="Times New Roman" w:eastAsia="Times New Roman" w:hAnsi="Times New Roman" w:cs="Times New Roman" w:hint="default"/>
        <w:w w:val="100"/>
        <w:sz w:val="22"/>
        <w:szCs w:val="22"/>
      </w:rPr>
    </w:lvl>
    <w:lvl w:ilvl="2" w:tplc="205CCC8C">
      <w:numFmt w:val="bullet"/>
      <w:lvlText w:val="•"/>
      <w:lvlJc w:val="left"/>
      <w:pPr>
        <w:ind w:left="2515" w:hanging="360"/>
      </w:pPr>
      <w:rPr>
        <w:rFonts w:hint="default"/>
      </w:rPr>
    </w:lvl>
    <w:lvl w:ilvl="3" w:tplc="9DA8E016">
      <w:numFmt w:val="bullet"/>
      <w:lvlText w:val="•"/>
      <w:lvlJc w:val="left"/>
      <w:pPr>
        <w:ind w:left="3471" w:hanging="360"/>
      </w:pPr>
      <w:rPr>
        <w:rFonts w:hint="default"/>
      </w:rPr>
    </w:lvl>
    <w:lvl w:ilvl="4" w:tplc="2AE06004">
      <w:numFmt w:val="bullet"/>
      <w:lvlText w:val="•"/>
      <w:lvlJc w:val="left"/>
      <w:pPr>
        <w:ind w:left="4426" w:hanging="360"/>
      </w:pPr>
      <w:rPr>
        <w:rFonts w:hint="default"/>
      </w:rPr>
    </w:lvl>
    <w:lvl w:ilvl="5" w:tplc="EC760BCC">
      <w:numFmt w:val="bullet"/>
      <w:lvlText w:val="•"/>
      <w:lvlJc w:val="left"/>
      <w:pPr>
        <w:ind w:left="5382" w:hanging="360"/>
      </w:pPr>
      <w:rPr>
        <w:rFonts w:hint="default"/>
      </w:rPr>
    </w:lvl>
    <w:lvl w:ilvl="6" w:tplc="1206C684">
      <w:numFmt w:val="bullet"/>
      <w:lvlText w:val="•"/>
      <w:lvlJc w:val="left"/>
      <w:pPr>
        <w:ind w:left="6337" w:hanging="360"/>
      </w:pPr>
      <w:rPr>
        <w:rFonts w:hint="default"/>
      </w:rPr>
    </w:lvl>
    <w:lvl w:ilvl="7" w:tplc="39467F16">
      <w:numFmt w:val="bullet"/>
      <w:lvlText w:val="•"/>
      <w:lvlJc w:val="left"/>
      <w:pPr>
        <w:ind w:left="7293" w:hanging="360"/>
      </w:pPr>
      <w:rPr>
        <w:rFonts w:hint="default"/>
      </w:rPr>
    </w:lvl>
    <w:lvl w:ilvl="8" w:tplc="0E042CD4">
      <w:numFmt w:val="bullet"/>
      <w:lvlText w:val="•"/>
      <w:lvlJc w:val="left"/>
      <w:pPr>
        <w:ind w:left="8248" w:hanging="360"/>
      </w:pPr>
      <w:rPr>
        <w:rFonts w:hint="default"/>
      </w:rPr>
    </w:lvl>
  </w:abstractNum>
  <w:abstractNum w:abstractNumId="21" w15:restartNumberingAfterBreak="0">
    <w:nsid w:val="55CF3CAB"/>
    <w:multiLevelType w:val="hybridMultilevel"/>
    <w:tmpl w:val="3C46D39E"/>
    <w:lvl w:ilvl="0" w:tplc="BC50C9E6">
      <w:start w:val="1"/>
      <w:numFmt w:val="decimal"/>
      <w:lvlText w:val="%1."/>
      <w:lvlJc w:val="left"/>
      <w:pPr>
        <w:ind w:left="1282" w:hanging="428"/>
      </w:pPr>
      <w:rPr>
        <w:rFonts w:ascii="Times New Roman" w:eastAsia="Times New Roman" w:hAnsi="Times New Roman" w:cs="Times New Roman" w:hint="default"/>
        <w:w w:val="100"/>
        <w:sz w:val="22"/>
        <w:szCs w:val="22"/>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7727D4A"/>
    <w:multiLevelType w:val="hybridMultilevel"/>
    <w:tmpl w:val="DE668C28"/>
    <w:lvl w:ilvl="0" w:tplc="700C0176">
      <w:start w:val="1"/>
      <w:numFmt w:val="decimal"/>
      <w:pStyle w:val="Article"/>
      <w:lvlText w:val="Articolul %1"/>
      <w:lvlJc w:val="left"/>
      <w:pPr>
        <w:ind w:left="1182" w:hanging="360"/>
      </w:pPr>
      <w:rPr>
        <w:rFonts w:hint="default"/>
      </w:rPr>
    </w:lvl>
    <w:lvl w:ilvl="1" w:tplc="04100019" w:tentative="1">
      <w:start w:val="1"/>
      <w:numFmt w:val="lowerLetter"/>
      <w:lvlText w:val="%2."/>
      <w:lvlJc w:val="left"/>
      <w:pPr>
        <w:ind w:left="1904" w:hanging="360"/>
      </w:pPr>
    </w:lvl>
    <w:lvl w:ilvl="2" w:tplc="0410001B" w:tentative="1">
      <w:start w:val="1"/>
      <w:numFmt w:val="lowerRoman"/>
      <w:lvlText w:val="%3."/>
      <w:lvlJc w:val="right"/>
      <w:pPr>
        <w:ind w:left="2624" w:hanging="180"/>
      </w:pPr>
    </w:lvl>
    <w:lvl w:ilvl="3" w:tplc="0410000F" w:tentative="1">
      <w:start w:val="1"/>
      <w:numFmt w:val="decimal"/>
      <w:lvlText w:val="%4."/>
      <w:lvlJc w:val="left"/>
      <w:pPr>
        <w:ind w:left="3344" w:hanging="360"/>
      </w:pPr>
    </w:lvl>
    <w:lvl w:ilvl="4" w:tplc="04100019" w:tentative="1">
      <w:start w:val="1"/>
      <w:numFmt w:val="lowerLetter"/>
      <w:lvlText w:val="%5."/>
      <w:lvlJc w:val="left"/>
      <w:pPr>
        <w:ind w:left="4064" w:hanging="360"/>
      </w:pPr>
    </w:lvl>
    <w:lvl w:ilvl="5" w:tplc="0410001B" w:tentative="1">
      <w:start w:val="1"/>
      <w:numFmt w:val="lowerRoman"/>
      <w:lvlText w:val="%6."/>
      <w:lvlJc w:val="right"/>
      <w:pPr>
        <w:ind w:left="4784" w:hanging="180"/>
      </w:pPr>
    </w:lvl>
    <w:lvl w:ilvl="6" w:tplc="0410000F" w:tentative="1">
      <w:start w:val="1"/>
      <w:numFmt w:val="decimal"/>
      <w:lvlText w:val="%7."/>
      <w:lvlJc w:val="left"/>
      <w:pPr>
        <w:ind w:left="5504" w:hanging="360"/>
      </w:pPr>
    </w:lvl>
    <w:lvl w:ilvl="7" w:tplc="04100019" w:tentative="1">
      <w:start w:val="1"/>
      <w:numFmt w:val="lowerLetter"/>
      <w:lvlText w:val="%8."/>
      <w:lvlJc w:val="left"/>
      <w:pPr>
        <w:ind w:left="6224" w:hanging="360"/>
      </w:pPr>
    </w:lvl>
    <w:lvl w:ilvl="8" w:tplc="0410001B" w:tentative="1">
      <w:start w:val="1"/>
      <w:numFmt w:val="lowerRoman"/>
      <w:lvlText w:val="%9."/>
      <w:lvlJc w:val="right"/>
      <w:pPr>
        <w:ind w:left="6944" w:hanging="180"/>
      </w:pPr>
    </w:lvl>
  </w:abstractNum>
  <w:abstractNum w:abstractNumId="23" w15:restartNumberingAfterBreak="0">
    <w:nsid w:val="5B6863CB"/>
    <w:multiLevelType w:val="hybridMultilevel"/>
    <w:tmpl w:val="49B64B74"/>
    <w:lvl w:ilvl="0" w:tplc="226AB5B0">
      <w:start w:val="1"/>
      <w:numFmt w:val="decimal"/>
      <w:lvlText w:val="%1."/>
      <w:lvlJc w:val="left"/>
      <w:pPr>
        <w:ind w:left="1282" w:hanging="428"/>
      </w:pPr>
      <w:rPr>
        <w:rFonts w:ascii="Times New Roman" w:eastAsia="Times New Roman" w:hAnsi="Times New Roman" w:cs="Times New Roman" w:hint="default"/>
        <w:w w:val="100"/>
        <w:sz w:val="22"/>
        <w:szCs w:val="22"/>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C266AA4"/>
    <w:multiLevelType w:val="hybridMultilevel"/>
    <w:tmpl w:val="B2E80B3E"/>
    <w:lvl w:ilvl="0" w:tplc="0410000F">
      <w:start w:val="1"/>
      <w:numFmt w:val="decimal"/>
      <w:lvlText w:val="%1."/>
      <w:lvlJc w:val="left"/>
      <w:pPr>
        <w:ind w:left="1267" w:hanging="360"/>
      </w:pPr>
    </w:lvl>
    <w:lvl w:ilvl="1" w:tplc="04100019" w:tentative="1">
      <w:start w:val="1"/>
      <w:numFmt w:val="lowerLetter"/>
      <w:lvlText w:val="%2."/>
      <w:lvlJc w:val="left"/>
      <w:pPr>
        <w:ind w:left="1987" w:hanging="360"/>
      </w:pPr>
    </w:lvl>
    <w:lvl w:ilvl="2" w:tplc="0410001B" w:tentative="1">
      <w:start w:val="1"/>
      <w:numFmt w:val="lowerRoman"/>
      <w:lvlText w:val="%3."/>
      <w:lvlJc w:val="right"/>
      <w:pPr>
        <w:ind w:left="2707" w:hanging="180"/>
      </w:pPr>
    </w:lvl>
    <w:lvl w:ilvl="3" w:tplc="0410000F" w:tentative="1">
      <w:start w:val="1"/>
      <w:numFmt w:val="decimal"/>
      <w:lvlText w:val="%4."/>
      <w:lvlJc w:val="left"/>
      <w:pPr>
        <w:ind w:left="3427" w:hanging="360"/>
      </w:pPr>
    </w:lvl>
    <w:lvl w:ilvl="4" w:tplc="04100019" w:tentative="1">
      <w:start w:val="1"/>
      <w:numFmt w:val="lowerLetter"/>
      <w:lvlText w:val="%5."/>
      <w:lvlJc w:val="left"/>
      <w:pPr>
        <w:ind w:left="4147" w:hanging="360"/>
      </w:pPr>
    </w:lvl>
    <w:lvl w:ilvl="5" w:tplc="0410001B" w:tentative="1">
      <w:start w:val="1"/>
      <w:numFmt w:val="lowerRoman"/>
      <w:lvlText w:val="%6."/>
      <w:lvlJc w:val="right"/>
      <w:pPr>
        <w:ind w:left="4867" w:hanging="180"/>
      </w:pPr>
    </w:lvl>
    <w:lvl w:ilvl="6" w:tplc="0410000F" w:tentative="1">
      <w:start w:val="1"/>
      <w:numFmt w:val="decimal"/>
      <w:lvlText w:val="%7."/>
      <w:lvlJc w:val="left"/>
      <w:pPr>
        <w:ind w:left="5587" w:hanging="360"/>
      </w:pPr>
    </w:lvl>
    <w:lvl w:ilvl="7" w:tplc="04100019" w:tentative="1">
      <w:start w:val="1"/>
      <w:numFmt w:val="lowerLetter"/>
      <w:lvlText w:val="%8."/>
      <w:lvlJc w:val="left"/>
      <w:pPr>
        <w:ind w:left="6307" w:hanging="360"/>
      </w:pPr>
    </w:lvl>
    <w:lvl w:ilvl="8" w:tplc="0410001B" w:tentative="1">
      <w:start w:val="1"/>
      <w:numFmt w:val="lowerRoman"/>
      <w:lvlText w:val="%9."/>
      <w:lvlJc w:val="right"/>
      <w:pPr>
        <w:ind w:left="7027" w:hanging="180"/>
      </w:pPr>
    </w:lvl>
  </w:abstractNum>
  <w:abstractNum w:abstractNumId="25" w15:restartNumberingAfterBreak="0">
    <w:nsid w:val="6BA578BF"/>
    <w:multiLevelType w:val="hybridMultilevel"/>
    <w:tmpl w:val="30824608"/>
    <w:lvl w:ilvl="0" w:tplc="16286994">
      <w:start w:val="1"/>
      <w:numFmt w:val="decimal"/>
      <w:lvlText w:val="%1."/>
      <w:lvlJc w:val="left"/>
      <w:pPr>
        <w:ind w:left="548" w:hanging="428"/>
      </w:pPr>
      <w:rPr>
        <w:rFonts w:ascii="Times New Roman" w:eastAsia="Times New Roman" w:hAnsi="Times New Roman" w:cs="Times New Roman" w:hint="default"/>
        <w:w w:val="100"/>
        <w:sz w:val="22"/>
        <w:szCs w:val="22"/>
      </w:rPr>
    </w:lvl>
    <w:lvl w:ilvl="1" w:tplc="D8024072">
      <w:numFmt w:val="bullet"/>
      <w:lvlText w:val="•"/>
      <w:lvlJc w:val="left"/>
      <w:pPr>
        <w:ind w:left="1502" w:hanging="428"/>
      </w:pPr>
      <w:rPr>
        <w:rFonts w:hint="default"/>
      </w:rPr>
    </w:lvl>
    <w:lvl w:ilvl="2" w:tplc="A588F67A">
      <w:numFmt w:val="bullet"/>
      <w:lvlText w:val="•"/>
      <w:lvlJc w:val="left"/>
      <w:pPr>
        <w:ind w:left="2464" w:hanging="428"/>
      </w:pPr>
      <w:rPr>
        <w:rFonts w:hint="default"/>
      </w:rPr>
    </w:lvl>
    <w:lvl w:ilvl="3" w:tplc="686458B8">
      <w:numFmt w:val="bullet"/>
      <w:lvlText w:val="•"/>
      <w:lvlJc w:val="left"/>
      <w:pPr>
        <w:ind w:left="3426" w:hanging="428"/>
      </w:pPr>
      <w:rPr>
        <w:rFonts w:hint="default"/>
      </w:rPr>
    </w:lvl>
    <w:lvl w:ilvl="4" w:tplc="EBE661BC">
      <w:numFmt w:val="bullet"/>
      <w:lvlText w:val="•"/>
      <w:lvlJc w:val="left"/>
      <w:pPr>
        <w:ind w:left="4388" w:hanging="428"/>
      </w:pPr>
      <w:rPr>
        <w:rFonts w:hint="default"/>
      </w:rPr>
    </w:lvl>
    <w:lvl w:ilvl="5" w:tplc="03425990">
      <w:numFmt w:val="bullet"/>
      <w:lvlText w:val="•"/>
      <w:lvlJc w:val="left"/>
      <w:pPr>
        <w:ind w:left="5350" w:hanging="428"/>
      </w:pPr>
      <w:rPr>
        <w:rFonts w:hint="default"/>
      </w:rPr>
    </w:lvl>
    <w:lvl w:ilvl="6" w:tplc="5B400552">
      <w:numFmt w:val="bullet"/>
      <w:lvlText w:val="•"/>
      <w:lvlJc w:val="left"/>
      <w:pPr>
        <w:ind w:left="6312" w:hanging="428"/>
      </w:pPr>
      <w:rPr>
        <w:rFonts w:hint="default"/>
      </w:rPr>
    </w:lvl>
    <w:lvl w:ilvl="7" w:tplc="912CECFC">
      <w:numFmt w:val="bullet"/>
      <w:lvlText w:val="•"/>
      <w:lvlJc w:val="left"/>
      <w:pPr>
        <w:ind w:left="7274" w:hanging="428"/>
      </w:pPr>
      <w:rPr>
        <w:rFonts w:hint="default"/>
      </w:rPr>
    </w:lvl>
    <w:lvl w:ilvl="8" w:tplc="45623984">
      <w:numFmt w:val="bullet"/>
      <w:lvlText w:val="•"/>
      <w:lvlJc w:val="left"/>
      <w:pPr>
        <w:ind w:left="8236" w:hanging="428"/>
      </w:pPr>
      <w:rPr>
        <w:rFonts w:hint="default"/>
      </w:rPr>
    </w:lvl>
  </w:abstractNum>
  <w:abstractNum w:abstractNumId="26" w15:restartNumberingAfterBreak="0">
    <w:nsid w:val="75800A66"/>
    <w:multiLevelType w:val="hybridMultilevel"/>
    <w:tmpl w:val="54A01182"/>
    <w:lvl w:ilvl="0" w:tplc="80E8AA82">
      <w:start w:val="1"/>
      <w:numFmt w:val="decimal"/>
      <w:lvlText w:val="%1."/>
      <w:lvlJc w:val="left"/>
      <w:pPr>
        <w:ind w:left="1282" w:hanging="428"/>
      </w:pPr>
      <w:rPr>
        <w:rFonts w:ascii="Times New Roman" w:eastAsia="Times New Roman" w:hAnsi="Times New Roman" w:cs="Times New Roman" w:hint="default"/>
        <w:w w:val="10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6515861"/>
    <w:multiLevelType w:val="hybridMultilevel"/>
    <w:tmpl w:val="986625FC"/>
    <w:lvl w:ilvl="0" w:tplc="BFDABA06">
      <w:start w:val="1"/>
      <w:numFmt w:val="decimal"/>
      <w:lvlText w:val="%1."/>
      <w:lvlJc w:val="left"/>
      <w:pPr>
        <w:ind w:left="1282" w:hanging="428"/>
      </w:pPr>
      <w:rPr>
        <w:rFonts w:ascii="Times New Roman" w:eastAsia="Times New Roman" w:hAnsi="Times New Roman" w:cs="Times New Roman" w:hint="default"/>
        <w:w w:val="10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6852A01"/>
    <w:multiLevelType w:val="hybridMultilevel"/>
    <w:tmpl w:val="01E02ED8"/>
    <w:lvl w:ilvl="0" w:tplc="0809000F">
      <w:start w:val="1"/>
      <w:numFmt w:val="decimal"/>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36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7B23331F"/>
    <w:multiLevelType w:val="hybridMultilevel"/>
    <w:tmpl w:val="C1487412"/>
    <w:lvl w:ilvl="0" w:tplc="4A7E4D38">
      <w:numFmt w:val="bullet"/>
      <w:lvlText w:val="-"/>
      <w:lvlJc w:val="left"/>
      <w:pPr>
        <w:ind w:left="548" w:hanging="428"/>
      </w:pPr>
      <w:rPr>
        <w:rFonts w:hint="default"/>
        <w:w w:val="100"/>
      </w:rPr>
    </w:lvl>
    <w:lvl w:ilvl="1" w:tplc="F5DEE3C0">
      <w:numFmt w:val="bullet"/>
      <w:lvlText w:val="•"/>
      <w:lvlJc w:val="left"/>
      <w:pPr>
        <w:ind w:left="1502" w:hanging="428"/>
      </w:pPr>
      <w:rPr>
        <w:rFonts w:hint="default"/>
      </w:rPr>
    </w:lvl>
    <w:lvl w:ilvl="2" w:tplc="CDB2E1A4">
      <w:numFmt w:val="bullet"/>
      <w:lvlText w:val="•"/>
      <w:lvlJc w:val="left"/>
      <w:pPr>
        <w:ind w:left="2464" w:hanging="428"/>
      </w:pPr>
      <w:rPr>
        <w:rFonts w:hint="default"/>
      </w:rPr>
    </w:lvl>
    <w:lvl w:ilvl="3" w:tplc="E4E0287C">
      <w:numFmt w:val="bullet"/>
      <w:lvlText w:val="•"/>
      <w:lvlJc w:val="left"/>
      <w:pPr>
        <w:ind w:left="3426" w:hanging="428"/>
      </w:pPr>
      <w:rPr>
        <w:rFonts w:hint="default"/>
      </w:rPr>
    </w:lvl>
    <w:lvl w:ilvl="4" w:tplc="8BFA931E">
      <w:numFmt w:val="bullet"/>
      <w:lvlText w:val="•"/>
      <w:lvlJc w:val="left"/>
      <w:pPr>
        <w:ind w:left="4388" w:hanging="428"/>
      </w:pPr>
      <w:rPr>
        <w:rFonts w:hint="default"/>
      </w:rPr>
    </w:lvl>
    <w:lvl w:ilvl="5" w:tplc="87821456">
      <w:numFmt w:val="bullet"/>
      <w:lvlText w:val="•"/>
      <w:lvlJc w:val="left"/>
      <w:pPr>
        <w:ind w:left="5350" w:hanging="428"/>
      </w:pPr>
      <w:rPr>
        <w:rFonts w:hint="default"/>
      </w:rPr>
    </w:lvl>
    <w:lvl w:ilvl="6" w:tplc="A71A129A">
      <w:numFmt w:val="bullet"/>
      <w:lvlText w:val="•"/>
      <w:lvlJc w:val="left"/>
      <w:pPr>
        <w:ind w:left="6312" w:hanging="428"/>
      </w:pPr>
      <w:rPr>
        <w:rFonts w:hint="default"/>
      </w:rPr>
    </w:lvl>
    <w:lvl w:ilvl="7" w:tplc="E988BE28">
      <w:numFmt w:val="bullet"/>
      <w:lvlText w:val="•"/>
      <w:lvlJc w:val="left"/>
      <w:pPr>
        <w:ind w:left="7274" w:hanging="428"/>
      </w:pPr>
      <w:rPr>
        <w:rFonts w:hint="default"/>
      </w:rPr>
    </w:lvl>
    <w:lvl w:ilvl="8" w:tplc="AA922BCC">
      <w:numFmt w:val="bullet"/>
      <w:lvlText w:val="•"/>
      <w:lvlJc w:val="left"/>
      <w:pPr>
        <w:ind w:left="8236" w:hanging="428"/>
      </w:pPr>
      <w:rPr>
        <w:rFonts w:hint="default"/>
      </w:rPr>
    </w:lvl>
  </w:abstractNum>
  <w:abstractNum w:abstractNumId="30" w15:restartNumberingAfterBreak="0">
    <w:nsid w:val="7D351B86"/>
    <w:multiLevelType w:val="hybridMultilevel"/>
    <w:tmpl w:val="58228496"/>
    <w:lvl w:ilvl="0" w:tplc="42D08CDA">
      <w:start w:val="1"/>
      <w:numFmt w:val="decimal"/>
      <w:lvlText w:val="%1."/>
      <w:lvlJc w:val="left"/>
      <w:pPr>
        <w:ind w:left="1282" w:hanging="428"/>
      </w:pPr>
      <w:rPr>
        <w:rFonts w:ascii="Times New Roman" w:eastAsia="Times New Roman" w:hAnsi="Times New Roman" w:cs="Times New Roman" w:hint="default"/>
        <w:w w:val="10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FD146C2"/>
    <w:multiLevelType w:val="hybridMultilevel"/>
    <w:tmpl w:val="75BC2434"/>
    <w:lvl w:ilvl="0" w:tplc="614ACE48">
      <w:start w:val="1"/>
      <w:numFmt w:val="decimal"/>
      <w:lvlText w:val="%1."/>
      <w:lvlJc w:val="left"/>
      <w:pPr>
        <w:ind w:left="548" w:hanging="428"/>
      </w:pPr>
      <w:rPr>
        <w:rFonts w:ascii="Times New Roman" w:eastAsia="Times New Roman" w:hAnsi="Times New Roman" w:cs="Times New Roman" w:hint="default"/>
        <w:w w:val="100"/>
        <w:sz w:val="22"/>
        <w:szCs w:val="22"/>
      </w:rPr>
    </w:lvl>
    <w:lvl w:ilvl="1" w:tplc="36A0018C">
      <w:numFmt w:val="bullet"/>
      <w:lvlText w:val="•"/>
      <w:lvlJc w:val="left"/>
      <w:pPr>
        <w:ind w:left="1502" w:hanging="428"/>
      </w:pPr>
      <w:rPr>
        <w:rFonts w:hint="default"/>
      </w:rPr>
    </w:lvl>
    <w:lvl w:ilvl="2" w:tplc="A5706E18">
      <w:numFmt w:val="bullet"/>
      <w:lvlText w:val="•"/>
      <w:lvlJc w:val="left"/>
      <w:pPr>
        <w:ind w:left="2464" w:hanging="428"/>
      </w:pPr>
      <w:rPr>
        <w:rFonts w:hint="default"/>
      </w:rPr>
    </w:lvl>
    <w:lvl w:ilvl="3" w:tplc="0A4C52FC">
      <w:numFmt w:val="bullet"/>
      <w:lvlText w:val="•"/>
      <w:lvlJc w:val="left"/>
      <w:pPr>
        <w:ind w:left="3426" w:hanging="428"/>
      </w:pPr>
      <w:rPr>
        <w:rFonts w:hint="default"/>
      </w:rPr>
    </w:lvl>
    <w:lvl w:ilvl="4" w:tplc="1EC82D84">
      <w:numFmt w:val="bullet"/>
      <w:lvlText w:val="•"/>
      <w:lvlJc w:val="left"/>
      <w:pPr>
        <w:ind w:left="4388" w:hanging="428"/>
      </w:pPr>
      <w:rPr>
        <w:rFonts w:hint="default"/>
      </w:rPr>
    </w:lvl>
    <w:lvl w:ilvl="5" w:tplc="793A48B8">
      <w:numFmt w:val="bullet"/>
      <w:lvlText w:val="•"/>
      <w:lvlJc w:val="left"/>
      <w:pPr>
        <w:ind w:left="5350" w:hanging="428"/>
      </w:pPr>
      <w:rPr>
        <w:rFonts w:hint="default"/>
      </w:rPr>
    </w:lvl>
    <w:lvl w:ilvl="6" w:tplc="1A9071F0">
      <w:numFmt w:val="bullet"/>
      <w:lvlText w:val="•"/>
      <w:lvlJc w:val="left"/>
      <w:pPr>
        <w:ind w:left="6312" w:hanging="428"/>
      </w:pPr>
      <w:rPr>
        <w:rFonts w:hint="default"/>
      </w:rPr>
    </w:lvl>
    <w:lvl w:ilvl="7" w:tplc="6CAC59FE">
      <w:numFmt w:val="bullet"/>
      <w:lvlText w:val="•"/>
      <w:lvlJc w:val="left"/>
      <w:pPr>
        <w:ind w:left="7274" w:hanging="428"/>
      </w:pPr>
      <w:rPr>
        <w:rFonts w:hint="default"/>
      </w:rPr>
    </w:lvl>
    <w:lvl w:ilvl="8" w:tplc="FE8605E2">
      <w:numFmt w:val="bullet"/>
      <w:lvlText w:val="•"/>
      <w:lvlJc w:val="left"/>
      <w:pPr>
        <w:ind w:left="8236" w:hanging="428"/>
      </w:pPr>
      <w:rPr>
        <w:rFonts w:hint="default"/>
      </w:rPr>
    </w:lvl>
  </w:abstractNum>
  <w:num w:numId="1">
    <w:abstractNumId w:val="14"/>
  </w:num>
  <w:num w:numId="2">
    <w:abstractNumId w:val="10"/>
  </w:num>
  <w:num w:numId="3">
    <w:abstractNumId w:val="7"/>
  </w:num>
  <w:num w:numId="4">
    <w:abstractNumId w:val="13"/>
  </w:num>
  <w:num w:numId="5">
    <w:abstractNumId w:val="16"/>
  </w:num>
  <w:num w:numId="6">
    <w:abstractNumId w:val="25"/>
  </w:num>
  <w:num w:numId="7">
    <w:abstractNumId w:val="31"/>
  </w:num>
  <w:num w:numId="8">
    <w:abstractNumId w:val="1"/>
  </w:num>
  <w:num w:numId="9">
    <w:abstractNumId w:val="12"/>
  </w:num>
  <w:num w:numId="10">
    <w:abstractNumId w:val="29"/>
  </w:num>
  <w:num w:numId="11">
    <w:abstractNumId w:val="17"/>
  </w:num>
  <w:num w:numId="12">
    <w:abstractNumId w:val="11"/>
  </w:num>
  <w:num w:numId="13">
    <w:abstractNumId w:val="20"/>
  </w:num>
  <w:num w:numId="14">
    <w:abstractNumId w:val="6"/>
  </w:num>
  <w:num w:numId="15">
    <w:abstractNumId w:val="24"/>
  </w:num>
  <w:num w:numId="16">
    <w:abstractNumId w:val="18"/>
  </w:num>
  <w:num w:numId="17">
    <w:abstractNumId w:val="22"/>
  </w:num>
  <w:num w:numId="18">
    <w:abstractNumId w:val="22"/>
  </w:num>
  <w:num w:numId="19">
    <w:abstractNumId w:val="22"/>
    <w:lvlOverride w:ilvl="0">
      <w:startOverride w:val="1"/>
    </w:lvlOverride>
  </w:num>
  <w:num w:numId="20">
    <w:abstractNumId w:val="22"/>
    <w:lvlOverride w:ilvl="0">
      <w:startOverride w:val="1"/>
    </w:lvlOverride>
  </w:num>
  <w:num w:numId="21">
    <w:abstractNumId w:val="19"/>
  </w:num>
  <w:num w:numId="22">
    <w:abstractNumId w:val="4"/>
  </w:num>
  <w:num w:numId="23">
    <w:abstractNumId w:val="22"/>
    <w:lvlOverride w:ilvl="0">
      <w:startOverride w:val="1"/>
    </w:lvlOverride>
  </w:num>
  <w:num w:numId="24">
    <w:abstractNumId w:val="21"/>
  </w:num>
  <w:num w:numId="25">
    <w:abstractNumId w:val="27"/>
  </w:num>
  <w:num w:numId="26">
    <w:abstractNumId w:val="23"/>
  </w:num>
  <w:num w:numId="27">
    <w:abstractNumId w:val="22"/>
    <w:lvlOverride w:ilvl="0">
      <w:startOverride w:val="1"/>
    </w:lvlOverride>
  </w:num>
  <w:num w:numId="28">
    <w:abstractNumId w:val="22"/>
    <w:lvlOverride w:ilvl="0">
      <w:startOverride w:val="1"/>
    </w:lvlOverride>
  </w:num>
  <w:num w:numId="29">
    <w:abstractNumId w:val="9"/>
  </w:num>
  <w:num w:numId="30">
    <w:abstractNumId w:val="22"/>
    <w:lvlOverride w:ilvl="0">
      <w:startOverride w:val="1"/>
    </w:lvlOverride>
  </w:num>
  <w:num w:numId="31">
    <w:abstractNumId w:val="22"/>
    <w:lvlOverride w:ilvl="0">
      <w:startOverride w:val="1"/>
    </w:lvlOverride>
  </w:num>
  <w:num w:numId="32">
    <w:abstractNumId w:val="26"/>
  </w:num>
  <w:num w:numId="33">
    <w:abstractNumId w:val="30"/>
  </w:num>
  <w:num w:numId="34">
    <w:abstractNumId w:val="3"/>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num>
  <w:num w:numId="37">
    <w:abstractNumId w:val="0"/>
  </w:num>
  <w:num w:numId="38">
    <w:abstractNumId w:val="5"/>
  </w:num>
  <w:num w:numId="39">
    <w:abstractNumId w:val="2"/>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72C5"/>
    <w:rsid w:val="00011640"/>
    <w:rsid w:val="00016A16"/>
    <w:rsid w:val="000272C0"/>
    <w:rsid w:val="00046C29"/>
    <w:rsid w:val="000629FF"/>
    <w:rsid w:val="00073CAF"/>
    <w:rsid w:val="00080F10"/>
    <w:rsid w:val="000814F5"/>
    <w:rsid w:val="00081F83"/>
    <w:rsid w:val="000A20A4"/>
    <w:rsid w:val="000A2653"/>
    <w:rsid w:val="000B738C"/>
    <w:rsid w:val="000E0A75"/>
    <w:rsid w:val="00120513"/>
    <w:rsid w:val="001216EA"/>
    <w:rsid w:val="00130F4D"/>
    <w:rsid w:val="0014227C"/>
    <w:rsid w:val="001430DA"/>
    <w:rsid w:val="001436C8"/>
    <w:rsid w:val="00146589"/>
    <w:rsid w:val="0015568C"/>
    <w:rsid w:val="00156F1D"/>
    <w:rsid w:val="00171C32"/>
    <w:rsid w:val="00171D38"/>
    <w:rsid w:val="001D1AA5"/>
    <w:rsid w:val="001D1AFD"/>
    <w:rsid w:val="001E66FB"/>
    <w:rsid w:val="001F0BE9"/>
    <w:rsid w:val="00202348"/>
    <w:rsid w:val="002245CB"/>
    <w:rsid w:val="00226102"/>
    <w:rsid w:val="00226A70"/>
    <w:rsid w:val="0024455F"/>
    <w:rsid w:val="002461B5"/>
    <w:rsid w:val="00267A17"/>
    <w:rsid w:val="002A1BFC"/>
    <w:rsid w:val="002A24B8"/>
    <w:rsid w:val="002A72C5"/>
    <w:rsid w:val="002B18B5"/>
    <w:rsid w:val="002C55F8"/>
    <w:rsid w:val="002E1AA7"/>
    <w:rsid w:val="002E42AC"/>
    <w:rsid w:val="00306308"/>
    <w:rsid w:val="003070BD"/>
    <w:rsid w:val="0031346C"/>
    <w:rsid w:val="0034182A"/>
    <w:rsid w:val="00370EB7"/>
    <w:rsid w:val="00374FB9"/>
    <w:rsid w:val="0038413B"/>
    <w:rsid w:val="003866B7"/>
    <w:rsid w:val="00394DB9"/>
    <w:rsid w:val="003A4F9C"/>
    <w:rsid w:val="003C074D"/>
    <w:rsid w:val="00402734"/>
    <w:rsid w:val="0041274E"/>
    <w:rsid w:val="00417AD9"/>
    <w:rsid w:val="00421302"/>
    <w:rsid w:val="0043346E"/>
    <w:rsid w:val="00455EC9"/>
    <w:rsid w:val="00457547"/>
    <w:rsid w:val="004609DC"/>
    <w:rsid w:val="004616B3"/>
    <w:rsid w:val="00462895"/>
    <w:rsid w:val="004632B7"/>
    <w:rsid w:val="00477DF1"/>
    <w:rsid w:val="00482280"/>
    <w:rsid w:val="004858E1"/>
    <w:rsid w:val="00486AB0"/>
    <w:rsid w:val="00493983"/>
    <w:rsid w:val="004B0BAE"/>
    <w:rsid w:val="004C414B"/>
    <w:rsid w:val="004D68F2"/>
    <w:rsid w:val="004D78CB"/>
    <w:rsid w:val="004E0824"/>
    <w:rsid w:val="004E2FA5"/>
    <w:rsid w:val="004E5476"/>
    <w:rsid w:val="00510627"/>
    <w:rsid w:val="00523D54"/>
    <w:rsid w:val="0053149E"/>
    <w:rsid w:val="00547D98"/>
    <w:rsid w:val="00553AA1"/>
    <w:rsid w:val="00556294"/>
    <w:rsid w:val="00565B44"/>
    <w:rsid w:val="0056630F"/>
    <w:rsid w:val="0057053F"/>
    <w:rsid w:val="0057392C"/>
    <w:rsid w:val="00577E63"/>
    <w:rsid w:val="00582A61"/>
    <w:rsid w:val="00585392"/>
    <w:rsid w:val="00594A1C"/>
    <w:rsid w:val="0059548A"/>
    <w:rsid w:val="005E0BF3"/>
    <w:rsid w:val="005E2B65"/>
    <w:rsid w:val="005E38CD"/>
    <w:rsid w:val="005E4EA2"/>
    <w:rsid w:val="005E63BC"/>
    <w:rsid w:val="005F3273"/>
    <w:rsid w:val="00617647"/>
    <w:rsid w:val="00620E34"/>
    <w:rsid w:val="00621AC1"/>
    <w:rsid w:val="0064123D"/>
    <w:rsid w:val="0064341C"/>
    <w:rsid w:val="00656B2C"/>
    <w:rsid w:val="00660AD3"/>
    <w:rsid w:val="00695867"/>
    <w:rsid w:val="006A2A94"/>
    <w:rsid w:val="006A6CDA"/>
    <w:rsid w:val="006B3B47"/>
    <w:rsid w:val="006C310D"/>
    <w:rsid w:val="006D3B8C"/>
    <w:rsid w:val="006E15D8"/>
    <w:rsid w:val="006E1904"/>
    <w:rsid w:val="006E23E5"/>
    <w:rsid w:val="006E610D"/>
    <w:rsid w:val="0071454C"/>
    <w:rsid w:val="00740BAA"/>
    <w:rsid w:val="0074240B"/>
    <w:rsid w:val="00743A3E"/>
    <w:rsid w:val="007514B6"/>
    <w:rsid w:val="0076379D"/>
    <w:rsid w:val="00765BF5"/>
    <w:rsid w:val="0077009F"/>
    <w:rsid w:val="00771CD1"/>
    <w:rsid w:val="00773D07"/>
    <w:rsid w:val="007900C3"/>
    <w:rsid w:val="007A24CC"/>
    <w:rsid w:val="007A5C64"/>
    <w:rsid w:val="007C410B"/>
    <w:rsid w:val="007D3031"/>
    <w:rsid w:val="007D752C"/>
    <w:rsid w:val="007F2107"/>
    <w:rsid w:val="00820C2C"/>
    <w:rsid w:val="00820F74"/>
    <w:rsid w:val="008309A2"/>
    <w:rsid w:val="008335AE"/>
    <w:rsid w:val="00853F00"/>
    <w:rsid w:val="00854F91"/>
    <w:rsid w:val="00861494"/>
    <w:rsid w:val="008644E0"/>
    <w:rsid w:val="008843F7"/>
    <w:rsid w:val="00884C0E"/>
    <w:rsid w:val="008A421A"/>
    <w:rsid w:val="008B2170"/>
    <w:rsid w:val="008B73FB"/>
    <w:rsid w:val="008B7509"/>
    <w:rsid w:val="008D1C88"/>
    <w:rsid w:val="008E35DE"/>
    <w:rsid w:val="008E449A"/>
    <w:rsid w:val="008F7F67"/>
    <w:rsid w:val="0092349C"/>
    <w:rsid w:val="00936300"/>
    <w:rsid w:val="00937081"/>
    <w:rsid w:val="0094644B"/>
    <w:rsid w:val="00967505"/>
    <w:rsid w:val="009753F4"/>
    <w:rsid w:val="009A6966"/>
    <w:rsid w:val="009C3B2E"/>
    <w:rsid w:val="009C4C45"/>
    <w:rsid w:val="009C59AC"/>
    <w:rsid w:val="009F793B"/>
    <w:rsid w:val="00A03B0C"/>
    <w:rsid w:val="00A21914"/>
    <w:rsid w:val="00A2529E"/>
    <w:rsid w:val="00A3033A"/>
    <w:rsid w:val="00A36AA8"/>
    <w:rsid w:val="00A42106"/>
    <w:rsid w:val="00A4635A"/>
    <w:rsid w:val="00A47EDC"/>
    <w:rsid w:val="00A50470"/>
    <w:rsid w:val="00A5495A"/>
    <w:rsid w:val="00A573C8"/>
    <w:rsid w:val="00A83282"/>
    <w:rsid w:val="00A87394"/>
    <w:rsid w:val="00AB2703"/>
    <w:rsid w:val="00AD5ADE"/>
    <w:rsid w:val="00AD6403"/>
    <w:rsid w:val="00AE1099"/>
    <w:rsid w:val="00B134C6"/>
    <w:rsid w:val="00B17C8B"/>
    <w:rsid w:val="00B554E8"/>
    <w:rsid w:val="00B75D8A"/>
    <w:rsid w:val="00B762DD"/>
    <w:rsid w:val="00B76824"/>
    <w:rsid w:val="00B85ADB"/>
    <w:rsid w:val="00B86175"/>
    <w:rsid w:val="00B91E30"/>
    <w:rsid w:val="00B93853"/>
    <w:rsid w:val="00B93DE3"/>
    <w:rsid w:val="00BA7FA5"/>
    <w:rsid w:val="00BB0C15"/>
    <w:rsid w:val="00C17432"/>
    <w:rsid w:val="00C26DD7"/>
    <w:rsid w:val="00C334C4"/>
    <w:rsid w:val="00C35965"/>
    <w:rsid w:val="00C42135"/>
    <w:rsid w:val="00C60FF1"/>
    <w:rsid w:val="00C70E53"/>
    <w:rsid w:val="00C71225"/>
    <w:rsid w:val="00CA1F5A"/>
    <w:rsid w:val="00CA7088"/>
    <w:rsid w:val="00CB10AB"/>
    <w:rsid w:val="00CB228F"/>
    <w:rsid w:val="00CB7914"/>
    <w:rsid w:val="00CC2064"/>
    <w:rsid w:val="00CD18EC"/>
    <w:rsid w:val="00CF1C36"/>
    <w:rsid w:val="00D0572E"/>
    <w:rsid w:val="00D44FC4"/>
    <w:rsid w:val="00D459B1"/>
    <w:rsid w:val="00D46EF0"/>
    <w:rsid w:val="00D5081A"/>
    <w:rsid w:val="00D52C87"/>
    <w:rsid w:val="00D64C6C"/>
    <w:rsid w:val="00D84E8E"/>
    <w:rsid w:val="00D97841"/>
    <w:rsid w:val="00DC3AA7"/>
    <w:rsid w:val="00DC483A"/>
    <w:rsid w:val="00DD21C7"/>
    <w:rsid w:val="00DE3D68"/>
    <w:rsid w:val="00E045CF"/>
    <w:rsid w:val="00E0543B"/>
    <w:rsid w:val="00E10B8F"/>
    <w:rsid w:val="00E21925"/>
    <w:rsid w:val="00E2580F"/>
    <w:rsid w:val="00E27593"/>
    <w:rsid w:val="00E51848"/>
    <w:rsid w:val="00E56A95"/>
    <w:rsid w:val="00E719E3"/>
    <w:rsid w:val="00E72C13"/>
    <w:rsid w:val="00E730C9"/>
    <w:rsid w:val="00E747B6"/>
    <w:rsid w:val="00EA7E42"/>
    <w:rsid w:val="00EB170F"/>
    <w:rsid w:val="00EB565E"/>
    <w:rsid w:val="00EB6F09"/>
    <w:rsid w:val="00EE79CA"/>
    <w:rsid w:val="00F07952"/>
    <w:rsid w:val="00F120CD"/>
    <w:rsid w:val="00F21133"/>
    <w:rsid w:val="00F23AFF"/>
    <w:rsid w:val="00F33CBA"/>
    <w:rsid w:val="00F35F4C"/>
    <w:rsid w:val="00F366D8"/>
    <w:rsid w:val="00F51DC3"/>
    <w:rsid w:val="00F67128"/>
    <w:rsid w:val="00F67882"/>
    <w:rsid w:val="00FA0FE1"/>
    <w:rsid w:val="00FA353E"/>
    <w:rsid w:val="00FB44A4"/>
    <w:rsid w:val="00FC08A9"/>
    <w:rsid w:val="00FE36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DA901F8-4670-4941-8AAD-04CA4793E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CA1F5A"/>
    <w:rPr>
      <w:rFonts w:ascii="Times New Roman" w:eastAsia="Times New Roman" w:hAnsi="Times New Roman" w:cs="Times New Roman"/>
    </w:rPr>
  </w:style>
  <w:style w:type="paragraph" w:styleId="Heading1">
    <w:name w:val="heading 1"/>
    <w:basedOn w:val="Normal"/>
    <w:uiPriority w:val="1"/>
    <w:qFormat/>
    <w:rsid w:val="00CA1F5A"/>
    <w:pPr>
      <w:spacing w:before="65"/>
      <w:ind w:left="120"/>
      <w:outlineLvl w:val="0"/>
    </w:pPr>
    <w:rPr>
      <w:rFonts w:ascii="Arial" w:eastAsia="Arial" w:hAnsi="Arial" w:cs="Arial"/>
      <w:b/>
      <w:bCs/>
      <w:sz w:val="28"/>
      <w:szCs w:val="28"/>
    </w:rPr>
  </w:style>
  <w:style w:type="paragraph" w:styleId="Heading2">
    <w:name w:val="heading 2"/>
    <w:basedOn w:val="Normal"/>
    <w:link w:val="Heading2Char"/>
    <w:uiPriority w:val="1"/>
    <w:qFormat/>
    <w:rsid w:val="00CA1F5A"/>
    <w:pPr>
      <w:spacing w:line="268" w:lineRule="exact"/>
      <w:ind w:left="462" w:right="859"/>
      <w:jc w:val="cente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CA1F5A"/>
    <w:tblPr>
      <w:tblInd w:w="0" w:type="dxa"/>
      <w:tblCellMar>
        <w:top w:w="0" w:type="dxa"/>
        <w:left w:w="0" w:type="dxa"/>
        <w:bottom w:w="0" w:type="dxa"/>
        <w:right w:w="0" w:type="dxa"/>
      </w:tblCellMar>
    </w:tblPr>
  </w:style>
  <w:style w:type="paragraph" w:styleId="TOC1">
    <w:name w:val="toc 1"/>
    <w:basedOn w:val="Normal"/>
    <w:uiPriority w:val="1"/>
    <w:qFormat/>
    <w:rsid w:val="00CA1F5A"/>
    <w:pPr>
      <w:spacing w:before="706"/>
      <w:ind w:left="120"/>
    </w:pPr>
    <w:rPr>
      <w:b/>
      <w:bCs/>
      <w:i/>
    </w:rPr>
  </w:style>
  <w:style w:type="paragraph" w:styleId="TOC2">
    <w:name w:val="toc 2"/>
    <w:basedOn w:val="Normal"/>
    <w:uiPriority w:val="1"/>
    <w:qFormat/>
    <w:rsid w:val="00CA1F5A"/>
    <w:pPr>
      <w:spacing w:before="101"/>
      <w:ind w:left="341"/>
    </w:pPr>
    <w:rPr>
      <w:b/>
      <w:bCs/>
    </w:rPr>
  </w:style>
  <w:style w:type="paragraph" w:styleId="BodyText">
    <w:name w:val="Body Text"/>
    <w:basedOn w:val="Normal"/>
    <w:uiPriority w:val="1"/>
    <w:qFormat/>
    <w:rsid w:val="00CA1F5A"/>
  </w:style>
  <w:style w:type="paragraph" w:styleId="ListParagraph">
    <w:name w:val="List Paragraph"/>
    <w:aliases w:val="F List Paragraph"/>
    <w:basedOn w:val="Normal"/>
    <w:link w:val="ListParagraphChar"/>
    <w:uiPriority w:val="34"/>
    <w:qFormat/>
    <w:rsid w:val="00CA1F5A"/>
    <w:pPr>
      <w:ind w:left="548" w:right="509" w:hanging="428"/>
      <w:jc w:val="both"/>
    </w:pPr>
  </w:style>
  <w:style w:type="paragraph" w:customStyle="1" w:styleId="TableParagraph">
    <w:name w:val="Table Paragraph"/>
    <w:basedOn w:val="Normal"/>
    <w:uiPriority w:val="1"/>
    <w:qFormat/>
    <w:rsid w:val="00CA1F5A"/>
  </w:style>
  <w:style w:type="paragraph" w:styleId="Header">
    <w:name w:val="header"/>
    <w:basedOn w:val="Normal"/>
    <w:link w:val="HeaderChar"/>
    <w:uiPriority w:val="99"/>
    <w:unhideWhenUsed/>
    <w:rsid w:val="00A42106"/>
    <w:pPr>
      <w:tabs>
        <w:tab w:val="center" w:pos="4819"/>
        <w:tab w:val="right" w:pos="9638"/>
      </w:tabs>
    </w:pPr>
  </w:style>
  <w:style w:type="character" w:customStyle="1" w:styleId="HeaderChar">
    <w:name w:val="Header Char"/>
    <w:basedOn w:val="DefaultParagraphFont"/>
    <w:link w:val="Header"/>
    <w:uiPriority w:val="99"/>
    <w:rsid w:val="00A42106"/>
    <w:rPr>
      <w:rFonts w:ascii="Times New Roman" w:eastAsia="Times New Roman" w:hAnsi="Times New Roman" w:cs="Times New Roman"/>
    </w:rPr>
  </w:style>
  <w:style w:type="paragraph" w:styleId="Footer">
    <w:name w:val="footer"/>
    <w:basedOn w:val="Normal"/>
    <w:link w:val="FooterChar"/>
    <w:uiPriority w:val="99"/>
    <w:unhideWhenUsed/>
    <w:rsid w:val="00A42106"/>
    <w:pPr>
      <w:tabs>
        <w:tab w:val="center" w:pos="4819"/>
        <w:tab w:val="right" w:pos="9638"/>
      </w:tabs>
    </w:pPr>
  </w:style>
  <w:style w:type="character" w:customStyle="1" w:styleId="FooterChar">
    <w:name w:val="Footer Char"/>
    <w:basedOn w:val="DefaultParagraphFont"/>
    <w:link w:val="Footer"/>
    <w:uiPriority w:val="99"/>
    <w:rsid w:val="00A42106"/>
    <w:rPr>
      <w:rFonts w:ascii="Times New Roman" w:eastAsia="Times New Roman" w:hAnsi="Times New Roman" w:cs="Times New Roman"/>
    </w:rPr>
  </w:style>
  <w:style w:type="character" w:styleId="CommentReference">
    <w:name w:val="annotation reference"/>
    <w:aliases w:val="Stinking Styles6,Marque de commentaire1"/>
    <w:basedOn w:val="DefaultParagraphFont"/>
    <w:uiPriority w:val="99"/>
    <w:unhideWhenUsed/>
    <w:rsid w:val="00120513"/>
    <w:rPr>
      <w:sz w:val="16"/>
      <w:szCs w:val="16"/>
    </w:rPr>
  </w:style>
  <w:style w:type="paragraph" w:styleId="CommentText">
    <w:name w:val="annotation text"/>
    <w:aliases w:val="Stinking Styles5"/>
    <w:basedOn w:val="Normal"/>
    <w:link w:val="CommentTextChar"/>
    <w:uiPriority w:val="99"/>
    <w:unhideWhenUsed/>
    <w:rsid w:val="00120513"/>
    <w:rPr>
      <w:sz w:val="20"/>
      <w:szCs w:val="20"/>
    </w:rPr>
  </w:style>
  <w:style w:type="character" w:customStyle="1" w:styleId="CommentTextChar">
    <w:name w:val="Comment Text Char"/>
    <w:aliases w:val="Stinking Styles5 Char"/>
    <w:basedOn w:val="DefaultParagraphFont"/>
    <w:link w:val="CommentText"/>
    <w:uiPriority w:val="99"/>
    <w:semiHidden/>
    <w:rsid w:val="0012051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20513"/>
    <w:rPr>
      <w:b/>
      <w:bCs/>
    </w:rPr>
  </w:style>
  <w:style w:type="character" w:customStyle="1" w:styleId="CommentSubjectChar">
    <w:name w:val="Comment Subject Char"/>
    <w:basedOn w:val="CommentTextChar"/>
    <w:link w:val="CommentSubject"/>
    <w:uiPriority w:val="99"/>
    <w:semiHidden/>
    <w:rsid w:val="0012051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205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0513"/>
    <w:rPr>
      <w:rFonts w:ascii="Segoe UI" w:eastAsia="Times New Roman" w:hAnsi="Segoe UI" w:cs="Segoe UI"/>
      <w:sz w:val="18"/>
      <w:szCs w:val="18"/>
    </w:rPr>
  </w:style>
  <w:style w:type="paragraph" w:styleId="Revision">
    <w:name w:val="Revision"/>
    <w:hidden/>
    <w:uiPriority w:val="99"/>
    <w:semiHidden/>
    <w:rsid w:val="00417AD9"/>
    <w:pPr>
      <w:widowControl/>
    </w:pPr>
    <w:rPr>
      <w:rFonts w:ascii="Times New Roman" w:eastAsia="Times New Roman" w:hAnsi="Times New Roman" w:cs="Times New Roman"/>
    </w:rPr>
  </w:style>
  <w:style w:type="paragraph" w:customStyle="1" w:styleId="Title1">
    <w:name w:val="Title_1"/>
    <w:basedOn w:val="Heading2"/>
    <w:link w:val="Title1Carattere"/>
    <w:uiPriority w:val="1"/>
    <w:qFormat/>
    <w:rsid w:val="00457547"/>
    <w:pPr>
      <w:spacing w:line="240" w:lineRule="auto"/>
      <w:ind w:left="464"/>
    </w:pPr>
    <w:rPr>
      <w:color w:val="22226D"/>
    </w:rPr>
  </w:style>
  <w:style w:type="character" w:customStyle="1" w:styleId="Heading2Char">
    <w:name w:val="Heading 2 Char"/>
    <w:basedOn w:val="DefaultParagraphFont"/>
    <w:link w:val="Heading2"/>
    <w:uiPriority w:val="1"/>
    <w:rsid w:val="00457547"/>
    <w:rPr>
      <w:rFonts w:ascii="Times New Roman" w:eastAsia="Times New Roman" w:hAnsi="Times New Roman" w:cs="Times New Roman"/>
      <w:b/>
      <w:bCs/>
      <w:sz w:val="24"/>
      <w:szCs w:val="24"/>
    </w:rPr>
  </w:style>
  <w:style w:type="character" w:customStyle="1" w:styleId="Title1Carattere">
    <w:name w:val="Title_1 Carattere"/>
    <w:basedOn w:val="Heading2Char"/>
    <w:link w:val="Title1"/>
    <w:uiPriority w:val="1"/>
    <w:rsid w:val="00457547"/>
    <w:rPr>
      <w:rFonts w:ascii="Times New Roman" w:eastAsia="Times New Roman" w:hAnsi="Times New Roman" w:cs="Times New Roman"/>
      <w:b/>
      <w:bCs/>
      <w:color w:val="22226D"/>
      <w:sz w:val="24"/>
      <w:szCs w:val="24"/>
    </w:rPr>
  </w:style>
  <w:style w:type="paragraph" w:styleId="FootnoteText">
    <w:name w:val="footnote text"/>
    <w:basedOn w:val="Normal"/>
    <w:link w:val="FootnoteTextChar"/>
    <w:uiPriority w:val="99"/>
    <w:semiHidden/>
    <w:unhideWhenUsed/>
    <w:rsid w:val="008E449A"/>
    <w:rPr>
      <w:sz w:val="20"/>
      <w:szCs w:val="20"/>
    </w:rPr>
  </w:style>
  <w:style w:type="character" w:customStyle="1" w:styleId="FootnoteTextChar">
    <w:name w:val="Footnote Text Char"/>
    <w:basedOn w:val="DefaultParagraphFont"/>
    <w:link w:val="FootnoteText"/>
    <w:uiPriority w:val="99"/>
    <w:semiHidden/>
    <w:rsid w:val="008E449A"/>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8E449A"/>
    <w:rPr>
      <w:vertAlign w:val="superscript"/>
    </w:rPr>
  </w:style>
  <w:style w:type="paragraph" w:customStyle="1" w:styleId="Article">
    <w:name w:val="Article"/>
    <w:basedOn w:val="Title1"/>
    <w:link w:val="ArticleCarattere"/>
    <w:uiPriority w:val="1"/>
    <w:qFormat/>
    <w:rsid w:val="00462895"/>
    <w:pPr>
      <w:numPr>
        <w:numId w:val="17"/>
      </w:numPr>
      <w:ind w:right="856"/>
    </w:pPr>
  </w:style>
  <w:style w:type="character" w:customStyle="1" w:styleId="ArticleCarattere">
    <w:name w:val="Article Carattere"/>
    <w:basedOn w:val="Title1Carattere"/>
    <w:link w:val="Article"/>
    <w:uiPriority w:val="1"/>
    <w:rsid w:val="00462895"/>
    <w:rPr>
      <w:rFonts w:ascii="Times New Roman" w:eastAsia="Times New Roman" w:hAnsi="Times New Roman" w:cs="Times New Roman"/>
      <w:b/>
      <w:bCs/>
      <w:color w:val="22226D"/>
      <w:sz w:val="24"/>
      <w:szCs w:val="24"/>
    </w:rPr>
  </w:style>
  <w:style w:type="character" w:customStyle="1" w:styleId="ListParagraphChar">
    <w:name w:val="List Paragraph Char"/>
    <w:aliases w:val="F List Paragraph Char"/>
    <w:basedOn w:val="DefaultParagraphFont"/>
    <w:link w:val="ListParagraph"/>
    <w:uiPriority w:val="1"/>
    <w:locked/>
    <w:rsid w:val="00E2580F"/>
    <w:rPr>
      <w:rFonts w:ascii="Times New Roman" w:eastAsia="Times New Roman" w:hAnsi="Times New Roman" w:cs="Times New Roman"/>
    </w:rPr>
  </w:style>
  <w:style w:type="character" w:customStyle="1" w:styleId="CommentaireCar">
    <w:name w:val="Commentaire Car"/>
    <w:aliases w:val="Stinking Styles5 Car"/>
    <w:basedOn w:val="DefaultParagraphFont"/>
    <w:uiPriority w:val="99"/>
    <w:rsid w:val="00EE79CA"/>
    <w:rPr>
      <w:sz w:val="24"/>
      <w:szCs w:val="24"/>
    </w:rPr>
  </w:style>
  <w:style w:type="paragraph" w:customStyle="1" w:styleId="titolo4new">
    <w:name w:val="titolo 4 new"/>
    <w:basedOn w:val="ListParagraph"/>
    <w:uiPriority w:val="1"/>
    <w:qFormat/>
    <w:rsid w:val="008644E0"/>
    <w:pPr>
      <w:numPr>
        <w:ilvl w:val="3"/>
        <w:numId w:val="38"/>
      </w:numPr>
      <w:tabs>
        <w:tab w:val="left" w:pos="1169"/>
      </w:tabs>
      <w:spacing w:after="240"/>
      <w:ind w:right="0"/>
      <w:jc w:val="left"/>
    </w:pPr>
    <w:rPr>
      <w:rFonts w:ascii="Calibri Light" w:eastAsia="Calibri" w:hAnsi="Calibri" w:cs="Calibri"/>
      <w:i/>
      <w:color w:val="2D73B5"/>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555850">
      <w:bodyDiv w:val="1"/>
      <w:marLeft w:val="0"/>
      <w:marRight w:val="0"/>
      <w:marTop w:val="0"/>
      <w:marBottom w:val="0"/>
      <w:divBdr>
        <w:top w:val="none" w:sz="0" w:space="0" w:color="auto"/>
        <w:left w:val="none" w:sz="0" w:space="0" w:color="auto"/>
        <w:bottom w:val="none" w:sz="0" w:space="0" w:color="auto"/>
        <w:right w:val="none" w:sz="0" w:space="0" w:color="auto"/>
      </w:divBdr>
      <w:divsChild>
        <w:div w:id="842203799">
          <w:marLeft w:val="0"/>
          <w:marRight w:val="0"/>
          <w:marTop w:val="0"/>
          <w:marBottom w:val="0"/>
          <w:divBdr>
            <w:top w:val="none" w:sz="0" w:space="0" w:color="auto"/>
            <w:left w:val="none" w:sz="0" w:space="0" w:color="auto"/>
            <w:bottom w:val="none" w:sz="0" w:space="0" w:color="auto"/>
            <w:right w:val="none" w:sz="0" w:space="0" w:color="auto"/>
          </w:divBdr>
          <w:divsChild>
            <w:div w:id="1634021464">
              <w:marLeft w:val="0"/>
              <w:marRight w:val="0"/>
              <w:marTop w:val="0"/>
              <w:marBottom w:val="0"/>
              <w:divBdr>
                <w:top w:val="none" w:sz="0" w:space="0" w:color="auto"/>
                <w:left w:val="none" w:sz="0" w:space="0" w:color="auto"/>
                <w:bottom w:val="none" w:sz="0" w:space="0" w:color="auto"/>
                <w:right w:val="none" w:sz="0" w:space="0" w:color="auto"/>
              </w:divBdr>
              <w:divsChild>
                <w:div w:id="301886147">
                  <w:marLeft w:val="0"/>
                  <w:marRight w:val="0"/>
                  <w:marTop w:val="0"/>
                  <w:marBottom w:val="0"/>
                  <w:divBdr>
                    <w:top w:val="none" w:sz="0" w:space="0" w:color="auto"/>
                    <w:left w:val="none" w:sz="0" w:space="0" w:color="auto"/>
                    <w:bottom w:val="none" w:sz="0" w:space="0" w:color="auto"/>
                    <w:right w:val="none" w:sz="0" w:space="0" w:color="auto"/>
                  </w:divBdr>
                  <w:divsChild>
                    <w:div w:id="345137793">
                      <w:marLeft w:val="0"/>
                      <w:marRight w:val="0"/>
                      <w:marTop w:val="45"/>
                      <w:marBottom w:val="0"/>
                      <w:divBdr>
                        <w:top w:val="none" w:sz="0" w:space="0" w:color="auto"/>
                        <w:left w:val="none" w:sz="0" w:space="0" w:color="auto"/>
                        <w:bottom w:val="none" w:sz="0" w:space="0" w:color="auto"/>
                        <w:right w:val="none" w:sz="0" w:space="0" w:color="auto"/>
                      </w:divBdr>
                      <w:divsChild>
                        <w:div w:id="1340501661">
                          <w:marLeft w:val="0"/>
                          <w:marRight w:val="0"/>
                          <w:marTop w:val="0"/>
                          <w:marBottom w:val="0"/>
                          <w:divBdr>
                            <w:top w:val="none" w:sz="0" w:space="0" w:color="auto"/>
                            <w:left w:val="none" w:sz="0" w:space="0" w:color="auto"/>
                            <w:bottom w:val="none" w:sz="0" w:space="0" w:color="auto"/>
                            <w:right w:val="none" w:sz="0" w:space="0" w:color="auto"/>
                          </w:divBdr>
                          <w:divsChild>
                            <w:div w:id="2023241197">
                              <w:marLeft w:val="2070"/>
                              <w:marRight w:val="3960"/>
                              <w:marTop w:val="0"/>
                              <w:marBottom w:val="0"/>
                              <w:divBdr>
                                <w:top w:val="none" w:sz="0" w:space="0" w:color="auto"/>
                                <w:left w:val="none" w:sz="0" w:space="0" w:color="auto"/>
                                <w:bottom w:val="none" w:sz="0" w:space="0" w:color="auto"/>
                                <w:right w:val="none" w:sz="0" w:space="0" w:color="auto"/>
                              </w:divBdr>
                              <w:divsChild>
                                <w:div w:id="2060782979">
                                  <w:marLeft w:val="0"/>
                                  <w:marRight w:val="0"/>
                                  <w:marTop w:val="0"/>
                                  <w:marBottom w:val="0"/>
                                  <w:divBdr>
                                    <w:top w:val="none" w:sz="0" w:space="0" w:color="auto"/>
                                    <w:left w:val="none" w:sz="0" w:space="0" w:color="auto"/>
                                    <w:bottom w:val="none" w:sz="0" w:space="0" w:color="auto"/>
                                    <w:right w:val="none" w:sz="0" w:space="0" w:color="auto"/>
                                  </w:divBdr>
                                  <w:divsChild>
                                    <w:div w:id="2090148599">
                                      <w:marLeft w:val="0"/>
                                      <w:marRight w:val="0"/>
                                      <w:marTop w:val="0"/>
                                      <w:marBottom w:val="0"/>
                                      <w:divBdr>
                                        <w:top w:val="none" w:sz="0" w:space="0" w:color="auto"/>
                                        <w:left w:val="none" w:sz="0" w:space="0" w:color="auto"/>
                                        <w:bottom w:val="none" w:sz="0" w:space="0" w:color="auto"/>
                                        <w:right w:val="none" w:sz="0" w:space="0" w:color="auto"/>
                                      </w:divBdr>
                                      <w:divsChild>
                                        <w:div w:id="448090044">
                                          <w:marLeft w:val="0"/>
                                          <w:marRight w:val="0"/>
                                          <w:marTop w:val="0"/>
                                          <w:marBottom w:val="0"/>
                                          <w:divBdr>
                                            <w:top w:val="none" w:sz="0" w:space="0" w:color="auto"/>
                                            <w:left w:val="none" w:sz="0" w:space="0" w:color="auto"/>
                                            <w:bottom w:val="none" w:sz="0" w:space="0" w:color="auto"/>
                                            <w:right w:val="none" w:sz="0" w:space="0" w:color="auto"/>
                                          </w:divBdr>
                                          <w:divsChild>
                                            <w:div w:id="80103196">
                                              <w:marLeft w:val="0"/>
                                              <w:marRight w:val="0"/>
                                              <w:marTop w:val="90"/>
                                              <w:marBottom w:val="0"/>
                                              <w:divBdr>
                                                <w:top w:val="none" w:sz="0" w:space="0" w:color="auto"/>
                                                <w:left w:val="none" w:sz="0" w:space="0" w:color="auto"/>
                                                <w:bottom w:val="none" w:sz="0" w:space="0" w:color="auto"/>
                                                <w:right w:val="none" w:sz="0" w:space="0" w:color="auto"/>
                                              </w:divBdr>
                                              <w:divsChild>
                                                <w:div w:id="769279021">
                                                  <w:marLeft w:val="0"/>
                                                  <w:marRight w:val="0"/>
                                                  <w:marTop w:val="0"/>
                                                  <w:marBottom w:val="0"/>
                                                  <w:divBdr>
                                                    <w:top w:val="none" w:sz="0" w:space="0" w:color="auto"/>
                                                    <w:left w:val="none" w:sz="0" w:space="0" w:color="auto"/>
                                                    <w:bottom w:val="none" w:sz="0" w:space="0" w:color="auto"/>
                                                    <w:right w:val="none" w:sz="0" w:space="0" w:color="auto"/>
                                                  </w:divBdr>
                                                  <w:divsChild>
                                                    <w:div w:id="467480654">
                                                      <w:marLeft w:val="0"/>
                                                      <w:marRight w:val="0"/>
                                                      <w:marTop w:val="0"/>
                                                      <w:marBottom w:val="0"/>
                                                      <w:divBdr>
                                                        <w:top w:val="none" w:sz="0" w:space="0" w:color="auto"/>
                                                        <w:left w:val="none" w:sz="0" w:space="0" w:color="auto"/>
                                                        <w:bottom w:val="none" w:sz="0" w:space="0" w:color="auto"/>
                                                        <w:right w:val="none" w:sz="0" w:space="0" w:color="auto"/>
                                                      </w:divBdr>
                                                      <w:divsChild>
                                                        <w:div w:id="1441026171">
                                                          <w:marLeft w:val="0"/>
                                                          <w:marRight w:val="0"/>
                                                          <w:marTop w:val="0"/>
                                                          <w:marBottom w:val="390"/>
                                                          <w:divBdr>
                                                            <w:top w:val="none" w:sz="0" w:space="0" w:color="auto"/>
                                                            <w:left w:val="none" w:sz="0" w:space="0" w:color="auto"/>
                                                            <w:bottom w:val="none" w:sz="0" w:space="0" w:color="auto"/>
                                                            <w:right w:val="none" w:sz="0" w:space="0" w:color="auto"/>
                                                          </w:divBdr>
                                                          <w:divsChild>
                                                            <w:div w:id="1834375797">
                                                              <w:marLeft w:val="0"/>
                                                              <w:marRight w:val="0"/>
                                                              <w:marTop w:val="0"/>
                                                              <w:marBottom w:val="0"/>
                                                              <w:divBdr>
                                                                <w:top w:val="none" w:sz="0" w:space="0" w:color="auto"/>
                                                                <w:left w:val="none" w:sz="0" w:space="0" w:color="auto"/>
                                                                <w:bottom w:val="none" w:sz="0" w:space="0" w:color="auto"/>
                                                                <w:right w:val="none" w:sz="0" w:space="0" w:color="auto"/>
                                                              </w:divBdr>
                                                              <w:divsChild>
                                                                <w:div w:id="673580255">
                                                                  <w:marLeft w:val="0"/>
                                                                  <w:marRight w:val="0"/>
                                                                  <w:marTop w:val="0"/>
                                                                  <w:marBottom w:val="0"/>
                                                                  <w:divBdr>
                                                                    <w:top w:val="none" w:sz="0" w:space="0" w:color="auto"/>
                                                                    <w:left w:val="none" w:sz="0" w:space="0" w:color="auto"/>
                                                                    <w:bottom w:val="none" w:sz="0" w:space="0" w:color="auto"/>
                                                                    <w:right w:val="none" w:sz="0" w:space="0" w:color="auto"/>
                                                                  </w:divBdr>
                                                                  <w:divsChild>
                                                                    <w:div w:id="660158536">
                                                                      <w:marLeft w:val="0"/>
                                                                      <w:marRight w:val="0"/>
                                                                      <w:marTop w:val="0"/>
                                                                      <w:marBottom w:val="0"/>
                                                                      <w:divBdr>
                                                                        <w:top w:val="none" w:sz="0" w:space="0" w:color="auto"/>
                                                                        <w:left w:val="none" w:sz="0" w:space="0" w:color="auto"/>
                                                                        <w:bottom w:val="none" w:sz="0" w:space="0" w:color="auto"/>
                                                                        <w:right w:val="none" w:sz="0" w:space="0" w:color="auto"/>
                                                                      </w:divBdr>
                                                                      <w:divsChild>
                                                                        <w:div w:id="1119373378">
                                                                          <w:marLeft w:val="0"/>
                                                                          <w:marRight w:val="0"/>
                                                                          <w:marTop w:val="0"/>
                                                                          <w:marBottom w:val="0"/>
                                                                          <w:divBdr>
                                                                            <w:top w:val="none" w:sz="0" w:space="0" w:color="auto"/>
                                                                            <w:left w:val="none" w:sz="0" w:space="0" w:color="auto"/>
                                                                            <w:bottom w:val="none" w:sz="0" w:space="0" w:color="auto"/>
                                                                            <w:right w:val="none" w:sz="0" w:space="0" w:color="auto"/>
                                                                          </w:divBdr>
                                                                          <w:divsChild>
                                                                            <w:div w:id="867988380">
                                                                              <w:marLeft w:val="0"/>
                                                                              <w:marRight w:val="0"/>
                                                                              <w:marTop w:val="0"/>
                                                                              <w:marBottom w:val="0"/>
                                                                              <w:divBdr>
                                                                                <w:top w:val="none" w:sz="0" w:space="0" w:color="auto"/>
                                                                                <w:left w:val="none" w:sz="0" w:space="0" w:color="auto"/>
                                                                                <w:bottom w:val="none" w:sz="0" w:space="0" w:color="auto"/>
                                                                                <w:right w:val="none" w:sz="0" w:space="0" w:color="auto"/>
                                                                              </w:divBdr>
                                                                              <w:divsChild>
                                                                                <w:div w:id="18243875">
                                                                                  <w:marLeft w:val="0"/>
                                                                                  <w:marRight w:val="0"/>
                                                                                  <w:marTop w:val="0"/>
                                                                                  <w:marBottom w:val="0"/>
                                                                                  <w:divBdr>
                                                                                    <w:top w:val="none" w:sz="0" w:space="0" w:color="auto"/>
                                                                                    <w:left w:val="none" w:sz="0" w:space="0" w:color="auto"/>
                                                                                    <w:bottom w:val="none" w:sz="0" w:space="0" w:color="auto"/>
                                                                                    <w:right w:val="none" w:sz="0" w:space="0" w:color="auto"/>
                                                                                  </w:divBdr>
                                                                                  <w:divsChild>
                                                                                    <w:div w:id="955059641">
                                                                                      <w:marLeft w:val="0"/>
                                                                                      <w:marRight w:val="0"/>
                                                                                      <w:marTop w:val="0"/>
                                                                                      <w:marBottom w:val="0"/>
                                                                                      <w:divBdr>
                                                                                        <w:top w:val="none" w:sz="0" w:space="0" w:color="auto"/>
                                                                                        <w:left w:val="none" w:sz="0" w:space="0" w:color="auto"/>
                                                                                        <w:bottom w:val="none" w:sz="0" w:space="0" w:color="auto"/>
                                                                                        <w:right w:val="none" w:sz="0" w:space="0" w:color="auto"/>
                                                                                      </w:divBdr>
                                                                                      <w:divsChild>
                                                                                        <w:div w:id="20033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AA5E2-3D49-4433-95BE-D3DBA1B62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2992</Words>
  <Characters>17059</Characters>
  <Application>Microsoft Office Word</Application>
  <DocSecurity>0</DocSecurity>
  <Lines>142</Lines>
  <Paragraphs>40</Paragraphs>
  <ScaleCrop>false</ScaleCrop>
  <HeadingPairs>
    <vt:vector size="6" baseType="variant">
      <vt:variant>
        <vt:lpstr>Title</vt:lpstr>
      </vt:variant>
      <vt:variant>
        <vt:i4>1</vt:i4>
      </vt:variant>
      <vt:variant>
        <vt:lpstr>Titolo</vt:lpstr>
      </vt:variant>
      <vt:variant>
        <vt:i4>1</vt:i4>
      </vt:variant>
      <vt:variant>
        <vt:lpstr>Titre</vt:lpstr>
      </vt:variant>
      <vt:variant>
        <vt:i4>1</vt:i4>
      </vt:variant>
    </vt:vector>
  </HeadingPairs>
  <TitlesOfParts>
    <vt:vector size="3" baseType="lpstr">
      <vt:lpstr>RDCT Methodology</vt:lpstr>
      <vt:lpstr>RDCT Methodology</vt:lpstr>
      <vt:lpstr>RDCT Methodology</vt:lpstr>
    </vt:vector>
  </TitlesOfParts>
  <Company>Terna S.p.A.</Company>
  <LinksUpToDate>false</LinksUpToDate>
  <CharactersWithSpaces>20011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RDCT Methodology</dc:title>
  <dc:creator>NIB TSOs</dc:creator>
  <cp:lastModifiedBy>Master</cp:lastModifiedBy>
  <cp:revision>8</cp:revision>
  <cp:lastPrinted>2018-03-15T07:19:00Z</cp:lastPrinted>
  <dcterms:created xsi:type="dcterms:W3CDTF">2018-03-14T18:30:00Z</dcterms:created>
  <dcterms:modified xsi:type="dcterms:W3CDTF">2018-04-05T07:20:00Z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2017-06-12T00:00:00Z</vt:filetime>
  </property>
  <property fmtid="{D5CDD505-2E9C-101B-9397-08002B2CF9AE}" pid="3" name="Creator">
    <vt:lpwstr>PDFCreator Version 1.2.3</vt:lpwstr>
  </property>
  <property fmtid="{D5CDD505-2E9C-101B-9397-08002B2CF9AE}" pid="4" name="LastSaved">
    <vt:filetime>2017-07-07T00:00:00Z</vt:filetime>
  </property>
</Properties>
</file>