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0DDF6" w14:textId="77777777" w:rsidR="00C74C66" w:rsidRPr="002B3697" w:rsidRDefault="00C74C66" w:rsidP="00C74C66">
      <w:pPr>
        <w:spacing w:line="276" w:lineRule="auto"/>
        <w:ind w:right="-5" w:firstLine="275"/>
        <w:jc w:val="center"/>
        <w:rPr>
          <w:rFonts w:ascii="Times New Roman" w:eastAsia="Times New Roman" w:hAnsi="Times New Roman" w:cs="Times New Roman"/>
          <w:b/>
          <w:bCs/>
          <w:color w:val="044E9F"/>
          <w:w w:val="107"/>
          <w:lang w:val="ro-RO"/>
        </w:rPr>
      </w:pPr>
      <w:r w:rsidRPr="002B3697">
        <w:rPr>
          <w:rFonts w:ascii="Times New Roman" w:eastAsia="Times New Roman" w:hAnsi="Times New Roman" w:cs="Times New Roman"/>
          <w:b/>
          <w:bCs/>
          <w:color w:val="044E9F"/>
          <w:w w:val="107"/>
          <w:lang w:val="ro-RO"/>
        </w:rPr>
        <w:t>Consultation Document according to the provisions of art. 26 of Commission Regulation (EU) 2017/460 of 16 March 2017 establishing a network code on harmonised transmission tariff structures for gas,</w:t>
      </w:r>
      <w:r>
        <w:rPr>
          <w:rFonts w:ascii="Times New Roman" w:eastAsia="Times New Roman" w:hAnsi="Times New Roman" w:cs="Times New Roman"/>
          <w:b/>
          <w:bCs/>
          <w:color w:val="044E9F"/>
          <w:w w:val="107"/>
          <w:lang w:val="ro-RO"/>
        </w:rPr>
        <w:t xml:space="preserve"> </w:t>
      </w:r>
      <w:r w:rsidRPr="002B3697">
        <w:rPr>
          <w:rFonts w:ascii="Times New Roman" w:eastAsia="Times New Roman" w:hAnsi="Times New Roman" w:cs="Times New Roman"/>
          <w:b/>
          <w:bCs/>
          <w:color w:val="044E9F"/>
          <w:w w:val="107"/>
          <w:lang w:val="ro-RO"/>
        </w:rPr>
        <w:t>on the proposed reference price methodology</w:t>
      </w:r>
    </w:p>
    <w:p w14:paraId="3215D45E" w14:textId="77777777" w:rsidR="00C74C66" w:rsidRDefault="00C74C66" w:rsidP="00D2378D">
      <w:pPr>
        <w:keepNext/>
        <w:keepLines/>
        <w:spacing w:after="120" w:line="276" w:lineRule="auto"/>
        <w:ind w:right="-5"/>
        <w:jc w:val="both"/>
        <w:rPr>
          <w:rFonts w:ascii="Times New Roman" w:eastAsia="Microsoft Sans Serif" w:hAnsi="Times New Roman" w:cs="Times New Roman"/>
          <w:color w:val="044F9F"/>
        </w:rPr>
      </w:pPr>
    </w:p>
    <w:p w14:paraId="52C8CC13" w14:textId="58363180" w:rsidR="00D2378D" w:rsidRPr="002B3697" w:rsidRDefault="00D2378D" w:rsidP="00D2378D">
      <w:pPr>
        <w:keepNext/>
        <w:keepLines/>
        <w:spacing w:after="120" w:line="276" w:lineRule="auto"/>
        <w:ind w:right="-5"/>
        <w:jc w:val="both"/>
        <w:rPr>
          <w:rFonts w:ascii="Times New Roman" w:eastAsia="Microsoft Sans Serif" w:hAnsi="Times New Roman" w:cs="Times New Roman"/>
          <w:color w:val="044F9F"/>
        </w:rPr>
      </w:pPr>
      <w:r w:rsidRPr="002B3697">
        <w:rPr>
          <w:rFonts w:ascii="Times New Roman" w:eastAsia="Microsoft Sans Serif" w:hAnsi="Times New Roman" w:cs="Times New Roman"/>
          <w:color w:val="044F9F"/>
        </w:rPr>
        <w:t>C.10. Information on non-transmission services provided to network users [Article 26(1)(c)(ii)]</w:t>
      </w:r>
    </w:p>
    <w:p w14:paraId="7C49D748" w14:textId="77777777" w:rsidR="00D2378D" w:rsidRPr="002B3697" w:rsidRDefault="00D2378D" w:rsidP="00D2378D">
      <w:pPr>
        <w:spacing w:after="120" w:line="276" w:lineRule="auto"/>
        <w:ind w:left="320" w:right="-5"/>
        <w:jc w:val="both"/>
        <w:rPr>
          <w:rFonts w:ascii="Times New Roman" w:hAnsi="Times New Roman" w:cs="Times New Roman"/>
        </w:rPr>
      </w:pPr>
      <w:r w:rsidRPr="002B3697">
        <w:rPr>
          <w:rFonts w:ascii="Times New Roman" w:eastAsia="Microsoft Sans Serif" w:hAnsi="Times New Roman" w:cs="Times New Roman"/>
          <w:color w:val="333333"/>
        </w:rPr>
        <w:t>Are there non-transmission services provided to network users on the bases of a non-transmission service tariff methodology?</w:t>
      </w:r>
    </w:p>
    <w:p w14:paraId="37D4D1F4" w14:textId="77777777" w:rsidR="00D2378D" w:rsidRPr="002B3697" w:rsidRDefault="00D2378D" w:rsidP="00D2378D">
      <w:pPr>
        <w:pStyle w:val="ListParagraph"/>
        <w:numPr>
          <w:ilvl w:val="0"/>
          <w:numId w:val="2"/>
        </w:numPr>
        <w:spacing w:line="276" w:lineRule="auto"/>
        <w:ind w:right="-5"/>
        <w:jc w:val="both"/>
        <w:rPr>
          <w:rFonts w:ascii="Times New Roman" w:eastAsia="Microsoft Sans Serif" w:hAnsi="Times New Roman" w:cs="Times New Roman"/>
          <w:b/>
          <w:color w:val="333333"/>
          <w:u w:val="single"/>
        </w:rPr>
      </w:pPr>
      <w:r w:rsidRPr="002B3697">
        <w:rPr>
          <w:rFonts w:ascii="Times New Roman" w:eastAsia="Microsoft Sans Serif" w:hAnsi="Times New Roman" w:cs="Times New Roman"/>
          <w:b/>
          <w:color w:val="333333"/>
          <w:u w:val="single"/>
        </w:rPr>
        <w:t xml:space="preserve">Yes </w:t>
      </w:r>
    </w:p>
    <w:p w14:paraId="7A874D96" w14:textId="77777777" w:rsidR="00D2378D" w:rsidRPr="002B3697" w:rsidRDefault="00D2378D" w:rsidP="00D2378D">
      <w:pPr>
        <w:pStyle w:val="ListParagraph"/>
        <w:numPr>
          <w:ilvl w:val="0"/>
          <w:numId w:val="2"/>
        </w:numPr>
        <w:spacing w:line="276" w:lineRule="auto"/>
        <w:ind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No</w:t>
      </w:r>
    </w:p>
    <w:p w14:paraId="33B86C6D" w14:textId="77777777" w:rsidR="00D2378D" w:rsidRPr="002B3697" w:rsidRDefault="00D2378D" w:rsidP="00D2378D">
      <w:pPr>
        <w:spacing w:after="120" w:line="276" w:lineRule="auto"/>
        <w:ind w:left="320" w:right="-5"/>
        <w:jc w:val="both"/>
        <w:rPr>
          <w:rFonts w:ascii="Times New Roman" w:eastAsia="Microsoft Sans Serif" w:hAnsi="Times New Roman" w:cs="Times New Roman"/>
          <w:color w:val="333333"/>
        </w:rPr>
      </w:pPr>
    </w:p>
    <w:p w14:paraId="45247208" w14:textId="77777777" w:rsidR="00D2378D" w:rsidRPr="002B3697" w:rsidRDefault="00D2378D" w:rsidP="00D2378D">
      <w:pPr>
        <w:spacing w:after="120" w:line="276" w:lineRule="auto"/>
        <w:ind w:left="3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Comments, if relevant.</w:t>
      </w:r>
    </w:p>
    <w:p w14:paraId="22376DFB" w14:textId="77777777" w:rsidR="00D2378D" w:rsidRPr="003D053C" w:rsidRDefault="00D2378D"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4382FE31" w14:textId="77777777" w:rsidR="00D2378D" w:rsidRDefault="00D2378D" w:rsidP="00D2378D">
      <w:pPr>
        <w:keepNext/>
        <w:keepLines/>
        <w:spacing w:after="120" w:line="276" w:lineRule="auto"/>
        <w:ind w:right="-5"/>
        <w:jc w:val="both"/>
        <w:rPr>
          <w:rFonts w:ascii="Times New Roman" w:eastAsia="Microsoft Sans Serif" w:hAnsi="Times New Roman" w:cs="Times New Roman"/>
          <w:color w:val="044F9F"/>
        </w:rPr>
      </w:pPr>
      <w:bookmarkStart w:id="0" w:name="bookmark46"/>
    </w:p>
    <w:p w14:paraId="135E66A2" w14:textId="77777777" w:rsidR="00D2378D" w:rsidRPr="002B3697" w:rsidRDefault="00D2378D" w:rsidP="00D2378D">
      <w:pPr>
        <w:keepNext/>
        <w:keepLines/>
        <w:spacing w:after="120"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C.10.A. Non-transmission service tariff methodologies [Articles 26(1)(c)(ii)(1), 4(1)].</w:t>
      </w:r>
      <w:bookmarkEnd w:id="0"/>
    </w:p>
    <w:p w14:paraId="27941D9C" w14:textId="77777777" w:rsidR="00D2378D" w:rsidRPr="002B3697" w:rsidRDefault="00D2378D" w:rsidP="00D2378D">
      <w:pPr>
        <w:spacing w:after="120" w:line="276" w:lineRule="auto"/>
        <w:ind w:left="4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w:t>
      </w:r>
    </w:p>
    <w:p w14:paraId="7840AB75" w14:textId="77777777" w:rsidR="00D2378D" w:rsidRPr="00DF5E2C" w:rsidRDefault="00D2378D" w:rsidP="00D2378D">
      <w:pPr>
        <w:pStyle w:val="ListParagraph"/>
        <w:numPr>
          <w:ilvl w:val="0"/>
          <w:numId w:val="1"/>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DF5E2C">
        <w:rPr>
          <w:rFonts w:ascii="Times New Roman" w:eastAsia="Microsoft Sans Serif" w:hAnsi="Times New Roman" w:cs="Times New Roman"/>
          <w:color w:val="333333"/>
          <w:sz w:val="24"/>
          <w:szCs w:val="24"/>
          <w:lang w:bidi="en-US"/>
        </w:rPr>
        <w:t>List of services considered as non-transmission service on the basis of the criteria laid out in Article 4(1).</w:t>
      </w:r>
    </w:p>
    <w:p w14:paraId="63FE93C6" w14:textId="77777777" w:rsidR="00D2378D" w:rsidRPr="00DF5E2C" w:rsidRDefault="00D2378D" w:rsidP="00D2378D">
      <w:pPr>
        <w:pStyle w:val="ListParagraph"/>
        <w:numPr>
          <w:ilvl w:val="0"/>
          <w:numId w:val="1"/>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DF5E2C">
        <w:rPr>
          <w:rFonts w:ascii="Times New Roman" w:eastAsia="Microsoft Sans Serif" w:hAnsi="Times New Roman" w:cs="Times New Roman"/>
          <w:color w:val="333333"/>
          <w:sz w:val="24"/>
          <w:szCs w:val="24"/>
          <w:lang w:bidi="en-US"/>
        </w:rPr>
        <w:t>Users to which each of the non-transmission services applies. Indicate if it is not possible to identify the benefi</w:t>
      </w:r>
      <w:r>
        <w:rPr>
          <w:rFonts w:ascii="Times New Roman" w:eastAsia="Microsoft Sans Serif" w:hAnsi="Times New Roman" w:cs="Times New Roman"/>
          <w:color w:val="333333"/>
          <w:sz w:val="24"/>
          <w:szCs w:val="24"/>
          <w:lang w:bidi="en-US"/>
        </w:rPr>
        <w:t>c</w:t>
      </w:r>
      <w:r w:rsidRPr="00DF5E2C">
        <w:rPr>
          <w:rFonts w:ascii="Times New Roman" w:eastAsia="Microsoft Sans Serif" w:hAnsi="Times New Roman" w:cs="Times New Roman"/>
          <w:color w:val="333333"/>
          <w:sz w:val="24"/>
          <w:szCs w:val="24"/>
          <w:lang w:bidi="en-US"/>
        </w:rPr>
        <w:t>iary of the non-transmission service.</w:t>
      </w:r>
    </w:p>
    <w:p w14:paraId="3877FEE7" w14:textId="77777777" w:rsidR="00D2378D" w:rsidRPr="00DF5E2C" w:rsidRDefault="00D2378D" w:rsidP="00D2378D">
      <w:pPr>
        <w:pStyle w:val="ListParagraph"/>
        <w:numPr>
          <w:ilvl w:val="0"/>
          <w:numId w:val="1"/>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DF5E2C">
        <w:rPr>
          <w:rFonts w:ascii="Times New Roman" w:eastAsia="Microsoft Sans Serif" w:hAnsi="Times New Roman" w:cs="Times New Roman"/>
          <w:color w:val="333333"/>
          <w:sz w:val="24"/>
          <w:szCs w:val="24"/>
          <w:lang w:bidi="en-US"/>
        </w:rPr>
        <w:t>Explanation of the non-transmission tariff methodology provided per service.</w:t>
      </w:r>
    </w:p>
    <w:p w14:paraId="6E7AB3F0" w14:textId="77777777" w:rsidR="00D2378D" w:rsidRDefault="00D2378D" w:rsidP="00D2378D">
      <w:pPr>
        <w:spacing w:after="120" w:line="276" w:lineRule="auto"/>
        <w:ind w:left="340" w:right="-5"/>
        <w:jc w:val="both"/>
        <w:rPr>
          <w:rFonts w:ascii="Times New Roman" w:eastAsia="Microsoft Sans Serif" w:hAnsi="Times New Roman" w:cs="Times New Roman"/>
          <w:color w:val="333333"/>
        </w:rPr>
      </w:pPr>
    </w:p>
    <w:p w14:paraId="7455FE16" w14:textId="77777777"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Description:</w:t>
      </w:r>
    </w:p>
    <w:p w14:paraId="22019498" w14:textId="77777777" w:rsidR="00D2378D" w:rsidRPr="002B3697" w:rsidRDefault="00D2378D" w:rsidP="00D2378D">
      <w:pPr>
        <w:spacing w:line="276" w:lineRule="auto"/>
        <w:ind w:right="-5"/>
        <w:jc w:val="both"/>
        <w:rPr>
          <w:rFonts w:ascii="Times New Roman" w:hAnsi="Times New Roman" w:cs="Times New Roman"/>
          <w:lang w:val="ro-RO"/>
        </w:rPr>
      </w:pPr>
    </w:p>
    <w:p w14:paraId="31AE55C6" w14:textId="18A84B45" w:rsidR="00D2378D" w:rsidRDefault="00D2378D"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 xml:space="preserve">Transmission system operator provides non-transmission services </w:t>
      </w:r>
      <w:r w:rsidR="00D46DB2">
        <w:rPr>
          <w:rFonts w:ascii="Times New Roman" w:hAnsi="Times New Roman" w:cs="Times New Roman"/>
          <w:b/>
          <w:i/>
          <w:color w:val="auto"/>
          <w:lang w:val="ro-RO"/>
        </w:rPr>
        <w:t>like</w:t>
      </w:r>
      <w:r w:rsidRPr="003D053C">
        <w:rPr>
          <w:rFonts w:ascii="Times New Roman" w:hAnsi="Times New Roman" w:cs="Times New Roman"/>
          <w:b/>
          <w:i/>
          <w:color w:val="auto"/>
          <w:lang w:val="ro-RO"/>
        </w:rPr>
        <w:t xml:space="preserve"> connection services</w:t>
      </w:r>
      <w:r w:rsidR="00D46DB2">
        <w:rPr>
          <w:rFonts w:ascii="Times New Roman" w:hAnsi="Times New Roman" w:cs="Times New Roman"/>
          <w:b/>
          <w:i/>
          <w:color w:val="auto"/>
          <w:lang w:val="ro-RO"/>
        </w:rPr>
        <w:t xml:space="preserve"> and</w:t>
      </w:r>
      <w:r w:rsidRPr="00DF5E2C">
        <w:rPr>
          <w:rFonts w:ascii="Times New Roman" w:hAnsi="Times New Roman" w:cs="Times New Roman"/>
          <w:color w:val="auto"/>
          <w:lang w:val="ro-RO"/>
        </w:rPr>
        <w:t xml:space="preserve"> </w:t>
      </w:r>
      <w:r w:rsidRPr="003D053C">
        <w:rPr>
          <w:rFonts w:ascii="Times New Roman" w:hAnsi="Times New Roman" w:cs="Times New Roman"/>
          <w:b/>
          <w:i/>
          <w:color w:val="auto"/>
          <w:lang w:val="ro-RO"/>
        </w:rPr>
        <w:t xml:space="preserve">complementary transmission services </w:t>
      </w:r>
      <w:r w:rsidR="00D46DB2">
        <w:rPr>
          <w:rFonts w:ascii="Times New Roman" w:hAnsi="Times New Roman" w:cs="Times New Roman"/>
          <w:b/>
          <w:i/>
          <w:color w:val="auto"/>
          <w:lang w:val="ro-RO"/>
        </w:rPr>
        <w:t>for which</w:t>
      </w:r>
      <w:r w:rsidRPr="003D053C">
        <w:rPr>
          <w:rFonts w:ascii="Times New Roman" w:hAnsi="Times New Roman" w:cs="Times New Roman"/>
          <w:b/>
          <w:i/>
          <w:color w:val="auto"/>
          <w:lang w:val="ro-RO"/>
        </w:rPr>
        <w:t xml:space="preserve"> </w:t>
      </w:r>
      <w:r w:rsidR="00D46DB2">
        <w:rPr>
          <w:rFonts w:ascii="Times New Roman" w:hAnsi="Times New Roman" w:cs="Times New Roman"/>
          <w:b/>
          <w:i/>
          <w:color w:val="auto"/>
          <w:lang w:val="ro-RO"/>
        </w:rPr>
        <w:t>it has to</w:t>
      </w:r>
      <w:r w:rsidRPr="003D053C">
        <w:rPr>
          <w:rFonts w:ascii="Times New Roman" w:hAnsi="Times New Roman" w:cs="Times New Roman"/>
          <w:b/>
          <w:i/>
          <w:color w:val="auto"/>
          <w:lang w:val="ro-RO"/>
        </w:rPr>
        <w:t xml:space="preserve"> to keep separate accounts.</w:t>
      </w:r>
      <w:r w:rsidRPr="00DF5E2C">
        <w:rPr>
          <w:rFonts w:ascii="Times New Roman" w:hAnsi="Times New Roman" w:cs="Times New Roman"/>
          <w:color w:val="auto"/>
          <w:lang w:val="ro-RO"/>
        </w:rPr>
        <w:t xml:space="preserve"> </w:t>
      </w:r>
      <w:r w:rsidRPr="003D053C">
        <w:rPr>
          <w:rFonts w:ascii="Times New Roman" w:hAnsi="Times New Roman" w:cs="Times New Roman"/>
          <w:b/>
          <w:i/>
          <w:color w:val="auto"/>
          <w:lang w:val="ro-RO"/>
        </w:rPr>
        <w:t xml:space="preserve">The revenue of these activities is part of the allowed revenue of the transmission </w:t>
      </w:r>
      <w:r w:rsidR="00AD7068">
        <w:rPr>
          <w:rFonts w:ascii="Times New Roman" w:hAnsi="Times New Roman" w:cs="Times New Roman"/>
          <w:b/>
          <w:i/>
          <w:color w:val="auto"/>
          <w:lang w:val="ro-RO"/>
        </w:rPr>
        <w:t>s</w:t>
      </w:r>
      <w:r w:rsidR="000E65AF">
        <w:rPr>
          <w:rFonts w:ascii="Times New Roman" w:hAnsi="Times New Roman" w:cs="Times New Roman"/>
          <w:b/>
          <w:i/>
          <w:color w:val="auto"/>
          <w:lang w:val="ro-RO"/>
        </w:rPr>
        <w:t>y</w:t>
      </w:r>
      <w:r w:rsidR="00AD7068">
        <w:rPr>
          <w:rFonts w:ascii="Times New Roman" w:hAnsi="Times New Roman" w:cs="Times New Roman"/>
          <w:b/>
          <w:i/>
          <w:color w:val="auto"/>
          <w:lang w:val="ro-RO"/>
        </w:rPr>
        <w:t>stem operator</w:t>
      </w:r>
      <w:r w:rsidRPr="003D053C">
        <w:rPr>
          <w:rFonts w:ascii="Times New Roman" w:hAnsi="Times New Roman" w:cs="Times New Roman"/>
          <w:b/>
          <w:i/>
          <w:color w:val="auto"/>
          <w:lang w:val="ro-RO"/>
        </w:rPr>
        <w:t>.</w:t>
      </w:r>
    </w:p>
    <w:p w14:paraId="735F2E62" w14:textId="4211FE9E" w:rsidR="000A0D98" w:rsidRDefault="005D66D1" w:rsidP="00B3020F">
      <w:pPr>
        <w:shd w:val="clear" w:color="auto" w:fill="F2F2F2" w:themeFill="background1" w:themeFillShade="F2"/>
        <w:spacing w:line="276" w:lineRule="auto"/>
        <w:ind w:right="-5"/>
        <w:jc w:val="both"/>
        <w:rPr>
          <w:rFonts w:ascii="Times New Roman" w:hAnsi="Times New Roman" w:cs="Times New Roman"/>
          <w:b/>
          <w:i/>
          <w:lang w:val="ro-RO"/>
        </w:rPr>
      </w:pPr>
      <w:r>
        <w:rPr>
          <w:rFonts w:ascii="Times New Roman" w:hAnsi="Times New Roman" w:cs="Times New Roman"/>
          <w:b/>
          <w:i/>
          <w:color w:val="auto"/>
          <w:lang w:val="ro-RO"/>
        </w:rPr>
        <w:t>Given that t</w:t>
      </w:r>
      <w:r w:rsidR="00D8459C">
        <w:rPr>
          <w:rFonts w:ascii="Times New Roman" w:hAnsi="Times New Roman" w:cs="Times New Roman"/>
          <w:b/>
          <w:i/>
          <w:color w:val="auto"/>
          <w:lang w:val="ro-RO"/>
        </w:rPr>
        <w:t xml:space="preserve">he costs of such services are not </w:t>
      </w:r>
      <w:r w:rsidR="00812901">
        <w:rPr>
          <w:rFonts w:ascii="Times New Roman" w:hAnsi="Times New Roman" w:cs="Times New Roman"/>
          <w:b/>
          <w:i/>
          <w:color w:val="auto"/>
          <w:lang w:val="ro-RO"/>
        </w:rPr>
        <w:t>generated</w:t>
      </w:r>
      <w:r w:rsidR="00D8459C">
        <w:rPr>
          <w:rFonts w:ascii="Times New Roman" w:hAnsi="Times New Roman" w:cs="Times New Roman"/>
          <w:b/>
          <w:i/>
          <w:color w:val="auto"/>
          <w:lang w:val="ro-RO"/>
        </w:rPr>
        <w:t xml:space="preserve"> by the cost drivers of b</w:t>
      </w:r>
      <w:bookmarkStart w:id="1" w:name="_GoBack"/>
      <w:bookmarkEnd w:id="1"/>
      <w:r w:rsidR="00D8459C">
        <w:rPr>
          <w:rFonts w:ascii="Times New Roman" w:hAnsi="Times New Roman" w:cs="Times New Roman"/>
          <w:b/>
          <w:i/>
          <w:color w:val="auto"/>
          <w:lang w:val="ro-RO"/>
        </w:rPr>
        <w:t>oth tehnical or forcasted contracted capacity and distance nor related to the investment in and operation of the infrastructure which is part of the regulated asset base for the provision of transmission services</w:t>
      </w:r>
      <w:r>
        <w:rPr>
          <w:rFonts w:ascii="Times New Roman" w:hAnsi="Times New Roman" w:cs="Times New Roman"/>
          <w:b/>
          <w:i/>
          <w:color w:val="auto"/>
          <w:lang w:val="ro-RO"/>
        </w:rPr>
        <w:t>, t</w:t>
      </w:r>
      <w:r w:rsidR="00B3020F">
        <w:rPr>
          <w:rFonts w:ascii="Times New Roman" w:hAnsi="Times New Roman" w:cs="Times New Roman"/>
          <w:b/>
          <w:i/>
          <w:lang w:val="ro-RO"/>
        </w:rPr>
        <w:t xml:space="preserve">he tariffs for non-transmission services are set according to specific metodologies. </w:t>
      </w:r>
      <w:r>
        <w:rPr>
          <w:rFonts w:ascii="Times New Roman" w:hAnsi="Times New Roman" w:cs="Times New Roman"/>
          <w:b/>
          <w:i/>
          <w:lang w:val="ro-RO"/>
        </w:rPr>
        <w:t>The aim of setting non-transmission tariffs is</w:t>
      </w:r>
      <w:r w:rsidR="000A0D98">
        <w:rPr>
          <w:rFonts w:ascii="Times New Roman" w:hAnsi="Times New Roman" w:cs="Times New Roman"/>
          <w:b/>
          <w:i/>
        </w:rPr>
        <w:t>:</w:t>
      </w:r>
      <w:r>
        <w:rPr>
          <w:rFonts w:ascii="Times New Roman" w:hAnsi="Times New Roman" w:cs="Times New Roman"/>
          <w:b/>
          <w:i/>
          <w:lang w:val="ro-RO"/>
        </w:rPr>
        <w:t xml:space="preserve"> </w:t>
      </w:r>
    </w:p>
    <w:p w14:paraId="54346F07" w14:textId="5F7FB4CF" w:rsidR="000A0D98" w:rsidRPr="000A0D98" w:rsidRDefault="00121769" w:rsidP="000A0D98">
      <w:pPr>
        <w:pStyle w:val="ListParagraph"/>
        <w:numPr>
          <w:ilvl w:val="0"/>
          <w:numId w:val="4"/>
        </w:numPr>
        <w:shd w:val="clear" w:color="auto" w:fill="F2F2F2" w:themeFill="background1" w:themeFillShade="F2"/>
        <w:spacing w:line="276" w:lineRule="auto"/>
        <w:ind w:right="-5"/>
        <w:jc w:val="both"/>
        <w:rPr>
          <w:rFonts w:ascii="Times New Roman" w:hAnsi="Times New Roman" w:cs="Times New Roman"/>
          <w:b/>
          <w:i/>
          <w:lang w:val="ro-RO"/>
        </w:rPr>
      </w:pPr>
      <w:r w:rsidRPr="000A0D98">
        <w:rPr>
          <w:rFonts w:ascii="Times New Roman" w:hAnsi="Times New Roman" w:cs="Times New Roman"/>
          <w:b/>
          <w:i/>
          <w:lang w:val="ro-RO"/>
        </w:rPr>
        <w:t xml:space="preserve">to </w:t>
      </w:r>
      <w:r w:rsidR="00642B77" w:rsidRPr="000A0D98">
        <w:rPr>
          <w:rFonts w:ascii="Times New Roman" w:hAnsi="Times New Roman" w:cs="Times New Roman"/>
          <w:b/>
          <w:i/>
          <w:lang w:val="ro-RO"/>
        </w:rPr>
        <w:t>avoid</w:t>
      </w:r>
      <w:r w:rsidRPr="000A0D98">
        <w:rPr>
          <w:rFonts w:ascii="Times New Roman" w:hAnsi="Times New Roman" w:cs="Times New Roman"/>
          <w:b/>
          <w:i/>
          <w:lang w:val="ro-RO"/>
        </w:rPr>
        <w:t xml:space="preserve"> </w:t>
      </w:r>
      <w:r w:rsidR="005D66D1" w:rsidRPr="000A0D98">
        <w:rPr>
          <w:rFonts w:ascii="Times New Roman" w:hAnsi="Times New Roman" w:cs="Times New Roman"/>
          <w:b/>
          <w:i/>
          <w:lang w:val="ro-RO"/>
        </w:rPr>
        <w:t>cross-subsidisation between network users</w:t>
      </w:r>
      <w:r w:rsidR="009A081E" w:rsidRPr="000A0D98">
        <w:rPr>
          <w:rFonts w:ascii="Times New Roman" w:hAnsi="Times New Roman" w:cs="Times New Roman"/>
          <w:b/>
          <w:i/>
          <w:lang w:val="ro-RO"/>
        </w:rPr>
        <w:t xml:space="preserve"> </w:t>
      </w:r>
      <w:r w:rsidR="000A0D98">
        <w:rPr>
          <w:rFonts w:ascii="Times New Roman" w:hAnsi="Times New Roman" w:cs="Times New Roman"/>
          <w:b/>
          <w:i/>
          <w:lang w:val="ro-RO"/>
        </w:rPr>
        <w:t xml:space="preserve">by charging the costs of non-transmission services only to the </w:t>
      </w:r>
      <w:r w:rsidR="000A0D98" w:rsidRPr="00121769">
        <w:rPr>
          <w:rFonts w:ascii="Times New Roman" w:hAnsi="Times New Roman" w:cs="Times New Roman"/>
          <w:b/>
          <w:i/>
          <w:color w:val="000000"/>
          <w:lang w:val="ro-RO"/>
        </w:rPr>
        <w:t>beneficiaries</w:t>
      </w:r>
      <w:r w:rsidR="000A0D98">
        <w:rPr>
          <w:rFonts w:ascii="Times New Roman" w:hAnsi="Times New Roman" w:cs="Times New Roman"/>
          <w:b/>
          <w:i/>
          <w:lang w:val="ro-RO"/>
        </w:rPr>
        <w:t xml:space="preserve"> of such services, </w:t>
      </w:r>
    </w:p>
    <w:p w14:paraId="44F79415" w14:textId="372B7BEA" w:rsidR="000A0D98" w:rsidRDefault="000A0D98" w:rsidP="000A0D98">
      <w:pPr>
        <w:pStyle w:val="ListParagraph"/>
        <w:numPr>
          <w:ilvl w:val="0"/>
          <w:numId w:val="4"/>
        </w:numPr>
        <w:shd w:val="clear" w:color="auto" w:fill="F2F2F2" w:themeFill="background1" w:themeFillShade="F2"/>
        <w:spacing w:line="276" w:lineRule="auto"/>
        <w:ind w:right="-5"/>
        <w:jc w:val="both"/>
        <w:rPr>
          <w:rFonts w:ascii="Times New Roman" w:hAnsi="Times New Roman" w:cs="Times New Roman"/>
          <w:b/>
          <w:i/>
          <w:lang w:val="ro-RO"/>
        </w:rPr>
      </w:pPr>
      <w:r>
        <w:rPr>
          <w:rFonts w:ascii="Times New Roman" w:hAnsi="Times New Roman" w:cs="Times New Roman"/>
          <w:b/>
          <w:i/>
          <w:lang w:val="ro-RO"/>
        </w:rPr>
        <w:t xml:space="preserve">to be </w:t>
      </w:r>
      <w:r w:rsidR="009A081E" w:rsidRPr="000A0D98">
        <w:rPr>
          <w:rFonts w:ascii="Times New Roman" w:hAnsi="Times New Roman" w:cs="Times New Roman"/>
          <w:b/>
          <w:i/>
          <w:lang w:val="ro-RO"/>
        </w:rPr>
        <w:t>cost-reflective</w:t>
      </w:r>
      <w:r w:rsidR="00BA3BE6" w:rsidRPr="000A0D98">
        <w:rPr>
          <w:rFonts w:ascii="Times New Roman" w:hAnsi="Times New Roman" w:cs="Times New Roman"/>
          <w:b/>
          <w:i/>
          <w:lang w:val="ro-RO"/>
        </w:rPr>
        <w:t xml:space="preserve"> </w:t>
      </w:r>
      <w:r w:rsidR="002B7210">
        <w:rPr>
          <w:rFonts w:ascii="Times New Roman" w:hAnsi="Times New Roman" w:cs="Times New Roman"/>
          <w:b/>
          <w:i/>
          <w:lang w:val="ro-RO"/>
        </w:rPr>
        <w:t>– the tariffs</w:t>
      </w:r>
      <w:r>
        <w:rPr>
          <w:rFonts w:ascii="Times New Roman" w:hAnsi="Times New Roman" w:cs="Times New Roman"/>
          <w:b/>
          <w:i/>
          <w:lang w:val="ro-RO"/>
        </w:rPr>
        <w:t xml:space="preserve"> </w:t>
      </w:r>
      <w:r w:rsidR="000B5C33">
        <w:rPr>
          <w:rFonts w:ascii="Times New Roman" w:hAnsi="Times New Roman" w:cs="Times New Roman"/>
          <w:b/>
          <w:i/>
          <w:lang w:val="ro-RO"/>
        </w:rPr>
        <w:t>reflect</w:t>
      </w:r>
      <w:r w:rsidR="00BA3BE6" w:rsidRPr="000A0D98">
        <w:rPr>
          <w:rFonts w:ascii="Times New Roman" w:hAnsi="Times New Roman" w:cs="Times New Roman"/>
          <w:b/>
          <w:i/>
          <w:lang w:val="ro-RO"/>
        </w:rPr>
        <w:t xml:space="preserve"> only the </w:t>
      </w:r>
      <w:r w:rsidRPr="000A0D98">
        <w:rPr>
          <w:rFonts w:ascii="Times New Roman" w:hAnsi="Times New Roman" w:cs="Times New Roman"/>
          <w:b/>
          <w:i/>
          <w:lang w:val="ro-RO"/>
        </w:rPr>
        <w:t xml:space="preserve">actual </w:t>
      </w:r>
      <w:r w:rsidR="00BA3BE6" w:rsidRPr="000A0D98">
        <w:rPr>
          <w:rFonts w:ascii="Times New Roman" w:hAnsi="Times New Roman" w:cs="Times New Roman"/>
          <w:b/>
          <w:i/>
          <w:lang w:val="ro-RO"/>
        </w:rPr>
        <w:t xml:space="preserve">costs of the </w:t>
      </w:r>
      <w:r w:rsidR="00812901">
        <w:rPr>
          <w:rFonts w:ascii="Times New Roman" w:hAnsi="Times New Roman" w:cs="Times New Roman"/>
          <w:b/>
          <w:i/>
          <w:lang w:val="ro-RO"/>
        </w:rPr>
        <w:t xml:space="preserve">non-transmission </w:t>
      </w:r>
      <w:r w:rsidR="00BA3BE6" w:rsidRPr="000A0D98">
        <w:rPr>
          <w:rFonts w:ascii="Times New Roman" w:hAnsi="Times New Roman" w:cs="Times New Roman"/>
          <w:b/>
          <w:i/>
          <w:lang w:val="ro-RO"/>
        </w:rPr>
        <w:t>services</w:t>
      </w:r>
      <w:r w:rsidR="009A081E" w:rsidRPr="000A0D98">
        <w:rPr>
          <w:rFonts w:ascii="Times New Roman" w:hAnsi="Times New Roman" w:cs="Times New Roman"/>
          <w:b/>
          <w:i/>
          <w:lang w:val="ro-RO"/>
        </w:rPr>
        <w:t xml:space="preserve">, </w:t>
      </w:r>
    </w:p>
    <w:p w14:paraId="118F0B7E" w14:textId="491101E7" w:rsidR="000A0D98" w:rsidRDefault="000A0D98" w:rsidP="000A0D98">
      <w:pPr>
        <w:pStyle w:val="ListParagraph"/>
        <w:numPr>
          <w:ilvl w:val="0"/>
          <w:numId w:val="4"/>
        </w:numPr>
        <w:shd w:val="clear" w:color="auto" w:fill="F2F2F2" w:themeFill="background1" w:themeFillShade="F2"/>
        <w:spacing w:line="276" w:lineRule="auto"/>
        <w:ind w:right="-5"/>
        <w:jc w:val="both"/>
        <w:rPr>
          <w:rFonts w:ascii="Times New Roman" w:hAnsi="Times New Roman" w:cs="Times New Roman"/>
          <w:b/>
          <w:i/>
          <w:lang w:val="ro-RO"/>
        </w:rPr>
      </w:pPr>
      <w:r>
        <w:rPr>
          <w:rFonts w:ascii="Times New Roman" w:hAnsi="Times New Roman" w:cs="Times New Roman"/>
          <w:b/>
          <w:i/>
          <w:lang w:val="ro-RO"/>
        </w:rPr>
        <w:t xml:space="preserve">to be </w:t>
      </w:r>
      <w:r w:rsidR="009A081E" w:rsidRPr="000A0D98">
        <w:rPr>
          <w:rFonts w:ascii="Times New Roman" w:hAnsi="Times New Roman" w:cs="Times New Roman"/>
          <w:b/>
          <w:i/>
          <w:lang w:val="ro-RO"/>
        </w:rPr>
        <w:t>non-discriminatory</w:t>
      </w:r>
      <w:r>
        <w:rPr>
          <w:rFonts w:ascii="Times New Roman" w:hAnsi="Times New Roman" w:cs="Times New Roman"/>
          <w:b/>
          <w:i/>
          <w:lang w:val="ro-RO"/>
        </w:rPr>
        <w:t xml:space="preserve"> and </w:t>
      </w:r>
      <w:r w:rsidRPr="000A0D98">
        <w:rPr>
          <w:rFonts w:ascii="Times New Roman" w:hAnsi="Times New Roman" w:cs="Times New Roman"/>
          <w:b/>
          <w:i/>
          <w:lang w:val="ro-RO"/>
        </w:rPr>
        <w:t xml:space="preserve">objective </w:t>
      </w:r>
      <w:r>
        <w:rPr>
          <w:rFonts w:ascii="Times New Roman" w:hAnsi="Times New Roman" w:cs="Times New Roman"/>
          <w:b/>
          <w:i/>
          <w:lang w:val="ro-RO"/>
        </w:rPr>
        <w:t xml:space="preserve">– </w:t>
      </w:r>
      <w:r w:rsidRPr="000A0D98">
        <w:rPr>
          <w:rFonts w:ascii="Times New Roman" w:hAnsi="Times New Roman" w:cs="Times New Roman"/>
          <w:b/>
          <w:i/>
          <w:lang w:val="ro-RO"/>
        </w:rPr>
        <w:t>the same rules</w:t>
      </w:r>
      <w:r w:rsidR="000B5C33">
        <w:rPr>
          <w:rFonts w:ascii="Times New Roman" w:hAnsi="Times New Roman" w:cs="Times New Roman"/>
          <w:b/>
          <w:i/>
          <w:lang w:val="ro-RO"/>
        </w:rPr>
        <w:t>, tariffs</w:t>
      </w:r>
      <w:r w:rsidRPr="000A0D98">
        <w:rPr>
          <w:rFonts w:ascii="Times New Roman" w:hAnsi="Times New Roman" w:cs="Times New Roman"/>
          <w:b/>
          <w:i/>
          <w:lang w:val="ro-RO"/>
        </w:rPr>
        <w:t xml:space="preserve"> and methodolog</w:t>
      </w:r>
      <w:r w:rsidR="000B5C33">
        <w:rPr>
          <w:rFonts w:ascii="Times New Roman" w:hAnsi="Times New Roman" w:cs="Times New Roman"/>
          <w:b/>
          <w:i/>
          <w:lang w:val="ro-RO"/>
        </w:rPr>
        <w:t>ies</w:t>
      </w:r>
      <w:r w:rsidRPr="000A0D98">
        <w:rPr>
          <w:rFonts w:ascii="Times New Roman" w:hAnsi="Times New Roman" w:cs="Times New Roman"/>
          <w:b/>
          <w:i/>
          <w:lang w:val="ro-RO"/>
        </w:rPr>
        <w:t xml:space="preserve"> are applied to all beneficiaries of non-transmission services</w:t>
      </w:r>
      <w:r w:rsidR="009A081E" w:rsidRPr="000A0D98">
        <w:rPr>
          <w:rFonts w:ascii="Times New Roman" w:hAnsi="Times New Roman" w:cs="Times New Roman"/>
          <w:b/>
          <w:i/>
          <w:lang w:val="ro-RO"/>
        </w:rPr>
        <w:t xml:space="preserve">, </w:t>
      </w:r>
    </w:p>
    <w:p w14:paraId="2649CA16" w14:textId="2B60C01F" w:rsidR="00A549D1" w:rsidRDefault="000A0D98" w:rsidP="000A0D98">
      <w:pPr>
        <w:pStyle w:val="ListParagraph"/>
        <w:numPr>
          <w:ilvl w:val="0"/>
          <w:numId w:val="4"/>
        </w:numPr>
        <w:shd w:val="clear" w:color="auto" w:fill="F2F2F2" w:themeFill="background1" w:themeFillShade="F2"/>
        <w:spacing w:line="276" w:lineRule="auto"/>
        <w:ind w:right="-5"/>
        <w:jc w:val="both"/>
        <w:rPr>
          <w:rFonts w:ascii="Times New Roman" w:hAnsi="Times New Roman" w:cs="Times New Roman"/>
          <w:b/>
          <w:i/>
          <w:lang w:val="ro-RO"/>
        </w:rPr>
      </w:pPr>
      <w:r>
        <w:rPr>
          <w:rFonts w:ascii="Times New Roman" w:hAnsi="Times New Roman" w:cs="Times New Roman"/>
          <w:b/>
          <w:i/>
          <w:lang w:val="ro-RO"/>
        </w:rPr>
        <w:lastRenderedPageBreak/>
        <w:t>to be</w:t>
      </w:r>
      <w:r w:rsidR="009A081E" w:rsidRPr="000A0D98">
        <w:rPr>
          <w:rFonts w:ascii="Times New Roman" w:hAnsi="Times New Roman" w:cs="Times New Roman"/>
          <w:b/>
          <w:i/>
          <w:lang w:val="ro-RO"/>
        </w:rPr>
        <w:t xml:space="preserve"> transparent</w:t>
      </w:r>
      <w:r w:rsidR="002B7210">
        <w:rPr>
          <w:rFonts w:ascii="Times New Roman" w:hAnsi="Times New Roman" w:cs="Times New Roman"/>
          <w:b/>
          <w:i/>
          <w:lang w:val="ro-RO"/>
        </w:rPr>
        <w:t xml:space="preserve"> – </w:t>
      </w:r>
      <w:r>
        <w:rPr>
          <w:rFonts w:ascii="Times New Roman" w:hAnsi="Times New Roman" w:cs="Times New Roman"/>
          <w:b/>
          <w:i/>
          <w:lang w:val="ro-RO"/>
        </w:rPr>
        <w:t xml:space="preserve">the tariffs </w:t>
      </w:r>
      <w:r w:rsidR="00CC4BD7">
        <w:rPr>
          <w:rFonts w:ascii="Times New Roman" w:hAnsi="Times New Roman" w:cs="Times New Roman"/>
          <w:b/>
          <w:i/>
          <w:lang w:val="ro-RO"/>
        </w:rPr>
        <w:t>are set based on</w:t>
      </w:r>
      <w:r>
        <w:rPr>
          <w:rFonts w:ascii="Times New Roman" w:hAnsi="Times New Roman" w:cs="Times New Roman"/>
          <w:b/>
          <w:i/>
          <w:lang w:val="ro-RO"/>
        </w:rPr>
        <w:t xml:space="preserve"> methodologies</w:t>
      </w:r>
      <w:r w:rsidR="00CC4BD7">
        <w:rPr>
          <w:rFonts w:ascii="Times New Roman" w:hAnsi="Times New Roman" w:cs="Times New Roman"/>
          <w:b/>
          <w:i/>
          <w:lang w:val="ro-RO"/>
        </w:rPr>
        <w:t xml:space="preserve"> </w:t>
      </w:r>
      <w:r w:rsidR="002D2FE4">
        <w:rPr>
          <w:rFonts w:ascii="Times New Roman" w:hAnsi="Times New Roman" w:cs="Times New Roman"/>
          <w:b/>
          <w:i/>
          <w:lang w:val="ro-RO"/>
        </w:rPr>
        <w:t>subject to</w:t>
      </w:r>
      <w:r w:rsidR="00CC4BD7">
        <w:rPr>
          <w:rFonts w:ascii="Times New Roman" w:hAnsi="Times New Roman" w:cs="Times New Roman"/>
          <w:b/>
          <w:i/>
          <w:lang w:val="ro-RO"/>
        </w:rPr>
        <w:t xml:space="preserve"> public consultation process and</w:t>
      </w:r>
      <w:r>
        <w:rPr>
          <w:rFonts w:ascii="Times New Roman" w:hAnsi="Times New Roman" w:cs="Times New Roman"/>
          <w:b/>
          <w:i/>
          <w:lang w:val="ro-RO"/>
        </w:rPr>
        <w:t xml:space="preserve"> </w:t>
      </w:r>
      <w:r w:rsidR="00CC4BD7">
        <w:rPr>
          <w:rFonts w:ascii="Times New Roman" w:hAnsi="Times New Roman" w:cs="Times New Roman"/>
          <w:b/>
          <w:i/>
          <w:lang w:val="ro-RO"/>
        </w:rPr>
        <w:t xml:space="preserve">the </w:t>
      </w:r>
      <w:r>
        <w:rPr>
          <w:rFonts w:ascii="Times New Roman" w:hAnsi="Times New Roman" w:cs="Times New Roman"/>
          <w:b/>
          <w:i/>
          <w:lang w:val="ro-RO"/>
        </w:rPr>
        <w:t>information</w:t>
      </w:r>
      <w:r w:rsidR="002B7210">
        <w:rPr>
          <w:rFonts w:ascii="Times New Roman" w:hAnsi="Times New Roman" w:cs="Times New Roman"/>
          <w:b/>
          <w:i/>
          <w:lang w:val="ro-RO"/>
        </w:rPr>
        <w:t xml:space="preserve"> </w:t>
      </w:r>
      <w:r w:rsidR="00CC4BD7">
        <w:rPr>
          <w:rFonts w:ascii="Times New Roman" w:hAnsi="Times New Roman" w:cs="Times New Roman"/>
          <w:b/>
          <w:i/>
          <w:lang w:val="ro-RO"/>
        </w:rPr>
        <w:t xml:space="preserve">related to these tariffs are </w:t>
      </w:r>
      <w:r w:rsidR="002B7210">
        <w:rPr>
          <w:rFonts w:ascii="Times New Roman" w:hAnsi="Times New Roman" w:cs="Times New Roman"/>
          <w:b/>
          <w:i/>
          <w:lang w:val="ro-RO"/>
        </w:rPr>
        <w:t>available to</w:t>
      </w:r>
      <w:r w:rsidR="000B5C33">
        <w:rPr>
          <w:rFonts w:ascii="Times New Roman" w:hAnsi="Times New Roman" w:cs="Times New Roman"/>
          <w:b/>
          <w:i/>
          <w:lang w:val="ro-RO"/>
        </w:rPr>
        <w:t xml:space="preserve"> all </w:t>
      </w:r>
      <w:r w:rsidR="002B7210">
        <w:rPr>
          <w:rFonts w:ascii="Times New Roman" w:hAnsi="Times New Roman" w:cs="Times New Roman"/>
          <w:b/>
          <w:i/>
          <w:lang w:val="ro-RO"/>
        </w:rPr>
        <w:t xml:space="preserve"> </w:t>
      </w:r>
      <w:r w:rsidR="00812901">
        <w:rPr>
          <w:rFonts w:ascii="Times New Roman" w:hAnsi="Times New Roman" w:cs="Times New Roman"/>
          <w:b/>
          <w:i/>
          <w:lang w:val="ro-RO"/>
        </w:rPr>
        <w:t xml:space="preserve">beneficiaries of non-transmission </w:t>
      </w:r>
      <w:r w:rsidR="000B5C33">
        <w:rPr>
          <w:rFonts w:ascii="Times New Roman" w:hAnsi="Times New Roman" w:cs="Times New Roman"/>
          <w:b/>
          <w:i/>
          <w:lang w:val="ro-RO"/>
        </w:rPr>
        <w:t>service</w:t>
      </w:r>
      <w:r w:rsidR="00812901">
        <w:rPr>
          <w:rFonts w:ascii="Times New Roman" w:hAnsi="Times New Roman" w:cs="Times New Roman"/>
          <w:b/>
          <w:i/>
          <w:lang w:val="ro-RO"/>
        </w:rPr>
        <w:t>s</w:t>
      </w:r>
      <w:r w:rsidR="009A081E" w:rsidRPr="000A0D98">
        <w:rPr>
          <w:rFonts w:ascii="Times New Roman" w:hAnsi="Times New Roman" w:cs="Times New Roman"/>
          <w:b/>
          <w:i/>
          <w:lang w:val="ro-RO"/>
        </w:rPr>
        <w:t>.</w:t>
      </w:r>
      <w:r w:rsidR="005D66D1" w:rsidRPr="000A0D98">
        <w:rPr>
          <w:rFonts w:ascii="Times New Roman" w:hAnsi="Times New Roman" w:cs="Times New Roman"/>
          <w:b/>
          <w:i/>
          <w:lang w:val="ro-RO"/>
        </w:rPr>
        <w:t xml:space="preserve"> </w:t>
      </w:r>
    </w:p>
    <w:p w14:paraId="58B9852D" w14:textId="1E044EA5" w:rsidR="009A081E" w:rsidRPr="00A549D1" w:rsidRDefault="00A549D1" w:rsidP="00A549D1">
      <w:pPr>
        <w:shd w:val="clear" w:color="auto" w:fill="F2F2F2" w:themeFill="background1" w:themeFillShade="F2"/>
        <w:spacing w:line="276" w:lineRule="auto"/>
        <w:ind w:right="-5"/>
        <w:jc w:val="both"/>
        <w:rPr>
          <w:rFonts w:ascii="Times New Roman" w:hAnsi="Times New Roman" w:cs="Times New Roman"/>
          <w:b/>
          <w:i/>
          <w:lang w:val="ro-RO"/>
        </w:rPr>
      </w:pPr>
      <w:r w:rsidRPr="00A549D1">
        <w:rPr>
          <w:rFonts w:ascii="Times New Roman" w:hAnsi="Times New Roman" w:cs="Times New Roman"/>
          <w:b/>
          <w:i/>
          <w:color w:val="FF0000"/>
          <w:lang w:val="ro-RO"/>
        </w:rPr>
        <w:t>Update</w:t>
      </w:r>
    </w:p>
    <w:p w14:paraId="081D5C82" w14:textId="77777777" w:rsidR="00D2378D" w:rsidRPr="002B3697" w:rsidRDefault="00D2378D" w:rsidP="00D2378D">
      <w:pPr>
        <w:tabs>
          <w:tab w:val="left" w:pos="3120"/>
        </w:tabs>
        <w:spacing w:line="276" w:lineRule="auto"/>
        <w:ind w:right="-5"/>
        <w:jc w:val="both"/>
        <w:rPr>
          <w:rFonts w:ascii="Times New Roman" w:hAnsi="Times New Roman" w:cs="Times New Roman"/>
          <w:lang w:val="ro-RO"/>
        </w:rPr>
      </w:pPr>
      <w:r w:rsidRPr="002B3697">
        <w:rPr>
          <w:rFonts w:ascii="Times New Roman" w:hAnsi="Times New Roman" w:cs="Times New Roman"/>
          <w:lang w:val="ro-RO"/>
        </w:rPr>
        <w:tab/>
      </w:r>
    </w:p>
    <w:p w14:paraId="697296F4" w14:textId="77777777"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1C0CDADD" w14:textId="77777777" w:rsidR="00A549D1" w:rsidRDefault="00B3020F"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Pr>
          <w:rFonts w:ascii="Times New Roman" w:hAnsi="Times New Roman" w:cs="Times New Roman"/>
          <w:b/>
          <w:i/>
          <w:color w:val="auto"/>
          <w:lang w:val="ro-RO"/>
        </w:rPr>
        <w:t>Annexe 11</w:t>
      </w:r>
      <w:r w:rsidR="0011072F">
        <w:rPr>
          <w:rFonts w:ascii="Times New Roman" w:hAnsi="Times New Roman" w:cs="Times New Roman"/>
          <w:b/>
          <w:i/>
          <w:color w:val="auto"/>
          <w:lang w:val="ro-RO"/>
        </w:rPr>
        <w:t xml:space="preserve"> – Non-transmission services</w:t>
      </w:r>
      <w:r w:rsidR="00A549D1">
        <w:rPr>
          <w:rFonts w:ascii="Times New Roman" w:hAnsi="Times New Roman" w:cs="Times New Roman"/>
          <w:b/>
          <w:i/>
          <w:color w:val="auto"/>
          <w:lang w:val="ro-RO"/>
        </w:rPr>
        <w:t xml:space="preserve"> </w:t>
      </w:r>
    </w:p>
    <w:p w14:paraId="6C160387" w14:textId="733A3B96" w:rsidR="00D2378D" w:rsidRPr="003D053C" w:rsidRDefault="00A549D1"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A549D1">
        <w:rPr>
          <w:rFonts w:ascii="Times New Roman" w:hAnsi="Times New Roman" w:cs="Times New Roman"/>
          <w:b/>
          <w:i/>
          <w:color w:val="FF0000"/>
          <w:lang w:val="ro-RO"/>
        </w:rPr>
        <w:t>Update</w:t>
      </w:r>
    </w:p>
    <w:p w14:paraId="239239AC" w14:textId="77777777" w:rsidR="00D2378D" w:rsidRPr="002B3697" w:rsidRDefault="00D2378D" w:rsidP="00D2378D">
      <w:pPr>
        <w:spacing w:after="120" w:line="276" w:lineRule="auto"/>
        <w:ind w:left="440" w:right="-5"/>
        <w:jc w:val="both"/>
        <w:rPr>
          <w:rFonts w:ascii="Times New Roman" w:hAnsi="Times New Roman" w:cs="Times New Roman"/>
        </w:rPr>
      </w:pPr>
    </w:p>
    <w:p w14:paraId="3BBB370E" w14:textId="77777777" w:rsidR="00D2378D" w:rsidRDefault="00D2378D" w:rsidP="00D2378D">
      <w:pPr>
        <w:keepNext/>
        <w:keepLines/>
        <w:spacing w:after="120" w:line="276" w:lineRule="auto"/>
        <w:ind w:right="-5"/>
        <w:jc w:val="both"/>
        <w:rPr>
          <w:rFonts w:ascii="Times New Roman" w:eastAsia="Microsoft Sans Serif" w:hAnsi="Times New Roman" w:cs="Times New Roman"/>
          <w:color w:val="044F9F"/>
        </w:rPr>
      </w:pPr>
      <w:bookmarkStart w:id="2" w:name="bookmark47"/>
      <w:r w:rsidRPr="002B3697">
        <w:rPr>
          <w:rFonts w:ascii="Times New Roman" w:eastAsia="Microsoft Sans Serif" w:hAnsi="Times New Roman" w:cs="Times New Roman"/>
          <w:color w:val="044F9F"/>
        </w:rPr>
        <w:t>C.10.B. Share of the allowed or target revenue forecasted to be recovered from such tariffs, [Articles 26(1)(c)(ii)(2)]</w:t>
      </w:r>
      <w:bookmarkEnd w:id="2"/>
    </w:p>
    <w:p w14:paraId="183BD713" w14:textId="77777777" w:rsidR="00D2378D" w:rsidRDefault="00D2378D" w:rsidP="00D2378D">
      <w:pPr>
        <w:spacing w:after="120" w:line="276" w:lineRule="auto"/>
        <w:ind w:left="340" w:right="-5"/>
        <w:jc w:val="both"/>
        <w:rPr>
          <w:rFonts w:ascii="Times New Roman" w:eastAsia="Microsoft Sans Serif" w:hAnsi="Times New Roman" w:cs="Times New Roman"/>
          <w:color w:val="333333"/>
        </w:rPr>
      </w:pPr>
    </w:p>
    <w:p w14:paraId="4AB6B637" w14:textId="77777777"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Share of the allowed or target revenue forecasted to be recovered from non-transmission service tariffs. Provide, if possible, details per type of non-transmission service.</w:t>
      </w:r>
    </w:p>
    <w:p w14:paraId="5E792C4D" w14:textId="77777777" w:rsidR="00D2378D" w:rsidRPr="003D053C" w:rsidRDefault="00D2378D"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69A57B62" w14:textId="77777777" w:rsidR="00D2378D" w:rsidRPr="002B3697" w:rsidRDefault="00D2378D" w:rsidP="00D2378D">
      <w:pPr>
        <w:spacing w:after="120" w:line="276" w:lineRule="auto"/>
        <w:ind w:left="340" w:right="-5"/>
        <w:jc w:val="both"/>
        <w:rPr>
          <w:rFonts w:ascii="Times New Roman" w:hAnsi="Times New Roman" w:cs="Times New Roman"/>
        </w:rPr>
      </w:pPr>
    </w:p>
    <w:p w14:paraId="0C7B50A5" w14:textId="40BD2519"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Reference to </w:t>
      </w:r>
      <w:proofErr w:type="spellStart"/>
      <w:r w:rsidRPr="002B3697">
        <w:rPr>
          <w:rFonts w:ascii="Times New Roman" w:eastAsia="Microsoft Sans Serif" w:hAnsi="Times New Roman" w:cs="Times New Roman"/>
          <w:color w:val="333333"/>
        </w:rPr>
        <w:t>consultatio</w:t>
      </w:r>
      <w:proofErr w:type="spellEnd"/>
      <w:r w:rsidR="002B7210">
        <w:rPr>
          <w:rFonts w:ascii="Times New Roman" w:eastAsia="Microsoft Sans Serif" w:hAnsi="Times New Roman" w:cs="Times New Roman"/>
          <w:color w:val="333333"/>
        </w:rPr>
        <w:t xml:space="preserve"> </w:t>
      </w:r>
      <w:r w:rsidRPr="002B3697">
        <w:rPr>
          <w:rFonts w:ascii="Times New Roman" w:eastAsia="Microsoft Sans Serif" w:hAnsi="Times New Roman" w:cs="Times New Roman"/>
          <w:color w:val="333333"/>
        </w:rPr>
        <w:t>n document(s). Provide document ID and relevant page(s).</w:t>
      </w:r>
    </w:p>
    <w:p w14:paraId="71D18EF3" w14:textId="77777777" w:rsidR="00D2378D" w:rsidRPr="003D053C" w:rsidRDefault="00D2378D"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F65E549" w14:textId="77777777" w:rsidR="00D2378D" w:rsidRDefault="00D2378D" w:rsidP="00D2378D">
      <w:pPr>
        <w:spacing w:after="120" w:line="276" w:lineRule="auto"/>
        <w:ind w:left="340" w:right="-5"/>
        <w:jc w:val="both"/>
        <w:rPr>
          <w:rFonts w:ascii="Times New Roman" w:hAnsi="Times New Roman" w:cs="Times New Roman"/>
        </w:rPr>
      </w:pPr>
    </w:p>
    <w:p w14:paraId="5319CF4D" w14:textId="77777777" w:rsidR="00D2378D" w:rsidRPr="002B3697" w:rsidRDefault="00D2378D" w:rsidP="00D2378D">
      <w:pPr>
        <w:spacing w:after="120" w:line="276" w:lineRule="auto"/>
        <w:ind w:left="340" w:right="-5"/>
        <w:jc w:val="both"/>
        <w:rPr>
          <w:rFonts w:ascii="Times New Roman" w:hAnsi="Times New Roman" w:cs="Times New Roman"/>
        </w:rPr>
      </w:pPr>
    </w:p>
    <w:p w14:paraId="20329624" w14:textId="77777777" w:rsidR="00D2378D" w:rsidRPr="002B3697" w:rsidRDefault="00D2378D" w:rsidP="00D2378D">
      <w:pPr>
        <w:keepNext/>
        <w:keepLines/>
        <w:spacing w:after="120" w:line="276" w:lineRule="auto"/>
        <w:ind w:right="-5"/>
        <w:jc w:val="both"/>
        <w:rPr>
          <w:rFonts w:ascii="Times New Roman" w:hAnsi="Times New Roman" w:cs="Times New Roman"/>
        </w:rPr>
      </w:pPr>
      <w:bookmarkStart w:id="3" w:name="bookmark48"/>
      <w:r w:rsidRPr="002B3697">
        <w:rPr>
          <w:rFonts w:ascii="Times New Roman" w:eastAsia="Microsoft Sans Serif" w:hAnsi="Times New Roman" w:cs="Times New Roman"/>
          <w:color w:val="044F9F"/>
        </w:rPr>
        <w:t>C.10.C. The manner in which the associated non-transmission services revenue is reconciled as referred to in Article 17(3) [Articles 26(1)(c)(ii)(3), 17(3)].</w:t>
      </w:r>
      <w:bookmarkEnd w:id="3"/>
    </w:p>
    <w:p w14:paraId="4FB69C66" w14:textId="77777777" w:rsidR="00D2378D" w:rsidRDefault="00D2378D" w:rsidP="00D2378D">
      <w:pPr>
        <w:spacing w:after="120" w:line="276" w:lineRule="auto"/>
        <w:ind w:left="340" w:right="-5"/>
        <w:jc w:val="both"/>
        <w:rPr>
          <w:rFonts w:ascii="Times New Roman" w:eastAsia="Microsoft Sans Serif" w:hAnsi="Times New Roman" w:cs="Times New Roman"/>
          <w:color w:val="333333"/>
        </w:rPr>
      </w:pPr>
    </w:p>
    <w:p w14:paraId="2B9ACD2C" w14:textId="77777777"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 details about how is the reconciliation done including the use of a regulatory account, the split of regulatory accounts into sub-accounts, and the use of separate accounts.</w:t>
      </w:r>
    </w:p>
    <w:p w14:paraId="6CBDDBD6" w14:textId="77777777" w:rsidR="00D2378D" w:rsidRPr="003D053C" w:rsidRDefault="00D2378D"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4AA78C30" w14:textId="77777777" w:rsidR="00D2378D" w:rsidRPr="002B3697" w:rsidRDefault="00D2378D" w:rsidP="00D2378D">
      <w:pPr>
        <w:spacing w:after="120" w:line="276" w:lineRule="auto"/>
        <w:ind w:left="340" w:right="-5"/>
        <w:jc w:val="both"/>
        <w:rPr>
          <w:rFonts w:ascii="Times New Roman" w:hAnsi="Times New Roman" w:cs="Times New Roman"/>
        </w:rPr>
      </w:pPr>
    </w:p>
    <w:p w14:paraId="18B9F990" w14:textId="77777777"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31A7C0E9" w14:textId="77777777" w:rsidR="00D2378D" w:rsidRPr="003D053C" w:rsidRDefault="00D2378D" w:rsidP="00D2378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BA07BF2" w14:textId="77777777" w:rsidR="00D2378D" w:rsidRPr="002B3697" w:rsidRDefault="00D2378D" w:rsidP="00D2378D">
      <w:pPr>
        <w:spacing w:after="120" w:line="276" w:lineRule="auto"/>
        <w:ind w:left="340" w:right="-5" w:firstLine="720"/>
        <w:jc w:val="both"/>
        <w:rPr>
          <w:rFonts w:ascii="Times New Roman" w:hAnsi="Times New Roman" w:cs="Times New Roman"/>
        </w:rPr>
      </w:pPr>
    </w:p>
    <w:p w14:paraId="26BFA977" w14:textId="77777777" w:rsidR="00D2378D" w:rsidRDefault="00D2378D" w:rsidP="00D2378D">
      <w:pPr>
        <w:keepNext/>
        <w:keepLines/>
        <w:spacing w:after="120" w:line="276" w:lineRule="auto"/>
        <w:ind w:right="-5"/>
        <w:jc w:val="both"/>
        <w:rPr>
          <w:rFonts w:ascii="Times New Roman" w:eastAsia="Microsoft Sans Serif" w:hAnsi="Times New Roman" w:cs="Times New Roman"/>
          <w:color w:val="044F9F"/>
        </w:rPr>
      </w:pPr>
      <w:bookmarkStart w:id="4" w:name="bookmark49"/>
      <w:r w:rsidRPr="002B3697">
        <w:rPr>
          <w:rFonts w:ascii="Times New Roman" w:eastAsia="Microsoft Sans Serif" w:hAnsi="Times New Roman" w:cs="Times New Roman"/>
          <w:color w:val="044F9F"/>
        </w:rPr>
        <w:t>C.10.D. Indicative non-transmission tariffs for non-transmission services to network users [Articles 26(1)(c)(ii)(4)].</w:t>
      </w:r>
      <w:bookmarkEnd w:id="4"/>
    </w:p>
    <w:p w14:paraId="21D4F6B3" w14:textId="77777777" w:rsidR="00D2378D" w:rsidRPr="002B3697" w:rsidRDefault="00D2378D" w:rsidP="00D2378D">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Formula and description:</w:t>
      </w:r>
    </w:p>
    <w:p w14:paraId="2D8E73DE" w14:textId="782B4DD6" w:rsidR="00D2378D" w:rsidRDefault="009A081E" w:rsidP="0011072F">
      <w:pPr>
        <w:shd w:val="clear" w:color="auto" w:fill="F2F2F2" w:themeFill="background1" w:themeFillShade="F2"/>
        <w:spacing w:line="276" w:lineRule="auto"/>
        <w:ind w:right="-5"/>
        <w:jc w:val="both"/>
        <w:rPr>
          <w:rFonts w:ascii="Times New Roman" w:hAnsi="Times New Roman" w:cs="Times New Roman"/>
          <w:b/>
          <w:i/>
          <w:color w:val="auto"/>
          <w:lang w:val="ro-RO"/>
        </w:rPr>
      </w:pPr>
      <w:r>
        <w:rPr>
          <w:rFonts w:ascii="Times New Roman" w:hAnsi="Times New Roman" w:cs="Times New Roman"/>
          <w:b/>
          <w:i/>
          <w:color w:val="auto"/>
          <w:lang w:val="ro-RO"/>
        </w:rPr>
        <w:t>Annexe 11</w:t>
      </w:r>
      <w:r w:rsidR="0011072F">
        <w:rPr>
          <w:rFonts w:ascii="Times New Roman" w:hAnsi="Times New Roman" w:cs="Times New Roman"/>
          <w:b/>
          <w:i/>
          <w:color w:val="auto"/>
          <w:lang w:val="ro-RO"/>
        </w:rPr>
        <w:t xml:space="preserve"> – Non-transmission services</w:t>
      </w:r>
    </w:p>
    <w:p w14:paraId="3055FE5C" w14:textId="5E39833D" w:rsidR="00A549D1" w:rsidRPr="00A549D1" w:rsidRDefault="00A549D1" w:rsidP="0011072F">
      <w:pPr>
        <w:shd w:val="clear" w:color="auto" w:fill="F2F2F2" w:themeFill="background1" w:themeFillShade="F2"/>
        <w:spacing w:line="276" w:lineRule="auto"/>
        <w:ind w:right="-5"/>
        <w:jc w:val="both"/>
        <w:rPr>
          <w:rFonts w:ascii="Times New Roman" w:hAnsi="Times New Roman" w:cs="Times New Roman"/>
          <w:b/>
          <w:i/>
          <w:color w:val="FF0000"/>
          <w:lang w:val="ro-RO"/>
        </w:rPr>
      </w:pPr>
      <w:r w:rsidRPr="00A549D1">
        <w:rPr>
          <w:rFonts w:ascii="Times New Roman" w:hAnsi="Times New Roman" w:cs="Times New Roman"/>
          <w:b/>
          <w:i/>
          <w:color w:val="FF0000"/>
          <w:lang w:val="ro-RO"/>
        </w:rPr>
        <w:lastRenderedPageBreak/>
        <w:t>Update</w:t>
      </w:r>
    </w:p>
    <w:p w14:paraId="13417F99" w14:textId="77777777" w:rsidR="00D2378D" w:rsidRDefault="00D2378D"/>
    <w:sectPr w:rsidR="00D237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20093"/>
    <w:multiLevelType w:val="hybridMultilevel"/>
    <w:tmpl w:val="7ED2DE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1F009D"/>
    <w:multiLevelType w:val="multilevel"/>
    <w:tmpl w:val="5E3458A0"/>
    <w:lvl w:ilvl="0">
      <w:start w:val="1"/>
      <w:numFmt w:val="bullet"/>
      <w:lvlText w:val="•"/>
      <w:lvlJc w:val="left"/>
      <w:rPr>
        <w:rFonts w:ascii="Microsoft Sans Serif" w:eastAsia="Microsoft Sans Serif" w:hAnsi="Microsoft Sans Serif" w:cs="Microsoft Sans Serif"/>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94D3B06"/>
    <w:multiLevelType w:val="hybridMultilevel"/>
    <w:tmpl w:val="8D0C8F3A"/>
    <w:lvl w:ilvl="0" w:tplc="86AA94F2">
      <w:start w:val="1"/>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6884117"/>
    <w:multiLevelType w:val="hybridMultilevel"/>
    <w:tmpl w:val="06B80676"/>
    <w:lvl w:ilvl="0" w:tplc="9684E14E">
      <w:start w:val="1"/>
      <w:numFmt w:val="bullet"/>
      <w:lvlText w:val="□"/>
      <w:lvlJc w:val="left"/>
      <w:pPr>
        <w:ind w:left="1066" w:hanging="360"/>
      </w:pPr>
      <w:rPr>
        <w:rFonts w:ascii="MS Gothic" w:eastAsia="MS Gothic" w:hAnsi="MS Gothic" w:hint="default"/>
        <w:sz w:val="18"/>
        <w:szCs w:val="18"/>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378D"/>
    <w:rsid w:val="000A0D98"/>
    <w:rsid w:val="000B5C33"/>
    <w:rsid w:val="000E65AF"/>
    <w:rsid w:val="0011072F"/>
    <w:rsid w:val="00121769"/>
    <w:rsid w:val="00173518"/>
    <w:rsid w:val="002B7210"/>
    <w:rsid w:val="002D2FE4"/>
    <w:rsid w:val="00363753"/>
    <w:rsid w:val="00403D11"/>
    <w:rsid w:val="00485CC1"/>
    <w:rsid w:val="005D66D1"/>
    <w:rsid w:val="00642B77"/>
    <w:rsid w:val="007419B2"/>
    <w:rsid w:val="007F3C27"/>
    <w:rsid w:val="00812901"/>
    <w:rsid w:val="008A19B4"/>
    <w:rsid w:val="008E033F"/>
    <w:rsid w:val="009A081E"/>
    <w:rsid w:val="00A549D1"/>
    <w:rsid w:val="00A56FE4"/>
    <w:rsid w:val="00AA324F"/>
    <w:rsid w:val="00AD7068"/>
    <w:rsid w:val="00AE155B"/>
    <w:rsid w:val="00B3020F"/>
    <w:rsid w:val="00BA3BE6"/>
    <w:rsid w:val="00C74C66"/>
    <w:rsid w:val="00C85067"/>
    <w:rsid w:val="00CC4BD7"/>
    <w:rsid w:val="00D2378D"/>
    <w:rsid w:val="00D46DB2"/>
    <w:rsid w:val="00D8459C"/>
    <w:rsid w:val="00EC1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F27DF"/>
  <w15:docId w15:val="{18403B6A-7892-49BE-A69B-5E1156056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2378D"/>
    <w:pPr>
      <w:widowControl w:val="0"/>
      <w:spacing w:after="0" w:line="240" w:lineRule="auto"/>
    </w:pPr>
    <w:rPr>
      <w:rFonts w:ascii="Courier New" w:eastAsia="Courier New" w:hAnsi="Courier New" w:cs="Courier New"/>
      <w:color w:val="000000"/>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rsid w:val="00D2378D"/>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Bodytext20">
    <w:name w:val="Body text (2)"/>
    <w:basedOn w:val="Bodytext2"/>
    <w:rsid w:val="00D2378D"/>
    <w:rPr>
      <w:rFonts w:ascii="Microsoft Sans Serif" w:eastAsia="Microsoft Sans Serif" w:hAnsi="Microsoft Sans Serif" w:cs="Microsoft Sans Serif"/>
      <w:b w:val="0"/>
      <w:bCs w:val="0"/>
      <w:i w:val="0"/>
      <w:iCs w:val="0"/>
      <w:smallCaps w:val="0"/>
      <w:strike w:val="0"/>
      <w:color w:val="333333"/>
      <w:spacing w:val="0"/>
      <w:w w:val="100"/>
      <w:position w:val="0"/>
      <w:sz w:val="19"/>
      <w:szCs w:val="19"/>
      <w:u w:val="none"/>
      <w:lang w:val="en-US" w:eastAsia="en-US" w:bidi="en-US"/>
    </w:rPr>
  </w:style>
  <w:style w:type="character" w:customStyle="1" w:styleId="Heading3">
    <w:name w:val="Heading #3_"/>
    <w:basedOn w:val="DefaultParagraphFont"/>
    <w:rsid w:val="00D2378D"/>
    <w:rPr>
      <w:rFonts w:ascii="Microsoft Sans Serif" w:eastAsia="Microsoft Sans Serif" w:hAnsi="Microsoft Sans Serif" w:cs="Microsoft Sans Serif"/>
      <w:b/>
      <w:bCs/>
      <w:i w:val="0"/>
      <w:iCs w:val="0"/>
      <w:smallCaps w:val="0"/>
      <w:strike w:val="0"/>
      <w:sz w:val="32"/>
      <w:szCs w:val="32"/>
      <w:u w:val="none"/>
    </w:rPr>
  </w:style>
  <w:style w:type="character" w:customStyle="1" w:styleId="Heading30">
    <w:name w:val="Heading #3"/>
    <w:basedOn w:val="Heading3"/>
    <w:rsid w:val="00D2378D"/>
    <w:rPr>
      <w:rFonts w:ascii="Microsoft Sans Serif" w:eastAsia="Microsoft Sans Serif" w:hAnsi="Microsoft Sans Serif" w:cs="Microsoft Sans Serif"/>
      <w:b/>
      <w:bCs/>
      <w:i w:val="0"/>
      <w:iCs w:val="0"/>
      <w:smallCaps w:val="0"/>
      <w:strike w:val="0"/>
      <w:color w:val="044F9F"/>
      <w:spacing w:val="0"/>
      <w:w w:val="100"/>
      <w:position w:val="0"/>
      <w:sz w:val="32"/>
      <w:szCs w:val="32"/>
      <w:u w:val="none"/>
      <w:lang w:val="en-US" w:eastAsia="en-US" w:bidi="en-US"/>
    </w:rPr>
  </w:style>
  <w:style w:type="character" w:customStyle="1" w:styleId="Heading4">
    <w:name w:val="Heading #4_"/>
    <w:basedOn w:val="DefaultParagraphFont"/>
    <w:rsid w:val="00D2378D"/>
    <w:rPr>
      <w:rFonts w:ascii="Microsoft Sans Serif" w:eastAsia="Microsoft Sans Serif" w:hAnsi="Microsoft Sans Serif" w:cs="Microsoft Sans Serif"/>
      <w:b/>
      <w:bCs/>
      <w:i w:val="0"/>
      <w:iCs w:val="0"/>
      <w:smallCaps w:val="0"/>
      <w:strike w:val="0"/>
      <w:sz w:val="28"/>
      <w:szCs w:val="28"/>
      <w:u w:val="none"/>
    </w:rPr>
  </w:style>
  <w:style w:type="character" w:customStyle="1" w:styleId="Heading40">
    <w:name w:val="Heading #4"/>
    <w:basedOn w:val="Heading4"/>
    <w:rsid w:val="00D2378D"/>
    <w:rPr>
      <w:rFonts w:ascii="Microsoft Sans Serif" w:eastAsia="Microsoft Sans Serif" w:hAnsi="Microsoft Sans Serif" w:cs="Microsoft Sans Serif"/>
      <w:b/>
      <w:bCs/>
      <w:i w:val="0"/>
      <w:iCs w:val="0"/>
      <w:smallCaps w:val="0"/>
      <w:strike w:val="0"/>
      <w:color w:val="044F9F"/>
      <w:spacing w:val="0"/>
      <w:w w:val="100"/>
      <w:position w:val="0"/>
      <w:sz w:val="28"/>
      <w:szCs w:val="28"/>
      <w:u w:val="none"/>
      <w:lang w:val="en-US" w:eastAsia="en-US" w:bidi="en-US"/>
    </w:rPr>
  </w:style>
  <w:style w:type="character" w:customStyle="1" w:styleId="Heading5">
    <w:name w:val="Heading #5_"/>
    <w:basedOn w:val="DefaultParagraphFont"/>
    <w:rsid w:val="00D2378D"/>
    <w:rPr>
      <w:rFonts w:ascii="Microsoft Sans Serif" w:eastAsia="Microsoft Sans Serif" w:hAnsi="Microsoft Sans Serif" w:cs="Microsoft Sans Serif"/>
      <w:b w:val="0"/>
      <w:bCs w:val="0"/>
      <w:i w:val="0"/>
      <w:iCs w:val="0"/>
      <w:smallCaps w:val="0"/>
      <w:strike w:val="0"/>
      <w:u w:val="none"/>
    </w:rPr>
  </w:style>
  <w:style w:type="character" w:customStyle="1" w:styleId="Heading50">
    <w:name w:val="Heading #5"/>
    <w:basedOn w:val="Heading5"/>
    <w:rsid w:val="00D2378D"/>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style>
  <w:style w:type="character" w:styleId="Hyperlink">
    <w:name w:val="Hyperlink"/>
    <w:basedOn w:val="DefaultParagraphFont"/>
    <w:uiPriority w:val="99"/>
    <w:unhideWhenUsed/>
    <w:rsid w:val="00D2378D"/>
    <w:rPr>
      <w:color w:val="0563C1" w:themeColor="hyperlink"/>
      <w:u w:val="single"/>
    </w:rPr>
  </w:style>
  <w:style w:type="paragraph" w:styleId="ListParagraph">
    <w:name w:val="List Paragraph"/>
    <w:basedOn w:val="Normal"/>
    <w:uiPriority w:val="34"/>
    <w:qFormat/>
    <w:rsid w:val="00D2378D"/>
    <w:rPr>
      <w:rFonts w:asciiTheme="minorHAnsi" w:eastAsiaTheme="minorHAnsi" w:hAnsiTheme="minorHAnsi" w:cstheme="minorBidi"/>
      <w:color w:val="auto"/>
      <w:sz w:val="22"/>
      <w:szCs w:val="22"/>
      <w:lang w:bidi="ar-SA"/>
    </w:rPr>
  </w:style>
  <w:style w:type="paragraph" w:styleId="BalloonText">
    <w:name w:val="Balloon Text"/>
    <w:basedOn w:val="Normal"/>
    <w:link w:val="BalloonTextChar"/>
    <w:uiPriority w:val="99"/>
    <w:semiHidden/>
    <w:unhideWhenUsed/>
    <w:rsid w:val="00D845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59C"/>
    <w:rPr>
      <w:rFonts w:ascii="Segoe UI" w:eastAsia="Courier New" w:hAnsi="Segoe UI" w:cs="Segoe UI"/>
      <w:color w:val="000000"/>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TIUGAN</dc:creator>
  <cp:keywords/>
  <dc:description/>
  <cp:lastModifiedBy>Vlad TIUGAN</cp:lastModifiedBy>
  <cp:revision>7</cp:revision>
  <dcterms:created xsi:type="dcterms:W3CDTF">2018-06-14T07:11:00Z</dcterms:created>
  <dcterms:modified xsi:type="dcterms:W3CDTF">2018-07-09T07:58:00Z</dcterms:modified>
</cp:coreProperties>
</file>