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28F" w:rsidRPr="00AD1362" w:rsidRDefault="004F128F" w:rsidP="004F128F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 w:rsidRPr="00AD1362">
        <w:rPr>
          <w:rFonts w:ascii="Times New Roman" w:hAnsi="Times New Roman"/>
          <w:b/>
          <w:bCs/>
          <w:sz w:val="24"/>
          <w:szCs w:val="24"/>
          <w:lang w:eastAsia="ro-RO"/>
        </w:rPr>
        <w:t>INFORMARE DE PRESĂ</w:t>
      </w:r>
    </w:p>
    <w:p w:rsidR="004F128F" w:rsidRDefault="004F128F" w:rsidP="004F128F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 w:rsidRPr="0053719A">
        <w:rPr>
          <w:rFonts w:ascii="Times New Roman" w:hAnsi="Times New Roman"/>
          <w:b/>
          <w:bCs/>
          <w:sz w:val="24"/>
          <w:szCs w:val="24"/>
          <w:lang w:eastAsia="ro-RO"/>
        </w:rPr>
        <w:t xml:space="preserve">ANRE </w:t>
      </w:r>
      <w:r>
        <w:rPr>
          <w:rFonts w:ascii="Times New Roman" w:hAnsi="Times New Roman"/>
          <w:b/>
          <w:bCs/>
          <w:sz w:val="24"/>
          <w:szCs w:val="24"/>
          <w:lang w:eastAsia="ro-RO"/>
        </w:rPr>
        <w:t>aprobă extinderea cuplării</w:t>
      </w:r>
      <w:r w:rsidRPr="000C3999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piețelor pentru ziua următoare de energie electrică</w:t>
      </w:r>
    </w:p>
    <w:p w:rsidR="002B0DE7" w:rsidRDefault="002B0DE7" w:rsidP="004F128F">
      <w:pPr>
        <w:spacing w:line="276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o-RO"/>
        </w:rPr>
      </w:pPr>
    </w:p>
    <w:p w:rsidR="004F128F" w:rsidRDefault="004F128F" w:rsidP="004F128F">
      <w:pPr>
        <w:spacing w:line="276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>
        <w:rPr>
          <w:rFonts w:ascii="Times New Roman" w:hAnsi="Times New Roman"/>
          <w:bCs/>
          <w:sz w:val="24"/>
          <w:szCs w:val="24"/>
          <w:lang w:eastAsia="ro-RO"/>
        </w:rPr>
        <w:t>Având în vedere</w:t>
      </w:r>
      <w:r w:rsidRPr="000C3999">
        <w:rPr>
          <w:rFonts w:ascii="Times New Roman" w:hAnsi="Times New Roman"/>
          <w:bCs/>
          <w:sz w:val="24"/>
          <w:szCs w:val="24"/>
          <w:lang w:eastAsia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o-RO"/>
        </w:rPr>
        <w:t xml:space="preserve">cuplarea iminentă a pieței 4M MC </w:t>
      </w:r>
      <w:r w:rsidRPr="004F128F">
        <w:rPr>
          <w:rFonts w:ascii="Times New Roman" w:hAnsi="Times New Roman"/>
          <w:bCs/>
          <w:i/>
          <w:sz w:val="24"/>
          <w:szCs w:val="24"/>
          <w:lang w:eastAsia="ro-RO"/>
        </w:rPr>
        <w:t xml:space="preserve">(4M Market Coupling) </w:t>
      </w:r>
      <w:r>
        <w:rPr>
          <w:rFonts w:ascii="Times New Roman" w:hAnsi="Times New Roman"/>
          <w:bCs/>
          <w:sz w:val="24"/>
          <w:szCs w:val="24"/>
          <w:lang w:eastAsia="ro-RO"/>
        </w:rPr>
        <w:t xml:space="preserve">din care fac parte România, Ungaria, Slovacia și Cehia cu piața MRC </w:t>
      </w:r>
      <w:r w:rsidRPr="004F128F">
        <w:rPr>
          <w:rFonts w:ascii="Times New Roman" w:hAnsi="Times New Roman"/>
          <w:bCs/>
          <w:i/>
          <w:sz w:val="24"/>
          <w:szCs w:val="24"/>
          <w:lang w:eastAsia="ro-RO"/>
        </w:rPr>
        <w:t>(Multi-Regional Coupling)</w:t>
      </w:r>
      <w:r>
        <w:rPr>
          <w:rFonts w:ascii="Times New Roman" w:hAnsi="Times New Roman"/>
          <w:bCs/>
          <w:sz w:val="24"/>
          <w:szCs w:val="24"/>
          <w:lang w:eastAsia="ro-RO"/>
        </w:rPr>
        <w:t xml:space="preserve"> din care fac parte alte 22 țări europene pentru crearea</w:t>
      </w:r>
      <w:r w:rsidRPr="000C3999">
        <w:rPr>
          <w:rFonts w:ascii="Times New Roman" w:hAnsi="Times New Roman"/>
          <w:bCs/>
          <w:sz w:val="24"/>
          <w:szCs w:val="24"/>
          <w:lang w:eastAsia="ro-RO"/>
        </w:rPr>
        <w:t xml:space="preserve"> pieței </w:t>
      </w:r>
      <w:r>
        <w:rPr>
          <w:rFonts w:ascii="Times New Roman" w:hAnsi="Times New Roman"/>
          <w:bCs/>
          <w:sz w:val="24"/>
          <w:szCs w:val="24"/>
          <w:lang w:eastAsia="ro-RO"/>
        </w:rPr>
        <w:t>unice europene</w:t>
      </w:r>
      <w:r w:rsidRPr="000C3999">
        <w:rPr>
          <w:rFonts w:ascii="Times New Roman" w:hAnsi="Times New Roman"/>
          <w:bCs/>
          <w:sz w:val="24"/>
          <w:szCs w:val="24"/>
          <w:lang w:eastAsia="ro-RO"/>
        </w:rPr>
        <w:t xml:space="preserve"> de energie electrică</w:t>
      </w:r>
      <w:r>
        <w:rPr>
          <w:rFonts w:ascii="Times New Roman" w:hAnsi="Times New Roman"/>
          <w:bCs/>
          <w:sz w:val="24"/>
          <w:szCs w:val="24"/>
          <w:lang w:eastAsia="ro-RO"/>
        </w:rPr>
        <w:t xml:space="preserve">, </w:t>
      </w:r>
      <w:r w:rsidRPr="00AD1362">
        <w:rPr>
          <w:rFonts w:ascii="Times New Roman" w:hAnsi="Times New Roman"/>
          <w:bCs/>
          <w:sz w:val="24"/>
          <w:szCs w:val="24"/>
          <w:lang w:eastAsia="ro-RO"/>
        </w:rPr>
        <w:t>ANRE a aprobat în ședința Comitetulu</w:t>
      </w:r>
      <w:r>
        <w:rPr>
          <w:rFonts w:ascii="Times New Roman" w:hAnsi="Times New Roman"/>
          <w:bCs/>
          <w:sz w:val="24"/>
          <w:szCs w:val="24"/>
          <w:lang w:eastAsia="ro-RO"/>
        </w:rPr>
        <w:t>i de reglementare din data de 09.06</w:t>
      </w:r>
      <w:r w:rsidRPr="00AD1362">
        <w:rPr>
          <w:rFonts w:ascii="Times New Roman" w:hAnsi="Times New Roman"/>
          <w:bCs/>
          <w:sz w:val="24"/>
          <w:szCs w:val="24"/>
          <w:lang w:eastAsia="ro-RO"/>
        </w:rPr>
        <w:t xml:space="preserve">.2021 </w:t>
      </w:r>
      <w:r>
        <w:rPr>
          <w:rFonts w:ascii="Times New Roman" w:hAnsi="Times New Roman"/>
          <w:bCs/>
          <w:sz w:val="24"/>
          <w:szCs w:val="24"/>
          <w:lang w:eastAsia="ro-RO"/>
        </w:rPr>
        <w:t>desemnarea</w:t>
      </w:r>
      <w:r w:rsidRPr="000C3999">
        <w:rPr>
          <w:rFonts w:ascii="Times New Roman" w:hAnsi="Times New Roman"/>
          <w:bCs/>
          <w:sz w:val="24"/>
          <w:szCs w:val="24"/>
          <w:lang w:eastAsia="ro-RO"/>
        </w:rPr>
        <w:t xml:space="preserve"> Transelectrica</w:t>
      </w:r>
      <w:r>
        <w:rPr>
          <w:rFonts w:ascii="Times New Roman" w:hAnsi="Times New Roman"/>
          <w:bCs/>
          <w:sz w:val="24"/>
          <w:szCs w:val="24"/>
          <w:lang w:eastAsia="ro-RO"/>
        </w:rPr>
        <w:t xml:space="preserve"> S.A.</w:t>
      </w:r>
      <w:r w:rsidRPr="000C3999">
        <w:rPr>
          <w:rFonts w:ascii="Times New Roman" w:hAnsi="Times New Roman"/>
          <w:bCs/>
          <w:sz w:val="24"/>
          <w:szCs w:val="24"/>
          <w:lang w:eastAsia="ro-RO"/>
        </w:rPr>
        <w:t xml:space="preserve"> ca agent de transfer pentru exercitarea acestei funcții în procesul de cuplare a pieţelor pentru ziua următoare</w:t>
      </w:r>
      <w:r>
        <w:rPr>
          <w:rFonts w:ascii="Times New Roman" w:hAnsi="Times New Roman"/>
          <w:bCs/>
          <w:sz w:val="24"/>
          <w:szCs w:val="24"/>
          <w:lang w:eastAsia="ro-RO"/>
        </w:rPr>
        <w:t xml:space="preserve"> </w:t>
      </w:r>
      <w:r w:rsidRPr="000C3999">
        <w:rPr>
          <w:rFonts w:ascii="Times New Roman" w:hAnsi="Times New Roman"/>
          <w:bCs/>
          <w:sz w:val="24"/>
          <w:szCs w:val="24"/>
          <w:lang w:eastAsia="ro-RO"/>
        </w:rPr>
        <w:t xml:space="preserve">și de asemenea a </w:t>
      </w:r>
      <w:r>
        <w:rPr>
          <w:rFonts w:ascii="Times New Roman" w:hAnsi="Times New Roman"/>
          <w:bCs/>
          <w:sz w:val="24"/>
          <w:szCs w:val="24"/>
          <w:lang w:eastAsia="ro-RO"/>
        </w:rPr>
        <w:t>abrogat</w:t>
      </w:r>
      <w:r w:rsidRPr="000C3999">
        <w:rPr>
          <w:rFonts w:ascii="Times New Roman" w:hAnsi="Times New Roman"/>
          <w:bCs/>
          <w:sz w:val="24"/>
          <w:szCs w:val="24"/>
          <w:lang w:eastAsia="ro-RO"/>
        </w:rPr>
        <w:t xml:space="preserve"> Regulamentul de organizare şi funcţionare a pieţei pentru ziua următoare de energie electrică</w:t>
      </w:r>
      <w:r>
        <w:rPr>
          <w:rFonts w:ascii="Times New Roman" w:hAnsi="Times New Roman"/>
          <w:bCs/>
          <w:sz w:val="24"/>
          <w:szCs w:val="24"/>
          <w:lang w:eastAsia="ro-RO"/>
        </w:rPr>
        <w:t>.</w:t>
      </w:r>
      <w:r w:rsidRPr="000C3999">
        <w:rPr>
          <w:rFonts w:ascii="Times New Roman" w:hAnsi="Times New Roman"/>
          <w:bCs/>
          <w:sz w:val="24"/>
          <w:szCs w:val="24"/>
          <w:lang w:eastAsia="ro-RO"/>
        </w:rPr>
        <w:t xml:space="preserve"> </w:t>
      </w:r>
    </w:p>
    <w:p w:rsidR="004F128F" w:rsidRPr="000C3999" w:rsidRDefault="004F128F" w:rsidP="004F128F">
      <w:pPr>
        <w:spacing w:line="276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0C3999">
        <w:rPr>
          <w:rFonts w:ascii="Times New Roman" w:hAnsi="Times New Roman"/>
          <w:bCs/>
          <w:sz w:val="24"/>
          <w:szCs w:val="24"/>
        </w:rPr>
        <w:t>Cuplarea piețelor pentru ziua următoare de energie electrică constituie un proces desfășurat în mai multe etape, având la bază reguli specifice aprobate la nivel regional și european. În baza Regulamentul</w:t>
      </w:r>
      <w:r w:rsidR="00941B76">
        <w:rPr>
          <w:rFonts w:ascii="Times New Roman" w:hAnsi="Times New Roman"/>
          <w:bCs/>
          <w:sz w:val="24"/>
          <w:szCs w:val="24"/>
        </w:rPr>
        <w:t>ui</w:t>
      </w:r>
      <w:r w:rsidRPr="000C3999">
        <w:rPr>
          <w:rFonts w:ascii="Times New Roman" w:hAnsi="Times New Roman"/>
          <w:bCs/>
          <w:sz w:val="24"/>
          <w:szCs w:val="24"/>
        </w:rPr>
        <w:t xml:space="preserve"> (UE) 2015/1222 al Comisiei din 24 iulie 2015 </w:t>
      </w:r>
      <w:r w:rsidR="00941B76">
        <w:rPr>
          <w:rFonts w:ascii="Times New Roman" w:hAnsi="Times New Roman"/>
          <w:bCs/>
          <w:sz w:val="24"/>
          <w:szCs w:val="24"/>
        </w:rPr>
        <w:t>au fost stabilite</w:t>
      </w:r>
      <w:r w:rsidRPr="000C3999">
        <w:rPr>
          <w:rFonts w:ascii="Times New Roman" w:hAnsi="Times New Roman"/>
          <w:bCs/>
          <w:sz w:val="24"/>
          <w:szCs w:val="24"/>
        </w:rPr>
        <w:t xml:space="preserve"> linii</w:t>
      </w:r>
      <w:r w:rsidR="00445811">
        <w:rPr>
          <w:rFonts w:ascii="Times New Roman" w:hAnsi="Times New Roman"/>
          <w:bCs/>
          <w:sz w:val="24"/>
          <w:szCs w:val="24"/>
        </w:rPr>
        <w:t>l</w:t>
      </w:r>
      <w:r w:rsidR="00941B76">
        <w:rPr>
          <w:rFonts w:ascii="Times New Roman" w:hAnsi="Times New Roman"/>
          <w:bCs/>
          <w:sz w:val="24"/>
          <w:szCs w:val="24"/>
        </w:rPr>
        <w:t>e</w:t>
      </w:r>
      <w:r w:rsidRPr="000C3999">
        <w:rPr>
          <w:rFonts w:ascii="Times New Roman" w:hAnsi="Times New Roman"/>
          <w:bCs/>
          <w:sz w:val="24"/>
          <w:szCs w:val="24"/>
        </w:rPr>
        <w:t xml:space="preserve"> directoare privind alocarea capacităților și gestionarea congestiilor, care conțin reguli specifice privind modul de  organizare a piețelor pentru ziua următoare la nivel european.</w:t>
      </w:r>
    </w:p>
    <w:p w:rsidR="004F128F" w:rsidRDefault="004F128F" w:rsidP="004F128F">
      <w:pPr>
        <w:spacing w:line="276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0C3999">
        <w:rPr>
          <w:rFonts w:ascii="Times New Roman" w:hAnsi="Times New Roman"/>
          <w:bCs/>
          <w:sz w:val="24"/>
          <w:szCs w:val="24"/>
        </w:rPr>
        <w:t xml:space="preserve">În decembrie 2018, autoritățile de reglementare din România, Ungaria, Cehia, Slovacia, Polonia, Austria și Germania au solicitat, printr-o scrisoare comună adresată operatorilor de transport și de sistem și operatorilor pieței de energie electrică desemnați din statele menționate, inițierea </w:t>
      </w:r>
      <w:r w:rsidRPr="000C3999">
        <w:rPr>
          <w:rFonts w:ascii="Times New Roman" w:hAnsi="Times New Roman"/>
          <w:b/>
          <w:bCs/>
          <w:sz w:val="24"/>
          <w:szCs w:val="24"/>
        </w:rPr>
        <w:t xml:space="preserve">proiectului interimar pentru cuplarea piețelor pe baza capacității nete de transfer </w:t>
      </w:r>
      <w:r>
        <w:rPr>
          <w:rFonts w:ascii="Times New Roman" w:hAnsi="Times New Roman"/>
          <w:b/>
          <w:bCs/>
          <w:sz w:val="24"/>
          <w:szCs w:val="24"/>
        </w:rPr>
        <w:t>pe granițele dintre</w:t>
      </w:r>
      <w:r w:rsidRPr="000C3999">
        <w:rPr>
          <w:rFonts w:ascii="Times New Roman" w:hAnsi="Times New Roman"/>
          <w:b/>
          <w:bCs/>
          <w:sz w:val="24"/>
          <w:szCs w:val="24"/>
        </w:rPr>
        <w:t xml:space="preserve"> Germania, Austria, Polonia și statele membre 4M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C3999">
        <w:rPr>
          <w:rFonts w:ascii="Times New Roman" w:hAnsi="Times New Roman"/>
          <w:b/>
          <w:bCs/>
          <w:sz w:val="24"/>
          <w:szCs w:val="24"/>
        </w:rPr>
        <w:t>MC</w:t>
      </w:r>
      <w:r w:rsidRPr="000C3999">
        <w:rPr>
          <w:rFonts w:ascii="Times New Roman" w:hAnsi="Times New Roman"/>
          <w:bCs/>
          <w:sz w:val="24"/>
          <w:szCs w:val="24"/>
        </w:rPr>
        <w:t>, pentru a dezvolta în continuare integrarea regională a piețelor pentru ziua u</w:t>
      </w:r>
      <w:r>
        <w:rPr>
          <w:rFonts w:ascii="Times New Roman" w:hAnsi="Times New Roman"/>
          <w:bCs/>
          <w:sz w:val="24"/>
          <w:szCs w:val="24"/>
        </w:rPr>
        <w:t xml:space="preserve">rmătoare. </w:t>
      </w:r>
    </w:p>
    <w:p w:rsidR="004F128F" w:rsidRPr="000C3999" w:rsidRDefault="004F128F" w:rsidP="004F128F">
      <w:pPr>
        <w:spacing w:line="276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L</w:t>
      </w:r>
      <w:r w:rsidRPr="000C3999">
        <w:rPr>
          <w:rFonts w:ascii="Times New Roman" w:hAnsi="Times New Roman"/>
          <w:bCs/>
          <w:sz w:val="24"/>
          <w:szCs w:val="24"/>
        </w:rPr>
        <w:t>ansarea proiectului interimar pentru cuplarea piețelor</w:t>
      </w:r>
      <w:r>
        <w:rPr>
          <w:rFonts w:ascii="Times New Roman" w:hAnsi="Times New Roman"/>
          <w:bCs/>
          <w:sz w:val="24"/>
          <w:szCs w:val="24"/>
        </w:rPr>
        <w:t xml:space="preserve"> este</w:t>
      </w:r>
      <w:r w:rsidRPr="000C3999">
        <w:rPr>
          <w:rFonts w:ascii="Times New Roman" w:hAnsi="Times New Roman"/>
          <w:bCs/>
          <w:sz w:val="24"/>
          <w:szCs w:val="24"/>
        </w:rPr>
        <w:t xml:space="preserve"> programată în data de </w:t>
      </w:r>
      <w:r w:rsidRPr="000C3999">
        <w:rPr>
          <w:rFonts w:ascii="Times New Roman" w:hAnsi="Times New Roman"/>
          <w:b/>
          <w:bCs/>
          <w:sz w:val="24"/>
          <w:szCs w:val="24"/>
        </w:rPr>
        <w:t>17 iunie 2021</w:t>
      </w:r>
      <w:r w:rsidRPr="000C3999">
        <w:rPr>
          <w:rFonts w:ascii="Times New Roman" w:hAnsi="Times New Roman"/>
          <w:bCs/>
          <w:sz w:val="24"/>
          <w:szCs w:val="24"/>
        </w:rPr>
        <w:t>. Proiectul reprezintă o etapă tranzitorie în procesul de cuplare unică a piețelor bazată pe flux și presupune funcționarea pieței pentru ziua următoare conform regulilor stabilite în documentele aprobate în comun de către autoritățile de reglementare sau de către ACER.</w:t>
      </w:r>
    </w:p>
    <w:p w:rsidR="004F128F" w:rsidRPr="000C3999" w:rsidRDefault="002B0DE7" w:rsidP="004F128F">
      <w:pPr>
        <w:spacing w:after="0" w:line="276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Considerăm că</w:t>
      </w:r>
      <w:r w:rsidR="004F128F" w:rsidRPr="000C3999">
        <w:rPr>
          <w:rFonts w:ascii="Times New Roman" w:hAnsi="Times New Roman"/>
          <w:bCs/>
          <w:sz w:val="24"/>
          <w:szCs w:val="24"/>
        </w:rPr>
        <w:t xml:space="preserve"> extinderea cuplării unice a piețelor pentru ziua următoare va avea </w:t>
      </w:r>
      <w:r>
        <w:rPr>
          <w:rFonts w:ascii="Times New Roman" w:hAnsi="Times New Roman"/>
          <w:bCs/>
          <w:sz w:val="24"/>
          <w:szCs w:val="24"/>
        </w:rPr>
        <w:t>e</w:t>
      </w:r>
      <w:r w:rsidR="004F128F" w:rsidRPr="000C3999">
        <w:rPr>
          <w:rFonts w:ascii="Times New Roman" w:hAnsi="Times New Roman"/>
          <w:bCs/>
          <w:sz w:val="24"/>
          <w:szCs w:val="24"/>
        </w:rPr>
        <w:t xml:space="preserve">fecte benefice, </w:t>
      </w:r>
      <w:r>
        <w:rPr>
          <w:rFonts w:ascii="Times New Roman" w:hAnsi="Times New Roman"/>
          <w:bCs/>
          <w:sz w:val="24"/>
          <w:szCs w:val="24"/>
        </w:rPr>
        <w:t>d</w:t>
      </w:r>
      <w:r w:rsidR="004F128F" w:rsidRPr="000C3999">
        <w:rPr>
          <w:rFonts w:ascii="Times New Roman" w:hAnsi="Times New Roman"/>
          <w:bCs/>
          <w:sz w:val="24"/>
          <w:szCs w:val="24"/>
        </w:rPr>
        <w:t>intre care</w:t>
      </w:r>
      <w:r>
        <w:rPr>
          <w:rFonts w:ascii="Times New Roman" w:hAnsi="Times New Roman"/>
          <w:bCs/>
          <w:sz w:val="24"/>
          <w:szCs w:val="24"/>
        </w:rPr>
        <w:t xml:space="preserve"> menţionăm</w:t>
      </w:r>
      <w:r w:rsidR="004F128F" w:rsidRPr="000C3999">
        <w:rPr>
          <w:rFonts w:ascii="Times New Roman" w:hAnsi="Times New Roman"/>
          <w:bCs/>
          <w:sz w:val="24"/>
          <w:szCs w:val="24"/>
        </w:rPr>
        <w:t>:</w:t>
      </w:r>
    </w:p>
    <w:p w:rsidR="004F128F" w:rsidRPr="000C3999" w:rsidRDefault="004F128F" w:rsidP="004F128F">
      <w:pPr>
        <w:spacing w:after="0" w:line="276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0C3999">
        <w:rPr>
          <w:rFonts w:ascii="Times New Roman" w:hAnsi="Times New Roman"/>
          <w:bCs/>
          <w:sz w:val="24"/>
          <w:szCs w:val="24"/>
        </w:rPr>
        <w:t xml:space="preserve">- </w:t>
      </w:r>
      <w:r>
        <w:rPr>
          <w:rFonts w:ascii="Times New Roman" w:hAnsi="Times New Roman"/>
          <w:bCs/>
          <w:sz w:val="24"/>
          <w:szCs w:val="24"/>
        </w:rPr>
        <w:t>dezvoltarea</w:t>
      </w:r>
      <w:r w:rsidRPr="000C3999">
        <w:rPr>
          <w:rFonts w:ascii="Times New Roman" w:hAnsi="Times New Roman"/>
          <w:bCs/>
          <w:sz w:val="24"/>
          <w:szCs w:val="24"/>
        </w:rPr>
        <w:t xml:space="preserve"> rețele</w:t>
      </w:r>
      <w:r>
        <w:rPr>
          <w:rFonts w:ascii="Times New Roman" w:hAnsi="Times New Roman"/>
          <w:bCs/>
          <w:sz w:val="24"/>
          <w:szCs w:val="24"/>
        </w:rPr>
        <w:t>i</w:t>
      </w:r>
      <w:r w:rsidRPr="000C3999">
        <w:rPr>
          <w:rFonts w:ascii="Times New Roman" w:hAnsi="Times New Roman"/>
          <w:bCs/>
          <w:sz w:val="24"/>
          <w:szCs w:val="24"/>
        </w:rPr>
        <w:t xml:space="preserve"> comune între operatori</w:t>
      </w:r>
      <w:r>
        <w:rPr>
          <w:rFonts w:ascii="Times New Roman" w:hAnsi="Times New Roman"/>
          <w:bCs/>
          <w:sz w:val="24"/>
          <w:szCs w:val="24"/>
        </w:rPr>
        <w:t>i</w:t>
      </w:r>
      <w:r w:rsidRPr="000C3999">
        <w:rPr>
          <w:rFonts w:ascii="Times New Roman" w:hAnsi="Times New Roman"/>
          <w:bCs/>
          <w:sz w:val="24"/>
          <w:szCs w:val="24"/>
        </w:rPr>
        <w:t xml:space="preserve"> de transport și de sistem</w:t>
      </w:r>
      <w:r>
        <w:rPr>
          <w:rFonts w:ascii="Times New Roman" w:hAnsi="Times New Roman"/>
          <w:bCs/>
          <w:sz w:val="24"/>
          <w:szCs w:val="24"/>
        </w:rPr>
        <w:t xml:space="preserve"> din Europa</w:t>
      </w:r>
      <w:r w:rsidRPr="000C3999">
        <w:rPr>
          <w:rFonts w:ascii="Times New Roman" w:hAnsi="Times New Roman"/>
          <w:bCs/>
          <w:sz w:val="24"/>
          <w:szCs w:val="24"/>
        </w:rPr>
        <w:t xml:space="preserve">, responsabilă de gestionarea transportului energetic din fiecare țară, asigurând astfel siguranța și stabilitatea rețelelor naționale de transport energetic; </w:t>
      </w:r>
    </w:p>
    <w:p w:rsidR="004F128F" w:rsidRPr="000C3999" w:rsidRDefault="004F128F" w:rsidP="004F128F">
      <w:pPr>
        <w:spacing w:after="0" w:line="276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0C3999">
        <w:rPr>
          <w:rFonts w:ascii="Times New Roman" w:hAnsi="Times New Roman"/>
          <w:bCs/>
          <w:sz w:val="24"/>
          <w:szCs w:val="24"/>
        </w:rPr>
        <w:t>- alocarea mai eficientă a capacităților transfrontaliere;</w:t>
      </w:r>
    </w:p>
    <w:p w:rsidR="004F128F" w:rsidRPr="000C3999" w:rsidRDefault="004F128F" w:rsidP="004F128F">
      <w:pPr>
        <w:spacing w:after="0" w:line="276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0C3999">
        <w:rPr>
          <w:rFonts w:ascii="Times New Roman" w:hAnsi="Times New Roman"/>
          <w:bCs/>
          <w:sz w:val="24"/>
          <w:szCs w:val="24"/>
        </w:rPr>
        <w:t>- prețuri echitabile și care reflectă costurile – piața cuplată implică un sistem transparent de compensare a pieței care determină prețuri în piața angro care corespund cererii;</w:t>
      </w:r>
    </w:p>
    <w:p w:rsidR="004F128F" w:rsidRPr="000C3999" w:rsidRDefault="004F128F" w:rsidP="004F128F">
      <w:pPr>
        <w:spacing w:after="0" w:line="276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0C3999">
        <w:rPr>
          <w:rFonts w:ascii="Times New Roman" w:hAnsi="Times New Roman"/>
          <w:bCs/>
          <w:sz w:val="24"/>
          <w:szCs w:val="24"/>
        </w:rPr>
        <w:t>- îmbunătățirea convergenței prețurilor între diferite zone</w:t>
      </w:r>
      <w:r>
        <w:rPr>
          <w:rFonts w:ascii="Times New Roman" w:hAnsi="Times New Roman"/>
          <w:bCs/>
          <w:sz w:val="24"/>
          <w:szCs w:val="24"/>
        </w:rPr>
        <w:t xml:space="preserve"> de ofertare</w:t>
      </w:r>
      <w:r w:rsidRPr="000C3999">
        <w:rPr>
          <w:rFonts w:ascii="Times New Roman" w:hAnsi="Times New Roman"/>
          <w:bCs/>
          <w:sz w:val="24"/>
          <w:szCs w:val="24"/>
        </w:rPr>
        <w:t xml:space="preserve"> și un preț mai fiabil al energiei electrice pe orizontul de timp al pieței pentru ziua următoare;</w:t>
      </w:r>
    </w:p>
    <w:p w:rsidR="004F128F" w:rsidRDefault="004F128F" w:rsidP="004F128F">
      <w:pPr>
        <w:spacing w:after="0" w:line="276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0C3999">
        <w:rPr>
          <w:rFonts w:ascii="Times New Roman" w:hAnsi="Times New Roman"/>
          <w:bCs/>
          <w:sz w:val="24"/>
          <w:szCs w:val="24"/>
        </w:rPr>
        <w:t>-  mai multă lichiditate și oportunități de tranzacționare</w:t>
      </w:r>
      <w:r>
        <w:rPr>
          <w:rFonts w:ascii="Times New Roman" w:hAnsi="Times New Roman"/>
          <w:bCs/>
          <w:sz w:val="24"/>
          <w:szCs w:val="24"/>
        </w:rPr>
        <w:t xml:space="preserve"> pentru participanții la piață.</w:t>
      </w:r>
      <w:r w:rsidRPr="00AD1362">
        <w:rPr>
          <w:rFonts w:ascii="Times New Roman" w:hAnsi="Times New Roman"/>
          <w:sz w:val="24"/>
          <w:szCs w:val="24"/>
        </w:rPr>
        <w:t xml:space="preserve">      </w:t>
      </w:r>
    </w:p>
    <w:p w:rsidR="004F128F" w:rsidRDefault="004F128F" w:rsidP="004F128F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4F128F" w:rsidRDefault="004F128F" w:rsidP="004F128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Direcția relații internaționale, comunicare, relația cu Parlamentul</w:t>
      </w:r>
    </w:p>
    <w:p w:rsidR="00110294" w:rsidRPr="00110294" w:rsidRDefault="004F128F" w:rsidP="00110294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09.06.2021</w:t>
      </w:r>
    </w:p>
    <w:sectPr w:rsidR="00110294" w:rsidRPr="00110294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424D" w:rsidRDefault="0027424D" w:rsidP="003B4C37">
      <w:pPr>
        <w:spacing w:after="0" w:line="240" w:lineRule="auto"/>
      </w:pPr>
      <w:r>
        <w:separator/>
      </w:r>
    </w:p>
  </w:endnote>
  <w:endnote w:type="continuationSeparator" w:id="0">
    <w:p w:rsidR="0027424D" w:rsidRDefault="0027424D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B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424D" w:rsidRDefault="0027424D" w:rsidP="003B4C37">
      <w:pPr>
        <w:spacing w:after="0" w:line="240" w:lineRule="auto"/>
      </w:pPr>
      <w:r>
        <w:separator/>
      </w:r>
    </w:p>
  </w:footnote>
  <w:footnote w:type="continuationSeparator" w:id="0">
    <w:p w:rsidR="0027424D" w:rsidRDefault="0027424D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relații internaționale, comunicare, relaț</w:t>
                          </w:r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ia cu Parlamentul</w:t>
                          </w:r>
                        </w:p>
                        <w:p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110294">
                      <w:rPr>
                        <w:rFonts w:ascii="Arial" w:hAnsi="Arial" w:cs="Arial"/>
                        <w:sz w:val="20"/>
                      </w:rPr>
                      <w:t>relații internaționale, comunicare, relaț</w:t>
                    </w:r>
                    <w:r w:rsidR="00AF71FE">
                      <w:rPr>
                        <w:rFonts w:ascii="Arial" w:hAnsi="Arial" w:cs="Arial"/>
                        <w:sz w:val="20"/>
                      </w:rPr>
                      <w:t>ia cu Parlamentul</w:t>
                    </w:r>
                  </w:p>
                  <w:p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US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AA620F9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7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6"/>
  </w:num>
  <w:num w:numId="4">
    <w:abstractNumId w:val="13"/>
  </w:num>
  <w:num w:numId="5">
    <w:abstractNumId w:val="1"/>
  </w:num>
  <w:num w:numId="6">
    <w:abstractNumId w:val="10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11"/>
  </w:num>
  <w:num w:numId="12">
    <w:abstractNumId w:val="8"/>
  </w:num>
  <w:num w:numId="13">
    <w:abstractNumId w:val="7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C0560"/>
    <w:rsid w:val="000D4689"/>
    <w:rsid w:val="000D7AE0"/>
    <w:rsid w:val="000E316D"/>
    <w:rsid w:val="000F3DF1"/>
    <w:rsid w:val="00110294"/>
    <w:rsid w:val="00123A54"/>
    <w:rsid w:val="00125D85"/>
    <w:rsid w:val="00140718"/>
    <w:rsid w:val="00160D1D"/>
    <w:rsid w:val="0016112A"/>
    <w:rsid w:val="00172D21"/>
    <w:rsid w:val="001A1DA0"/>
    <w:rsid w:val="001B58B7"/>
    <w:rsid w:val="001C00D5"/>
    <w:rsid w:val="0023637F"/>
    <w:rsid w:val="0027424D"/>
    <w:rsid w:val="0027738A"/>
    <w:rsid w:val="00293F32"/>
    <w:rsid w:val="002A66A8"/>
    <w:rsid w:val="002A6DA5"/>
    <w:rsid w:val="002B0DE7"/>
    <w:rsid w:val="002B3467"/>
    <w:rsid w:val="00313EBA"/>
    <w:rsid w:val="003427FA"/>
    <w:rsid w:val="003543C8"/>
    <w:rsid w:val="00364C45"/>
    <w:rsid w:val="00364E3A"/>
    <w:rsid w:val="0037458E"/>
    <w:rsid w:val="003A2FF3"/>
    <w:rsid w:val="003B26B9"/>
    <w:rsid w:val="003B4C37"/>
    <w:rsid w:val="003C78E8"/>
    <w:rsid w:val="00405B8C"/>
    <w:rsid w:val="004119A7"/>
    <w:rsid w:val="0042783B"/>
    <w:rsid w:val="00437C42"/>
    <w:rsid w:val="0044444A"/>
    <w:rsid w:val="00445811"/>
    <w:rsid w:val="004B55AA"/>
    <w:rsid w:val="004D364D"/>
    <w:rsid w:val="004E5631"/>
    <w:rsid w:val="004F128F"/>
    <w:rsid w:val="00520268"/>
    <w:rsid w:val="0052287D"/>
    <w:rsid w:val="005261D6"/>
    <w:rsid w:val="00540FD2"/>
    <w:rsid w:val="00561D6D"/>
    <w:rsid w:val="00572DF7"/>
    <w:rsid w:val="00587BE2"/>
    <w:rsid w:val="005E003D"/>
    <w:rsid w:val="005E3B03"/>
    <w:rsid w:val="005E64BD"/>
    <w:rsid w:val="00620875"/>
    <w:rsid w:val="0066785A"/>
    <w:rsid w:val="00677CF9"/>
    <w:rsid w:val="006B7CD0"/>
    <w:rsid w:val="006C1CB9"/>
    <w:rsid w:val="006E6139"/>
    <w:rsid w:val="00717D6D"/>
    <w:rsid w:val="0076099F"/>
    <w:rsid w:val="007825E2"/>
    <w:rsid w:val="00787AA2"/>
    <w:rsid w:val="00795361"/>
    <w:rsid w:val="007A3C37"/>
    <w:rsid w:val="007D1F9B"/>
    <w:rsid w:val="00845749"/>
    <w:rsid w:val="00847506"/>
    <w:rsid w:val="0085060E"/>
    <w:rsid w:val="0088430C"/>
    <w:rsid w:val="008D7198"/>
    <w:rsid w:val="008F401E"/>
    <w:rsid w:val="008F6221"/>
    <w:rsid w:val="00904AAE"/>
    <w:rsid w:val="009267F6"/>
    <w:rsid w:val="00934921"/>
    <w:rsid w:val="00936332"/>
    <w:rsid w:val="00941B76"/>
    <w:rsid w:val="00962771"/>
    <w:rsid w:val="00997D09"/>
    <w:rsid w:val="009C5B10"/>
    <w:rsid w:val="00A12310"/>
    <w:rsid w:val="00A26582"/>
    <w:rsid w:val="00A270B1"/>
    <w:rsid w:val="00A277E7"/>
    <w:rsid w:val="00A31234"/>
    <w:rsid w:val="00A53F29"/>
    <w:rsid w:val="00A60696"/>
    <w:rsid w:val="00A67B3D"/>
    <w:rsid w:val="00AB62C4"/>
    <w:rsid w:val="00AE22CA"/>
    <w:rsid w:val="00AE6F05"/>
    <w:rsid w:val="00AF2BC1"/>
    <w:rsid w:val="00AF71FE"/>
    <w:rsid w:val="00B50AEF"/>
    <w:rsid w:val="00B63563"/>
    <w:rsid w:val="00B81C1F"/>
    <w:rsid w:val="00BA14C9"/>
    <w:rsid w:val="00BC0B70"/>
    <w:rsid w:val="00BD4091"/>
    <w:rsid w:val="00BF2C67"/>
    <w:rsid w:val="00C042DC"/>
    <w:rsid w:val="00C059F2"/>
    <w:rsid w:val="00C17D43"/>
    <w:rsid w:val="00C2096C"/>
    <w:rsid w:val="00C41C0C"/>
    <w:rsid w:val="00CF7DC2"/>
    <w:rsid w:val="00D005D5"/>
    <w:rsid w:val="00D72DAB"/>
    <w:rsid w:val="00D76985"/>
    <w:rsid w:val="00DE40C1"/>
    <w:rsid w:val="00DF7952"/>
    <w:rsid w:val="00E43B64"/>
    <w:rsid w:val="00E56C1A"/>
    <w:rsid w:val="00E7037E"/>
    <w:rsid w:val="00ED494E"/>
    <w:rsid w:val="00EE398F"/>
    <w:rsid w:val="00EF36DB"/>
    <w:rsid w:val="00EF44A3"/>
    <w:rsid w:val="00F404C1"/>
    <w:rsid w:val="00F80B77"/>
    <w:rsid w:val="00FA1D08"/>
    <w:rsid w:val="00FD521F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F25161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0294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12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4F128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2021-01-06T13:28:00Z</cp:lastPrinted>
  <dcterms:created xsi:type="dcterms:W3CDTF">2021-06-09T11:47:00Z</dcterms:created>
  <dcterms:modified xsi:type="dcterms:W3CDTF">2021-06-09T12:30:00Z</dcterms:modified>
</cp:coreProperties>
</file>