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1"/>
        <w:tblpPr w:leftFromText="142" w:rightFromText="142" w:topFromText="5528" w:vertAnchor="page" w:horzAnchor="page" w:tblpX="1362" w:tblpY="5104"/>
        <w:tblW w:w="0" w:type="auto"/>
        <w:tblBorders>
          <w:top w:val="single" w:sz="8" w:space="0" w:color="23236E"/>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9524"/>
      </w:tblGrid>
      <w:tr w:rsidR="007F3B2B" w:rsidRPr="00AE4671" w:rsidTr="00552EF3">
        <w:trPr>
          <w:trHeight w:val="3045"/>
        </w:trPr>
        <w:tc>
          <w:tcPr>
            <w:tcW w:w="9524" w:type="dxa"/>
            <w:tcMar>
              <w:top w:w="198" w:type="dxa"/>
            </w:tcMar>
          </w:tcPr>
          <w:p w:rsidR="007F3B2B" w:rsidRPr="0080608B" w:rsidRDefault="0056740E" w:rsidP="00552EF3">
            <w:pPr>
              <w:spacing w:after="280" w:line="600" w:lineRule="exact"/>
              <w:jc w:val="center"/>
              <w:rPr>
                <w:rFonts w:cs="Arial"/>
                <w:b/>
                <w:color w:val="23236E"/>
                <w:sz w:val="44"/>
                <w:szCs w:val="44"/>
              </w:rPr>
            </w:pPr>
            <w:bookmarkStart w:id="0" w:name="_Toc378091729"/>
            <w:r>
              <w:rPr>
                <w:lang w:val="ro"/>
              </w:rPr>
              <w:t xml:space="preserve"> </w:t>
            </w:r>
            <w:r>
              <w:rPr>
                <w:b/>
                <w:bCs/>
                <w:color w:val="23236E" w:themeColor="text2"/>
                <w:sz w:val="32"/>
                <w:lang w:val="ro"/>
              </w:rPr>
              <w:t>P</w:t>
            </w:r>
            <w:bookmarkStart w:id="1" w:name="_GoBack"/>
            <w:bookmarkEnd w:id="1"/>
            <w:r>
              <w:rPr>
                <w:b/>
                <w:bCs/>
                <w:color w:val="23236E" w:themeColor="text2"/>
                <w:sz w:val="32"/>
                <w:lang w:val="ro"/>
              </w:rPr>
              <w:t xml:space="preserve">ropunerea tuturor OTS-urilor pentru cadrul de punere în aplicare a unei Platforme europene pentru schimbul de energie de echilibrare din rezervele de restabilire a frecvenței cu activare manuală în conformitate cu articolul 20 din Regulamentul (UE) 2017/2195 al Comisiei de stabilire a unei linii directoare privind echilibrarea sistemului de energie electrică </w:t>
            </w:r>
          </w:p>
        </w:tc>
      </w:tr>
      <w:tr w:rsidR="007F3B2B" w:rsidRPr="0080608B" w:rsidTr="00AE7FA9">
        <w:trPr>
          <w:trHeight w:val="68"/>
        </w:trPr>
        <w:tc>
          <w:tcPr>
            <w:tcW w:w="9524" w:type="dxa"/>
            <w:tcMar>
              <w:bottom w:w="142" w:type="dxa"/>
            </w:tcMar>
          </w:tcPr>
          <w:p w:rsidR="007F3B2B" w:rsidRPr="0024247F" w:rsidRDefault="00B36A37" w:rsidP="009F4E6B">
            <w:pPr>
              <w:spacing w:line="320" w:lineRule="exact"/>
              <w:jc w:val="center"/>
              <w:rPr>
                <w:rFonts w:cs="Arial"/>
                <w:b/>
                <w:sz w:val="29"/>
                <w:szCs w:val="29"/>
              </w:rPr>
            </w:pPr>
            <w:r>
              <w:rPr>
                <w:rFonts w:cs="Arial"/>
                <w:b/>
                <w:bCs/>
                <w:sz w:val="29"/>
                <w:szCs w:val="29"/>
                <w:lang w:val="ro"/>
              </w:rPr>
              <w:t>18 decembrie 2018</w:t>
            </w:r>
          </w:p>
        </w:tc>
      </w:tr>
    </w:tbl>
    <w:p w:rsidR="0068207B" w:rsidRPr="0080608B" w:rsidRDefault="0068207B" w:rsidP="004F245D">
      <w:pPr>
        <w:rPr>
          <w:b/>
          <w:color w:val="23236E"/>
          <w:sz w:val="28"/>
          <w:szCs w:val="28"/>
        </w:rPr>
      </w:pPr>
    </w:p>
    <w:p w:rsidR="004F245D" w:rsidRPr="0080608B" w:rsidRDefault="004F245D" w:rsidP="004F245D">
      <w:pPr>
        <w:rPr>
          <w:rFonts w:ascii="Times New Roman" w:hAnsi="Times New Roman"/>
          <w:szCs w:val="22"/>
        </w:rPr>
      </w:pPr>
    </w:p>
    <w:p w:rsidR="004F245D" w:rsidRPr="0080608B" w:rsidRDefault="004F245D" w:rsidP="004F245D">
      <w:pPr>
        <w:rPr>
          <w:rFonts w:ascii="Times New Roman" w:hAnsi="Times New Roman"/>
          <w:szCs w:val="22"/>
        </w:rPr>
      </w:pPr>
      <w:r>
        <w:rPr>
          <w:rFonts w:ascii="Times New Roman" w:hAnsi="Times New Roman"/>
          <w:szCs w:val="22"/>
          <w:lang w:val="ro"/>
        </w:rPr>
        <w:br w:type="page"/>
      </w:r>
    </w:p>
    <w:p w:rsidR="00A121C1" w:rsidRPr="0080608B" w:rsidRDefault="004F245D" w:rsidP="004F245D">
      <w:pPr>
        <w:ind w:hanging="426"/>
        <w:rPr>
          <w:rFonts w:ascii="Times New Roman" w:hAnsi="Times New Roman"/>
          <w:szCs w:val="22"/>
        </w:rPr>
      </w:pPr>
      <w:r>
        <w:rPr>
          <w:lang w:val="ro"/>
        </w:rPr>
        <w:lastRenderedPageBreak/>
        <w:tab/>
      </w:r>
    </w:p>
    <w:sdt>
      <w:sdtPr>
        <w:rPr>
          <w:rFonts w:ascii="Arial" w:eastAsia="Times New Roman" w:hAnsi="Arial" w:cs="Times New Roman"/>
          <w:b w:val="0"/>
          <w:bCs w:val="0"/>
          <w:color w:val="auto"/>
          <w:sz w:val="22"/>
          <w:szCs w:val="24"/>
          <w:lang w:val="en-GB"/>
        </w:rPr>
        <w:id w:val="-2118130768"/>
        <w:docPartObj>
          <w:docPartGallery w:val="Table of Contents"/>
          <w:docPartUnique/>
        </w:docPartObj>
      </w:sdtPr>
      <w:sdtEndPr>
        <w:rPr>
          <w:rFonts w:asciiTheme="majorHAnsi" w:hAnsiTheme="majorHAnsi"/>
          <w:noProof/>
        </w:rPr>
      </w:sdtEndPr>
      <w:sdtContent>
        <w:p w:rsidR="00A121C1" w:rsidRPr="006B70C1" w:rsidRDefault="00A121C1" w:rsidP="00A121C1">
          <w:pPr>
            <w:pStyle w:val="TOCHeading"/>
            <w:rPr>
              <w:rFonts w:asciiTheme="minorHAnsi" w:hAnsiTheme="minorHAnsi" w:cstheme="minorHAnsi"/>
            </w:rPr>
          </w:pPr>
          <w:r w:rsidRPr="006B70C1">
            <w:rPr>
              <w:rFonts w:asciiTheme="minorHAnsi" w:hAnsiTheme="minorHAnsi" w:cstheme="minorHAnsi"/>
              <w:lang w:val="ro"/>
            </w:rPr>
            <w:t>Cuprins</w:t>
          </w:r>
        </w:p>
        <w:p w:rsidR="00165EC1" w:rsidRPr="00165EC1" w:rsidRDefault="00A121C1">
          <w:pPr>
            <w:pStyle w:val="TOC1"/>
            <w:rPr>
              <w:rFonts w:asciiTheme="minorHAnsi" w:eastAsiaTheme="minorEastAsia" w:hAnsiTheme="minorHAnsi" w:cstheme="minorHAnsi"/>
              <w:noProof/>
              <w:szCs w:val="22"/>
              <w:lang w:val="en-US" w:eastAsia="en-US"/>
            </w:rPr>
          </w:pPr>
          <w:r w:rsidRPr="00165EC1">
            <w:rPr>
              <w:rStyle w:val="Hyperlink"/>
              <w:rFonts w:asciiTheme="minorHAnsi" w:hAnsiTheme="minorHAnsi" w:cstheme="minorHAnsi"/>
              <w:noProof/>
              <w:lang w:val="ro"/>
            </w:rPr>
            <w:fldChar w:fldCharType="begin"/>
          </w:r>
          <w:r w:rsidRPr="00165EC1">
            <w:rPr>
              <w:rStyle w:val="Hyperlink"/>
              <w:rFonts w:asciiTheme="minorHAnsi" w:hAnsiTheme="minorHAnsi" w:cstheme="minorHAnsi"/>
              <w:noProof/>
            </w:rPr>
            <w:instrText xml:space="preserve"> TOC \o "1-3" \h \z \u </w:instrText>
          </w:r>
          <w:r w:rsidRPr="00165EC1">
            <w:rPr>
              <w:rStyle w:val="Hyperlink"/>
              <w:rFonts w:asciiTheme="minorHAnsi" w:hAnsiTheme="minorHAnsi" w:cstheme="minorHAnsi"/>
              <w:noProof/>
            </w:rPr>
            <w:fldChar w:fldCharType="separate"/>
          </w:r>
          <w:hyperlink w:anchor="_Toc532893386" w:history="1">
            <w:r w:rsidR="00165EC1" w:rsidRPr="00165EC1">
              <w:rPr>
                <w:rStyle w:val="Hyperlink"/>
                <w:rFonts w:asciiTheme="minorHAnsi" w:hAnsiTheme="minorHAnsi" w:cstheme="minorHAnsi"/>
                <w:bCs/>
                <w:noProof/>
                <w:lang w:val="ro"/>
              </w:rPr>
              <w:t>Preambul</w:t>
            </w:r>
            <w:r w:rsidR="00165EC1" w:rsidRPr="00165EC1">
              <w:rPr>
                <w:rFonts w:asciiTheme="minorHAnsi" w:hAnsiTheme="minorHAnsi" w:cstheme="minorHAnsi"/>
                <w:noProof/>
                <w:webHidden/>
              </w:rPr>
              <w:tab/>
            </w:r>
            <w:r w:rsidR="00165EC1" w:rsidRPr="00165EC1">
              <w:rPr>
                <w:rFonts w:asciiTheme="minorHAnsi" w:hAnsiTheme="minorHAnsi" w:cstheme="minorHAnsi"/>
                <w:noProof/>
                <w:webHidden/>
              </w:rPr>
              <w:fldChar w:fldCharType="begin"/>
            </w:r>
            <w:r w:rsidR="00165EC1" w:rsidRPr="00165EC1">
              <w:rPr>
                <w:rFonts w:asciiTheme="minorHAnsi" w:hAnsiTheme="minorHAnsi" w:cstheme="minorHAnsi"/>
                <w:noProof/>
                <w:webHidden/>
              </w:rPr>
              <w:instrText xml:space="preserve"> PAGEREF _Toc532893386 \h </w:instrText>
            </w:r>
            <w:r w:rsidR="00165EC1" w:rsidRPr="00165EC1">
              <w:rPr>
                <w:rFonts w:asciiTheme="minorHAnsi" w:hAnsiTheme="minorHAnsi" w:cstheme="minorHAnsi"/>
                <w:noProof/>
                <w:webHidden/>
              </w:rPr>
            </w:r>
            <w:r w:rsidR="00165EC1" w:rsidRPr="00165EC1">
              <w:rPr>
                <w:rFonts w:asciiTheme="minorHAnsi" w:hAnsiTheme="minorHAnsi" w:cstheme="minorHAnsi"/>
                <w:noProof/>
                <w:webHidden/>
              </w:rPr>
              <w:fldChar w:fldCharType="separate"/>
            </w:r>
            <w:r w:rsidR="00165EC1" w:rsidRPr="00165EC1">
              <w:rPr>
                <w:rFonts w:asciiTheme="minorHAnsi" w:hAnsiTheme="minorHAnsi" w:cstheme="minorHAnsi"/>
                <w:noProof/>
                <w:webHidden/>
              </w:rPr>
              <w:t>3</w:t>
            </w:r>
            <w:r w:rsidR="00165EC1" w:rsidRPr="00165EC1">
              <w:rPr>
                <w:rFonts w:asciiTheme="minorHAnsi" w:hAnsiTheme="minorHAnsi" w:cstheme="minorHAnsi"/>
                <w:noProof/>
                <w:webHidden/>
              </w:rPr>
              <w:fldChar w:fldCharType="end"/>
            </w:r>
          </w:hyperlink>
        </w:p>
        <w:p w:rsidR="00165EC1" w:rsidRPr="00165EC1" w:rsidRDefault="00824D7D">
          <w:pPr>
            <w:pStyle w:val="TOC1"/>
            <w:rPr>
              <w:rFonts w:asciiTheme="minorHAnsi" w:eastAsiaTheme="minorEastAsia" w:hAnsiTheme="minorHAnsi" w:cstheme="minorHAnsi"/>
              <w:noProof/>
              <w:szCs w:val="22"/>
              <w:lang w:val="en-US" w:eastAsia="en-US"/>
            </w:rPr>
          </w:pPr>
          <w:hyperlink w:anchor="_Toc532893387" w:history="1">
            <w:r w:rsidR="00165EC1" w:rsidRPr="00165EC1">
              <w:rPr>
                <w:rStyle w:val="Hyperlink"/>
                <w:rFonts w:asciiTheme="minorHAnsi" w:eastAsiaTheme="majorEastAsia" w:hAnsiTheme="minorHAnsi" w:cstheme="minorHAnsi"/>
                <w:bCs/>
                <w:noProof/>
                <w:lang w:val="ro"/>
              </w:rPr>
              <w:t>Abrevieri</w:t>
            </w:r>
            <w:r w:rsidR="00165EC1" w:rsidRPr="00165EC1">
              <w:rPr>
                <w:rFonts w:asciiTheme="minorHAnsi" w:hAnsiTheme="minorHAnsi" w:cstheme="minorHAnsi"/>
                <w:noProof/>
                <w:webHidden/>
              </w:rPr>
              <w:tab/>
            </w:r>
            <w:r w:rsidR="00165EC1" w:rsidRPr="00165EC1">
              <w:rPr>
                <w:rFonts w:asciiTheme="minorHAnsi" w:hAnsiTheme="minorHAnsi" w:cstheme="minorHAnsi"/>
                <w:noProof/>
                <w:webHidden/>
              </w:rPr>
              <w:fldChar w:fldCharType="begin"/>
            </w:r>
            <w:r w:rsidR="00165EC1" w:rsidRPr="00165EC1">
              <w:rPr>
                <w:rFonts w:asciiTheme="minorHAnsi" w:hAnsiTheme="minorHAnsi" w:cstheme="minorHAnsi"/>
                <w:noProof/>
                <w:webHidden/>
              </w:rPr>
              <w:instrText xml:space="preserve"> PAGEREF _Toc532893387 \h </w:instrText>
            </w:r>
            <w:r w:rsidR="00165EC1" w:rsidRPr="00165EC1">
              <w:rPr>
                <w:rFonts w:asciiTheme="minorHAnsi" w:hAnsiTheme="minorHAnsi" w:cstheme="minorHAnsi"/>
                <w:noProof/>
                <w:webHidden/>
              </w:rPr>
            </w:r>
            <w:r w:rsidR="00165EC1" w:rsidRPr="00165EC1">
              <w:rPr>
                <w:rFonts w:asciiTheme="minorHAnsi" w:hAnsiTheme="minorHAnsi" w:cstheme="minorHAnsi"/>
                <w:noProof/>
                <w:webHidden/>
              </w:rPr>
              <w:fldChar w:fldCharType="separate"/>
            </w:r>
            <w:r w:rsidR="00165EC1" w:rsidRPr="00165EC1">
              <w:rPr>
                <w:rFonts w:asciiTheme="minorHAnsi" w:hAnsiTheme="minorHAnsi" w:cstheme="minorHAnsi"/>
                <w:noProof/>
                <w:webHidden/>
              </w:rPr>
              <w:t>7</w:t>
            </w:r>
            <w:r w:rsidR="00165EC1" w:rsidRPr="00165EC1">
              <w:rPr>
                <w:rFonts w:asciiTheme="minorHAnsi" w:hAnsiTheme="minorHAnsi" w:cstheme="minorHAnsi"/>
                <w:noProof/>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88" w:history="1">
            <w:r w:rsidR="00165EC1" w:rsidRPr="00165EC1">
              <w:rPr>
                <w:rStyle w:val="Hyperlink"/>
                <w:rFonts w:asciiTheme="minorHAnsi" w:hAnsiTheme="minorHAnsi" w:cstheme="minorHAnsi"/>
                <w:b w:val="0"/>
                <w:bCs/>
                <w:lang w:val="ro"/>
              </w:rPr>
              <w:t>Articolul 1</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Obiect și domeniu de aplicare</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_Toc532893388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8</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89" w:history="1">
            <w:r w:rsidR="00165EC1" w:rsidRPr="00165EC1">
              <w:rPr>
                <w:rStyle w:val="Hyperlink"/>
                <w:rFonts w:asciiTheme="minorHAnsi" w:hAnsiTheme="minorHAnsi" w:cstheme="minorHAnsi"/>
                <w:b w:val="0"/>
                <w:bCs/>
                <w:lang w:val="ro"/>
              </w:rPr>
              <w:t>Articolul 2</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Definiții și interpretări</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_Toc532893389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8</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90" w:history="1">
            <w:r w:rsidR="00165EC1" w:rsidRPr="00165EC1">
              <w:rPr>
                <w:rStyle w:val="Hyperlink"/>
                <w:rFonts w:asciiTheme="minorHAnsi" w:hAnsiTheme="minorHAnsi" w:cstheme="minorHAnsi"/>
                <w:b w:val="0"/>
                <w:bCs/>
                <w:lang w:val="ro"/>
              </w:rPr>
              <w:t>Articolul 3</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Proiectarea de principiu a Platformei mRRF</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_Toc532893390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11</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91" w:history="1">
            <w:r w:rsidR="00165EC1" w:rsidRPr="00165EC1">
              <w:rPr>
                <w:rStyle w:val="Hyperlink"/>
                <w:rFonts w:asciiTheme="minorHAnsi" w:hAnsiTheme="minorHAnsi" w:cstheme="minorHAnsi"/>
                <w:b w:val="0"/>
                <w:bCs/>
                <w:lang w:val="ro"/>
              </w:rPr>
              <w:t>Articolul 4</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_Toc532893391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14</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92" w:history="1">
            <w:r w:rsidR="00165EC1" w:rsidRPr="00165EC1">
              <w:rPr>
                <w:rStyle w:val="Hyperlink"/>
                <w:rFonts w:asciiTheme="minorHAnsi" w:hAnsiTheme="minorHAnsi" w:cstheme="minorHAnsi"/>
                <w:b w:val="0"/>
                <w:bCs/>
                <w:lang w:val="ro"/>
              </w:rPr>
              <w:t>Calcularea limitelor capacității transfrontaliere mRRF ca date de intrare în algoritmul de optimizare</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_Toc532893392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14</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93" w:history="1">
            <w:r w:rsidR="00165EC1" w:rsidRPr="00165EC1">
              <w:rPr>
                <w:rStyle w:val="Hyperlink"/>
                <w:rFonts w:asciiTheme="minorHAnsi" w:hAnsiTheme="minorHAnsi" w:cstheme="minorHAnsi"/>
                <w:b w:val="0"/>
                <w:bCs/>
                <w:lang w:val="ro"/>
              </w:rPr>
              <w:t>Articolul 5</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Foaia de parcurs și calendarul de punere în aplicare a Platformei mRRF</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_Toc532893393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16</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94" w:history="1">
            <w:r w:rsidR="00165EC1" w:rsidRPr="00165EC1">
              <w:rPr>
                <w:rStyle w:val="Hyperlink"/>
                <w:rFonts w:asciiTheme="minorHAnsi" w:hAnsiTheme="minorHAnsi" w:cstheme="minorHAnsi"/>
                <w:b w:val="0"/>
                <w:bCs/>
                <w:lang w:val="ro"/>
              </w:rPr>
              <w:t>Articolul 6</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Funcțiile Platformei mRRF</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_Toc532893394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17</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95" w:history="1">
            <w:r w:rsidR="00165EC1" w:rsidRPr="00165EC1">
              <w:rPr>
                <w:rStyle w:val="Hyperlink"/>
                <w:rFonts w:asciiTheme="minorHAnsi" w:hAnsiTheme="minorHAnsi" w:cstheme="minorHAnsi"/>
                <w:b w:val="0"/>
                <w:bCs/>
                <w:lang w:val="ro"/>
              </w:rPr>
              <w:t>Articolul 7</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Definiția produsului de energie de echilibrare mRRF</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_Toc532893395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17</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96" w:history="1">
            <w:r w:rsidR="00165EC1" w:rsidRPr="00165EC1">
              <w:rPr>
                <w:rStyle w:val="Hyperlink"/>
                <w:rFonts w:asciiTheme="minorHAnsi" w:hAnsiTheme="minorHAnsi" w:cstheme="minorHAnsi"/>
                <w:b w:val="0"/>
                <w:bCs/>
                <w:lang w:val="ro"/>
              </w:rPr>
              <w:t>Articolul 8</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Orele de deschidere și de închidere a porții pentru energia de echilibrare pentru ofertele de produs standard de energie de echilibrare mRRF</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_Toc532893396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19</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97" w:history="1">
            <w:r w:rsidR="00165EC1" w:rsidRPr="00165EC1">
              <w:rPr>
                <w:rStyle w:val="Hyperlink"/>
                <w:rFonts w:asciiTheme="minorHAnsi" w:hAnsiTheme="minorHAnsi" w:cstheme="minorHAnsi"/>
                <w:b w:val="0"/>
                <w:bCs/>
                <w:lang w:val="ro"/>
              </w:rPr>
              <w:t>Articolul 9</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Ora de închidere a porții pentru transmiterea ofertelor de energie de către OTS pentru ofertele de produs standard de energie de echilibrare mRRF</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_Toc532893397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19</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98" w:history="1">
            <w:r w:rsidR="00165EC1" w:rsidRPr="00165EC1">
              <w:rPr>
                <w:rStyle w:val="Hyperlink"/>
                <w:rFonts w:asciiTheme="minorHAnsi" w:hAnsiTheme="minorHAnsi" w:cstheme="minorHAnsi"/>
                <w:b w:val="0"/>
                <w:bCs/>
                <w:lang w:val="ro"/>
              </w:rPr>
              <w:t>Articolul 10</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Listele cu ordine de merit comune care urmează a fi organizate de funcția de optimizare a activării</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_Toc532893398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19</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399" w:history="1">
            <w:r w:rsidR="00165EC1" w:rsidRPr="00165EC1">
              <w:rPr>
                <w:rStyle w:val="Hyperlink"/>
                <w:rFonts w:asciiTheme="minorHAnsi" w:hAnsiTheme="minorHAnsi" w:cstheme="minorHAnsi"/>
                <w:b w:val="0"/>
                <w:bCs/>
                <w:lang w:val="ro"/>
              </w:rPr>
              <w:t>Articolul 11</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Descrierea algoritmului de optimizare</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_Toc532893399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20</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400" w:history="1">
            <w:r w:rsidR="00165EC1" w:rsidRPr="00165EC1">
              <w:rPr>
                <w:rStyle w:val="Hyperlink"/>
                <w:rFonts w:asciiTheme="minorHAnsi" w:hAnsiTheme="minorHAnsi" w:cstheme="minorHAnsi"/>
                <w:b w:val="0"/>
                <w:bCs/>
                <w:lang w:val="ro"/>
              </w:rPr>
              <w:t>Articolul 12</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Propunerea unei entități</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_Toc532893400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22</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401" w:history="1">
            <w:r w:rsidR="00165EC1" w:rsidRPr="00165EC1">
              <w:rPr>
                <w:rStyle w:val="Hyperlink"/>
                <w:rFonts w:asciiTheme="minorHAnsi" w:hAnsiTheme="minorHAnsi" w:cstheme="minorHAnsi"/>
                <w:b w:val="0"/>
                <w:bCs/>
                <w:lang w:val="ro"/>
              </w:rPr>
              <w:t>Articolul 13</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Guvernanță</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_Toc532893401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22</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402" w:history="1">
            <w:r w:rsidR="00165EC1" w:rsidRPr="00165EC1">
              <w:rPr>
                <w:rStyle w:val="Hyperlink"/>
                <w:rFonts w:asciiTheme="minorHAnsi" w:hAnsiTheme="minorHAnsi" w:cstheme="minorHAnsi"/>
                <w:b w:val="0"/>
                <w:bCs/>
                <w:lang w:val="ro"/>
              </w:rPr>
              <w:t>Articolul 14</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Procesul decizional</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_Toc532893402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23</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403" w:history="1">
            <w:r w:rsidR="00165EC1" w:rsidRPr="00165EC1">
              <w:rPr>
                <w:rStyle w:val="Hyperlink"/>
                <w:rFonts w:asciiTheme="minorHAnsi" w:hAnsiTheme="minorHAnsi" w:cstheme="minorHAnsi"/>
                <w:b w:val="0"/>
                <w:bCs/>
                <w:lang w:val="ro"/>
              </w:rPr>
              <w:t>Articolul 15</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Categorisirea costurilor și principiilor detaliate pentru repartizarea costurilor comune și regionale</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_Toc532893403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24</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404" w:history="1">
            <w:r w:rsidR="00165EC1" w:rsidRPr="00165EC1">
              <w:rPr>
                <w:rStyle w:val="Hyperlink"/>
                <w:rFonts w:asciiTheme="minorHAnsi" w:hAnsiTheme="minorHAnsi" w:cstheme="minorHAnsi"/>
                <w:b w:val="0"/>
                <w:bCs/>
                <w:lang w:val="ro"/>
              </w:rPr>
              <w:t>Articolul 16</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Cadrul de armonizare a termenelor și condițiilor privitoare la Platforma mRRF</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_Toc532893404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27</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405" w:history="1">
            <w:r w:rsidR="00165EC1" w:rsidRPr="00165EC1">
              <w:rPr>
                <w:rStyle w:val="Hyperlink"/>
                <w:rFonts w:asciiTheme="minorHAnsi" w:hAnsiTheme="minorHAnsi" w:cstheme="minorHAnsi"/>
                <w:b w:val="0"/>
                <w:bCs/>
                <w:lang w:val="ro"/>
              </w:rPr>
              <w:t>Articolul 17</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Publicarea și implementarea prezentei mRRF-IF</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_Toc532893405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27</w:t>
            </w:r>
            <w:r w:rsidR="00165EC1" w:rsidRPr="00165EC1">
              <w:rPr>
                <w:rFonts w:asciiTheme="minorHAnsi" w:hAnsiTheme="minorHAnsi" w:cstheme="minorHAnsi"/>
                <w:b w:val="0"/>
                <w:webHidden/>
              </w:rPr>
              <w:fldChar w:fldCharType="end"/>
            </w:r>
          </w:hyperlink>
        </w:p>
        <w:p w:rsidR="00165EC1" w:rsidRPr="00165EC1" w:rsidRDefault="00824D7D">
          <w:pPr>
            <w:pStyle w:val="TOC2"/>
            <w:rPr>
              <w:rFonts w:asciiTheme="minorHAnsi" w:eastAsiaTheme="minorEastAsia" w:hAnsiTheme="minorHAnsi" w:cstheme="minorHAnsi"/>
              <w:b w:val="0"/>
              <w:szCs w:val="22"/>
              <w:lang w:val="en-US"/>
            </w:rPr>
          </w:pPr>
          <w:hyperlink w:anchor="_Toc532893406" w:history="1">
            <w:r w:rsidR="00165EC1" w:rsidRPr="00165EC1">
              <w:rPr>
                <w:rStyle w:val="Hyperlink"/>
                <w:rFonts w:asciiTheme="minorHAnsi" w:hAnsiTheme="minorHAnsi" w:cstheme="minorHAnsi"/>
                <w:b w:val="0"/>
                <w:bCs/>
                <w:lang w:val="ro"/>
              </w:rPr>
              <w:t>Articolul 18</w:t>
            </w:r>
            <w:r w:rsidR="00165EC1" w:rsidRPr="00165EC1">
              <w:rPr>
                <w:rStyle w:val="Hyperlink"/>
                <w:rFonts w:asciiTheme="minorHAnsi" w:hAnsiTheme="minorHAnsi" w:cstheme="minorHAnsi"/>
                <w:b w:val="0"/>
                <w:lang w:val="ro"/>
              </w:rPr>
              <w:t xml:space="preserve"> </w:t>
            </w:r>
            <w:r w:rsidR="00165EC1" w:rsidRPr="00165EC1">
              <w:rPr>
                <w:rStyle w:val="Hyperlink"/>
                <w:rFonts w:asciiTheme="minorHAnsi" w:hAnsiTheme="minorHAnsi" w:cstheme="minorHAnsi"/>
                <w:b w:val="0"/>
                <w:bCs/>
                <w:lang w:val="ro"/>
              </w:rPr>
              <w:t>Limba</w:t>
            </w:r>
            <w:r w:rsidR="00165EC1" w:rsidRPr="00165EC1">
              <w:rPr>
                <w:rFonts w:asciiTheme="minorHAnsi" w:hAnsiTheme="minorHAnsi" w:cstheme="minorHAnsi"/>
                <w:b w:val="0"/>
                <w:webHidden/>
              </w:rPr>
              <w:tab/>
            </w:r>
            <w:r w:rsidR="00165EC1" w:rsidRPr="00165EC1">
              <w:rPr>
                <w:rFonts w:asciiTheme="minorHAnsi" w:hAnsiTheme="minorHAnsi" w:cstheme="minorHAnsi"/>
                <w:b w:val="0"/>
                <w:webHidden/>
              </w:rPr>
              <w:fldChar w:fldCharType="begin"/>
            </w:r>
            <w:r w:rsidR="00165EC1" w:rsidRPr="00165EC1">
              <w:rPr>
                <w:rFonts w:asciiTheme="minorHAnsi" w:hAnsiTheme="minorHAnsi" w:cstheme="minorHAnsi"/>
                <w:b w:val="0"/>
                <w:webHidden/>
              </w:rPr>
              <w:instrText xml:space="preserve"> PAGEREF _Toc532893406 \h </w:instrText>
            </w:r>
            <w:r w:rsidR="00165EC1" w:rsidRPr="00165EC1">
              <w:rPr>
                <w:rFonts w:asciiTheme="minorHAnsi" w:hAnsiTheme="minorHAnsi" w:cstheme="minorHAnsi"/>
                <w:b w:val="0"/>
                <w:webHidden/>
              </w:rPr>
            </w:r>
            <w:r w:rsidR="00165EC1" w:rsidRPr="00165EC1">
              <w:rPr>
                <w:rFonts w:asciiTheme="minorHAnsi" w:hAnsiTheme="minorHAnsi" w:cstheme="minorHAnsi"/>
                <w:b w:val="0"/>
                <w:webHidden/>
              </w:rPr>
              <w:fldChar w:fldCharType="separate"/>
            </w:r>
            <w:r w:rsidR="00165EC1" w:rsidRPr="00165EC1">
              <w:rPr>
                <w:rFonts w:asciiTheme="minorHAnsi" w:hAnsiTheme="minorHAnsi" w:cstheme="minorHAnsi"/>
                <w:b w:val="0"/>
                <w:webHidden/>
              </w:rPr>
              <w:t>27</w:t>
            </w:r>
            <w:r w:rsidR="00165EC1" w:rsidRPr="00165EC1">
              <w:rPr>
                <w:rFonts w:asciiTheme="minorHAnsi" w:hAnsiTheme="minorHAnsi" w:cstheme="minorHAnsi"/>
                <w:b w:val="0"/>
                <w:webHidden/>
              </w:rPr>
              <w:fldChar w:fldCharType="end"/>
            </w:r>
          </w:hyperlink>
        </w:p>
        <w:p w:rsidR="00A121C1" w:rsidRPr="00EA1332" w:rsidRDefault="00A121C1" w:rsidP="00890148">
          <w:pPr>
            <w:pStyle w:val="TOC1"/>
            <w:spacing w:line="259" w:lineRule="auto"/>
            <w:rPr>
              <w:noProof/>
            </w:rPr>
          </w:pPr>
          <w:r w:rsidRPr="00165EC1">
            <w:rPr>
              <w:rStyle w:val="Hyperlink"/>
              <w:rFonts w:asciiTheme="minorHAnsi" w:hAnsiTheme="minorHAnsi" w:cstheme="minorHAnsi"/>
            </w:rPr>
            <w:fldChar w:fldCharType="end"/>
          </w:r>
        </w:p>
      </w:sdtContent>
    </w:sdt>
    <w:p w:rsidR="00C13EF7" w:rsidRDefault="00A121C1">
      <w:pPr>
        <w:rPr>
          <w:rFonts w:asciiTheme="minorHAnsi" w:hAnsiTheme="minorHAnsi" w:cstheme="minorHAnsi"/>
          <w:szCs w:val="22"/>
        </w:rPr>
      </w:pPr>
      <w:r>
        <w:rPr>
          <w:rFonts w:ascii="Times New Roman" w:hAnsi="Times New Roman"/>
          <w:szCs w:val="22"/>
          <w:lang w:val="ro"/>
        </w:rPr>
        <w:br w:type="page"/>
      </w:r>
    </w:p>
    <w:p w:rsidR="004F245D" w:rsidRPr="00BE1E80" w:rsidRDefault="00010D39" w:rsidP="004F245D">
      <w:pPr>
        <w:ind w:hanging="426"/>
        <w:rPr>
          <w:rFonts w:asciiTheme="minorHAnsi" w:hAnsiTheme="minorHAnsi" w:cstheme="minorHAnsi"/>
          <w:b/>
        </w:rPr>
      </w:pPr>
      <w:r>
        <w:rPr>
          <w:rFonts w:asciiTheme="minorHAnsi" w:hAnsiTheme="minorHAnsi" w:cstheme="minorHAnsi"/>
          <w:b/>
          <w:bCs/>
          <w:lang w:val="ro"/>
        </w:rPr>
        <w:lastRenderedPageBreak/>
        <w:t>TOATE OTS-URILE, AVÂND ÎN VEDERE URMĂTORUL:</w:t>
      </w:r>
    </w:p>
    <w:p w:rsidR="004F245D" w:rsidRPr="00362616" w:rsidRDefault="004F245D" w:rsidP="004F245D">
      <w:pPr>
        <w:spacing w:before="400" w:after="120" w:line="340" w:lineRule="exact"/>
        <w:jc w:val="center"/>
        <w:outlineLvl w:val="0"/>
        <w:rPr>
          <w:rFonts w:asciiTheme="minorHAnsi" w:hAnsiTheme="minorHAnsi" w:cstheme="minorHAnsi"/>
          <w:b/>
          <w:color w:val="23236E"/>
          <w:sz w:val="24"/>
          <w:szCs w:val="28"/>
        </w:rPr>
      </w:pPr>
      <w:bookmarkStart w:id="2" w:name="_Toc432586767"/>
      <w:bookmarkStart w:id="3" w:name="_Toc432586787"/>
      <w:bookmarkStart w:id="4" w:name="_Toc445298912"/>
      <w:bookmarkStart w:id="5" w:name="_Toc445299174"/>
      <w:bookmarkStart w:id="6" w:name="_Toc445825430"/>
      <w:bookmarkStart w:id="7" w:name="_Toc509331486"/>
      <w:bookmarkStart w:id="8" w:name="_Toc531122439"/>
      <w:bookmarkStart w:id="9" w:name="_Toc531123793"/>
      <w:bookmarkStart w:id="10" w:name="_Toc532893386"/>
      <w:r>
        <w:rPr>
          <w:rFonts w:asciiTheme="minorHAnsi" w:hAnsiTheme="minorHAnsi" w:cstheme="minorHAnsi"/>
          <w:b/>
          <w:bCs/>
          <w:color w:val="23236E"/>
          <w:sz w:val="24"/>
          <w:szCs w:val="28"/>
          <w:lang w:val="ro"/>
        </w:rPr>
        <w:t>Preambul</w:t>
      </w:r>
      <w:bookmarkEnd w:id="2"/>
      <w:bookmarkEnd w:id="3"/>
      <w:bookmarkEnd w:id="4"/>
      <w:bookmarkEnd w:id="5"/>
      <w:bookmarkEnd w:id="6"/>
      <w:bookmarkEnd w:id="7"/>
      <w:bookmarkEnd w:id="8"/>
      <w:bookmarkEnd w:id="9"/>
      <w:bookmarkEnd w:id="10"/>
    </w:p>
    <w:p w:rsidR="00FF4B5A" w:rsidRPr="00362616" w:rsidRDefault="00FF4B5A" w:rsidP="00FC69DE">
      <w:pPr>
        <w:pStyle w:val="Numbering"/>
        <w:numPr>
          <w:ilvl w:val="0"/>
          <w:numId w:val="55"/>
        </w:numPr>
        <w:rPr>
          <w:rFonts w:asciiTheme="minorHAnsi" w:hAnsiTheme="minorHAnsi" w:cstheme="minorHAnsi"/>
        </w:rPr>
      </w:pPr>
      <w:r>
        <w:rPr>
          <w:rFonts w:asciiTheme="minorHAnsi" w:hAnsiTheme="minorHAnsi"/>
          <w:lang w:val="ro"/>
        </w:rPr>
        <w:t xml:space="preserve">Prezentul document reprezintă o propunere comună elaborată de către toți Operatorii de Transport și de Sistem (numiți în continuare „OTS-uri”) pentru elaborarea unui </w:t>
      </w:r>
      <w:bookmarkStart w:id="11" w:name="_Hlk512505782"/>
      <w:r>
        <w:rPr>
          <w:rFonts w:asciiTheme="minorHAnsi" w:hAnsiTheme="minorHAnsi"/>
          <w:lang w:val="ro"/>
        </w:rPr>
        <w:t>cadru de punere în aplicare a unei Platforme europene pentru schimbul de energie de echilibrare din rezervele de restabilire a frecvenței cu activare manuală</w:t>
      </w:r>
      <w:bookmarkEnd w:id="11"/>
      <w:r>
        <w:rPr>
          <w:rFonts w:asciiTheme="minorHAnsi" w:hAnsiTheme="minorHAnsi"/>
          <w:lang w:val="ro"/>
        </w:rPr>
        <w:t xml:space="preserve"> (numită în continuare „</w:t>
      </w:r>
      <w:r>
        <w:rPr>
          <w:rFonts w:asciiTheme="minorHAnsi" w:hAnsiTheme="minorHAnsi"/>
          <w:b/>
          <w:bCs/>
          <w:lang w:val="ro"/>
        </w:rPr>
        <w:t>Platforma mRRF</w:t>
      </w:r>
      <w:r>
        <w:rPr>
          <w:rFonts w:asciiTheme="minorHAnsi" w:hAnsiTheme="minorHAnsi"/>
          <w:lang w:val="ro"/>
        </w:rPr>
        <w:t>”)</w:t>
      </w:r>
      <w:r>
        <w:rPr>
          <w:lang w:val="ro"/>
        </w:rPr>
        <w:t xml:space="preserve"> în temeiul articolului 20 (1) din Regulamentul (CE) 2017/2195 de stabilire a unei linii directoare privind echilibrarea sistemului de energie electrică (numit în continuare „</w:t>
      </w:r>
      <w:r>
        <w:rPr>
          <w:b/>
          <w:bCs/>
          <w:lang w:val="ro"/>
        </w:rPr>
        <w:t>EB GL</w:t>
      </w:r>
      <w:r>
        <w:rPr>
          <w:lang w:val="ro"/>
        </w:rPr>
        <w:t>”).</w:t>
      </w:r>
      <w:r>
        <w:rPr>
          <w:rFonts w:asciiTheme="minorHAnsi" w:hAnsiTheme="minorHAnsi"/>
          <w:lang w:val="ro"/>
        </w:rPr>
        <w:t xml:space="preserve"> Prezenta propunere este numită în continuare „</w:t>
      </w:r>
      <w:r>
        <w:rPr>
          <w:rFonts w:asciiTheme="minorHAnsi" w:hAnsiTheme="minorHAnsi"/>
          <w:b/>
          <w:bCs/>
          <w:lang w:val="ro"/>
        </w:rPr>
        <w:t>mRRF-IF</w:t>
      </w:r>
      <w:r>
        <w:rPr>
          <w:rFonts w:asciiTheme="minorHAnsi" w:hAnsiTheme="minorHAnsi"/>
          <w:lang w:val="ro"/>
        </w:rPr>
        <w:t>”.</w:t>
      </w:r>
    </w:p>
    <w:p w:rsidR="00D05609" w:rsidRPr="00362616" w:rsidRDefault="0061779E" w:rsidP="00FC69DE">
      <w:pPr>
        <w:pStyle w:val="Numbering"/>
        <w:numPr>
          <w:ilvl w:val="0"/>
          <w:numId w:val="55"/>
        </w:numPr>
        <w:rPr>
          <w:rFonts w:asciiTheme="minorHAnsi" w:hAnsiTheme="minorHAnsi" w:cstheme="minorHAnsi"/>
        </w:rPr>
      </w:pPr>
      <w:r>
        <w:rPr>
          <w:rFonts w:asciiTheme="minorHAnsi" w:hAnsiTheme="minorHAnsi" w:cstheme="minorHAnsi"/>
          <w:lang w:val="ro"/>
        </w:rPr>
        <w:t>Prezenta mRRF-IF ia în considerare principiile, obiectivele generale și celelalte metodologii stabilite prin EB GL, Regulamentul (CE) nr. 2017/1485 de stabilire a unei linii directoare privind operarea sistemului de transport al energiei electrice (numit în continuare „</w:t>
      </w:r>
      <w:r>
        <w:rPr>
          <w:rFonts w:asciiTheme="minorHAnsi" w:hAnsiTheme="minorHAnsi" w:cstheme="minorHAnsi"/>
          <w:b/>
          <w:bCs/>
          <w:lang w:val="ro"/>
        </w:rPr>
        <w:t>SO GL</w:t>
      </w:r>
      <w:r>
        <w:rPr>
          <w:rFonts w:asciiTheme="minorHAnsi" w:hAnsiTheme="minorHAnsi" w:cstheme="minorHAnsi"/>
          <w:lang w:val="ro"/>
        </w:rPr>
        <w:t>”), Regulamentul (CE) nr. 714/2009 al Parlamentul European și al Consiliului din 13 iulie 2009 privind condițiile de acces la rețea pentru schimburile transfrontaliere de energie electrică (numit în continuare „</w:t>
      </w:r>
      <w:r>
        <w:rPr>
          <w:rFonts w:asciiTheme="minorHAnsi" w:hAnsiTheme="minorHAnsi" w:cstheme="minorHAnsi"/>
          <w:b/>
          <w:bCs/>
          <w:lang w:val="ro"/>
        </w:rPr>
        <w:t>Regulamentul privind energia electrică</w:t>
      </w:r>
      <w:r>
        <w:rPr>
          <w:rFonts w:asciiTheme="minorHAnsi" w:hAnsiTheme="minorHAnsi" w:cstheme="minorHAnsi"/>
          <w:lang w:val="ro"/>
        </w:rPr>
        <w:t xml:space="preserve">”) precum și Regulamentul (CE) nr. 543/2013 din 14 iunie 2013 privind transmiterea și publicarea datelor pe piețele energiei electrice și de modificare a Anexei I la Regulamentul (CE) nr. 714/2009 al Parlamentului European și al Consiliului (numită în continuare </w:t>
      </w:r>
      <w:r>
        <w:rPr>
          <w:rFonts w:asciiTheme="minorHAnsi" w:hAnsiTheme="minorHAnsi" w:cstheme="minorHAnsi"/>
          <w:b/>
          <w:bCs/>
          <w:lang w:val="ro"/>
        </w:rPr>
        <w:t>„Regulamentul privind transparența”</w:t>
      </w:r>
      <w:r>
        <w:rPr>
          <w:rFonts w:asciiTheme="minorHAnsi" w:hAnsiTheme="minorHAnsi" w:cstheme="minorHAnsi"/>
          <w:lang w:val="ro"/>
        </w:rPr>
        <w:t>).</w:t>
      </w:r>
    </w:p>
    <w:p w:rsidR="004A3A8B" w:rsidRDefault="004F245D" w:rsidP="00FC69DE">
      <w:pPr>
        <w:pStyle w:val="Numbering"/>
        <w:numPr>
          <w:ilvl w:val="0"/>
          <w:numId w:val="55"/>
        </w:numPr>
        <w:rPr>
          <w:rFonts w:asciiTheme="minorHAnsi" w:hAnsiTheme="minorHAnsi" w:cstheme="minorHAnsi"/>
        </w:rPr>
      </w:pPr>
      <w:r>
        <w:rPr>
          <w:rFonts w:asciiTheme="minorHAnsi" w:hAnsiTheme="minorHAnsi"/>
          <w:lang w:val="ro"/>
        </w:rPr>
        <w:t xml:space="preserve">EB GL vizează integrarea piețelor de echilibrare a energiei electrice. </w:t>
      </w:r>
      <w:r>
        <w:rPr>
          <w:lang w:val="ro"/>
        </w:rPr>
        <w:t xml:space="preserve">Integrarea piețelor de echilibrare a energiei ar trebui să fie facilitată prin crearea unor platforme europene comune pentru realizarea schimbului de energie de echilibrare din rezervele de restabilire a frecvenței și din rezervele de înlocuire și pentru operarea procesului de compensare a dezechilibrelor. </w:t>
      </w:r>
      <w:r>
        <w:rPr>
          <w:rFonts w:asciiTheme="minorHAnsi" w:hAnsiTheme="minorHAnsi"/>
          <w:lang w:val="ro"/>
        </w:rPr>
        <w:t>Pentru a facilita acest obiectiv, este necesară elaborarea cadrelor de punere în aplicare pentru Platformele europene pentru schimbul de energie de echilibrare din rezervele de înlocuire, rezervele de restabilire a frecvenței cu activare manuală și automată și operarea procesului de compensare a dezechilibrelor. Articolele 20 (1) și 20 (2) din EB GL constituie baza legală pentru prezenta propunere.</w:t>
      </w:r>
    </w:p>
    <w:p w:rsidR="00CB4F4A" w:rsidRDefault="00CB4F4A" w:rsidP="00FC69DE">
      <w:pPr>
        <w:pStyle w:val="Numbering"/>
        <w:numPr>
          <w:ilvl w:val="0"/>
          <w:numId w:val="55"/>
        </w:numPr>
        <w:rPr>
          <w:rFonts w:asciiTheme="minorHAnsi" w:hAnsiTheme="minorHAnsi" w:cstheme="minorHAnsi"/>
        </w:rPr>
      </w:pPr>
      <w:r>
        <w:rPr>
          <w:rFonts w:asciiTheme="minorHAnsi" w:hAnsiTheme="minorHAnsi" w:cstheme="minorHAnsi"/>
          <w:lang w:val="ro"/>
        </w:rPr>
        <w:t>Prezenta mRRF-IF prezintă structura, cerințele funcționale, guvernanța și repartizarea costurilor aferente Platformei mRRF, care trebuie să fie capabilă să efectueze, printre altele, funcția de optimizare a activării conform prevederilor articolului 20 din EB GL. Prezenta mRRF-IF ia act de prevederile enumerate în expunerile de motive de la 5 la 8 din EB GL.</w:t>
      </w:r>
    </w:p>
    <w:p w:rsidR="00902FEE" w:rsidRDefault="00902FEE" w:rsidP="00FC69DE">
      <w:pPr>
        <w:pStyle w:val="Numbering"/>
        <w:numPr>
          <w:ilvl w:val="0"/>
          <w:numId w:val="55"/>
        </w:numPr>
        <w:rPr>
          <w:rFonts w:asciiTheme="minorHAnsi" w:hAnsiTheme="minorHAnsi" w:cstheme="minorHAnsi"/>
        </w:rPr>
      </w:pPr>
      <w:r>
        <w:rPr>
          <w:rFonts w:asciiTheme="minorHAnsi" w:hAnsiTheme="minorHAnsi" w:cstheme="minorHAnsi"/>
          <w:lang w:val="ro"/>
        </w:rPr>
        <w:t xml:space="preserve">Articolul 3 (42) din SO GL definește procesul de restabilire a frecvenței ca </w:t>
      </w:r>
      <w:r>
        <w:rPr>
          <w:rFonts w:asciiTheme="minorHAnsi" w:hAnsiTheme="minorHAnsi" w:cstheme="minorHAnsi"/>
          <w:i/>
          <w:iCs/>
          <w:lang w:val="ro"/>
        </w:rPr>
        <w:t>un proces care vizează readucerea frecvenței la frecvența nominală a rețelei și, în zonele sincrone cuprinzând mai mult de o zonă RFP, procesul care vizează restabilirea echilibrului de putere la valoarea programată.</w:t>
      </w:r>
      <w:r>
        <w:rPr>
          <w:rFonts w:asciiTheme="minorHAnsi" w:hAnsiTheme="minorHAnsi" w:cstheme="minorHAnsi"/>
          <w:lang w:val="ro"/>
        </w:rPr>
        <w:t xml:space="preserve"> </w:t>
      </w:r>
    </w:p>
    <w:p w:rsidR="00902FEE" w:rsidRDefault="00902FEE" w:rsidP="00FC69DE">
      <w:pPr>
        <w:pStyle w:val="Numbering"/>
        <w:numPr>
          <w:ilvl w:val="0"/>
          <w:numId w:val="55"/>
        </w:numPr>
      </w:pPr>
      <w:r>
        <w:rPr>
          <w:lang w:val="ro"/>
        </w:rPr>
        <w:t xml:space="preserve">Articolul 145 (5) din SO GL prevede că mPRF se operează prin instrucțiunile de activare manuală a RRF în vederea îndeplinirii obiectivului de reglaj în conformitate cu articolul 143 (1) din SO GL. </w:t>
      </w:r>
    </w:p>
    <w:p w:rsidR="00902FEE" w:rsidRPr="005A4F81" w:rsidRDefault="00902FEE" w:rsidP="00FC69DE">
      <w:pPr>
        <w:pStyle w:val="Numbering"/>
        <w:numPr>
          <w:ilvl w:val="0"/>
          <w:numId w:val="55"/>
        </w:numPr>
      </w:pPr>
      <w:r>
        <w:rPr>
          <w:lang w:val="ro"/>
        </w:rPr>
        <w:t xml:space="preserve">Articolul 145 (3) din SO GL precizează în continuare că </w:t>
      </w:r>
      <w:r>
        <w:rPr>
          <w:i/>
          <w:iCs/>
          <w:lang w:val="ro"/>
        </w:rPr>
        <w:t>în cazul în care o zonă RFP este formată din mai mult de o zonă de monitorizare, toate OTS-urile din zona RFP stabilesc o procedură pentru implementarea unui mPRF în acordul operațional de zonă RFP. În cazul în care un bloc RFP este format din mai mult de o zonă RFP, toate OTS-urile din zonele RFP stabilesc o procedură pentru implementarea unui mPRF în acordul operațional în blocul RFP.</w:t>
      </w:r>
      <w:r>
        <w:rPr>
          <w:lang w:val="ro"/>
        </w:rPr>
        <w:t xml:space="preserve"> </w:t>
      </w:r>
    </w:p>
    <w:p w:rsidR="00BC227C" w:rsidRDefault="00BC227C" w:rsidP="00FC69DE">
      <w:pPr>
        <w:pStyle w:val="Numbering"/>
        <w:numPr>
          <w:ilvl w:val="0"/>
          <w:numId w:val="55"/>
        </w:numPr>
        <w:rPr>
          <w:rFonts w:asciiTheme="minorHAnsi" w:hAnsiTheme="minorHAnsi" w:cstheme="minorHAnsi"/>
        </w:rPr>
      </w:pPr>
      <w:r>
        <w:rPr>
          <w:rFonts w:asciiTheme="minorHAnsi" w:hAnsiTheme="minorHAnsi" w:cstheme="minorHAnsi"/>
          <w:lang w:val="ro"/>
        </w:rPr>
        <w:t xml:space="preserve">Articolul 20 (1) din EB GL stabilește termenul-limită pentru transmiterea prezentei mRRF-IF: </w:t>
      </w:r>
      <w:r>
        <w:rPr>
          <w:rFonts w:asciiTheme="minorHAnsi" w:hAnsiTheme="minorHAnsi" w:cstheme="minorHAnsi"/>
          <w:i/>
          <w:iCs/>
          <w:lang w:val="ro"/>
        </w:rPr>
        <w:t xml:space="preserve">în termen de un an de la intrarea în vigoare a EB GL, toate OTS-urile elaborează o propunere privind </w:t>
      </w:r>
      <w:r>
        <w:rPr>
          <w:rFonts w:asciiTheme="minorHAnsi" w:hAnsiTheme="minorHAnsi" w:cstheme="minorHAnsi"/>
          <w:i/>
          <w:iCs/>
          <w:lang w:val="ro"/>
        </w:rPr>
        <w:lastRenderedPageBreak/>
        <w:t xml:space="preserve">cadrul de punere în aplicare a Platformei mRRF. </w:t>
      </w:r>
      <w:r>
        <w:rPr>
          <w:rFonts w:asciiTheme="minorHAnsi" w:hAnsiTheme="minorHAnsi" w:cstheme="minorHAnsi"/>
          <w:lang w:val="ro"/>
        </w:rPr>
        <w:t xml:space="preserve">Cerința prezentului articol este satisfăcută la data transmiterii prezentei mRRF-IF către toate ANR-urile.  </w:t>
      </w:r>
    </w:p>
    <w:p w:rsidR="00890148" w:rsidRDefault="00BC227C" w:rsidP="00FC69DE">
      <w:pPr>
        <w:pStyle w:val="Numbering"/>
        <w:numPr>
          <w:ilvl w:val="0"/>
          <w:numId w:val="55"/>
        </w:numPr>
      </w:pPr>
      <w:r>
        <w:rPr>
          <w:rFonts w:asciiTheme="minorHAnsi" w:hAnsiTheme="minorHAnsi" w:cstheme="minorHAnsi"/>
          <w:lang w:val="ro"/>
        </w:rPr>
        <w:t xml:space="preserve">Articolul 20 (2) din EB GL prevede că </w:t>
      </w:r>
      <w:r>
        <w:rPr>
          <w:rFonts w:asciiTheme="minorHAnsi" w:hAnsiTheme="minorHAnsi" w:cstheme="minorHAnsi"/>
          <w:i/>
          <w:iCs/>
          <w:lang w:val="ro"/>
        </w:rPr>
        <w:t xml:space="preserve">Platforma mRRF, operată de OTS-uri sau prin intermediul unei entități create de OTS-uri însele, se bazează pe principii comune de guvernanță și pe procese operaționale comune și este constituită cel puțin din funcția de optimizare a activării și din funcția de decontare OTS-OTS. </w:t>
      </w:r>
      <w:r>
        <w:rPr>
          <w:rFonts w:asciiTheme="minorHAnsi" w:hAnsiTheme="minorHAnsi" w:cstheme="minorHAnsi"/>
          <w:lang w:val="ro"/>
        </w:rPr>
        <w:t>Prezenta mRRF-IF îndeplinește aceste cerințe prin definirea unui proces operațional comun al modelului OTS-OTS la articolul 3 din prezenta mRRF-IF, precum și a unei funcții de optimizare a activării și funcției de decontare OTS-OTS la articolul 6 din prezenta mRRF-IF. Principiile comune de guvernanță sunt stabilite la articolul 13 din prezenta mRRF-IF.</w:t>
      </w:r>
    </w:p>
    <w:p w:rsidR="00832677" w:rsidRPr="00890148" w:rsidRDefault="00832677" w:rsidP="00FC69DE">
      <w:pPr>
        <w:pStyle w:val="Numbering"/>
        <w:numPr>
          <w:ilvl w:val="0"/>
          <w:numId w:val="55"/>
        </w:numPr>
        <w:ind w:left="426" w:hanging="426"/>
      </w:pPr>
      <w:r>
        <w:rPr>
          <w:rFonts w:asciiTheme="minorHAnsi" w:hAnsiTheme="minorHAnsi"/>
          <w:lang w:val="ro"/>
        </w:rPr>
        <w:t xml:space="preserve">Articolul 20 (2) din EB GL stabilește că </w:t>
      </w:r>
      <w:r>
        <w:rPr>
          <w:rFonts w:asciiTheme="minorHAnsi" w:hAnsiTheme="minorHAnsi"/>
          <w:i/>
          <w:iCs/>
          <w:lang w:val="ro"/>
        </w:rPr>
        <w:t>această Platformă europeană aplică un model OTS-OTS multilateral, cu liste cu ordine de merit comune, pentru a face schimb cu toate ofertele de energie de echilibrare din toate produsele standard pentru rezervele de restabilire a frecvenței cu activare manuală, cu excepția ofertelor indisponibile în temeiul articolului 29 (14).</w:t>
      </w:r>
      <w:r>
        <w:rPr>
          <w:lang w:val="ro"/>
        </w:rPr>
        <w:t xml:space="preserve"> </w:t>
      </w:r>
      <w:r>
        <w:rPr>
          <w:rFonts w:asciiTheme="minorHAnsi" w:hAnsiTheme="minorHAnsi"/>
          <w:lang w:val="ro"/>
        </w:rPr>
        <w:t>Aceste liste cu ordine de merit comune sunt definite la articolul 10 din prezenta mRRF-IF și includ doar ofertele de cumpărare și de vânzare disponibile. Posibilitatea de a marca ofertele de cumpărare și de vânzare ca indisponibile este definită la articolul 9 (2) din prezenta mRRF-IF.</w:t>
      </w:r>
    </w:p>
    <w:p w:rsidR="00BC227C" w:rsidRPr="00AA2484" w:rsidRDefault="00832677" w:rsidP="00FC69DE">
      <w:pPr>
        <w:numPr>
          <w:ilvl w:val="0"/>
          <w:numId w:val="55"/>
        </w:numPr>
        <w:spacing w:after="120"/>
        <w:ind w:left="426" w:hanging="426"/>
        <w:jc w:val="both"/>
        <w:rPr>
          <w:rFonts w:asciiTheme="minorHAnsi" w:hAnsiTheme="minorHAnsi" w:cstheme="minorHAnsi"/>
          <w:szCs w:val="22"/>
        </w:rPr>
      </w:pPr>
      <w:r>
        <w:rPr>
          <w:rFonts w:asciiTheme="minorHAnsi" w:hAnsiTheme="minorHAnsi" w:cstheme="minorHAnsi"/>
          <w:szCs w:val="22"/>
          <w:lang w:val="ro"/>
        </w:rPr>
        <w:t>Articolul 20 (3) din EB GL definește cerințe specifice ulterioare cu privire la conținutul mRRF-IF.</w:t>
      </w:r>
    </w:p>
    <w:p w:rsidR="00BC227C" w:rsidRPr="00362616" w:rsidRDefault="000F72D3" w:rsidP="00BC227C">
      <w:pPr>
        <w:spacing w:after="120"/>
        <w:ind w:left="993"/>
        <w:jc w:val="both"/>
        <w:rPr>
          <w:rFonts w:asciiTheme="minorHAnsi" w:hAnsiTheme="minorHAnsi" w:cstheme="minorHAnsi"/>
          <w:i/>
          <w:szCs w:val="22"/>
        </w:rPr>
      </w:pPr>
      <w:r>
        <w:rPr>
          <w:rFonts w:asciiTheme="minorHAnsi" w:hAnsiTheme="minorHAnsi" w:cstheme="minorHAnsi"/>
          <w:i/>
          <w:iCs/>
          <w:szCs w:val="22"/>
          <w:lang w:val="ro"/>
        </w:rPr>
        <w:t xml:space="preserve"> Propunerea menționată la alineatul (1) include cel puțin: </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(a)</w:t>
      </w:r>
      <w:r>
        <w:rPr>
          <w:rFonts w:asciiTheme="minorHAnsi" w:hAnsiTheme="minorHAnsi" w:cstheme="minorHAnsi"/>
          <w:i/>
          <w:iCs/>
          <w:szCs w:val="22"/>
          <w:lang w:val="ro"/>
        </w:rPr>
        <w:tab/>
        <w:t>proiectarea de principiu a platformei europene;</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(b)</w:t>
      </w:r>
      <w:r>
        <w:rPr>
          <w:rFonts w:asciiTheme="minorHAnsi" w:hAnsiTheme="minorHAnsi" w:cstheme="minorHAnsi"/>
          <w:i/>
          <w:iCs/>
          <w:szCs w:val="22"/>
          <w:lang w:val="ro"/>
        </w:rPr>
        <w:tab/>
        <w:t>foaia de parcurs și calendarul de punere în aplicare a platformei europene;</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(c)</w:t>
      </w:r>
      <w:r>
        <w:rPr>
          <w:rFonts w:asciiTheme="minorHAnsi" w:hAnsiTheme="minorHAnsi" w:cstheme="minorHAnsi"/>
          <w:i/>
          <w:iCs/>
          <w:szCs w:val="22"/>
          <w:lang w:val="ro"/>
        </w:rPr>
        <w:tab/>
        <w:t>definirea funcțiilor necesare pentru funcționarea platformei europene;</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(d)</w:t>
      </w:r>
      <w:r>
        <w:rPr>
          <w:rFonts w:asciiTheme="minorHAnsi" w:hAnsiTheme="minorHAnsi" w:cstheme="minorHAnsi"/>
          <w:i/>
          <w:iCs/>
          <w:szCs w:val="22"/>
          <w:lang w:val="ro"/>
        </w:rPr>
        <w:tab/>
        <w:t>normele propuse privind guvernanța și funcționarea platformei europene, bazate pe principiul nediscriminării și al asigurării unui tratament echitabil pentru toate OTS-urile membre, precum și pe faptul că niciun OTS nu beneficiază de avantaje economice nejustificate ca urmare a participării sale la funcțiile platformei europene;</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(e)</w:t>
      </w:r>
      <w:r>
        <w:rPr>
          <w:rFonts w:asciiTheme="minorHAnsi" w:hAnsiTheme="minorHAnsi" w:cstheme="minorHAnsi"/>
          <w:i/>
          <w:iCs/>
          <w:szCs w:val="22"/>
          <w:lang w:val="ro"/>
        </w:rPr>
        <w:tab/>
        <w:t>propunerea de desemnare a entității sau a entităților care vor îndeplini funcțiile definite în propunere.</w:t>
      </w:r>
      <w:r>
        <w:rPr>
          <w:rFonts w:asciiTheme="minorHAnsi" w:hAnsiTheme="minorHAnsi" w:cstheme="minorHAnsi"/>
          <w:szCs w:val="22"/>
          <w:lang w:val="ro"/>
        </w:rPr>
        <w:t xml:space="preserve"> </w:t>
      </w:r>
      <w:r>
        <w:rPr>
          <w:rFonts w:asciiTheme="minorHAnsi" w:hAnsiTheme="minorHAnsi" w:cstheme="minorHAnsi"/>
          <w:i/>
          <w:iCs/>
          <w:szCs w:val="22"/>
          <w:lang w:val="ro"/>
        </w:rPr>
        <w:t>În cazul în care OTS-urile propun desemnarea mai multor entități, propunerea va demonstra și va asigura:</w:t>
      </w:r>
    </w:p>
    <w:p w:rsidR="00C21424" w:rsidRPr="00362616" w:rsidRDefault="00C21424" w:rsidP="00C21424">
      <w:pPr>
        <w:spacing w:after="120"/>
        <w:ind w:left="1560"/>
        <w:jc w:val="both"/>
        <w:rPr>
          <w:rFonts w:asciiTheme="minorHAnsi" w:hAnsiTheme="minorHAnsi" w:cstheme="minorHAnsi"/>
          <w:i/>
          <w:szCs w:val="22"/>
        </w:rPr>
      </w:pPr>
      <w:r>
        <w:rPr>
          <w:rFonts w:asciiTheme="minorHAnsi" w:hAnsiTheme="minorHAnsi" w:cstheme="minorHAnsi"/>
          <w:i/>
          <w:iCs/>
          <w:szCs w:val="22"/>
          <w:lang w:val="ro"/>
        </w:rPr>
        <w:t>(i)</w:t>
      </w:r>
      <w:r>
        <w:rPr>
          <w:rFonts w:asciiTheme="minorHAnsi" w:hAnsiTheme="minorHAnsi" w:cstheme="minorHAnsi"/>
          <w:i/>
          <w:iCs/>
          <w:szCs w:val="22"/>
          <w:lang w:val="ro"/>
        </w:rPr>
        <w:tab/>
        <w:t>alocarea coerentă a funcțiilor între entitățile care operează platforma europeană.</w:t>
      </w:r>
      <w:r>
        <w:rPr>
          <w:rFonts w:asciiTheme="minorHAnsi" w:hAnsiTheme="minorHAnsi" w:cstheme="minorHAnsi"/>
          <w:szCs w:val="22"/>
          <w:lang w:val="ro"/>
        </w:rPr>
        <w:t xml:space="preserve"> </w:t>
      </w:r>
      <w:r>
        <w:rPr>
          <w:rFonts w:asciiTheme="minorHAnsi" w:hAnsiTheme="minorHAnsi" w:cstheme="minorHAnsi"/>
          <w:i/>
          <w:iCs/>
          <w:szCs w:val="22"/>
          <w:lang w:val="ro"/>
        </w:rPr>
        <w:t>Propunerea va lua în considerare pe deplin nevoia de a coordona diferitele funcții alocate entităților care operează platforma europeană;</w:t>
      </w:r>
    </w:p>
    <w:p w:rsidR="00C21424" w:rsidRPr="00362616" w:rsidRDefault="00C21424" w:rsidP="00C21424">
      <w:pPr>
        <w:spacing w:after="120"/>
        <w:ind w:left="1560"/>
        <w:jc w:val="both"/>
        <w:rPr>
          <w:rFonts w:asciiTheme="minorHAnsi" w:hAnsiTheme="minorHAnsi" w:cstheme="minorHAnsi"/>
          <w:i/>
          <w:szCs w:val="22"/>
        </w:rPr>
      </w:pPr>
      <w:r>
        <w:rPr>
          <w:rFonts w:asciiTheme="minorHAnsi" w:hAnsiTheme="minorHAnsi" w:cstheme="minorHAnsi"/>
          <w:i/>
          <w:iCs/>
          <w:szCs w:val="22"/>
          <w:lang w:val="ro"/>
        </w:rPr>
        <w:t>(ii)</w:t>
      </w:r>
      <w:r>
        <w:rPr>
          <w:rFonts w:asciiTheme="minorHAnsi" w:hAnsiTheme="minorHAnsi" w:cstheme="minorHAnsi"/>
          <w:i/>
          <w:iCs/>
          <w:szCs w:val="22"/>
          <w:lang w:val="ro"/>
        </w:rPr>
        <w:tab/>
        <w:t>că structura propusă a platformei europene și alocarea funcțiilor asigură o guvernanță, o funcționare și o supraveghere reglementară eficace și eficiente ale platformei europene, sprijinind, de asemenea, obiectivele prezentului regulament;</w:t>
      </w:r>
    </w:p>
    <w:p w:rsidR="00C21424" w:rsidRPr="00362616" w:rsidRDefault="00C21424" w:rsidP="00C21424">
      <w:pPr>
        <w:spacing w:after="120"/>
        <w:ind w:left="1560"/>
        <w:jc w:val="both"/>
        <w:rPr>
          <w:rFonts w:asciiTheme="minorHAnsi" w:hAnsiTheme="minorHAnsi" w:cstheme="minorHAnsi"/>
          <w:i/>
          <w:szCs w:val="22"/>
        </w:rPr>
      </w:pPr>
      <w:r>
        <w:rPr>
          <w:rFonts w:asciiTheme="minorHAnsi" w:hAnsiTheme="minorHAnsi" w:cstheme="minorHAnsi"/>
          <w:i/>
          <w:iCs/>
          <w:szCs w:val="22"/>
          <w:lang w:val="ro"/>
        </w:rPr>
        <w:t>(iii)</w:t>
      </w:r>
      <w:r>
        <w:rPr>
          <w:rFonts w:asciiTheme="minorHAnsi" w:hAnsiTheme="minorHAnsi" w:cstheme="minorHAnsi"/>
          <w:i/>
          <w:iCs/>
          <w:szCs w:val="22"/>
          <w:lang w:val="ro"/>
        </w:rPr>
        <w:tab/>
        <w:t>un proces decizional și de coordonare eficace, care să aplaneze eventualele poziții conflictuale dintre entitățile care operează platforma europeană;</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(f)</w:t>
      </w:r>
      <w:r>
        <w:rPr>
          <w:rFonts w:asciiTheme="minorHAnsi" w:hAnsiTheme="minorHAnsi" w:cstheme="minorHAnsi"/>
          <w:i/>
          <w:iCs/>
          <w:szCs w:val="22"/>
          <w:lang w:val="ro"/>
        </w:rPr>
        <w:tab/>
        <w:t>cadrul de armonizare a clauzelor și a condițiilor în materie de echilibrare stabilite în temeiul articolului 18;</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(g)</w:t>
      </w:r>
      <w:r>
        <w:rPr>
          <w:rFonts w:asciiTheme="minorHAnsi" w:hAnsiTheme="minorHAnsi" w:cstheme="minorHAnsi"/>
          <w:i/>
          <w:iCs/>
          <w:szCs w:val="22"/>
          <w:lang w:val="ro"/>
        </w:rPr>
        <w:tab/>
        <w:t>principiile detaliate privind partajarea costurilor comune, inclusiv clasificarea detaliată a costurilor comune, în conformitate cu articolul 23;</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(h)</w:t>
      </w:r>
      <w:r>
        <w:rPr>
          <w:rFonts w:asciiTheme="minorHAnsi" w:hAnsiTheme="minorHAnsi" w:cstheme="minorHAnsi"/>
          <w:i/>
          <w:iCs/>
          <w:szCs w:val="22"/>
          <w:lang w:val="ro"/>
        </w:rPr>
        <w:tab/>
        <w:t>ora de închidere a porții pentru energia de echilibrare pentru toate produsele standard de rezerve pentru restabilirea frecvenței cu activare manuală, în conformitate cu articolul 24;</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lastRenderedPageBreak/>
        <w:t>(i)</w:t>
      </w:r>
      <w:r>
        <w:rPr>
          <w:rFonts w:asciiTheme="minorHAnsi" w:hAnsiTheme="minorHAnsi" w:cstheme="minorHAnsi"/>
          <w:i/>
          <w:iCs/>
          <w:szCs w:val="22"/>
          <w:lang w:val="ro"/>
        </w:rPr>
        <w:tab/>
        <w:t>definiția produselor standard de energie de echilibrare din rezervele pentru restabilirea frecvenței cu activare manuală, în conformitate cu articolul 25;</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(j)</w:t>
      </w:r>
      <w:r>
        <w:rPr>
          <w:rFonts w:asciiTheme="minorHAnsi" w:hAnsiTheme="minorHAnsi" w:cstheme="minorHAnsi"/>
          <w:i/>
          <w:iCs/>
          <w:szCs w:val="22"/>
          <w:lang w:val="ro"/>
        </w:rPr>
        <w:tab/>
        <w:t>ora de închidere a porții pentru transmiterea de oferte de energie de către OTS, în conformitate cu articolul 29 (13);</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(k)</w:t>
      </w:r>
      <w:r>
        <w:rPr>
          <w:rFonts w:asciiTheme="minorHAnsi" w:hAnsiTheme="minorHAnsi" w:cstheme="minorHAnsi"/>
          <w:i/>
          <w:iCs/>
          <w:szCs w:val="22"/>
          <w:lang w:val="ro"/>
        </w:rPr>
        <w:tab/>
        <w:t>listele cu ordine de merit comune care urmează a fi organizate de funcția comună de optimizare a activării, în temeiul articolului 31;</w:t>
      </w:r>
    </w:p>
    <w:p w:rsidR="00C21424" w:rsidRPr="00362616" w:rsidRDefault="00C21424" w:rsidP="00C21424">
      <w:pPr>
        <w:spacing w:after="120"/>
        <w:ind w:left="993"/>
        <w:jc w:val="both"/>
        <w:rPr>
          <w:rFonts w:asciiTheme="minorHAnsi" w:hAnsiTheme="minorHAnsi" w:cstheme="minorHAnsi"/>
          <w:i/>
          <w:szCs w:val="22"/>
        </w:rPr>
      </w:pPr>
      <w:r>
        <w:rPr>
          <w:rFonts w:asciiTheme="minorHAnsi" w:hAnsiTheme="minorHAnsi" w:cstheme="minorHAnsi"/>
          <w:i/>
          <w:iCs/>
          <w:szCs w:val="22"/>
          <w:lang w:val="ro"/>
        </w:rPr>
        <w:t>(l)</w:t>
      </w:r>
      <w:r>
        <w:rPr>
          <w:rFonts w:asciiTheme="minorHAnsi" w:hAnsiTheme="minorHAnsi" w:cstheme="minorHAnsi"/>
          <w:i/>
          <w:iCs/>
          <w:szCs w:val="22"/>
          <w:lang w:val="ro"/>
        </w:rPr>
        <w:tab/>
        <w:t>descrierea algoritmului de operare a funcției de optimizare a activării pentru ofertele de energie de echilibrare din toate produsele standard de rezerve pentru restabilirea frecvenței cu activare manuală, în conformitate cu articolul 58.”</w:t>
      </w:r>
    </w:p>
    <w:p w:rsidR="00BC227C" w:rsidRDefault="00BC227C" w:rsidP="00FC69DE">
      <w:pPr>
        <w:pStyle w:val="Numbering"/>
        <w:numPr>
          <w:ilvl w:val="0"/>
          <w:numId w:val="55"/>
        </w:numPr>
        <w:spacing w:line="257" w:lineRule="auto"/>
        <w:ind w:left="425" w:hanging="425"/>
      </w:pPr>
      <w:r>
        <w:rPr>
          <w:lang w:val="ro"/>
        </w:rPr>
        <w:t xml:space="preserve">Articolul 3 din prezenta mRRF-IF </w:t>
      </w:r>
      <w:r>
        <w:rPr>
          <w:rFonts w:asciiTheme="minorHAnsi" w:hAnsiTheme="minorHAnsi"/>
          <w:lang w:val="ro"/>
        </w:rPr>
        <w:t xml:space="preserve">stabilește cerințele specifice pentru propunere, </w:t>
      </w:r>
      <w:r>
        <w:rPr>
          <w:lang w:val="ro"/>
        </w:rPr>
        <w:t xml:space="preserve">abordează cerința de a aplica modelul OTS-OTS și definește proiectarea de principiu a Platformei mRRF prevăzută la articolul 20 (3) (a) din EB GL. Proiectarea de principiu include principiile de bază ale funcției de optimizare, inclusiv restricțiile. </w:t>
      </w:r>
    </w:p>
    <w:p w:rsidR="00C7603B" w:rsidRPr="00D47DCE" w:rsidRDefault="00544D15" w:rsidP="00FC69DE">
      <w:pPr>
        <w:pStyle w:val="Numbering"/>
        <w:numPr>
          <w:ilvl w:val="0"/>
          <w:numId w:val="55"/>
        </w:numPr>
        <w:ind w:left="426" w:hanging="426"/>
        <w:rPr>
          <w:rFonts w:asciiTheme="minorHAnsi" w:hAnsiTheme="minorHAnsi" w:cstheme="minorHAnsi"/>
        </w:rPr>
      </w:pPr>
      <w:r>
        <w:rPr>
          <w:lang w:val="ro"/>
        </w:rPr>
        <w:t>Articolul 4 din prezenta mRRF-IF definește cerințele specifice pentru calculul limitelor capacității transfrontaliere mRRF. Valoarea inițială a acestor limite este capacitatea de transport rămasă ulterior alocării pe piața intrazilnică. Această valoare va fi actualizată, adică scăzută sau crescută în funcție de, printre altele, rezerva de transfer de putere de înlocuire, acolo unde este cazul. OTS-urile propun utilizarea metodei bazate pe capacitatea netă de transfer. După elaborarea, aprobarea și implementarea metodologiei pentru calculul capacităților interzonale în intervalul de echilibrare în conformitate cu articolul 37 (3) din EB GL, valorile respective vor deveni valori inițiale. În plus, articolul 4 din prezenta mRRF-IF poate solicita o actualizare în cazul în care metodologia în conformitate cu articolul 37 (3) din EB GL afectează și procesul de actualizare sau introduce alte modificări metodei propuse.</w:t>
      </w:r>
    </w:p>
    <w:p w:rsidR="00890148" w:rsidRPr="00890148" w:rsidRDefault="00BC227C" w:rsidP="00FC69DE">
      <w:pPr>
        <w:pStyle w:val="Numbering"/>
        <w:numPr>
          <w:ilvl w:val="0"/>
          <w:numId w:val="55"/>
        </w:numPr>
        <w:ind w:left="426" w:hanging="426"/>
        <w:rPr>
          <w:rFonts w:asciiTheme="minorHAnsi" w:hAnsiTheme="minorHAnsi" w:cstheme="minorHAnsi"/>
          <w:szCs w:val="24"/>
        </w:rPr>
      </w:pPr>
      <w:r>
        <w:rPr>
          <w:lang w:val="ro"/>
        </w:rPr>
        <w:t xml:space="preserve">Articolul 20 (3) (b) din EB GL prevede o propunere pentru foaia de parcurs și calendarul pentru implementarea Platformei mRRF. Termenele-limită de punere în funcțiune a Platformei mRRF sunt definite în articolul 20 (6) din EB GL. Întrucât țările au puncte de pornire diferite în ceea ce privește termenele și condițiile privitoare la echilibrare, articolul 5 din prezenta mRRF-IF propune o metodă de proiect de implementare. </w:t>
      </w:r>
    </w:p>
    <w:p w:rsidR="00890148" w:rsidRPr="00890148" w:rsidRDefault="00D41A39" w:rsidP="00FC69DE">
      <w:pPr>
        <w:pStyle w:val="Numbering"/>
        <w:numPr>
          <w:ilvl w:val="0"/>
          <w:numId w:val="55"/>
        </w:numPr>
        <w:ind w:left="426" w:hanging="426"/>
        <w:rPr>
          <w:rFonts w:asciiTheme="minorHAnsi" w:hAnsiTheme="minorHAnsi" w:cstheme="minorHAnsi"/>
        </w:rPr>
      </w:pPr>
      <w:r>
        <w:rPr>
          <w:rFonts w:asciiTheme="minorHAnsi" w:hAnsiTheme="minorHAnsi" w:cstheme="minorHAnsi"/>
          <w:lang w:val="ro"/>
        </w:rPr>
        <w:t>Articolul 20 (3) (c) din EB GL prevede definirea funcțiilor necesare pentru funcționarea Platformei mRRF. Articolul 6 din prezenta mRRF-IF îndeplinește această cerință prin definirea funcției de optimizare a activării și a funcției de decontare OTS-OTS. Funcția de optimizare a activării ia în considerare, printre altele, cererile mRRF, listele cu ordine de merit comune și limitele capacității transfrontaliere mRRF ca date de intrare și determină cantitatea transferului de putere la restabilirea manuală a frecvenței între zonele RFP sau între zonele de ofertare, ceea ce va duce la activarea ofertelor eficiente din punct de vedere al costurilor. Funcția de decontare OTS-OTS implementează decontarea schimburilor planificate de energie dintre OTS-uri.</w:t>
      </w:r>
    </w:p>
    <w:p w:rsidR="00BC227C" w:rsidRPr="00890148" w:rsidRDefault="00D41A39" w:rsidP="00FC69DE">
      <w:pPr>
        <w:pStyle w:val="Numbering"/>
        <w:numPr>
          <w:ilvl w:val="0"/>
          <w:numId w:val="55"/>
        </w:numPr>
        <w:ind w:left="426" w:hanging="426"/>
        <w:rPr>
          <w:rFonts w:asciiTheme="minorHAnsi" w:hAnsiTheme="minorHAnsi" w:cstheme="minorHAnsi"/>
        </w:rPr>
      </w:pPr>
      <w:r>
        <w:rPr>
          <w:rFonts w:asciiTheme="minorHAnsi" w:hAnsiTheme="minorHAnsi" w:cstheme="minorHAnsi"/>
          <w:lang w:val="ro"/>
        </w:rPr>
        <w:t>Articolul 20 (3) (d) din EB GL prevede definirea unor reguli pentru guvernanță și funcționare a Platformei mRRF. Articolele 13 și 14 din prezenta mRRF-IF definesc guvernanța și procesul decizional. Un comitet director ia deciziile cu privire la Platforma mRRF în temeiul articolelor 14 (1) (a) și 14 (2) din prezenta mRRF-IF, în conformitate cu principiile procesului decizional bazate pe articolul 4 din EB GL.</w:t>
      </w:r>
    </w:p>
    <w:p w:rsidR="00BC227C" w:rsidRPr="00362616" w:rsidRDefault="00D41A39" w:rsidP="00FC69DE">
      <w:pPr>
        <w:pStyle w:val="Numbering"/>
        <w:numPr>
          <w:ilvl w:val="0"/>
          <w:numId w:val="55"/>
        </w:numPr>
        <w:ind w:left="426" w:hanging="426"/>
        <w:rPr>
          <w:rFonts w:asciiTheme="minorHAnsi" w:hAnsiTheme="minorHAnsi" w:cstheme="minorHAnsi"/>
        </w:rPr>
      </w:pPr>
      <w:r>
        <w:rPr>
          <w:rFonts w:asciiTheme="minorHAnsi" w:hAnsiTheme="minorHAnsi" w:cstheme="minorHAnsi"/>
          <w:lang w:val="ro"/>
        </w:rPr>
        <w:t>Articolul 20 (3) (e) din EB GL prevede propunerea entității sau entităților care vor opera funcțiile definite în conformitate cu articolul 20 (3) (c) din EB GL. Articolul 12 din prezenta mRRF-IF propune o entitate unică ce va opera atât funcția de optimizare a activării, cât și cea de decontare OTS-OTS.</w:t>
      </w:r>
    </w:p>
    <w:p w:rsidR="00BC227C" w:rsidRPr="00362616" w:rsidRDefault="00D41A39" w:rsidP="00FC69DE">
      <w:pPr>
        <w:pStyle w:val="Numbering"/>
        <w:numPr>
          <w:ilvl w:val="0"/>
          <w:numId w:val="55"/>
        </w:numPr>
        <w:ind w:left="426" w:hanging="426"/>
        <w:rPr>
          <w:rFonts w:asciiTheme="minorHAnsi" w:hAnsiTheme="minorHAnsi" w:cstheme="minorHAnsi"/>
        </w:rPr>
      </w:pPr>
      <w:r>
        <w:rPr>
          <w:rFonts w:asciiTheme="minorHAnsi" w:hAnsiTheme="minorHAnsi" w:cstheme="minorHAnsi"/>
          <w:lang w:val="ro"/>
        </w:rPr>
        <w:lastRenderedPageBreak/>
        <w:t>Articolul 20 (3) (f) din EB GL prevede că mRRF-IF trebuie să includă un cadru de armonizare a termenelor și condițiilor în materie de echilibrare. Articolul 16 din prezenta mRRF-IF propune un proces de identificare și consultare a opțiunilor de armonizare.</w:t>
      </w:r>
    </w:p>
    <w:p w:rsidR="00BC227C" w:rsidRPr="00362616" w:rsidRDefault="00D41A39" w:rsidP="00FC69DE">
      <w:pPr>
        <w:pStyle w:val="Numbering"/>
        <w:numPr>
          <w:ilvl w:val="0"/>
          <w:numId w:val="55"/>
        </w:numPr>
        <w:ind w:left="426" w:hanging="426"/>
        <w:rPr>
          <w:rFonts w:asciiTheme="minorHAnsi" w:hAnsiTheme="minorHAnsi" w:cstheme="minorHAnsi"/>
        </w:rPr>
      </w:pPr>
      <w:r>
        <w:rPr>
          <w:rFonts w:asciiTheme="minorHAnsi" w:hAnsiTheme="minorHAnsi" w:cstheme="minorHAnsi"/>
          <w:lang w:val="ro"/>
        </w:rPr>
        <w:t>Articolul 20 (3) (g) din EB GL impune principii detaliate pentru repartizarea costurilor comune, inclusiv o categorisire detaliată a costurilor comune. Articolul 15 din prezenta mRRF-IF prevede aceste principii și categorisirea.</w:t>
      </w:r>
    </w:p>
    <w:p w:rsidR="00BC227C" w:rsidRPr="00832677" w:rsidRDefault="00BC227C" w:rsidP="00FC69DE">
      <w:pPr>
        <w:pStyle w:val="Numbering"/>
        <w:numPr>
          <w:ilvl w:val="0"/>
          <w:numId w:val="55"/>
        </w:numPr>
        <w:ind w:left="426" w:hanging="426"/>
        <w:rPr>
          <w:rFonts w:asciiTheme="minorHAnsi" w:hAnsiTheme="minorHAnsi" w:cstheme="minorHAnsi"/>
        </w:rPr>
      </w:pPr>
      <w:r>
        <w:rPr>
          <w:lang w:val="ro"/>
        </w:rPr>
        <w:t xml:space="preserve">Articolul 20 (3) (h) din EB GL prevede faptul că mRRF-IF trebuie să includă ora de închidere a porții pentru toate produsele standard de energie de echilibrare pentru rezervele de restabilire a frecvenței cu activare manuală; articolul 20 (3) (j) din EB GL prevede că mRRF-IF trebuie să includă ora de închidere a porții pentru transmiterea ofertelor de energie de către OTS. Orele respective de închidere a porții sunt definite la articolele 8 și 9 din prezenta mRRF-IF. </w:t>
      </w:r>
      <w:r>
        <w:rPr>
          <w:rFonts w:asciiTheme="minorHAnsi" w:hAnsiTheme="minorHAnsi"/>
          <w:lang w:val="ro"/>
        </w:rPr>
        <w:t>Orele de închidere a porții se aplică de asemenea produselor specifice convertite în produse standard de energie de echilibrare mRRF în conformitate cu articolul 26 (1) (d) din EB GL. Pentru a evita orice interpretare, orele de închidere a porții nu se aplică produselor specifice activate exclusiv local.</w:t>
      </w:r>
    </w:p>
    <w:p w:rsidR="00BC227C" w:rsidRPr="00362616" w:rsidRDefault="00BC227C" w:rsidP="00FC69DE">
      <w:pPr>
        <w:pStyle w:val="Numbering"/>
        <w:numPr>
          <w:ilvl w:val="0"/>
          <w:numId w:val="55"/>
        </w:numPr>
        <w:ind w:left="426" w:hanging="426"/>
        <w:rPr>
          <w:rFonts w:asciiTheme="minorHAnsi" w:hAnsiTheme="minorHAnsi" w:cstheme="minorHAnsi"/>
        </w:rPr>
      </w:pPr>
      <w:r>
        <w:rPr>
          <w:rFonts w:asciiTheme="minorHAnsi" w:hAnsiTheme="minorHAnsi" w:cstheme="minorHAnsi"/>
          <w:lang w:val="ro"/>
        </w:rPr>
        <w:t xml:space="preserve">Articolul 20 (3) (i) din EB GL prevede definirea produselor standard pentru energia de echilibrare din mRRF în conformitate cu articolul 25 din EB GL. Articolul 7 din prezenta mRRF-IF definește toate caracteristicile unui produs standard pentru mRRF în conformitate cu articolul 25 (5) din EB GL precum și o serie de caracteristici variabile ale unui produs standard pentru mRRF care vor fi determinate în timpul calificării prealabile sau în momentul transmiterii ofertei produsului standard în conformitate cu articolul 25 (4) din EB GL. </w:t>
      </w:r>
      <w:bookmarkStart w:id="12" w:name="_Hlk531703412"/>
      <w:r>
        <w:rPr>
          <w:rFonts w:asciiTheme="minorHAnsi" w:hAnsiTheme="minorHAnsi" w:cstheme="minorHAnsi"/>
          <w:lang w:val="ro"/>
        </w:rPr>
        <w:t>Articolul 7 clarifică în continuare posibilele specificații ale caracteristicilor produselor standard mRRF ce urmează a fi definite în termenele și condițiile pentru FSE-uri.</w:t>
      </w:r>
    </w:p>
    <w:bookmarkEnd w:id="12"/>
    <w:p w:rsidR="00BC227C" w:rsidRPr="00362616" w:rsidRDefault="00BC227C" w:rsidP="00FC69DE">
      <w:pPr>
        <w:pStyle w:val="Numbering"/>
        <w:numPr>
          <w:ilvl w:val="0"/>
          <w:numId w:val="55"/>
        </w:numPr>
        <w:ind w:left="426" w:hanging="426"/>
        <w:rPr>
          <w:rFonts w:asciiTheme="minorHAnsi" w:hAnsiTheme="minorHAnsi" w:cstheme="minorHAnsi"/>
        </w:rPr>
      </w:pPr>
      <w:r>
        <w:rPr>
          <w:rFonts w:asciiTheme="minorHAnsi" w:hAnsiTheme="minorHAnsi" w:cstheme="minorHAnsi"/>
          <w:lang w:val="ro"/>
        </w:rPr>
        <w:t>Articolul 20 (3) (k) din EB GL prevede că prezenta mRRF-IF trebuie să includă listele cu ordine de merit comune ce urmează a fi organizate de către funcția de optimizare a activării în temeiul articolului 31 din EB GL. Articolul 10 din prezenta mRRF-IF prevede această descriere.</w:t>
      </w:r>
    </w:p>
    <w:p w:rsidR="001F6C7B" w:rsidRPr="007B56AB" w:rsidRDefault="00D41A39" w:rsidP="00FC69DE">
      <w:pPr>
        <w:pStyle w:val="Numbering"/>
        <w:numPr>
          <w:ilvl w:val="0"/>
          <w:numId w:val="55"/>
        </w:numPr>
        <w:ind w:left="426" w:hanging="426"/>
      </w:pPr>
      <w:r>
        <w:rPr>
          <w:lang w:val="ro"/>
        </w:rPr>
        <w:t xml:space="preserve">Articolul 20 (3) (l) din EB GL prevede necesitatea unei descrieri a algoritmului pentru operarea funcției de optimizare a activării pentru ofertele de energie de echilibrare din mRRF în conformitate cu articolul 58 din EB GL. Articolul 11 din prezenta mRRF-IF prevede această descriere, inclusiv funcția obiectiv și restricțiile. </w:t>
      </w:r>
      <w:r>
        <w:rPr>
          <w:rFonts w:asciiTheme="minorHAnsi" w:hAnsiTheme="minorHAnsi"/>
          <w:lang w:val="ro"/>
        </w:rPr>
        <w:t>Toate OTS-urile consideră că algoritmul propus la articolul 11 din prezenta mRRF-IF este cea mai bună alegere pentru implementarea cu succes a algoritmului și a funcției de optimizare a activării cu privire la punerea în funcțiune a Platformei mRRF, luând în considerare natura și nivelul de complexitate ale algoritmului de optimizare.</w:t>
      </w:r>
      <w:r>
        <w:rPr>
          <w:color w:val="000000"/>
          <w:lang w:val="ro"/>
        </w:rPr>
        <w:t xml:space="preserve"> </w:t>
      </w:r>
    </w:p>
    <w:p w:rsidR="00FF6E2C" w:rsidRDefault="00FF6E2C" w:rsidP="00FC69DE">
      <w:pPr>
        <w:pStyle w:val="Numbering"/>
        <w:numPr>
          <w:ilvl w:val="0"/>
          <w:numId w:val="55"/>
        </w:numPr>
        <w:ind w:left="426" w:hanging="426"/>
      </w:pPr>
      <w:r>
        <w:rPr>
          <w:lang w:val="ro"/>
        </w:rPr>
        <w:t>Toate OTS-urile vizează să țină cont în mod explicit de acordurile privind partajarea rezervelor drept date de intrare în algoritmul de optimizare, cel puțin prin determinarea cererilor mRRF OTS pe care OTS-urile participante le transmit către Platforma mRRF, pentru a oferi acces prioritar la volumele partajate pentru OTS-urile care fac parte din acord. În cazul eliminării din prezenta mRRF-IF a posibilității de a solicita un volum mai mare decât cel aferent ofertelor transmise în temeiul articolului 9 (3) din prezenta mRRF-IF, toate OTS-urile iau în considerare acordurile privind partajarea rezervelor în cadrul algoritmului de optimizare pentru a respecta prevederile articolului 29 (12) (c) din EB GL.</w:t>
      </w:r>
    </w:p>
    <w:p w:rsidR="00FF6E2C" w:rsidRDefault="00FF6E2C" w:rsidP="00FC69DE">
      <w:pPr>
        <w:pStyle w:val="Numbering"/>
        <w:numPr>
          <w:ilvl w:val="0"/>
          <w:numId w:val="55"/>
        </w:numPr>
        <w:ind w:left="426" w:hanging="426"/>
      </w:pPr>
      <w:r>
        <w:rPr>
          <w:lang w:val="ro"/>
        </w:rPr>
        <w:t>Toate OTS-urile vizează să țină cont în mod explicit de capacitatea interzonală alocată pentru schimbul de capacitate de echilibrare sau partajarea de rezerve în conformitate cu articolul 38 (1) din EB GL în cadrul algoritmului de optimizare, pentru a oferi acces prioritar la capacitatea interzonală alocată către OTS-urile care au alocat această capacitate interzonală.</w:t>
      </w:r>
    </w:p>
    <w:p w:rsidR="001348E1" w:rsidRPr="00362616" w:rsidRDefault="001348E1" w:rsidP="00FC69DE">
      <w:pPr>
        <w:pStyle w:val="Numbering"/>
        <w:numPr>
          <w:ilvl w:val="0"/>
          <w:numId w:val="55"/>
        </w:numPr>
        <w:ind w:left="426" w:hanging="426"/>
        <w:rPr>
          <w:rFonts w:asciiTheme="minorHAnsi" w:hAnsiTheme="minorHAnsi" w:cstheme="minorHAnsi"/>
        </w:rPr>
      </w:pPr>
      <w:r>
        <w:rPr>
          <w:rFonts w:asciiTheme="minorHAnsi" w:hAnsiTheme="minorHAnsi" w:cstheme="minorHAnsi"/>
          <w:lang w:val="ro"/>
        </w:rPr>
        <w:t>Prezenta mRRF-IF îndeplinește obiectivele prezentate în articolul 3 din EB GL după cum urmează:</w:t>
      </w:r>
    </w:p>
    <w:p w:rsidR="001348E1" w:rsidRPr="00362616" w:rsidRDefault="001348E1" w:rsidP="00FC69DE">
      <w:pPr>
        <w:pStyle w:val="Numbering2"/>
        <w:numPr>
          <w:ilvl w:val="0"/>
          <w:numId w:val="60"/>
        </w:numPr>
        <w:rPr>
          <w:rFonts w:asciiTheme="minorHAnsi" w:hAnsiTheme="minorHAnsi" w:cstheme="minorHAnsi"/>
        </w:rPr>
      </w:pPr>
      <w:r>
        <w:rPr>
          <w:rFonts w:asciiTheme="minorHAnsi" w:hAnsiTheme="minorHAnsi" w:cstheme="minorHAnsi"/>
          <w:lang w:val="ro"/>
        </w:rPr>
        <w:lastRenderedPageBreak/>
        <w:t>mRRF-IF îndeplinește condițiile articolului 20 din EB GL.</w:t>
      </w:r>
    </w:p>
    <w:p w:rsidR="001348E1" w:rsidRPr="00362616" w:rsidRDefault="001348E1" w:rsidP="00FC69DE">
      <w:pPr>
        <w:pStyle w:val="Numbering2"/>
        <w:numPr>
          <w:ilvl w:val="0"/>
          <w:numId w:val="60"/>
        </w:numPr>
        <w:rPr>
          <w:rFonts w:asciiTheme="minorHAnsi" w:hAnsiTheme="minorHAnsi" w:cstheme="minorHAnsi"/>
        </w:rPr>
      </w:pPr>
      <w:r>
        <w:rPr>
          <w:rFonts w:asciiTheme="minorHAnsi" w:hAnsiTheme="minorHAnsi" w:cstheme="minorHAnsi"/>
          <w:lang w:val="ro"/>
        </w:rPr>
        <w:t>mRRF-IF contribuie la sporirea eficienței, concurenței și integrării piețelor de echilibrare prin definirea unor produse standard de energie de echilibrare mRRF incluzând parametrii corespunzători ai ofertei, stabilind liste cu ordine de merit comune și asigurând folosirea capacității interzonale disponibile prin intermediul unui algoritm de optimizare, cu scopul de a activa ofertele de produs standard de energie de echilibrare mRRF cele mai eficiente din punct de vedere al costurilor, pentru a acoperi cererea mRRF.</w:t>
      </w:r>
    </w:p>
    <w:p w:rsidR="00DE0420" w:rsidRPr="00362616" w:rsidRDefault="00602134" w:rsidP="00FC69DE">
      <w:pPr>
        <w:pStyle w:val="Numbering2"/>
        <w:numPr>
          <w:ilvl w:val="0"/>
          <w:numId w:val="60"/>
        </w:numPr>
        <w:rPr>
          <w:rFonts w:asciiTheme="minorHAnsi" w:hAnsiTheme="minorHAnsi" w:cstheme="minorHAnsi"/>
        </w:rPr>
      </w:pPr>
      <w:r>
        <w:rPr>
          <w:rFonts w:asciiTheme="minorHAnsi" w:hAnsiTheme="minorHAnsi" w:cstheme="minorHAnsi"/>
          <w:lang w:val="ro"/>
        </w:rPr>
        <w:t>mRRF-IF este nediscriminatorie deoarece aplică aceleași reguli tuturor OTS-urilor și FSE-urilor. În mod particular, produsul standard de energie de echilibrare mRRF nu diferă între tehnologii.</w:t>
      </w:r>
    </w:p>
    <w:p w:rsidR="00002B00" w:rsidRPr="00906A27" w:rsidRDefault="00602134" w:rsidP="00FC69DE">
      <w:pPr>
        <w:pStyle w:val="Numbering2"/>
        <w:numPr>
          <w:ilvl w:val="0"/>
          <w:numId w:val="60"/>
        </w:numPr>
        <w:rPr>
          <w:rFonts w:asciiTheme="minorHAnsi" w:hAnsiTheme="minorHAnsi" w:cstheme="minorHAnsi"/>
        </w:rPr>
      </w:pPr>
      <w:r>
        <w:rPr>
          <w:rFonts w:asciiTheme="minorHAnsi" w:hAnsiTheme="minorHAnsi" w:cstheme="minorHAnsi"/>
          <w:lang w:val="ro"/>
        </w:rPr>
        <w:t>mRRF-IF contribuie la siguranța în funcționare și ia în considerare standardele și specificațiile tehnice agreate la nivel european prin respectarea SO GL și a documentelor justificative aferente.</w:t>
      </w:r>
    </w:p>
    <w:p w:rsidR="00082877" w:rsidRPr="00C06CB8" w:rsidRDefault="00082877" w:rsidP="00082877">
      <w:pPr>
        <w:pStyle w:val="headline1"/>
        <w:numPr>
          <w:ilvl w:val="0"/>
          <w:numId w:val="0"/>
        </w:numPr>
        <w:ind w:left="284"/>
        <w:jc w:val="center"/>
        <w:rPr>
          <w:rStyle w:val="Heading2Char"/>
          <w:rFonts w:asciiTheme="minorHAnsi" w:hAnsiTheme="minorHAnsi" w:cstheme="minorHAnsi"/>
          <w:sz w:val="22"/>
          <w:szCs w:val="22"/>
        </w:rPr>
      </w:pPr>
      <w:bookmarkStart w:id="13" w:name="_Toc531123794"/>
      <w:bookmarkStart w:id="14" w:name="_Toc531122440"/>
      <w:bookmarkStart w:id="15" w:name="_Toc514772682"/>
      <w:bookmarkStart w:id="16" w:name="_Toc524958944"/>
      <w:bookmarkStart w:id="17" w:name="_Toc532893387"/>
      <w:bookmarkStart w:id="18" w:name="_Toc432586769"/>
      <w:bookmarkStart w:id="19" w:name="_Toc432586789"/>
      <w:bookmarkStart w:id="20" w:name="_Toc445298913"/>
      <w:bookmarkStart w:id="21" w:name="_Toc509331487"/>
      <w:bookmarkStart w:id="22" w:name="_Toc445825431"/>
      <w:bookmarkStart w:id="23" w:name="_Toc445299175"/>
      <w:r>
        <w:rPr>
          <w:rStyle w:val="Heading2Char"/>
          <w:rFonts w:asciiTheme="minorHAnsi" w:hAnsiTheme="minorHAnsi" w:cstheme="minorHAnsi"/>
          <w:bCs/>
          <w:sz w:val="22"/>
          <w:szCs w:val="22"/>
          <w:lang w:val="ro"/>
        </w:rPr>
        <w:t>Abrevieri</w:t>
      </w:r>
      <w:bookmarkEnd w:id="13"/>
      <w:bookmarkEnd w:id="14"/>
      <w:bookmarkEnd w:id="15"/>
      <w:bookmarkEnd w:id="16"/>
      <w:bookmarkEnd w:id="17"/>
    </w:p>
    <w:p w:rsidR="00082877" w:rsidRDefault="00082877" w:rsidP="00082877">
      <w:pPr>
        <w:rPr>
          <w:rFonts w:asciiTheme="minorHAnsi" w:hAnsiTheme="minorHAnsi" w:cstheme="minorHAnsi"/>
          <w:szCs w:val="22"/>
        </w:rPr>
      </w:pPr>
      <w:bookmarkStart w:id="24" w:name="_Toc521595391"/>
      <w:r>
        <w:rPr>
          <w:rFonts w:asciiTheme="minorHAnsi" w:hAnsiTheme="minorHAnsi" w:cstheme="minorHAnsi"/>
          <w:szCs w:val="22"/>
          <w:lang w:val="ro"/>
        </w:rPr>
        <w:t>Lista abrevierilor utilizate în prezenta mRRF-IF este următoarea:</w:t>
      </w:r>
      <w:bookmarkEnd w:id="24"/>
    </w:p>
    <w:p w:rsidR="00082877" w:rsidRPr="00082877" w:rsidRDefault="00082877" w:rsidP="00082877">
      <w:pPr>
        <w:rPr>
          <w:rFonts w:asciiTheme="minorHAnsi" w:hAnsiTheme="minorHAnsi" w:cstheme="minorHAnsi"/>
          <w:szCs w:val="22"/>
        </w:rPr>
      </w:pPr>
    </w:p>
    <w:p w:rsidR="000A76F7" w:rsidRPr="004B2602" w:rsidRDefault="000A76F7"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FSE: furnizor de servicii de echilibrare</w:t>
      </w:r>
    </w:p>
    <w:p w:rsidR="00082877" w:rsidRPr="00082877" w:rsidRDefault="00082877"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CZC: capacitate interzonală</w:t>
      </w:r>
    </w:p>
    <w:p w:rsidR="00082877" w:rsidRPr="00082877" w:rsidRDefault="00082877" w:rsidP="00FC69DE">
      <w:pPr>
        <w:pStyle w:val="ListParagraph"/>
        <w:numPr>
          <w:ilvl w:val="0"/>
          <w:numId w:val="24"/>
        </w:numPr>
        <w:spacing w:after="120" w:line="252" w:lineRule="auto"/>
        <w:contextualSpacing w:val="0"/>
        <w:jc w:val="both"/>
        <w:rPr>
          <w:rFonts w:asciiTheme="minorHAnsi" w:hAnsiTheme="minorHAnsi" w:cstheme="minorHAnsi"/>
          <w:szCs w:val="22"/>
        </w:rPr>
      </w:pPr>
      <w:bookmarkStart w:id="25" w:name="_Toc521595394"/>
      <w:r>
        <w:rPr>
          <w:rFonts w:asciiTheme="minorHAnsi" w:hAnsiTheme="minorHAnsi" w:cstheme="minorHAnsi"/>
          <w:szCs w:val="22"/>
          <w:lang w:val="ro"/>
        </w:rPr>
        <w:t>EB GL: linia directoare privind echilibrarea sistemului de energie electrică</w:t>
      </w:r>
      <w:bookmarkEnd w:id="25"/>
    </w:p>
    <w:p w:rsidR="00082877" w:rsidRPr="00C06CB8" w:rsidRDefault="00082877"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ENTSO-E: Rețeaua Europeană a Operatorilor de Transport și de Sistem de Energie Electrică</w:t>
      </w:r>
    </w:p>
    <w:p w:rsidR="00082877" w:rsidRPr="00082877" w:rsidRDefault="00082877"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UE: Uniunea Europeană</w:t>
      </w:r>
    </w:p>
    <w:p w:rsidR="00082877" w:rsidRPr="00082877" w:rsidRDefault="00082877"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RRF: rezerve de restabilire a frecvenței</w:t>
      </w:r>
    </w:p>
    <w:p w:rsidR="00082877" w:rsidRDefault="00082877"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HVDC: curent continuu de înaltă tensiune</w:t>
      </w:r>
    </w:p>
    <w:p w:rsidR="00082877" w:rsidRPr="00492EB0" w:rsidRDefault="00082877" w:rsidP="00FC69DE">
      <w:pPr>
        <w:pStyle w:val="ListParagraph"/>
        <w:numPr>
          <w:ilvl w:val="0"/>
          <w:numId w:val="24"/>
        </w:numPr>
        <w:spacing w:after="120" w:line="252" w:lineRule="auto"/>
        <w:contextualSpacing w:val="0"/>
        <w:jc w:val="both"/>
        <w:rPr>
          <w:rFonts w:asciiTheme="minorHAnsi" w:hAnsiTheme="minorHAnsi" w:cstheme="minorHAnsi"/>
          <w:szCs w:val="22"/>
        </w:rPr>
      </w:pPr>
      <w:bookmarkStart w:id="26" w:name="_Toc521595395"/>
      <w:r>
        <w:rPr>
          <w:rFonts w:asciiTheme="minorHAnsi" w:hAnsiTheme="minorHAnsi" w:cstheme="minorHAnsi"/>
          <w:szCs w:val="22"/>
          <w:lang w:val="ro"/>
        </w:rPr>
        <w:t>RFP: reglaj frecvență-putere</w:t>
      </w:r>
      <w:bookmarkEnd w:id="26"/>
    </w:p>
    <w:p w:rsidR="00A0779D" w:rsidRDefault="00A0779D"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MARI: Inițiativa privind Rezervele cu Activare Manuală</w:t>
      </w:r>
    </w:p>
    <w:p w:rsidR="000A76F7" w:rsidRDefault="000A76F7"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mRRF: rezerve de restabilire a frecvenței cu activare manuală</w:t>
      </w:r>
    </w:p>
    <w:p w:rsidR="00871BFB" w:rsidRDefault="000A76F7"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 xml:space="preserve">mRRF-IF: cadrul de punere în aplicare a unei Platforme europene pentru schimbul de energie de echilibrare din rezervele de restabilire a frecvenței cu activare manuală </w:t>
      </w:r>
    </w:p>
    <w:p w:rsidR="000A76F7" w:rsidRPr="000A76F7" w:rsidRDefault="000A76F7"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Platforma mRRF: Platforma europeană pentru schimbul de energie de echilibrare din rezervele de restabilire a frecvenței cu activare manuală</w:t>
      </w:r>
    </w:p>
    <w:p w:rsidR="000A76F7" w:rsidRPr="00082877" w:rsidRDefault="000A76F7" w:rsidP="00FC69DE">
      <w:pPr>
        <w:pStyle w:val="ListParagraph"/>
        <w:numPr>
          <w:ilvl w:val="0"/>
          <w:numId w:val="24"/>
        </w:numPr>
        <w:spacing w:after="120" w:line="252" w:lineRule="auto"/>
        <w:contextualSpacing w:val="0"/>
        <w:jc w:val="both"/>
        <w:rPr>
          <w:rFonts w:asciiTheme="minorHAnsi" w:hAnsiTheme="minorHAnsi" w:cstheme="minorHAnsi"/>
          <w:szCs w:val="22"/>
        </w:rPr>
      </w:pPr>
      <w:r>
        <w:rPr>
          <w:rFonts w:asciiTheme="minorHAnsi" w:hAnsiTheme="minorHAnsi" w:cstheme="minorHAnsi"/>
          <w:szCs w:val="22"/>
          <w:lang w:val="ro"/>
        </w:rPr>
        <w:t>mPRF: procesul de restabilire a frecvenței pentru schimbul de energie de echilibrare din mRRF</w:t>
      </w:r>
    </w:p>
    <w:p w:rsidR="00082877" w:rsidRPr="00082877" w:rsidRDefault="00082877" w:rsidP="00FC69DE">
      <w:pPr>
        <w:pStyle w:val="ListParagraph"/>
        <w:numPr>
          <w:ilvl w:val="0"/>
          <w:numId w:val="24"/>
        </w:numPr>
        <w:spacing w:after="120" w:line="252" w:lineRule="auto"/>
        <w:contextualSpacing w:val="0"/>
        <w:jc w:val="both"/>
        <w:rPr>
          <w:rFonts w:asciiTheme="minorHAnsi" w:hAnsiTheme="minorHAnsi" w:cstheme="minorHAnsi"/>
          <w:szCs w:val="22"/>
        </w:rPr>
      </w:pPr>
      <w:bookmarkStart w:id="27" w:name="_Toc521595396"/>
      <w:r>
        <w:rPr>
          <w:rFonts w:asciiTheme="minorHAnsi" w:hAnsiTheme="minorHAnsi" w:cstheme="minorHAnsi"/>
          <w:szCs w:val="22"/>
          <w:lang w:val="ro"/>
        </w:rPr>
        <w:t>SO GL: linia directoare privind operarea sistemului de transport al energiei electrice</w:t>
      </w:r>
      <w:bookmarkEnd w:id="27"/>
    </w:p>
    <w:p w:rsidR="00082877" w:rsidRDefault="00082877" w:rsidP="00FC69DE">
      <w:pPr>
        <w:pStyle w:val="ListParagraph"/>
        <w:numPr>
          <w:ilvl w:val="0"/>
          <w:numId w:val="24"/>
        </w:numPr>
        <w:spacing w:after="120" w:line="252" w:lineRule="auto"/>
        <w:contextualSpacing w:val="0"/>
        <w:jc w:val="both"/>
        <w:rPr>
          <w:rFonts w:asciiTheme="minorHAnsi" w:hAnsiTheme="minorHAnsi" w:cstheme="minorHAnsi"/>
          <w:szCs w:val="22"/>
        </w:rPr>
      </w:pPr>
      <w:bookmarkStart w:id="28" w:name="_Toc521595397"/>
      <w:r>
        <w:rPr>
          <w:rFonts w:asciiTheme="minorHAnsi" w:hAnsiTheme="minorHAnsi" w:cstheme="minorHAnsi"/>
          <w:szCs w:val="22"/>
          <w:lang w:val="ro"/>
        </w:rPr>
        <w:t>OTS: operator de transport și de sistem</w:t>
      </w:r>
      <w:bookmarkEnd w:id="28"/>
    </w:p>
    <w:p w:rsidR="007A42D0" w:rsidRDefault="007A42D0" w:rsidP="00C06CB8">
      <w:pPr>
        <w:pStyle w:val="ListParagraph"/>
        <w:spacing w:after="120" w:line="252" w:lineRule="auto"/>
        <w:contextualSpacing w:val="0"/>
        <w:jc w:val="both"/>
        <w:rPr>
          <w:rFonts w:asciiTheme="minorHAnsi" w:hAnsiTheme="minorHAnsi" w:cstheme="minorHAnsi"/>
          <w:szCs w:val="22"/>
        </w:rPr>
      </w:pPr>
    </w:p>
    <w:p w:rsidR="00082877" w:rsidRPr="00BE1E80" w:rsidRDefault="00082877" w:rsidP="002E4CEC">
      <w:pPr>
        <w:jc w:val="center"/>
        <w:rPr>
          <w:rFonts w:asciiTheme="minorHAnsi" w:hAnsiTheme="minorHAnsi" w:cstheme="minorHAnsi"/>
          <w:b/>
        </w:rPr>
      </w:pPr>
      <w:r>
        <w:rPr>
          <w:rFonts w:asciiTheme="minorHAnsi" w:hAnsiTheme="minorHAnsi" w:cstheme="minorHAnsi"/>
          <w:b/>
          <w:bCs/>
          <w:lang w:val="ro"/>
        </w:rPr>
        <w:t>PREZENTA mRRF-IF ESTE ÎNAINTATĂ TUTUROR AUTORITĂȚILOR DE REGLEMENTARE:</w:t>
      </w:r>
      <w:r>
        <w:rPr>
          <w:rFonts w:asciiTheme="minorHAnsi" w:hAnsiTheme="minorHAnsi" w:cstheme="minorHAnsi"/>
          <w:lang w:val="ro"/>
        </w:rPr>
        <w:br w:type="page"/>
      </w:r>
    </w:p>
    <w:p w:rsidR="004F245D" w:rsidRPr="00362616" w:rsidRDefault="004F245D" w:rsidP="004F245D">
      <w:pPr>
        <w:spacing w:after="120" w:line="260" w:lineRule="exact"/>
        <w:jc w:val="center"/>
        <w:outlineLvl w:val="1"/>
        <w:rPr>
          <w:rFonts w:ascii="Times New Roman" w:hAnsi="Times New Roman" w:cs="Arial"/>
          <w:b/>
          <w:color w:val="23236E"/>
          <w:sz w:val="24"/>
        </w:rPr>
      </w:pPr>
      <w:bookmarkStart w:id="29" w:name="_Toc531122441"/>
      <w:bookmarkStart w:id="30" w:name="_Toc531123795"/>
      <w:bookmarkStart w:id="31" w:name="_Toc532893388"/>
      <w:r>
        <w:rPr>
          <w:rFonts w:ascii="Times New Roman" w:hAnsi="Times New Roman" w:cs="Arial"/>
          <w:b/>
          <w:bCs/>
          <w:color w:val="23236E"/>
          <w:sz w:val="24"/>
          <w:lang w:val="ro"/>
        </w:rPr>
        <w:lastRenderedPageBreak/>
        <w:t>Articolul 1</w:t>
      </w:r>
      <w:r>
        <w:rPr>
          <w:rFonts w:ascii="Times New Roman" w:hAnsi="Times New Roman" w:cs="Arial"/>
          <w:color w:val="23236E"/>
          <w:sz w:val="24"/>
          <w:lang w:val="ro"/>
        </w:rPr>
        <w:br/>
      </w:r>
      <w:r>
        <w:rPr>
          <w:rFonts w:ascii="Times New Roman" w:hAnsi="Times New Roman" w:cs="Arial"/>
          <w:b/>
          <w:bCs/>
          <w:color w:val="23236E"/>
          <w:sz w:val="24"/>
          <w:lang w:val="ro"/>
        </w:rPr>
        <w:t>Obiect și domeniu de aplicare</w:t>
      </w:r>
      <w:bookmarkEnd w:id="18"/>
      <w:bookmarkEnd w:id="19"/>
      <w:bookmarkEnd w:id="20"/>
      <w:bookmarkEnd w:id="21"/>
      <w:bookmarkEnd w:id="22"/>
      <w:bookmarkEnd w:id="23"/>
      <w:bookmarkEnd w:id="29"/>
      <w:bookmarkEnd w:id="30"/>
      <w:bookmarkEnd w:id="31"/>
    </w:p>
    <w:p w:rsidR="00137271" w:rsidRDefault="00FB46C8" w:rsidP="00FC69DE">
      <w:pPr>
        <w:pStyle w:val="Numbering"/>
        <w:numPr>
          <w:ilvl w:val="0"/>
          <w:numId w:val="18"/>
        </w:numPr>
        <w:ind w:left="567" w:hanging="567"/>
      </w:pPr>
      <w:r>
        <w:rPr>
          <w:lang w:val="ro"/>
        </w:rPr>
        <w:t>Prezenta mRRF-IF reprezintă propunerea comună a tuturor OTS-urilor în conformitate cu articolul 20 (1) din EB GL.</w:t>
      </w:r>
    </w:p>
    <w:p w:rsidR="004F245D" w:rsidRPr="00492EB0" w:rsidRDefault="00844DB5" w:rsidP="00FC69DE">
      <w:pPr>
        <w:pStyle w:val="Numbering"/>
        <w:numPr>
          <w:ilvl w:val="0"/>
          <w:numId w:val="18"/>
        </w:numPr>
        <w:ind w:left="567" w:hanging="567"/>
      </w:pPr>
      <w:r>
        <w:rPr>
          <w:lang w:val="ro"/>
        </w:rPr>
        <w:t>Implementarea, operarea și utilizarea Platformei mRRF este obligatorie pentru toate OTS-urile. Totuși, în cazul în care o zonă RFP este formată din mai multe zone de monitorizare, doar OTS-ul desemnat în convenția de exploatare de zonă RFP drept responsabil pentru implementarea și operarea mPRF, în conformitate cu articolul 143 (4) din SO GL, utilizează Platforma mRRF. Pentru a evita orice interpretare, toate OTS-urile devin OTS-uri participante, exceptând cazurile în care o zonă RFP este formată din mai multe zone de monitorizare, caz în care doar OTS-ul desemnat devine OTS participant.</w:t>
      </w:r>
    </w:p>
    <w:p w:rsidR="00067BC5" w:rsidRDefault="002C3767" w:rsidP="00FC69DE">
      <w:pPr>
        <w:pStyle w:val="Numbering"/>
        <w:numPr>
          <w:ilvl w:val="0"/>
          <w:numId w:val="18"/>
        </w:numPr>
        <w:ind w:left="567" w:hanging="567"/>
      </w:pPr>
      <w:r>
        <w:rPr>
          <w:lang w:val="ro"/>
        </w:rPr>
        <w:t>Prezenta propunere se aplică doar pentru schimbul de produse standard de energie de echilibrare din mRRF. Platformele europene pentru procesul de compensare a dezechilibrelor, schimbul de energie de echilibrare din rezervele de restabilire a frecvenței cu activare automată și schimbul de energie de echilibrare din rezervele de înlocuire sunt în afara domeniului de aplicare al prezentei mRRF-IF.</w:t>
      </w:r>
    </w:p>
    <w:p w:rsidR="00393ACB" w:rsidRPr="00393ACB" w:rsidRDefault="00393ACB" w:rsidP="00FC69DE">
      <w:pPr>
        <w:pStyle w:val="Numbering"/>
        <w:numPr>
          <w:ilvl w:val="0"/>
          <w:numId w:val="18"/>
        </w:numPr>
        <w:ind w:left="567" w:hanging="567"/>
      </w:pPr>
      <w:r>
        <w:rPr>
          <w:lang w:val="ro"/>
        </w:rPr>
        <w:t>Propunerea pentru metodologia de clasificare în scopul activării ofertelor de energie de echilibrare, în temeiul articolului 29 din EB GL, este în afara domeniului de aplicare al prezentei mRRF-IF și va fi tratată într-un document separat.</w:t>
      </w:r>
    </w:p>
    <w:p w:rsidR="0020327F" w:rsidRPr="00362616" w:rsidRDefault="0020327F" w:rsidP="00FC69DE">
      <w:pPr>
        <w:pStyle w:val="Numbering"/>
        <w:numPr>
          <w:ilvl w:val="0"/>
          <w:numId w:val="18"/>
        </w:numPr>
        <w:ind w:left="567" w:hanging="567"/>
      </w:pPr>
      <w:r>
        <w:rPr>
          <w:lang w:val="ro"/>
        </w:rPr>
        <w:t>Propunerea de metodologie privind stabilirea prețului pentru energia de echilibrare care rezultă din activarea ofertelor de energie de echilibrare și pentru capacitatea interzonală utilizată pentru schimbul de energie de echilibrare sau pentru operarea procesului de compensare a dezechilibrelor în temeiul articolului 30 din EB GL nu face parte din domeniul de aplicare al mRRF-IF și va fi tratată în cadrul unui document separat.</w:t>
      </w:r>
    </w:p>
    <w:p w:rsidR="008C5B4E" w:rsidRPr="00362616" w:rsidRDefault="008C5B4E" w:rsidP="00FC69DE">
      <w:pPr>
        <w:pStyle w:val="Numbering"/>
        <w:numPr>
          <w:ilvl w:val="0"/>
          <w:numId w:val="18"/>
        </w:numPr>
        <w:ind w:left="567" w:hanging="567"/>
      </w:pPr>
      <w:r>
        <w:rPr>
          <w:lang w:val="ro"/>
        </w:rPr>
        <w:t>Propunerea privind regulile comune de decontare OTS-OTS aplicabile Platformei mRRF în temeiul articolului 50 din EB GL nu face parte din domeniul de aplicare al prezentei mRRF-IF și va fi tratată în cadrul unui document separat.</w:t>
      </w:r>
    </w:p>
    <w:p w:rsidR="001E0F7D" w:rsidRPr="00362616" w:rsidRDefault="001E0F7D" w:rsidP="001E0F7D">
      <w:pPr>
        <w:pStyle w:val="textenumeration"/>
        <w:contextualSpacing/>
      </w:pPr>
    </w:p>
    <w:p w:rsidR="00D446B6" w:rsidRPr="00362616" w:rsidRDefault="004F245D" w:rsidP="00E805C0">
      <w:pPr>
        <w:keepNext/>
        <w:spacing w:after="120" w:line="260" w:lineRule="exact"/>
        <w:jc w:val="center"/>
        <w:outlineLvl w:val="1"/>
        <w:rPr>
          <w:rFonts w:ascii="Times New Roman" w:hAnsi="Times New Roman" w:cs="Arial"/>
          <w:b/>
          <w:color w:val="23236E"/>
          <w:sz w:val="24"/>
        </w:rPr>
      </w:pPr>
      <w:bookmarkStart w:id="32" w:name="_Toc432586770"/>
      <w:bookmarkStart w:id="33" w:name="_Toc432586790"/>
      <w:bookmarkStart w:id="34" w:name="_Toc445298914"/>
      <w:bookmarkStart w:id="35" w:name="_Toc445299176"/>
      <w:bookmarkStart w:id="36" w:name="_Toc445825432"/>
      <w:bookmarkStart w:id="37" w:name="_Toc509331488"/>
      <w:bookmarkStart w:id="38" w:name="_Toc531122442"/>
      <w:bookmarkStart w:id="39" w:name="_Toc531123796"/>
      <w:bookmarkStart w:id="40" w:name="_Toc532893389"/>
      <w:r>
        <w:rPr>
          <w:rFonts w:ascii="Times New Roman" w:hAnsi="Times New Roman" w:cs="Arial"/>
          <w:b/>
          <w:bCs/>
          <w:color w:val="23236E"/>
          <w:sz w:val="24"/>
          <w:lang w:val="ro"/>
        </w:rPr>
        <w:t>Articolul 2</w:t>
      </w:r>
      <w:r>
        <w:rPr>
          <w:rFonts w:ascii="Times New Roman" w:hAnsi="Times New Roman" w:cs="Arial"/>
          <w:color w:val="23236E"/>
          <w:sz w:val="24"/>
          <w:lang w:val="ro"/>
        </w:rPr>
        <w:br/>
      </w:r>
      <w:r>
        <w:rPr>
          <w:rFonts w:ascii="Times New Roman" w:hAnsi="Times New Roman" w:cs="Arial"/>
          <w:b/>
          <w:bCs/>
          <w:color w:val="23236E"/>
          <w:sz w:val="24"/>
          <w:lang w:val="ro"/>
        </w:rPr>
        <w:t>Definiții și interpretări</w:t>
      </w:r>
      <w:bookmarkEnd w:id="32"/>
      <w:bookmarkEnd w:id="33"/>
      <w:bookmarkEnd w:id="34"/>
      <w:bookmarkEnd w:id="35"/>
      <w:bookmarkEnd w:id="36"/>
      <w:bookmarkEnd w:id="37"/>
      <w:bookmarkEnd w:id="38"/>
      <w:bookmarkEnd w:id="39"/>
      <w:bookmarkEnd w:id="40"/>
    </w:p>
    <w:p w:rsidR="0073508C" w:rsidRPr="00362616" w:rsidRDefault="0073508C" w:rsidP="00FC69DE">
      <w:pPr>
        <w:pStyle w:val="Numbering"/>
        <w:numPr>
          <w:ilvl w:val="0"/>
          <w:numId w:val="19"/>
        </w:numPr>
        <w:ind w:left="567" w:hanging="567"/>
      </w:pPr>
      <w:r>
        <w:rPr>
          <w:lang w:val="ro"/>
        </w:rPr>
        <w:t xml:space="preserve">În sensul prezentei mRRF-IF, termenii utilizați au semnificația oferită acestora la articolul 2 din Regulamentul privind energia electrică, </w:t>
      </w:r>
      <w:bookmarkStart w:id="41" w:name="_Hlk531768511"/>
      <w:r>
        <w:rPr>
          <w:lang w:val="ro"/>
        </w:rPr>
        <w:t xml:space="preserve">articolul 2 din Regulamentul privind transparența, </w:t>
      </w:r>
      <w:bookmarkEnd w:id="41"/>
      <w:r>
        <w:rPr>
          <w:lang w:val="ro"/>
        </w:rPr>
        <w:t>articolul 3 din SO GL și articolul 2 din EB GL.</w:t>
      </w:r>
    </w:p>
    <w:p w:rsidR="0073508C" w:rsidRPr="00362616" w:rsidRDefault="0073508C" w:rsidP="00FC69DE">
      <w:pPr>
        <w:pStyle w:val="Numbering"/>
        <w:numPr>
          <w:ilvl w:val="0"/>
          <w:numId w:val="19"/>
        </w:numPr>
        <w:ind w:left="567" w:hanging="567"/>
      </w:pPr>
      <w:r>
        <w:rPr>
          <w:lang w:val="ro"/>
        </w:rPr>
        <w:t>În plus, în prezenta mRRF-IF se aplică următorii termeni:</w:t>
      </w:r>
    </w:p>
    <w:p w:rsidR="00CC6F66" w:rsidRDefault="00CC6F66" w:rsidP="00FC69DE">
      <w:pPr>
        <w:pStyle w:val="Numbering2"/>
        <w:numPr>
          <w:ilvl w:val="1"/>
          <w:numId w:val="23"/>
        </w:numPr>
      </w:pPr>
      <w:r>
        <w:rPr>
          <w:lang w:val="ro"/>
        </w:rPr>
        <w:t>„starea de disponibilitate” înseamnă condiția unei oferte de a fi disponibilă sau indisponibilă pentru activarea transfrontalieră;</w:t>
      </w:r>
    </w:p>
    <w:p w:rsidR="00457E7C" w:rsidRDefault="00147964" w:rsidP="00FC69DE">
      <w:pPr>
        <w:pStyle w:val="Numbering2"/>
        <w:numPr>
          <w:ilvl w:val="1"/>
          <w:numId w:val="23"/>
        </w:numPr>
      </w:pPr>
      <w:r>
        <w:rPr>
          <w:lang w:val="ro"/>
        </w:rPr>
        <w:t xml:space="preserve">„ofertă disponibilă de produs standard de energie de echilibrare mRRF” înseamnă o ofertă de produs standard de energie de echilibrare mRRF care a fost primită de către OTS-ul conector și nu a fost marcată ca indisponibilă; </w:t>
      </w:r>
    </w:p>
    <w:p w:rsidR="00457E7C" w:rsidRPr="00290744" w:rsidRDefault="00457E7C" w:rsidP="00FC69DE">
      <w:pPr>
        <w:pStyle w:val="Numbering2"/>
        <w:numPr>
          <w:ilvl w:val="1"/>
          <w:numId w:val="23"/>
        </w:numPr>
      </w:pPr>
      <w:r>
        <w:rPr>
          <w:lang w:val="ro"/>
        </w:rPr>
        <w:t>„unitatea de timp a pieței de echilibrare” înseamnă cea mai mare perioadă dintre cele două perioade de decontare a dezechilibrelor de ambele părți ale unei granițe de echilibrare mRRF, cu excepția cazului în care una dintre cele două perioade de decontare a dezechilibrelor este mai mare de 15 minute, caz în care unitatea de timp a pieței de echilibrare înseamnă 15 minute, începând imediat după ora 00:00 CET. Unitățile de timp ale pieței de echilibrare sunt consecutive și nu se suprapun;</w:t>
      </w:r>
    </w:p>
    <w:p w:rsidR="00D82FF9" w:rsidRDefault="00457E7C" w:rsidP="00FC69DE">
      <w:pPr>
        <w:pStyle w:val="Numbering2"/>
        <w:numPr>
          <w:ilvl w:val="1"/>
          <w:numId w:val="23"/>
        </w:numPr>
      </w:pPr>
      <w:r>
        <w:rPr>
          <w:lang w:val="ro"/>
        </w:rPr>
        <w:lastRenderedPageBreak/>
        <w:t xml:space="preserve">  „granița zonei de ofertare” reprezintă un set de linii de transport fizice care leagă zonele de ofertare adiacente;</w:t>
      </w:r>
    </w:p>
    <w:p w:rsidR="00665B22" w:rsidRPr="00074ED9" w:rsidRDefault="008F1DFB" w:rsidP="00FC69DE">
      <w:pPr>
        <w:pStyle w:val="Numbering2"/>
        <w:numPr>
          <w:ilvl w:val="1"/>
          <w:numId w:val="23"/>
        </w:numPr>
      </w:pPr>
      <w:r>
        <w:rPr>
          <w:lang w:val="ro"/>
        </w:rPr>
        <w:t>„oferta activabilă direct” înseamnă o ofertă de produs standard de energie de echilibrare mRRF care poate fi activată oricând după momentul activării programate din sfertul de oră pentru care oferta este transmisă și până la momentul activării programate din următorul sfert de oră. Fiecare ofertă activabilă direct reprezintă de asemenea o ofertă activabilă programat, dar nu toate ofertele activabile programat reprezintă oferte activabile direct;</w:t>
      </w:r>
    </w:p>
    <w:p w:rsidR="008F1DFB" w:rsidRDefault="008F1DFB" w:rsidP="00FC69DE">
      <w:pPr>
        <w:pStyle w:val="Numbering2"/>
        <w:numPr>
          <w:ilvl w:val="1"/>
          <w:numId w:val="23"/>
        </w:numPr>
      </w:pPr>
      <w:r>
        <w:rPr>
          <w:lang w:val="ro"/>
        </w:rPr>
        <w:t xml:space="preserve"> „oferta divizibilă” înseamnă o ofertă de produs standard de energie de echilibrare mRRF care poate fi activată parțial în ceea ce privește activarea puterii în conformitate cu granulația activării ofertelor în temeiul articolului 6 (5) din prezenta mRRF-IF;</w:t>
      </w:r>
    </w:p>
    <w:p w:rsidR="00147964" w:rsidRDefault="00147964" w:rsidP="00FC69DE">
      <w:pPr>
        <w:pStyle w:val="Numbering2"/>
        <w:numPr>
          <w:ilvl w:val="1"/>
          <w:numId w:val="23"/>
        </w:numPr>
      </w:pPr>
      <w:r>
        <w:rPr>
          <w:lang w:val="ro"/>
        </w:rPr>
        <w:t>„legăturile economice” înseamnă legăturile dintre oferte cu scopul optimizării economice, permițând FSE-urilor să ofere o flexibilitate mai mare, să-și reflecte în mod eficient structura inerentă de cost în ofertele transmise și să maximizeze oportunitatea de activare;</w:t>
      </w:r>
    </w:p>
    <w:p w:rsidR="00B84F99" w:rsidRPr="00362616" w:rsidRDefault="008F1DFB" w:rsidP="00FC69DE">
      <w:pPr>
        <w:pStyle w:val="Numbering2"/>
        <w:numPr>
          <w:ilvl w:val="1"/>
          <w:numId w:val="23"/>
        </w:numPr>
      </w:pPr>
      <w:r>
        <w:rPr>
          <w:lang w:val="ro"/>
        </w:rPr>
        <w:t xml:space="preserve"> „surplus economic” înseamnă, în contextul funcției de optimizare a activării, surplusul total obținut de către OTS-urile participante prin satisfacerea cererii lor mRRF trimise către Platforma mRRF și surplusul total al furnizorilor de servicii de echilibrare („</w:t>
      </w:r>
      <w:r>
        <w:rPr>
          <w:b/>
          <w:bCs/>
          <w:lang w:val="ro"/>
        </w:rPr>
        <w:t>FSE-uri</w:t>
      </w:r>
      <w:r>
        <w:rPr>
          <w:lang w:val="ro"/>
        </w:rPr>
        <w:t>”) rezultat din activarea ofertelor aferente de produs standard de energie de echilibrare mRRF transmise. Curba care constă din cererea mRRF pozitivă a OTS și ofertele descrescătoare de produse standard de energie de echilibrare mRRF transmise de către FSE către Platforma mRRF reprezintă curba consumatorilor, indicând astfel cel mai mare preț pe care consumatorii (OTS-uri și FSE-uri) sunt dispuși să îl plătească pentru consumul de energie de echilibrare mRRF. Pe de cealaltă parte, curba care constă din cererea mRRF negativă a OTS și ofertele crescătoare de produse standard de energie de echilibrare mRRF transmise de către FSE către Platforma mRRF reprezintă curba producătorilor, indicând astfel cel mai mic preț pe care aceștia sunt dispuși să îl accepte pentru furnizarea de energie de echilibrare mRRF. Surplusul economic reprezintă beneficiul total obținut din tranzacțiile de energie de echilibrare mRRF și constă astfel din zona care corespunde sumei dintre excedentele consumatorilor și producătorilor;</w:t>
      </w:r>
    </w:p>
    <w:p w:rsidR="00B84F99" w:rsidRPr="00362616" w:rsidRDefault="00B84F99" w:rsidP="00FC69DE">
      <w:pPr>
        <w:pStyle w:val="Numbering2"/>
        <w:numPr>
          <w:ilvl w:val="1"/>
          <w:numId w:val="23"/>
        </w:numPr>
      </w:pPr>
      <w:r>
        <w:rPr>
          <w:lang w:val="ro"/>
        </w:rPr>
        <w:t xml:space="preserve">„cererea mRRF elastică” reprezintă cererea OTS pentru activarea ofertei de produs standard de energie de echilibrare mRRF a cărei satisfacere depinde de prețul ofertelor de produs standard de energie de echilibrare mRRF. Un OTS poate transmite o cerere mRRF elastică pe direcția pozitivă sau negativă cu prețul pe care este dispus să îl plătească sau pe care este dispus să îl accepte pentru activarea ofertei de produs standard de energie de echilibrare mRRF; </w:t>
      </w:r>
    </w:p>
    <w:p w:rsidR="008F1DFB" w:rsidRDefault="008F1DFB" w:rsidP="00FC69DE">
      <w:pPr>
        <w:pStyle w:val="Numbering2"/>
        <w:numPr>
          <w:ilvl w:val="1"/>
          <w:numId w:val="23"/>
        </w:numPr>
      </w:pPr>
      <w:r>
        <w:rPr>
          <w:lang w:val="ro"/>
        </w:rPr>
        <w:t>„grupurile exclusive de oferte” sunt un tip de legături economice. Grupurile exclusive de oferte presupun că doar o singură ofertă specifică poate fi acceptată din lista de oferte ca parte din grupurile exclusive de oferte;</w:t>
      </w:r>
    </w:p>
    <w:p w:rsidR="0014441D" w:rsidRPr="00362616" w:rsidRDefault="0014441D" w:rsidP="00FC69DE">
      <w:pPr>
        <w:pStyle w:val="Numbering2"/>
        <w:numPr>
          <w:ilvl w:val="1"/>
          <w:numId w:val="23"/>
        </w:numPr>
      </w:pPr>
      <w:r>
        <w:rPr>
          <w:lang w:val="ro"/>
        </w:rPr>
        <w:t>„grup de experți” reprezintă organismul care include experți nominalizați din partea tuturor OTS-urilor membre din cadrul Platformei mRRF;</w:t>
      </w:r>
    </w:p>
    <w:p w:rsidR="00F60B40" w:rsidRPr="00107959" w:rsidDel="00D748BE" w:rsidRDefault="00F60B40" w:rsidP="00FC69DE">
      <w:pPr>
        <w:pStyle w:val="Numbering2"/>
        <w:numPr>
          <w:ilvl w:val="1"/>
          <w:numId w:val="23"/>
        </w:numPr>
      </w:pPr>
      <w:r>
        <w:rPr>
          <w:lang w:val="ro"/>
        </w:rPr>
        <w:t>„granulația” reprezintă cel mai mic increment de volum al unei oferte de produs standard de energie de echilibrare mRRF;</w:t>
      </w:r>
    </w:p>
    <w:p w:rsidR="00B84F99" w:rsidRPr="00362616" w:rsidRDefault="00B84F99" w:rsidP="00FC69DE">
      <w:pPr>
        <w:pStyle w:val="Numbering2"/>
        <w:numPr>
          <w:ilvl w:val="1"/>
          <w:numId w:val="23"/>
        </w:numPr>
      </w:pPr>
      <w:r>
        <w:rPr>
          <w:lang w:val="ro"/>
        </w:rPr>
        <w:t xml:space="preserve">„implementarea Platformei mRRF” reprezintă implementarea tuturor sistemelor IT necesare pentru operarea schimbului de energie de echilibrare din mRRF; </w:t>
      </w:r>
    </w:p>
    <w:p w:rsidR="008F1DFB" w:rsidRPr="00074ED9" w:rsidRDefault="00B84F99" w:rsidP="00FC69DE">
      <w:pPr>
        <w:pStyle w:val="Numbering2"/>
        <w:numPr>
          <w:ilvl w:val="1"/>
          <w:numId w:val="23"/>
        </w:numPr>
      </w:pPr>
      <w:r>
        <w:rPr>
          <w:lang w:val="ro"/>
        </w:rPr>
        <w:t xml:space="preserve"> „oferta indivizibilă” înseamnă o ofertă de produs standard de energie de echilibrare mRRF care nu poate fi activată parțial în ceea ce privește activarea puterii în conformitate cu granulația activării </w:t>
      </w:r>
      <w:r>
        <w:rPr>
          <w:lang w:val="ro"/>
        </w:rPr>
        <w:lastRenderedPageBreak/>
        <w:t>ofertelor în temeiul articolelor 6 (4) și 6 (5) din prezenta mRRF-IF. Astfel, volumul unei oferte indivizibile este întotdeauna activat integral;</w:t>
      </w:r>
    </w:p>
    <w:p w:rsidR="00B84F99" w:rsidRDefault="00B84F99" w:rsidP="00FC69DE">
      <w:pPr>
        <w:pStyle w:val="Numbering2"/>
        <w:numPr>
          <w:ilvl w:val="1"/>
          <w:numId w:val="23"/>
        </w:numPr>
      </w:pPr>
      <w:r>
        <w:rPr>
          <w:lang w:val="ro"/>
        </w:rPr>
        <w:t>„cererea mRRF inelastică” reprezintă cererea OTS pentru activarea ofertei de produs standard de energie de echilibrare mRRF care trebuie satisfăcută indiferent de prețul activării produsului standard de energie de echilibrare mRRF;</w:t>
      </w:r>
    </w:p>
    <w:p w:rsidR="003A49FC" w:rsidRDefault="003A49FC" w:rsidP="00FC69DE">
      <w:pPr>
        <w:pStyle w:val="Numbering2"/>
        <w:numPr>
          <w:ilvl w:val="1"/>
          <w:numId w:val="11"/>
        </w:numPr>
      </w:pPr>
      <w:r>
        <w:rPr>
          <w:lang w:val="ro"/>
        </w:rPr>
        <w:t>„MARI” înseamnă „Inițiativa privind Rezervele cu Activare Manuală” și este proiectul de implementare care evoluează în Platforma mRRF în conformitate cu articolul 5 (2) din prezenta mRRF-IF;</w:t>
      </w:r>
    </w:p>
    <w:p w:rsidR="008F1DFB" w:rsidRDefault="008F1DFB" w:rsidP="00FC69DE">
      <w:pPr>
        <w:pStyle w:val="Numbering2"/>
        <w:numPr>
          <w:ilvl w:val="1"/>
          <w:numId w:val="23"/>
        </w:numPr>
      </w:pPr>
      <w:r>
        <w:rPr>
          <w:lang w:val="ro"/>
        </w:rPr>
        <w:t>„OTS membru” reprezintă orice OTS care s-a alăturat Platformei mRRF, inclusiv OTS-uri din zone RFP cu OTS-uri multiple care nu sunt desemnate prin intermediul convenției de exploatare de zonă RFP drept responsabile pentru implementarea și operarea mPRF în temeiul părții IV din SO GL, și în special în temeiul articolelor 141 și 143;</w:t>
      </w:r>
    </w:p>
    <w:p w:rsidR="00AB72A2" w:rsidRPr="00AB72A2" w:rsidRDefault="00AB72A2" w:rsidP="00FC69DE">
      <w:pPr>
        <w:pStyle w:val="Numbering2"/>
        <w:numPr>
          <w:ilvl w:val="1"/>
          <w:numId w:val="23"/>
        </w:numPr>
      </w:pPr>
      <w:r>
        <w:rPr>
          <w:lang w:val="ro"/>
        </w:rPr>
        <w:t>„graniță de echilibrare mRRF” reprezintă un set de linii de transport fizice care leagă zonele de ofertare adiacente, unde o zonă RFP constă din mai multe zone de ofertare sau zone RFP ale OTS-urilor participante. Algoritmul de optimizare calculează transferul transfrontalier de putere la restabilirea manuală a frecvenței pentru fiecare graniță de echilibrare mRRF. În sensul optimizării, fiecare graniță de echilibrare mRRF are o direcție negativă sau pozitivă definită matematic pentru transferul de putere la restabilirea manuală a frecvenței;</w:t>
      </w:r>
    </w:p>
    <w:p w:rsidR="00C97EFE" w:rsidRPr="00C97EFE" w:rsidRDefault="00AB72A2" w:rsidP="00FC69DE">
      <w:pPr>
        <w:pStyle w:val="Numbering2"/>
        <w:numPr>
          <w:ilvl w:val="1"/>
          <w:numId w:val="23"/>
        </w:numPr>
      </w:pPr>
      <w:r>
        <w:rPr>
          <w:lang w:val="ro"/>
        </w:rPr>
        <w:t>„limitele capacității transfrontaliere mRRF” reprezintă limitele pentru transferul de putere la restabilirea manuală a frecvenței la import sau cu direcție pozitivă și la export sau direcție negativă pentru o graniță de echilibrare mRRF sau un set de granițe de echilibrare mRRF și funcționează ca restricții pentru algoritmul de optimizare;</w:t>
      </w:r>
    </w:p>
    <w:p w:rsidR="008F1DFB" w:rsidRDefault="008F1DFB" w:rsidP="00FC69DE">
      <w:pPr>
        <w:pStyle w:val="Numbering2"/>
        <w:numPr>
          <w:ilvl w:val="1"/>
          <w:numId w:val="23"/>
        </w:numPr>
      </w:pPr>
      <w:r>
        <w:rPr>
          <w:lang w:val="ro"/>
        </w:rPr>
        <w:t>„cererea mRRF” reprezintă cererea OTS pentru activarea ofertelor de produs standard de energie de echilibrare mRRF. Convenția privind semnele pentru cererea mRRF este următoarea: valoare negativă atunci când zona RFP sau zona de ofertare are surplus de putere și indică faptul că este nevoie de activarea ofertelor mRRF descrescătoare; și valoare pozitivă atunci când zona RFP sau zona de ofertare are deficit de putere și indică faptul că este nevoie de activarea ofertelor mRRF crescătoare;</w:t>
      </w:r>
    </w:p>
    <w:p w:rsidR="008F1DFB" w:rsidRDefault="008F1DFB" w:rsidP="00FC69DE">
      <w:pPr>
        <w:pStyle w:val="Numbering2"/>
        <w:numPr>
          <w:ilvl w:val="1"/>
          <w:numId w:val="23"/>
        </w:numPr>
      </w:pPr>
      <w:r>
        <w:rPr>
          <w:lang w:val="ro"/>
        </w:rPr>
        <w:t>„legăturile părinte-copil” sunt un tip de legături economice. Legăturile părinte-copil presupun că o ofertă (copilul) poate fi activată doar dacă o altă ofertă specifică (părintele) a fost de asemenea activată, și nu viceversa;</w:t>
      </w:r>
    </w:p>
    <w:p w:rsidR="008F1DFB" w:rsidRPr="00074ED9" w:rsidRDefault="008F1DFB" w:rsidP="00FC69DE">
      <w:pPr>
        <w:pStyle w:val="Numbering2"/>
        <w:numPr>
          <w:ilvl w:val="1"/>
          <w:numId w:val="23"/>
        </w:numPr>
      </w:pPr>
      <w:r>
        <w:rPr>
          <w:lang w:val="ro"/>
        </w:rPr>
        <w:t>„OTS participant” înseamnă orice OTS membru ce utilizează Platforma mRRF pentru schimbul de produse standard de energie de echilibrare mRRF. În termen de treizeci de luni de la aprobarea prezentei mRRF-IF, toate OTS-urile membre devin OTS-uri participante, cu excepția OTS-urilor din zone RFP cu OTS-uri multiple care nu sunt desemnate prin intermediul convenției de exploatare de zonă RFP drept responsabile pentru implementarea și operarea mPRF în temeiul părții IV din SO GL, și în special în temeiul articolelor 141 și 143. Aceasta nu aduce atingere derogării în conformitate cu articolul 62 (2) (a) din EB GL;</w:t>
      </w:r>
    </w:p>
    <w:p w:rsidR="008F1DFB" w:rsidRPr="00FB4822" w:rsidRDefault="008F1DFB" w:rsidP="00FC69DE">
      <w:pPr>
        <w:pStyle w:val="Numbering2"/>
        <w:numPr>
          <w:ilvl w:val="1"/>
          <w:numId w:val="23"/>
        </w:numPr>
      </w:pPr>
      <w:r>
        <w:rPr>
          <w:lang w:val="ro"/>
        </w:rPr>
        <w:t>„momentul activării programate” înseamnă momentul în timp începând cu care se măsoară timpul de activare completă pentru activarea programată, și are loc cu 7,5 minute înaintea începutului sfertului de oră pentru care FSE-urile își plasează respectiva ofertă de produs standard de energie de echilibrare mRRF. FSE primește solicitarea de activare cu 12,5 minute înaintea activării complete așteptate;</w:t>
      </w:r>
    </w:p>
    <w:p w:rsidR="00EE0DF1" w:rsidRDefault="008F1DFB" w:rsidP="00FC69DE">
      <w:pPr>
        <w:pStyle w:val="Numbering2"/>
        <w:numPr>
          <w:ilvl w:val="1"/>
          <w:numId w:val="23"/>
        </w:numPr>
      </w:pPr>
      <w:r>
        <w:rPr>
          <w:lang w:val="ro"/>
        </w:rPr>
        <w:lastRenderedPageBreak/>
        <w:t>„oferta activabilă programat” înseamnă o ofertă de produs standard de energie de echilibrare mRRF care poate fi activată doar la un anumit moment în timp, și anume momentul activării programate, în ceea ce privește perioada de timp pentru care se transmite oferta de energie de echilibrare;</w:t>
      </w:r>
    </w:p>
    <w:p w:rsidR="008F1DFB" w:rsidRPr="00362616" w:rsidRDefault="00293149" w:rsidP="00FC69DE">
      <w:pPr>
        <w:pStyle w:val="Numbering2"/>
        <w:numPr>
          <w:ilvl w:val="1"/>
          <w:numId w:val="23"/>
        </w:numPr>
      </w:pPr>
      <w:r>
        <w:rPr>
          <w:lang w:val="ro"/>
        </w:rPr>
        <w:t xml:space="preserve"> </w:t>
      </w:r>
      <w:bookmarkStart w:id="42" w:name="_Hlk508982288"/>
      <w:r>
        <w:rPr>
          <w:lang w:val="ro"/>
        </w:rPr>
        <w:t xml:space="preserve">„produs standard de energie de echilibrare mRRF” </w:t>
      </w:r>
      <w:bookmarkEnd w:id="42"/>
      <w:r>
        <w:rPr>
          <w:lang w:val="ro"/>
        </w:rPr>
        <w:t>înseamnă produsul standard de energie de echilibrare provenită din mRRF;</w:t>
      </w:r>
    </w:p>
    <w:p w:rsidR="008F1DFB" w:rsidRDefault="008F1DFB" w:rsidP="00FC69DE">
      <w:pPr>
        <w:pStyle w:val="Numbering2"/>
        <w:numPr>
          <w:ilvl w:val="1"/>
          <w:numId w:val="23"/>
        </w:numPr>
      </w:pPr>
      <w:r>
        <w:rPr>
          <w:lang w:val="ro"/>
        </w:rPr>
        <w:t>„ofertă de produs standard de energie de echilibrare mRRF” înseamnă oferta de energie de echilibrare pentru un produs standard de energie de echilibrare mRRF;</w:t>
      </w:r>
    </w:p>
    <w:p w:rsidR="008F1DFB" w:rsidRPr="00074ED9" w:rsidRDefault="008F1DFB" w:rsidP="00FC69DE">
      <w:pPr>
        <w:pStyle w:val="Numbering2"/>
        <w:numPr>
          <w:ilvl w:val="1"/>
          <w:numId w:val="23"/>
        </w:numPr>
      </w:pPr>
      <w:r>
        <w:rPr>
          <w:lang w:val="ro"/>
        </w:rPr>
        <w:t xml:space="preserve">  „comitetul director” reprezintă organismul decizional al Platformei mRRF compus din reprezentanții nominalizați de către toate OTS-urile membre și este organismul supraordonat grupului de experți;</w:t>
      </w:r>
    </w:p>
    <w:p w:rsidR="00A24F41" w:rsidRDefault="008F1DFB" w:rsidP="00FC69DE">
      <w:pPr>
        <w:pStyle w:val="Numbering2"/>
        <w:numPr>
          <w:ilvl w:val="1"/>
          <w:numId w:val="23"/>
        </w:numPr>
      </w:pPr>
      <w:r>
        <w:rPr>
          <w:lang w:val="ro"/>
        </w:rPr>
        <w:t xml:space="preserve"> „legăturile tehnice” înseamnă legăturile dintre oferte în sferturile de oră consecutive sau în același sfert de oră, necesare pentru a evita situațiile în care activul subiacent realizează activări infezabile;</w:t>
      </w:r>
    </w:p>
    <w:p w:rsidR="000B2BD9" w:rsidRPr="00362616" w:rsidRDefault="008F1DFB" w:rsidP="00FC69DE">
      <w:pPr>
        <w:pStyle w:val="Numbering2"/>
        <w:numPr>
          <w:ilvl w:val="1"/>
          <w:numId w:val="23"/>
        </w:numPr>
      </w:pPr>
      <w:r>
        <w:rPr>
          <w:lang w:val="ro"/>
        </w:rPr>
        <w:t xml:space="preserve"> „utilizarea Platformei mRRF” înseamnă procesul de schimb al energiei mRRF între două sau mai multe zone RFP sau zone de ofertare prin intermediul Platformei mRRF în vederea efectuării procesului de restabilire a frecvenței pentru schimbul de energie de echilibrare din mRRF, unde activarea energiei de echilibrare din mRRF urmează principiul unei ordini de merit comune.</w:t>
      </w:r>
    </w:p>
    <w:p w:rsidR="0073508C" w:rsidRPr="00362616" w:rsidRDefault="0073508C" w:rsidP="00FC69DE">
      <w:pPr>
        <w:pStyle w:val="Numbering"/>
        <w:numPr>
          <w:ilvl w:val="0"/>
          <w:numId w:val="19"/>
        </w:numPr>
        <w:ind w:left="567" w:hanging="567"/>
      </w:pPr>
      <w:r>
        <w:rPr>
          <w:lang w:val="ro"/>
        </w:rPr>
        <w:t>În prezenta mRRF-IF, cu excepția cazului în care se impune diferit în context:</w:t>
      </w:r>
    </w:p>
    <w:p w:rsidR="0073508C" w:rsidRPr="00362616" w:rsidRDefault="0073508C" w:rsidP="00FC69DE">
      <w:pPr>
        <w:pStyle w:val="Numbering2"/>
        <w:numPr>
          <w:ilvl w:val="1"/>
          <w:numId w:val="54"/>
        </w:numPr>
      </w:pPr>
      <w:r>
        <w:rPr>
          <w:lang w:val="ro"/>
        </w:rPr>
        <w:t>singularul face referire și la plural, și viceversa;</w:t>
      </w:r>
    </w:p>
    <w:p w:rsidR="0073508C" w:rsidRDefault="00E01A83" w:rsidP="00FC69DE">
      <w:pPr>
        <w:pStyle w:val="Numbering2"/>
        <w:numPr>
          <w:ilvl w:val="1"/>
          <w:numId w:val="54"/>
        </w:numPr>
      </w:pPr>
      <w:r>
        <w:rPr>
          <w:lang w:val="ro"/>
        </w:rPr>
        <w:t xml:space="preserve">cuprinsul și anteturile sunt incluse doar în scopuri informative și nu afectează interpretarea prezentei mRRF-IF; </w:t>
      </w:r>
    </w:p>
    <w:p w:rsidR="00640CD4" w:rsidRDefault="00640CD4" w:rsidP="00FC69DE">
      <w:pPr>
        <w:pStyle w:val="Numbering2"/>
        <w:numPr>
          <w:ilvl w:val="1"/>
          <w:numId w:val="54"/>
        </w:numPr>
      </w:pPr>
      <w:r>
        <w:rPr>
          <w:lang w:val="ro"/>
        </w:rPr>
        <w:t>orice referințe la legislație, regulamente, directive, ordine, instrumente, coduri sau orice alte legiferări includ orice modificare, completare sau repromulgare în vigoare la momentul respectiv;</w:t>
      </w:r>
    </w:p>
    <w:p w:rsidR="00866C2E" w:rsidRPr="00137F46" w:rsidRDefault="00866C2E" w:rsidP="00FC69DE">
      <w:pPr>
        <w:pStyle w:val="Numbering2"/>
        <w:numPr>
          <w:ilvl w:val="1"/>
          <w:numId w:val="54"/>
        </w:numPr>
      </w:pPr>
      <w:bookmarkStart w:id="43" w:name="_Hlk531173554"/>
      <w:r>
        <w:rPr>
          <w:lang w:val="ro"/>
        </w:rPr>
        <w:t>orice trimitere la un articol fără a fi indicat documentul din care provine înseamnă o trimitere la prezenta mRRF-IF.</w:t>
      </w:r>
    </w:p>
    <w:p w:rsidR="00866C2E" w:rsidRDefault="00866C2E" w:rsidP="00C06CB8">
      <w:pPr>
        <w:spacing w:after="120" w:line="260" w:lineRule="exact"/>
        <w:jc w:val="center"/>
        <w:outlineLvl w:val="1"/>
        <w:rPr>
          <w:rFonts w:ascii="Times New Roman" w:hAnsi="Times New Roman" w:cs="Arial"/>
          <w:b/>
          <w:color w:val="23236E"/>
          <w:sz w:val="24"/>
        </w:rPr>
      </w:pPr>
      <w:bookmarkStart w:id="44" w:name="_Toc432586772"/>
      <w:bookmarkStart w:id="45" w:name="_Toc432586792"/>
      <w:bookmarkStart w:id="46" w:name="_Toc445298916"/>
      <w:bookmarkStart w:id="47" w:name="_Toc445299178"/>
      <w:bookmarkStart w:id="48" w:name="_Toc445825434"/>
      <w:bookmarkStart w:id="49" w:name="_Toc509331489"/>
      <w:bookmarkEnd w:id="43"/>
    </w:p>
    <w:p w:rsidR="004F245D" w:rsidRPr="00C06CB8" w:rsidRDefault="004F245D" w:rsidP="00F613FB">
      <w:pPr>
        <w:spacing w:after="120" w:line="260" w:lineRule="exact"/>
        <w:jc w:val="center"/>
        <w:outlineLvl w:val="1"/>
        <w:rPr>
          <w:rFonts w:ascii="Times New Roman" w:hAnsi="Times New Roman" w:cs="Arial"/>
          <w:b/>
          <w:color w:val="23236E"/>
          <w:sz w:val="24"/>
        </w:rPr>
      </w:pPr>
      <w:bookmarkStart w:id="50" w:name="_Toc531122443"/>
      <w:bookmarkStart w:id="51" w:name="_Toc531123797"/>
      <w:bookmarkStart w:id="52" w:name="_Toc532893390"/>
      <w:bookmarkStart w:id="53" w:name="_Hlk530760673"/>
      <w:r>
        <w:rPr>
          <w:rFonts w:ascii="Times New Roman" w:hAnsi="Times New Roman" w:cs="Arial"/>
          <w:b/>
          <w:bCs/>
          <w:color w:val="23236E"/>
          <w:sz w:val="24"/>
          <w:lang w:val="ro"/>
        </w:rPr>
        <w:t>Articolul 3</w:t>
      </w:r>
      <w:r>
        <w:rPr>
          <w:rFonts w:ascii="Times New Roman" w:hAnsi="Times New Roman" w:cs="Arial"/>
          <w:color w:val="23236E"/>
          <w:sz w:val="24"/>
          <w:lang w:val="ro"/>
        </w:rPr>
        <w:br/>
      </w:r>
      <w:bookmarkEnd w:id="44"/>
      <w:bookmarkEnd w:id="45"/>
      <w:bookmarkEnd w:id="46"/>
      <w:bookmarkEnd w:id="47"/>
      <w:bookmarkEnd w:id="48"/>
      <w:r>
        <w:rPr>
          <w:rFonts w:ascii="Times New Roman" w:hAnsi="Times New Roman" w:cs="Arial"/>
          <w:b/>
          <w:bCs/>
          <w:color w:val="23236E"/>
          <w:sz w:val="24"/>
          <w:lang w:val="ro"/>
        </w:rPr>
        <w:t>Proiectarea de principiu a Platformei mRRF</w:t>
      </w:r>
      <w:bookmarkEnd w:id="49"/>
      <w:bookmarkEnd w:id="50"/>
      <w:bookmarkEnd w:id="51"/>
      <w:bookmarkEnd w:id="52"/>
    </w:p>
    <w:p w:rsidR="0068782C" w:rsidRPr="0068782C" w:rsidRDefault="00113043" w:rsidP="00FC69DE">
      <w:pPr>
        <w:pStyle w:val="Numbering"/>
        <w:numPr>
          <w:ilvl w:val="0"/>
          <w:numId w:val="12"/>
        </w:numPr>
        <w:rPr>
          <w:szCs w:val="24"/>
        </w:rPr>
      </w:pPr>
      <w:bookmarkStart w:id="54" w:name="_Hlk530760699"/>
      <w:bookmarkStart w:id="55" w:name="_Toc445298917"/>
      <w:bookmarkStart w:id="56" w:name="_Toc445299179"/>
      <w:bookmarkStart w:id="57" w:name="_Toc445825435"/>
      <w:bookmarkStart w:id="58" w:name="_Toc509331490"/>
      <w:bookmarkEnd w:id="53"/>
      <w:r>
        <w:rPr>
          <w:rFonts w:asciiTheme="minorHAnsi" w:hAnsiTheme="minorHAnsi" w:cstheme="minorHAnsi"/>
          <w:lang w:val="ro"/>
        </w:rPr>
        <w:t>Platforma mRRF stabilește un proces de activare a mRRF transfrontaliere în conformitate cu articolul 147 și articolul 149 din SO GL.</w:t>
      </w:r>
    </w:p>
    <w:p w:rsidR="0068782C" w:rsidRDefault="00557A84" w:rsidP="00FC69DE">
      <w:pPr>
        <w:pStyle w:val="Numbering"/>
        <w:numPr>
          <w:ilvl w:val="0"/>
          <w:numId w:val="12"/>
        </w:numPr>
      </w:pPr>
      <w:r>
        <w:rPr>
          <w:lang w:val="ro"/>
        </w:rPr>
        <w:t>Platforma mRRF include toate zonele RFP sau zonele de ofertare ale OTS-urilor participante în conformitate cu articolul 147 din SO GL și granițele de echilibrare mRRF.</w:t>
      </w:r>
    </w:p>
    <w:p w:rsidR="0068782C" w:rsidRDefault="00CF5C71" w:rsidP="00FC69DE">
      <w:pPr>
        <w:pStyle w:val="Numbering"/>
        <w:numPr>
          <w:ilvl w:val="0"/>
          <w:numId w:val="12"/>
        </w:numPr>
      </w:pPr>
      <w:r>
        <w:rPr>
          <w:lang w:val="ro"/>
        </w:rPr>
        <w:t>Platforma mRRF constă din funcția de optimizare a activării și din funcția de decontare OTS-OTS.</w:t>
      </w:r>
    </w:p>
    <w:p w:rsidR="00CF5C71" w:rsidRPr="00E87378" w:rsidRDefault="00CF5C71" w:rsidP="00FC69DE">
      <w:pPr>
        <w:pStyle w:val="Numbering"/>
        <w:numPr>
          <w:ilvl w:val="0"/>
          <w:numId w:val="12"/>
        </w:numPr>
      </w:pPr>
      <w:r>
        <w:rPr>
          <w:lang w:val="ro"/>
        </w:rPr>
        <w:t>Un OTS poate utiliza cererea mRRF elastică, cu întrunirea următoarelor condiții:</w:t>
      </w:r>
    </w:p>
    <w:p w:rsidR="00CF5C71" w:rsidRPr="00E87378" w:rsidRDefault="00CF5C71" w:rsidP="00FC69DE">
      <w:pPr>
        <w:pStyle w:val="Numbering2"/>
        <w:numPr>
          <w:ilvl w:val="1"/>
          <w:numId w:val="53"/>
        </w:numPr>
      </w:pPr>
      <w:r>
        <w:rPr>
          <w:lang w:val="ro"/>
        </w:rPr>
        <w:t>cererea mRRF elastică poate fi transmisă doar pentru licitațiile programate. Cererea pentru activarea directă este întotdeauna inelastică.</w:t>
      </w:r>
    </w:p>
    <w:p w:rsidR="00CF5C71" w:rsidRPr="00E87378" w:rsidRDefault="00CF5C71" w:rsidP="00FC69DE">
      <w:pPr>
        <w:pStyle w:val="Numbering2"/>
        <w:numPr>
          <w:ilvl w:val="1"/>
          <w:numId w:val="53"/>
        </w:numPr>
        <w:ind w:left="720" w:hanging="380"/>
      </w:pPr>
      <w:r>
        <w:rPr>
          <w:lang w:val="ro"/>
        </w:rPr>
        <w:t>principiile generale pentru aplicarea cererii mRRF elastice se comunică tuturor ANR-urilor.</w:t>
      </w:r>
    </w:p>
    <w:p w:rsidR="0068782C" w:rsidRDefault="00CF5C71" w:rsidP="00FC69DE">
      <w:pPr>
        <w:pStyle w:val="Numbering2"/>
        <w:numPr>
          <w:ilvl w:val="1"/>
          <w:numId w:val="53"/>
        </w:numPr>
        <w:ind w:left="720" w:hanging="380"/>
      </w:pPr>
      <w:r>
        <w:rPr>
          <w:lang w:val="ro"/>
        </w:rPr>
        <w:t>cererea mRRF elastică nu se utilizează în așa fel încât să impună un plafon permanent asupra prețurilor energiei de echilibrare.</w:t>
      </w:r>
      <w:bookmarkStart w:id="59" w:name="_Hlk531625944"/>
      <w:bookmarkStart w:id="60" w:name="_Hlk507401235"/>
    </w:p>
    <w:p w:rsidR="00113043" w:rsidRDefault="002A6C3D" w:rsidP="00FC69DE">
      <w:pPr>
        <w:pStyle w:val="Numbering2"/>
        <w:numPr>
          <w:ilvl w:val="0"/>
          <w:numId w:val="64"/>
        </w:numPr>
      </w:pPr>
      <w:r>
        <w:rPr>
          <w:lang w:val="ro"/>
        </w:rPr>
        <w:t xml:space="preserve">Datele de intrare pentru funcția de optimizare a activării a Platformei mRRF </w:t>
      </w:r>
      <w:bookmarkEnd w:id="59"/>
      <w:r>
        <w:rPr>
          <w:lang w:val="ro"/>
        </w:rPr>
        <w:t>sunt:</w:t>
      </w:r>
    </w:p>
    <w:p w:rsidR="00113043" w:rsidRDefault="00A86567" w:rsidP="00FC69DE">
      <w:pPr>
        <w:pStyle w:val="Numbering2"/>
        <w:numPr>
          <w:ilvl w:val="1"/>
          <w:numId w:val="36"/>
        </w:numPr>
      </w:pPr>
      <w:r>
        <w:rPr>
          <w:lang w:val="ro"/>
        </w:rPr>
        <w:lastRenderedPageBreak/>
        <w:t xml:space="preserve"> cererea mRRF din fiecare zonă RFP sau zonă de ofertare, în cazul în care o zonă RFP constă din mai multe zone de ofertare, a fiecărui OTS participant. În cazul în care se estimează o cerere mRRF comună pentru toate zonele RFP dintr-un bloc RFP, OTS-ul participant responsabil cu estimarea cererii mRRF transmite cererea mRRF pentru blocul RFP. Platforma mRRF optimizează activarea ofertelor de produs standard de energie de echilibrare mRRF situate în toate zonele RFP din acest bloc RFP;</w:t>
      </w:r>
      <w:bookmarkEnd w:id="60"/>
    </w:p>
    <w:p w:rsidR="006E7D7C" w:rsidRPr="00A4294B" w:rsidRDefault="006E7D7C" w:rsidP="00FC69DE">
      <w:pPr>
        <w:pStyle w:val="Numbering2"/>
        <w:numPr>
          <w:ilvl w:val="1"/>
          <w:numId w:val="11"/>
        </w:numPr>
        <w:rPr>
          <w:szCs w:val="22"/>
        </w:rPr>
      </w:pPr>
      <w:r>
        <w:rPr>
          <w:szCs w:val="22"/>
          <w:lang w:val="ro"/>
        </w:rPr>
        <w:t xml:space="preserve">limitele capacității </w:t>
      </w:r>
      <w:r>
        <w:rPr>
          <w:lang w:val="ro"/>
        </w:rPr>
        <w:t xml:space="preserve">transfrontaliere mRRF </w:t>
      </w:r>
      <w:r>
        <w:rPr>
          <w:szCs w:val="22"/>
          <w:lang w:val="ro"/>
        </w:rPr>
        <w:t>pentru granițele de echilibrare mRRF în cauză, fiind raportate în mod continuu către Platforma mRRF;</w:t>
      </w:r>
    </w:p>
    <w:p w:rsidR="00C76BCA" w:rsidRPr="00C76BCA" w:rsidRDefault="00BB29CE" w:rsidP="00FC69DE">
      <w:pPr>
        <w:pStyle w:val="Numbering2"/>
        <w:numPr>
          <w:ilvl w:val="1"/>
          <w:numId w:val="11"/>
        </w:numPr>
        <w:rPr>
          <w:szCs w:val="22"/>
        </w:rPr>
      </w:pPr>
      <w:r>
        <w:rPr>
          <w:lang w:val="ro"/>
        </w:rPr>
        <w:t>lista ofertelor de produs standard de energie de echilibrare mRRF pentru zona RFP sau zona de ofertare, în cazul în care o zonă RFP constă din mai multe zone de ofertare, a fiecărui OTS participant, care include toate ofertele de produs standard de energie de echilibrare mRRF din fiecare zonă de ofertare care aparține zonei RFP a OTS-ului emitent;</w:t>
      </w:r>
    </w:p>
    <w:p w:rsidR="00C76BCA" w:rsidRDefault="00BB29CE" w:rsidP="00FC69DE">
      <w:pPr>
        <w:pStyle w:val="Numbering2"/>
        <w:numPr>
          <w:ilvl w:val="1"/>
          <w:numId w:val="11"/>
        </w:numPr>
        <w:rPr>
          <w:szCs w:val="22"/>
        </w:rPr>
      </w:pPr>
      <w:r>
        <w:rPr>
          <w:lang w:val="ro"/>
        </w:rPr>
        <w:t>starea de disponibilitate a ofertelor de produs de energie de echilibrare mRRF care devin disponibile sau indisponibile după ora de închidere a porții pentru transmiterea de oferte de energie de către OTS în conformitate cu articolul 9 (2) din prezenta mRRF-IF;</w:t>
      </w:r>
    </w:p>
    <w:p w:rsidR="00A176EE" w:rsidRDefault="00A176EE" w:rsidP="00FC69DE">
      <w:pPr>
        <w:pStyle w:val="Numbering2"/>
        <w:numPr>
          <w:ilvl w:val="1"/>
          <w:numId w:val="11"/>
        </w:numPr>
      </w:pPr>
      <w:r>
        <w:rPr>
          <w:lang w:val="ro"/>
        </w:rPr>
        <w:t>restricțiile de siguranță în funcționare furnizate de către OTS-urile participante sau OTS-urile afectate în conformitate cu articolul 150 din SO GL, acolo unde este cazul;</w:t>
      </w:r>
    </w:p>
    <w:p w:rsidR="00D567F2" w:rsidRDefault="007D6657" w:rsidP="00FC69DE">
      <w:pPr>
        <w:pStyle w:val="Numbering2"/>
        <w:numPr>
          <w:ilvl w:val="1"/>
          <w:numId w:val="11"/>
        </w:numPr>
      </w:pPr>
      <w:bookmarkStart w:id="61" w:name="_Hlk531625978"/>
      <w:r>
        <w:rPr>
          <w:lang w:val="ro"/>
        </w:rPr>
        <w:t xml:space="preserve">acolo unde este cazul, solicitările de restricții de sistem transmise de OTS-ul(urile) participant(e) în conformitate cu propunerea în temeiul articolului 29 (3) din EB GL; </w:t>
      </w:r>
    </w:p>
    <w:bookmarkEnd w:id="61"/>
    <w:p w:rsidR="00113043" w:rsidRPr="00362616" w:rsidRDefault="00C76BCA" w:rsidP="00FC69DE">
      <w:pPr>
        <w:pStyle w:val="Numbering2"/>
        <w:numPr>
          <w:ilvl w:val="1"/>
          <w:numId w:val="11"/>
        </w:numPr>
      </w:pPr>
      <w:r>
        <w:rPr>
          <w:lang w:val="ro"/>
        </w:rPr>
        <w:t>alte date de intrare pentru funcția de optimizare a activării pot fi informații ce asigură o comunicare sigură și corectă, stabilitatea sistemului IT, monitorizarea funcționării sistemului și publicarea.</w:t>
      </w:r>
    </w:p>
    <w:p w:rsidR="0068782C" w:rsidRPr="0068782C" w:rsidRDefault="009D6E02" w:rsidP="00FC69DE">
      <w:pPr>
        <w:pStyle w:val="Numbering"/>
        <w:numPr>
          <w:ilvl w:val="0"/>
          <w:numId w:val="65"/>
        </w:numPr>
      </w:pPr>
      <w:r>
        <w:rPr>
          <w:lang w:val="ro"/>
        </w:rPr>
        <w:t>OTS-urile participante care aplică modelul de dispecerizare la nivel central, în temeiul articolului 27 din EB GL, convertesc ofertele procesului integrat de planificare primite din partea FSE-urilor în oferte de produs standard de energie de echilibrare mRRF și apoi trimit ofertele de produs standard de energie de echilibrare mRRF către Platforma mRRF.</w:t>
      </w:r>
    </w:p>
    <w:p w:rsidR="0068782C" w:rsidRDefault="003D68F1" w:rsidP="00FC69DE">
      <w:pPr>
        <w:pStyle w:val="Numbering"/>
        <w:numPr>
          <w:ilvl w:val="0"/>
          <w:numId w:val="65"/>
        </w:numPr>
      </w:pPr>
      <w:r>
        <w:rPr>
          <w:lang w:val="ro"/>
        </w:rPr>
        <w:t>Funcția de optimizare a activării fuzionează listele de oferte de produs standard de energie de echilibrare mRRF pentru fiecare zonă RFP sau zonă de ofertare a fiecărui OTS participant, furnizate în conformitate cu articolul 10 din prezenta mRRF-IF, creând listele cu ordine de merit comune.</w:t>
      </w:r>
    </w:p>
    <w:p w:rsidR="0068782C" w:rsidRDefault="0091648F" w:rsidP="00FC69DE">
      <w:pPr>
        <w:pStyle w:val="Numbering"/>
        <w:numPr>
          <w:ilvl w:val="0"/>
          <w:numId w:val="65"/>
        </w:numPr>
      </w:pPr>
      <w:r>
        <w:rPr>
          <w:lang w:val="ro"/>
        </w:rPr>
        <w:t>Limitele capacității transfrontaliere mRRF sunt determinate în conformitate cu articolul 4 din prezenta mRRF-IF.</w:t>
      </w:r>
    </w:p>
    <w:p w:rsidR="003D68F1" w:rsidRDefault="003D68F1" w:rsidP="00FC69DE">
      <w:pPr>
        <w:pStyle w:val="Numbering"/>
        <w:numPr>
          <w:ilvl w:val="0"/>
          <w:numId w:val="65"/>
        </w:numPr>
      </w:pPr>
      <w:r>
        <w:rPr>
          <w:lang w:val="ro"/>
        </w:rPr>
        <w:t>Datele de ieșire ale funcției de optimizare a activării sunt:</w:t>
      </w:r>
    </w:p>
    <w:p w:rsidR="003D68F1" w:rsidRDefault="003D68F1" w:rsidP="003D68F1">
      <w:pPr>
        <w:pStyle w:val="Numbering"/>
        <w:numPr>
          <w:ilvl w:val="1"/>
          <w:numId w:val="8"/>
        </w:numPr>
      </w:pPr>
      <w:r>
        <w:rPr>
          <w:lang w:val="ro"/>
        </w:rPr>
        <w:t xml:space="preserve"> transferul de putere la restabilirea manuală a frecvenței pe granițele de echilibrare mRRF conform definițiilor prevăzute la articolul 147 din SO GL; </w:t>
      </w:r>
    </w:p>
    <w:p w:rsidR="003D68F1" w:rsidRDefault="00F141DD" w:rsidP="003D68F1">
      <w:pPr>
        <w:pStyle w:val="Numbering"/>
        <w:numPr>
          <w:ilvl w:val="1"/>
          <w:numId w:val="8"/>
        </w:numPr>
      </w:pPr>
      <w:r>
        <w:rPr>
          <w:lang w:val="ro"/>
        </w:rPr>
        <w:t>volumul de activări de energie de echilibrare provenit din produse standard de energie de echilibrare mRRF;</w:t>
      </w:r>
    </w:p>
    <w:p w:rsidR="00E17EDD" w:rsidRDefault="00E17EDD" w:rsidP="00E17EDD">
      <w:pPr>
        <w:pStyle w:val="Numbering"/>
        <w:numPr>
          <w:ilvl w:val="1"/>
          <w:numId w:val="8"/>
        </w:numPr>
      </w:pPr>
      <w:r>
        <w:rPr>
          <w:lang w:val="ro"/>
        </w:rPr>
        <w:t>volumul cererii de energie de echilibrare mRRF satisfăcute;</w:t>
      </w:r>
    </w:p>
    <w:p w:rsidR="00F141DD" w:rsidRDefault="00F141DD" w:rsidP="00F141DD">
      <w:pPr>
        <w:pStyle w:val="Numbering"/>
        <w:numPr>
          <w:ilvl w:val="1"/>
          <w:numId w:val="8"/>
        </w:numPr>
      </w:pPr>
      <w:r>
        <w:rPr>
          <w:lang w:val="ro"/>
        </w:rPr>
        <w:t>poziția netă a fiecărei zone RFP sau zone de ofertare care rezultă din Platforma mRRF;</w:t>
      </w:r>
    </w:p>
    <w:p w:rsidR="003D68F1" w:rsidRDefault="003D68F1" w:rsidP="00F141DD">
      <w:pPr>
        <w:pStyle w:val="Numbering"/>
        <w:numPr>
          <w:ilvl w:val="1"/>
          <w:numId w:val="8"/>
        </w:numPr>
      </w:pPr>
      <w:r>
        <w:rPr>
          <w:lang w:val="ro"/>
        </w:rPr>
        <w:t xml:space="preserve">prețurile pentru energia de echilibrare mRRF determinate folosind metodologia propusă în conformitate cu articolul 30 (1) din EB GL; </w:t>
      </w:r>
    </w:p>
    <w:p w:rsidR="003D68F1" w:rsidRDefault="003D68F1" w:rsidP="003D68F1">
      <w:pPr>
        <w:pStyle w:val="Numbering"/>
        <w:numPr>
          <w:ilvl w:val="1"/>
          <w:numId w:val="8"/>
        </w:numPr>
      </w:pPr>
      <w:r>
        <w:rPr>
          <w:lang w:val="ro"/>
        </w:rPr>
        <w:lastRenderedPageBreak/>
        <w:t>prețurile pentru capacitatea interzonală folosită pentru schimbul de produse standard de energie de echilibrare mRRF determinate folosind metodologia propusă în conformitate cu articolul 30 (3) din EB GL;</w:t>
      </w:r>
    </w:p>
    <w:p w:rsidR="00D81471" w:rsidRPr="00A4294B" w:rsidRDefault="00D81471" w:rsidP="00D81471">
      <w:pPr>
        <w:pStyle w:val="Numbering"/>
        <w:numPr>
          <w:ilvl w:val="1"/>
          <w:numId w:val="8"/>
        </w:numPr>
      </w:pPr>
      <w:r>
        <w:rPr>
          <w:lang w:val="ro"/>
        </w:rPr>
        <w:t>alte date de ieșire pentru funcția de optimizare a activării pot fi informații ce asigură o comunicare sigură și corectă, stabilitatea sistemului IT, monitorizarea funcționării sistemului și date relevante pentru calculul indicatorilor de performanță în conformitate cu articolul 59 (4) din EB GL.</w:t>
      </w:r>
    </w:p>
    <w:p w:rsidR="004139C0" w:rsidRPr="00CF2771" w:rsidRDefault="00113043" w:rsidP="00FC69DE">
      <w:pPr>
        <w:pStyle w:val="Numbering"/>
        <w:numPr>
          <w:ilvl w:val="0"/>
          <w:numId w:val="66"/>
        </w:numPr>
      </w:pPr>
      <w:bookmarkStart w:id="62" w:name="_Hlk531686597"/>
      <w:r>
        <w:rPr>
          <w:lang w:val="ro"/>
        </w:rPr>
        <w:t>Structura Platformei mRRF asigură că fiecare OTS participant are acces, la orice moment, la volumul ofertelor transmise, la solicitarea sa. Fiecare OTS participant specifică faptul că o ofertă a devenit indisponibilă din acest motiv atunci când declară o ofertă drept indisponibilă în temeiul articolului 29 (14) din EB GL, și publică această informație împreună cu informațiile conform cărora oferta a fost sau nu declarată drept indisponibilă, în conformitate cu articolul 12 (3) (b) (v) din EB GL, pentru a asigura transparența.</w:t>
      </w:r>
    </w:p>
    <w:p w:rsidR="00270D48" w:rsidRDefault="00270D48" w:rsidP="00FC69DE">
      <w:pPr>
        <w:pStyle w:val="Numbering"/>
        <w:numPr>
          <w:ilvl w:val="0"/>
          <w:numId w:val="66"/>
        </w:numPr>
        <w:ind w:left="567" w:hanging="454"/>
      </w:pPr>
      <w:bookmarkStart w:id="63" w:name="_Hlk531546338"/>
      <w:bookmarkEnd w:id="62"/>
      <w:r>
        <w:rPr>
          <w:lang w:val="ro"/>
        </w:rPr>
        <w:t xml:space="preserve">Fiecare OTS participant poate solicita activarea unui volum de oferte de produs standard de energie de echilibrare mRRF din listele cu ordine de merit comune mai mare decât volumul total de energie de echilibrare transmis de către OTS-ul în cauză către Platforma mRRF, în conformitate cu articolul 29 (13) din EB GL, și ținând cont de structura responsabilității proceselor conform prevederilor articolului 11 (3) din prezenta mRRF-IF. </w:t>
      </w:r>
    </w:p>
    <w:bookmarkEnd w:id="63"/>
    <w:p w:rsidR="00113043" w:rsidRDefault="00113043" w:rsidP="00FC69DE">
      <w:pPr>
        <w:pStyle w:val="Numbering"/>
        <w:numPr>
          <w:ilvl w:val="0"/>
          <w:numId w:val="66"/>
        </w:numPr>
        <w:ind w:left="567" w:hanging="567"/>
      </w:pPr>
      <w:r>
        <w:rPr>
          <w:lang w:val="ro"/>
        </w:rPr>
        <w:t>Datele de intrare pentru funcția de decontare OTS-OTS sunt următoarele:</w:t>
      </w:r>
    </w:p>
    <w:p w:rsidR="00113043" w:rsidRDefault="00F51EF0" w:rsidP="00FC69DE">
      <w:pPr>
        <w:pStyle w:val="Numbering2"/>
        <w:numPr>
          <w:ilvl w:val="1"/>
          <w:numId w:val="37"/>
        </w:numPr>
      </w:pPr>
      <w:r>
        <w:rPr>
          <w:lang w:val="ro"/>
        </w:rPr>
        <w:t>transferul de putere la restabilirea manuală a frecvenței pe granițele de echilibrare mRRF în conformitate cu articolul 3 (9) (a) din prezenta mRRF-IF;</w:t>
      </w:r>
    </w:p>
    <w:p w:rsidR="009648EA" w:rsidRDefault="00113043" w:rsidP="00FC69DE">
      <w:pPr>
        <w:pStyle w:val="Numbering2"/>
        <w:numPr>
          <w:ilvl w:val="1"/>
          <w:numId w:val="37"/>
        </w:numPr>
      </w:pPr>
      <w:r>
        <w:rPr>
          <w:lang w:val="ro"/>
        </w:rPr>
        <w:t>prețurile solicitate de către propunerea privind regulile comune de decontare în conformitate cu articolul 50 (1) din EB GL și furnizate de către funcția de optimizare a activării în conformitate cu articolul 3 (9) (e) și 3 (9) (f) din prezenta mRRF-IF;</w:t>
      </w:r>
    </w:p>
    <w:p w:rsidR="00CA70F3" w:rsidRPr="00CA70F3" w:rsidRDefault="00CA70F3" w:rsidP="00FC69DE">
      <w:pPr>
        <w:pStyle w:val="Numbering2"/>
        <w:numPr>
          <w:ilvl w:val="1"/>
          <w:numId w:val="37"/>
        </w:numPr>
        <w:rPr>
          <w:szCs w:val="22"/>
        </w:rPr>
      </w:pPr>
      <w:r>
        <w:rPr>
          <w:lang w:val="ro"/>
        </w:rPr>
        <w:t>alte date de intrare ale funcției de decontare OTS-OTS pot fi informații care asigură robustețea și corectitudinea procesului de decontare și datele financiare pentru facturare.</w:t>
      </w:r>
    </w:p>
    <w:p w:rsidR="00113043" w:rsidRDefault="00F26DF7" w:rsidP="00FC69DE">
      <w:pPr>
        <w:pStyle w:val="Numbering"/>
        <w:numPr>
          <w:ilvl w:val="0"/>
          <w:numId w:val="66"/>
        </w:numPr>
        <w:ind w:left="567" w:hanging="567"/>
      </w:pPr>
      <w:r>
        <w:rPr>
          <w:lang w:val="ro"/>
        </w:rPr>
        <w:t>Funcția de decontare OTS-OTS determină datele de ieșire folosind metodologia propusă în conformitate cu articolul 50 (1) din EB GL. Datele de ieșire pentru funcția de decontare OTS-OTS sunt următoarele:</w:t>
      </w:r>
    </w:p>
    <w:p w:rsidR="00113043" w:rsidRPr="00C46C0B" w:rsidRDefault="00113043" w:rsidP="00FC69DE">
      <w:pPr>
        <w:pStyle w:val="Numbering2"/>
        <w:numPr>
          <w:ilvl w:val="1"/>
          <w:numId w:val="35"/>
        </w:numPr>
        <w:rPr>
          <w:rFonts w:asciiTheme="minorHAnsi" w:hAnsiTheme="minorHAnsi" w:cstheme="minorHAnsi"/>
        </w:rPr>
      </w:pPr>
      <w:r>
        <w:rPr>
          <w:lang w:val="ro"/>
        </w:rPr>
        <w:t>schimbul planificat de energie de echilibrare mRRF pentru decontare pentru fiecare OTS participant pe fiecare perioadă de decontare OTS-OTS</w:t>
      </w:r>
      <w:r>
        <w:rPr>
          <w:rFonts w:asciiTheme="minorHAnsi" w:hAnsiTheme="minorHAnsi"/>
          <w:lang w:val="ro"/>
        </w:rPr>
        <w:t>;</w:t>
      </w:r>
    </w:p>
    <w:p w:rsidR="00113043" w:rsidRPr="003151B9" w:rsidRDefault="00113043" w:rsidP="00FC69DE">
      <w:pPr>
        <w:pStyle w:val="Numbering2"/>
        <w:numPr>
          <w:ilvl w:val="1"/>
          <w:numId w:val="64"/>
        </w:numPr>
        <w:rPr>
          <w:rFonts w:asciiTheme="minorHAnsi" w:hAnsiTheme="minorHAnsi" w:cstheme="minorHAnsi"/>
        </w:rPr>
      </w:pPr>
      <w:r>
        <w:rPr>
          <w:rFonts w:asciiTheme="minorHAnsi" w:hAnsiTheme="minorHAnsi"/>
          <w:lang w:val="ro"/>
        </w:rPr>
        <w:t xml:space="preserve">prețurile de decontare </w:t>
      </w:r>
      <w:r>
        <w:rPr>
          <w:lang w:val="ro"/>
        </w:rPr>
        <w:t>pentru schimburile planificate de energie de echilibrare mRRF ca rezultat al mPRF pentru fiecare OTS participant pe fiecare perioadă de decontare OTS-OTS</w:t>
      </w:r>
      <w:r>
        <w:rPr>
          <w:rFonts w:asciiTheme="minorHAnsi" w:hAnsiTheme="minorHAnsi"/>
          <w:lang w:val="ro"/>
        </w:rPr>
        <w:t>;</w:t>
      </w:r>
    </w:p>
    <w:p w:rsidR="00113043" w:rsidRDefault="00086B0B" w:rsidP="00FC69DE">
      <w:pPr>
        <w:pStyle w:val="Numbering2"/>
        <w:numPr>
          <w:ilvl w:val="1"/>
          <w:numId w:val="64"/>
        </w:numPr>
        <w:rPr>
          <w:rFonts w:asciiTheme="minorHAnsi" w:hAnsiTheme="minorHAnsi" w:cstheme="minorHAnsi"/>
        </w:rPr>
      </w:pPr>
      <w:r>
        <w:rPr>
          <w:lang w:val="ro"/>
        </w:rPr>
        <w:t xml:space="preserve">calculul și distribuția </w:t>
      </w:r>
      <w:r>
        <w:rPr>
          <w:rFonts w:asciiTheme="minorHAnsi" w:hAnsiTheme="minorHAnsi"/>
          <w:lang w:val="ro"/>
        </w:rPr>
        <w:t xml:space="preserve">sumelor financiare </w:t>
      </w:r>
      <w:r>
        <w:rPr>
          <w:lang w:val="ro"/>
        </w:rPr>
        <w:t>rezultate din diferența de prețuri pentru energia de echilibrare între zonele RFP sau zonele de ofertare</w:t>
      </w:r>
      <w:r>
        <w:rPr>
          <w:rFonts w:asciiTheme="minorHAnsi" w:hAnsiTheme="minorHAnsi"/>
          <w:lang w:val="ro"/>
        </w:rPr>
        <w:t>;</w:t>
      </w:r>
    </w:p>
    <w:p w:rsidR="002C18DD" w:rsidRPr="00A4294B" w:rsidRDefault="002C18DD" w:rsidP="00FC69DE">
      <w:pPr>
        <w:pStyle w:val="Numbering2"/>
        <w:numPr>
          <w:ilvl w:val="1"/>
          <w:numId w:val="64"/>
        </w:numPr>
      </w:pPr>
      <w:r>
        <w:rPr>
          <w:lang w:val="ro"/>
        </w:rPr>
        <w:t>alte date de ieșire pentru funcția de decontare OTS-OTS pot fi informații ce asigură o comunicare sigură și corectă, stabilitatea sistemului IT, monitorizarea funcționării sistemului și date relevante pentru calculul indicatorilor de performanță în conformitate cu articolul 59 (4) din EB GL.</w:t>
      </w:r>
    </w:p>
    <w:p w:rsidR="000422E2" w:rsidRPr="000422E2" w:rsidRDefault="000422E2" w:rsidP="00FC69DE">
      <w:pPr>
        <w:pStyle w:val="Numbering"/>
        <w:numPr>
          <w:ilvl w:val="0"/>
          <w:numId w:val="66"/>
        </w:numPr>
        <w:rPr>
          <w:rFonts w:asciiTheme="minorHAnsi" w:hAnsiTheme="minorHAnsi" w:cstheme="minorHAnsi"/>
        </w:rPr>
      </w:pPr>
      <w:bookmarkStart w:id="64" w:name="_Hlk531120622"/>
      <w:r>
        <w:rPr>
          <w:rFonts w:asciiTheme="minorHAnsi" w:hAnsiTheme="minorHAnsi" w:cstheme="minorHAnsi"/>
          <w:lang w:val="ro"/>
        </w:rPr>
        <w:t xml:space="preserve">Platforma mRRF implementează: </w:t>
      </w:r>
    </w:p>
    <w:p w:rsidR="000422E2" w:rsidRPr="000422E2" w:rsidRDefault="000422E2" w:rsidP="00FC69DE">
      <w:pPr>
        <w:pStyle w:val="Numbering"/>
        <w:numPr>
          <w:ilvl w:val="1"/>
          <w:numId w:val="66"/>
        </w:numPr>
        <w:rPr>
          <w:rFonts w:asciiTheme="minorHAnsi" w:hAnsiTheme="minorHAnsi" w:cstheme="minorHAnsi"/>
        </w:rPr>
      </w:pPr>
      <w:r>
        <w:rPr>
          <w:rFonts w:asciiTheme="minorHAnsi" w:hAnsiTheme="minorHAnsi" w:cstheme="minorHAnsi"/>
          <w:lang w:val="ro"/>
        </w:rPr>
        <w:t>metodologia de stabilire a prețului definită în propunerea transmisă în conformitate cu articolul 30 din EB GL;</w:t>
      </w:r>
    </w:p>
    <w:p w:rsidR="000422E2" w:rsidRPr="000422E2" w:rsidRDefault="000422E2" w:rsidP="00FC69DE">
      <w:pPr>
        <w:pStyle w:val="Numbering"/>
        <w:numPr>
          <w:ilvl w:val="1"/>
          <w:numId w:val="66"/>
        </w:numPr>
        <w:rPr>
          <w:rFonts w:asciiTheme="minorHAnsi" w:hAnsiTheme="minorHAnsi" w:cstheme="minorHAnsi"/>
        </w:rPr>
      </w:pPr>
      <w:r>
        <w:rPr>
          <w:rFonts w:asciiTheme="minorHAnsi" w:hAnsiTheme="minorHAnsi" w:cstheme="minorHAnsi"/>
          <w:lang w:val="ro"/>
        </w:rPr>
        <w:t>metodologia cu privire la scopul activării în conformitate cu articolul 29 din EB GL;</w:t>
      </w:r>
    </w:p>
    <w:p w:rsidR="000422E2" w:rsidRPr="000422E2" w:rsidRDefault="000422E2" w:rsidP="00FC69DE">
      <w:pPr>
        <w:pStyle w:val="Numbering"/>
        <w:numPr>
          <w:ilvl w:val="1"/>
          <w:numId w:val="66"/>
        </w:numPr>
        <w:rPr>
          <w:rFonts w:asciiTheme="minorHAnsi" w:hAnsiTheme="minorHAnsi" w:cstheme="minorHAnsi"/>
        </w:rPr>
      </w:pPr>
      <w:r>
        <w:rPr>
          <w:rFonts w:asciiTheme="minorHAnsi" w:hAnsiTheme="minorHAnsi" w:cstheme="minorHAnsi"/>
          <w:lang w:val="ro"/>
        </w:rPr>
        <w:lastRenderedPageBreak/>
        <w:t>regulile comune de decontare propuse în conformitate cu articolul 50 din EB GL.</w:t>
      </w:r>
    </w:p>
    <w:bookmarkEnd w:id="64"/>
    <w:p w:rsidR="00113043" w:rsidRPr="00074ED9" w:rsidRDefault="00113043" w:rsidP="00FC69DE">
      <w:pPr>
        <w:pStyle w:val="Numbering"/>
        <w:numPr>
          <w:ilvl w:val="0"/>
          <w:numId w:val="66"/>
        </w:numPr>
        <w:ind w:left="567" w:hanging="567"/>
        <w:rPr>
          <w:rFonts w:asciiTheme="minorHAnsi" w:hAnsiTheme="minorHAnsi" w:cstheme="minorHAnsi"/>
        </w:rPr>
      </w:pPr>
      <w:r>
        <w:rPr>
          <w:rFonts w:asciiTheme="minorHAnsi" w:hAnsiTheme="minorHAnsi" w:cstheme="minorHAnsi"/>
          <w:lang w:val="ro"/>
        </w:rPr>
        <w:t>Fiecare OTS participant implementează și realizează procedurile necesare pentru decontarea schimburilor planificate de energie din mPRF transfrontaliere într-o manieră corespunzătoare și în timp util.</w:t>
      </w:r>
    </w:p>
    <w:p w:rsidR="00CA5E6E" w:rsidRPr="00BE1E80" w:rsidRDefault="000422E2" w:rsidP="00FC69DE">
      <w:pPr>
        <w:pStyle w:val="Numbering"/>
        <w:numPr>
          <w:ilvl w:val="0"/>
          <w:numId w:val="66"/>
        </w:numPr>
        <w:ind w:left="567" w:hanging="454"/>
      </w:pPr>
      <w:r>
        <w:rPr>
          <w:lang w:val="ro"/>
        </w:rPr>
        <w:t xml:space="preserve">Platforma mRRF este implementată prin intermediul unui model OTS-OTS, ceea ce înseamnă în special că: </w:t>
      </w:r>
    </w:p>
    <w:p w:rsidR="000328D5" w:rsidRPr="00CA5E6E" w:rsidRDefault="00CA5E6E" w:rsidP="00FC69DE">
      <w:pPr>
        <w:pStyle w:val="Numbering"/>
        <w:numPr>
          <w:ilvl w:val="1"/>
          <w:numId w:val="66"/>
        </w:numPr>
      </w:pPr>
      <w:r>
        <w:rPr>
          <w:lang w:val="ro"/>
        </w:rPr>
        <w:t xml:space="preserve">cererea mRRF se calculează de către fiecare OTS pentru zona(ele) RFP sau zona(ele) de ofertare proprie(ii) în conformitate cu articolul 143 și articolul 145 din SO GL, fără a aduce atingere articolului 4 (a) din prezenta mRRF-IF; </w:t>
      </w:r>
    </w:p>
    <w:p w:rsidR="000422E2" w:rsidRDefault="00866D4B" w:rsidP="00FC69DE">
      <w:pPr>
        <w:pStyle w:val="Numbering"/>
        <w:numPr>
          <w:ilvl w:val="1"/>
          <w:numId w:val="66"/>
        </w:numPr>
      </w:pPr>
      <w:r>
        <w:rPr>
          <w:lang w:val="ro"/>
        </w:rPr>
        <w:t>OTS-ul conector este responsabil pentru calificarea prealabilă, decontarea OTS-FSE, monitorizarea și alte obligații privitoare la achiziționarea sau activarea unor oferte de produs standard de energie de echilibrare mRRF în conformitate cu EB GL și SO GL.</w:t>
      </w:r>
    </w:p>
    <w:p w:rsidR="00B67F8C" w:rsidRPr="00A4294B" w:rsidRDefault="00B67F8C" w:rsidP="00FC69DE">
      <w:pPr>
        <w:pStyle w:val="Numbering"/>
        <w:numPr>
          <w:ilvl w:val="0"/>
          <w:numId w:val="66"/>
        </w:numPr>
        <w:ind w:left="567" w:hanging="454"/>
      </w:pPr>
      <w:r>
        <w:rPr>
          <w:lang w:val="ro"/>
        </w:rPr>
        <w:t>Toate OTS-urile pot elabora o propunere de modificare a Platformei mRRF în conformitate cu articolul 20 (5) din EB GL. Părțile interesate sunt consultate în conformitate cu articolul 5 (5) din prezenta mRRF-IF.</w:t>
      </w:r>
    </w:p>
    <w:p w:rsidR="000422E2" w:rsidRPr="00A4294B" w:rsidRDefault="00486D0C" w:rsidP="00FC69DE">
      <w:pPr>
        <w:pStyle w:val="Numbering"/>
        <w:numPr>
          <w:ilvl w:val="0"/>
          <w:numId w:val="66"/>
        </w:numPr>
        <w:ind w:left="567" w:hanging="454"/>
      </w:pPr>
      <w:r>
        <w:rPr>
          <w:lang w:val="ro"/>
        </w:rPr>
        <w:t>Fiecare OTS participant publică volumele tranzacționate și prețurile furnizate de funcția de optimizare a activării cât mai curând posibil și în orice caz nu mai târziu de 30 de minute după sfârșitul unității relevante de timp a pieței de echilibrare.</w:t>
      </w:r>
    </w:p>
    <w:p w:rsidR="00043050" w:rsidRPr="001B60EF" w:rsidRDefault="00043050" w:rsidP="00FC69DE">
      <w:pPr>
        <w:pStyle w:val="Numbering"/>
        <w:numPr>
          <w:ilvl w:val="0"/>
          <w:numId w:val="66"/>
        </w:numPr>
        <w:ind w:left="567" w:hanging="567"/>
      </w:pPr>
      <w:r>
        <w:rPr>
          <w:lang w:val="ro"/>
        </w:rPr>
        <w:t>Platforma mRRF este organizată într-o structură de guvernanță pe două niveluri – comitetul director în calitate de organism decizional al Platformei mRRF și grupul de experți în calitate de organism de experți al Platformei mRRF.</w:t>
      </w:r>
    </w:p>
    <w:bookmarkEnd w:id="54"/>
    <w:p w:rsidR="00113043" w:rsidRDefault="00113043" w:rsidP="00936A69">
      <w:pPr>
        <w:spacing w:after="120" w:line="260" w:lineRule="exact"/>
        <w:jc w:val="center"/>
        <w:outlineLvl w:val="1"/>
        <w:rPr>
          <w:rFonts w:asciiTheme="minorHAnsi" w:hAnsiTheme="minorHAnsi" w:cstheme="minorHAnsi"/>
          <w:szCs w:val="22"/>
        </w:rPr>
      </w:pPr>
    </w:p>
    <w:p w:rsidR="003B466E" w:rsidRPr="003B466E" w:rsidRDefault="003B466E" w:rsidP="003B466E">
      <w:pPr>
        <w:spacing w:after="120" w:line="260" w:lineRule="exact"/>
        <w:jc w:val="center"/>
        <w:outlineLvl w:val="1"/>
        <w:rPr>
          <w:rFonts w:ascii="Times New Roman" w:hAnsi="Times New Roman" w:cs="Arial"/>
          <w:b/>
          <w:color w:val="23236E"/>
          <w:sz w:val="24"/>
        </w:rPr>
      </w:pPr>
      <w:bookmarkStart w:id="65" w:name="_Toc531122444"/>
      <w:bookmarkStart w:id="66" w:name="_Toc531123798"/>
      <w:bookmarkStart w:id="67" w:name="_Toc532893391"/>
      <w:r>
        <w:rPr>
          <w:rFonts w:ascii="Times New Roman" w:hAnsi="Times New Roman" w:cs="Arial"/>
          <w:b/>
          <w:bCs/>
          <w:color w:val="23236E"/>
          <w:sz w:val="24"/>
          <w:lang w:val="ro"/>
        </w:rPr>
        <w:t>Articolul 4</w:t>
      </w:r>
      <w:bookmarkEnd w:id="65"/>
      <w:bookmarkEnd w:id="66"/>
      <w:bookmarkEnd w:id="67"/>
    </w:p>
    <w:p w:rsidR="003B466E" w:rsidRPr="00362616" w:rsidRDefault="003B466E" w:rsidP="003B466E">
      <w:pPr>
        <w:spacing w:after="120" w:line="260" w:lineRule="exact"/>
        <w:jc w:val="center"/>
        <w:outlineLvl w:val="1"/>
        <w:rPr>
          <w:rFonts w:ascii="Times New Roman" w:hAnsi="Times New Roman" w:cs="Arial"/>
          <w:b/>
          <w:color w:val="23236E"/>
          <w:sz w:val="24"/>
        </w:rPr>
      </w:pPr>
      <w:bookmarkStart w:id="68" w:name="_Toc531122445"/>
      <w:bookmarkStart w:id="69" w:name="_Toc531123799"/>
      <w:bookmarkStart w:id="70" w:name="_Toc532893392"/>
      <w:r>
        <w:rPr>
          <w:rFonts w:ascii="Times New Roman" w:hAnsi="Times New Roman" w:cs="Arial"/>
          <w:b/>
          <w:bCs/>
          <w:color w:val="23236E"/>
          <w:sz w:val="24"/>
          <w:lang w:val="ro"/>
        </w:rPr>
        <w:t>Calcularea limitelor capacității transfrontaliere mRRF ca date de intrare în algoritmul de optimizare</w:t>
      </w:r>
      <w:bookmarkEnd w:id="68"/>
      <w:bookmarkEnd w:id="69"/>
      <w:bookmarkEnd w:id="70"/>
    </w:p>
    <w:p w:rsidR="00AB72A2" w:rsidRPr="00AB72A2" w:rsidRDefault="00AB72A2" w:rsidP="00FC69DE">
      <w:pPr>
        <w:pStyle w:val="Numbering"/>
        <w:numPr>
          <w:ilvl w:val="0"/>
          <w:numId w:val="50"/>
        </w:numPr>
        <w:ind w:left="567" w:hanging="567"/>
      </w:pPr>
      <w:r>
        <w:rPr>
          <w:lang w:val="ro"/>
        </w:rPr>
        <w:t xml:space="preserve">Toate granițele de echilibrare mRRF dintre OTS-urile participante sunt incluse, împreună cu limitele capacității transfrontaliere mRRF aferente calculate în conformitate cu articolul 4 (2) din prezenta mRRF-IF, în funcția de optimizare a activării a Platformei mRRF. </w:t>
      </w:r>
    </w:p>
    <w:p w:rsidR="00AB72A2" w:rsidRPr="00AB72A2" w:rsidRDefault="00AB72A2" w:rsidP="00FC69DE">
      <w:pPr>
        <w:pStyle w:val="Numbering"/>
        <w:numPr>
          <w:ilvl w:val="0"/>
          <w:numId w:val="50"/>
        </w:numPr>
        <w:ind w:left="567" w:hanging="567"/>
      </w:pPr>
      <w:r>
        <w:rPr>
          <w:lang w:val="ro"/>
        </w:rPr>
        <w:t>Fiecare OTS calculează în mod continuu limitele capacității transfrontaliere mRRF și le transmite algoritmului de optimizare pentru fiecare graniță de echilibrare mRRF relevantă sau set de granițe de echilibrare mRRF relevant, aplicând următorul proces:</w:t>
      </w:r>
    </w:p>
    <w:p w:rsidR="00AB72A2" w:rsidRDefault="00AB72A2" w:rsidP="00FC69DE">
      <w:pPr>
        <w:pStyle w:val="Numbering2"/>
        <w:numPr>
          <w:ilvl w:val="1"/>
          <w:numId w:val="58"/>
        </w:numPr>
      </w:pPr>
      <w:r>
        <w:rPr>
          <w:lang w:val="ro"/>
        </w:rPr>
        <w:t xml:space="preserve">Prima etapă: </w:t>
      </w:r>
    </w:p>
    <w:p w:rsidR="00C23C4E" w:rsidRPr="00C23C4E" w:rsidRDefault="00C23C4E" w:rsidP="00C23C4E">
      <w:pPr>
        <w:spacing w:after="120" w:line="259" w:lineRule="auto"/>
        <w:ind w:left="720"/>
        <w:jc w:val="both"/>
        <w:rPr>
          <w:rFonts w:ascii="Times New Roman" w:hAnsi="Times New Roman"/>
        </w:rPr>
      </w:pPr>
      <w:r>
        <w:rPr>
          <w:rFonts w:ascii="Times New Roman" w:hAnsi="Times New Roman"/>
          <w:lang w:val="ro"/>
        </w:rPr>
        <w:t>i.</w:t>
      </w:r>
      <w:r>
        <w:rPr>
          <w:rFonts w:ascii="Times New Roman" w:hAnsi="Times New Roman"/>
          <w:lang w:val="ro"/>
        </w:rPr>
        <w:tab/>
        <w:t>dacă granița sau setul de granițe de echilibrare mRRF corespunde unei granițe sau unui set de granițe ale zonei de ofertare, limitele capacității transfrontaliere mRRF sunt egale cu capacitatea interzonală rămasă după ora de închidere a porții pieței intrazilnice interzonale în conformitate cu articolul 37 (2) din EB GL. După aprobarea și implementarea metodologiei în temeiul articolului 37 (3) din EB GL, limitele capacității transfrontaliere mRRF trebuie să fie egale cu respectivele valori calculate.</w:t>
      </w:r>
    </w:p>
    <w:p w:rsidR="00C23C4E" w:rsidRPr="00C23C4E" w:rsidRDefault="00C23C4E" w:rsidP="00C23C4E">
      <w:pPr>
        <w:spacing w:after="120" w:line="259" w:lineRule="auto"/>
        <w:ind w:left="720"/>
        <w:jc w:val="both"/>
        <w:rPr>
          <w:rFonts w:ascii="Times New Roman" w:hAnsi="Times New Roman"/>
        </w:rPr>
      </w:pPr>
      <w:r>
        <w:rPr>
          <w:rFonts w:ascii="Times New Roman" w:hAnsi="Times New Roman"/>
          <w:lang w:val="ro"/>
        </w:rPr>
        <w:t>ii.</w:t>
      </w:r>
      <w:r>
        <w:rPr>
          <w:rFonts w:ascii="Times New Roman" w:hAnsi="Times New Roman"/>
          <w:lang w:val="ro"/>
        </w:rPr>
        <w:tab/>
        <w:t>în cazul în care granița sau setul de granițe de echilibrare mRRF nu corespunde unei granițe sau unui set de granițe ale zonei de ofertare și astfel nu este definită nicio capacitate interzonală între zonele RFP respective, atunci limitele capacității transfrontaliere sunt egale cu limitările tehnice IT respective convenite de toate OTS-urile membre.</w:t>
      </w:r>
    </w:p>
    <w:p w:rsidR="00AB72A2" w:rsidRDefault="00AB72A2" w:rsidP="00FC69DE">
      <w:pPr>
        <w:pStyle w:val="Numbering2"/>
        <w:numPr>
          <w:ilvl w:val="1"/>
          <w:numId w:val="58"/>
        </w:numPr>
      </w:pPr>
      <w:r>
        <w:rPr>
          <w:lang w:val="ro"/>
        </w:rPr>
        <w:lastRenderedPageBreak/>
        <w:t>A doua etapă: Limitele capacității transfrontaliere mRRF obținute în conformitate cu articolul 4 (2) (a) din prezenta mRRF-IF sunt ajustate prin rezerva de înlocuire transfrontalieră și transferul de putere la restabilirea manuală a frecvenței pe fiecare graniță sau set de granițe de echilibrare mRRF la care fac referire respectivele limite ale capacității transfrontaliere, în conformitate cu articolul 37 (1) din EB GL, după cum urmează:</w:t>
      </w:r>
    </w:p>
    <w:p w:rsidR="00503C9A" w:rsidRPr="00D25346" w:rsidRDefault="00503C9A" w:rsidP="00492EB0">
      <w:pPr>
        <w:pStyle w:val="Numbering2"/>
        <w:ind w:firstLine="0"/>
      </w:pPr>
      <w:r>
        <w:rPr>
          <w:lang w:val="ro"/>
        </w:rPr>
        <w:t>i.</w:t>
      </w:r>
      <w:r>
        <w:rPr>
          <w:lang w:val="ro"/>
        </w:rPr>
        <w:tab/>
        <w:t>limita capacității transfrontaliere mRRF în direcție pozitivă este redusă cu suma dintre rezerva de înlocuire și transferul de putere la restabilirea manuală a frecvenței în direcție pozitivă pentru respectiva graniță sau set de granițe de echilibrare mRRF.</w:t>
      </w:r>
    </w:p>
    <w:p w:rsidR="00503C9A" w:rsidRPr="00D25346" w:rsidRDefault="00503C9A" w:rsidP="00492EB0">
      <w:pPr>
        <w:pStyle w:val="Numbering2"/>
        <w:ind w:firstLine="0"/>
      </w:pPr>
      <w:r>
        <w:rPr>
          <w:lang w:val="ro"/>
        </w:rPr>
        <w:t>ii.</w:t>
      </w:r>
      <w:r>
        <w:rPr>
          <w:lang w:val="ro"/>
        </w:rPr>
        <w:tab/>
        <w:t>limita capacității transfrontaliere mRRF în direcție pozitivă este crescută cu suma dintre rezerva de înlocuire și transferul de putere la restabilirea manuală a frecvenței în direcție negativă pentru respectiva graniță sau set de granițe de echilibrare mRRF.</w:t>
      </w:r>
    </w:p>
    <w:p w:rsidR="00503C9A" w:rsidRPr="00D25346" w:rsidRDefault="00503C9A" w:rsidP="00492EB0">
      <w:pPr>
        <w:pStyle w:val="Numbering2"/>
        <w:ind w:firstLine="0"/>
      </w:pPr>
      <w:r>
        <w:rPr>
          <w:lang w:val="ro"/>
        </w:rPr>
        <w:t>iii.</w:t>
      </w:r>
      <w:r>
        <w:rPr>
          <w:lang w:val="ro"/>
        </w:rPr>
        <w:tab/>
        <w:t>limita capacității transfrontaliere mRRF în direcție negativă este redusă cu suma dintre rezerva de înlocuire și transferul de putere la restabilirea manuală a frecvenței în direcție negativă pentru respectiva graniță sau set de granițe de echilibrare mRRF.</w:t>
      </w:r>
    </w:p>
    <w:p w:rsidR="00503C9A" w:rsidRDefault="00503C9A" w:rsidP="00492EB0">
      <w:pPr>
        <w:pStyle w:val="Numbering2"/>
        <w:ind w:firstLine="0"/>
      </w:pPr>
      <w:r>
        <w:rPr>
          <w:lang w:val="ro"/>
        </w:rPr>
        <w:t>iv.</w:t>
      </w:r>
      <w:r>
        <w:rPr>
          <w:lang w:val="ro"/>
        </w:rPr>
        <w:tab/>
        <w:t>limita capacității transfrontaliere mRRF în direcție negativă este crescută cu suma dintre rezerva de înlocuire și transferul de putere la restabilirea manuală a frecvenței în direcție pozitivă pentru respectiva graniță sau set de granițe de echilibrare mRRF.</w:t>
      </w:r>
    </w:p>
    <w:p w:rsidR="00463764" w:rsidRPr="00100492" w:rsidRDefault="00463764" w:rsidP="00FC69DE">
      <w:pPr>
        <w:pStyle w:val="Numbering2"/>
        <w:numPr>
          <w:ilvl w:val="1"/>
          <w:numId w:val="58"/>
        </w:numPr>
      </w:pPr>
      <w:r>
        <w:rPr>
          <w:lang w:val="ro"/>
        </w:rPr>
        <w:t xml:space="preserve">A treia etapă: În conformitate cu articolul 37 (1) din EB GL, limitele capacității transfrontaliere mRRF sunt actualizate ori de câte ori măsurile de remediere în temeiul articolului 22 din SO GL conduc la un schimb transfrontalier pe granița sau setul de granițe de echilibrare mRRF la care fac referire limitele capacității transfrontaliere mRRF. </w:t>
      </w:r>
    </w:p>
    <w:p w:rsidR="00463849" w:rsidRPr="00463849" w:rsidRDefault="00882550" w:rsidP="00FC69DE">
      <w:pPr>
        <w:pStyle w:val="Numbering2"/>
        <w:numPr>
          <w:ilvl w:val="1"/>
          <w:numId w:val="58"/>
        </w:numPr>
      </w:pPr>
      <w:r>
        <w:rPr>
          <w:lang w:val="ro"/>
        </w:rPr>
        <w:t>A patra etapă: Limitele capacității transfrontaliere mRRF nu trebuie să depășească limitările suplimentare solicitate din motive de siguranță în funcționare de către OTS-urile participante sau afectate în conformitate cu articolele </w:t>
      </w:r>
      <w:r>
        <w:rPr>
          <w:szCs w:val="22"/>
          <w:lang w:val="ro"/>
        </w:rPr>
        <w:t>146 (3) (c),</w:t>
      </w:r>
      <w:r>
        <w:rPr>
          <w:lang w:val="ro"/>
        </w:rPr>
        <w:t xml:space="preserve"> 147 (3) (c), </w:t>
      </w:r>
      <w:r>
        <w:rPr>
          <w:szCs w:val="22"/>
          <w:lang w:val="ro"/>
        </w:rPr>
        <w:t xml:space="preserve">148 (3) (c), </w:t>
      </w:r>
      <w:r>
        <w:rPr>
          <w:lang w:val="ro"/>
        </w:rPr>
        <w:t>149 (3) și 150 (3) (b) din SO GL. OTS-urile pot de asemenea să limiteze capacitatea mRRF transfrontalieră în sisteme HVDC din motive de siguranță în funcționare, în conformitate cu articolul 147 (3) (c) din SO GL, și astfel de limitări pot limita schimbul pe una, un set sau toate granițele de echilibrare mRRF dintre două zone sincrone.</w:t>
      </w:r>
    </w:p>
    <w:p w:rsidR="00AB72A2" w:rsidRDefault="00B51D86" w:rsidP="00FC69DE">
      <w:pPr>
        <w:pStyle w:val="Numbering2"/>
        <w:numPr>
          <w:ilvl w:val="1"/>
          <w:numId w:val="58"/>
        </w:numPr>
      </w:pPr>
      <w:r>
        <w:rPr>
          <w:lang w:val="ro"/>
        </w:rPr>
        <w:t>A cincea etapă: Granițele de echilibrare mRRF unde una sau mai multe linii de transport care leagă zone RFP adiacente sunt sisteme HVDC, pot fi limitate permanent dacă tehnologia de implementare a schimburilor mRRF nu este instalată în conformitate cu articolul 171 din SO GL. Limitarea poate dezactiva orice schimb pe aceste granițe de echilibrare mRRF în cazul în care granița de echilibrare mRRF se constituie doar din interconexiuni HVDC. Limitarea unei astfel de granițe de echilibrare mRRF este permisă atunci când este justificată în mod corespunzător de către OTS-urile relevante afectate de această graniță de echilibrare mRRF. ANR-urile în cauză sunt notificate în legătură cu această limitare. Justificarea tehnică se publică de către OTS-urile în cauză.</w:t>
      </w:r>
    </w:p>
    <w:p w:rsidR="00AB72A2" w:rsidRPr="00332E22" w:rsidRDefault="00AB72A2" w:rsidP="00FC69DE">
      <w:pPr>
        <w:pStyle w:val="Numbering"/>
        <w:numPr>
          <w:ilvl w:val="0"/>
          <w:numId w:val="50"/>
        </w:numPr>
        <w:ind w:left="567" w:hanging="567"/>
      </w:pPr>
      <w:r>
        <w:rPr>
          <w:lang w:val="ro"/>
        </w:rPr>
        <w:t xml:space="preserve">OTS-urile participante sau afectate care solicită o limitare suplimentară conform prevederilor </w:t>
      </w:r>
      <w:bookmarkStart w:id="71" w:name="_Hlk531780084"/>
      <w:r>
        <w:rPr>
          <w:lang w:val="ro"/>
        </w:rPr>
        <w:t>articolului 4 (2) (d) din mRRF-IF</w:t>
      </w:r>
      <w:bookmarkEnd w:id="71"/>
      <w:r>
        <w:rPr>
          <w:lang w:val="ro"/>
        </w:rPr>
        <w:t xml:space="preserve"> publică solicitarea de limitări suplimentare nu mai târziu de 30 de minute de la încheierea unității de timp a pieței de echilibrare relevante care corespunde perioadei de valabilitate în care limitările suplimentare au fost solicitate.</w:t>
      </w:r>
    </w:p>
    <w:p w:rsidR="00AB72A2" w:rsidRPr="00AB72A2" w:rsidRDefault="00AB72A2" w:rsidP="00FC69DE">
      <w:pPr>
        <w:pStyle w:val="Numbering"/>
        <w:numPr>
          <w:ilvl w:val="0"/>
          <w:numId w:val="50"/>
        </w:numPr>
        <w:ind w:left="567" w:hanging="567"/>
      </w:pPr>
      <w:r>
        <w:rPr>
          <w:lang w:val="ro"/>
        </w:rPr>
        <w:t>OTS-urile participante sau afectate care solicită o limitare suplimentară prezintă tuturor OTS-urilor participante o justificare pentru limitarea suplimentară solicitată, la cererea oricărui OTS participant.</w:t>
      </w:r>
    </w:p>
    <w:p w:rsidR="00AB72A2" w:rsidRPr="00AB72A2" w:rsidRDefault="004B2DB4" w:rsidP="00FC69DE">
      <w:pPr>
        <w:pStyle w:val="Numbering"/>
        <w:numPr>
          <w:ilvl w:val="0"/>
          <w:numId w:val="50"/>
        </w:numPr>
        <w:ind w:left="567" w:hanging="567"/>
      </w:pPr>
      <w:r>
        <w:rPr>
          <w:lang w:val="ro"/>
        </w:rPr>
        <w:t xml:space="preserve">Toate OTS-urile membre implementează procesul descris la </w:t>
      </w:r>
      <w:bookmarkStart w:id="72" w:name="_Hlk531780143"/>
      <w:r>
        <w:rPr>
          <w:lang w:val="ro"/>
        </w:rPr>
        <w:t xml:space="preserve">articolul 4 (2) </w:t>
      </w:r>
      <w:bookmarkEnd w:id="72"/>
      <w:r>
        <w:rPr>
          <w:lang w:val="ro"/>
        </w:rPr>
        <w:t>din prezenta mRRF-IF ca parte a Platformei mRRF.</w:t>
      </w:r>
    </w:p>
    <w:p w:rsidR="003B466E" w:rsidRDefault="003B466E" w:rsidP="00936A69">
      <w:pPr>
        <w:spacing w:after="120" w:line="260" w:lineRule="exact"/>
        <w:jc w:val="center"/>
        <w:outlineLvl w:val="1"/>
        <w:rPr>
          <w:rFonts w:ascii="Times New Roman" w:hAnsi="Times New Roman" w:cs="Arial"/>
          <w:b/>
          <w:color w:val="23236E"/>
          <w:sz w:val="24"/>
        </w:rPr>
      </w:pPr>
    </w:p>
    <w:p w:rsidR="004F245D" w:rsidRPr="00362616" w:rsidRDefault="004F245D" w:rsidP="00936A69">
      <w:pPr>
        <w:spacing w:after="120" w:line="260" w:lineRule="exact"/>
        <w:jc w:val="center"/>
        <w:outlineLvl w:val="1"/>
        <w:rPr>
          <w:rFonts w:ascii="Times New Roman" w:hAnsi="Times New Roman" w:cs="Arial"/>
          <w:b/>
          <w:color w:val="23236E"/>
          <w:sz w:val="24"/>
        </w:rPr>
      </w:pPr>
      <w:bookmarkStart w:id="73" w:name="_Toc531122446"/>
      <w:bookmarkStart w:id="74" w:name="_Toc531123800"/>
      <w:bookmarkStart w:id="75" w:name="_Toc532893393"/>
      <w:r>
        <w:rPr>
          <w:rFonts w:ascii="Times New Roman" w:hAnsi="Times New Roman" w:cs="Arial"/>
          <w:b/>
          <w:bCs/>
          <w:color w:val="23236E"/>
          <w:sz w:val="24"/>
          <w:lang w:val="ro"/>
        </w:rPr>
        <w:t xml:space="preserve">Articolul </w:t>
      </w:r>
      <w:bookmarkEnd w:id="55"/>
      <w:bookmarkEnd w:id="56"/>
      <w:bookmarkEnd w:id="57"/>
      <w:r>
        <w:rPr>
          <w:rFonts w:ascii="Times New Roman" w:hAnsi="Times New Roman" w:cs="Arial"/>
          <w:b/>
          <w:bCs/>
          <w:color w:val="23236E"/>
          <w:sz w:val="24"/>
          <w:lang w:val="ro"/>
        </w:rPr>
        <w:t>5</w:t>
      </w:r>
      <w:r>
        <w:rPr>
          <w:rFonts w:ascii="Times New Roman" w:hAnsi="Times New Roman" w:cs="Arial"/>
          <w:color w:val="23236E"/>
          <w:sz w:val="24"/>
          <w:lang w:val="ro"/>
        </w:rPr>
        <w:br/>
      </w:r>
      <w:r>
        <w:rPr>
          <w:rFonts w:ascii="Times New Roman" w:hAnsi="Times New Roman" w:cs="Arial"/>
          <w:b/>
          <w:bCs/>
          <w:color w:val="23236E"/>
          <w:sz w:val="24"/>
          <w:lang w:val="ro"/>
        </w:rPr>
        <w:t>Foaia de parcurs și calendarul de punere în aplicare a Platformei mRRF</w:t>
      </w:r>
      <w:bookmarkEnd w:id="58"/>
      <w:bookmarkEnd w:id="73"/>
      <w:bookmarkEnd w:id="74"/>
      <w:bookmarkEnd w:id="75"/>
    </w:p>
    <w:p w:rsidR="00D92095" w:rsidRDefault="00D92095" w:rsidP="00FC69DE">
      <w:pPr>
        <w:pStyle w:val="Numbering"/>
        <w:numPr>
          <w:ilvl w:val="0"/>
          <w:numId w:val="25"/>
        </w:numPr>
        <w:ind w:left="567" w:hanging="567"/>
      </w:pPr>
      <w:r>
        <w:rPr>
          <w:lang w:val="ro"/>
        </w:rPr>
        <w:t>În termen de treizeci de luni de la aprobarea prezentei mRRF-IF, Platforma mRRF trebuie să îndeplinească toate condițiile definite prin prezenta mRRF-IF, precum și cerințele suplimentare în conformitate cu articolele 29, 30 și 50 din EB GL.</w:t>
      </w:r>
    </w:p>
    <w:p w:rsidR="0044292B" w:rsidRPr="0044292B" w:rsidRDefault="0044292B" w:rsidP="00FC69DE">
      <w:pPr>
        <w:pStyle w:val="Numbering"/>
        <w:numPr>
          <w:ilvl w:val="0"/>
          <w:numId w:val="25"/>
        </w:numPr>
        <w:ind w:left="567" w:hanging="567"/>
      </w:pPr>
      <w:r>
        <w:rPr>
          <w:lang w:val="ro"/>
        </w:rPr>
        <w:t>Proiectul de implementare MARI va evolua în Platforma mRRF. Pe cale de consecință, toate OTS-urile care sunt membre ale proiectului de implementare MARI pot propune ca o parte din costurile suportate înainte de aprobarea prezentei mRRF-IF să fie considerate drept costuri comune în conformitate cu articolul 23 (6) din EB GL. Costurile suportate înaintea datei de 1 ianuarie 2018 în cadrul proiectului de implementare MARI nu sunt luate în considerare.</w:t>
      </w:r>
    </w:p>
    <w:p w:rsidR="000B4A07" w:rsidRPr="00362616" w:rsidRDefault="00E704F6" w:rsidP="00FC69DE">
      <w:pPr>
        <w:pStyle w:val="Numbering"/>
        <w:numPr>
          <w:ilvl w:val="0"/>
          <w:numId w:val="25"/>
        </w:numPr>
        <w:ind w:left="567" w:hanging="567"/>
      </w:pPr>
      <w:r>
        <w:rPr>
          <w:lang w:val="ro"/>
        </w:rPr>
        <w:t>Articolele 20 (4), 20 (5) și 20 (6) din EB GL definesc calendarul de implementare pentru Platforma mRRF. Proiectul de implementare facilitează îndeplinirea respectivelor termene-limită, după cum urmează:</w:t>
      </w:r>
    </w:p>
    <w:p w:rsidR="000B4A07" w:rsidRPr="00362616" w:rsidRDefault="000B4A07" w:rsidP="00FC69DE">
      <w:pPr>
        <w:pStyle w:val="Numbering2"/>
        <w:numPr>
          <w:ilvl w:val="1"/>
          <w:numId w:val="61"/>
        </w:numPr>
      </w:pPr>
      <w:r>
        <w:rPr>
          <w:lang w:val="ro"/>
        </w:rPr>
        <w:t>OTS-urile iau toate măsurile pentru a modifica termenele și condițiile referitoare la echilibrarea propusă în conformitate cu articolul 18 din EB GL și respectând legislația națională.</w:t>
      </w:r>
    </w:p>
    <w:p w:rsidR="000B4A07" w:rsidRPr="00362616" w:rsidRDefault="009B2C0D" w:rsidP="00FC69DE">
      <w:pPr>
        <w:pStyle w:val="Numbering2"/>
        <w:numPr>
          <w:ilvl w:val="1"/>
          <w:numId w:val="61"/>
        </w:numPr>
      </w:pPr>
      <w:r>
        <w:rPr>
          <w:lang w:val="ro"/>
        </w:rPr>
        <w:t>Cooperarea regională timpurie pentru schimbul de energie de echilibrare din mRRF este înlocuită de Platforma mRRF în conformitate cu termenele-limită prevăzute la articolul 20 (6) din EB GL ce solicită tuturor OTS-urilor să folosească Platforma mRRF.</w:t>
      </w:r>
    </w:p>
    <w:p w:rsidR="000B4A07" w:rsidRPr="00362616" w:rsidRDefault="000B4A07" w:rsidP="00FC69DE">
      <w:pPr>
        <w:pStyle w:val="Numbering"/>
        <w:numPr>
          <w:ilvl w:val="0"/>
          <w:numId w:val="25"/>
        </w:numPr>
        <w:ind w:left="567" w:hanging="567"/>
      </w:pPr>
      <w:r>
        <w:rPr>
          <w:lang w:val="ro"/>
        </w:rPr>
        <w:t>Pentru implementarea Platformei mRRF se respectă următoarele etape și calendare drept foaie de parcurs:</w:t>
      </w:r>
    </w:p>
    <w:p w:rsidR="000B4A07" w:rsidRPr="00362616" w:rsidRDefault="0084793A" w:rsidP="00FC69DE">
      <w:pPr>
        <w:pStyle w:val="Numbering2"/>
        <w:numPr>
          <w:ilvl w:val="1"/>
          <w:numId w:val="51"/>
        </w:numPr>
      </w:pPr>
      <w:r>
        <w:rPr>
          <w:lang w:val="ro"/>
        </w:rPr>
        <w:t>toate OTS-urile membre desemnează entitatea responsabilă cu operarea funcțiilor Platformei mRRF în termen de șase luni de la aprobarea prezentei mRRF-IF;</w:t>
      </w:r>
    </w:p>
    <w:p w:rsidR="001A03A3" w:rsidRPr="001A03A3" w:rsidRDefault="004E673B" w:rsidP="00FC69DE">
      <w:pPr>
        <w:pStyle w:val="Numbering2"/>
        <w:numPr>
          <w:ilvl w:val="1"/>
          <w:numId w:val="9"/>
        </w:numPr>
      </w:pPr>
      <w:r>
        <w:rPr>
          <w:lang w:val="ro"/>
        </w:rPr>
        <w:t>toate OTS-urile membre elaborează noi procese și modifică procesele existente cu privire la schimbul de mRRF, scopurile activării, stabilirea prețului și decontarea în conformitate cu prezenta mRRF-IF, cel târziu până la termenul-limită prevăzut la articolul 20 (6) din EB GL;</w:t>
      </w:r>
    </w:p>
    <w:p w:rsidR="000B4A07" w:rsidRPr="00362616" w:rsidRDefault="0084793A" w:rsidP="00FC69DE">
      <w:pPr>
        <w:pStyle w:val="Numbering2"/>
        <w:numPr>
          <w:ilvl w:val="1"/>
          <w:numId w:val="9"/>
        </w:numPr>
      </w:pPr>
      <w:bookmarkStart w:id="76" w:name="_Hlk529198201"/>
      <w:r>
        <w:rPr>
          <w:lang w:val="ro"/>
        </w:rPr>
        <w:t>toate OTS-urile membre convin asupra unei foi de parcurs de ascensiune la Platforma mRRF într-un interval de 3 luni de la data aprobării prezentei mRRF-IF; aceasta se revizuiește cel puțin anual. Foaia de parcurs de ascensiune prevede un calendar cu privire la:</w:t>
      </w:r>
    </w:p>
    <w:bookmarkEnd w:id="76"/>
    <w:p w:rsidR="000B4A07" w:rsidRPr="00362616" w:rsidRDefault="000B4A07" w:rsidP="00FC69DE">
      <w:pPr>
        <w:pStyle w:val="Numbering3"/>
        <w:numPr>
          <w:ilvl w:val="0"/>
          <w:numId w:val="16"/>
        </w:numPr>
      </w:pPr>
      <w:r>
        <w:rPr>
          <w:lang w:val="ro"/>
        </w:rPr>
        <w:t>implementarea și adaptarea termenelor și condițiilor pentru FSE de către fiecare OTS membru;</w:t>
      </w:r>
    </w:p>
    <w:p w:rsidR="000B4A07" w:rsidRPr="00362616" w:rsidRDefault="000B4A07" w:rsidP="00FC69DE">
      <w:pPr>
        <w:pStyle w:val="Numbering3"/>
        <w:numPr>
          <w:ilvl w:val="0"/>
          <w:numId w:val="16"/>
        </w:numPr>
      </w:pPr>
      <w:r>
        <w:rPr>
          <w:lang w:val="ro"/>
        </w:rPr>
        <w:t>dezvoltarea funcțiilor;</w:t>
      </w:r>
    </w:p>
    <w:p w:rsidR="000B4A07" w:rsidRPr="00362616" w:rsidRDefault="000B4A07" w:rsidP="00FC69DE">
      <w:pPr>
        <w:pStyle w:val="Numbering3"/>
        <w:numPr>
          <w:ilvl w:val="0"/>
          <w:numId w:val="16"/>
        </w:numPr>
      </w:pPr>
      <w:r>
        <w:rPr>
          <w:lang w:val="ro"/>
        </w:rPr>
        <w:t>teste de interoperabilitate între fiecare OTS și Platforma mRRF;</w:t>
      </w:r>
    </w:p>
    <w:p w:rsidR="000B4A07" w:rsidRDefault="000B4A07" w:rsidP="00FC69DE">
      <w:pPr>
        <w:pStyle w:val="Numbering3"/>
        <w:numPr>
          <w:ilvl w:val="0"/>
          <w:numId w:val="16"/>
        </w:numPr>
      </w:pPr>
      <w:r>
        <w:rPr>
          <w:lang w:val="ro"/>
        </w:rPr>
        <w:t>teste operaționale;</w:t>
      </w:r>
    </w:p>
    <w:p w:rsidR="00F87460" w:rsidRPr="00362616" w:rsidRDefault="00F87460" w:rsidP="00FC69DE">
      <w:pPr>
        <w:pStyle w:val="Numbering3"/>
        <w:numPr>
          <w:ilvl w:val="0"/>
          <w:numId w:val="16"/>
        </w:numPr>
      </w:pPr>
      <w:r>
        <w:rPr>
          <w:lang w:val="ro"/>
        </w:rPr>
        <w:t>conectarea fiecărui OTS la Platforma mRRF;</w:t>
      </w:r>
    </w:p>
    <w:p w:rsidR="000B4A07" w:rsidRDefault="00EB702F" w:rsidP="00FC69DE">
      <w:pPr>
        <w:pStyle w:val="Numbering3"/>
        <w:numPr>
          <w:ilvl w:val="0"/>
          <w:numId w:val="16"/>
        </w:numPr>
      </w:pPr>
      <w:r>
        <w:rPr>
          <w:lang w:val="ro"/>
        </w:rPr>
        <w:t>punerea în funcțiune a Platformei mRRF;</w:t>
      </w:r>
    </w:p>
    <w:p w:rsidR="00F87460" w:rsidRPr="00362616" w:rsidRDefault="00F87460" w:rsidP="00FC69DE">
      <w:pPr>
        <w:pStyle w:val="Numbering3"/>
        <w:numPr>
          <w:ilvl w:val="0"/>
          <w:numId w:val="16"/>
        </w:numPr>
      </w:pPr>
      <w:r>
        <w:rPr>
          <w:lang w:val="ro"/>
        </w:rPr>
        <w:t xml:space="preserve">conectarea tuturor OTS-urilor cărora li s-a oferit o derogare de către autoritățile de reglementare aferente în conformitate cu articolul 62 din EB GL.  </w:t>
      </w:r>
    </w:p>
    <w:p w:rsidR="00955B83" w:rsidRDefault="000B4A07" w:rsidP="00FC69DE">
      <w:pPr>
        <w:pStyle w:val="Numbering2"/>
        <w:numPr>
          <w:ilvl w:val="1"/>
          <w:numId w:val="9"/>
        </w:numPr>
      </w:pPr>
      <w:r>
        <w:rPr>
          <w:lang w:val="ro"/>
        </w:rPr>
        <w:t>Foaia de parcurs de ascensiune este pusă în aplicare după ce toate OTS-urile membre au finalizat-o și în orice caz nu mai târziu de momentul în care Platforma mRRF începe să fie folosită de toate OTS-urile.</w:t>
      </w:r>
    </w:p>
    <w:p w:rsidR="0006760E" w:rsidRPr="00492EB0" w:rsidRDefault="004A4EF6" w:rsidP="00FC69DE">
      <w:pPr>
        <w:pStyle w:val="Numbering2"/>
        <w:numPr>
          <w:ilvl w:val="0"/>
          <w:numId w:val="56"/>
        </w:numPr>
      </w:pPr>
      <w:r>
        <w:rPr>
          <w:lang w:val="ro"/>
        </w:rPr>
        <w:lastRenderedPageBreak/>
        <w:t>OTS-urile se consultă cu părțile interesate în legătură cu orice modificare adusă prezentei mRRF-IF după aprobarea prezentei mRRF-IF în temeiul articolului 6 (3) și articolului 10 din EB GL.</w:t>
      </w:r>
    </w:p>
    <w:p w:rsidR="00944523" w:rsidRPr="00362616" w:rsidRDefault="00944523" w:rsidP="00492EB0">
      <w:pPr>
        <w:pStyle w:val="Numbering2"/>
        <w:ind w:firstLine="0"/>
      </w:pPr>
    </w:p>
    <w:p w:rsidR="004F245D" w:rsidRPr="00362616" w:rsidRDefault="004F245D" w:rsidP="00113043">
      <w:pPr>
        <w:spacing w:after="120" w:line="260" w:lineRule="exact"/>
        <w:jc w:val="center"/>
        <w:outlineLvl w:val="1"/>
        <w:rPr>
          <w:rFonts w:ascii="Times New Roman" w:hAnsi="Times New Roman" w:cs="Arial"/>
          <w:b/>
          <w:color w:val="23236E"/>
          <w:sz w:val="24"/>
        </w:rPr>
      </w:pPr>
      <w:bookmarkStart w:id="77" w:name="_Toc445825436"/>
      <w:bookmarkStart w:id="78" w:name="_Toc445299180"/>
      <w:bookmarkStart w:id="79" w:name="_Toc445298918"/>
      <w:bookmarkStart w:id="80" w:name="_Toc509331491"/>
      <w:bookmarkStart w:id="81" w:name="_Toc531122447"/>
      <w:bookmarkStart w:id="82" w:name="_Toc531123801"/>
      <w:bookmarkStart w:id="83" w:name="_Toc532893394"/>
      <w:bookmarkStart w:id="84" w:name="_Hlk530760726"/>
      <w:r>
        <w:rPr>
          <w:rFonts w:ascii="Times New Roman" w:hAnsi="Times New Roman" w:cs="Arial"/>
          <w:b/>
          <w:bCs/>
          <w:color w:val="23236E"/>
          <w:sz w:val="24"/>
          <w:lang w:val="ro"/>
        </w:rPr>
        <w:t>Articolul 6</w:t>
      </w:r>
      <w:r>
        <w:rPr>
          <w:rFonts w:ascii="Times New Roman" w:hAnsi="Times New Roman" w:cs="Arial"/>
          <w:color w:val="23236E"/>
          <w:sz w:val="24"/>
          <w:lang w:val="ro"/>
        </w:rPr>
        <w:br/>
      </w:r>
      <w:bookmarkStart w:id="85" w:name="_Hlk530760101"/>
      <w:bookmarkEnd w:id="77"/>
      <w:bookmarkEnd w:id="78"/>
      <w:bookmarkEnd w:id="79"/>
      <w:r>
        <w:rPr>
          <w:rFonts w:ascii="Times New Roman" w:hAnsi="Times New Roman" w:cs="Arial"/>
          <w:b/>
          <w:bCs/>
          <w:color w:val="23236E"/>
          <w:sz w:val="24"/>
          <w:lang w:val="ro"/>
        </w:rPr>
        <w:t>Funcțiile Platformei mRRF</w:t>
      </w:r>
      <w:bookmarkEnd w:id="80"/>
      <w:bookmarkEnd w:id="81"/>
      <w:bookmarkEnd w:id="82"/>
      <w:bookmarkEnd w:id="83"/>
      <w:bookmarkEnd w:id="85"/>
    </w:p>
    <w:p w:rsidR="00113043" w:rsidRPr="004F28FC" w:rsidRDefault="00113043" w:rsidP="00FC69DE">
      <w:pPr>
        <w:pStyle w:val="Numbering"/>
        <w:numPr>
          <w:ilvl w:val="0"/>
          <w:numId w:val="62"/>
        </w:numPr>
      </w:pPr>
      <w:bookmarkStart w:id="86" w:name="_Hlk530760077"/>
      <w:bookmarkStart w:id="87" w:name="_Toc422337372"/>
      <w:bookmarkStart w:id="88" w:name="_Toc422742328"/>
      <w:bookmarkStart w:id="89" w:name="_Toc422749331"/>
      <w:bookmarkStart w:id="90" w:name="_Toc426468206"/>
      <w:bookmarkStart w:id="91" w:name="_Toc432586785"/>
      <w:bookmarkStart w:id="92" w:name="_Toc432586805"/>
      <w:bookmarkStart w:id="93" w:name="_Toc413748339"/>
      <w:r>
        <w:rPr>
          <w:lang w:val="ro"/>
        </w:rPr>
        <w:t>Platforma mRRF constă din funcția de optimizare a activării și din funcția de decontare OTS-OTS. O funcție de calculare a CZC poate fi adăugată în măsura în care se consideră că acest lucru este eficient la implementarea metodologiei pentru calculul CZC în cadrul intervalului de echilibrare, în conformitate cu articolul 37 (3) din EB GL.</w:t>
      </w:r>
    </w:p>
    <w:p w:rsidR="00113043" w:rsidRPr="00D327F0" w:rsidRDefault="00113043" w:rsidP="00FC69DE">
      <w:pPr>
        <w:pStyle w:val="Numbering"/>
        <w:numPr>
          <w:ilvl w:val="0"/>
          <w:numId w:val="62"/>
        </w:numPr>
      </w:pPr>
      <w:bookmarkStart w:id="94" w:name="_Hlk530047149"/>
      <w:r>
        <w:rPr>
          <w:lang w:val="ro"/>
        </w:rPr>
        <w:t xml:space="preserve">Scopul funcției de optimizare a activării este de a coordona mPRF al OTS-urilor participante în conformitate cu proiectarea de principiu a Platformei mRRF de la articolul 3 din prezenta mRRF-IF și cu principiile algoritmului de optimizare în conformitate cu articolul 11 din prezenta mRRF-IF. </w:t>
      </w:r>
    </w:p>
    <w:p w:rsidR="00113043" w:rsidRPr="00D327F0" w:rsidRDefault="00113043" w:rsidP="00FC69DE">
      <w:pPr>
        <w:pStyle w:val="Numbering"/>
        <w:numPr>
          <w:ilvl w:val="0"/>
          <w:numId w:val="62"/>
        </w:numPr>
        <w:ind w:left="426" w:hanging="426"/>
      </w:pPr>
      <w:r>
        <w:rPr>
          <w:lang w:val="ro"/>
        </w:rPr>
        <w:t>Principalul obiectiv al funcției de decontare OTS-OTS este calculul sumei de decontare pe care fiecare OTS participant trebuie să o suporte pentru schimbul planificat de energie din mPRF transfrontalier în conformitate cu proiectarea de principiu a Platformei mRRF de la articolul 3 din prezenta mRRF-IF.</w:t>
      </w:r>
    </w:p>
    <w:bookmarkEnd w:id="94"/>
    <w:p w:rsidR="00113043" w:rsidRPr="00362616" w:rsidRDefault="00113043" w:rsidP="00FC69DE">
      <w:pPr>
        <w:pStyle w:val="Numbering"/>
        <w:numPr>
          <w:ilvl w:val="0"/>
          <w:numId w:val="62"/>
        </w:numPr>
        <w:ind w:left="426" w:hanging="426"/>
      </w:pPr>
      <w:r>
        <w:rPr>
          <w:lang w:val="ro"/>
        </w:rPr>
        <w:t>Scopul funcției de calcul al CZC, dacă și acolo unde este relevant, este implementarea metodologiei pentru calculul CZC în cadrul intervalului de echilibrare, în conformitate cu articolul 37 (3) din EB GL.</w:t>
      </w:r>
    </w:p>
    <w:bookmarkEnd w:id="84"/>
    <w:bookmarkEnd w:id="86"/>
    <w:p w:rsidR="001E0F7D" w:rsidRPr="00362616" w:rsidRDefault="001E0F7D" w:rsidP="00645ADB">
      <w:pPr>
        <w:pStyle w:val="Default"/>
        <w:jc w:val="center"/>
      </w:pPr>
    </w:p>
    <w:p w:rsidR="00152229" w:rsidRPr="00362616" w:rsidRDefault="00EC26E8" w:rsidP="00152229">
      <w:pPr>
        <w:spacing w:after="120" w:line="260" w:lineRule="exact"/>
        <w:jc w:val="center"/>
        <w:outlineLvl w:val="1"/>
        <w:rPr>
          <w:rFonts w:ascii="Times New Roman" w:hAnsi="Times New Roman" w:cs="Arial"/>
          <w:b/>
          <w:color w:val="23236E"/>
          <w:sz w:val="24"/>
        </w:rPr>
      </w:pPr>
      <w:bookmarkStart w:id="95" w:name="_Toc509331492"/>
      <w:bookmarkStart w:id="96" w:name="_Toc531122448"/>
      <w:bookmarkStart w:id="97" w:name="_Toc531123802"/>
      <w:bookmarkStart w:id="98" w:name="_Toc532893395"/>
      <w:bookmarkStart w:id="99" w:name="_Hlk503300125"/>
      <w:r>
        <w:rPr>
          <w:rFonts w:ascii="Times New Roman" w:hAnsi="Times New Roman" w:cs="Arial"/>
          <w:b/>
          <w:bCs/>
          <w:color w:val="23236E"/>
          <w:sz w:val="24"/>
          <w:lang w:val="ro"/>
        </w:rPr>
        <w:t>Articolul 7</w:t>
      </w:r>
      <w:r>
        <w:rPr>
          <w:rFonts w:ascii="Times New Roman" w:hAnsi="Times New Roman" w:cs="Arial"/>
          <w:color w:val="23236E"/>
          <w:sz w:val="24"/>
          <w:lang w:val="ro"/>
        </w:rPr>
        <w:br/>
      </w:r>
      <w:r>
        <w:rPr>
          <w:rFonts w:ascii="Times New Roman" w:hAnsi="Times New Roman" w:cs="Arial"/>
          <w:b/>
          <w:bCs/>
          <w:color w:val="23236E"/>
          <w:sz w:val="24"/>
          <w:lang w:val="ro"/>
        </w:rPr>
        <w:t xml:space="preserve">Definiția </w:t>
      </w:r>
      <w:bookmarkEnd w:id="95"/>
      <w:r>
        <w:rPr>
          <w:rFonts w:ascii="Times New Roman" w:hAnsi="Times New Roman" w:cs="Arial"/>
          <w:b/>
          <w:bCs/>
          <w:color w:val="23236E"/>
          <w:sz w:val="24"/>
          <w:lang w:val="ro"/>
        </w:rPr>
        <w:t>produsului de energie de echilibrare mRRF</w:t>
      </w:r>
      <w:bookmarkEnd w:id="96"/>
      <w:bookmarkEnd w:id="97"/>
      <w:bookmarkEnd w:id="98"/>
    </w:p>
    <w:p w:rsidR="007F53E3" w:rsidRDefault="00A3422E" w:rsidP="00FC69DE">
      <w:pPr>
        <w:pStyle w:val="Numbering"/>
        <w:numPr>
          <w:ilvl w:val="0"/>
          <w:numId w:val="59"/>
        </w:numPr>
      </w:pPr>
      <w:r>
        <w:rPr>
          <w:lang w:val="ro"/>
        </w:rPr>
        <w:t xml:space="preserve">Fiecare ofertă de produs standard de energie de echilibrare mRRF trebuie să îndeplinească următoarele caracteristici statice: </w:t>
      </w:r>
    </w:p>
    <w:tbl>
      <w:tblPr>
        <w:tblStyle w:val="Rutenettabelllys1"/>
        <w:tblW w:w="8217" w:type="dxa"/>
        <w:jc w:val="center"/>
        <w:tblLayout w:type="fixed"/>
        <w:tblLook w:val="0620" w:firstRow="1" w:lastRow="0" w:firstColumn="0" w:lastColumn="0" w:noHBand="1" w:noVBand="1"/>
      </w:tblPr>
      <w:tblGrid>
        <w:gridCol w:w="2608"/>
        <w:gridCol w:w="5609"/>
      </w:tblGrid>
      <w:tr w:rsidR="00152229" w:rsidRPr="00362616" w:rsidTr="005A3EDE">
        <w:trPr>
          <w:trHeight w:val="299"/>
          <w:jc w:val="center"/>
        </w:trPr>
        <w:tc>
          <w:tcPr>
            <w:tcW w:w="2608" w:type="dxa"/>
            <w:noWrap/>
            <w:vAlign w:val="center"/>
            <w:hideMark/>
          </w:tcPr>
          <w:p w:rsidR="00152229" w:rsidRPr="00362616" w:rsidRDefault="00152229" w:rsidP="005A3EDE">
            <w:pPr>
              <w:rPr>
                <w:rFonts w:ascii="Times New Roman" w:hAnsi="Times New Roman"/>
                <w:sz w:val="20"/>
                <w:szCs w:val="20"/>
              </w:rPr>
            </w:pPr>
            <w:bookmarkStart w:id="100" w:name="_Hlk504400410"/>
            <w:r>
              <w:rPr>
                <w:rFonts w:ascii="Times New Roman" w:hAnsi="Times New Roman"/>
                <w:sz w:val="20"/>
                <w:szCs w:val="20"/>
                <w:lang w:val="ro"/>
              </w:rPr>
              <w:t>Modul de activare</w:t>
            </w:r>
          </w:p>
        </w:tc>
        <w:tc>
          <w:tcPr>
            <w:tcW w:w="5609" w:type="dxa"/>
            <w:vAlign w:val="center"/>
          </w:tcPr>
          <w:p w:rsidR="00152229" w:rsidRPr="00362616" w:rsidRDefault="00152229" w:rsidP="005A3EDE">
            <w:pPr>
              <w:jc w:val="center"/>
              <w:rPr>
                <w:rFonts w:ascii="Times New Roman" w:hAnsi="Times New Roman"/>
                <w:sz w:val="20"/>
                <w:szCs w:val="20"/>
              </w:rPr>
            </w:pPr>
            <w:r>
              <w:rPr>
                <w:rFonts w:ascii="Times New Roman" w:hAnsi="Times New Roman"/>
                <w:sz w:val="20"/>
                <w:szCs w:val="20"/>
                <w:lang w:val="ro"/>
              </w:rPr>
              <w:t>Manuală</w:t>
            </w:r>
          </w:p>
        </w:tc>
      </w:tr>
      <w:tr w:rsidR="00152229" w:rsidRPr="00362616" w:rsidTr="005A3EDE">
        <w:trPr>
          <w:trHeight w:val="299"/>
          <w:jc w:val="center"/>
        </w:trPr>
        <w:tc>
          <w:tcPr>
            <w:tcW w:w="2608" w:type="dxa"/>
            <w:noWrap/>
            <w:vAlign w:val="center"/>
          </w:tcPr>
          <w:p w:rsidR="00152229" w:rsidRPr="00362616" w:rsidRDefault="00152229" w:rsidP="005A3EDE">
            <w:pPr>
              <w:rPr>
                <w:rFonts w:ascii="Times New Roman" w:hAnsi="Times New Roman"/>
                <w:sz w:val="20"/>
                <w:szCs w:val="20"/>
              </w:rPr>
            </w:pPr>
            <w:r>
              <w:rPr>
                <w:rFonts w:ascii="Times New Roman" w:hAnsi="Times New Roman"/>
                <w:sz w:val="20"/>
                <w:szCs w:val="20"/>
                <w:lang w:val="ro"/>
              </w:rPr>
              <w:t>Tip de alocare</w:t>
            </w:r>
          </w:p>
        </w:tc>
        <w:tc>
          <w:tcPr>
            <w:tcW w:w="5609" w:type="dxa"/>
            <w:vAlign w:val="center"/>
          </w:tcPr>
          <w:p w:rsidR="00152229" w:rsidRPr="00362616" w:rsidRDefault="00152229" w:rsidP="005A3EDE">
            <w:pPr>
              <w:jc w:val="center"/>
              <w:rPr>
                <w:rFonts w:ascii="Times New Roman" w:hAnsi="Times New Roman"/>
                <w:sz w:val="20"/>
                <w:szCs w:val="20"/>
              </w:rPr>
            </w:pPr>
            <w:r>
              <w:rPr>
                <w:rFonts w:ascii="Times New Roman" w:hAnsi="Times New Roman"/>
                <w:sz w:val="20"/>
                <w:szCs w:val="20"/>
                <w:lang w:val="ro"/>
              </w:rPr>
              <w:t xml:space="preserve">Directă sau programată </w:t>
            </w:r>
          </w:p>
        </w:tc>
      </w:tr>
      <w:tr w:rsidR="00152229" w:rsidRPr="00362616" w:rsidTr="005A3EDE">
        <w:trPr>
          <w:trHeight w:val="299"/>
          <w:jc w:val="center"/>
        </w:trPr>
        <w:tc>
          <w:tcPr>
            <w:tcW w:w="2608" w:type="dxa"/>
            <w:shd w:val="clear" w:color="auto" w:fill="auto"/>
            <w:noWrap/>
            <w:vAlign w:val="center"/>
            <w:hideMark/>
          </w:tcPr>
          <w:p w:rsidR="00152229" w:rsidRPr="00362616" w:rsidRDefault="00152229" w:rsidP="005A3EDE">
            <w:pPr>
              <w:rPr>
                <w:rFonts w:ascii="Times New Roman" w:hAnsi="Times New Roman"/>
                <w:sz w:val="20"/>
                <w:szCs w:val="20"/>
              </w:rPr>
            </w:pPr>
            <w:r>
              <w:rPr>
                <w:rFonts w:ascii="Times New Roman" w:hAnsi="Times New Roman"/>
                <w:sz w:val="20"/>
                <w:szCs w:val="20"/>
                <w:lang w:val="ro"/>
              </w:rPr>
              <w:t>Timp de activare completă („TAC”)</w:t>
            </w:r>
          </w:p>
        </w:tc>
        <w:tc>
          <w:tcPr>
            <w:tcW w:w="5609" w:type="dxa"/>
            <w:shd w:val="clear" w:color="auto" w:fill="auto"/>
            <w:vAlign w:val="center"/>
          </w:tcPr>
          <w:p w:rsidR="00152229" w:rsidRPr="00362616" w:rsidRDefault="00927A28" w:rsidP="005A3EDE">
            <w:pPr>
              <w:jc w:val="center"/>
              <w:rPr>
                <w:rFonts w:ascii="Times New Roman" w:hAnsi="Times New Roman"/>
                <w:sz w:val="20"/>
                <w:szCs w:val="20"/>
              </w:rPr>
            </w:pPr>
            <w:r>
              <w:rPr>
                <w:rFonts w:ascii="Times New Roman" w:hAnsi="Times New Roman"/>
                <w:sz w:val="20"/>
                <w:szCs w:val="20"/>
                <w:lang w:val="ro"/>
              </w:rPr>
              <w:t>12,5 minute</w:t>
            </w:r>
          </w:p>
        </w:tc>
      </w:tr>
      <w:tr w:rsidR="00152229" w:rsidRPr="00362616" w:rsidTr="005A3EDE">
        <w:trPr>
          <w:trHeight w:val="299"/>
          <w:jc w:val="center"/>
        </w:trPr>
        <w:tc>
          <w:tcPr>
            <w:tcW w:w="2608" w:type="dxa"/>
            <w:shd w:val="clear" w:color="auto" w:fill="auto"/>
            <w:noWrap/>
            <w:vAlign w:val="center"/>
            <w:hideMark/>
          </w:tcPr>
          <w:p w:rsidR="00152229" w:rsidRPr="00362616" w:rsidRDefault="00152229" w:rsidP="005A3EDE">
            <w:pPr>
              <w:rPr>
                <w:rFonts w:ascii="Times New Roman" w:hAnsi="Times New Roman"/>
                <w:sz w:val="20"/>
                <w:szCs w:val="20"/>
              </w:rPr>
            </w:pPr>
            <w:r>
              <w:rPr>
                <w:rFonts w:ascii="Times New Roman" w:hAnsi="Times New Roman"/>
                <w:sz w:val="20"/>
                <w:szCs w:val="20"/>
                <w:lang w:val="ro"/>
              </w:rPr>
              <w:t>Cantitate minimă</w:t>
            </w:r>
          </w:p>
        </w:tc>
        <w:tc>
          <w:tcPr>
            <w:tcW w:w="5609" w:type="dxa"/>
            <w:shd w:val="clear" w:color="auto" w:fill="auto"/>
            <w:vAlign w:val="center"/>
          </w:tcPr>
          <w:p w:rsidR="00152229" w:rsidRPr="00362616" w:rsidRDefault="00152229" w:rsidP="005A3EDE">
            <w:pPr>
              <w:jc w:val="center"/>
              <w:rPr>
                <w:rFonts w:ascii="Times New Roman" w:hAnsi="Times New Roman"/>
                <w:sz w:val="20"/>
                <w:szCs w:val="20"/>
              </w:rPr>
            </w:pPr>
            <w:r>
              <w:rPr>
                <w:rFonts w:ascii="Times New Roman" w:hAnsi="Times New Roman"/>
                <w:sz w:val="20"/>
                <w:szCs w:val="20"/>
                <w:lang w:val="ro"/>
              </w:rPr>
              <w:t>1 MW</w:t>
            </w:r>
          </w:p>
        </w:tc>
      </w:tr>
      <w:tr w:rsidR="00152229" w:rsidRPr="00362616" w:rsidTr="005A3EDE">
        <w:trPr>
          <w:trHeight w:val="299"/>
          <w:jc w:val="center"/>
        </w:trPr>
        <w:tc>
          <w:tcPr>
            <w:tcW w:w="2608" w:type="dxa"/>
            <w:shd w:val="clear" w:color="auto" w:fill="auto"/>
            <w:noWrap/>
            <w:vAlign w:val="center"/>
          </w:tcPr>
          <w:p w:rsidR="00152229" w:rsidRPr="00362616" w:rsidRDefault="00152229" w:rsidP="005A3EDE">
            <w:pPr>
              <w:rPr>
                <w:rFonts w:ascii="Times New Roman" w:hAnsi="Times New Roman"/>
                <w:sz w:val="20"/>
                <w:szCs w:val="20"/>
              </w:rPr>
            </w:pPr>
            <w:r>
              <w:rPr>
                <w:rFonts w:ascii="Times New Roman" w:hAnsi="Times New Roman"/>
                <w:sz w:val="20"/>
                <w:szCs w:val="20"/>
                <w:lang w:val="ro"/>
              </w:rPr>
              <w:t>Granulație ofertă</w:t>
            </w:r>
          </w:p>
        </w:tc>
        <w:tc>
          <w:tcPr>
            <w:tcW w:w="5609" w:type="dxa"/>
            <w:shd w:val="clear" w:color="auto" w:fill="auto"/>
            <w:vAlign w:val="center"/>
          </w:tcPr>
          <w:p w:rsidR="00152229" w:rsidRPr="00362616" w:rsidRDefault="00152229" w:rsidP="005A3EDE">
            <w:pPr>
              <w:jc w:val="center"/>
              <w:rPr>
                <w:rFonts w:ascii="Times New Roman" w:hAnsi="Times New Roman"/>
                <w:sz w:val="20"/>
                <w:szCs w:val="20"/>
              </w:rPr>
            </w:pPr>
            <w:r>
              <w:rPr>
                <w:rFonts w:ascii="Times New Roman" w:hAnsi="Times New Roman"/>
                <w:sz w:val="20"/>
                <w:szCs w:val="20"/>
                <w:lang w:val="ro"/>
              </w:rPr>
              <w:t>1 MW</w:t>
            </w:r>
          </w:p>
        </w:tc>
      </w:tr>
      <w:tr w:rsidR="00152229" w:rsidRPr="00362616" w:rsidTr="005A3EDE">
        <w:trPr>
          <w:trHeight w:val="299"/>
          <w:jc w:val="center"/>
        </w:trPr>
        <w:tc>
          <w:tcPr>
            <w:tcW w:w="2608" w:type="dxa"/>
            <w:shd w:val="clear" w:color="auto" w:fill="auto"/>
            <w:noWrap/>
            <w:vAlign w:val="center"/>
          </w:tcPr>
          <w:p w:rsidR="00152229" w:rsidRPr="00362616" w:rsidRDefault="00152229" w:rsidP="005A3EDE">
            <w:pPr>
              <w:rPr>
                <w:rFonts w:ascii="Times New Roman" w:hAnsi="Times New Roman"/>
                <w:sz w:val="20"/>
                <w:szCs w:val="20"/>
              </w:rPr>
            </w:pPr>
            <w:r>
              <w:rPr>
                <w:rFonts w:ascii="Times New Roman" w:hAnsi="Times New Roman"/>
                <w:sz w:val="20"/>
                <w:szCs w:val="20"/>
                <w:lang w:val="ro"/>
              </w:rPr>
              <w:t>Cantitate maximă</w:t>
            </w:r>
          </w:p>
        </w:tc>
        <w:tc>
          <w:tcPr>
            <w:tcW w:w="5609" w:type="dxa"/>
            <w:shd w:val="clear" w:color="auto" w:fill="auto"/>
            <w:vAlign w:val="center"/>
          </w:tcPr>
          <w:p w:rsidR="00152229" w:rsidRPr="00362616" w:rsidRDefault="00D049FC" w:rsidP="005A3EDE">
            <w:pPr>
              <w:jc w:val="center"/>
              <w:rPr>
                <w:rFonts w:ascii="Times New Roman" w:hAnsi="Times New Roman"/>
                <w:sz w:val="20"/>
                <w:szCs w:val="20"/>
              </w:rPr>
            </w:pPr>
            <w:r>
              <w:rPr>
                <w:rFonts w:ascii="Times New Roman" w:hAnsi="Times New Roman"/>
                <w:sz w:val="20"/>
                <w:szCs w:val="20"/>
                <w:lang w:val="ro"/>
              </w:rPr>
              <w:t>9.999 MW</w:t>
            </w:r>
          </w:p>
        </w:tc>
      </w:tr>
      <w:tr w:rsidR="00152229" w:rsidRPr="00362616" w:rsidTr="005A3EDE">
        <w:trPr>
          <w:trHeight w:val="299"/>
          <w:jc w:val="center"/>
        </w:trPr>
        <w:tc>
          <w:tcPr>
            <w:tcW w:w="2608" w:type="dxa"/>
            <w:shd w:val="clear" w:color="auto" w:fill="auto"/>
            <w:noWrap/>
            <w:vAlign w:val="center"/>
            <w:hideMark/>
          </w:tcPr>
          <w:p w:rsidR="00152229" w:rsidRPr="00362616" w:rsidRDefault="00152229" w:rsidP="005A3EDE">
            <w:pPr>
              <w:rPr>
                <w:rFonts w:ascii="Times New Roman" w:hAnsi="Times New Roman"/>
                <w:sz w:val="20"/>
                <w:szCs w:val="20"/>
              </w:rPr>
            </w:pPr>
            <w:r>
              <w:rPr>
                <w:rFonts w:ascii="Times New Roman" w:hAnsi="Times New Roman"/>
                <w:sz w:val="20"/>
                <w:szCs w:val="20"/>
                <w:lang w:val="ro"/>
              </w:rPr>
              <w:t xml:space="preserve">Durata minimă a perioadei de livrare </w:t>
            </w:r>
          </w:p>
        </w:tc>
        <w:tc>
          <w:tcPr>
            <w:tcW w:w="5609" w:type="dxa"/>
            <w:shd w:val="clear" w:color="auto" w:fill="auto"/>
            <w:vAlign w:val="center"/>
          </w:tcPr>
          <w:p w:rsidR="00152229" w:rsidRPr="00362616" w:rsidRDefault="00152229" w:rsidP="005A3EDE">
            <w:pPr>
              <w:jc w:val="center"/>
              <w:rPr>
                <w:rFonts w:ascii="Times New Roman" w:hAnsi="Times New Roman"/>
                <w:sz w:val="20"/>
                <w:szCs w:val="20"/>
              </w:rPr>
            </w:pPr>
            <w:r>
              <w:rPr>
                <w:rFonts w:ascii="Times New Roman" w:hAnsi="Times New Roman"/>
                <w:sz w:val="20"/>
                <w:szCs w:val="20"/>
                <w:lang w:val="ro"/>
              </w:rPr>
              <w:t>5 minute</w:t>
            </w:r>
          </w:p>
        </w:tc>
      </w:tr>
      <w:tr w:rsidR="001444CA" w:rsidRPr="00362616" w:rsidTr="005A3EDE">
        <w:trPr>
          <w:trHeight w:val="299"/>
          <w:jc w:val="center"/>
        </w:trPr>
        <w:tc>
          <w:tcPr>
            <w:tcW w:w="2608" w:type="dxa"/>
            <w:shd w:val="clear" w:color="auto" w:fill="auto"/>
            <w:noWrap/>
            <w:vAlign w:val="center"/>
          </w:tcPr>
          <w:p w:rsidR="001444CA" w:rsidRPr="00362616" w:rsidRDefault="001444CA" w:rsidP="001444CA">
            <w:pPr>
              <w:rPr>
                <w:rFonts w:ascii="Times New Roman" w:hAnsi="Times New Roman"/>
                <w:sz w:val="20"/>
                <w:szCs w:val="20"/>
              </w:rPr>
            </w:pPr>
            <w:r>
              <w:rPr>
                <w:rFonts w:ascii="Times New Roman" w:hAnsi="Times New Roman"/>
                <w:sz w:val="20"/>
                <w:szCs w:val="20"/>
                <w:lang w:val="ro"/>
              </w:rPr>
              <w:t>Rezoluția prețului</w:t>
            </w:r>
          </w:p>
        </w:tc>
        <w:tc>
          <w:tcPr>
            <w:tcW w:w="5609" w:type="dxa"/>
            <w:shd w:val="clear" w:color="auto" w:fill="auto"/>
            <w:vAlign w:val="center"/>
          </w:tcPr>
          <w:p w:rsidR="001444CA" w:rsidRPr="00362616" w:rsidRDefault="001444CA" w:rsidP="001444CA">
            <w:pPr>
              <w:jc w:val="center"/>
              <w:rPr>
                <w:rFonts w:ascii="Times New Roman" w:hAnsi="Times New Roman"/>
                <w:sz w:val="20"/>
                <w:szCs w:val="20"/>
              </w:rPr>
            </w:pPr>
            <w:r>
              <w:rPr>
                <w:rFonts w:ascii="Times New Roman" w:hAnsi="Times New Roman"/>
                <w:sz w:val="20"/>
                <w:szCs w:val="20"/>
                <w:lang w:val="ro"/>
              </w:rPr>
              <w:t>0,01 €/MWh</w:t>
            </w:r>
          </w:p>
        </w:tc>
      </w:tr>
      <w:tr w:rsidR="001444CA" w:rsidRPr="00AE4671" w:rsidTr="005A3EDE">
        <w:trPr>
          <w:trHeight w:val="299"/>
          <w:jc w:val="center"/>
        </w:trPr>
        <w:tc>
          <w:tcPr>
            <w:tcW w:w="2608" w:type="dxa"/>
            <w:noWrap/>
            <w:vAlign w:val="center"/>
            <w:hideMark/>
          </w:tcPr>
          <w:p w:rsidR="001444CA" w:rsidRPr="00362616" w:rsidRDefault="001444CA" w:rsidP="001444CA">
            <w:pPr>
              <w:rPr>
                <w:rFonts w:ascii="Times New Roman" w:hAnsi="Times New Roman"/>
                <w:sz w:val="20"/>
                <w:szCs w:val="20"/>
              </w:rPr>
            </w:pPr>
            <w:r>
              <w:rPr>
                <w:rFonts w:ascii="Times New Roman" w:hAnsi="Times New Roman"/>
                <w:sz w:val="20"/>
                <w:szCs w:val="20"/>
                <w:lang w:val="ro"/>
              </w:rPr>
              <w:t>Perioada de valabilitate</w:t>
            </w:r>
          </w:p>
        </w:tc>
        <w:tc>
          <w:tcPr>
            <w:tcW w:w="5609" w:type="dxa"/>
            <w:vAlign w:val="center"/>
          </w:tcPr>
          <w:p w:rsidR="001444CA" w:rsidRPr="00362616" w:rsidRDefault="001444CA" w:rsidP="001444CA">
            <w:pPr>
              <w:jc w:val="center"/>
              <w:rPr>
                <w:rFonts w:ascii="Times New Roman" w:hAnsi="Times New Roman"/>
                <w:sz w:val="20"/>
                <w:szCs w:val="20"/>
              </w:rPr>
            </w:pPr>
            <w:r>
              <w:rPr>
                <w:rFonts w:ascii="Times New Roman" w:hAnsi="Times New Roman"/>
                <w:sz w:val="20"/>
                <w:szCs w:val="20"/>
                <w:lang w:val="ro"/>
              </w:rPr>
              <w:t>O activare programată poate avea loc doar la momentul activării programate.</w:t>
            </w:r>
          </w:p>
          <w:p w:rsidR="001444CA" w:rsidRPr="00362616" w:rsidRDefault="001444CA" w:rsidP="001444CA">
            <w:pPr>
              <w:jc w:val="center"/>
              <w:rPr>
                <w:rFonts w:ascii="Times New Roman" w:hAnsi="Times New Roman"/>
                <w:sz w:val="20"/>
                <w:szCs w:val="20"/>
              </w:rPr>
            </w:pPr>
          </w:p>
          <w:p w:rsidR="001444CA" w:rsidRPr="00362616" w:rsidRDefault="001444CA" w:rsidP="001444CA">
            <w:pPr>
              <w:jc w:val="center"/>
              <w:rPr>
                <w:rFonts w:ascii="Times New Roman" w:hAnsi="Times New Roman"/>
                <w:sz w:val="20"/>
                <w:szCs w:val="20"/>
              </w:rPr>
            </w:pPr>
            <w:r>
              <w:rPr>
                <w:rFonts w:ascii="Times New Roman" w:hAnsi="Times New Roman"/>
                <w:sz w:val="20"/>
                <w:szCs w:val="20"/>
                <w:lang w:val="ro"/>
              </w:rPr>
              <w:t xml:space="preserve">O activare directă poate avea loc la orice moment în timpul celor 15 minute </w:t>
            </w:r>
            <w:r>
              <w:rPr>
                <w:rFonts w:ascii="Times New Roman" w:hAnsi="Times New Roman"/>
                <w:sz w:val="20"/>
                <w:szCs w:val="20"/>
                <w:shd w:val="clear" w:color="auto" w:fill="FFFFFF" w:themeFill="background1"/>
                <w:lang w:val="ro"/>
              </w:rPr>
              <w:t>după</w:t>
            </w:r>
            <w:r>
              <w:rPr>
                <w:rFonts w:ascii="Times New Roman" w:hAnsi="Times New Roman"/>
                <w:sz w:val="20"/>
                <w:szCs w:val="20"/>
                <w:lang w:val="ro"/>
              </w:rPr>
              <w:t xml:space="preserve"> momentul activării programate.</w:t>
            </w:r>
          </w:p>
        </w:tc>
      </w:tr>
    </w:tbl>
    <w:p w:rsidR="0060197A" w:rsidRPr="00BC79B3" w:rsidRDefault="00BC79B3" w:rsidP="00BC79B3">
      <w:pPr>
        <w:pStyle w:val="Caption"/>
        <w:keepNext/>
        <w:jc w:val="center"/>
        <w:rPr>
          <w:rFonts w:asciiTheme="minorHAnsi" w:hAnsiTheme="minorHAnsi" w:cstheme="minorHAnsi"/>
          <w:i w:val="0"/>
          <w:color w:val="auto"/>
          <w:sz w:val="24"/>
          <w:szCs w:val="22"/>
        </w:rPr>
      </w:pPr>
      <w:bookmarkStart w:id="101" w:name="_Toc531027317"/>
      <w:bookmarkEnd w:id="100"/>
      <w:r>
        <w:rPr>
          <w:rFonts w:asciiTheme="minorHAnsi" w:hAnsiTheme="minorHAnsi"/>
          <w:color w:val="auto"/>
          <w:sz w:val="22"/>
          <w:szCs w:val="22"/>
          <w:lang w:val="ro"/>
        </w:rPr>
        <w:t xml:space="preserve">Tabelul </w:t>
      </w:r>
      <w:r>
        <w:rPr>
          <w:color w:val="auto"/>
          <w:sz w:val="22"/>
          <w:szCs w:val="22"/>
          <w:lang w:val="ro"/>
        </w:rPr>
        <w:fldChar w:fldCharType="begin"/>
      </w:r>
      <w:r>
        <w:rPr>
          <w:rFonts w:asciiTheme="minorHAnsi" w:hAnsiTheme="minorHAnsi"/>
          <w:color w:val="auto"/>
          <w:sz w:val="22"/>
          <w:szCs w:val="22"/>
          <w:lang w:val="ro"/>
        </w:rPr>
        <w:instrText xml:space="preserve"> SEQ Table \* ARABIC </w:instrText>
      </w:r>
      <w:r>
        <w:rPr>
          <w:color w:val="auto"/>
          <w:sz w:val="22"/>
          <w:szCs w:val="22"/>
          <w:lang w:val="ro"/>
        </w:rPr>
        <w:fldChar w:fldCharType="separate"/>
      </w:r>
      <w:r>
        <w:rPr>
          <w:rFonts w:asciiTheme="minorHAnsi" w:hAnsiTheme="minorHAnsi"/>
          <w:color w:val="auto"/>
          <w:sz w:val="22"/>
          <w:szCs w:val="22"/>
          <w:lang w:val="ro"/>
        </w:rPr>
        <w:t>1</w:t>
      </w:r>
      <w:r>
        <w:rPr>
          <w:i w:val="0"/>
          <w:iCs w:val="0"/>
          <w:color w:val="auto"/>
          <w:sz w:val="22"/>
          <w:szCs w:val="22"/>
          <w:lang w:val="ro"/>
        </w:rPr>
        <w:fldChar w:fldCharType="end"/>
      </w:r>
      <w:r>
        <w:rPr>
          <w:rFonts w:asciiTheme="minorHAnsi" w:hAnsiTheme="minorHAnsi"/>
          <w:i w:val="0"/>
          <w:iCs w:val="0"/>
          <w:color w:val="auto"/>
          <w:sz w:val="22"/>
          <w:szCs w:val="22"/>
          <w:lang w:val="ro"/>
        </w:rPr>
        <w:t xml:space="preserve">: </w:t>
      </w:r>
      <w:r>
        <w:rPr>
          <w:rFonts w:ascii="Times New Roman" w:hAnsi="Times New Roman"/>
          <w:i w:val="0"/>
          <w:iCs w:val="0"/>
          <w:color w:val="auto"/>
          <w:sz w:val="22"/>
          <w:szCs w:val="22"/>
          <w:lang w:val="ro"/>
        </w:rPr>
        <w:t>Caracteristicile ofertelor de produs standard de energie de echilibrare mRRF</w:t>
      </w:r>
      <w:bookmarkEnd w:id="101"/>
    </w:p>
    <w:p w:rsidR="00152229" w:rsidRDefault="00FA37AD" w:rsidP="00FC69DE">
      <w:pPr>
        <w:pStyle w:val="Numbering"/>
        <w:numPr>
          <w:ilvl w:val="0"/>
          <w:numId w:val="59"/>
        </w:numPr>
      </w:pPr>
      <w:r>
        <w:rPr>
          <w:lang w:val="ro"/>
        </w:rPr>
        <w:t>Caracteristicile variabile ale ofertei de produs standard de energie de echilibrare mRRF ce urmează a fi determinate de către FSE-uri în timpul calificării prealabile sau la transmiterea ofertei de produs standard de energie de echilibrare mRRF trebuie să cuprindă cel puțin:</w:t>
      </w:r>
    </w:p>
    <w:p w:rsidR="00FA37AD" w:rsidRPr="00362616" w:rsidRDefault="00FA37AD" w:rsidP="00FC69DE">
      <w:pPr>
        <w:pStyle w:val="Numbering2"/>
        <w:numPr>
          <w:ilvl w:val="1"/>
          <w:numId w:val="38"/>
        </w:numPr>
      </w:pPr>
      <w:r>
        <w:rPr>
          <w:lang w:val="ro"/>
        </w:rPr>
        <w:t>definite de următorii parametri:</w:t>
      </w:r>
    </w:p>
    <w:tbl>
      <w:tblPr>
        <w:tblStyle w:val="Rutenettabelllys1"/>
        <w:tblW w:w="8215" w:type="dxa"/>
        <w:jc w:val="center"/>
        <w:tblLayout w:type="fixed"/>
        <w:tblLook w:val="0620" w:firstRow="1" w:lastRow="0" w:firstColumn="0" w:lastColumn="0" w:noHBand="1" w:noVBand="1"/>
      </w:tblPr>
      <w:tblGrid>
        <w:gridCol w:w="2608"/>
        <w:gridCol w:w="5607"/>
      </w:tblGrid>
      <w:tr w:rsidR="00152229" w:rsidRPr="00362616" w:rsidTr="005A3EDE">
        <w:trPr>
          <w:trHeight w:val="299"/>
          <w:jc w:val="center"/>
        </w:trPr>
        <w:tc>
          <w:tcPr>
            <w:tcW w:w="2608" w:type="dxa"/>
            <w:noWrap/>
            <w:vAlign w:val="center"/>
            <w:hideMark/>
          </w:tcPr>
          <w:p w:rsidR="00152229" w:rsidRPr="00362616" w:rsidRDefault="00152229" w:rsidP="005A3EDE">
            <w:pPr>
              <w:rPr>
                <w:rFonts w:ascii="Times New Roman" w:hAnsi="Times New Roman"/>
                <w:sz w:val="20"/>
                <w:szCs w:val="20"/>
              </w:rPr>
            </w:pPr>
            <w:r>
              <w:rPr>
                <w:rFonts w:ascii="Times New Roman" w:hAnsi="Times New Roman"/>
                <w:sz w:val="20"/>
                <w:szCs w:val="20"/>
                <w:lang w:val="ro"/>
              </w:rPr>
              <w:lastRenderedPageBreak/>
              <w:t>Preț</w:t>
            </w:r>
          </w:p>
        </w:tc>
        <w:tc>
          <w:tcPr>
            <w:tcW w:w="5607" w:type="dxa"/>
            <w:vAlign w:val="center"/>
          </w:tcPr>
          <w:p w:rsidR="00152229" w:rsidRPr="00362616" w:rsidRDefault="00152229" w:rsidP="005A3EDE">
            <w:pPr>
              <w:jc w:val="center"/>
              <w:rPr>
                <w:rFonts w:ascii="Times New Roman" w:hAnsi="Times New Roman"/>
                <w:sz w:val="20"/>
                <w:szCs w:val="20"/>
              </w:rPr>
            </w:pPr>
            <w:r>
              <w:rPr>
                <w:rFonts w:ascii="Times New Roman" w:hAnsi="Times New Roman"/>
                <w:sz w:val="20"/>
                <w:szCs w:val="20"/>
                <w:lang w:val="ro"/>
              </w:rPr>
              <w:t>în €/MWh</w:t>
            </w:r>
          </w:p>
        </w:tc>
      </w:tr>
      <w:tr w:rsidR="00152229" w:rsidRPr="00AE4671" w:rsidTr="00B65173">
        <w:trPr>
          <w:trHeight w:val="299"/>
          <w:jc w:val="center"/>
        </w:trPr>
        <w:tc>
          <w:tcPr>
            <w:tcW w:w="2608" w:type="dxa"/>
            <w:noWrap/>
            <w:vAlign w:val="center"/>
            <w:hideMark/>
          </w:tcPr>
          <w:p w:rsidR="00152229" w:rsidRPr="00362616" w:rsidRDefault="00152229" w:rsidP="005A3EDE">
            <w:pPr>
              <w:rPr>
                <w:rFonts w:ascii="Times New Roman" w:hAnsi="Times New Roman"/>
                <w:sz w:val="20"/>
                <w:szCs w:val="20"/>
              </w:rPr>
            </w:pPr>
            <w:r>
              <w:rPr>
                <w:rFonts w:ascii="Times New Roman" w:hAnsi="Times New Roman"/>
                <w:sz w:val="20"/>
                <w:szCs w:val="20"/>
                <w:lang w:val="ro"/>
              </w:rPr>
              <w:t>Situare</w:t>
            </w:r>
          </w:p>
        </w:tc>
        <w:tc>
          <w:tcPr>
            <w:tcW w:w="5607" w:type="dxa"/>
            <w:vAlign w:val="center"/>
          </w:tcPr>
          <w:p w:rsidR="00152229" w:rsidRPr="00362616" w:rsidRDefault="00152229" w:rsidP="00B65173">
            <w:pPr>
              <w:jc w:val="center"/>
              <w:rPr>
                <w:rFonts w:ascii="Times New Roman" w:hAnsi="Times New Roman"/>
                <w:sz w:val="20"/>
                <w:szCs w:val="20"/>
              </w:rPr>
            </w:pPr>
            <w:r>
              <w:rPr>
                <w:rFonts w:ascii="Times New Roman" w:hAnsi="Times New Roman"/>
                <w:sz w:val="20"/>
                <w:szCs w:val="20"/>
                <w:lang w:val="ro"/>
              </w:rPr>
              <w:t>Cel puțin cea mai mică zonă RFP sau zonă de ofertare.</w:t>
            </w:r>
          </w:p>
        </w:tc>
      </w:tr>
      <w:tr w:rsidR="00152229" w:rsidRPr="00AE4671" w:rsidTr="005A3EDE">
        <w:trPr>
          <w:trHeight w:val="432"/>
          <w:jc w:val="center"/>
        </w:trPr>
        <w:tc>
          <w:tcPr>
            <w:tcW w:w="2608" w:type="dxa"/>
            <w:noWrap/>
            <w:vAlign w:val="center"/>
            <w:hideMark/>
          </w:tcPr>
          <w:p w:rsidR="00152229" w:rsidRPr="00362616" w:rsidRDefault="00152229" w:rsidP="005A3EDE">
            <w:pPr>
              <w:rPr>
                <w:rFonts w:ascii="Times New Roman" w:hAnsi="Times New Roman"/>
                <w:sz w:val="20"/>
                <w:szCs w:val="20"/>
              </w:rPr>
            </w:pPr>
            <w:r>
              <w:rPr>
                <w:rFonts w:ascii="Times New Roman" w:hAnsi="Times New Roman"/>
                <w:sz w:val="20"/>
                <w:szCs w:val="20"/>
                <w:lang w:val="ro"/>
              </w:rPr>
              <w:t>Divizibilitate</w:t>
            </w:r>
          </w:p>
        </w:tc>
        <w:tc>
          <w:tcPr>
            <w:tcW w:w="5607" w:type="dxa"/>
            <w:vAlign w:val="center"/>
          </w:tcPr>
          <w:p w:rsidR="00152229" w:rsidRDefault="00152229" w:rsidP="005A3EDE">
            <w:pPr>
              <w:jc w:val="center"/>
              <w:rPr>
                <w:rFonts w:ascii="Times New Roman" w:hAnsi="Times New Roman"/>
                <w:sz w:val="20"/>
                <w:szCs w:val="20"/>
              </w:rPr>
            </w:pPr>
            <w:r>
              <w:rPr>
                <w:rFonts w:ascii="Times New Roman" w:hAnsi="Times New Roman"/>
                <w:sz w:val="20"/>
                <w:szCs w:val="20"/>
                <w:lang w:val="ro"/>
              </w:rPr>
              <w:t>FSE-urile pot transmite oferte divizibile cu o granulație de activare de 1 MW.</w:t>
            </w:r>
          </w:p>
          <w:p w:rsidR="00152229" w:rsidRPr="00362616" w:rsidRDefault="005F1777" w:rsidP="00A24F13">
            <w:pPr>
              <w:jc w:val="center"/>
              <w:rPr>
                <w:rFonts w:ascii="Times New Roman" w:hAnsi="Times New Roman"/>
                <w:sz w:val="20"/>
                <w:szCs w:val="20"/>
              </w:rPr>
            </w:pPr>
            <w:r>
              <w:rPr>
                <w:rFonts w:ascii="Times New Roman" w:hAnsi="Times New Roman"/>
                <w:sz w:val="20"/>
                <w:szCs w:val="20"/>
                <w:lang w:val="ro"/>
              </w:rPr>
              <w:t>FSE-urile pot transmite oferte indivizibile în temeiul articolului 7 (3) din prezenta mRRF-IF</w:t>
            </w:r>
          </w:p>
        </w:tc>
      </w:tr>
      <w:tr w:rsidR="00152229" w:rsidRPr="00AE4671" w:rsidTr="005A3EDE">
        <w:trPr>
          <w:trHeight w:val="299"/>
          <w:jc w:val="center"/>
        </w:trPr>
        <w:tc>
          <w:tcPr>
            <w:tcW w:w="2608" w:type="dxa"/>
            <w:noWrap/>
            <w:vAlign w:val="center"/>
          </w:tcPr>
          <w:p w:rsidR="00152229" w:rsidRPr="00362616" w:rsidRDefault="00152229" w:rsidP="005A3EDE">
            <w:pPr>
              <w:rPr>
                <w:rFonts w:ascii="Times New Roman" w:hAnsi="Times New Roman"/>
                <w:sz w:val="20"/>
                <w:szCs w:val="20"/>
              </w:rPr>
            </w:pPr>
            <w:r>
              <w:rPr>
                <w:rFonts w:ascii="Times New Roman" w:hAnsi="Times New Roman"/>
                <w:sz w:val="20"/>
                <w:szCs w:val="20"/>
                <w:lang w:val="ro"/>
              </w:rPr>
              <w:t>Legături tehnice dintre oferte</w:t>
            </w:r>
          </w:p>
        </w:tc>
        <w:tc>
          <w:tcPr>
            <w:tcW w:w="5607" w:type="dxa"/>
            <w:vAlign w:val="center"/>
          </w:tcPr>
          <w:p w:rsidR="00152229" w:rsidRPr="00362616" w:rsidRDefault="00152229" w:rsidP="0088763D">
            <w:pPr>
              <w:pStyle w:val="Default"/>
              <w:jc w:val="center"/>
              <w:rPr>
                <w:sz w:val="20"/>
                <w:szCs w:val="20"/>
              </w:rPr>
            </w:pPr>
            <w:r>
              <w:rPr>
                <w:sz w:val="20"/>
                <w:szCs w:val="20"/>
                <w:lang w:val="ro"/>
              </w:rPr>
              <w:t>FSE-urile trebuie să furnizeze informații cu privire la legăturile tehnice dintre ofertele transmise în sferturi de oră consecutive</w:t>
            </w:r>
            <w:r>
              <w:rPr>
                <w:lang w:val="ro"/>
              </w:rPr>
              <w:t xml:space="preserve"> </w:t>
            </w:r>
            <w:r>
              <w:rPr>
                <w:sz w:val="20"/>
                <w:szCs w:val="20"/>
                <w:lang w:val="ro"/>
              </w:rPr>
              <w:t>și în cadrul aceluiași sfert de oră</w:t>
            </w:r>
          </w:p>
        </w:tc>
      </w:tr>
      <w:tr w:rsidR="009A4B19" w:rsidRPr="00AE4671" w:rsidTr="005A3EDE">
        <w:trPr>
          <w:trHeight w:val="299"/>
          <w:jc w:val="center"/>
        </w:trPr>
        <w:tc>
          <w:tcPr>
            <w:tcW w:w="2608" w:type="dxa"/>
            <w:noWrap/>
            <w:vAlign w:val="center"/>
          </w:tcPr>
          <w:p w:rsidR="009A4B19" w:rsidRPr="00362616" w:rsidRDefault="009A4B19" w:rsidP="005A3EDE">
            <w:pPr>
              <w:rPr>
                <w:rFonts w:ascii="Times New Roman" w:hAnsi="Times New Roman"/>
                <w:sz w:val="20"/>
                <w:szCs w:val="20"/>
              </w:rPr>
            </w:pPr>
            <w:bookmarkStart w:id="102" w:name="_Hlk509309457"/>
            <w:r>
              <w:rPr>
                <w:rFonts w:ascii="Times New Roman" w:hAnsi="Times New Roman"/>
                <w:sz w:val="20"/>
                <w:szCs w:val="20"/>
                <w:lang w:val="ro"/>
              </w:rPr>
              <w:t>Legătură economică</w:t>
            </w:r>
            <w:bookmarkEnd w:id="102"/>
          </w:p>
        </w:tc>
        <w:tc>
          <w:tcPr>
            <w:tcW w:w="5607" w:type="dxa"/>
            <w:vAlign w:val="center"/>
          </w:tcPr>
          <w:p w:rsidR="003E4DCE" w:rsidRPr="00362616" w:rsidRDefault="003E4DCE" w:rsidP="005A3EDE">
            <w:pPr>
              <w:pStyle w:val="Default"/>
              <w:jc w:val="center"/>
              <w:rPr>
                <w:sz w:val="20"/>
                <w:szCs w:val="20"/>
              </w:rPr>
            </w:pPr>
            <w:r>
              <w:rPr>
                <w:sz w:val="20"/>
                <w:szCs w:val="20"/>
                <w:lang w:val="ro"/>
              </w:rPr>
              <w:t>Sunt permise oferte copil și părinte și grupuri exclusive de oferte</w:t>
            </w:r>
          </w:p>
        </w:tc>
      </w:tr>
    </w:tbl>
    <w:p w:rsidR="0060197A" w:rsidRPr="00170B42" w:rsidRDefault="00BC79B3" w:rsidP="00BC79B3">
      <w:pPr>
        <w:pStyle w:val="Caption"/>
        <w:keepNext/>
        <w:jc w:val="center"/>
        <w:rPr>
          <w:rFonts w:asciiTheme="minorHAnsi" w:hAnsiTheme="minorHAnsi" w:cstheme="minorHAnsi"/>
          <w:color w:val="auto"/>
          <w:sz w:val="22"/>
          <w:szCs w:val="22"/>
        </w:rPr>
      </w:pPr>
      <w:bookmarkStart w:id="103" w:name="_Toc531027318"/>
      <w:r>
        <w:rPr>
          <w:rFonts w:asciiTheme="minorHAnsi" w:hAnsiTheme="minorHAnsi" w:cstheme="minorHAnsi"/>
          <w:color w:val="auto"/>
          <w:sz w:val="22"/>
          <w:szCs w:val="22"/>
          <w:lang w:val="ro"/>
        </w:rPr>
        <w:t xml:space="preserve">Tabelul </w:t>
      </w:r>
      <w:r>
        <w:rPr>
          <w:rFonts w:asciiTheme="minorHAnsi" w:hAnsiTheme="minorHAnsi" w:cstheme="minorHAnsi"/>
          <w:color w:val="auto"/>
          <w:sz w:val="22"/>
          <w:szCs w:val="22"/>
          <w:lang w:val="ro"/>
        </w:rPr>
        <w:fldChar w:fldCharType="begin"/>
      </w:r>
      <w:r>
        <w:rPr>
          <w:rFonts w:asciiTheme="minorHAnsi" w:hAnsiTheme="minorHAnsi" w:cstheme="minorHAnsi"/>
          <w:color w:val="auto"/>
          <w:sz w:val="22"/>
          <w:szCs w:val="22"/>
          <w:lang w:val="ro"/>
        </w:rPr>
        <w:instrText xml:space="preserve"> SEQ Table \* ARABIC </w:instrText>
      </w:r>
      <w:r>
        <w:rPr>
          <w:rFonts w:asciiTheme="minorHAnsi" w:hAnsiTheme="minorHAnsi" w:cstheme="minorHAnsi"/>
          <w:color w:val="auto"/>
          <w:sz w:val="22"/>
          <w:szCs w:val="22"/>
          <w:lang w:val="ro"/>
        </w:rPr>
        <w:fldChar w:fldCharType="separate"/>
      </w:r>
      <w:r>
        <w:rPr>
          <w:rFonts w:asciiTheme="minorHAnsi" w:hAnsiTheme="minorHAnsi" w:cstheme="minorHAnsi"/>
          <w:color w:val="auto"/>
          <w:sz w:val="22"/>
          <w:szCs w:val="22"/>
          <w:lang w:val="ro"/>
        </w:rPr>
        <w:t>2</w:t>
      </w:r>
      <w:r>
        <w:rPr>
          <w:rFonts w:asciiTheme="minorHAnsi" w:hAnsiTheme="minorHAnsi" w:cstheme="minorHAnsi"/>
          <w:color w:val="auto"/>
          <w:sz w:val="22"/>
          <w:szCs w:val="22"/>
          <w:lang w:val="ro"/>
        </w:rPr>
        <w:fldChar w:fldCharType="end"/>
      </w:r>
      <w:r>
        <w:rPr>
          <w:rFonts w:asciiTheme="minorHAnsi" w:hAnsiTheme="minorHAnsi" w:cstheme="minorHAnsi"/>
          <w:color w:val="auto"/>
          <w:sz w:val="22"/>
          <w:szCs w:val="22"/>
          <w:lang w:val="ro"/>
        </w:rPr>
        <w:t>:</w:t>
      </w:r>
      <w:r>
        <w:rPr>
          <w:rFonts w:asciiTheme="minorHAnsi" w:hAnsiTheme="minorHAnsi" w:cstheme="minorHAnsi"/>
          <w:i w:val="0"/>
          <w:iCs w:val="0"/>
          <w:color w:val="auto"/>
          <w:sz w:val="22"/>
          <w:szCs w:val="22"/>
          <w:lang w:val="ro"/>
        </w:rPr>
        <w:t xml:space="preserve"> </w:t>
      </w:r>
      <w:r>
        <w:rPr>
          <w:rFonts w:asciiTheme="minorHAnsi" w:hAnsiTheme="minorHAnsi" w:cstheme="minorHAnsi"/>
          <w:color w:val="auto"/>
          <w:sz w:val="22"/>
          <w:szCs w:val="22"/>
          <w:lang w:val="ro"/>
        </w:rPr>
        <w:t>Caracteristicile ofertelor de produs standard de energie de echilibrare mRRF</w:t>
      </w:r>
      <w:bookmarkEnd w:id="103"/>
    </w:p>
    <w:p w:rsidR="00FA37AD" w:rsidRDefault="00FA37AD" w:rsidP="00FC69DE">
      <w:pPr>
        <w:pStyle w:val="Numbering2"/>
        <w:numPr>
          <w:ilvl w:val="1"/>
          <w:numId w:val="38"/>
        </w:numPr>
      </w:pPr>
      <w:r>
        <w:rPr>
          <w:lang w:val="ro"/>
        </w:rPr>
        <w:t>volumul ofertei;</w:t>
      </w:r>
    </w:p>
    <w:p w:rsidR="00A3422E" w:rsidRDefault="00A3422E" w:rsidP="00FC69DE">
      <w:pPr>
        <w:pStyle w:val="Numbering2"/>
        <w:numPr>
          <w:ilvl w:val="1"/>
          <w:numId w:val="38"/>
        </w:numPr>
      </w:pPr>
      <w:r>
        <w:rPr>
          <w:lang w:val="ro"/>
        </w:rPr>
        <w:t>direcția ofertei: crescătoare sau descrescătoare;</w:t>
      </w:r>
    </w:p>
    <w:p w:rsidR="00FA37AD" w:rsidRPr="00492EB0" w:rsidRDefault="00E110C6" w:rsidP="00FC69DE">
      <w:pPr>
        <w:pStyle w:val="Numbering2"/>
        <w:numPr>
          <w:ilvl w:val="1"/>
          <w:numId w:val="38"/>
        </w:numPr>
        <w:rPr>
          <w:rFonts w:asciiTheme="minorHAnsi" w:hAnsiTheme="minorHAnsi" w:cstheme="minorHAnsi"/>
          <w:szCs w:val="22"/>
        </w:rPr>
      </w:pPr>
      <w:r>
        <w:rPr>
          <w:rFonts w:asciiTheme="minorHAnsi" w:hAnsiTheme="minorHAnsi" w:cstheme="minorHAnsi"/>
          <w:szCs w:val="22"/>
          <w:lang w:val="ro"/>
        </w:rPr>
        <w:t>prețul ofertei, fie pozitiv, zero sau negativ, se definește în conformitate cu Tabelul 3:</w:t>
      </w:r>
    </w:p>
    <w:tbl>
      <w:tblPr>
        <w:tblStyle w:val="TableGrid"/>
        <w:tblW w:w="0" w:type="auto"/>
        <w:tblInd w:w="850" w:type="dxa"/>
        <w:tblLook w:val="04A0" w:firstRow="1" w:lastRow="0" w:firstColumn="1" w:lastColumn="0" w:noHBand="0" w:noVBand="1"/>
      </w:tblPr>
      <w:tblGrid>
        <w:gridCol w:w="2689"/>
        <w:gridCol w:w="2806"/>
        <w:gridCol w:w="3006"/>
      </w:tblGrid>
      <w:tr w:rsidR="00FA37AD" w:rsidRPr="00FA37AD" w:rsidTr="000472F4">
        <w:tc>
          <w:tcPr>
            <w:tcW w:w="2689" w:type="dxa"/>
            <w:vAlign w:val="center"/>
          </w:tcPr>
          <w:p w:rsidR="00FA37AD" w:rsidRPr="00492EB0" w:rsidRDefault="00FA37AD" w:rsidP="000472F4">
            <w:pPr>
              <w:pStyle w:val="Text1"/>
              <w:ind w:left="0"/>
              <w:jc w:val="center"/>
              <w:rPr>
                <w:rFonts w:asciiTheme="minorHAnsi" w:hAnsiTheme="minorHAnsi" w:cstheme="minorHAnsi"/>
                <w:sz w:val="22"/>
              </w:rPr>
            </w:pPr>
            <w:r>
              <w:rPr>
                <w:rFonts w:asciiTheme="minorHAnsi" w:hAnsiTheme="minorHAnsi" w:cstheme="minorHAnsi"/>
                <w:sz w:val="22"/>
                <w:lang w:val="ro"/>
              </w:rPr>
              <w:t>Direcția ofertei</w:t>
            </w:r>
          </w:p>
        </w:tc>
        <w:tc>
          <w:tcPr>
            <w:tcW w:w="2806" w:type="dxa"/>
            <w:vAlign w:val="center"/>
          </w:tcPr>
          <w:p w:rsidR="00FA37AD" w:rsidRPr="00492EB0" w:rsidRDefault="00FA37AD" w:rsidP="000472F4">
            <w:pPr>
              <w:pStyle w:val="Text1"/>
              <w:ind w:left="0"/>
              <w:jc w:val="center"/>
              <w:rPr>
                <w:rFonts w:asciiTheme="minorHAnsi" w:hAnsiTheme="minorHAnsi" w:cstheme="minorHAnsi"/>
                <w:sz w:val="22"/>
              </w:rPr>
            </w:pPr>
            <w:r>
              <w:rPr>
                <w:rFonts w:asciiTheme="minorHAnsi" w:hAnsiTheme="minorHAnsi" w:cstheme="minorHAnsi"/>
                <w:sz w:val="22"/>
                <w:lang w:val="ro"/>
              </w:rPr>
              <w:t>Prețul energiei de echilibrare pozitiv</w:t>
            </w:r>
          </w:p>
        </w:tc>
        <w:tc>
          <w:tcPr>
            <w:tcW w:w="3006" w:type="dxa"/>
            <w:vAlign w:val="center"/>
          </w:tcPr>
          <w:p w:rsidR="00FA37AD" w:rsidRPr="00492EB0" w:rsidRDefault="00FA37AD" w:rsidP="000472F4">
            <w:pPr>
              <w:pStyle w:val="Text1"/>
              <w:ind w:left="0"/>
              <w:jc w:val="center"/>
              <w:rPr>
                <w:rFonts w:asciiTheme="minorHAnsi" w:hAnsiTheme="minorHAnsi" w:cstheme="minorHAnsi"/>
                <w:sz w:val="22"/>
              </w:rPr>
            </w:pPr>
            <w:r>
              <w:rPr>
                <w:rFonts w:asciiTheme="minorHAnsi" w:hAnsiTheme="minorHAnsi" w:cstheme="minorHAnsi"/>
                <w:sz w:val="22"/>
                <w:lang w:val="ro"/>
              </w:rPr>
              <w:t>Prețul energiei de echilibrare negativ</w:t>
            </w:r>
          </w:p>
        </w:tc>
      </w:tr>
      <w:tr w:rsidR="00FA37AD" w:rsidRPr="00AE4671" w:rsidTr="000472F4">
        <w:tc>
          <w:tcPr>
            <w:tcW w:w="2689" w:type="dxa"/>
            <w:vAlign w:val="center"/>
          </w:tcPr>
          <w:p w:rsidR="00FA37AD" w:rsidRPr="00492EB0" w:rsidRDefault="005B1738" w:rsidP="000472F4">
            <w:pPr>
              <w:pStyle w:val="Text1"/>
              <w:ind w:left="0"/>
              <w:jc w:val="center"/>
              <w:rPr>
                <w:rFonts w:asciiTheme="minorHAnsi" w:hAnsiTheme="minorHAnsi" w:cstheme="minorHAnsi"/>
                <w:sz w:val="22"/>
              </w:rPr>
            </w:pPr>
            <w:r>
              <w:rPr>
                <w:rFonts w:asciiTheme="minorHAnsi" w:hAnsiTheme="minorHAnsi" w:cstheme="minorHAnsi"/>
                <w:sz w:val="22"/>
                <w:lang w:val="ro"/>
              </w:rPr>
              <w:t>Crescătoare</w:t>
            </w:r>
          </w:p>
        </w:tc>
        <w:tc>
          <w:tcPr>
            <w:tcW w:w="2806" w:type="dxa"/>
            <w:vAlign w:val="center"/>
          </w:tcPr>
          <w:p w:rsidR="00FA37AD" w:rsidRPr="00492EB0" w:rsidRDefault="00FA37AD" w:rsidP="000472F4">
            <w:pPr>
              <w:pStyle w:val="Text1"/>
              <w:ind w:left="0"/>
              <w:jc w:val="center"/>
              <w:rPr>
                <w:rFonts w:asciiTheme="minorHAnsi" w:hAnsiTheme="minorHAnsi" w:cstheme="minorHAnsi"/>
                <w:sz w:val="22"/>
              </w:rPr>
            </w:pPr>
            <w:r>
              <w:rPr>
                <w:rFonts w:asciiTheme="minorHAnsi" w:hAnsiTheme="minorHAnsi" w:cstheme="minorHAnsi"/>
                <w:sz w:val="22"/>
                <w:lang w:val="ro"/>
              </w:rPr>
              <w:t>Plătit de OTS către FSE</w:t>
            </w:r>
          </w:p>
        </w:tc>
        <w:tc>
          <w:tcPr>
            <w:tcW w:w="3006" w:type="dxa"/>
            <w:vAlign w:val="center"/>
          </w:tcPr>
          <w:p w:rsidR="00FA37AD" w:rsidRPr="00492EB0" w:rsidRDefault="00FA37AD" w:rsidP="000472F4">
            <w:pPr>
              <w:pStyle w:val="Text1"/>
              <w:ind w:left="0"/>
              <w:jc w:val="center"/>
              <w:rPr>
                <w:rFonts w:asciiTheme="minorHAnsi" w:hAnsiTheme="minorHAnsi" w:cstheme="minorHAnsi"/>
                <w:sz w:val="22"/>
              </w:rPr>
            </w:pPr>
            <w:r>
              <w:rPr>
                <w:rFonts w:asciiTheme="minorHAnsi" w:hAnsiTheme="minorHAnsi" w:cstheme="minorHAnsi"/>
                <w:sz w:val="22"/>
                <w:lang w:val="ro"/>
              </w:rPr>
              <w:t>Plătit de FSE către OTS</w:t>
            </w:r>
          </w:p>
        </w:tc>
      </w:tr>
      <w:tr w:rsidR="00FA37AD" w:rsidRPr="00AE4671" w:rsidTr="000472F4">
        <w:tc>
          <w:tcPr>
            <w:tcW w:w="2689" w:type="dxa"/>
            <w:vAlign w:val="center"/>
          </w:tcPr>
          <w:p w:rsidR="00FA37AD" w:rsidRPr="00492EB0" w:rsidRDefault="005B1738" w:rsidP="000472F4">
            <w:pPr>
              <w:pStyle w:val="Text1"/>
              <w:ind w:left="0"/>
              <w:jc w:val="center"/>
              <w:rPr>
                <w:rFonts w:asciiTheme="minorHAnsi" w:hAnsiTheme="minorHAnsi" w:cstheme="minorHAnsi"/>
                <w:sz w:val="22"/>
              </w:rPr>
            </w:pPr>
            <w:r>
              <w:rPr>
                <w:rFonts w:asciiTheme="minorHAnsi" w:hAnsiTheme="minorHAnsi" w:cstheme="minorHAnsi"/>
                <w:sz w:val="22"/>
                <w:lang w:val="ro"/>
              </w:rPr>
              <w:t>Descrescătoare</w:t>
            </w:r>
          </w:p>
        </w:tc>
        <w:tc>
          <w:tcPr>
            <w:tcW w:w="2806" w:type="dxa"/>
            <w:vAlign w:val="center"/>
          </w:tcPr>
          <w:p w:rsidR="00FA37AD" w:rsidRPr="00492EB0" w:rsidRDefault="00FA37AD" w:rsidP="000472F4">
            <w:pPr>
              <w:pStyle w:val="Text1"/>
              <w:ind w:left="0"/>
              <w:jc w:val="center"/>
              <w:rPr>
                <w:rFonts w:asciiTheme="minorHAnsi" w:hAnsiTheme="minorHAnsi" w:cstheme="minorHAnsi"/>
                <w:sz w:val="22"/>
              </w:rPr>
            </w:pPr>
            <w:r>
              <w:rPr>
                <w:rFonts w:asciiTheme="minorHAnsi" w:hAnsiTheme="minorHAnsi" w:cstheme="minorHAnsi"/>
                <w:sz w:val="22"/>
                <w:lang w:val="ro"/>
              </w:rPr>
              <w:t>Plătit de FSE către OTS</w:t>
            </w:r>
          </w:p>
        </w:tc>
        <w:tc>
          <w:tcPr>
            <w:tcW w:w="3006" w:type="dxa"/>
            <w:vAlign w:val="center"/>
          </w:tcPr>
          <w:p w:rsidR="00FA37AD" w:rsidRPr="00492EB0" w:rsidRDefault="00FA37AD" w:rsidP="000472F4">
            <w:pPr>
              <w:pStyle w:val="Text1"/>
              <w:ind w:left="0"/>
              <w:jc w:val="center"/>
              <w:rPr>
                <w:rFonts w:asciiTheme="minorHAnsi" w:hAnsiTheme="minorHAnsi" w:cstheme="minorHAnsi"/>
                <w:sz w:val="22"/>
              </w:rPr>
            </w:pPr>
            <w:r>
              <w:rPr>
                <w:rFonts w:asciiTheme="minorHAnsi" w:hAnsiTheme="minorHAnsi" w:cstheme="minorHAnsi"/>
                <w:sz w:val="22"/>
                <w:lang w:val="ro"/>
              </w:rPr>
              <w:t>Plătit de OTS către FSE</w:t>
            </w:r>
          </w:p>
        </w:tc>
      </w:tr>
    </w:tbl>
    <w:p w:rsidR="00FA37AD" w:rsidRPr="00170B42" w:rsidRDefault="00BC79B3" w:rsidP="00BC79B3">
      <w:pPr>
        <w:pStyle w:val="Caption"/>
        <w:keepNext/>
        <w:jc w:val="center"/>
        <w:rPr>
          <w:rFonts w:asciiTheme="minorHAnsi" w:hAnsiTheme="minorHAnsi" w:cstheme="minorHAnsi"/>
          <w:color w:val="auto"/>
          <w:sz w:val="22"/>
          <w:szCs w:val="22"/>
        </w:rPr>
      </w:pPr>
      <w:bookmarkStart w:id="104" w:name="_Toc531027319"/>
      <w:r>
        <w:rPr>
          <w:rFonts w:asciiTheme="minorHAnsi" w:hAnsiTheme="minorHAnsi" w:cstheme="minorHAnsi"/>
          <w:color w:val="auto"/>
          <w:sz w:val="22"/>
          <w:szCs w:val="22"/>
          <w:lang w:val="ro"/>
        </w:rPr>
        <w:t xml:space="preserve">Tabelul </w:t>
      </w:r>
      <w:r>
        <w:rPr>
          <w:rFonts w:asciiTheme="minorHAnsi" w:hAnsiTheme="minorHAnsi" w:cstheme="minorHAnsi"/>
          <w:color w:val="auto"/>
          <w:sz w:val="22"/>
          <w:szCs w:val="22"/>
          <w:lang w:val="ro"/>
        </w:rPr>
        <w:fldChar w:fldCharType="begin"/>
      </w:r>
      <w:r>
        <w:rPr>
          <w:rFonts w:asciiTheme="minorHAnsi" w:hAnsiTheme="minorHAnsi" w:cstheme="minorHAnsi"/>
          <w:color w:val="auto"/>
          <w:sz w:val="22"/>
          <w:szCs w:val="22"/>
          <w:lang w:val="ro"/>
        </w:rPr>
        <w:instrText xml:space="preserve"> SEQ Table \* ARABIC </w:instrText>
      </w:r>
      <w:r>
        <w:rPr>
          <w:rFonts w:asciiTheme="minorHAnsi" w:hAnsiTheme="minorHAnsi" w:cstheme="minorHAnsi"/>
          <w:color w:val="auto"/>
          <w:sz w:val="22"/>
          <w:szCs w:val="22"/>
          <w:lang w:val="ro"/>
        </w:rPr>
        <w:fldChar w:fldCharType="separate"/>
      </w:r>
      <w:r>
        <w:rPr>
          <w:rFonts w:asciiTheme="minorHAnsi" w:hAnsiTheme="minorHAnsi" w:cstheme="minorHAnsi"/>
          <w:color w:val="auto"/>
          <w:sz w:val="22"/>
          <w:szCs w:val="22"/>
          <w:lang w:val="ro"/>
        </w:rPr>
        <w:t>3</w:t>
      </w:r>
      <w:r>
        <w:rPr>
          <w:rFonts w:asciiTheme="minorHAnsi" w:hAnsiTheme="minorHAnsi" w:cstheme="minorHAnsi"/>
          <w:color w:val="auto"/>
          <w:sz w:val="22"/>
          <w:szCs w:val="22"/>
          <w:lang w:val="ro"/>
        </w:rPr>
        <w:fldChar w:fldCharType="end"/>
      </w:r>
      <w:r>
        <w:rPr>
          <w:rFonts w:asciiTheme="minorHAnsi" w:hAnsiTheme="minorHAnsi" w:cstheme="minorHAnsi"/>
          <w:color w:val="auto"/>
          <w:sz w:val="22"/>
          <w:szCs w:val="22"/>
          <w:lang w:val="ro"/>
        </w:rPr>
        <w:t>:</w:t>
      </w:r>
      <w:r>
        <w:rPr>
          <w:rFonts w:asciiTheme="minorHAnsi" w:hAnsiTheme="minorHAnsi" w:cstheme="minorHAnsi"/>
          <w:i w:val="0"/>
          <w:iCs w:val="0"/>
          <w:color w:val="auto"/>
          <w:sz w:val="22"/>
          <w:szCs w:val="22"/>
          <w:lang w:val="ro"/>
        </w:rPr>
        <w:t xml:space="preserve"> </w:t>
      </w:r>
      <w:r>
        <w:rPr>
          <w:rFonts w:asciiTheme="minorHAnsi" w:hAnsiTheme="minorHAnsi" w:cstheme="minorHAnsi"/>
          <w:color w:val="auto"/>
          <w:sz w:val="22"/>
          <w:szCs w:val="22"/>
          <w:lang w:val="ro"/>
        </w:rPr>
        <w:t>Convenția privind semnele pentru prețurile ofertate</w:t>
      </w:r>
      <w:bookmarkEnd w:id="104"/>
    </w:p>
    <w:p w:rsidR="00FA37AD" w:rsidRPr="00362616" w:rsidRDefault="00FA37AD" w:rsidP="00870EFD">
      <w:pPr>
        <w:pStyle w:val="Numbering"/>
        <w:ind w:left="717" w:firstLine="0"/>
      </w:pPr>
    </w:p>
    <w:p w:rsidR="005F1777" w:rsidRDefault="00102C80" w:rsidP="00FC69DE">
      <w:pPr>
        <w:pStyle w:val="Numbering"/>
        <w:numPr>
          <w:ilvl w:val="0"/>
          <w:numId w:val="59"/>
        </w:numPr>
        <w:ind w:left="567" w:hanging="567"/>
      </w:pPr>
      <w:bookmarkStart w:id="105" w:name="_Hlk528932610"/>
      <w:r>
        <w:rPr>
          <w:lang w:val="ro"/>
        </w:rPr>
        <w:t>Următoarele caracteristici ale ofertei de produs standard de energie de echilibrare mRRF se definesc în cadrul termenelor și condițiilor pentru FSE-uri, inclusiv, dar fără a se limita la:</w:t>
      </w:r>
    </w:p>
    <w:tbl>
      <w:tblPr>
        <w:tblStyle w:val="Rutenettabelllys1"/>
        <w:tblW w:w="8220" w:type="dxa"/>
        <w:jc w:val="center"/>
        <w:tblLayout w:type="fixed"/>
        <w:tblLook w:val="0620" w:firstRow="1" w:lastRow="0" w:firstColumn="0" w:lastColumn="0" w:noHBand="1" w:noVBand="1"/>
      </w:tblPr>
      <w:tblGrid>
        <w:gridCol w:w="2467"/>
        <w:gridCol w:w="5753"/>
      </w:tblGrid>
      <w:tr w:rsidR="005F1777" w:rsidRPr="00AE4671" w:rsidTr="00BE1E80">
        <w:trPr>
          <w:trHeight w:val="718"/>
          <w:jc w:val="center"/>
        </w:trPr>
        <w:tc>
          <w:tcPr>
            <w:tcW w:w="24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5F1777" w:rsidRPr="00D92176" w:rsidRDefault="005F1777">
            <w:pPr>
              <w:rPr>
                <w:rFonts w:asciiTheme="minorHAnsi" w:hAnsiTheme="minorHAnsi" w:cstheme="minorHAnsi"/>
                <w:szCs w:val="22"/>
              </w:rPr>
            </w:pPr>
            <w:r>
              <w:rPr>
                <w:rFonts w:asciiTheme="minorHAnsi" w:hAnsiTheme="minorHAnsi" w:cstheme="minorHAnsi"/>
                <w:szCs w:val="22"/>
                <w:lang w:val="ro"/>
              </w:rPr>
              <w:t>Situare</w:t>
            </w:r>
          </w:p>
        </w:tc>
        <w:tc>
          <w:tcPr>
            <w:tcW w:w="57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F1777" w:rsidRPr="0090453F" w:rsidRDefault="005F1777" w:rsidP="00170B42">
            <w:pPr>
              <w:jc w:val="center"/>
              <w:rPr>
                <w:rFonts w:asciiTheme="minorHAnsi" w:hAnsiTheme="minorHAnsi" w:cstheme="minorHAnsi"/>
                <w:szCs w:val="22"/>
              </w:rPr>
            </w:pPr>
            <w:r>
              <w:rPr>
                <w:rFonts w:asciiTheme="minorHAnsi" w:hAnsiTheme="minorHAnsi" w:cstheme="minorHAnsi"/>
                <w:szCs w:val="22"/>
                <w:lang w:val="ro"/>
              </w:rPr>
              <w:t>În termenele și condițiile pentru FSE-uri se definesc informații mai detaliate privind situarea, în comparație cu prevederile articolului 6 (4)</w:t>
            </w:r>
          </w:p>
        </w:tc>
      </w:tr>
      <w:tr w:rsidR="005F1777" w:rsidRPr="00AE4671" w:rsidTr="00BE1E80">
        <w:trPr>
          <w:trHeight w:val="718"/>
          <w:jc w:val="center"/>
        </w:trPr>
        <w:tc>
          <w:tcPr>
            <w:tcW w:w="24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5F1777" w:rsidRPr="00D92176" w:rsidRDefault="005F1777">
            <w:pPr>
              <w:rPr>
                <w:rFonts w:asciiTheme="minorHAnsi" w:hAnsiTheme="minorHAnsi" w:cstheme="minorHAnsi"/>
                <w:szCs w:val="22"/>
              </w:rPr>
            </w:pPr>
            <w:r>
              <w:rPr>
                <w:rFonts w:asciiTheme="minorHAnsi" w:hAnsiTheme="minorHAnsi" w:cstheme="minorHAnsi"/>
                <w:szCs w:val="22"/>
                <w:lang w:val="ro"/>
              </w:rPr>
              <w:t>Perioada de pregătire</w:t>
            </w:r>
          </w:p>
        </w:tc>
        <w:tc>
          <w:tcPr>
            <w:tcW w:w="57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F1777" w:rsidRPr="00D92176" w:rsidRDefault="005F1777">
            <w:pPr>
              <w:jc w:val="center"/>
              <w:rPr>
                <w:rFonts w:asciiTheme="minorHAnsi" w:hAnsiTheme="minorHAnsi" w:cstheme="minorHAnsi"/>
                <w:szCs w:val="22"/>
              </w:rPr>
            </w:pPr>
            <w:r>
              <w:rPr>
                <w:rFonts w:asciiTheme="minorHAnsi" w:hAnsiTheme="minorHAnsi" w:cstheme="minorHAnsi"/>
                <w:szCs w:val="22"/>
                <w:lang w:val="ro"/>
              </w:rPr>
              <w:t>Se definește în cadrul termenelor și condițiilor pentru FSE-uri cât timp respectă cerințele prevăzute în articolul 7 (1) din prezenta mRRF-IF cu privire la TAC</w:t>
            </w:r>
          </w:p>
        </w:tc>
      </w:tr>
      <w:tr w:rsidR="005F1777" w:rsidRPr="00AE4671" w:rsidTr="00BE1E80">
        <w:trPr>
          <w:trHeight w:val="718"/>
          <w:jc w:val="center"/>
        </w:trPr>
        <w:tc>
          <w:tcPr>
            <w:tcW w:w="24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5F1777" w:rsidRPr="00D92176" w:rsidRDefault="005F1777">
            <w:pPr>
              <w:rPr>
                <w:rFonts w:asciiTheme="minorHAnsi" w:hAnsiTheme="minorHAnsi" w:cstheme="minorHAnsi"/>
                <w:szCs w:val="22"/>
              </w:rPr>
            </w:pPr>
            <w:r>
              <w:rPr>
                <w:rFonts w:asciiTheme="minorHAnsi" w:hAnsiTheme="minorHAnsi" w:cstheme="minorHAnsi"/>
                <w:szCs w:val="22"/>
                <w:lang w:val="ro"/>
              </w:rPr>
              <w:t>Perioada de variație a sarcinii</w:t>
            </w:r>
          </w:p>
        </w:tc>
        <w:tc>
          <w:tcPr>
            <w:tcW w:w="57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F1777" w:rsidRPr="00D92176" w:rsidRDefault="00C67C28">
            <w:pPr>
              <w:jc w:val="center"/>
              <w:rPr>
                <w:rFonts w:asciiTheme="minorHAnsi" w:hAnsiTheme="minorHAnsi" w:cstheme="minorHAnsi"/>
                <w:szCs w:val="22"/>
              </w:rPr>
            </w:pPr>
            <w:r>
              <w:rPr>
                <w:rFonts w:asciiTheme="minorHAnsi" w:hAnsiTheme="minorHAnsi" w:cstheme="minorHAnsi"/>
                <w:szCs w:val="22"/>
                <w:lang w:val="ro"/>
              </w:rPr>
              <w:t>Se definește în cadrul termenelor și condițiilor pentru FSE-uri cât timp respectă cerințele prevăzute în articolul 7 (1) din prezenta mRRF-IF cu privire la TAC</w:t>
            </w:r>
          </w:p>
        </w:tc>
      </w:tr>
      <w:tr w:rsidR="005F1777" w:rsidRPr="00AE4671" w:rsidTr="00BE1E80">
        <w:trPr>
          <w:trHeight w:val="718"/>
          <w:jc w:val="center"/>
        </w:trPr>
        <w:tc>
          <w:tcPr>
            <w:tcW w:w="24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5F1777" w:rsidRPr="00D92176" w:rsidRDefault="005F1777">
            <w:pPr>
              <w:rPr>
                <w:rFonts w:asciiTheme="minorHAnsi" w:hAnsiTheme="minorHAnsi" w:cstheme="minorHAnsi"/>
                <w:szCs w:val="22"/>
              </w:rPr>
            </w:pPr>
            <w:r>
              <w:rPr>
                <w:rFonts w:asciiTheme="minorHAnsi" w:hAnsiTheme="minorHAnsi" w:cstheme="minorHAnsi"/>
                <w:szCs w:val="22"/>
                <w:lang w:val="ro"/>
              </w:rPr>
              <w:t>Perioada de dezactivare</w:t>
            </w:r>
          </w:p>
        </w:tc>
        <w:tc>
          <w:tcPr>
            <w:tcW w:w="57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F1777" w:rsidRPr="00B65173" w:rsidRDefault="00C67C28">
            <w:pPr>
              <w:jc w:val="center"/>
              <w:rPr>
                <w:rFonts w:asciiTheme="minorHAnsi" w:hAnsiTheme="minorHAnsi" w:cstheme="minorHAnsi"/>
                <w:szCs w:val="22"/>
              </w:rPr>
            </w:pPr>
            <w:r>
              <w:rPr>
                <w:rFonts w:asciiTheme="minorHAnsi" w:hAnsiTheme="minorHAnsi"/>
                <w:szCs w:val="22"/>
                <w:lang w:val="ro"/>
              </w:rPr>
              <w:t xml:space="preserve">Se definește în cadrul termenelor și condițiilor pentru FSE-uri cât timp respectă cerințele prevăzute în articolul 7 (1) din prezenta mRRF-IF cu privire la TAC și la </w:t>
            </w:r>
            <w:r>
              <w:rPr>
                <w:rFonts w:ascii="Times New Roman" w:hAnsi="Times New Roman"/>
                <w:szCs w:val="20"/>
                <w:lang w:val="ro"/>
              </w:rPr>
              <w:t>durata minimă a perioadei de livrare</w:t>
            </w:r>
          </w:p>
        </w:tc>
      </w:tr>
      <w:tr w:rsidR="005F1777" w:rsidRPr="00AE4671" w:rsidTr="00BE1E80">
        <w:trPr>
          <w:trHeight w:val="860"/>
          <w:jc w:val="center"/>
        </w:trPr>
        <w:tc>
          <w:tcPr>
            <w:tcW w:w="24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5F1777" w:rsidRPr="00D92176" w:rsidRDefault="005F1777">
            <w:pPr>
              <w:rPr>
                <w:rFonts w:asciiTheme="minorHAnsi" w:hAnsiTheme="minorHAnsi" w:cstheme="minorHAnsi"/>
                <w:szCs w:val="22"/>
              </w:rPr>
            </w:pPr>
            <w:r>
              <w:rPr>
                <w:rFonts w:asciiTheme="minorHAnsi" w:hAnsiTheme="minorHAnsi" w:cstheme="minorHAnsi"/>
                <w:szCs w:val="22"/>
                <w:lang w:val="ro"/>
              </w:rPr>
              <w:t>Durata maximă a perioadei de livrare</w:t>
            </w:r>
          </w:p>
        </w:tc>
        <w:tc>
          <w:tcPr>
            <w:tcW w:w="57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F1777" w:rsidRPr="00D92176" w:rsidRDefault="00C67C28">
            <w:pPr>
              <w:jc w:val="center"/>
              <w:rPr>
                <w:rFonts w:asciiTheme="minorHAnsi" w:hAnsiTheme="minorHAnsi" w:cstheme="minorHAnsi"/>
                <w:szCs w:val="22"/>
              </w:rPr>
            </w:pPr>
            <w:r>
              <w:rPr>
                <w:rFonts w:asciiTheme="minorHAnsi" w:hAnsiTheme="minorHAnsi" w:cstheme="minorHAnsi"/>
                <w:szCs w:val="22"/>
                <w:lang w:val="ro"/>
              </w:rPr>
              <w:t>Se definește în cadrul termenelor și condițiilor pentru FSE-uri ca urmare a diferitelor cerințe privind perioada de pregătire, perioada de variație a sarcinii și perioada de dezactivare</w:t>
            </w:r>
          </w:p>
        </w:tc>
      </w:tr>
      <w:tr w:rsidR="005F1777" w:rsidRPr="00AE4671" w:rsidTr="00BE1E80">
        <w:trPr>
          <w:trHeight w:val="299"/>
          <w:jc w:val="center"/>
        </w:trPr>
        <w:tc>
          <w:tcPr>
            <w:tcW w:w="24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5F1777" w:rsidRPr="00D92176" w:rsidRDefault="005F1777">
            <w:pPr>
              <w:rPr>
                <w:rFonts w:asciiTheme="minorHAnsi" w:hAnsiTheme="minorHAnsi" w:cstheme="minorHAnsi"/>
                <w:szCs w:val="22"/>
              </w:rPr>
            </w:pPr>
            <w:r>
              <w:rPr>
                <w:rFonts w:asciiTheme="minorHAnsi" w:hAnsiTheme="minorHAnsi" w:cstheme="minorHAnsi"/>
                <w:szCs w:val="22"/>
                <w:lang w:val="ro"/>
              </w:rPr>
              <w:t>Oferte indivizibile</w:t>
            </w:r>
          </w:p>
        </w:tc>
        <w:tc>
          <w:tcPr>
            <w:tcW w:w="57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F1777" w:rsidRPr="00D92176" w:rsidRDefault="005F1777">
            <w:pPr>
              <w:pStyle w:val="Default"/>
              <w:jc w:val="center"/>
              <w:rPr>
                <w:rFonts w:asciiTheme="minorHAnsi" w:hAnsiTheme="minorHAnsi" w:cstheme="minorHAnsi"/>
                <w:sz w:val="22"/>
                <w:szCs w:val="22"/>
              </w:rPr>
            </w:pPr>
            <w:r>
              <w:rPr>
                <w:rFonts w:asciiTheme="minorHAnsi" w:hAnsiTheme="minorHAnsi" w:cstheme="minorHAnsi"/>
                <w:sz w:val="22"/>
                <w:szCs w:val="22"/>
                <w:lang w:val="ro"/>
              </w:rPr>
              <w:t>Mărimea maximă a ofertelor indivizibile se definește în conformitate cu termenele și condițiile pentru FSE-uri</w:t>
            </w:r>
          </w:p>
        </w:tc>
      </w:tr>
      <w:tr w:rsidR="005F1777" w:rsidRPr="00AE4671" w:rsidTr="00BE1E80">
        <w:trPr>
          <w:trHeight w:val="299"/>
          <w:jc w:val="center"/>
        </w:trPr>
        <w:tc>
          <w:tcPr>
            <w:tcW w:w="24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rsidR="005F1777" w:rsidRPr="00D92176" w:rsidRDefault="005F1777">
            <w:pPr>
              <w:rPr>
                <w:rFonts w:asciiTheme="minorHAnsi" w:hAnsiTheme="minorHAnsi" w:cstheme="minorHAnsi"/>
                <w:szCs w:val="22"/>
              </w:rPr>
            </w:pPr>
            <w:r>
              <w:rPr>
                <w:rFonts w:asciiTheme="minorHAnsi" w:hAnsiTheme="minorHAnsi" w:cstheme="minorHAnsi"/>
                <w:szCs w:val="22"/>
                <w:lang w:val="ro"/>
              </w:rPr>
              <w:t xml:space="preserve">Durata minimă dintre sfârșitul perioadei de dezactivare și următoarea </w:t>
            </w:r>
            <w:r>
              <w:rPr>
                <w:rFonts w:asciiTheme="minorHAnsi" w:hAnsiTheme="minorHAnsi" w:cstheme="minorHAnsi"/>
                <w:szCs w:val="22"/>
                <w:lang w:val="ro"/>
              </w:rPr>
              <w:lastRenderedPageBreak/>
              <w:t>activare</w:t>
            </w:r>
          </w:p>
        </w:tc>
        <w:tc>
          <w:tcPr>
            <w:tcW w:w="57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F1777" w:rsidRPr="00D92176" w:rsidRDefault="005F1777">
            <w:pPr>
              <w:pStyle w:val="Default"/>
              <w:jc w:val="center"/>
              <w:rPr>
                <w:rFonts w:asciiTheme="minorHAnsi" w:hAnsiTheme="minorHAnsi" w:cstheme="minorHAnsi"/>
                <w:sz w:val="22"/>
                <w:szCs w:val="22"/>
              </w:rPr>
            </w:pPr>
            <w:r>
              <w:rPr>
                <w:rFonts w:asciiTheme="minorHAnsi" w:hAnsiTheme="minorHAnsi" w:cstheme="minorHAnsi"/>
                <w:sz w:val="22"/>
                <w:szCs w:val="22"/>
                <w:lang w:val="ro"/>
              </w:rPr>
              <w:lastRenderedPageBreak/>
              <w:t>Se definește în cadrul termenelor și condițiilor pentru FSE-uri</w:t>
            </w:r>
          </w:p>
        </w:tc>
      </w:tr>
    </w:tbl>
    <w:p w:rsidR="008604B4" w:rsidRPr="00170B42" w:rsidRDefault="00BC79B3" w:rsidP="00BC79B3">
      <w:pPr>
        <w:pStyle w:val="Caption"/>
        <w:keepNext/>
        <w:jc w:val="center"/>
        <w:rPr>
          <w:rFonts w:asciiTheme="minorHAnsi" w:hAnsiTheme="minorHAnsi" w:cstheme="minorHAnsi"/>
          <w:color w:val="auto"/>
          <w:sz w:val="22"/>
          <w:szCs w:val="22"/>
        </w:rPr>
      </w:pPr>
      <w:bookmarkStart w:id="106" w:name="_Toc531027320"/>
      <w:bookmarkEnd w:id="105"/>
      <w:r>
        <w:rPr>
          <w:rFonts w:asciiTheme="minorHAnsi" w:hAnsiTheme="minorHAnsi" w:cstheme="minorHAnsi"/>
          <w:color w:val="auto"/>
          <w:sz w:val="22"/>
          <w:szCs w:val="22"/>
          <w:lang w:val="ro"/>
        </w:rPr>
        <w:t xml:space="preserve">Tabelul </w:t>
      </w:r>
      <w:r>
        <w:rPr>
          <w:rFonts w:asciiTheme="minorHAnsi" w:hAnsiTheme="minorHAnsi" w:cstheme="minorHAnsi"/>
          <w:color w:val="auto"/>
          <w:sz w:val="22"/>
          <w:szCs w:val="22"/>
          <w:lang w:val="ro"/>
        </w:rPr>
        <w:fldChar w:fldCharType="begin"/>
      </w:r>
      <w:r>
        <w:rPr>
          <w:rFonts w:asciiTheme="minorHAnsi" w:hAnsiTheme="minorHAnsi" w:cstheme="minorHAnsi"/>
          <w:color w:val="auto"/>
          <w:sz w:val="22"/>
          <w:szCs w:val="22"/>
          <w:lang w:val="ro"/>
        </w:rPr>
        <w:instrText xml:space="preserve"> SEQ Table \* ARABIC </w:instrText>
      </w:r>
      <w:r>
        <w:rPr>
          <w:rFonts w:asciiTheme="minorHAnsi" w:hAnsiTheme="minorHAnsi" w:cstheme="minorHAnsi"/>
          <w:color w:val="auto"/>
          <w:sz w:val="22"/>
          <w:szCs w:val="22"/>
          <w:lang w:val="ro"/>
        </w:rPr>
        <w:fldChar w:fldCharType="separate"/>
      </w:r>
      <w:r>
        <w:rPr>
          <w:rFonts w:asciiTheme="minorHAnsi" w:hAnsiTheme="minorHAnsi" w:cstheme="minorHAnsi"/>
          <w:color w:val="auto"/>
          <w:sz w:val="22"/>
          <w:szCs w:val="22"/>
          <w:lang w:val="ro"/>
        </w:rPr>
        <w:t>4</w:t>
      </w:r>
      <w:r>
        <w:rPr>
          <w:rFonts w:asciiTheme="minorHAnsi" w:hAnsiTheme="minorHAnsi" w:cstheme="minorHAnsi"/>
          <w:color w:val="auto"/>
          <w:sz w:val="22"/>
          <w:szCs w:val="22"/>
          <w:lang w:val="ro"/>
        </w:rPr>
        <w:fldChar w:fldCharType="end"/>
      </w:r>
      <w:r>
        <w:rPr>
          <w:rFonts w:asciiTheme="minorHAnsi" w:hAnsiTheme="minorHAnsi" w:cstheme="minorHAnsi"/>
          <w:color w:val="auto"/>
          <w:sz w:val="22"/>
          <w:szCs w:val="22"/>
          <w:lang w:val="ro"/>
        </w:rPr>
        <w:t>:</w:t>
      </w:r>
      <w:r>
        <w:rPr>
          <w:rFonts w:asciiTheme="minorHAnsi" w:hAnsiTheme="minorHAnsi" w:cstheme="minorHAnsi"/>
          <w:i w:val="0"/>
          <w:iCs w:val="0"/>
          <w:color w:val="auto"/>
          <w:sz w:val="22"/>
          <w:szCs w:val="22"/>
          <w:lang w:val="ro"/>
        </w:rPr>
        <w:t xml:space="preserve"> </w:t>
      </w:r>
      <w:r>
        <w:rPr>
          <w:rFonts w:asciiTheme="minorHAnsi" w:hAnsiTheme="minorHAnsi" w:cstheme="minorHAnsi"/>
          <w:color w:val="auto"/>
          <w:sz w:val="22"/>
          <w:szCs w:val="22"/>
          <w:lang w:val="ro"/>
        </w:rPr>
        <w:t>Caracteristicile ofertelor de produs standard de energie de echilibrare mRRF</w:t>
      </w:r>
      <w:bookmarkEnd w:id="106"/>
      <w:r>
        <w:rPr>
          <w:rFonts w:asciiTheme="minorHAnsi" w:hAnsiTheme="minorHAnsi" w:cstheme="minorHAnsi"/>
          <w:color w:val="auto"/>
          <w:sz w:val="22"/>
          <w:szCs w:val="22"/>
          <w:lang w:val="ro"/>
        </w:rPr>
        <w:t xml:space="preserve"> definite în cadrul termenelor și condițiilor pentru FSE-uri</w:t>
      </w:r>
    </w:p>
    <w:p w:rsidR="000C3EBE" w:rsidRPr="00ED5DDE" w:rsidRDefault="00170B42" w:rsidP="00FC69DE">
      <w:pPr>
        <w:pStyle w:val="Numbering"/>
        <w:numPr>
          <w:ilvl w:val="0"/>
          <w:numId w:val="59"/>
        </w:numPr>
      </w:pPr>
      <w:r>
        <w:rPr>
          <w:lang w:val="ro"/>
        </w:rPr>
        <w:t>În cazul unui model de dispecerizare la nivel central, caracteristicile variabile ale ofertei de produs standard de energie de echilibrare mRRF pot fi determinate de către OTS-ul conector în baza ofertelor transmise de către FSE-uri în cadrul procesului integrat de planificare urmând regulile privind convertirea ofertelor în cadrul unui model de dispecerizare la nivel central în oferte de produs standard de energie de echilibrare mRRF, în temeiul articolului 27 din EB GL.</w:t>
      </w:r>
    </w:p>
    <w:p w:rsidR="00DB14E3" w:rsidRPr="00362616" w:rsidRDefault="00DB14E3" w:rsidP="0028408F"/>
    <w:p w:rsidR="005E74F0" w:rsidRPr="00362616" w:rsidRDefault="005E74F0" w:rsidP="005E74F0">
      <w:pPr>
        <w:spacing w:after="120" w:line="260" w:lineRule="exact"/>
        <w:jc w:val="center"/>
        <w:outlineLvl w:val="1"/>
        <w:rPr>
          <w:rFonts w:ascii="Times New Roman" w:hAnsi="Times New Roman" w:cs="Arial"/>
          <w:b/>
          <w:color w:val="23236E"/>
          <w:sz w:val="24"/>
        </w:rPr>
      </w:pPr>
      <w:bookmarkStart w:id="107" w:name="_Toc509331493"/>
      <w:bookmarkStart w:id="108" w:name="_Toc531122449"/>
      <w:bookmarkStart w:id="109" w:name="_Toc531123803"/>
      <w:bookmarkStart w:id="110" w:name="_Toc532893396"/>
      <w:bookmarkEnd w:id="99"/>
      <w:r>
        <w:rPr>
          <w:rFonts w:ascii="Times New Roman" w:hAnsi="Times New Roman" w:cs="Arial"/>
          <w:b/>
          <w:bCs/>
          <w:color w:val="23236E"/>
          <w:sz w:val="24"/>
          <w:lang w:val="ro"/>
        </w:rPr>
        <w:t>Articolul 8</w:t>
      </w:r>
      <w:r>
        <w:rPr>
          <w:rFonts w:ascii="Times New Roman" w:hAnsi="Times New Roman" w:cs="Arial"/>
          <w:color w:val="23236E"/>
          <w:sz w:val="24"/>
          <w:lang w:val="ro"/>
        </w:rPr>
        <w:br/>
      </w:r>
      <w:r>
        <w:rPr>
          <w:rFonts w:ascii="Times New Roman" w:hAnsi="Times New Roman" w:cs="Arial"/>
          <w:b/>
          <w:bCs/>
          <w:color w:val="23236E"/>
          <w:sz w:val="24"/>
          <w:lang w:val="ro"/>
        </w:rPr>
        <w:t>Orele de deschidere și de închidere a porții pentru energia de echilibrare pentru ofertele de produs standard de energie de echilibrare mRRF</w:t>
      </w:r>
      <w:bookmarkEnd w:id="107"/>
      <w:bookmarkEnd w:id="108"/>
      <w:bookmarkEnd w:id="109"/>
      <w:bookmarkEnd w:id="110"/>
    </w:p>
    <w:p w:rsidR="00F87460" w:rsidRDefault="00F87460" w:rsidP="00FC69DE">
      <w:pPr>
        <w:pStyle w:val="Numbering"/>
        <w:numPr>
          <w:ilvl w:val="0"/>
          <w:numId w:val="26"/>
        </w:numPr>
        <w:ind w:left="567" w:hanging="567"/>
      </w:pPr>
      <w:bookmarkStart w:id="111" w:name="_Hlk528933153"/>
      <w:r>
        <w:rPr>
          <w:lang w:val="ro"/>
        </w:rPr>
        <w:t>Ora de deschidere a porții pentru energia de echilibrare în vederea transmiterii unei oferte de produs standard de energie de echilibrare mRRF către OTS-ul conector de către FSE-uri are loc nu mai târziu de ora 12:00 CET pentru toate perioadele de valabilitate din următoarea zi.</w:t>
      </w:r>
    </w:p>
    <w:p w:rsidR="00113043" w:rsidRPr="00074ED9" w:rsidRDefault="00113043" w:rsidP="00FC69DE">
      <w:pPr>
        <w:pStyle w:val="Numbering"/>
        <w:numPr>
          <w:ilvl w:val="0"/>
          <w:numId w:val="26"/>
        </w:numPr>
        <w:ind w:left="567" w:hanging="567"/>
      </w:pPr>
      <w:r>
        <w:rPr>
          <w:lang w:val="ro"/>
        </w:rPr>
        <w:t>Ora de închidere a porții pentru energia de echilibrare în vederea transmiterii unei oferte de produs standard de energie de echilibrare mRRF către OTS-ul conector de către FSE-uri are loc cu 25 de minute înaintea începerii sfertului de oră pentru care FSE-urile plasează respectiva ofertă de produs standard de energie de echilibrare mRRF. Aceleași ore de închidere a porții pentru energia de echilibrare se aplică pentru ofertele de produse specifice convertite în oferte de produs standard de energie de echilibrare mRRF.</w:t>
      </w:r>
    </w:p>
    <w:bookmarkEnd w:id="111"/>
    <w:p w:rsidR="00113043" w:rsidRDefault="00113043" w:rsidP="00FC69DE">
      <w:pPr>
        <w:pStyle w:val="Numbering"/>
        <w:numPr>
          <w:ilvl w:val="0"/>
          <w:numId w:val="26"/>
        </w:numPr>
        <w:ind w:left="567" w:hanging="567"/>
      </w:pPr>
      <w:r>
        <w:rPr>
          <w:lang w:val="ro"/>
        </w:rPr>
        <w:t>Pentru OTS-urile care aplică un model de dispecerizare la nivel central, ora de închidere a porții pentru energia de echilibrare pentru ofertele procesului integrat de planificare este definită în temeiul articolelor 24 (5) și 24 (6) din EB GL.</w:t>
      </w:r>
    </w:p>
    <w:p w:rsidR="00A6688E" w:rsidRDefault="00A6688E" w:rsidP="00727BD4">
      <w:pPr>
        <w:spacing w:after="120" w:line="260" w:lineRule="exact"/>
        <w:jc w:val="center"/>
        <w:outlineLvl w:val="1"/>
        <w:rPr>
          <w:rFonts w:ascii="Times New Roman" w:hAnsi="Times New Roman"/>
          <w:szCs w:val="22"/>
        </w:rPr>
      </w:pPr>
    </w:p>
    <w:p w:rsidR="00727BD4" w:rsidRPr="00362616" w:rsidRDefault="00727BD4" w:rsidP="00727BD4">
      <w:pPr>
        <w:spacing w:after="120" w:line="260" w:lineRule="exact"/>
        <w:jc w:val="center"/>
        <w:outlineLvl w:val="1"/>
        <w:rPr>
          <w:rFonts w:ascii="Times New Roman" w:hAnsi="Times New Roman" w:cs="Arial"/>
          <w:b/>
          <w:color w:val="23236E"/>
          <w:sz w:val="24"/>
        </w:rPr>
      </w:pPr>
      <w:bookmarkStart w:id="112" w:name="_Toc509331494"/>
      <w:bookmarkStart w:id="113" w:name="_Toc531122450"/>
      <w:bookmarkStart w:id="114" w:name="_Toc531123804"/>
      <w:bookmarkStart w:id="115" w:name="_Toc532893397"/>
      <w:r>
        <w:rPr>
          <w:rFonts w:ascii="Times New Roman" w:hAnsi="Times New Roman" w:cs="Arial"/>
          <w:b/>
          <w:bCs/>
          <w:color w:val="23236E"/>
          <w:sz w:val="24"/>
          <w:lang w:val="ro"/>
        </w:rPr>
        <w:t>Articolul 9</w:t>
      </w:r>
      <w:r>
        <w:rPr>
          <w:rFonts w:ascii="Times New Roman" w:hAnsi="Times New Roman" w:cs="Arial"/>
          <w:color w:val="23236E"/>
          <w:sz w:val="24"/>
          <w:lang w:val="ro"/>
        </w:rPr>
        <w:br/>
      </w:r>
      <w:r>
        <w:rPr>
          <w:rFonts w:ascii="Times New Roman" w:hAnsi="Times New Roman" w:cs="Arial"/>
          <w:b/>
          <w:bCs/>
          <w:color w:val="23236E"/>
          <w:sz w:val="24"/>
          <w:lang w:val="ro"/>
        </w:rPr>
        <w:t>Ora de închidere a porții pentru transmiterea ofertelor de energie de către OTS pentru ofertele de produs standard de energie de echilibrare mRRF</w:t>
      </w:r>
      <w:bookmarkEnd w:id="112"/>
      <w:bookmarkEnd w:id="113"/>
      <w:bookmarkEnd w:id="114"/>
      <w:bookmarkEnd w:id="115"/>
    </w:p>
    <w:p w:rsidR="00113043" w:rsidRPr="00B65173" w:rsidRDefault="00113043" w:rsidP="00FC69DE">
      <w:pPr>
        <w:pStyle w:val="Numbering"/>
        <w:numPr>
          <w:ilvl w:val="0"/>
          <w:numId w:val="27"/>
        </w:numPr>
        <w:ind w:left="567" w:hanging="567"/>
      </w:pPr>
      <w:r>
        <w:rPr>
          <w:lang w:val="ro"/>
        </w:rPr>
        <w:t>Ora de închidere a porții pentru transmiterea ofertelor de energie de către OTS-ul conector a ofertelor disponibile de produs standard de energie de echilibrare mRRF către funcția de optimizare a activării a Platformei mRRF are loc cu 12 minute înaintea începerii sfertului de oră pentru care FSE-urile plasează respectiva ofertă de produs standard de energie de echilibrare mRRF.</w:t>
      </w:r>
    </w:p>
    <w:p w:rsidR="00113043" w:rsidRPr="00362616" w:rsidRDefault="00113043" w:rsidP="00FC69DE">
      <w:pPr>
        <w:pStyle w:val="Numbering"/>
        <w:numPr>
          <w:ilvl w:val="0"/>
          <w:numId w:val="27"/>
        </w:numPr>
        <w:ind w:left="567" w:hanging="567"/>
      </w:pPr>
      <w:r>
        <w:rPr>
          <w:lang w:val="ro"/>
        </w:rPr>
        <w:t xml:space="preserve">OTS-ul conector are posibilitatea, oricând după ora de închidere a porții pentru energia de echilibrare în vederea transmiterii unei oferte de produs standard de energie de echilibrare mRRF, inclusiv în cadrul perioadei de valabilitate, să modifice oferta în conformitate cu articolul 29 (9) din EB GL sau să modifice starea de disponibilitate a ofertei în conformitate cu articolul 29 (14) din EB GL. </w:t>
      </w:r>
    </w:p>
    <w:p w:rsidR="00926248" w:rsidRPr="00362616" w:rsidRDefault="00926248" w:rsidP="005F69A9">
      <w:pPr>
        <w:pStyle w:val="textenumeration"/>
        <w:ind w:left="357" w:hanging="357"/>
        <w:contextualSpacing/>
        <w:jc w:val="center"/>
      </w:pPr>
    </w:p>
    <w:p w:rsidR="00776395" w:rsidRPr="00362616" w:rsidRDefault="00776395" w:rsidP="00776395">
      <w:pPr>
        <w:spacing w:after="120" w:line="260" w:lineRule="exact"/>
        <w:jc w:val="center"/>
        <w:outlineLvl w:val="1"/>
        <w:rPr>
          <w:rFonts w:ascii="Times New Roman" w:hAnsi="Times New Roman" w:cs="Arial"/>
          <w:b/>
          <w:color w:val="23236E"/>
          <w:sz w:val="24"/>
        </w:rPr>
      </w:pPr>
      <w:bookmarkStart w:id="116" w:name="_Toc509331495"/>
      <w:bookmarkStart w:id="117" w:name="_Toc531122451"/>
      <w:bookmarkStart w:id="118" w:name="_Toc531123805"/>
      <w:bookmarkStart w:id="119" w:name="_Toc532893398"/>
      <w:bookmarkEnd w:id="87"/>
      <w:bookmarkEnd w:id="88"/>
      <w:bookmarkEnd w:id="89"/>
      <w:bookmarkEnd w:id="90"/>
      <w:bookmarkEnd w:id="91"/>
      <w:bookmarkEnd w:id="92"/>
      <w:r>
        <w:rPr>
          <w:rFonts w:ascii="Times New Roman" w:hAnsi="Times New Roman" w:cs="Arial"/>
          <w:b/>
          <w:bCs/>
          <w:color w:val="23236E"/>
          <w:sz w:val="24"/>
          <w:lang w:val="ro"/>
        </w:rPr>
        <w:t>Articolul 10</w:t>
      </w:r>
      <w:r>
        <w:rPr>
          <w:rFonts w:ascii="Times New Roman" w:hAnsi="Times New Roman" w:cs="Arial"/>
          <w:color w:val="23236E"/>
          <w:sz w:val="24"/>
          <w:lang w:val="ro"/>
        </w:rPr>
        <w:br/>
      </w:r>
      <w:r>
        <w:rPr>
          <w:rFonts w:ascii="Times New Roman" w:hAnsi="Times New Roman" w:cs="Arial"/>
          <w:b/>
          <w:bCs/>
          <w:color w:val="23236E"/>
          <w:sz w:val="24"/>
          <w:lang w:val="ro"/>
        </w:rPr>
        <w:t>Listele cu ordine de merit comune care urmează a fi organizate de funcția de optimizare a activării</w:t>
      </w:r>
      <w:bookmarkEnd w:id="116"/>
      <w:bookmarkEnd w:id="117"/>
      <w:bookmarkEnd w:id="118"/>
      <w:bookmarkEnd w:id="119"/>
    </w:p>
    <w:p w:rsidR="007E13D0" w:rsidRPr="00E84F1A" w:rsidRDefault="007E13D0" w:rsidP="00FC69DE">
      <w:pPr>
        <w:pStyle w:val="Numbering"/>
        <w:numPr>
          <w:ilvl w:val="0"/>
          <w:numId w:val="21"/>
        </w:numPr>
        <w:ind w:left="567" w:hanging="567"/>
        <w:rPr>
          <w:szCs w:val="24"/>
        </w:rPr>
      </w:pPr>
      <w:r>
        <w:rPr>
          <w:lang w:val="ro"/>
        </w:rPr>
        <w:t>Fiecare FSE transmite ofertele de produs standard de energie de echilibrare mRRF către OTS-ul conector în conformitate cu articolul 8 din prezenta mRRF-IF.</w:t>
      </w:r>
    </w:p>
    <w:p w:rsidR="007E13D0" w:rsidRPr="00E84F1A" w:rsidRDefault="007E13D0" w:rsidP="00FC69DE">
      <w:pPr>
        <w:pStyle w:val="Numbering"/>
        <w:numPr>
          <w:ilvl w:val="0"/>
          <w:numId w:val="21"/>
        </w:numPr>
        <w:ind w:left="567" w:hanging="567"/>
      </w:pPr>
      <w:r>
        <w:rPr>
          <w:lang w:val="ro"/>
        </w:rPr>
        <w:lastRenderedPageBreak/>
        <w:t>Fiecare FSE racordat la un OTS care aplică un model de dispecerizare la nivel central transmite ofertele procesului integrat de planificare către OTS-ul conector.</w:t>
      </w:r>
    </w:p>
    <w:p w:rsidR="007E13D0" w:rsidRPr="00E84F1A" w:rsidRDefault="007E13D0" w:rsidP="00FC69DE">
      <w:pPr>
        <w:pStyle w:val="Numbering"/>
        <w:numPr>
          <w:ilvl w:val="0"/>
          <w:numId w:val="21"/>
        </w:numPr>
        <w:ind w:left="567" w:hanging="567"/>
      </w:pPr>
      <w:r>
        <w:rPr>
          <w:lang w:val="ro"/>
        </w:rPr>
        <w:t>OTS-ul conector transmite ofertele de produs standard de energie de echilibrare mRRF către Platforma mRRF în conformitate cu articolul 9 din prezenta mRRF-IF, pentru a fi incluse pe listele cu ordine de merit comune.</w:t>
      </w:r>
    </w:p>
    <w:p w:rsidR="007E13D0" w:rsidRPr="00E84F1A" w:rsidRDefault="007E13D0" w:rsidP="00FC69DE">
      <w:pPr>
        <w:pStyle w:val="Numbering"/>
        <w:numPr>
          <w:ilvl w:val="0"/>
          <w:numId w:val="21"/>
        </w:numPr>
        <w:ind w:left="567" w:hanging="567"/>
      </w:pPr>
      <w:r>
        <w:rPr>
          <w:lang w:val="ro"/>
        </w:rPr>
        <w:t>OTS-urile care aplică un model de dispecerizare la nivel central, în temeiul articolului 27 din EB GL, vor converti ofertele procesului integrat de planificare primite din partea FSE-urilor în oferte de produs standard de energie de echilibrare mRRF și apoi vor transmite aceste oferte către Platforma mRRF pentru a fi incluse pe listele cu ordine de merit comune.</w:t>
      </w:r>
    </w:p>
    <w:p w:rsidR="00A3422E" w:rsidRDefault="007E13D0" w:rsidP="00FC69DE">
      <w:pPr>
        <w:pStyle w:val="Numbering"/>
        <w:numPr>
          <w:ilvl w:val="0"/>
          <w:numId w:val="21"/>
        </w:numPr>
        <w:ind w:left="567" w:hanging="567"/>
      </w:pPr>
      <w:r>
        <w:rPr>
          <w:lang w:val="ro"/>
        </w:rPr>
        <w:t xml:space="preserve">Platforma mRRF întocmește două liste cu ordine de merit comune (una pentru ofertele cu direcția crescătoare și una pentru ofertele cu direcția descrescătoare) pentru fiecare sfert de oră, care conțin toate ofertele disponibile de produs standard de energie de echilibrare mRRF transmise de OTS-urile participante. </w:t>
      </w:r>
    </w:p>
    <w:p w:rsidR="00C41681" w:rsidRPr="00C41681" w:rsidRDefault="00C41681" w:rsidP="00FC69DE">
      <w:pPr>
        <w:pStyle w:val="Numbering"/>
        <w:numPr>
          <w:ilvl w:val="0"/>
          <w:numId w:val="21"/>
        </w:numPr>
        <w:ind w:left="567" w:hanging="567"/>
      </w:pPr>
      <w:r>
        <w:rPr>
          <w:lang w:val="ro"/>
        </w:rPr>
        <w:t>Pentru activarea programată se utilizează cele două liste cu ordine de merit comune descrise la articolul 10 (7) din prezenta mRRF-IF.</w:t>
      </w:r>
    </w:p>
    <w:p w:rsidR="007E13D0" w:rsidRPr="00E84F1A" w:rsidRDefault="007E13D0" w:rsidP="00FC69DE">
      <w:pPr>
        <w:pStyle w:val="Numbering"/>
        <w:numPr>
          <w:ilvl w:val="0"/>
          <w:numId w:val="21"/>
        </w:numPr>
        <w:ind w:left="567" w:hanging="567"/>
      </w:pPr>
      <w:r>
        <w:rPr>
          <w:lang w:val="ro"/>
        </w:rPr>
        <w:t>Cele două liste cu ordine de merit comune ce urmează a fi utilizate în cadrul activării programate se sortează în baza următoarelor criterii:</w:t>
      </w:r>
    </w:p>
    <w:p w:rsidR="007E13D0" w:rsidRPr="00E84F1A" w:rsidRDefault="006E78B9" w:rsidP="00FC69DE">
      <w:pPr>
        <w:pStyle w:val="Numbering2"/>
        <w:numPr>
          <w:ilvl w:val="1"/>
          <w:numId w:val="39"/>
        </w:numPr>
      </w:pPr>
      <w:r>
        <w:rPr>
          <w:lang w:val="ro"/>
        </w:rPr>
        <w:t>lista crescătoare cu ordine de merit comune conține toate ofertele disponibile de produs standard de energie de echilibrare mRRF în direcția crescătoare transmise de OTS-urile participante și sortate în ordine crescătoare după preț.</w:t>
      </w:r>
    </w:p>
    <w:p w:rsidR="007E13D0" w:rsidRPr="00E84F1A" w:rsidRDefault="006E78B9" w:rsidP="00FC69DE">
      <w:pPr>
        <w:pStyle w:val="Numbering2"/>
        <w:numPr>
          <w:ilvl w:val="1"/>
          <w:numId w:val="39"/>
        </w:numPr>
      </w:pPr>
      <w:r>
        <w:rPr>
          <w:lang w:val="ro"/>
        </w:rPr>
        <w:t>lista descrescătoare cu ordine de merit comune conține toate ofertele disponibile de produs standard de energie de echilibrare mRRF în direcția descrescătoare transmise de OTS-urile participante și sortate în ordine descrescătoare după preț.</w:t>
      </w:r>
    </w:p>
    <w:p w:rsidR="006209BF" w:rsidRPr="00362616" w:rsidRDefault="00210D02" w:rsidP="00FC69DE">
      <w:pPr>
        <w:pStyle w:val="Numbering"/>
        <w:numPr>
          <w:ilvl w:val="0"/>
          <w:numId w:val="21"/>
        </w:numPr>
        <w:ind w:left="567" w:hanging="567"/>
      </w:pPr>
      <w:r>
        <w:rPr>
          <w:lang w:val="ro"/>
        </w:rPr>
        <w:t>Pentru activarea directă, cele două liste cu ordine de merit comune prevăzute la articolul 10 (7) din prezenta mRRF-IF rămân cu toate ofertele activabile direct disponibile și încă neactivate, transmise de fiecare OTS participant.</w:t>
      </w:r>
    </w:p>
    <w:p w:rsidR="007E13D0" w:rsidRPr="00362616" w:rsidRDefault="007E13D0" w:rsidP="00FC69DE">
      <w:pPr>
        <w:pStyle w:val="Numbering"/>
        <w:numPr>
          <w:ilvl w:val="0"/>
          <w:numId w:val="21"/>
        </w:numPr>
      </w:pPr>
      <w:r>
        <w:rPr>
          <w:lang w:val="ro"/>
        </w:rPr>
        <w:t>În cadrul activării directe se utilizează listele cu ordine de merit comune prevăzute la articolul 10 (8) din prezenta mRRF-IF, care se actualizează în mod continuu și se sortează în baza următoarelor criterii:</w:t>
      </w:r>
    </w:p>
    <w:p w:rsidR="007E13D0" w:rsidRPr="00362616" w:rsidRDefault="006E78B9" w:rsidP="00FC69DE">
      <w:pPr>
        <w:pStyle w:val="Numbering2"/>
        <w:numPr>
          <w:ilvl w:val="1"/>
          <w:numId w:val="40"/>
        </w:numPr>
      </w:pPr>
      <w:r>
        <w:rPr>
          <w:lang w:val="ro"/>
        </w:rPr>
        <w:t>lista crescătoare cu ordine de merit comune conține toate ofertele activabile direct disponibile în direcția crescătoare transmise de OTS-urile participante și sortate în ordine crescătoare după preț.</w:t>
      </w:r>
    </w:p>
    <w:p w:rsidR="007E13D0" w:rsidRDefault="006E78B9" w:rsidP="00FC69DE">
      <w:pPr>
        <w:pStyle w:val="Numbering2"/>
        <w:numPr>
          <w:ilvl w:val="1"/>
          <w:numId w:val="40"/>
        </w:numPr>
      </w:pPr>
      <w:r>
        <w:rPr>
          <w:lang w:val="ro"/>
        </w:rPr>
        <w:t>lista descrescătoare cu ordine de merit comune conține toate ofertele activabile direct disponibile în direcția descrescătoare transmise de OTS-urile participante și sortate în ordine descrescătoare după preț.</w:t>
      </w:r>
    </w:p>
    <w:p w:rsidR="00AE4671" w:rsidRDefault="00AE4671" w:rsidP="00AE4671">
      <w:pPr>
        <w:pStyle w:val="Numbering2"/>
        <w:numPr>
          <w:ilvl w:val="0"/>
          <w:numId w:val="71"/>
        </w:numPr>
        <w:ind w:left="567" w:hanging="454"/>
      </w:pPr>
      <w:r>
        <w:rPr>
          <w:lang w:val="ro"/>
        </w:rPr>
        <w:t>Toate ofertele disponibile de produs standard de energie de echilibrare mRRF transmise către Platforma mRRF de către OTS-urile participante sunt utilizate în cadrul listelor cu ordine de merit comune pentru activare.</w:t>
      </w:r>
    </w:p>
    <w:p w:rsidR="00380564" w:rsidRPr="00362616" w:rsidRDefault="00380564" w:rsidP="00D001DC">
      <w:pPr>
        <w:pStyle w:val="textenumeration"/>
        <w:ind w:left="357" w:hanging="357"/>
        <w:contextualSpacing/>
        <w:jc w:val="center"/>
      </w:pPr>
    </w:p>
    <w:p w:rsidR="00776395" w:rsidRPr="00362616" w:rsidRDefault="00776395" w:rsidP="00113043">
      <w:pPr>
        <w:spacing w:after="120" w:line="260" w:lineRule="exact"/>
        <w:jc w:val="center"/>
        <w:outlineLvl w:val="1"/>
        <w:rPr>
          <w:rFonts w:ascii="Times New Roman" w:hAnsi="Times New Roman" w:cs="Arial"/>
          <w:b/>
          <w:color w:val="23236E"/>
          <w:sz w:val="24"/>
        </w:rPr>
      </w:pPr>
      <w:bookmarkStart w:id="120" w:name="_Toc509331496"/>
      <w:bookmarkStart w:id="121" w:name="_Toc531122452"/>
      <w:bookmarkStart w:id="122" w:name="_Toc531123806"/>
      <w:bookmarkStart w:id="123" w:name="_Toc532893399"/>
      <w:r>
        <w:rPr>
          <w:rFonts w:ascii="Times New Roman" w:hAnsi="Times New Roman" w:cs="Arial"/>
          <w:b/>
          <w:bCs/>
          <w:color w:val="23236E"/>
          <w:sz w:val="24"/>
          <w:lang w:val="ro"/>
        </w:rPr>
        <w:t>Articolul 11</w:t>
      </w:r>
      <w:r>
        <w:rPr>
          <w:rFonts w:ascii="Times New Roman" w:hAnsi="Times New Roman" w:cs="Arial"/>
          <w:color w:val="23236E"/>
          <w:sz w:val="24"/>
          <w:lang w:val="ro"/>
        </w:rPr>
        <w:br/>
      </w:r>
      <w:r>
        <w:rPr>
          <w:rFonts w:ascii="Times New Roman" w:hAnsi="Times New Roman" w:cs="Arial"/>
          <w:b/>
          <w:bCs/>
          <w:color w:val="23236E"/>
          <w:sz w:val="24"/>
          <w:lang w:val="ro"/>
        </w:rPr>
        <w:t>Descrierea algoritmului de optimizare</w:t>
      </w:r>
      <w:bookmarkEnd w:id="120"/>
      <w:bookmarkEnd w:id="121"/>
      <w:bookmarkEnd w:id="122"/>
      <w:bookmarkEnd w:id="123"/>
    </w:p>
    <w:p w:rsidR="00113043" w:rsidRPr="00362616" w:rsidRDefault="00113043" w:rsidP="00FC69DE">
      <w:pPr>
        <w:pStyle w:val="Numbering"/>
        <w:numPr>
          <w:ilvl w:val="0"/>
          <w:numId w:val="63"/>
        </w:numPr>
      </w:pPr>
      <w:bookmarkStart w:id="124" w:name="_Toc444812285"/>
      <w:bookmarkStart w:id="125" w:name="_Toc444694016"/>
      <w:bookmarkStart w:id="126" w:name="_Toc440463606"/>
      <w:bookmarkStart w:id="127" w:name="_Toc440039014"/>
      <w:r>
        <w:rPr>
          <w:lang w:val="ro"/>
        </w:rPr>
        <w:t>Datele de intrare ale algoritmului de optimizare pentru activarea programată sunt:</w:t>
      </w:r>
    </w:p>
    <w:p w:rsidR="00113043" w:rsidRDefault="00113043" w:rsidP="00FC69DE">
      <w:pPr>
        <w:pStyle w:val="Numbering2"/>
        <w:numPr>
          <w:ilvl w:val="1"/>
          <w:numId w:val="41"/>
        </w:numPr>
      </w:pPr>
      <w:r>
        <w:rPr>
          <w:lang w:val="ro"/>
        </w:rPr>
        <w:lastRenderedPageBreak/>
        <w:t>cele două liste cu ordine de merit comune, în conformitate cu articolul 10 (6) din prezenta mRRF-IF;</w:t>
      </w:r>
    </w:p>
    <w:p w:rsidR="00113043" w:rsidRPr="00362616" w:rsidRDefault="00113043" w:rsidP="00FC69DE">
      <w:pPr>
        <w:pStyle w:val="Numbering2"/>
        <w:numPr>
          <w:ilvl w:val="1"/>
          <w:numId w:val="41"/>
        </w:numPr>
      </w:pPr>
      <w:r>
        <w:rPr>
          <w:lang w:val="ro"/>
        </w:rPr>
        <w:t>cererile mRRF ce trebuie satisfăcute prin activarea programată, în conformitate cu articolul 3 (5) din prezenta mRRF-IF;</w:t>
      </w:r>
    </w:p>
    <w:p w:rsidR="00113043" w:rsidRPr="00362616" w:rsidRDefault="00113043" w:rsidP="00FC69DE">
      <w:pPr>
        <w:pStyle w:val="Numbering2"/>
        <w:numPr>
          <w:ilvl w:val="1"/>
          <w:numId w:val="41"/>
        </w:numPr>
      </w:pPr>
      <w:r>
        <w:rPr>
          <w:lang w:val="ro"/>
        </w:rPr>
        <w:t>limitele capacității transfrontaliere mRRF, în conformitate cu articolul 4 (2) din prezenta mRRF-IF.</w:t>
      </w:r>
    </w:p>
    <w:p w:rsidR="00113043" w:rsidRPr="009D7FE8" w:rsidRDefault="00113043" w:rsidP="00FC69DE">
      <w:pPr>
        <w:pStyle w:val="Numbering"/>
        <w:numPr>
          <w:ilvl w:val="0"/>
          <w:numId w:val="63"/>
        </w:numPr>
        <w:ind w:left="567" w:hanging="567"/>
      </w:pPr>
      <w:r>
        <w:rPr>
          <w:lang w:val="ro"/>
        </w:rPr>
        <w:t>Datele de intrare ale algoritmului de optimizare pentru activarea directă sunt:</w:t>
      </w:r>
    </w:p>
    <w:p w:rsidR="00113043" w:rsidRDefault="005C7108" w:rsidP="00FC69DE">
      <w:pPr>
        <w:pStyle w:val="Numbering2"/>
        <w:numPr>
          <w:ilvl w:val="1"/>
          <w:numId w:val="42"/>
        </w:numPr>
        <w:ind w:left="567"/>
      </w:pPr>
      <w:r>
        <w:rPr>
          <w:lang w:val="ro"/>
        </w:rPr>
        <w:t xml:space="preserve">în cazul cererii mRRF pozitive, lista crescătoare cu ordine de merit comune, în conformitate cu articolele 10 (8) și 10 (9) (a) din prezenta mRRF-IF, precum și cererile mRRF pozitive ce trebuie satisfăcute prin activarea directă; </w:t>
      </w:r>
    </w:p>
    <w:p w:rsidR="007E4857" w:rsidRPr="009D7FE8" w:rsidRDefault="005C7108" w:rsidP="00FC69DE">
      <w:pPr>
        <w:pStyle w:val="Numbering2"/>
        <w:numPr>
          <w:ilvl w:val="1"/>
          <w:numId w:val="42"/>
        </w:numPr>
        <w:ind w:left="567"/>
      </w:pPr>
      <w:r>
        <w:rPr>
          <w:lang w:val="ro"/>
        </w:rPr>
        <w:t>în cazul cererii mRRF negative, lista descrescătoare cu ordine de merit comune, în conformitate cu articolele 10 (8) și 10 (9) (b) din prezenta mRRF-IF, precum și cererile mRRF negative ce trebuie satisfăcute prin activarea directă;</w:t>
      </w:r>
    </w:p>
    <w:p w:rsidR="00113043" w:rsidRPr="009D7FE8" w:rsidRDefault="00113043" w:rsidP="00FC69DE">
      <w:pPr>
        <w:pStyle w:val="Numbering2"/>
        <w:numPr>
          <w:ilvl w:val="1"/>
          <w:numId w:val="9"/>
        </w:numPr>
      </w:pPr>
      <w:r>
        <w:rPr>
          <w:lang w:val="ro"/>
        </w:rPr>
        <w:t>limitele capacității transfrontaliere mRRF, în conformitate cu articolul 4 (2) din prezenta mRRF-IF.</w:t>
      </w:r>
    </w:p>
    <w:p w:rsidR="00113043" w:rsidRPr="00362616" w:rsidRDefault="00113043" w:rsidP="00FC69DE">
      <w:pPr>
        <w:pStyle w:val="Numbering"/>
        <w:numPr>
          <w:ilvl w:val="0"/>
          <w:numId w:val="63"/>
        </w:numPr>
        <w:ind w:left="567" w:hanging="567"/>
      </w:pPr>
      <w:r>
        <w:rPr>
          <w:lang w:val="ro"/>
        </w:rPr>
        <w:t xml:space="preserve">Funcțiile obiectiv ale algoritmului de optimizare sunt: </w:t>
      </w:r>
    </w:p>
    <w:p w:rsidR="00113043" w:rsidRPr="00362616" w:rsidRDefault="009B5DD4" w:rsidP="00FC69DE">
      <w:pPr>
        <w:pStyle w:val="Numbering2"/>
        <w:numPr>
          <w:ilvl w:val="1"/>
          <w:numId w:val="43"/>
        </w:numPr>
      </w:pPr>
      <w:r>
        <w:rPr>
          <w:lang w:val="ro"/>
        </w:rPr>
        <w:t>Prioritatea unu: maximizarea surplusului economic pentru un anumit set de oferte de produs standard de energie de echilibrare mRRF și nevoi de energie de echilibrare mRRF;</w:t>
      </w:r>
    </w:p>
    <w:p w:rsidR="00113043" w:rsidRPr="00362616" w:rsidRDefault="009B5DD4" w:rsidP="00FC69DE">
      <w:pPr>
        <w:pStyle w:val="Numbering2"/>
        <w:numPr>
          <w:ilvl w:val="1"/>
          <w:numId w:val="43"/>
        </w:numPr>
      </w:pPr>
      <w:r>
        <w:rPr>
          <w:lang w:val="ro"/>
        </w:rPr>
        <w:t>Prioritatea doi: minimizarea cantității de schimb manual de putere de restabilire a frecvenței pe fiecare graniță de echilibrare mRRF.</w:t>
      </w:r>
    </w:p>
    <w:p w:rsidR="00113043" w:rsidRPr="00362616" w:rsidRDefault="00113043" w:rsidP="00FC69DE">
      <w:pPr>
        <w:pStyle w:val="Numbering"/>
        <w:numPr>
          <w:ilvl w:val="0"/>
          <w:numId w:val="63"/>
        </w:numPr>
        <w:ind w:left="567" w:hanging="567"/>
      </w:pPr>
      <w:r>
        <w:rPr>
          <w:lang w:val="ro"/>
        </w:rPr>
        <w:t>Restricțiile algoritmului de optimizare sunt următoarele:</w:t>
      </w:r>
    </w:p>
    <w:p w:rsidR="00113043" w:rsidRPr="00362616" w:rsidRDefault="00DF0C62" w:rsidP="00FC69DE">
      <w:pPr>
        <w:pStyle w:val="Numbering2"/>
        <w:numPr>
          <w:ilvl w:val="1"/>
          <w:numId w:val="44"/>
        </w:numPr>
      </w:pPr>
      <w:r>
        <w:rPr>
          <w:lang w:val="ro"/>
        </w:rPr>
        <w:t>ecuația echilibrului de putere mRRF pentru fiecare zonă de ofertare sau zonă RFP trebuie satisfăcută.</w:t>
      </w:r>
    </w:p>
    <w:p w:rsidR="00113043" w:rsidRPr="00362616" w:rsidRDefault="00DF0C62" w:rsidP="00FC69DE">
      <w:pPr>
        <w:pStyle w:val="Numbering2"/>
        <w:numPr>
          <w:ilvl w:val="1"/>
          <w:numId w:val="44"/>
        </w:numPr>
      </w:pPr>
      <w:r>
        <w:rPr>
          <w:lang w:val="ro"/>
        </w:rPr>
        <w:t>suma tuturor transferurilor de putere la restabilirea manuală a frecvenței aferente tuturor zonelor de ofertare sau zonelor RFP ale OTS-urilor participante trebuie să fie egală cu zero.</w:t>
      </w:r>
    </w:p>
    <w:p w:rsidR="00113043" w:rsidRPr="00362616" w:rsidRDefault="00DF0C62" w:rsidP="00FC69DE">
      <w:pPr>
        <w:pStyle w:val="Numbering2"/>
        <w:numPr>
          <w:ilvl w:val="1"/>
          <w:numId w:val="44"/>
        </w:numPr>
      </w:pPr>
      <w:r>
        <w:rPr>
          <w:lang w:val="ro"/>
        </w:rPr>
        <w:t>transferul de putere la restabilirea manuală a frecvenței pe o graniță de echilibrare mRRF sau un set de granițe de echilibrare mRRF nu trebuie să depășească limitele capacității transfrontaliere mRRF specificate în conformitate cu articolul 4 din prezenta mRRF-IF.</w:t>
      </w:r>
    </w:p>
    <w:p w:rsidR="00546683" w:rsidRDefault="00DF0C62" w:rsidP="00FC69DE">
      <w:pPr>
        <w:pStyle w:val="Numbering2"/>
        <w:numPr>
          <w:ilvl w:val="1"/>
          <w:numId w:val="44"/>
        </w:numPr>
      </w:pPr>
      <w:r>
        <w:rPr>
          <w:lang w:val="ro"/>
        </w:rPr>
        <w:t>restricțiile privitoare la indivizibilitate, legăturile tehnice și economice dintre oferte, conform definițiilor prevăzute la articolul 7 (2) (a) din prezenta mRRF-IF.</w:t>
      </w:r>
    </w:p>
    <w:p w:rsidR="00546683" w:rsidRDefault="00DF0C62" w:rsidP="00FC69DE">
      <w:pPr>
        <w:pStyle w:val="Numbering2"/>
        <w:numPr>
          <w:ilvl w:val="1"/>
          <w:numId w:val="44"/>
        </w:numPr>
      </w:pPr>
      <w:r>
        <w:rPr>
          <w:lang w:val="ro"/>
        </w:rPr>
        <w:t>restricțiile suplimentare privitoare la activări în scopul restricțiilor de sistem.</w:t>
      </w:r>
    </w:p>
    <w:p w:rsidR="00113043" w:rsidRPr="00362616" w:rsidRDefault="00113043" w:rsidP="00FC69DE">
      <w:pPr>
        <w:pStyle w:val="Numbering"/>
        <w:numPr>
          <w:ilvl w:val="0"/>
          <w:numId w:val="63"/>
        </w:numPr>
        <w:ind w:left="567" w:hanging="567"/>
      </w:pPr>
      <w:bookmarkStart w:id="128" w:name="_Hlk531170240"/>
      <w:r>
        <w:rPr>
          <w:lang w:val="ro"/>
        </w:rPr>
        <w:t>Datele de ieșire ale algoritmului de optimizare sunt următoarele:</w:t>
      </w:r>
    </w:p>
    <w:p w:rsidR="00D07109" w:rsidRDefault="00F141DD" w:rsidP="00FC69DE">
      <w:pPr>
        <w:pStyle w:val="Numbering2"/>
        <w:numPr>
          <w:ilvl w:val="1"/>
          <w:numId w:val="63"/>
        </w:numPr>
      </w:pPr>
      <w:r>
        <w:rPr>
          <w:lang w:val="ro"/>
        </w:rPr>
        <w:t xml:space="preserve">transferul de putere la restabilirea manuală a frecvenței pe fiecare graniță de echilibrare mRRF conform definițiilor prevăzute la articolul 147 din SO GL; </w:t>
      </w:r>
    </w:p>
    <w:p w:rsidR="008330A9" w:rsidRDefault="00113043" w:rsidP="00FC69DE">
      <w:pPr>
        <w:pStyle w:val="Numbering2"/>
        <w:numPr>
          <w:ilvl w:val="1"/>
          <w:numId w:val="63"/>
        </w:numPr>
      </w:pPr>
      <w:r>
        <w:rPr>
          <w:lang w:val="ro"/>
        </w:rPr>
        <w:t>volumul de activări de energie de echilibrare provenit din produse standard de energie de echilibrare mRRF;</w:t>
      </w:r>
    </w:p>
    <w:p w:rsidR="008330A9" w:rsidRDefault="00113043" w:rsidP="00FC69DE">
      <w:pPr>
        <w:pStyle w:val="Numbering2"/>
        <w:numPr>
          <w:ilvl w:val="1"/>
          <w:numId w:val="63"/>
        </w:numPr>
      </w:pPr>
      <w:r>
        <w:rPr>
          <w:lang w:val="ro"/>
        </w:rPr>
        <w:t xml:space="preserve">volumul cererilor de energie de echilibrare mRRF satisfăcute; </w:t>
      </w:r>
    </w:p>
    <w:p w:rsidR="002E7193" w:rsidRDefault="00FC1609" w:rsidP="00FC69DE">
      <w:pPr>
        <w:pStyle w:val="Numbering2"/>
        <w:numPr>
          <w:ilvl w:val="1"/>
          <w:numId w:val="63"/>
        </w:numPr>
      </w:pPr>
      <w:r>
        <w:rPr>
          <w:lang w:val="ro"/>
        </w:rPr>
        <w:t>poziția netă a fiecărei zone RFP sau zone de ofertare care rezultă din Platforma mRRF;</w:t>
      </w:r>
    </w:p>
    <w:p w:rsidR="002E7193" w:rsidRDefault="002E7193" w:rsidP="00FC69DE">
      <w:pPr>
        <w:pStyle w:val="Numbering2"/>
        <w:numPr>
          <w:ilvl w:val="1"/>
          <w:numId w:val="63"/>
        </w:numPr>
      </w:pPr>
      <w:r>
        <w:rPr>
          <w:lang w:val="ro"/>
        </w:rPr>
        <w:t>prețurile pentru energia de echilibrare mRRF determinate folosind metodologia propusă în conformitate cu articolul 30 (1) din EB GL;</w:t>
      </w:r>
    </w:p>
    <w:p w:rsidR="002E7193" w:rsidRPr="00362616" w:rsidRDefault="002E7193" w:rsidP="00FC69DE">
      <w:pPr>
        <w:pStyle w:val="Numbering2"/>
        <w:numPr>
          <w:ilvl w:val="1"/>
          <w:numId w:val="63"/>
        </w:numPr>
      </w:pPr>
      <w:r>
        <w:rPr>
          <w:lang w:val="ro"/>
        </w:rPr>
        <w:lastRenderedPageBreak/>
        <w:t>prețurile pentru capacitatea interzonală folosită pentru schimbul de produse standard de energie de echilibrare mRRF determinate folosind metodologia propusă în conformitate cu articolul 30 (3) din EB GL.</w:t>
      </w:r>
    </w:p>
    <w:bookmarkEnd w:id="124"/>
    <w:bookmarkEnd w:id="125"/>
    <w:bookmarkEnd w:id="126"/>
    <w:bookmarkEnd w:id="127"/>
    <w:bookmarkEnd w:id="128"/>
    <w:p w:rsidR="00027FBD" w:rsidRPr="00362616" w:rsidRDefault="00027FBD" w:rsidP="0000000E">
      <w:pPr>
        <w:pStyle w:val="ListParagraph"/>
        <w:spacing w:after="120" w:line="252" w:lineRule="auto"/>
        <w:ind w:left="360"/>
        <w:jc w:val="both"/>
        <w:rPr>
          <w:rFonts w:ascii="Times New Roman" w:hAnsi="Times New Roman"/>
        </w:rPr>
      </w:pPr>
    </w:p>
    <w:p w:rsidR="007E13D0" w:rsidRPr="00362616" w:rsidRDefault="007E13D0" w:rsidP="00AE0D86">
      <w:pPr>
        <w:spacing w:after="120" w:line="260" w:lineRule="exact"/>
        <w:jc w:val="center"/>
        <w:outlineLvl w:val="1"/>
        <w:rPr>
          <w:rFonts w:ascii="Times New Roman" w:hAnsi="Times New Roman" w:cs="Arial"/>
          <w:b/>
          <w:color w:val="23236E"/>
          <w:sz w:val="24"/>
        </w:rPr>
      </w:pPr>
      <w:bookmarkStart w:id="129" w:name="_Toc531123807"/>
      <w:bookmarkStart w:id="130" w:name="_Toc531122453"/>
      <w:bookmarkStart w:id="131" w:name="_Toc509331497"/>
      <w:bookmarkStart w:id="132" w:name="_Toc532893400"/>
      <w:bookmarkStart w:id="133" w:name="_Toc445298920"/>
      <w:bookmarkStart w:id="134" w:name="_Toc445299182"/>
      <w:bookmarkStart w:id="135" w:name="_Toc445825438"/>
      <w:r>
        <w:rPr>
          <w:rFonts w:ascii="Times New Roman" w:hAnsi="Times New Roman" w:cs="Arial"/>
          <w:b/>
          <w:bCs/>
          <w:color w:val="23236E"/>
          <w:sz w:val="24"/>
          <w:lang w:val="ro"/>
        </w:rPr>
        <w:t>Articolul 12</w:t>
      </w:r>
      <w:r>
        <w:rPr>
          <w:rFonts w:ascii="Times New Roman" w:hAnsi="Times New Roman" w:cs="Arial"/>
          <w:color w:val="23236E"/>
          <w:sz w:val="24"/>
          <w:lang w:val="ro"/>
        </w:rPr>
        <w:br/>
      </w:r>
      <w:r>
        <w:rPr>
          <w:rFonts w:ascii="Times New Roman" w:hAnsi="Times New Roman" w:cs="Arial"/>
          <w:b/>
          <w:bCs/>
          <w:color w:val="23236E"/>
          <w:sz w:val="24"/>
          <w:lang w:val="ro"/>
        </w:rPr>
        <w:t xml:space="preserve">Propunerea unei </w:t>
      </w:r>
      <w:bookmarkEnd w:id="129"/>
      <w:bookmarkEnd w:id="130"/>
      <w:bookmarkEnd w:id="131"/>
      <w:r>
        <w:rPr>
          <w:rFonts w:ascii="Times New Roman" w:hAnsi="Times New Roman" w:cs="Arial"/>
          <w:b/>
          <w:bCs/>
          <w:color w:val="23236E"/>
          <w:sz w:val="24"/>
          <w:lang w:val="ro"/>
        </w:rPr>
        <w:t>entități</w:t>
      </w:r>
      <w:bookmarkEnd w:id="132"/>
    </w:p>
    <w:p w:rsidR="00D37D3A" w:rsidRPr="00D37D3A" w:rsidRDefault="00D37D3A" w:rsidP="00FC69DE">
      <w:pPr>
        <w:pStyle w:val="Numbering"/>
        <w:numPr>
          <w:ilvl w:val="0"/>
          <w:numId w:val="68"/>
        </w:numPr>
        <w:ind w:left="567" w:hanging="567"/>
      </w:pPr>
      <w:r>
        <w:rPr>
          <w:lang w:val="ro"/>
        </w:rPr>
        <w:t>Toate OTS-urile desemnează o entitate responsabilă cu operarea tuturor funcțiilor Platformei mRRF.</w:t>
      </w:r>
    </w:p>
    <w:p w:rsidR="00D37D3A" w:rsidRPr="00D37D3A" w:rsidRDefault="00D37D3A" w:rsidP="00FC69DE">
      <w:pPr>
        <w:pStyle w:val="Numbering"/>
        <w:numPr>
          <w:ilvl w:val="0"/>
          <w:numId w:val="68"/>
        </w:numPr>
        <w:ind w:left="567" w:hanging="567"/>
      </w:pPr>
      <w:r>
        <w:rPr>
          <w:lang w:val="ro"/>
        </w:rPr>
        <w:t>Această entitate reprezintă un consorțiu de OTS-uri sau o societate deținută de OTS-uri.</w:t>
      </w:r>
    </w:p>
    <w:p w:rsidR="009F2667" w:rsidRPr="00362616" w:rsidRDefault="009F2667" w:rsidP="00FC40F7">
      <w:pPr>
        <w:pStyle w:val="textenumeration"/>
        <w:ind w:left="357" w:hanging="357"/>
        <w:contextualSpacing/>
      </w:pPr>
    </w:p>
    <w:p w:rsidR="00AE0D86" w:rsidRPr="00362616" w:rsidRDefault="00AE0D86" w:rsidP="00CD7AC9">
      <w:pPr>
        <w:keepNext/>
        <w:spacing w:after="120" w:line="260" w:lineRule="exact"/>
        <w:jc w:val="center"/>
        <w:outlineLvl w:val="1"/>
        <w:rPr>
          <w:rFonts w:ascii="Times New Roman" w:hAnsi="Times New Roman" w:cs="Arial"/>
          <w:b/>
          <w:color w:val="23236E"/>
          <w:sz w:val="24"/>
        </w:rPr>
      </w:pPr>
      <w:bookmarkStart w:id="136" w:name="_Toc509331498"/>
      <w:bookmarkStart w:id="137" w:name="_Toc531122454"/>
      <w:bookmarkStart w:id="138" w:name="_Toc531123808"/>
      <w:bookmarkStart w:id="139" w:name="_Toc532893401"/>
      <w:bookmarkStart w:id="140" w:name="_Hlk530760753"/>
      <w:r>
        <w:rPr>
          <w:rFonts w:ascii="Times New Roman" w:hAnsi="Times New Roman" w:cs="Arial"/>
          <w:b/>
          <w:bCs/>
          <w:color w:val="23236E"/>
          <w:sz w:val="24"/>
          <w:lang w:val="ro"/>
        </w:rPr>
        <w:t>Articolul 13</w:t>
      </w:r>
      <w:bookmarkEnd w:id="133"/>
      <w:bookmarkEnd w:id="134"/>
      <w:bookmarkEnd w:id="135"/>
      <w:r>
        <w:rPr>
          <w:rFonts w:ascii="Times New Roman" w:hAnsi="Times New Roman" w:cs="Arial"/>
          <w:color w:val="23236E"/>
          <w:sz w:val="24"/>
          <w:lang w:val="ro"/>
        </w:rPr>
        <w:br/>
      </w:r>
      <w:r>
        <w:rPr>
          <w:rFonts w:ascii="Times New Roman" w:hAnsi="Times New Roman" w:cs="Arial"/>
          <w:b/>
          <w:bCs/>
          <w:color w:val="23236E"/>
          <w:sz w:val="24"/>
          <w:lang w:val="ro"/>
        </w:rPr>
        <w:t>Guvernanță</w:t>
      </w:r>
      <w:bookmarkEnd w:id="136"/>
      <w:bookmarkEnd w:id="137"/>
      <w:bookmarkEnd w:id="138"/>
      <w:bookmarkEnd w:id="139"/>
    </w:p>
    <w:bookmarkEnd w:id="140"/>
    <w:p w:rsidR="00113043" w:rsidRPr="00362616" w:rsidRDefault="00113043" w:rsidP="00FC69DE">
      <w:pPr>
        <w:pStyle w:val="Numbering"/>
        <w:numPr>
          <w:ilvl w:val="0"/>
          <w:numId w:val="28"/>
        </w:numPr>
        <w:ind w:left="567" w:hanging="567"/>
      </w:pPr>
      <w:r>
        <w:rPr>
          <w:lang w:val="ro"/>
        </w:rPr>
        <w:t>Normele privind guvernanța și operarea Platformei mRRF asigură că niciun OTS participant nu se bucură de avantaje economice nejustificate prin participarea la Platforma mRRF. Fiecare OTS membru are un reprezentant în comitetul director și în grupul de experți. OTS-urile membre vizează luarea unor decizii unanime. În cazurile în care nu se poate ajunge la o decizie unanimă, se aplică votul cu majoritate calificată în conformitate cu articolul 14 din prezenta mRRF-IF. Comitetul director ia decizii în conformitate cu articolele 14 (1) (a), 14 (2) și 14 (3) din prezenta mRRF-IF.</w:t>
      </w:r>
    </w:p>
    <w:p w:rsidR="00113043" w:rsidRPr="00362616" w:rsidRDefault="00113043" w:rsidP="00FC69DE">
      <w:pPr>
        <w:pStyle w:val="Numbering"/>
        <w:numPr>
          <w:ilvl w:val="0"/>
          <w:numId w:val="28"/>
        </w:numPr>
        <w:ind w:left="567" w:hanging="567"/>
      </w:pPr>
      <w:r>
        <w:rPr>
          <w:lang w:val="ro"/>
        </w:rPr>
        <w:t>Fiecare OTS membru duce la îndeplinire principiile comune de guvernanță ale Platformei mRRF prin intermediul:</w:t>
      </w:r>
    </w:p>
    <w:p w:rsidR="00113043" w:rsidRPr="00362616" w:rsidRDefault="00113043" w:rsidP="00FC69DE">
      <w:pPr>
        <w:pStyle w:val="Numbering2"/>
        <w:numPr>
          <w:ilvl w:val="1"/>
          <w:numId w:val="45"/>
        </w:numPr>
      </w:pPr>
      <w:r>
        <w:rPr>
          <w:lang w:val="ro"/>
        </w:rPr>
        <w:t xml:space="preserve">comitetului director al Platformei mRRF, care este organismul decizional al Platformei mRRF cu dreptul de a lua orice decizie obligatorie cu privire la orice aspect sau chestiune legată de Platforma mRRF care nu este acoperită de articolul 14 (1) (b) din prezenta mRRF-IF. În acest sens, fiecare OTS membru numește cel puțin un reprezentant permanent în comitetul director. Acesta este un organism supraordonat grupului de experți; </w:t>
      </w:r>
    </w:p>
    <w:p w:rsidR="00113043" w:rsidRDefault="00113043" w:rsidP="00FC69DE">
      <w:pPr>
        <w:pStyle w:val="Numbering2"/>
        <w:numPr>
          <w:ilvl w:val="1"/>
          <w:numId w:val="45"/>
        </w:numPr>
      </w:pPr>
      <w:r>
        <w:rPr>
          <w:lang w:val="ro"/>
        </w:rPr>
        <w:t>grupului de experți al Platformei mRRF, care este organismul de experți al Platformei mRRF și care întocmește materialele de informare pentru comitetul director (inclusiv, de exemplu, analize, studii de impact, sinteze) și evaluează și propune concepte în ceea ce privește dezvoltarea, guvernanța și operarea Platformei mRRF. În acest sens, fiecare OTS membru desemnează cel puțin un reprezentant permanent în grupul de experți.</w:t>
      </w:r>
    </w:p>
    <w:p w:rsidR="00D33567" w:rsidRDefault="00D33567" w:rsidP="00FC69DE">
      <w:pPr>
        <w:pStyle w:val="Numbering"/>
        <w:numPr>
          <w:ilvl w:val="0"/>
          <w:numId w:val="28"/>
        </w:numPr>
        <w:ind w:left="567" w:hanging="567"/>
      </w:pPr>
      <w:bookmarkStart w:id="141" w:name="_Hlk529128085"/>
      <w:r>
        <w:rPr>
          <w:lang w:val="ro"/>
        </w:rPr>
        <w:t>Toate OTS-urile membre monitorizează, evaluează și raportează asupra următoarelor aspecte ce țin de implementarea și operarea Platformei mRRF, la un interval cel puțin anual:</w:t>
      </w:r>
    </w:p>
    <w:p w:rsidR="002A4F50" w:rsidRDefault="002A4F50" w:rsidP="00FC69DE">
      <w:pPr>
        <w:pStyle w:val="Numbering2"/>
        <w:numPr>
          <w:ilvl w:val="1"/>
          <w:numId w:val="52"/>
        </w:numPr>
      </w:pPr>
      <w:r>
        <w:rPr>
          <w:lang w:val="ro"/>
        </w:rPr>
        <w:t xml:space="preserve">progresul și foaia de parcurs pentru implementare, în conformitate cu articolul 5 din prezenta mRRF-IF; </w:t>
      </w:r>
    </w:p>
    <w:p w:rsidR="00D33567" w:rsidRDefault="00D33567" w:rsidP="00FC69DE">
      <w:pPr>
        <w:pStyle w:val="Numbering2"/>
        <w:numPr>
          <w:ilvl w:val="1"/>
          <w:numId w:val="52"/>
        </w:numPr>
      </w:pPr>
      <w:r>
        <w:rPr>
          <w:lang w:val="ro"/>
        </w:rPr>
        <w:t>utilizarea cererii mRRF elastice în temeiul articolului 3 (4) din prezenta mRRF-IF;</w:t>
      </w:r>
    </w:p>
    <w:p w:rsidR="00D33567" w:rsidRDefault="00D33567" w:rsidP="00FC69DE">
      <w:pPr>
        <w:pStyle w:val="Numbering2"/>
        <w:numPr>
          <w:ilvl w:val="1"/>
          <w:numId w:val="52"/>
        </w:numPr>
      </w:pPr>
      <w:bookmarkStart w:id="142" w:name="_Hlk531686789"/>
      <w:r>
        <w:rPr>
          <w:lang w:val="ro"/>
        </w:rPr>
        <w:t xml:space="preserve">cantitatea de energie de echilibrare mRRF solicitată de către fiecare OTS participant în raport cu volumul total de energie de echilibrare, în temeiul articolului 29 (12) din EB GL; </w:t>
      </w:r>
    </w:p>
    <w:p w:rsidR="00AD04D9" w:rsidRDefault="00AD04D9" w:rsidP="00FC69DE">
      <w:pPr>
        <w:pStyle w:val="Numbering2"/>
        <w:numPr>
          <w:ilvl w:val="1"/>
          <w:numId w:val="52"/>
        </w:numPr>
      </w:pPr>
      <w:r>
        <w:rPr>
          <w:lang w:val="ro"/>
        </w:rPr>
        <w:t>ofertele care au fost marcate drept indisponibile în conformitate cu articolul 9 (2) din prezenta mRRF-IF;</w:t>
      </w:r>
    </w:p>
    <w:bookmarkEnd w:id="142"/>
    <w:p w:rsidR="00D33567" w:rsidRDefault="00D33567" w:rsidP="00FC69DE">
      <w:pPr>
        <w:pStyle w:val="Numbering2"/>
        <w:numPr>
          <w:ilvl w:val="1"/>
          <w:numId w:val="52"/>
        </w:numPr>
      </w:pPr>
      <w:r>
        <w:rPr>
          <w:lang w:val="ro"/>
        </w:rPr>
        <w:t>impactul activării simultane a ofertelor crescătoare și descrescătoare ca rezultat al funcției obiectiv, conform definițiilor prevăzute la articolul 11 (3) din prezenta mRRF-IF;</w:t>
      </w:r>
    </w:p>
    <w:p w:rsidR="0079325E" w:rsidRPr="00362616" w:rsidRDefault="0079325E" w:rsidP="00FC69DE">
      <w:pPr>
        <w:pStyle w:val="Numbering2"/>
        <w:numPr>
          <w:ilvl w:val="1"/>
          <w:numId w:val="52"/>
        </w:numPr>
      </w:pPr>
      <w:r>
        <w:rPr>
          <w:lang w:val="ro"/>
        </w:rPr>
        <w:t>rezultatele studiului realizat în conformitate cu articolul 16 (2) (a) din prezenta mRRF-IF.</w:t>
      </w:r>
    </w:p>
    <w:bookmarkEnd w:id="141"/>
    <w:p w:rsidR="00A86EEA" w:rsidRPr="00492EB0" w:rsidRDefault="00A86EEA" w:rsidP="00FC69DE">
      <w:pPr>
        <w:pStyle w:val="Numbering"/>
        <w:numPr>
          <w:ilvl w:val="0"/>
          <w:numId w:val="28"/>
        </w:numPr>
        <w:ind w:left="567" w:hanging="567"/>
      </w:pPr>
      <w:r>
        <w:rPr>
          <w:lang w:val="ro"/>
        </w:rPr>
        <w:lastRenderedPageBreak/>
        <w:t>Toate OTS-urile membre organizează anual un atelier de lucru public cu părțile interesate pentru raportarea asupra implementării și operării Platformei mRRF. Primul atelier de lucru are loc în termen de cel târziu 6 luni de la data aprobării prezentei mRRF-IF.</w:t>
      </w:r>
    </w:p>
    <w:p w:rsidR="00FC40F7" w:rsidRPr="00362616" w:rsidRDefault="00FC40F7" w:rsidP="00C07D38">
      <w:pPr>
        <w:pStyle w:val="Numbering"/>
        <w:ind w:firstLine="0"/>
      </w:pPr>
    </w:p>
    <w:p w:rsidR="00116C5F" w:rsidRPr="00362616" w:rsidRDefault="00116C5F" w:rsidP="003D53E6">
      <w:pPr>
        <w:keepNext/>
        <w:spacing w:after="120" w:line="260" w:lineRule="exact"/>
        <w:jc w:val="center"/>
        <w:outlineLvl w:val="1"/>
        <w:rPr>
          <w:rFonts w:ascii="Times New Roman" w:hAnsi="Times New Roman" w:cs="Arial"/>
          <w:b/>
          <w:color w:val="23236E"/>
          <w:sz w:val="24"/>
        </w:rPr>
      </w:pPr>
      <w:bookmarkStart w:id="143" w:name="_Toc509331499"/>
      <w:bookmarkStart w:id="144" w:name="_Toc531122455"/>
      <w:bookmarkStart w:id="145" w:name="_Toc531123809"/>
      <w:bookmarkStart w:id="146" w:name="_Toc532893402"/>
      <w:r>
        <w:rPr>
          <w:rFonts w:ascii="Times New Roman" w:hAnsi="Times New Roman" w:cs="Arial"/>
          <w:b/>
          <w:bCs/>
          <w:color w:val="23236E"/>
          <w:sz w:val="24"/>
          <w:lang w:val="ro"/>
        </w:rPr>
        <w:t>Articolul 14</w:t>
      </w:r>
      <w:r>
        <w:rPr>
          <w:rFonts w:ascii="Times New Roman" w:hAnsi="Times New Roman" w:cs="Arial"/>
          <w:color w:val="23236E"/>
          <w:sz w:val="24"/>
          <w:lang w:val="ro"/>
        </w:rPr>
        <w:br/>
      </w:r>
      <w:r>
        <w:rPr>
          <w:rFonts w:ascii="Times New Roman" w:hAnsi="Times New Roman" w:cs="Arial"/>
          <w:b/>
          <w:bCs/>
          <w:color w:val="23236E"/>
          <w:sz w:val="24"/>
          <w:lang w:val="ro"/>
        </w:rPr>
        <w:t>Procesul</w:t>
      </w:r>
      <w:bookmarkEnd w:id="143"/>
      <w:r>
        <w:rPr>
          <w:rFonts w:ascii="Times New Roman" w:hAnsi="Times New Roman" w:cs="Arial"/>
          <w:b/>
          <w:bCs/>
          <w:color w:val="23236E"/>
          <w:sz w:val="24"/>
          <w:lang w:val="ro"/>
        </w:rPr>
        <w:t xml:space="preserve"> decizional</w:t>
      </w:r>
      <w:bookmarkEnd w:id="144"/>
      <w:bookmarkEnd w:id="145"/>
      <w:bookmarkEnd w:id="146"/>
    </w:p>
    <w:p w:rsidR="00113043" w:rsidRPr="00362616" w:rsidRDefault="00113043" w:rsidP="00FC69DE">
      <w:pPr>
        <w:pStyle w:val="Numbering"/>
        <w:numPr>
          <w:ilvl w:val="0"/>
          <w:numId w:val="29"/>
        </w:numPr>
        <w:ind w:left="567" w:hanging="567"/>
      </w:pPr>
      <w:bookmarkStart w:id="147" w:name="_Hlk529128168"/>
      <w:r>
        <w:rPr>
          <w:lang w:val="ro"/>
        </w:rPr>
        <w:t xml:space="preserve">Deciziile care duc la o propunere de modificare a prezentei mRRF-IF sau a metodologiilor aprobate, transmise de toate OTS-urile în conformitate cu articolele 29, 30 sau 50 din EB GL, se iau în conformitate cu următorul proces: </w:t>
      </w:r>
    </w:p>
    <w:bookmarkEnd w:id="147"/>
    <w:p w:rsidR="00113043" w:rsidRPr="00492EB0" w:rsidRDefault="00113043" w:rsidP="00FC69DE">
      <w:pPr>
        <w:pStyle w:val="Numbering2"/>
        <w:numPr>
          <w:ilvl w:val="1"/>
          <w:numId w:val="46"/>
        </w:numPr>
        <w:rPr>
          <w:rFonts w:asciiTheme="minorHAnsi" w:hAnsiTheme="minorHAnsi" w:cstheme="minorHAnsi"/>
        </w:rPr>
      </w:pPr>
      <w:r>
        <w:rPr>
          <w:rFonts w:asciiTheme="minorHAnsi" w:hAnsiTheme="minorHAnsi" w:cstheme="minorHAnsi"/>
          <w:lang w:val="ro"/>
        </w:rPr>
        <w:t xml:space="preserve">decizia OTS-urilor membre: toate OTS-urile membre aprobă în avans o propunere ce urmează a fi transmisă către toate OTS-urile în vederea luării deciziei; </w:t>
      </w:r>
    </w:p>
    <w:p w:rsidR="00113043" w:rsidRPr="00362616" w:rsidRDefault="00113043" w:rsidP="00FC69DE">
      <w:pPr>
        <w:pStyle w:val="Numbering2"/>
        <w:numPr>
          <w:ilvl w:val="1"/>
          <w:numId w:val="46"/>
        </w:numPr>
        <w:rPr>
          <w:rFonts w:asciiTheme="minorHAnsi" w:hAnsiTheme="minorHAnsi" w:cstheme="minorHAnsi"/>
        </w:rPr>
      </w:pPr>
      <w:r>
        <w:rPr>
          <w:rFonts w:asciiTheme="minorHAnsi" w:hAnsiTheme="minorHAnsi"/>
          <w:lang w:val="ro"/>
        </w:rPr>
        <w:t xml:space="preserve">decizia tuturor OTS-urilor: se supune aprobării tuturor OTS-urilor în temeiul principiilor de vot prevăzute la articolul 4 (3) din EB GL, unde termenul „toate OTS-urile” include atât toate OTS-urile membre, cât și toate OTS-urile non-membre în cadrul </w:t>
      </w:r>
      <w:r>
        <w:rPr>
          <w:lang w:val="ro"/>
        </w:rPr>
        <w:t>comitetului director</w:t>
      </w:r>
      <w:r>
        <w:rPr>
          <w:rFonts w:asciiTheme="minorHAnsi" w:hAnsiTheme="minorHAnsi"/>
          <w:lang w:val="ro"/>
        </w:rPr>
        <w:t xml:space="preserve"> al Platformei mRRF iar acest proces decizional este independent de procesul decizional al OTS-ului membru.</w:t>
      </w:r>
    </w:p>
    <w:p w:rsidR="00113043" w:rsidRPr="00362616" w:rsidRDefault="00113043" w:rsidP="00FC69DE">
      <w:pPr>
        <w:pStyle w:val="Numbering"/>
        <w:numPr>
          <w:ilvl w:val="0"/>
          <w:numId w:val="29"/>
        </w:numPr>
        <w:ind w:left="567" w:hanging="567"/>
      </w:pPr>
      <w:r>
        <w:rPr>
          <w:lang w:val="ro"/>
        </w:rPr>
        <w:t>Deciziile care privesc Platforma mRRF și care nu duc la o propunere de modificare a prezentei mRRF-IF sau a metodologiilor aprobate în temeiul articolelor 29, 30 sau 50 din EB GL privitoare la mRRF dar care afectează toate OTS-urile membre, se supun aprobării tuturor OTS-urilor membre.</w:t>
      </w:r>
    </w:p>
    <w:p w:rsidR="00113043" w:rsidRDefault="00113043" w:rsidP="00FC69DE">
      <w:pPr>
        <w:pStyle w:val="Numbering"/>
        <w:numPr>
          <w:ilvl w:val="0"/>
          <w:numId w:val="29"/>
        </w:numPr>
        <w:ind w:left="567" w:hanging="567"/>
      </w:pPr>
      <w:r>
        <w:rPr>
          <w:lang w:val="ro"/>
        </w:rPr>
        <w:t>Deciziile care privesc Platforma mRRF și care nu duc la o propunere de modificare a prezentei mRRF-IF, ci afectează doar o zonă geografică a anumitor OTS-uri membre, mai mică decât zona geografică a tuturor OTS-urilor membre, se supun aprobării OTS-urilor membre din regiunea în cauză.</w:t>
      </w:r>
    </w:p>
    <w:p w:rsidR="00113043" w:rsidRPr="00051FD5" w:rsidRDefault="00113043" w:rsidP="00FC69DE">
      <w:pPr>
        <w:pStyle w:val="Numbering"/>
        <w:numPr>
          <w:ilvl w:val="0"/>
          <w:numId w:val="29"/>
        </w:numPr>
        <w:ind w:left="567" w:hanging="567"/>
      </w:pPr>
      <w:r>
        <w:rPr>
          <w:lang w:val="ro"/>
        </w:rPr>
        <w:t>În cazul deciziilor în conformitate cu articolele 14 (1) (a), 14 (2) și 14 (3) din prezenta mRRF-IF, fiecare OTS membru din regiunea în cauză este așteptat să participe la procesul decizional. Cvorumul pentru inițierea unui proces decizional este majoritatea (50%+1) OTS-urilor membre care sunt prezente sau reprezentate printr-un alt OTS membru care participă la procesul decizional.</w:t>
      </w:r>
    </w:p>
    <w:p w:rsidR="00113043" w:rsidRPr="00362616" w:rsidRDefault="00113043" w:rsidP="00FC69DE">
      <w:pPr>
        <w:pStyle w:val="Numbering"/>
        <w:numPr>
          <w:ilvl w:val="0"/>
          <w:numId w:val="29"/>
        </w:numPr>
        <w:ind w:left="567" w:hanging="567"/>
      </w:pPr>
      <w:r>
        <w:rPr>
          <w:lang w:val="ro"/>
        </w:rPr>
        <w:t>OTS-urile membre implementează un proces decizional care asigură luarea eficientă a deciziilor cu scopul de a ajunge la decizii unanime. În cazurile în care nu se poate ajunge la o decizie unanimă, se aplică votul cu majoritate calificată.</w:t>
      </w:r>
    </w:p>
    <w:p w:rsidR="00113043" w:rsidRPr="00362616" w:rsidRDefault="00113043" w:rsidP="00FC69DE">
      <w:pPr>
        <w:pStyle w:val="Numbering"/>
        <w:numPr>
          <w:ilvl w:val="0"/>
          <w:numId w:val="29"/>
        </w:numPr>
        <w:ind w:left="567" w:hanging="567"/>
      </w:pPr>
      <w:r>
        <w:rPr>
          <w:lang w:val="ro"/>
        </w:rPr>
        <w:t>În temeiul principiilor de vot prevăzute la articolul 4 (3) din EB GL, deciziile în conformitate cu articolele 14 (1) (a) și 14 (2) din prezenta mRRF-IF, unde nu se ajunge la un consens, necesită o majoritate a:</w:t>
      </w:r>
    </w:p>
    <w:p w:rsidR="00113043" w:rsidRPr="00492EB0" w:rsidRDefault="00113043" w:rsidP="00FC69DE">
      <w:pPr>
        <w:pStyle w:val="Numbering2"/>
        <w:numPr>
          <w:ilvl w:val="1"/>
          <w:numId w:val="47"/>
        </w:numPr>
        <w:rPr>
          <w:rFonts w:asciiTheme="minorHAnsi" w:hAnsiTheme="minorHAnsi" w:cstheme="minorHAnsi"/>
        </w:rPr>
      </w:pPr>
      <w:r>
        <w:rPr>
          <w:rFonts w:asciiTheme="minorHAnsi" w:hAnsiTheme="minorHAnsi" w:cstheme="minorHAnsi"/>
          <w:lang w:val="ro"/>
        </w:rPr>
        <w:t xml:space="preserve">OTS-urilor membre, reprezentând cel puțin 55% dintre statele OTS-urilor în cauză, prezente sau reprezentate </w:t>
      </w:r>
      <w:bookmarkStart w:id="148" w:name="_Hlk531122817"/>
      <w:r>
        <w:rPr>
          <w:rFonts w:asciiTheme="minorHAnsi" w:hAnsiTheme="minorHAnsi" w:cstheme="minorHAnsi"/>
          <w:lang w:val="ro"/>
        </w:rPr>
        <w:t>în conformitate cu articolul 14 (4) din prezenta mRRF-IF</w:t>
      </w:r>
      <w:bookmarkEnd w:id="148"/>
      <w:r>
        <w:rPr>
          <w:rFonts w:asciiTheme="minorHAnsi" w:hAnsiTheme="minorHAnsi" w:cstheme="minorHAnsi"/>
          <w:lang w:val="ro"/>
        </w:rPr>
        <w:t>; și</w:t>
      </w:r>
    </w:p>
    <w:p w:rsidR="00113043" w:rsidRPr="00362616" w:rsidRDefault="00113043" w:rsidP="00FC69DE">
      <w:pPr>
        <w:pStyle w:val="Numbering2"/>
        <w:numPr>
          <w:ilvl w:val="1"/>
          <w:numId w:val="47"/>
        </w:numPr>
        <w:rPr>
          <w:rFonts w:asciiTheme="minorHAnsi" w:hAnsiTheme="minorHAnsi" w:cstheme="minorHAnsi"/>
        </w:rPr>
      </w:pPr>
      <w:r>
        <w:rPr>
          <w:rFonts w:asciiTheme="minorHAnsi" w:hAnsiTheme="minorHAnsi" w:cstheme="minorHAnsi"/>
          <w:lang w:val="ro"/>
        </w:rPr>
        <w:t>OTS-urilor membre, reprezentând statele care cuprind cel puțin 65% din populația statelor în cauză, prezente sau reprezentate în conformitate cu articolul 14 (4) din prezenta mRRF-IF.</w:t>
      </w:r>
    </w:p>
    <w:p w:rsidR="00113043" w:rsidRPr="00362616" w:rsidRDefault="00113043" w:rsidP="00FC69DE">
      <w:pPr>
        <w:pStyle w:val="Numbering"/>
        <w:numPr>
          <w:ilvl w:val="0"/>
          <w:numId w:val="29"/>
        </w:numPr>
        <w:ind w:left="567" w:hanging="567"/>
      </w:pPr>
      <w:r>
        <w:rPr>
          <w:lang w:val="ro"/>
        </w:rPr>
        <w:t xml:space="preserve">În temeiul principiilor de vot prevăzute la articolul 4 (4) din EB GL, deciziile în conformitate cu articolul 14 (3), </w:t>
      </w:r>
      <w:bookmarkStart w:id="149" w:name="_Hlk527725868"/>
      <w:r>
        <w:rPr>
          <w:lang w:val="ro"/>
        </w:rPr>
        <w:t>unde nu se ajunge la un consens</w:t>
      </w:r>
      <w:bookmarkEnd w:id="149"/>
      <w:r>
        <w:rPr>
          <w:lang w:val="ro"/>
        </w:rPr>
        <w:t>, necesită o majoritate a:</w:t>
      </w:r>
    </w:p>
    <w:p w:rsidR="00113043" w:rsidRPr="00492EB0" w:rsidRDefault="00113043" w:rsidP="00FC69DE">
      <w:pPr>
        <w:pStyle w:val="Numbering2"/>
        <w:numPr>
          <w:ilvl w:val="1"/>
          <w:numId w:val="48"/>
        </w:numPr>
        <w:rPr>
          <w:rFonts w:asciiTheme="minorHAnsi" w:hAnsiTheme="minorHAnsi" w:cstheme="minorHAnsi"/>
        </w:rPr>
      </w:pPr>
      <w:r>
        <w:rPr>
          <w:rFonts w:asciiTheme="minorHAnsi" w:hAnsiTheme="minorHAnsi" w:cstheme="minorHAnsi"/>
          <w:lang w:val="ro"/>
        </w:rPr>
        <w:t>OTS-urilor membre, reprezentând cel puțin 72% dintre statele OTS-urilor din regiunea în cauză, prezente sau reprezentate în conformitate cu articolul 14 (4); și</w:t>
      </w:r>
    </w:p>
    <w:p w:rsidR="00113043" w:rsidRPr="00362616" w:rsidRDefault="00113043" w:rsidP="00FC69DE">
      <w:pPr>
        <w:pStyle w:val="Numbering2"/>
        <w:numPr>
          <w:ilvl w:val="1"/>
          <w:numId w:val="48"/>
        </w:numPr>
        <w:rPr>
          <w:rFonts w:asciiTheme="minorHAnsi" w:hAnsiTheme="minorHAnsi" w:cstheme="minorHAnsi"/>
        </w:rPr>
      </w:pPr>
      <w:r>
        <w:rPr>
          <w:rFonts w:asciiTheme="minorHAnsi" w:hAnsiTheme="minorHAnsi" w:cstheme="minorHAnsi"/>
          <w:lang w:val="ro"/>
        </w:rPr>
        <w:t>OTS-urilor membre, reprezentând statele care cuprind cel puțin 65% din populația statelor OTS-urilor membre din regiunea în cauză, prezente sau reprezentate în conformitate cu articolul 14 (4).</w:t>
      </w:r>
    </w:p>
    <w:p w:rsidR="00113043" w:rsidRPr="00362616" w:rsidRDefault="00113043" w:rsidP="00FC69DE">
      <w:pPr>
        <w:pStyle w:val="Numbering"/>
        <w:numPr>
          <w:ilvl w:val="0"/>
          <w:numId w:val="29"/>
        </w:numPr>
        <w:ind w:left="567" w:hanging="567"/>
      </w:pPr>
      <w:r>
        <w:rPr>
          <w:lang w:val="ro"/>
        </w:rPr>
        <w:lastRenderedPageBreak/>
        <w:t>Deciziile în conformitate cu articolul 14 (3) cu privire la regiunile în cauză compuse din cel mult cinci țări se iau în baza consensului.</w:t>
      </w:r>
    </w:p>
    <w:p w:rsidR="00113043" w:rsidRPr="00362616" w:rsidRDefault="00113043" w:rsidP="00FC69DE">
      <w:pPr>
        <w:pStyle w:val="Numbering"/>
        <w:numPr>
          <w:ilvl w:val="0"/>
          <w:numId w:val="29"/>
        </w:numPr>
        <w:ind w:left="567" w:hanging="567"/>
      </w:pPr>
      <w:r>
        <w:rPr>
          <w:lang w:val="ro"/>
        </w:rPr>
        <w:t>Votul asupra deciziilor comitetului director se poate exprima atât în cadrul întrunirilor fizice, cât și prin intermediul teleconferințelor sau deciziilor circulare prin e-mail.</w:t>
      </w:r>
    </w:p>
    <w:p w:rsidR="00DC14F2" w:rsidRPr="00362616" w:rsidRDefault="00DC14F2" w:rsidP="00BE1E80">
      <w:pPr>
        <w:pStyle w:val="textenumeration"/>
        <w:ind w:left="357" w:hanging="357"/>
        <w:contextualSpacing/>
        <w:jc w:val="center"/>
      </w:pPr>
    </w:p>
    <w:p w:rsidR="00660893" w:rsidRPr="00362616" w:rsidRDefault="00660893" w:rsidP="00906E81">
      <w:pPr>
        <w:spacing w:after="120" w:line="260" w:lineRule="exact"/>
        <w:jc w:val="center"/>
        <w:outlineLvl w:val="1"/>
        <w:rPr>
          <w:rFonts w:ascii="Times New Roman" w:hAnsi="Times New Roman" w:cs="Arial"/>
          <w:b/>
          <w:color w:val="23236E"/>
          <w:sz w:val="24"/>
        </w:rPr>
      </w:pPr>
      <w:bookmarkStart w:id="150" w:name="_Toc509331500"/>
      <w:bookmarkStart w:id="151" w:name="_Toc531122456"/>
      <w:bookmarkStart w:id="152" w:name="_Toc531123810"/>
      <w:bookmarkStart w:id="153" w:name="_Toc532893403"/>
      <w:r>
        <w:rPr>
          <w:rFonts w:ascii="Times New Roman" w:hAnsi="Times New Roman" w:cs="Arial"/>
          <w:b/>
          <w:bCs/>
          <w:color w:val="23236E"/>
          <w:sz w:val="24"/>
          <w:lang w:val="ro"/>
        </w:rPr>
        <w:t>Articolul 15</w:t>
      </w:r>
      <w:r>
        <w:rPr>
          <w:rFonts w:ascii="Times New Roman" w:hAnsi="Times New Roman" w:cs="Arial"/>
          <w:color w:val="23236E"/>
          <w:sz w:val="24"/>
          <w:lang w:val="ro"/>
        </w:rPr>
        <w:br/>
      </w:r>
      <w:r>
        <w:rPr>
          <w:rFonts w:ascii="Times New Roman" w:hAnsi="Times New Roman" w:cs="Arial"/>
          <w:b/>
          <w:bCs/>
          <w:color w:val="23236E"/>
          <w:sz w:val="24"/>
          <w:lang w:val="ro"/>
        </w:rPr>
        <w:t>Categorisirea costurilor și principiilor detaliate pentru repartizarea costurilor comune și regionale</w:t>
      </w:r>
      <w:bookmarkEnd w:id="150"/>
      <w:bookmarkEnd w:id="151"/>
      <w:bookmarkEnd w:id="152"/>
      <w:bookmarkEnd w:id="153"/>
    </w:p>
    <w:p w:rsidR="00113043" w:rsidRPr="00362616" w:rsidRDefault="00113043" w:rsidP="00FC69DE">
      <w:pPr>
        <w:pStyle w:val="Numbering"/>
        <w:numPr>
          <w:ilvl w:val="0"/>
          <w:numId w:val="30"/>
        </w:numPr>
        <w:ind w:left="567" w:hanging="567"/>
      </w:pPr>
      <w:r>
        <w:rPr>
          <w:lang w:val="ro"/>
        </w:rPr>
        <w:t>Costurile de stabilire, modificare și operare a Platformei mRRF trebuie defalcate după cum urmează:</w:t>
      </w:r>
    </w:p>
    <w:p w:rsidR="00113043" w:rsidRPr="00362616" w:rsidRDefault="00113043" w:rsidP="00FC69DE">
      <w:pPr>
        <w:pStyle w:val="Numbering2"/>
        <w:numPr>
          <w:ilvl w:val="1"/>
          <w:numId w:val="49"/>
        </w:numPr>
      </w:pPr>
      <w:r>
        <w:rPr>
          <w:lang w:val="ro"/>
        </w:rPr>
        <w:t>costuri comune care rezultă din activitățile coordonate ale tuturor OTS-urilor membre în Platforma mRRF;</w:t>
      </w:r>
    </w:p>
    <w:p w:rsidR="00113043" w:rsidRPr="00362616" w:rsidRDefault="00113043" w:rsidP="00FC69DE">
      <w:pPr>
        <w:pStyle w:val="Numbering2"/>
        <w:numPr>
          <w:ilvl w:val="1"/>
          <w:numId w:val="49"/>
        </w:numPr>
      </w:pPr>
      <w:r>
        <w:rPr>
          <w:lang w:val="ro"/>
        </w:rPr>
        <w:t>costuri regionale care rezultă din activitățile mai multor, dar nu tuturor OTS-urilor membre în Platforma mRRF;</w:t>
      </w:r>
    </w:p>
    <w:p w:rsidR="00113043" w:rsidRPr="00362616" w:rsidRDefault="00113043" w:rsidP="00FC69DE">
      <w:pPr>
        <w:pStyle w:val="Numbering2"/>
        <w:numPr>
          <w:ilvl w:val="1"/>
          <w:numId w:val="49"/>
        </w:numPr>
      </w:pPr>
      <w:r>
        <w:rPr>
          <w:lang w:val="ro"/>
        </w:rPr>
        <w:t>costuri naționale care rezultă din activitățile OTS-urilor participante la Platforma mRRF.</w:t>
      </w:r>
    </w:p>
    <w:p w:rsidR="00113043" w:rsidRPr="00362616" w:rsidRDefault="00113043" w:rsidP="00FC69DE">
      <w:pPr>
        <w:pStyle w:val="Numbering"/>
        <w:numPr>
          <w:ilvl w:val="0"/>
          <w:numId w:val="30"/>
        </w:numPr>
        <w:ind w:left="567" w:hanging="567"/>
      </w:pPr>
      <w:r>
        <w:rPr>
          <w:lang w:val="ro"/>
        </w:rPr>
        <w:t>Costurile comune includ costurile care rezultă din deciziile comitetului director cu privire la propunerile legate de:</w:t>
      </w:r>
    </w:p>
    <w:p w:rsidR="00113043" w:rsidRPr="00362616" w:rsidRDefault="00113043" w:rsidP="00FC69DE">
      <w:pPr>
        <w:pStyle w:val="Numbering2"/>
        <w:numPr>
          <w:ilvl w:val="1"/>
          <w:numId w:val="31"/>
        </w:numPr>
      </w:pPr>
      <w:r>
        <w:rPr>
          <w:lang w:val="ro"/>
        </w:rPr>
        <w:t>costurile comune pentru stabilirea sau modificarea Platformei mRRF:</w:t>
      </w:r>
    </w:p>
    <w:p w:rsidR="00113043" w:rsidRPr="00362616" w:rsidRDefault="00113043" w:rsidP="00FC69DE">
      <w:pPr>
        <w:pStyle w:val="Numbering2"/>
        <w:numPr>
          <w:ilvl w:val="1"/>
          <w:numId w:val="22"/>
        </w:numPr>
      </w:pPr>
      <w:r>
        <w:rPr>
          <w:lang w:val="ro"/>
        </w:rPr>
        <w:t>implementarea Platformei mRRF sau a noilor funcționalități în funcția de optimizare a activării care au un impact asupra schimburilor planificate sau neplanificate de energie și care sunt în beneficiul tuturor OTS-urilor membre;</w:t>
      </w:r>
    </w:p>
    <w:p w:rsidR="00113043" w:rsidRPr="00362616" w:rsidRDefault="00113043" w:rsidP="00FC69DE">
      <w:pPr>
        <w:pStyle w:val="Numbering2"/>
        <w:numPr>
          <w:ilvl w:val="1"/>
          <w:numId w:val="22"/>
        </w:numPr>
      </w:pPr>
      <w:r>
        <w:rPr>
          <w:lang w:val="ro"/>
        </w:rPr>
        <w:t>implementarea noilor funcționalități în funcția de decontare OTS-OTS care au un impact asupra decontării OTS-OTS;</w:t>
      </w:r>
    </w:p>
    <w:p w:rsidR="00113043" w:rsidRPr="00362616" w:rsidRDefault="00113043" w:rsidP="00FC69DE">
      <w:pPr>
        <w:pStyle w:val="Numbering2"/>
        <w:numPr>
          <w:ilvl w:val="1"/>
          <w:numId w:val="22"/>
        </w:numPr>
      </w:pPr>
      <w:r>
        <w:rPr>
          <w:lang w:val="ro"/>
        </w:rPr>
        <w:t>comandarea studiilor comune în beneficiul tuturor OTS-urilor membre;</w:t>
      </w:r>
    </w:p>
    <w:p w:rsidR="00113043" w:rsidRPr="00362616" w:rsidRDefault="00113043" w:rsidP="00FC69DE">
      <w:pPr>
        <w:pStyle w:val="Numbering2"/>
        <w:numPr>
          <w:ilvl w:val="1"/>
          <w:numId w:val="22"/>
        </w:numPr>
      </w:pPr>
      <w:r>
        <w:rPr>
          <w:lang w:val="ro"/>
        </w:rPr>
        <w:t>costuri aferente asistenței externe a proiectului și costurile aferente biroului de gestionare a proiectelor.</w:t>
      </w:r>
    </w:p>
    <w:p w:rsidR="00113043" w:rsidRPr="00362616" w:rsidRDefault="00113043" w:rsidP="00FC69DE">
      <w:pPr>
        <w:pStyle w:val="Numbering2"/>
        <w:numPr>
          <w:ilvl w:val="1"/>
          <w:numId w:val="31"/>
        </w:numPr>
      </w:pPr>
      <w:bookmarkStart w:id="154" w:name="_Hlk531165463"/>
      <w:r>
        <w:rPr>
          <w:lang w:val="ro"/>
        </w:rPr>
        <w:t>costurile comune pentru operarea Platformei mRRF:</w:t>
      </w:r>
    </w:p>
    <w:bookmarkEnd w:id="154"/>
    <w:p w:rsidR="00113043" w:rsidRPr="00362616" w:rsidRDefault="00113043" w:rsidP="00FC69DE">
      <w:pPr>
        <w:pStyle w:val="Numbering2"/>
        <w:numPr>
          <w:ilvl w:val="0"/>
          <w:numId w:val="17"/>
        </w:numPr>
      </w:pPr>
      <w:r>
        <w:rPr>
          <w:lang w:val="ro"/>
        </w:rPr>
        <w:t>costuri operaționale legate de operarea funcției de optimizare a activării care sunt convenite drept costuri comune de către OTS-urile membre, conform procesului decizional în conformitate cu articolul 14 din prezenta mRRF-IF;</w:t>
      </w:r>
    </w:p>
    <w:p w:rsidR="00113043" w:rsidRPr="00362616" w:rsidRDefault="00113043" w:rsidP="00FC69DE">
      <w:pPr>
        <w:pStyle w:val="Numbering2"/>
        <w:numPr>
          <w:ilvl w:val="0"/>
          <w:numId w:val="17"/>
        </w:numPr>
      </w:pPr>
      <w:r>
        <w:rPr>
          <w:lang w:val="ro"/>
        </w:rPr>
        <w:t>costuri operaționale legate de operarea funcției de decontare OTS-OTS care sunt convenite drept costuri comune de către OTS-urile membre, conform procesului decizional în conformitate cu articolul 14 din prezenta mRRF-IF.</w:t>
      </w:r>
    </w:p>
    <w:p w:rsidR="00113043" w:rsidRDefault="00113043" w:rsidP="00FC69DE">
      <w:pPr>
        <w:pStyle w:val="Numbering"/>
        <w:numPr>
          <w:ilvl w:val="0"/>
          <w:numId w:val="30"/>
        </w:numPr>
        <w:ind w:left="567" w:hanging="567"/>
      </w:pPr>
      <w:r>
        <w:rPr>
          <w:lang w:val="ro"/>
        </w:rPr>
        <w:t>Costurile comune pentru stabilirea sau modificarea Platformei mRRF în conformitate cu articolul 15 (2) (a) din prezenta mRRF-IF se repartizează în rândul OTS-urilor membre în conformitate cu articolul 15 (15) din prezenta mRRF-IF și în conformitate cu următoarele principii prevăzute de articolul 23 din EB GL:</w:t>
      </w:r>
    </w:p>
    <w:p w:rsidR="00113043" w:rsidRPr="00AC7FBF" w:rsidRDefault="00113043" w:rsidP="00FC69DE">
      <w:pPr>
        <w:pStyle w:val="Numbering"/>
        <w:numPr>
          <w:ilvl w:val="1"/>
          <w:numId w:val="10"/>
        </w:numPr>
        <w:spacing w:line="259" w:lineRule="auto"/>
      </w:pPr>
      <w:r>
        <w:rPr>
          <w:lang w:val="ro"/>
        </w:rPr>
        <w:t xml:space="preserve">o optime din costurile comune se împarte în mod egal între statele ale căror OTS-uri sunt OTS-uri membre; </w:t>
      </w:r>
    </w:p>
    <w:p w:rsidR="00113043" w:rsidRPr="00AC7FBF" w:rsidRDefault="00113043" w:rsidP="00FC69DE">
      <w:pPr>
        <w:pStyle w:val="Numbering"/>
        <w:numPr>
          <w:ilvl w:val="1"/>
          <w:numId w:val="10"/>
        </w:numPr>
        <w:spacing w:line="259" w:lineRule="auto"/>
      </w:pPr>
      <w:r>
        <w:rPr>
          <w:lang w:val="ro"/>
        </w:rPr>
        <w:t xml:space="preserve">cinci optimi din costurile comune se împart în mod proporțional la consumul statelor ale căror OTS-uri sunt OTS-uri membre; </w:t>
      </w:r>
    </w:p>
    <w:p w:rsidR="00113043" w:rsidRDefault="00113043" w:rsidP="00FC69DE">
      <w:pPr>
        <w:pStyle w:val="Numbering"/>
        <w:numPr>
          <w:ilvl w:val="1"/>
          <w:numId w:val="10"/>
        </w:numPr>
        <w:spacing w:line="259" w:lineRule="auto"/>
      </w:pPr>
      <w:r>
        <w:rPr>
          <w:lang w:val="ro"/>
        </w:rPr>
        <w:lastRenderedPageBreak/>
        <w:t>două optimi din costurile comune se împart în mod egal între OTS-urile membre.</w:t>
      </w:r>
    </w:p>
    <w:p w:rsidR="0029240A" w:rsidRPr="00EE528E" w:rsidRDefault="0029240A" w:rsidP="00FC69DE">
      <w:pPr>
        <w:pStyle w:val="Numbering"/>
        <w:numPr>
          <w:ilvl w:val="0"/>
          <w:numId w:val="10"/>
        </w:numPr>
      </w:pPr>
      <w:r>
        <w:rPr>
          <w:lang w:val="ro"/>
        </w:rPr>
        <w:t>Costurile comune de operare a Platformei mRRF în conformitate cu articolele 15 (2) (b) și 15 (5) din prezenta mRRF-IF nu sunt suportate de OTS-urile membre care nu au calitatea de OTS-uri participante la Platforma mRRF.</w:t>
      </w:r>
    </w:p>
    <w:p w:rsidR="00113043" w:rsidRDefault="00113043" w:rsidP="00FC69DE">
      <w:pPr>
        <w:pStyle w:val="Numbering"/>
        <w:numPr>
          <w:ilvl w:val="0"/>
          <w:numId w:val="10"/>
        </w:numPr>
      </w:pPr>
      <w:r>
        <w:rPr>
          <w:lang w:val="ro"/>
        </w:rPr>
        <w:t>Costurile comune pentru operarea Platformei mRRF în conformitate cu articolul 15 (2) (b) din prezenta mRRF-IF se repartizează în rândul OTS-urilor participante în conformitate cu articolul 15 (17) din prezenta mRRF-IF și în conformitate cu următoarele principii prevăzute de articolul 23 din EB GL:</w:t>
      </w:r>
    </w:p>
    <w:p w:rsidR="00113043" w:rsidRDefault="00113043" w:rsidP="00FC69DE">
      <w:pPr>
        <w:pStyle w:val="Numbering"/>
        <w:numPr>
          <w:ilvl w:val="1"/>
          <w:numId w:val="10"/>
        </w:numPr>
        <w:spacing w:line="259" w:lineRule="auto"/>
      </w:pPr>
      <w:r>
        <w:rPr>
          <w:lang w:val="ro"/>
        </w:rPr>
        <w:t xml:space="preserve">o optime din costurile comune se împarte în mod egal între statele ale căror OTS-uri sunt OTS-uri participante; </w:t>
      </w:r>
    </w:p>
    <w:p w:rsidR="00113043" w:rsidRDefault="00113043" w:rsidP="00FC69DE">
      <w:pPr>
        <w:pStyle w:val="Numbering"/>
        <w:numPr>
          <w:ilvl w:val="1"/>
          <w:numId w:val="10"/>
        </w:numPr>
        <w:spacing w:line="259" w:lineRule="auto"/>
      </w:pPr>
      <w:r>
        <w:rPr>
          <w:lang w:val="ro"/>
        </w:rPr>
        <w:t xml:space="preserve">cinci optimi din costurile comune se împart în mod proporțional la consumul statelor ale căror OTS-uri sunt OTS-uri participante; </w:t>
      </w:r>
    </w:p>
    <w:p w:rsidR="00113043" w:rsidRDefault="00113043" w:rsidP="00FC69DE">
      <w:pPr>
        <w:pStyle w:val="Numbering"/>
        <w:numPr>
          <w:ilvl w:val="1"/>
          <w:numId w:val="10"/>
        </w:numPr>
        <w:spacing w:line="259" w:lineRule="auto"/>
      </w:pPr>
      <w:r>
        <w:rPr>
          <w:lang w:val="ro"/>
        </w:rPr>
        <w:t>două optimi din costurile comune se împart în mod egal între OTS-urile participante.</w:t>
      </w:r>
    </w:p>
    <w:p w:rsidR="00113043" w:rsidRPr="00362616" w:rsidRDefault="00113043" w:rsidP="00FC69DE">
      <w:pPr>
        <w:pStyle w:val="Numbering"/>
        <w:numPr>
          <w:ilvl w:val="0"/>
          <w:numId w:val="10"/>
        </w:numPr>
        <w:ind w:left="567" w:hanging="567"/>
      </w:pPr>
      <w:r>
        <w:rPr>
          <w:lang w:val="ro"/>
        </w:rPr>
        <w:t>Costurile regionale sunt suportate de către OTS-urile membre din regiunea în cauză și constau din:</w:t>
      </w:r>
    </w:p>
    <w:p w:rsidR="00113043" w:rsidRPr="00362616" w:rsidRDefault="00113043" w:rsidP="00FC69DE">
      <w:pPr>
        <w:pStyle w:val="Numbering2"/>
        <w:numPr>
          <w:ilvl w:val="1"/>
          <w:numId w:val="57"/>
        </w:numPr>
      </w:pPr>
      <w:r>
        <w:rPr>
          <w:lang w:val="ro"/>
        </w:rPr>
        <w:t>costuri regionale pentru stabilirea sau modificarea Platformei mRRF:</w:t>
      </w:r>
    </w:p>
    <w:p w:rsidR="00113043" w:rsidRPr="00362616" w:rsidRDefault="00113043" w:rsidP="00FC69DE">
      <w:pPr>
        <w:pStyle w:val="Numbering2"/>
        <w:numPr>
          <w:ilvl w:val="0"/>
          <w:numId w:val="14"/>
        </w:numPr>
      </w:pPr>
      <w:r>
        <w:rPr>
          <w:lang w:val="ro"/>
        </w:rPr>
        <w:t>implementarea noilor funcționalități în funcția de optimizare a activării care au un impact asupra schimburilor planificate sau neplanificate de energie și care sunt aplicabile doar de către OTS-urile membre din regiunea în cauză;</w:t>
      </w:r>
    </w:p>
    <w:p w:rsidR="00113043" w:rsidRPr="00362616" w:rsidRDefault="00113043" w:rsidP="00FC69DE">
      <w:pPr>
        <w:pStyle w:val="Numbering2"/>
        <w:numPr>
          <w:ilvl w:val="0"/>
          <w:numId w:val="14"/>
        </w:numPr>
      </w:pPr>
      <w:r>
        <w:rPr>
          <w:lang w:val="ro"/>
        </w:rPr>
        <w:t>implementarea noilor funcționalități în funcția de decontare OTS-OTS care au un impact asupra decontării OTS-OTS pentru OTS-urile membre din regiunea în cauză;</w:t>
      </w:r>
    </w:p>
    <w:p w:rsidR="00113043" w:rsidRPr="00362616" w:rsidRDefault="00113043" w:rsidP="00FC69DE">
      <w:pPr>
        <w:pStyle w:val="Numbering2"/>
        <w:numPr>
          <w:ilvl w:val="0"/>
          <w:numId w:val="14"/>
        </w:numPr>
      </w:pPr>
      <w:r>
        <w:rPr>
          <w:lang w:val="ro"/>
        </w:rPr>
        <w:t>comandarea studiilor comune realizate pentru OTS-urile membre din regiunea în cauză.</w:t>
      </w:r>
    </w:p>
    <w:p w:rsidR="00113043" w:rsidRPr="00362616" w:rsidRDefault="00113043" w:rsidP="00FC69DE">
      <w:pPr>
        <w:pStyle w:val="Numbering2"/>
        <w:numPr>
          <w:ilvl w:val="1"/>
          <w:numId w:val="57"/>
        </w:numPr>
        <w:ind w:left="851"/>
      </w:pPr>
      <w:r>
        <w:rPr>
          <w:lang w:val="ro"/>
        </w:rPr>
        <w:t>costuri regionale pentru operarea Platformei mRRF:</w:t>
      </w:r>
    </w:p>
    <w:p w:rsidR="00113043" w:rsidRPr="00362616" w:rsidRDefault="00113043" w:rsidP="00FC69DE">
      <w:pPr>
        <w:pStyle w:val="Numbering2"/>
        <w:numPr>
          <w:ilvl w:val="0"/>
          <w:numId w:val="15"/>
        </w:numPr>
      </w:pPr>
      <w:r>
        <w:rPr>
          <w:lang w:val="ro"/>
        </w:rPr>
        <w:t>costuri operaționale legate de operarea funcției de optimizare a activării care sunt convenite drept costuri regionale de către OTS-urile membre, conform procesului decizional al OTS-urilor în conformitate cu articolul 14 din prezenta mRRF-IF;</w:t>
      </w:r>
    </w:p>
    <w:p w:rsidR="00113043" w:rsidRPr="00362616" w:rsidRDefault="00113043" w:rsidP="00FC69DE">
      <w:pPr>
        <w:pStyle w:val="Numbering2"/>
        <w:numPr>
          <w:ilvl w:val="0"/>
          <w:numId w:val="15"/>
        </w:numPr>
        <w:rPr>
          <w:szCs w:val="22"/>
        </w:rPr>
      </w:pPr>
      <w:r>
        <w:rPr>
          <w:lang w:val="ro"/>
        </w:rPr>
        <w:t xml:space="preserve">costuri operaționale legate de operarea funcției de decontare OTS-OTS care sunt convenite drept costuri regionale de către OTS-urile membre, conform procesului decizional în conformitate cu </w:t>
      </w:r>
      <w:r>
        <w:rPr>
          <w:szCs w:val="22"/>
          <w:lang w:val="ro"/>
        </w:rPr>
        <w:t>articolul 14</w:t>
      </w:r>
      <w:r>
        <w:rPr>
          <w:lang w:val="ro"/>
        </w:rPr>
        <w:t xml:space="preserve"> din prezenta mRRF-IF</w:t>
      </w:r>
      <w:r>
        <w:rPr>
          <w:szCs w:val="22"/>
          <w:lang w:val="ro"/>
        </w:rPr>
        <w:t>.</w:t>
      </w:r>
    </w:p>
    <w:p w:rsidR="00113043" w:rsidRDefault="00113043" w:rsidP="00FC69DE">
      <w:pPr>
        <w:pStyle w:val="Numbering"/>
        <w:numPr>
          <w:ilvl w:val="0"/>
          <w:numId w:val="10"/>
        </w:numPr>
        <w:ind w:left="567" w:hanging="567"/>
      </w:pPr>
      <w:r>
        <w:rPr>
          <w:lang w:val="ro"/>
        </w:rPr>
        <w:t>Costurile regionale pentru stabilirea sau modificarea Platformei mRRF în conformitate cu articolul 15 (6) (a) din prezenta mRRF-IF se repartizează în rândul OTS-urilor membre din regiunea în cauză în conformitate cu următoarele principii prevăzute de articolul 23 din EB GL:</w:t>
      </w:r>
    </w:p>
    <w:p w:rsidR="00113043" w:rsidRDefault="00113043" w:rsidP="00FC69DE">
      <w:pPr>
        <w:pStyle w:val="Numbering2"/>
        <w:numPr>
          <w:ilvl w:val="1"/>
          <w:numId w:val="32"/>
        </w:numPr>
      </w:pPr>
      <w:r>
        <w:rPr>
          <w:lang w:val="ro"/>
        </w:rPr>
        <w:t xml:space="preserve">o optime din costurile regionale se împarte în mod egal între statele ale căror OTS-uri sunt OTS-uri membre din regiunea în cauză; </w:t>
      </w:r>
    </w:p>
    <w:p w:rsidR="00113043" w:rsidRDefault="00113043" w:rsidP="00FC69DE">
      <w:pPr>
        <w:pStyle w:val="Numbering2"/>
        <w:numPr>
          <w:ilvl w:val="1"/>
          <w:numId w:val="9"/>
        </w:numPr>
      </w:pPr>
      <w:r>
        <w:rPr>
          <w:lang w:val="ro"/>
        </w:rPr>
        <w:t xml:space="preserve">cinci optimi din costurile regionale se împart în mod proporțional la consumul statelor ale căror OTS-uri sunt OTS-uri membre din regiunea în cauză; </w:t>
      </w:r>
    </w:p>
    <w:p w:rsidR="00113043" w:rsidRDefault="00113043" w:rsidP="00FC69DE">
      <w:pPr>
        <w:pStyle w:val="Numbering2"/>
        <w:numPr>
          <w:ilvl w:val="1"/>
          <w:numId w:val="9"/>
        </w:numPr>
      </w:pPr>
      <w:r>
        <w:rPr>
          <w:lang w:val="ro"/>
        </w:rPr>
        <w:t>două optimi din costurile regionale se împart în mod egal între OTS-urile membre din regiunea în cauză.</w:t>
      </w:r>
    </w:p>
    <w:p w:rsidR="002427DD" w:rsidRPr="00D25346" w:rsidRDefault="002427DD" w:rsidP="00FC69DE">
      <w:pPr>
        <w:pStyle w:val="Numbering"/>
        <w:numPr>
          <w:ilvl w:val="0"/>
          <w:numId w:val="69"/>
        </w:numPr>
      </w:pPr>
      <w:r>
        <w:rPr>
          <w:lang w:val="ro"/>
        </w:rPr>
        <w:t>Costurile regionale de operare a Platformei mRRF în conformitate cu articolul 15 (9) din prezenta mRRF-IF nu sunt suportate de OTS-urile membre care nu au calitatea de OTS-uri participante la Platforma mRRF.</w:t>
      </w:r>
    </w:p>
    <w:p w:rsidR="00113043" w:rsidRDefault="00113043" w:rsidP="00FC69DE">
      <w:pPr>
        <w:pStyle w:val="Numbering"/>
        <w:numPr>
          <w:ilvl w:val="0"/>
          <w:numId w:val="69"/>
        </w:numPr>
        <w:ind w:left="567" w:hanging="567"/>
      </w:pPr>
      <w:r>
        <w:rPr>
          <w:lang w:val="ro"/>
        </w:rPr>
        <w:lastRenderedPageBreak/>
        <w:t>Costurile regionale pentru operarea Platformei mRRF în conformitate cu articolul 15 (6) (b) din prezenta mRRF-IF se repartizează în rândul OTS-urilor participante din regiunea în cauză în conformitate cu articolul 15 (17) din prezenta mRRF-IF și în conformitate cu următoarele principii prevăzute de articolul 23 din EB GL:</w:t>
      </w:r>
    </w:p>
    <w:p w:rsidR="00113043" w:rsidRDefault="00113043" w:rsidP="00FC69DE">
      <w:pPr>
        <w:pStyle w:val="Numbering2"/>
        <w:numPr>
          <w:ilvl w:val="1"/>
          <w:numId w:val="33"/>
        </w:numPr>
      </w:pPr>
      <w:r>
        <w:rPr>
          <w:lang w:val="ro"/>
        </w:rPr>
        <w:t xml:space="preserve">o optime din costurile regionale se împarte în mod egal între statele ale căror OTS-uri sunt OTS-uri participante din regiunea în cauză; </w:t>
      </w:r>
    </w:p>
    <w:p w:rsidR="00113043" w:rsidRDefault="00113043" w:rsidP="00FC69DE">
      <w:pPr>
        <w:pStyle w:val="Numbering2"/>
        <w:numPr>
          <w:ilvl w:val="1"/>
          <w:numId w:val="9"/>
        </w:numPr>
      </w:pPr>
      <w:r>
        <w:rPr>
          <w:lang w:val="ro"/>
        </w:rPr>
        <w:t xml:space="preserve">cinci optimi din costurile regionale se împart în mod proporțional la consumul statelor ale căror OTS-uri sunt OTS-uri participante din regiunea în cauză; </w:t>
      </w:r>
    </w:p>
    <w:p w:rsidR="00113043" w:rsidRDefault="00113043" w:rsidP="00FC69DE">
      <w:pPr>
        <w:pStyle w:val="Numbering2"/>
        <w:numPr>
          <w:ilvl w:val="1"/>
          <w:numId w:val="9"/>
        </w:numPr>
      </w:pPr>
      <w:r>
        <w:rPr>
          <w:lang w:val="ro"/>
        </w:rPr>
        <w:t xml:space="preserve">două optimi din costurile regionale se împart în mod egal între OTS-urile participante din regiunea în cauză. </w:t>
      </w:r>
    </w:p>
    <w:p w:rsidR="00113043" w:rsidRDefault="00113043" w:rsidP="00FC69DE">
      <w:pPr>
        <w:pStyle w:val="Numbering"/>
        <w:numPr>
          <w:ilvl w:val="0"/>
          <w:numId w:val="70"/>
        </w:numPr>
        <w:ind w:left="567" w:hanging="454"/>
      </w:pPr>
      <w:r>
        <w:rPr>
          <w:lang w:val="ro"/>
        </w:rPr>
        <w:t>Costurile naționale sunt costurile pentru utilizarea Platformei mRRF, care constau din costurile pentru dezvoltarea, implementarea, operarea și mentenanța infrastructurii tehnice și a procedurilor, precum și pentru procesul de decontare.</w:t>
      </w:r>
    </w:p>
    <w:p w:rsidR="00113043" w:rsidRPr="00362616" w:rsidRDefault="00113043" w:rsidP="00FC69DE">
      <w:pPr>
        <w:pStyle w:val="Numbering"/>
        <w:numPr>
          <w:ilvl w:val="0"/>
          <w:numId w:val="70"/>
        </w:numPr>
        <w:ind w:left="567" w:hanging="567"/>
      </w:pPr>
      <w:r>
        <w:rPr>
          <w:lang w:val="ro"/>
        </w:rPr>
        <w:t>Fiecare OTS membru suportă propriile costuri naționale și este unicul responsabil (adică se exclude răspunderea comună sau solidară) pentru plata la timp a tuturor costurilor legate de infrastructura tehnică necesară pentru utilizarea cu succes a Platformei mRRF.</w:t>
      </w:r>
    </w:p>
    <w:p w:rsidR="00113043" w:rsidRPr="00362616" w:rsidRDefault="00113043" w:rsidP="00FC69DE">
      <w:pPr>
        <w:pStyle w:val="Numbering"/>
        <w:numPr>
          <w:ilvl w:val="0"/>
          <w:numId w:val="70"/>
        </w:numPr>
        <w:ind w:left="567" w:hanging="567"/>
      </w:pPr>
      <w:r>
        <w:rPr>
          <w:lang w:val="ro"/>
        </w:rPr>
        <w:t xml:space="preserve">Principiul de repartizare a costurilor se poate aplica costurilor survenite după data de 1 ianuarie 2018 și se aplică costurilor survenite după aprobarea prezentei mRRF-IF. </w:t>
      </w:r>
    </w:p>
    <w:p w:rsidR="00113043" w:rsidRPr="00362616" w:rsidRDefault="00113043" w:rsidP="00FC69DE">
      <w:pPr>
        <w:pStyle w:val="Numbering"/>
        <w:numPr>
          <w:ilvl w:val="0"/>
          <w:numId w:val="70"/>
        </w:numPr>
        <w:ind w:left="567" w:hanging="567"/>
      </w:pPr>
      <w:r>
        <w:rPr>
          <w:lang w:val="ro"/>
        </w:rPr>
        <w:t>Pentru a evita orice interpretare, toate OTS-urile convin să nu repartizeze niciun cost survenit înainte de 1 ianuarie 2018. Aceste costuri nu sunt considerate costuri istorice.</w:t>
      </w:r>
    </w:p>
    <w:p w:rsidR="00113043" w:rsidRDefault="00113043" w:rsidP="00FC69DE">
      <w:pPr>
        <w:pStyle w:val="Numbering"/>
        <w:numPr>
          <w:ilvl w:val="0"/>
          <w:numId w:val="70"/>
        </w:numPr>
        <w:ind w:left="567" w:hanging="567"/>
      </w:pPr>
      <w:r>
        <w:rPr>
          <w:lang w:val="ro"/>
        </w:rPr>
        <w:t>Fiecare OTS membru achită cota sa din costuri în temeiul articolelor 15 (2) (a) (i) și 15 (2) (a) (ii) din prezenta mRRF-IF, inclusiv retrospectiv, în conformitate cu articolul 15 (12) din prezenta mRRF-IF.</w:t>
      </w:r>
    </w:p>
    <w:p w:rsidR="00113043" w:rsidRPr="00362616" w:rsidRDefault="00113043" w:rsidP="00FC69DE">
      <w:pPr>
        <w:pStyle w:val="Numbering"/>
        <w:numPr>
          <w:ilvl w:val="0"/>
          <w:numId w:val="70"/>
        </w:numPr>
        <w:ind w:left="567" w:hanging="567"/>
      </w:pPr>
      <w:r>
        <w:rPr>
          <w:lang w:val="ro"/>
        </w:rPr>
        <w:t>La repartizarea costurilor comune și regionale pentru stabilirea și modificarea Platformei mRRF în conformitate cu articolele 15 (3) și 15 (7) din prezenta mRRF-IF, cota din costurile OTS-urilor membre care revine OTS-urilor include doar OTS-urile membre desemnate în convenția de exploatare de zonă RFP drept responsabile pentru implementarea și operarea mPRF în respectiva zonă RFP, în conformitate cu articolul 143 (4) din SO GL. Pentru a evita orice interpretare, OTS-urile membre care nu sunt desemnate drept responsabile pentru implementarea și operarea mPRF nu vor avea obligația de a suporta costurile aferente articolelor 15 (3) (c) și 15 (7) (c) din prezenta mRRF-IF.</w:t>
      </w:r>
    </w:p>
    <w:p w:rsidR="00113043" w:rsidRDefault="00113043" w:rsidP="00FC69DE">
      <w:pPr>
        <w:pStyle w:val="Numbering"/>
        <w:numPr>
          <w:ilvl w:val="0"/>
          <w:numId w:val="70"/>
        </w:numPr>
        <w:ind w:left="567" w:hanging="567"/>
      </w:pPr>
      <w:r>
        <w:rPr>
          <w:lang w:val="ro"/>
        </w:rPr>
        <w:t>În cazul în care într-un stat membru își desfășoară activitatea mai multe OTS-uri membre, partea de costuri care îi revine statului membru în cauză se distribuie între respectivele OTS-uri membre în mod proporțional cu consumul din zonele de monitorizare ale OTS-urilor membre.</w:t>
      </w:r>
    </w:p>
    <w:p w:rsidR="00113043" w:rsidRPr="00362616" w:rsidRDefault="00113043" w:rsidP="00FC69DE">
      <w:pPr>
        <w:pStyle w:val="Numbering"/>
        <w:numPr>
          <w:ilvl w:val="0"/>
          <w:numId w:val="70"/>
        </w:numPr>
        <w:ind w:left="567" w:hanging="567"/>
      </w:pPr>
      <w:r>
        <w:rPr>
          <w:lang w:val="ro"/>
        </w:rPr>
        <w:t xml:space="preserve">La repartizarea costurilor comune și regionale pentru operarea Platformei mRRF în conformitate cu articolele 15 (5) și 15 (9) din prezenta mRRF-IF, cota de consum din costurile unui OTS participant include consumul OTS-urilor membre care au desemnat OTS-ul participant să realizeze mPRF în conformitate cu articolul 143 (4) din SO GL. </w:t>
      </w:r>
    </w:p>
    <w:p w:rsidR="00DE38F5" w:rsidRDefault="00DE38F5" w:rsidP="00BE1E80">
      <w:pPr>
        <w:pStyle w:val="textenumeration"/>
        <w:ind w:left="357" w:hanging="357"/>
        <w:contextualSpacing/>
        <w:jc w:val="center"/>
      </w:pPr>
    </w:p>
    <w:p w:rsidR="00165EC1" w:rsidRDefault="00165EC1" w:rsidP="00BE1E80">
      <w:pPr>
        <w:pStyle w:val="textenumeration"/>
        <w:ind w:left="357" w:hanging="357"/>
        <w:contextualSpacing/>
        <w:jc w:val="center"/>
      </w:pPr>
    </w:p>
    <w:p w:rsidR="00165EC1" w:rsidRDefault="00165EC1" w:rsidP="00BE1E80">
      <w:pPr>
        <w:pStyle w:val="textenumeration"/>
        <w:ind w:left="357" w:hanging="357"/>
        <w:contextualSpacing/>
        <w:jc w:val="center"/>
      </w:pPr>
    </w:p>
    <w:p w:rsidR="00165EC1" w:rsidRDefault="00165EC1" w:rsidP="00BE1E80">
      <w:pPr>
        <w:pStyle w:val="textenumeration"/>
        <w:ind w:left="357" w:hanging="357"/>
        <w:contextualSpacing/>
        <w:jc w:val="center"/>
      </w:pPr>
    </w:p>
    <w:p w:rsidR="00165EC1" w:rsidRPr="00362616" w:rsidRDefault="00165EC1" w:rsidP="00BE1E80">
      <w:pPr>
        <w:pStyle w:val="textenumeration"/>
        <w:ind w:left="357" w:hanging="357"/>
        <w:contextualSpacing/>
        <w:jc w:val="center"/>
      </w:pPr>
    </w:p>
    <w:p w:rsidR="00280842" w:rsidRPr="00362616" w:rsidRDefault="00D72BDD" w:rsidP="000564D4">
      <w:pPr>
        <w:spacing w:after="120" w:line="260" w:lineRule="exact"/>
        <w:jc w:val="center"/>
        <w:outlineLvl w:val="1"/>
        <w:rPr>
          <w:rFonts w:ascii="Times New Roman" w:hAnsi="Times New Roman" w:cs="Arial"/>
          <w:b/>
          <w:color w:val="23236E"/>
          <w:sz w:val="24"/>
        </w:rPr>
      </w:pPr>
      <w:bookmarkStart w:id="155" w:name="_Toc509331501"/>
      <w:bookmarkStart w:id="156" w:name="_Toc531122457"/>
      <w:bookmarkStart w:id="157" w:name="_Toc531123811"/>
      <w:bookmarkStart w:id="158" w:name="_Toc532893404"/>
      <w:r>
        <w:rPr>
          <w:rFonts w:ascii="Times New Roman" w:hAnsi="Times New Roman" w:cs="Arial"/>
          <w:b/>
          <w:bCs/>
          <w:color w:val="23236E"/>
          <w:sz w:val="24"/>
          <w:lang w:val="ro"/>
        </w:rPr>
        <w:lastRenderedPageBreak/>
        <w:t>Articolul 16</w:t>
      </w:r>
      <w:r>
        <w:rPr>
          <w:rFonts w:ascii="Times New Roman" w:hAnsi="Times New Roman" w:cs="Arial"/>
          <w:color w:val="23236E"/>
          <w:sz w:val="24"/>
          <w:lang w:val="ro"/>
        </w:rPr>
        <w:br/>
      </w:r>
      <w:r>
        <w:rPr>
          <w:rFonts w:ascii="Times New Roman" w:hAnsi="Times New Roman" w:cs="Arial"/>
          <w:b/>
          <w:bCs/>
          <w:color w:val="23236E"/>
          <w:sz w:val="24"/>
          <w:lang w:val="ro"/>
        </w:rPr>
        <w:t>Cadrul de armonizare a termenelor și condițiilor privitoare la Platforma mRRF</w:t>
      </w:r>
      <w:bookmarkEnd w:id="155"/>
      <w:bookmarkEnd w:id="156"/>
      <w:bookmarkEnd w:id="157"/>
      <w:bookmarkEnd w:id="158"/>
    </w:p>
    <w:p w:rsidR="00113043" w:rsidRPr="00362616" w:rsidRDefault="00113043" w:rsidP="00FC69DE">
      <w:pPr>
        <w:pStyle w:val="Numbering"/>
        <w:numPr>
          <w:ilvl w:val="0"/>
          <w:numId w:val="34"/>
        </w:numPr>
        <w:ind w:left="567" w:hanging="567"/>
      </w:pPr>
      <w:bookmarkStart w:id="159" w:name="_Hlk528935773"/>
      <w:bookmarkStart w:id="160" w:name="_Toc432586786"/>
      <w:bookmarkStart w:id="161" w:name="_Toc432586806"/>
      <w:bookmarkStart w:id="162" w:name="_Toc445298921"/>
      <w:bookmarkStart w:id="163" w:name="_Toc445299183"/>
      <w:bookmarkStart w:id="164" w:name="_Toc445825439"/>
      <w:r>
        <w:rPr>
          <w:lang w:val="ro"/>
        </w:rPr>
        <w:t>Termenele și condițiile în temeiul articolului 18 din EB GL continuă să țină de responsabilitatea fiecărui OTS însă trebuie să respecte un cadru de armonizare în temeiul articolului 20 (3) (f) din EB GL.</w:t>
      </w:r>
    </w:p>
    <w:bookmarkEnd w:id="159"/>
    <w:p w:rsidR="00113043" w:rsidRPr="00362616" w:rsidRDefault="00113043" w:rsidP="00FC69DE">
      <w:pPr>
        <w:pStyle w:val="Numbering"/>
        <w:numPr>
          <w:ilvl w:val="0"/>
          <w:numId w:val="34"/>
        </w:numPr>
        <w:ind w:left="567" w:hanging="567"/>
      </w:pPr>
      <w:r>
        <w:rPr>
          <w:lang w:val="ro"/>
        </w:rPr>
        <w:t>Cadrul de armonizare ia în considerare diferențele dintre OTS-urile care aplică un model de autodispecerizare, respectiv de dispecerizare centralizată, și urmează următorul proces:</w:t>
      </w:r>
    </w:p>
    <w:p w:rsidR="00113043" w:rsidRPr="00362616" w:rsidRDefault="00113043" w:rsidP="00FC69DE">
      <w:pPr>
        <w:pStyle w:val="Numbering"/>
        <w:numPr>
          <w:ilvl w:val="1"/>
          <w:numId w:val="70"/>
        </w:numPr>
        <w:ind w:left="851"/>
      </w:pPr>
      <w:r>
        <w:rPr>
          <w:lang w:val="ro"/>
        </w:rPr>
        <w:t>Toate OTS-urile evaluează în mod continuu termenele și condițiile pentru FSE-uri pentru a identifica nevoile de armonizare. Se va organiza anual un studiu în rândul părților interesate, primul studiu având loc în timpul primului an de funcționare a Platformei mRRF comune. Acest studiu vine în sprijinul identificării de către toate OTS-urile a unei liste scurte cu nevoi de armonizare prioritare, cu strânsa implicare a tuturor autorităților de reglementare relevante.</w:t>
      </w:r>
    </w:p>
    <w:p w:rsidR="00113043" w:rsidRPr="00362616" w:rsidRDefault="00113043" w:rsidP="00FC69DE">
      <w:pPr>
        <w:pStyle w:val="Numbering"/>
        <w:numPr>
          <w:ilvl w:val="1"/>
          <w:numId w:val="70"/>
        </w:numPr>
        <w:ind w:left="851"/>
      </w:pPr>
      <w:r>
        <w:rPr>
          <w:lang w:val="ro"/>
        </w:rPr>
        <w:t>Toate OTS-urile vor identifica apoi opțiunile de armonizare pentru fiecare nevoie de armonizare prioritară, cu strânsa implicare a părților interesate și a autorităților naționale de reglementare.</w:t>
      </w:r>
    </w:p>
    <w:p w:rsidR="00113043" w:rsidRPr="00362616" w:rsidRDefault="00176A78" w:rsidP="00FC69DE">
      <w:pPr>
        <w:pStyle w:val="Numbering"/>
        <w:numPr>
          <w:ilvl w:val="1"/>
          <w:numId w:val="70"/>
        </w:numPr>
        <w:ind w:left="851"/>
      </w:pPr>
      <w:r>
        <w:rPr>
          <w:lang w:val="ro"/>
        </w:rPr>
        <w:t>Toate OTS-urile supun opțiunile de armonizare unei consultări publice cu părțile interesate, pe o perioadă de două luni.</w:t>
      </w:r>
    </w:p>
    <w:p w:rsidR="00B77586" w:rsidRPr="00E461CC" w:rsidRDefault="00113043" w:rsidP="00FC69DE">
      <w:pPr>
        <w:pStyle w:val="Numbering"/>
        <w:numPr>
          <w:ilvl w:val="1"/>
          <w:numId w:val="70"/>
        </w:numPr>
        <w:ind w:left="851"/>
      </w:pPr>
      <w:r>
        <w:rPr>
          <w:lang w:val="ro"/>
        </w:rPr>
        <w:t>Toate OTS-urile evaluează rezultatele consultării publice și elaborează o propunere comună de armonizare pentru problemele identificate. Propunerea trebuie să includă de asemenea perioada necesară de implementare a modificărilor termenelor și condițiilor pentru FSE-uri.</w:t>
      </w:r>
    </w:p>
    <w:p w:rsidR="00E461CC" w:rsidRPr="00E461CC" w:rsidRDefault="00AE5A97" w:rsidP="00FC69DE">
      <w:pPr>
        <w:pStyle w:val="Numbering"/>
        <w:numPr>
          <w:ilvl w:val="1"/>
          <w:numId w:val="70"/>
        </w:numPr>
        <w:ind w:left="851"/>
      </w:pPr>
      <w:r>
        <w:rPr>
          <w:lang w:val="ro"/>
        </w:rPr>
        <w:t xml:space="preserve">mRRF-IF se armonizează conform propunerii comune de armonizare în conformitate cu articolul 6 (3) din EB GL. </w:t>
      </w:r>
    </w:p>
    <w:p w:rsidR="002F45F4" w:rsidRPr="00165EC1" w:rsidRDefault="00AE5A97" w:rsidP="00FC69DE">
      <w:pPr>
        <w:pStyle w:val="Numbering"/>
        <w:numPr>
          <w:ilvl w:val="1"/>
          <w:numId w:val="70"/>
        </w:numPr>
        <w:ind w:left="851"/>
      </w:pPr>
      <w:r>
        <w:rPr>
          <w:lang w:val="ro"/>
        </w:rPr>
        <w:t>Toate OTS-urile transmit mRRF-IF modificată, inclusiv propunerea comună de armonizare, în termen de cel mult 36 luni de la data punerii în funcțiune a Platformei mRRF. Următoarea modificare a mRRF-IF, inclusiv propunerea comună de armonizare, se transmite în termen de cel mult 36 luni de la data modificării anterioare a mRRF-IF.</w:t>
      </w:r>
    </w:p>
    <w:p w:rsidR="00165EC1" w:rsidRPr="00E461CC" w:rsidRDefault="00165EC1" w:rsidP="00165EC1">
      <w:pPr>
        <w:pStyle w:val="Numbering"/>
        <w:ind w:left="851" w:firstLine="0"/>
      </w:pPr>
    </w:p>
    <w:p w:rsidR="00AB2699" w:rsidRPr="00362616" w:rsidRDefault="00AB2699" w:rsidP="00AB2699">
      <w:pPr>
        <w:keepNext/>
        <w:keepLines/>
        <w:spacing w:after="120" w:line="260" w:lineRule="exact"/>
        <w:jc w:val="center"/>
        <w:outlineLvl w:val="1"/>
        <w:rPr>
          <w:rFonts w:ascii="Times New Roman" w:hAnsi="Times New Roman" w:cs="Arial"/>
          <w:b/>
          <w:color w:val="23236E"/>
          <w:sz w:val="24"/>
        </w:rPr>
      </w:pPr>
      <w:bookmarkStart w:id="165" w:name="_Toc509331502"/>
      <w:bookmarkStart w:id="166" w:name="_Toc531122458"/>
      <w:bookmarkStart w:id="167" w:name="_Toc531123812"/>
      <w:bookmarkStart w:id="168" w:name="_Toc532893405"/>
      <w:r>
        <w:rPr>
          <w:rFonts w:ascii="Times New Roman" w:hAnsi="Times New Roman" w:cs="Arial"/>
          <w:b/>
          <w:bCs/>
          <w:color w:val="23236E"/>
          <w:sz w:val="24"/>
          <w:lang w:val="ro"/>
        </w:rPr>
        <w:t>Articolul 17</w:t>
      </w:r>
      <w:r>
        <w:rPr>
          <w:rFonts w:ascii="Times New Roman" w:hAnsi="Times New Roman" w:cs="Arial"/>
          <w:color w:val="23236E"/>
          <w:sz w:val="24"/>
          <w:lang w:val="ro"/>
        </w:rPr>
        <w:br/>
      </w:r>
      <w:r>
        <w:rPr>
          <w:rFonts w:ascii="Times New Roman" w:hAnsi="Times New Roman" w:cs="Arial"/>
          <w:b/>
          <w:bCs/>
          <w:color w:val="23236E"/>
          <w:sz w:val="24"/>
          <w:lang w:val="ro"/>
        </w:rPr>
        <w:t xml:space="preserve">Publicarea și implementarea prezentei </w:t>
      </w:r>
      <w:bookmarkEnd w:id="165"/>
      <w:r>
        <w:rPr>
          <w:rFonts w:ascii="Times New Roman" w:hAnsi="Times New Roman" w:cs="Arial"/>
          <w:b/>
          <w:bCs/>
          <w:color w:val="23236E"/>
          <w:sz w:val="24"/>
          <w:lang w:val="ro"/>
        </w:rPr>
        <w:t>mRRF-IF</w:t>
      </w:r>
      <w:bookmarkEnd w:id="166"/>
      <w:bookmarkEnd w:id="167"/>
      <w:bookmarkEnd w:id="168"/>
    </w:p>
    <w:p w:rsidR="00AB2699" w:rsidRPr="00362616" w:rsidRDefault="00AB2699" w:rsidP="00FC69DE">
      <w:pPr>
        <w:numPr>
          <w:ilvl w:val="0"/>
          <w:numId w:val="20"/>
        </w:numPr>
        <w:spacing w:after="120"/>
        <w:ind w:left="567" w:hanging="567"/>
        <w:jc w:val="both"/>
        <w:rPr>
          <w:rFonts w:ascii="Times New Roman" w:hAnsi="Times New Roman"/>
        </w:rPr>
      </w:pPr>
      <w:r>
        <w:rPr>
          <w:rFonts w:ascii="Times New Roman" w:hAnsi="Times New Roman"/>
          <w:lang w:val="ro"/>
        </w:rPr>
        <w:t xml:space="preserve">OTS-urile publică prezenta mRRF-IF, fără întârzieri nejustificate, după ce toate ANR-urile au aprobat mRRF-IF propusă sau după ce s-a luat o decizie de către Agenția pentru Cooperarea Autorităților de Reglementare din Domeniul Energiei, în conformitate cu articolul 5 (7), articolul 6 (1) și articolul 6 (2) din EB GL. </w:t>
      </w:r>
    </w:p>
    <w:p w:rsidR="00AB2699" w:rsidRPr="00362616" w:rsidRDefault="00AB2699" w:rsidP="00FC69DE">
      <w:pPr>
        <w:numPr>
          <w:ilvl w:val="0"/>
          <w:numId w:val="20"/>
        </w:numPr>
        <w:spacing w:after="120"/>
        <w:ind w:left="567" w:hanging="567"/>
        <w:jc w:val="both"/>
        <w:rPr>
          <w:rFonts w:ascii="Times New Roman" w:hAnsi="Times New Roman"/>
        </w:rPr>
      </w:pPr>
      <w:r>
        <w:rPr>
          <w:rFonts w:ascii="Times New Roman" w:hAnsi="Times New Roman"/>
          <w:lang w:val="ro"/>
        </w:rPr>
        <w:t>OTS-urile implementează mRRF-IF în conformitate cu articolul 5 din prezenta mRRF-IF.</w:t>
      </w:r>
    </w:p>
    <w:p w:rsidR="00AB2699" w:rsidRPr="00362616" w:rsidRDefault="00AB2699" w:rsidP="00E07CF8">
      <w:pPr>
        <w:pStyle w:val="textenumeration"/>
        <w:ind w:left="357" w:hanging="357"/>
        <w:contextualSpacing/>
        <w:jc w:val="center"/>
      </w:pPr>
    </w:p>
    <w:p w:rsidR="004F245D" w:rsidRPr="00362616" w:rsidRDefault="009650DA" w:rsidP="004F245D">
      <w:pPr>
        <w:spacing w:after="120" w:line="260" w:lineRule="exact"/>
        <w:jc w:val="center"/>
        <w:outlineLvl w:val="1"/>
        <w:rPr>
          <w:rFonts w:ascii="Times New Roman" w:hAnsi="Times New Roman" w:cs="Arial"/>
          <w:b/>
          <w:color w:val="23236E"/>
          <w:sz w:val="24"/>
        </w:rPr>
      </w:pPr>
      <w:bookmarkStart w:id="169" w:name="_Toc509331503"/>
      <w:bookmarkStart w:id="170" w:name="_Toc531122459"/>
      <w:bookmarkStart w:id="171" w:name="_Toc531123813"/>
      <w:bookmarkStart w:id="172" w:name="_Toc532893406"/>
      <w:r>
        <w:rPr>
          <w:rFonts w:ascii="Times New Roman" w:hAnsi="Times New Roman" w:cs="Arial"/>
          <w:b/>
          <w:bCs/>
          <w:color w:val="23236E"/>
          <w:sz w:val="24"/>
          <w:lang w:val="ro"/>
        </w:rPr>
        <w:t>Articolul 18</w:t>
      </w:r>
      <w:r>
        <w:rPr>
          <w:rFonts w:ascii="Times New Roman" w:hAnsi="Times New Roman" w:cs="Arial"/>
          <w:color w:val="23236E"/>
          <w:sz w:val="24"/>
          <w:lang w:val="ro"/>
        </w:rPr>
        <w:br/>
      </w:r>
      <w:r>
        <w:rPr>
          <w:rFonts w:ascii="Times New Roman" w:hAnsi="Times New Roman" w:cs="Arial"/>
          <w:b/>
          <w:bCs/>
          <w:color w:val="23236E"/>
          <w:sz w:val="24"/>
          <w:lang w:val="ro"/>
        </w:rPr>
        <w:t>Limba</w:t>
      </w:r>
      <w:bookmarkEnd w:id="160"/>
      <w:bookmarkEnd w:id="161"/>
      <w:bookmarkEnd w:id="162"/>
      <w:bookmarkEnd w:id="163"/>
      <w:bookmarkEnd w:id="164"/>
      <w:bookmarkEnd w:id="169"/>
      <w:bookmarkEnd w:id="170"/>
      <w:bookmarkEnd w:id="171"/>
      <w:bookmarkEnd w:id="172"/>
    </w:p>
    <w:p w:rsidR="000564D4" w:rsidRPr="0080608B" w:rsidRDefault="006E6B93" w:rsidP="00165EC1">
      <w:pPr>
        <w:spacing w:after="120" w:line="276" w:lineRule="auto"/>
        <w:contextualSpacing/>
        <w:jc w:val="both"/>
        <w:rPr>
          <w:rFonts w:ascii="Times New Roman" w:hAnsi="Times New Roman"/>
          <w:szCs w:val="22"/>
        </w:rPr>
      </w:pPr>
      <w:r>
        <w:rPr>
          <w:rFonts w:ascii="Times New Roman" w:hAnsi="Times New Roman"/>
          <w:szCs w:val="22"/>
          <w:lang w:val="ro"/>
        </w:rPr>
        <w:t>Limba de referință pentru prezenta mRRF-IF este limba engleză. Pentru a evita orice interpretare, în cazul în care OTS-urile au nevoie să traducă prezenta mRRF-IF în limba/limbile lor naționale, în eventualitatea unor neconcordanțe între versiunea în limba engleză publicată de către OTS-uri conform articolului 20 din EB GL și orice versiune în altă limbă, OTS-urile relevante sunt obligate să elimine orice neconcordanțe prin furnizarea unei traduceri revizuite a prezentei mRRF-IF către autoritățile naționale de reglementare relevante.</w:t>
      </w:r>
      <w:bookmarkEnd w:id="0"/>
      <w:bookmarkEnd w:id="93"/>
    </w:p>
    <w:sectPr w:rsidR="000564D4" w:rsidRPr="0080608B" w:rsidSect="004779E7">
      <w:headerReference w:type="default" r:id="rId12"/>
      <w:footerReference w:type="default" r:id="rId13"/>
      <w:headerReference w:type="first" r:id="rId14"/>
      <w:footerReference w:type="first" r:id="rId15"/>
      <w:type w:val="continuous"/>
      <w:pgSz w:w="11906" w:h="16838"/>
      <w:pgMar w:top="1928" w:right="1021" w:bottom="1701" w:left="1361" w:header="709"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51CD" w:rsidRDefault="00EB51CD" w:rsidP="00B04144">
      <w:r>
        <w:separator/>
      </w:r>
    </w:p>
  </w:endnote>
  <w:endnote w:type="continuationSeparator" w:id="0">
    <w:p w:rsidR="00EB51CD" w:rsidRDefault="00EB51CD" w:rsidP="00B04144">
      <w:r>
        <w:continuationSeparator/>
      </w:r>
    </w:p>
  </w:endnote>
  <w:endnote w:type="continuationNotice" w:id="1">
    <w:p w:rsidR="00EB51CD" w:rsidRDefault="00EB51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venir Next LT Com Demi">
    <w:panose1 w:val="00000000000000000000"/>
    <w:charset w:val="00"/>
    <w:family w:val="roman"/>
    <w:notTrueType/>
    <w:pitch w:val="default"/>
    <w:sig w:usb0="00000003" w:usb1="00000000" w:usb2="00000000" w:usb3="00000000" w:csb0="00000001" w:csb1="00000000"/>
  </w:font>
  <w:font w:name="AvenirNext LT Com Regular">
    <w:altName w:val="Calibri"/>
    <w:charset w:val="00"/>
    <w:family w:val="swiss"/>
    <w:pitch w:val="variable"/>
    <w:sig w:usb0="00000001" w:usb1="5000204A" w:usb2="00000000" w:usb3="00000000" w:csb0="0000009B"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890148" w:rsidRPr="00F72143" w:rsidTr="003D0965">
      <w:trPr>
        <w:trHeight w:hRule="exact" w:val="284"/>
      </w:trPr>
      <w:tc>
        <w:tcPr>
          <w:tcW w:w="9923" w:type="dxa"/>
          <w:vAlign w:val="center"/>
        </w:tcPr>
        <w:p w:rsidR="00890148" w:rsidRPr="002B4D7F" w:rsidRDefault="00890148" w:rsidP="00CD009F">
          <w:pPr>
            <w:pStyle w:val="Footer"/>
            <w:rPr>
              <w:rFonts w:asciiTheme="majorHAnsi" w:hAnsiTheme="majorHAnsi" w:cstheme="majorHAnsi"/>
              <w:sz w:val="14"/>
              <w:szCs w:val="14"/>
            </w:rPr>
          </w:pPr>
          <w:r>
            <w:rPr>
              <w:rFonts w:asciiTheme="majorHAnsi" w:hAnsiTheme="majorHAnsi" w:cstheme="majorHAnsi"/>
              <w:sz w:val="14"/>
              <w:szCs w:val="14"/>
              <w:lang w:val="ro"/>
            </w:rPr>
            <w:t xml:space="preserve">ENTSO-E </w:t>
          </w:r>
          <w:r>
            <w:rPr>
              <w:rFonts w:asciiTheme="majorHAnsi" w:hAnsiTheme="majorHAnsi" w:cstheme="majorHAnsi"/>
              <w:sz w:val="10"/>
              <w:szCs w:val="14"/>
              <w:lang w:val="ro"/>
            </w:rPr>
            <w:t>AISBL</w:t>
          </w:r>
          <w:r>
            <w:rPr>
              <w:rFonts w:asciiTheme="majorHAnsi" w:hAnsiTheme="majorHAnsi" w:cstheme="majorHAnsi"/>
              <w:sz w:val="14"/>
              <w:szCs w:val="14"/>
              <w:lang w:val="ro"/>
            </w:rPr>
            <w:t xml:space="preserve"> • Avenue de Cortenbergh 100 • 1000 Bruxelles • Belgia • Tel + 32 2 741 09 50 • Fax + 32 2 741 09 51 • info@entsoe.eu • www.entsoe.eu</w:t>
          </w:r>
        </w:p>
      </w:tc>
    </w:tr>
  </w:tbl>
  <w:tbl>
    <w:tblPr>
      <w:tblStyle w:val="TableGrid"/>
      <w:tblpPr w:leftFromText="142" w:rightFromText="142" w:vertAnchor="page" w:horzAnchor="page" w:tblpX="10661"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890148" w:rsidRPr="00F72143" w:rsidTr="003D0965">
      <w:trPr>
        <w:trHeight w:hRule="exact" w:val="284"/>
      </w:trPr>
      <w:tc>
        <w:tcPr>
          <w:tcW w:w="624" w:type="dxa"/>
        </w:tcPr>
        <w:p w:rsidR="00890148" w:rsidRPr="00F72143" w:rsidRDefault="00890148" w:rsidP="009C2D4C">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2</w:t>
          </w:r>
          <w:r>
            <w:rPr>
              <w:noProof/>
              <w:lang w:val="ro"/>
            </w:rPr>
            <w:fldChar w:fldCharType="end"/>
          </w:r>
        </w:p>
      </w:tc>
    </w:tr>
  </w:tbl>
  <w:p w:rsidR="00890148" w:rsidRPr="00F72143" w:rsidRDefault="00890148" w:rsidP="003D0965">
    <w:pPr>
      <w:pStyle w:val="Footer"/>
    </w:pPr>
    <w:r>
      <w:rPr>
        <w:noProof/>
        <w:lang w:val="ro"/>
      </w:rPr>
      <w:drawing>
        <wp:anchor distT="0" distB="0" distL="114300" distR="114300" simplePos="0" relativeHeight="251658752" behindDoc="1" locked="1" layoutInCell="1" allowOverlap="1">
          <wp:simplePos x="0" y="0"/>
          <wp:positionH relativeFrom="page">
            <wp:posOffset>0</wp:posOffset>
          </wp:positionH>
          <wp:positionV relativeFrom="page">
            <wp:posOffset>9721215</wp:posOffset>
          </wp:positionV>
          <wp:extent cx="7596000" cy="426325"/>
          <wp:effectExtent l="19050" t="0" r="4950" b="0"/>
          <wp:wrapNone/>
          <wp:docPr id="41"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890148" w:rsidRPr="00F72143" w:rsidTr="003D0965">
      <w:trPr>
        <w:trHeight w:hRule="exact" w:val="284"/>
      </w:trPr>
      <w:tc>
        <w:tcPr>
          <w:tcW w:w="9923" w:type="dxa"/>
          <w:vAlign w:val="center"/>
        </w:tcPr>
        <w:p w:rsidR="00890148" w:rsidRPr="002B4D7F" w:rsidRDefault="00890148" w:rsidP="003D0965">
          <w:pPr>
            <w:pStyle w:val="Footer"/>
            <w:rPr>
              <w:rFonts w:asciiTheme="majorHAnsi" w:hAnsiTheme="majorHAnsi" w:cstheme="majorHAnsi"/>
              <w:sz w:val="14"/>
              <w:szCs w:val="14"/>
            </w:rPr>
          </w:pPr>
          <w:r>
            <w:rPr>
              <w:rFonts w:asciiTheme="majorHAnsi" w:hAnsiTheme="majorHAnsi" w:cstheme="majorHAnsi"/>
              <w:sz w:val="14"/>
              <w:szCs w:val="14"/>
              <w:lang w:val="ro"/>
            </w:rPr>
            <w:t xml:space="preserve">ENTSO-E </w:t>
          </w:r>
          <w:r>
            <w:rPr>
              <w:rFonts w:asciiTheme="majorHAnsi" w:hAnsiTheme="majorHAnsi" w:cstheme="majorHAnsi"/>
              <w:sz w:val="10"/>
              <w:szCs w:val="14"/>
              <w:lang w:val="ro"/>
            </w:rPr>
            <w:t>AISBL</w:t>
          </w:r>
          <w:r>
            <w:rPr>
              <w:rFonts w:asciiTheme="majorHAnsi" w:hAnsiTheme="majorHAnsi" w:cstheme="majorHAnsi"/>
              <w:sz w:val="14"/>
              <w:szCs w:val="14"/>
              <w:lang w:val="ro"/>
            </w:rPr>
            <w:t xml:space="preserve"> • Avenue de Cortenbergh 100 • 1000 Bruxelles • Belgia • Tel + 32 2 741 09 50 • Fax + 32 2 741 09 51 • info@entsoe.eu • www.entsoe.eu</w:t>
          </w:r>
        </w:p>
      </w:tc>
    </w:tr>
  </w:tbl>
  <w:p w:rsidR="00890148" w:rsidRPr="00F72143" w:rsidRDefault="00824D7D">
    <w:pPr>
      <w:pStyle w:val="Footer"/>
    </w:pPr>
    <w:r>
      <w:rPr>
        <w:noProof/>
        <w:lang w:val="ro"/>
      </w:rPr>
      <w:pict>
        <v:rect id="Rectangle 6" o:spid="_x0000_s2050" style="position:absolute;margin-left:-68.05pt;margin-top:-23.55pt;width:596.7pt;height:50.25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camAIAAG0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" fillcolor="white [3212]" stroked="f" strokecolor="#7f5a9b [3206]"/>
      </w:pict>
    </w:r>
    <w:r>
      <w:rPr>
        <w:noProof/>
        <w:lang w:val="ro"/>
      </w:rPr>
      <w:pict>
        <v:rect id="Rectangle 5" o:spid="_x0000_s2049" style="position:absolute;margin-left:0;margin-top:523.05pt;width:596.7pt;height:301.9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" stroked="f">
          <v:fill opacity=".25" color2="#dcdcdc" rotate="t" focus="100%" type="gradient"/>
          <w10:wrap anchorx="page" anchory="page"/>
          <w10:anchorlock/>
        </v:rect>
      </w:pict>
    </w:r>
    <w:r w:rsidR="00890148">
      <w:rPr>
        <w:noProof/>
        <w:lang w:val="ro"/>
      </w:rPr>
      <w:drawing>
        <wp:anchor distT="0" distB="0" distL="114300" distR="114300" simplePos="0" relativeHeight="251658243" behindDoc="1" locked="1" layoutInCell="1" allowOverlap="1">
          <wp:simplePos x="0" y="0"/>
          <wp:positionH relativeFrom="page">
            <wp:posOffset>0</wp:posOffset>
          </wp:positionH>
          <wp:positionV relativeFrom="page">
            <wp:posOffset>9721215</wp:posOffset>
          </wp:positionV>
          <wp:extent cx="7596000" cy="426325"/>
          <wp:effectExtent l="19050" t="0" r="4950" b="0"/>
          <wp:wrapNone/>
          <wp:docPr id="43"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51CD" w:rsidRDefault="00EB51CD" w:rsidP="00B04144">
      <w:r>
        <w:separator/>
      </w:r>
    </w:p>
  </w:footnote>
  <w:footnote w:type="continuationSeparator" w:id="0">
    <w:p w:rsidR="00EB51CD" w:rsidRDefault="00EB51CD" w:rsidP="00B04144">
      <w:r>
        <w:continuationSeparator/>
      </w:r>
    </w:p>
  </w:footnote>
  <w:footnote w:type="continuationNotice" w:id="1">
    <w:p w:rsidR="00EB51CD" w:rsidRDefault="00EB51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70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68"/>
    </w:tblGrid>
    <w:tr w:rsidR="00890148" w:rsidRPr="00AE4671" w:rsidTr="00050DFE">
      <w:trPr>
        <w:trHeight w:hRule="exact" w:val="833"/>
      </w:trPr>
      <w:tc>
        <w:tcPr>
          <w:tcW w:w="7068" w:type="dxa"/>
        </w:tcPr>
        <w:p w:rsidR="00890148" w:rsidRPr="00F72143" w:rsidRDefault="00890148" w:rsidP="00050DFE">
          <w:pPr>
            <w:jc w:val="both"/>
            <w:rPr>
              <w:sz w:val="16"/>
            </w:rPr>
          </w:pPr>
          <w:r>
            <w:rPr>
              <w:sz w:val="16"/>
              <w:lang w:val="ro"/>
            </w:rPr>
            <w:t>Propunerea tuturor OTS-urilor pentru cadrul de punere în aplicare a unei Platforme europene pentru schimbul de energie de echilibrare din rezervele de restabilire a frecvenței cu activare manuală în conformitate cu articolul 20 din Regulamentul (UE) 2017/2195 al Comisiei din 23 noiembrie 2017 de stabilire a unei linii directoare privind echilibrarea sistemului de energie electrică</w:t>
          </w:r>
        </w:p>
      </w:tc>
    </w:tr>
  </w:tbl>
  <w:p w:rsidR="00890148" w:rsidRPr="00F72143" w:rsidRDefault="00824D7D" w:rsidP="003D0965">
    <w:pPr>
      <w:pStyle w:val="Footer"/>
      <w:rPr>
        <w:sz w:val="16"/>
      </w:rPr>
    </w:pPr>
    <w:r>
      <w:rPr>
        <w:noProof/>
        <w:sz w:val="16"/>
        <w:lang w:val="ro"/>
      </w:rPr>
      <w:pict>
        <v:shapetype id="_x0000_t32" coordsize="21600,21600" o:spt="32" o:oned="t" path="m,l21600,21600e" filled="f">
          <v:path arrowok="t" fillok="f" o:connecttype="none"/>
          <o:lock v:ext="edit" shapetype="t"/>
        </v:shapetype>
        <v:shape id="AutoShape 8" o:spid="_x0000_s2051" type="#_x0000_t32" style="position:absolute;margin-left:68.05pt;margin-top:83.65pt;width:476.2pt;height:0;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w:r>
    <w:r w:rsidR="00890148">
      <w:rPr>
        <w:noProof/>
        <w:sz w:val="16"/>
        <w:lang w:val="ro"/>
      </w:rPr>
      <w:drawing>
        <wp:anchor distT="0" distB="0" distL="114300" distR="114300" simplePos="0" relativeHeight="251658240" behindDoc="0" locked="1" layoutInCell="1" allowOverlap="1">
          <wp:simplePos x="0" y="0"/>
          <wp:positionH relativeFrom="page">
            <wp:posOffset>5483225</wp:posOffset>
          </wp:positionH>
          <wp:positionV relativeFrom="page">
            <wp:posOffset>360045</wp:posOffset>
          </wp:positionV>
          <wp:extent cx="1514475" cy="381000"/>
          <wp:effectExtent l="0" t="0" r="9525" b="0"/>
          <wp:wrapNone/>
          <wp:docPr id="40"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890148" w:rsidTr="00DC0ABD">
      <w:tc>
        <w:tcPr>
          <w:tcW w:w="9524" w:type="dxa"/>
          <w:tcMar>
            <w:top w:w="198" w:type="dxa"/>
          </w:tcMar>
        </w:tcPr>
        <w:p w:rsidR="00890148" w:rsidRDefault="00890148" w:rsidP="00696EBB">
          <w:pPr>
            <w:pStyle w:val="headlineheader"/>
          </w:pPr>
        </w:p>
      </w:tc>
    </w:tr>
    <w:tr w:rsidR="00890148" w:rsidTr="00DC0ABD">
      <w:tc>
        <w:tcPr>
          <w:tcW w:w="9524" w:type="dxa"/>
        </w:tcPr>
        <w:p w:rsidR="00890148" w:rsidRPr="00AF06B7" w:rsidRDefault="00890148" w:rsidP="00DC0ABD">
          <w:pPr>
            <w:pStyle w:val="textheader"/>
          </w:pPr>
        </w:p>
      </w:tc>
    </w:tr>
    <w:tr w:rsidR="00890148" w:rsidTr="00DC0ABD">
      <w:tc>
        <w:tcPr>
          <w:tcW w:w="9524" w:type="dxa"/>
        </w:tcPr>
        <w:p w:rsidR="00890148" w:rsidRPr="007A686E" w:rsidRDefault="00890148" w:rsidP="00DC0ABD">
          <w:pPr>
            <w:pStyle w:val="textheader"/>
          </w:pPr>
        </w:p>
      </w:tc>
    </w:tr>
    <w:tr w:rsidR="00890148" w:rsidRPr="00903B95" w:rsidTr="00DC0ABD">
      <w:tc>
        <w:tcPr>
          <w:tcW w:w="9524" w:type="dxa"/>
          <w:tcMar>
            <w:bottom w:w="142" w:type="dxa"/>
          </w:tcMar>
        </w:tcPr>
        <w:p w:rsidR="00890148" w:rsidRPr="00256312" w:rsidRDefault="00890148" w:rsidP="00DC0ABD">
          <w:pPr>
            <w:pStyle w:val="time"/>
            <w:framePr w:hSpace="0" w:vSpace="0" w:wrap="auto" w:vAnchor="margin" w:hAnchor="text" w:xAlign="left" w:yAlign="inline"/>
          </w:pPr>
        </w:p>
      </w:tc>
    </w:tr>
  </w:tbl>
  <w:p w:rsidR="00890148" w:rsidRDefault="00890148">
    <w:pPr>
      <w:pStyle w:val="Header"/>
    </w:pPr>
    <w:r>
      <w:rPr>
        <w:noProof/>
        <w:lang w:val="ro"/>
      </w:rPr>
      <w:drawing>
        <wp:anchor distT="0" distB="0" distL="114300" distR="114300" simplePos="0" relativeHeight="251658241" behindDoc="0" locked="1" layoutInCell="1" allowOverlap="1">
          <wp:simplePos x="0" y="0"/>
          <wp:positionH relativeFrom="page">
            <wp:posOffset>4068445</wp:posOffset>
          </wp:positionH>
          <wp:positionV relativeFrom="page">
            <wp:posOffset>720090</wp:posOffset>
          </wp:positionV>
          <wp:extent cx="2930400" cy="383059"/>
          <wp:effectExtent l="19050" t="0" r="3300" b="0"/>
          <wp:wrapNone/>
          <wp:docPr id="42"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30400" cy="3830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229E4"/>
    <w:multiLevelType w:val="hybridMultilevel"/>
    <w:tmpl w:val="B3CE631A"/>
    <w:lvl w:ilvl="0" w:tplc="D3281D72">
      <w:start w:val="1"/>
      <w:numFmt w:val="lowerRoman"/>
      <w:lvlText w:val="%1."/>
      <w:lvlJc w:val="right"/>
      <w:pPr>
        <w:ind w:left="1437"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917FF"/>
    <w:multiLevelType w:val="hybridMultilevel"/>
    <w:tmpl w:val="6DC206FE"/>
    <w:lvl w:ilvl="0" w:tplc="D3281D72">
      <w:start w:val="1"/>
      <w:numFmt w:val="lowerRoman"/>
      <w:lvlText w:val="%1."/>
      <w:lvlJc w:val="right"/>
      <w:pPr>
        <w:ind w:left="1437" w:hanging="360"/>
      </w:pPr>
      <w:rPr>
        <w:rFonts w:hint="default"/>
        <w:b w:val="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95347C2"/>
    <w:multiLevelType w:val="multilevel"/>
    <w:tmpl w:val="1FDA3BA6"/>
    <w:lvl w:ilvl="0">
      <w:start w:val="1"/>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3" w15:restartNumberingAfterBreak="0">
    <w:nsid w:val="1AE90500"/>
    <w:multiLevelType w:val="multilevel"/>
    <w:tmpl w:val="A0C2BE82"/>
    <w:lvl w:ilvl="0">
      <w:start w:val="1"/>
      <w:numFmt w:val="decimal"/>
      <w:lvlText w:val="(%1)"/>
      <w:lvlJc w:val="left"/>
      <w:pPr>
        <w:ind w:left="473"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4" w15:restartNumberingAfterBreak="0">
    <w:nsid w:val="1B3C78B8"/>
    <w:multiLevelType w:val="multilevel"/>
    <w:tmpl w:val="2ED4F4D0"/>
    <w:name w:val="4.708505E-02"/>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1BEC528C"/>
    <w:multiLevelType w:val="hybridMultilevel"/>
    <w:tmpl w:val="D1D2E154"/>
    <w:lvl w:ilvl="0" w:tplc="B6E88564">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F7923C8"/>
    <w:multiLevelType w:val="multilevel"/>
    <w:tmpl w:val="1FDA3BA6"/>
    <w:lvl w:ilvl="0">
      <w:start w:val="1"/>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7" w15:restartNumberingAfterBreak="0">
    <w:nsid w:val="20214973"/>
    <w:multiLevelType w:val="multilevel"/>
    <w:tmpl w:val="D5AE30AE"/>
    <w:lvl w:ilvl="0">
      <w:start w:val="10"/>
      <w:numFmt w:val="decimal"/>
      <w:lvlText w:val="(%1)"/>
      <w:lvlJc w:val="left"/>
      <w:pPr>
        <w:ind w:left="473"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8" w15:restartNumberingAfterBreak="0">
    <w:nsid w:val="23A06610"/>
    <w:multiLevelType w:val="singleLevel"/>
    <w:tmpl w:val="7B8E70E6"/>
    <w:lvl w:ilvl="0">
      <w:start w:val="1"/>
      <w:numFmt w:val="decimal"/>
      <w:pStyle w:val="Code"/>
      <w:lvlText w:val="%1 "/>
      <w:lvlJc w:val="left"/>
      <w:pPr>
        <w:ind w:left="360" w:hanging="360"/>
      </w:pPr>
      <w:rPr>
        <w:rFonts w:ascii="Consolas" w:hAnsi="Consolas" w:cs="Times New Roman" w:hint="default"/>
        <w:b w:val="0"/>
        <w:i w:val="0"/>
        <w:sz w:val="18"/>
        <w:vertAlign w:val="baseline"/>
      </w:rPr>
    </w:lvl>
  </w:abstractNum>
  <w:abstractNum w:abstractNumId="9" w15:restartNumberingAfterBreak="0">
    <w:nsid w:val="25EF6ED4"/>
    <w:multiLevelType w:val="multilevel"/>
    <w:tmpl w:val="A0C2BE82"/>
    <w:lvl w:ilvl="0">
      <w:start w:val="1"/>
      <w:numFmt w:val="decimal"/>
      <w:lvlText w:val="(%1)"/>
      <w:lvlJc w:val="left"/>
      <w:pPr>
        <w:ind w:left="473"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0"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11" w15:restartNumberingAfterBreak="0">
    <w:nsid w:val="27300AC3"/>
    <w:multiLevelType w:val="hybridMultilevel"/>
    <w:tmpl w:val="5C768D62"/>
    <w:lvl w:ilvl="0" w:tplc="2CA2B898">
      <w:start w:val="1"/>
      <w:numFmt w:val="decimal"/>
      <w:lvlText w:val="(%1)"/>
      <w:lvlJc w:val="left"/>
      <w:pPr>
        <w:ind w:left="360" w:hanging="360"/>
      </w:pPr>
      <w:rPr>
        <w:rFonts w:hint="default"/>
      </w:rPr>
    </w:lvl>
    <w:lvl w:ilvl="1" w:tplc="04090019" w:tentative="1">
      <w:start w:val="1"/>
      <w:numFmt w:val="lowerLetter"/>
      <w:lvlText w:val="%2."/>
      <w:lvlJc w:val="left"/>
      <w:pPr>
        <w:ind w:left="732" w:hanging="360"/>
      </w:pPr>
    </w:lvl>
    <w:lvl w:ilvl="2" w:tplc="0409001B" w:tentative="1">
      <w:start w:val="1"/>
      <w:numFmt w:val="lowerRoman"/>
      <w:lvlText w:val="%3."/>
      <w:lvlJc w:val="right"/>
      <w:pPr>
        <w:ind w:left="1452" w:hanging="180"/>
      </w:pPr>
    </w:lvl>
    <w:lvl w:ilvl="3" w:tplc="0409000F" w:tentative="1">
      <w:start w:val="1"/>
      <w:numFmt w:val="decimal"/>
      <w:lvlText w:val="%4."/>
      <w:lvlJc w:val="left"/>
      <w:pPr>
        <w:ind w:left="2172" w:hanging="360"/>
      </w:pPr>
    </w:lvl>
    <w:lvl w:ilvl="4" w:tplc="04090019" w:tentative="1">
      <w:start w:val="1"/>
      <w:numFmt w:val="lowerLetter"/>
      <w:lvlText w:val="%5."/>
      <w:lvlJc w:val="left"/>
      <w:pPr>
        <w:ind w:left="2892" w:hanging="360"/>
      </w:pPr>
    </w:lvl>
    <w:lvl w:ilvl="5" w:tplc="0409001B" w:tentative="1">
      <w:start w:val="1"/>
      <w:numFmt w:val="lowerRoman"/>
      <w:lvlText w:val="%6."/>
      <w:lvlJc w:val="right"/>
      <w:pPr>
        <w:ind w:left="3612" w:hanging="180"/>
      </w:pPr>
    </w:lvl>
    <w:lvl w:ilvl="6" w:tplc="0409000F" w:tentative="1">
      <w:start w:val="1"/>
      <w:numFmt w:val="decimal"/>
      <w:lvlText w:val="%7."/>
      <w:lvlJc w:val="left"/>
      <w:pPr>
        <w:ind w:left="4332" w:hanging="360"/>
      </w:pPr>
    </w:lvl>
    <w:lvl w:ilvl="7" w:tplc="04090019" w:tentative="1">
      <w:start w:val="1"/>
      <w:numFmt w:val="lowerLetter"/>
      <w:lvlText w:val="%8."/>
      <w:lvlJc w:val="left"/>
      <w:pPr>
        <w:ind w:left="5052" w:hanging="360"/>
      </w:pPr>
    </w:lvl>
    <w:lvl w:ilvl="8" w:tplc="0409001B" w:tentative="1">
      <w:start w:val="1"/>
      <w:numFmt w:val="lowerRoman"/>
      <w:lvlText w:val="%9."/>
      <w:lvlJc w:val="right"/>
      <w:pPr>
        <w:ind w:left="5772" w:hanging="180"/>
      </w:pPr>
    </w:lvl>
  </w:abstractNum>
  <w:abstractNum w:abstractNumId="12" w15:restartNumberingAfterBreak="0">
    <w:nsid w:val="30804C7E"/>
    <w:multiLevelType w:val="multilevel"/>
    <w:tmpl w:val="1FDA3BA6"/>
    <w:lvl w:ilvl="0">
      <w:start w:val="1"/>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3" w15:restartNumberingAfterBreak="0">
    <w:nsid w:val="30D055B7"/>
    <w:multiLevelType w:val="multilevel"/>
    <w:tmpl w:val="FBCC6DE4"/>
    <w:lvl w:ilvl="0">
      <w:start w:val="5"/>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4" w15:restartNumberingAfterBreak="0">
    <w:nsid w:val="34A014EE"/>
    <w:multiLevelType w:val="multilevel"/>
    <w:tmpl w:val="7618DFB2"/>
    <w:lvl w:ilvl="0">
      <w:start w:val="10"/>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5" w15:restartNumberingAfterBreak="0">
    <w:nsid w:val="36B31DC2"/>
    <w:multiLevelType w:val="multilevel"/>
    <w:tmpl w:val="3C8C175A"/>
    <w:lvl w:ilvl="0">
      <w:start w:val="5"/>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6" w15:restartNumberingAfterBreak="0">
    <w:nsid w:val="36C969C4"/>
    <w:multiLevelType w:val="multilevel"/>
    <w:tmpl w:val="A634A6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pStyle w:val="Numbering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8C4B17"/>
    <w:multiLevelType w:val="multilevel"/>
    <w:tmpl w:val="A0C2BE82"/>
    <w:lvl w:ilvl="0">
      <w:start w:val="1"/>
      <w:numFmt w:val="decimal"/>
      <w:lvlText w:val="(%1)"/>
      <w:lvlJc w:val="left"/>
      <w:pPr>
        <w:ind w:left="473"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8" w15:restartNumberingAfterBreak="0">
    <w:nsid w:val="433E528D"/>
    <w:multiLevelType w:val="hybridMultilevel"/>
    <w:tmpl w:val="48FAFF66"/>
    <w:lvl w:ilvl="0" w:tplc="15D6F776">
      <w:start w:val="2"/>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9" w15:restartNumberingAfterBreak="0">
    <w:nsid w:val="4A4E676D"/>
    <w:multiLevelType w:val="multilevel"/>
    <w:tmpl w:val="2D9ABD58"/>
    <w:lvl w:ilvl="0">
      <w:start w:val="6"/>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20" w15:restartNumberingAfterBreak="0">
    <w:nsid w:val="4D4169DB"/>
    <w:multiLevelType w:val="hybridMultilevel"/>
    <w:tmpl w:val="AF167EC2"/>
    <w:lvl w:ilvl="0" w:tplc="04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D5C78EE"/>
    <w:multiLevelType w:val="multilevel"/>
    <w:tmpl w:val="0E80C546"/>
    <w:styleLink w:val="XXXNummerierung"/>
    <w:lvl w:ilvl="0">
      <w:start w:val="1"/>
      <w:numFmt w:val="decimal"/>
      <w:lvlText w:val="%1."/>
      <w:lvlJc w:val="left"/>
      <w:pPr>
        <w:ind w:left="357" w:hanging="357"/>
      </w:pPr>
      <w:rPr>
        <w:rFonts w:ascii="Times New Roman" w:hAnsi="Times New Roman"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15:restartNumberingAfterBreak="0">
    <w:nsid w:val="50132978"/>
    <w:multiLevelType w:val="multilevel"/>
    <w:tmpl w:val="20FE15BE"/>
    <w:lvl w:ilvl="0">
      <w:start w:val="10"/>
      <w:numFmt w:val="decimal"/>
      <w:lvlText w:val="(%1)"/>
      <w:lvlJc w:val="left"/>
      <w:pPr>
        <w:ind w:left="473"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23" w15:restartNumberingAfterBreak="0">
    <w:nsid w:val="538739BC"/>
    <w:multiLevelType w:val="multilevel"/>
    <w:tmpl w:val="B70A78BE"/>
    <w:lvl w:ilvl="0">
      <w:start w:val="8"/>
      <w:numFmt w:val="decimal"/>
      <w:lvlText w:val="(%1)"/>
      <w:lvlJc w:val="left"/>
      <w:pPr>
        <w:ind w:left="473"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24" w15:restartNumberingAfterBreak="0">
    <w:nsid w:val="5D4A3354"/>
    <w:multiLevelType w:val="multilevel"/>
    <w:tmpl w:val="AF40A21E"/>
    <w:styleLink w:val="XXXNummerierung1"/>
    <w:lvl w:ilvl="0">
      <w:start w:val="1"/>
      <w:numFmt w:val="decimal"/>
      <w:pStyle w:val="headline1"/>
      <w:lvlText w:val="%1."/>
      <w:lvlJc w:val="left"/>
      <w:pPr>
        <w:ind w:left="357" w:hanging="357"/>
      </w:pPr>
      <w:rPr>
        <w:rFonts w:asciiTheme="majorHAnsi" w:hAnsiTheme="majorHAnsi" w:hint="default"/>
        <w:b/>
        <w:i w:val="0"/>
        <w:color w:val="23236E" w:themeColor="text2"/>
        <w:sz w:val="28"/>
        <w:u w:color="23236E" w:themeColor="text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asciiTheme="majorHAnsi" w:hAnsiTheme="majorHAnsi" w:hint="default"/>
        <w:b/>
        <w:i w:val="0"/>
        <w:color w:val="23236E" w:themeColor="text2"/>
        <w:sz w:val="28"/>
        <w:u w:color="23236E" w:themeColor="text2"/>
      </w:rPr>
    </w:lvl>
  </w:abstractNum>
  <w:abstractNum w:abstractNumId="25"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67FB5684"/>
    <w:multiLevelType w:val="hybridMultilevel"/>
    <w:tmpl w:val="FD1A987A"/>
    <w:lvl w:ilvl="0" w:tplc="4FB2C9E4">
      <w:start w:val="1"/>
      <w:numFmt w:val="lowerLetter"/>
      <w:lvlText w:val="(%1)"/>
      <w:lvlJc w:val="left"/>
      <w:pPr>
        <w:ind w:left="717" w:hanging="360"/>
      </w:pPr>
      <w:rPr>
        <w:rFonts w:hint="default"/>
        <w:b w:val="0"/>
      </w:rPr>
    </w:lvl>
    <w:lvl w:ilvl="1" w:tplc="D3281D72">
      <w:start w:val="1"/>
      <w:numFmt w:val="lowerRoman"/>
      <w:lvlText w:val="%2."/>
      <w:lvlJc w:val="right"/>
      <w:pPr>
        <w:ind w:left="1437" w:hanging="360"/>
      </w:pPr>
      <w:rPr>
        <w:rFonts w:hint="default"/>
        <w:b w:val="0"/>
      </w:r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27" w15:restartNumberingAfterBreak="0">
    <w:nsid w:val="69786D9F"/>
    <w:multiLevelType w:val="hybridMultilevel"/>
    <w:tmpl w:val="7FCEA792"/>
    <w:lvl w:ilvl="0" w:tplc="2CA2B89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B22480B"/>
    <w:multiLevelType w:val="hybridMultilevel"/>
    <w:tmpl w:val="B3CE631A"/>
    <w:lvl w:ilvl="0" w:tplc="D3281D72">
      <w:start w:val="1"/>
      <w:numFmt w:val="lowerRoman"/>
      <w:lvlText w:val="%1."/>
      <w:lvlJc w:val="right"/>
      <w:pPr>
        <w:ind w:left="1437"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68776F"/>
    <w:multiLevelType w:val="multilevel"/>
    <w:tmpl w:val="A0C2BE82"/>
    <w:lvl w:ilvl="0">
      <w:start w:val="1"/>
      <w:numFmt w:val="decimal"/>
      <w:lvlText w:val="(%1)"/>
      <w:lvlJc w:val="left"/>
      <w:pPr>
        <w:ind w:left="473"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30" w15:restartNumberingAfterBreak="0">
    <w:nsid w:val="6E2968B2"/>
    <w:multiLevelType w:val="multilevel"/>
    <w:tmpl w:val="5DAC2214"/>
    <w:lvl w:ilvl="0">
      <w:start w:val="10"/>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31" w15:restartNumberingAfterBreak="0">
    <w:nsid w:val="6FB83821"/>
    <w:multiLevelType w:val="multilevel"/>
    <w:tmpl w:val="1FDA3BA6"/>
    <w:lvl w:ilvl="0">
      <w:start w:val="1"/>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32" w15:restartNumberingAfterBreak="0">
    <w:nsid w:val="6FE03B4B"/>
    <w:multiLevelType w:val="multilevel"/>
    <w:tmpl w:val="1FDA3BA6"/>
    <w:lvl w:ilvl="0">
      <w:start w:val="1"/>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33" w15:restartNumberingAfterBreak="0">
    <w:nsid w:val="7EB35E65"/>
    <w:multiLevelType w:val="multilevel"/>
    <w:tmpl w:val="1FDA3BA6"/>
    <w:lvl w:ilvl="0">
      <w:start w:val="1"/>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34" w15:restartNumberingAfterBreak="0">
    <w:nsid w:val="7F1A5E96"/>
    <w:multiLevelType w:val="multilevel"/>
    <w:tmpl w:val="99502E1C"/>
    <w:lvl w:ilvl="0">
      <w:start w:val="1"/>
      <w:numFmt w:val="decimal"/>
      <w:pStyle w:val="AnnexeTitre1"/>
      <w:lvlText w:val="Anexa %1."/>
      <w:lvlJc w:val="left"/>
      <w:pPr>
        <w:tabs>
          <w:tab w:val="num" w:pos="1418"/>
        </w:tabs>
      </w:pPr>
      <w:rPr>
        <w:rFonts w:ascii="Arial" w:hAnsi="Arial" w:cs="Times New Roman" w:hint="default"/>
        <w:b/>
        <w:i w:val="0"/>
        <w:caps/>
        <w:strike w:val="0"/>
        <w:dstrike w:val="0"/>
        <w:vanish w:val="0"/>
        <w:sz w:val="24"/>
        <w:vertAlign w:val="baseline"/>
      </w:rPr>
    </w:lvl>
    <w:lvl w:ilvl="1">
      <w:start w:val="1"/>
      <w:numFmt w:val="decimal"/>
      <w:pStyle w:val="AnnexeTitre2"/>
      <w:lvlText w:val="%1.%2"/>
      <w:lvlJc w:val="left"/>
      <w:pPr>
        <w:tabs>
          <w:tab w:val="num" w:pos="851"/>
        </w:tabs>
      </w:pPr>
      <w:rPr>
        <w:rFonts w:ascii="Arial" w:hAnsi="Arial" w:cs="Times New Roman" w:hint="default"/>
        <w:b/>
        <w:bCs w:val="0"/>
        <w:i w:val="0"/>
        <w:iCs w:val="0"/>
        <w:caps w:val="0"/>
        <w:smallCaps w:val="0"/>
        <w:strike w:val="0"/>
        <w:dstrike w:val="0"/>
        <w:vanish w:val="0"/>
        <w:spacing w:val="0"/>
        <w:kern w:val="0"/>
        <w:position w:val="0"/>
        <w:sz w:val="24"/>
        <w:u w:val="none"/>
        <w:vertAlign w:val="baseline"/>
      </w:rPr>
    </w:lvl>
    <w:lvl w:ilvl="2">
      <w:start w:val="1"/>
      <w:numFmt w:val="decimal"/>
      <w:pStyle w:val="AnnexeTitre3"/>
      <w:lvlText w:val="%1.%2.%3"/>
      <w:lvlJc w:val="left"/>
      <w:pPr>
        <w:tabs>
          <w:tab w:val="num" w:pos="1134"/>
        </w:tabs>
      </w:pPr>
      <w:rPr>
        <w:rFonts w:ascii="Arial" w:hAnsi="Arial" w:cs="Times New Roman" w:hint="default"/>
        <w:b/>
        <w:sz w:val="24"/>
      </w:rPr>
    </w:lvl>
    <w:lvl w:ilvl="3">
      <w:start w:val="1"/>
      <w:numFmt w:val="decimal"/>
      <w:pStyle w:val="AnnexeTitre4"/>
      <w:lvlText w:val="%1.%2.%3.%4"/>
      <w:lvlJc w:val="left"/>
      <w:pPr>
        <w:tabs>
          <w:tab w:val="num" w:pos="1418"/>
        </w:tabs>
      </w:pPr>
      <w:rPr>
        <w:rFonts w:ascii="Arial" w:hAnsi="Arial" w:cs="Times New Roman" w:hint="default"/>
        <w:i/>
        <w:sz w:val="24"/>
      </w:rPr>
    </w:lvl>
    <w:lvl w:ilvl="4">
      <w:start w:val="1"/>
      <w:numFmt w:val="decimal"/>
      <w:lvlText w:val="%1.%2.%3.%4.%5"/>
      <w:lvlJc w:val="left"/>
      <w:pPr>
        <w:tabs>
          <w:tab w:val="num" w:pos="1278"/>
        </w:tabs>
        <w:ind w:left="1278"/>
      </w:pPr>
      <w:rPr>
        <w:rFonts w:cs="Times New Roman" w:hint="default"/>
      </w:rPr>
    </w:lvl>
    <w:lvl w:ilvl="5">
      <w:start w:val="1"/>
      <w:numFmt w:val="decimal"/>
      <w:lvlText w:val="%1.%2.%3.%4.%5.%6"/>
      <w:lvlJc w:val="left"/>
      <w:pPr>
        <w:tabs>
          <w:tab w:val="num" w:pos="1278"/>
        </w:tabs>
        <w:ind w:left="1278"/>
      </w:pPr>
      <w:rPr>
        <w:rFonts w:cs="Times New Roman" w:hint="default"/>
      </w:rPr>
    </w:lvl>
    <w:lvl w:ilvl="6">
      <w:start w:val="1"/>
      <w:numFmt w:val="decimal"/>
      <w:lvlText w:val="%1.%2.%3.%4.%5.%6.%7"/>
      <w:lvlJc w:val="left"/>
      <w:pPr>
        <w:tabs>
          <w:tab w:val="num" w:pos="1278"/>
        </w:tabs>
        <w:ind w:left="1278"/>
      </w:pPr>
      <w:rPr>
        <w:rFonts w:cs="Times New Roman" w:hint="default"/>
      </w:rPr>
    </w:lvl>
    <w:lvl w:ilvl="7">
      <w:start w:val="1"/>
      <w:numFmt w:val="decimal"/>
      <w:lvlText w:val="%1.%2.%3.%4.%5.%6.%7.%8"/>
      <w:lvlJc w:val="left"/>
      <w:pPr>
        <w:tabs>
          <w:tab w:val="num" w:pos="1278"/>
        </w:tabs>
        <w:ind w:left="1278"/>
      </w:pPr>
      <w:rPr>
        <w:rFonts w:cs="Times New Roman" w:hint="default"/>
      </w:rPr>
    </w:lvl>
    <w:lvl w:ilvl="8">
      <w:start w:val="1"/>
      <w:numFmt w:val="decimal"/>
      <w:lvlText w:val="%1.%2.%3.%4.%5.%6.%7.%8.%9"/>
      <w:lvlJc w:val="left"/>
      <w:pPr>
        <w:tabs>
          <w:tab w:val="num" w:pos="1278"/>
        </w:tabs>
        <w:ind w:left="1278"/>
      </w:pPr>
      <w:rPr>
        <w:rFonts w:cs="Times New Roman" w:hint="default"/>
      </w:rPr>
    </w:lvl>
  </w:abstractNum>
  <w:num w:numId="1">
    <w:abstractNumId w:val="24"/>
  </w:num>
  <w:num w:numId="2">
    <w:abstractNumId w:val="25"/>
  </w:num>
  <w:num w:numId="3">
    <w:abstractNumId w:val="10"/>
  </w:num>
  <w:num w:numId="4">
    <w:abstractNumId w:val="34"/>
  </w:num>
  <w:num w:numId="5">
    <w:abstractNumId w:val="8"/>
    <w:lvlOverride w:ilvl="0">
      <w:startOverride w:val="1"/>
    </w:lvlOverride>
  </w:num>
  <w:num w:numId="6">
    <w:abstractNumId w:val="4"/>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6"/>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0"/>
  </w:num>
  <w:num w:numId="15">
    <w:abstractNumId w:val="28"/>
  </w:num>
  <w:num w:numId="16">
    <w:abstractNumId w:val="20"/>
  </w:num>
  <w:num w:numId="17">
    <w:abstractNumId w:val="1"/>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none"/>
        <w:lvlText w:val=""/>
        <w:lvlJc w:val="left"/>
        <w:pPr>
          <w:ind w:left="0" w:firstLine="0"/>
        </w:pPr>
        <w:rPr>
          <w:rFonts w:hint="default"/>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6"/>
  </w:num>
  <w:num w:numId="24">
    <w:abstractNumId w:val="18"/>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2"/>
  </w:num>
  <w:num w:numId="54">
    <w:abstractNumId w:val="2"/>
  </w:num>
  <w:num w:numId="55">
    <w:abstractNumId w:val="11"/>
  </w:num>
  <w:num w:numId="56">
    <w:abstractNumId w:val="13"/>
  </w:num>
  <w:num w:numId="57">
    <w:abstractNumId w:val="33"/>
  </w:num>
  <w:num w:numId="58">
    <w:abstractNumId w:val="31"/>
  </w:num>
  <w:num w:numId="59">
    <w:abstractNumId w:val="29"/>
  </w:num>
  <w:num w:numId="60">
    <w:abstractNumId w:val="5"/>
  </w:num>
  <w:num w:numId="61">
    <w:abstractNumId w:val="12"/>
  </w:num>
  <w:num w:numId="62">
    <w:abstractNumId w:val="17"/>
  </w:num>
  <w:num w:numId="63">
    <w:abstractNumId w:val="9"/>
  </w:num>
  <w:num w:numId="64">
    <w:abstractNumId w:val="15"/>
  </w:num>
  <w:num w:numId="65">
    <w:abstractNumId w:val="19"/>
  </w:num>
  <w:num w:numId="66">
    <w:abstractNumId w:val="7"/>
  </w:num>
  <w:num w:numId="67">
    <w:abstractNumId w:val="14"/>
  </w:num>
  <w:num w:numId="68">
    <w:abstractNumId w:val="27"/>
  </w:num>
  <w:num w:numId="69">
    <w:abstractNumId w:val="23"/>
  </w:num>
  <w:num w:numId="70">
    <w:abstractNumId w:val="22"/>
  </w:num>
  <w:num w:numId="71">
    <w:abstractNumId w:val="3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de-DE" w:vendorID="64" w:dllVersion="6" w:nlCheck="1" w:checkStyle="0"/>
  <w:activeWritingStyle w:appName="MSWord" w:lang="en-US" w:vendorID="64" w:dllVersion="6" w:nlCheck="1" w:checkStyle="1"/>
  <w:activeWritingStyle w:appName="MSWord" w:lang="en-GB" w:vendorID="64" w:dllVersion="6" w:nlCheck="1" w:checkStyle="1"/>
  <w:activeWritingStyle w:appName="MSWord" w:lang="fr-BE" w:vendorID="64" w:dllVersion="6" w:nlCheck="1" w:checkStyle="0"/>
  <w:activeWritingStyle w:appName="MSWord" w:lang="en-GB" w:vendorID="64" w:dllVersion="0" w:nlCheck="1" w:checkStyle="0"/>
  <w:activeWritingStyle w:appName="MSWord" w:lang="en-US" w:vendorID="64" w:dllVersion="0" w:nlCheck="1" w:checkStyle="0"/>
  <w:activeWritingStyle w:appName="MSWord" w:lang="fr-BE" w:vendorID="64" w:dllVersion="0" w:nlCheck="1" w:checkStyle="0"/>
  <w:proofState w:spelling="clean" w:grammar="clean"/>
  <w:defaultTabStop w:val="709"/>
  <w:hyphenationZone w:val="425"/>
  <w:drawingGridHorizontalSpacing w:val="110"/>
  <w:displayHorizontalDrawingGridEvery w:val="2"/>
  <w:characterSpacingControl w:val="doNotCompress"/>
  <w:hdrShapeDefaults>
    <o:shapedefaults v:ext="edit" spidmax="2052" style="mso-position-horizontal-relative:page;mso-position-vertical-relative:page" strokecolor="none [3215]">
      <v:stroke color="none [3215]" weight="1pt"/>
    </o:shapedefaults>
    <o:shapelayout v:ext="edit">
      <o:idmap v:ext="edit" data="2"/>
      <o:rules v:ext="edit">
        <o:r id="V:Rule2" type="connector" idref="#AutoShape 8"/>
      </o:rules>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Lc0tTAyNzcztTQzMTFU0lEKTi0uzszPAykwqgUAR0179CwAAAA="/>
  </w:docVars>
  <w:rsids>
    <w:rsidRoot w:val="004F245D"/>
    <w:rsid w:val="0000000E"/>
    <w:rsid w:val="00000267"/>
    <w:rsid w:val="000016EF"/>
    <w:rsid w:val="00001863"/>
    <w:rsid w:val="00001BD2"/>
    <w:rsid w:val="00001E3F"/>
    <w:rsid w:val="00002477"/>
    <w:rsid w:val="00002B00"/>
    <w:rsid w:val="000034EB"/>
    <w:rsid w:val="0000350F"/>
    <w:rsid w:val="0000380E"/>
    <w:rsid w:val="00004489"/>
    <w:rsid w:val="000050E4"/>
    <w:rsid w:val="00005A3F"/>
    <w:rsid w:val="00005C54"/>
    <w:rsid w:val="00006761"/>
    <w:rsid w:val="00006E9C"/>
    <w:rsid w:val="00007CA8"/>
    <w:rsid w:val="00007FEB"/>
    <w:rsid w:val="00010D39"/>
    <w:rsid w:val="00010E6C"/>
    <w:rsid w:val="000118B0"/>
    <w:rsid w:val="00011F40"/>
    <w:rsid w:val="000122F8"/>
    <w:rsid w:val="00013012"/>
    <w:rsid w:val="00013216"/>
    <w:rsid w:val="0001463D"/>
    <w:rsid w:val="00015144"/>
    <w:rsid w:val="00015918"/>
    <w:rsid w:val="000174DF"/>
    <w:rsid w:val="000177AF"/>
    <w:rsid w:val="00017B9E"/>
    <w:rsid w:val="00017E2E"/>
    <w:rsid w:val="00020052"/>
    <w:rsid w:val="0002030F"/>
    <w:rsid w:val="00020940"/>
    <w:rsid w:val="00020BA3"/>
    <w:rsid w:val="00020C82"/>
    <w:rsid w:val="00021313"/>
    <w:rsid w:val="00023BE9"/>
    <w:rsid w:val="00023E04"/>
    <w:rsid w:val="00024B77"/>
    <w:rsid w:val="000255B0"/>
    <w:rsid w:val="00025CC7"/>
    <w:rsid w:val="00026018"/>
    <w:rsid w:val="000260F2"/>
    <w:rsid w:val="000263EE"/>
    <w:rsid w:val="00026663"/>
    <w:rsid w:val="00027FBD"/>
    <w:rsid w:val="000304E9"/>
    <w:rsid w:val="00030F26"/>
    <w:rsid w:val="00031C4D"/>
    <w:rsid w:val="00031DBC"/>
    <w:rsid w:val="000320F8"/>
    <w:rsid w:val="0003234D"/>
    <w:rsid w:val="000328D5"/>
    <w:rsid w:val="000330DB"/>
    <w:rsid w:val="00033517"/>
    <w:rsid w:val="00034371"/>
    <w:rsid w:val="00035D77"/>
    <w:rsid w:val="000376A9"/>
    <w:rsid w:val="00037E8B"/>
    <w:rsid w:val="00040275"/>
    <w:rsid w:val="00040BB0"/>
    <w:rsid w:val="00040D03"/>
    <w:rsid w:val="00041680"/>
    <w:rsid w:val="000422E2"/>
    <w:rsid w:val="00043050"/>
    <w:rsid w:val="00043180"/>
    <w:rsid w:val="00043421"/>
    <w:rsid w:val="00043E9B"/>
    <w:rsid w:val="0004462B"/>
    <w:rsid w:val="00044BE9"/>
    <w:rsid w:val="00044CDE"/>
    <w:rsid w:val="00045E7A"/>
    <w:rsid w:val="00046539"/>
    <w:rsid w:val="0004654D"/>
    <w:rsid w:val="00046D0D"/>
    <w:rsid w:val="000472F4"/>
    <w:rsid w:val="000478B5"/>
    <w:rsid w:val="0005044A"/>
    <w:rsid w:val="00050579"/>
    <w:rsid w:val="000506B2"/>
    <w:rsid w:val="00050DFE"/>
    <w:rsid w:val="00050EBF"/>
    <w:rsid w:val="00051FD5"/>
    <w:rsid w:val="000528EA"/>
    <w:rsid w:val="00052FCF"/>
    <w:rsid w:val="0005374C"/>
    <w:rsid w:val="00054BDB"/>
    <w:rsid w:val="00054E6E"/>
    <w:rsid w:val="000557BC"/>
    <w:rsid w:val="000558B9"/>
    <w:rsid w:val="00055CAC"/>
    <w:rsid w:val="0005624C"/>
    <w:rsid w:val="000564D4"/>
    <w:rsid w:val="00056620"/>
    <w:rsid w:val="00056A0D"/>
    <w:rsid w:val="0005708F"/>
    <w:rsid w:val="000574A0"/>
    <w:rsid w:val="000601F9"/>
    <w:rsid w:val="000606E2"/>
    <w:rsid w:val="000611F4"/>
    <w:rsid w:val="0006166A"/>
    <w:rsid w:val="00061C7B"/>
    <w:rsid w:val="00062475"/>
    <w:rsid w:val="000629FD"/>
    <w:rsid w:val="00062D2C"/>
    <w:rsid w:val="0006396D"/>
    <w:rsid w:val="00063ACB"/>
    <w:rsid w:val="00063B95"/>
    <w:rsid w:val="000640C1"/>
    <w:rsid w:val="00064222"/>
    <w:rsid w:val="0006467A"/>
    <w:rsid w:val="0006467D"/>
    <w:rsid w:val="00064C8E"/>
    <w:rsid w:val="00064F43"/>
    <w:rsid w:val="00065663"/>
    <w:rsid w:val="00065A9E"/>
    <w:rsid w:val="00065EAE"/>
    <w:rsid w:val="00066105"/>
    <w:rsid w:val="0006646D"/>
    <w:rsid w:val="0006664B"/>
    <w:rsid w:val="0006760E"/>
    <w:rsid w:val="00067BC5"/>
    <w:rsid w:val="00070146"/>
    <w:rsid w:val="00070D5D"/>
    <w:rsid w:val="00072316"/>
    <w:rsid w:val="00072693"/>
    <w:rsid w:val="00072C1D"/>
    <w:rsid w:val="000738DD"/>
    <w:rsid w:val="000745D2"/>
    <w:rsid w:val="00074620"/>
    <w:rsid w:val="00074992"/>
    <w:rsid w:val="00074ED9"/>
    <w:rsid w:val="00075622"/>
    <w:rsid w:val="00075C11"/>
    <w:rsid w:val="0007613C"/>
    <w:rsid w:val="00077AB2"/>
    <w:rsid w:val="00077D72"/>
    <w:rsid w:val="00080809"/>
    <w:rsid w:val="0008116A"/>
    <w:rsid w:val="00081625"/>
    <w:rsid w:val="00082877"/>
    <w:rsid w:val="000828E3"/>
    <w:rsid w:val="00082903"/>
    <w:rsid w:val="00082DD0"/>
    <w:rsid w:val="00082DD4"/>
    <w:rsid w:val="00082EAE"/>
    <w:rsid w:val="00082EEA"/>
    <w:rsid w:val="000838B6"/>
    <w:rsid w:val="00084629"/>
    <w:rsid w:val="00084990"/>
    <w:rsid w:val="00084DA1"/>
    <w:rsid w:val="000851EF"/>
    <w:rsid w:val="00085A9E"/>
    <w:rsid w:val="00085E2B"/>
    <w:rsid w:val="00086201"/>
    <w:rsid w:val="000866FE"/>
    <w:rsid w:val="0008692F"/>
    <w:rsid w:val="00086B0B"/>
    <w:rsid w:val="00086B8D"/>
    <w:rsid w:val="00087892"/>
    <w:rsid w:val="00087D15"/>
    <w:rsid w:val="00091925"/>
    <w:rsid w:val="0009212B"/>
    <w:rsid w:val="0009237D"/>
    <w:rsid w:val="000925BA"/>
    <w:rsid w:val="000925E1"/>
    <w:rsid w:val="000929CB"/>
    <w:rsid w:val="00093025"/>
    <w:rsid w:val="00093417"/>
    <w:rsid w:val="00094900"/>
    <w:rsid w:val="00094D55"/>
    <w:rsid w:val="0009513A"/>
    <w:rsid w:val="000957FB"/>
    <w:rsid w:val="0009605B"/>
    <w:rsid w:val="000961F8"/>
    <w:rsid w:val="000A005C"/>
    <w:rsid w:val="000A03DA"/>
    <w:rsid w:val="000A0960"/>
    <w:rsid w:val="000A186F"/>
    <w:rsid w:val="000A2290"/>
    <w:rsid w:val="000A2405"/>
    <w:rsid w:val="000A2817"/>
    <w:rsid w:val="000A2D1E"/>
    <w:rsid w:val="000A4CDF"/>
    <w:rsid w:val="000A56BB"/>
    <w:rsid w:val="000A6161"/>
    <w:rsid w:val="000A638E"/>
    <w:rsid w:val="000A6794"/>
    <w:rsid w:val="000A67D7"/>
    <w:rsid w:val="000A724B"/>
    <w:rsid w:val="000A76F7"/>
    <w:rsid w:val="000B013C"/>
    <w:rsid w:val="000B0C08"/>
    <w:rsid w:val="000B1747"/>
    <w:rsid w:val="000B1960"/>
    <w:rsid w:val="000B2438"/>
    <w:rsid w:val="000B2BD9"/>
    <w:rsid w:val="000B2DEA"/>
    <w:rsid w:val="000B3006"/>
    <w:rsid w:val="000B3069"/>
    <w:rsid w:val="000B4510"/>
    <w:rsid w:val="000B4A07"/>
    <w:rsid w:val="000B51A4"/>
    <w:rsid w:val="000B5814"/>
    <w:rsid w:val="000B5E0D"/>
    <w:rsid w:val="000B5ECD"/>
    <w:rsid w:val="000B6B8B"/>
    <w:rsid w:val="000B7E6E"/>
    <w:rsid w:val="000C0267"/>
    <w:rsid w:val="000C04E2"/>
    <w:rsid w:val="000C0AAF"/>
    <w:rsid w:val="000C0ABD"/>
    <w:rsid w:val="000C1269"/>
    <w:rsid w:val="000C13E8"/>
    <w:rsid w:val="000C180F"/>
    <w:rsid w:val="000C1B47"/>
    <w:rsid w:val="000C1F59"/>
    <w:rsid w:val="000C2507"/>
    <w:rsid w:val="000C2945"/>
    <w:rsid w:val="000C37CD"/>
    <w:rsid w:val="000C3EBE"/>
    <w:rsid w:val="000C5320"/>
    <w:rsid w:val="000C5E26"/>
    <w:rsid w:val="000C61C3"/>
    <w:rsid w:val="000C6EEA"/>
    <w:rsid w:val="000C795B"/>
    <w:rsid w:val="000C7A6D"/>
    <w:rsid w:val="000C7DE6"/>
    <w:rsid w:val="000C7FBA"/>
    <w:rsid w:val="000D133C"/>
    <w:rsid w:val="000D1958"/>
    <w:rsid w:val="000D4B36"/>
    <w:rsid w:val="000D5538"/>
    <w:rsid w:val="000D5851"/>
    <w:rsid w:val="000D65CC"/>
    <w:rsid w:val="000D68D7"/>
    <w:rsid w:val="000D6B74"/>
    <w:rsid w:val="000E0CB8"/>
    <w:rsid w:val="000E130F"/>
    <w:rsid w:val="000E1355"/>
    <w:rsid w:val="000E1B6B"/>
    <w:rsid w:val="000E1BB6"/>
    <w:rsid w:val="000E2657"/>
    <w:rsid w:val="000E3124"/>
    <w:rsid w:val="000E32FA"/>
    <w:rsid w:val="000E39FF"/>
    <w:rsid w:val="000E40CF"/>
    <w:rsid w:val="000E4356"/>
    <w:rsid w:val="000E56B6"/>
    <w:rsid w:val="000E578F"/>
    <w:rsid w:val="000E65D8"/>
    <w:rsid w:val="000E6B0F"/>
    <w:rsid w:val="000E750A"/>
    <w:rsid w:val="000E7F90"/>
    <w:rsid w:val="000F06E6"/>
    <w:rsid w:val="000F197C"/>
    <w:rsid w:val="000F2456"/>
    <w:rsid w:val="000F4870"/>
    <w:rsid w:val="000F693C"/>
    <w:rsid w:val="000F6A30"/>
    <w:rsid w:val="000F72D3"/>
    <w:rsid w:val="00100492"/>
    <w:rsid w:val="001019D1"/>
    <w:rsid w:val="00102C80"/>
    <w:rsid w:val="00103F0E"/>
    <w:rsid w:val="00104172"/>
    <w:rsid w:val="001046BE"/>
    <w:rsid w:val="00104B3A"/>
    <w:rsid w:val="00104F85"/>
    <w:rsid w:val="00105362"/>
    <w:rsid w:val="00105C10"/>
    <w:rsid w:val="00106E66"/>
    <w:rsid w:val="0010770C"/>
    <w:rsid w:val="00107959"/>
    <w:rsid w:val="001079AE"/>
    <w:rsid w:val="00113043"/>
    <w:rsid w:val="0011336B"/>
    <w:rsid w:val="00115516"/>
    <w:rsid w:val="00116C5F"/>
    <w:rsid w:val="001173E7"/>
    <w:rsid w:val="00117A8C"/>
    <w:rsid w:val="00117DB2"/>
    <w:rsid w:val="00120719"/>
    <w:rsid w:val="00121713"/>
    <w:rsid w:val="001217BB"/>
    <w:rsid w:val="00122CD3"/>
    <w:rsid w:val="0012302E"/>
    <w:rsid w:val="001239A4"/>
    <w:rsid w:val="00126336"/>
    <w:rsid w:val="00127633"/>
    <w:rsid w:val="00130844"/>
    <w:rsid w:val="00131509"/>
    <w:rsid w:val="00132156"/>
    <w:rsid w:val="001322BA"/>
    <w:rsid w:val="00134292"/>
    <w:rsid w:val="001348E1"/>
    <w:rsid w:val="00135286"/>
    <w:rsid w:val="00135320"/>
    <w:rsid w:val="001353C8"/>
    <w:rsid w:val="001356D2"/>
    <w:rsid w:val="00136B97"/>
    <w:rsid w:val="00137271"/>
    <w:rsid w:val="00137AB3"/>
    <w:rsid w:val="00137B0A"/>
    <w:rsid w:val="00140E80"/>
    <w:rsid w:val="001410AA"/>
    <w:rsid w:val="001413AC"/>
    <w:rsid w:val="00141430"/>
    <w:rsid w:val="00141CD9"/>
    <w:rsid w:val="001428B5"/>
    <w:rsid w:val="001437DF"/>
    <w:rsid w:val="00143A4D"/>
    <w:rsid w:val="00143D8B"/>
    <w:rsid w:val="00143E42"/>
    <w:rsid w:val="00143FA9"/>
    <w:rsid w:val="00144395"/>
    <w:rsid w:val="0014441D"/>
    <w:rsid w:val="001444CA"/>
    <w:rsid w:val="00144BF3"/>
    <w:rsid w:val="001461DD"/>
    <w:rsid w:val="00146409"/>
    <w:rsid w:val="00147065"/>
    <w:rsid w:val="001473A0"/>
    <w:rsid w:val="00147964"/>
    <w:rsid w:val="0015047C"/>
    <w:rsid w:val="0015128E"/>
    <w:rsid w:val="00151DA0"/>
    <w:rsid w:val="00152229"/>
    <w:rsid w:val="00152CAE"/>
    <w:rsid w:val="0015305A"/>
    <w:rsid w:val="001530B2"/>
    <w:rsid w:val="00153F56"/>
    <w:rsid w:val="00154BBB"/>
    <w:rsid w:val="00155E3B"/>
    <w:rsid w:val="00155FBC"/>
    <w:rsid w:val="001562EF"/>
    <w:rsid w:val="00156E9D"/>
    <w:rsid w:val="00157893"/>
    <w:rsid w:val="001601E1"/>
    <w:rsid w:val="00161466"/>
    <w:rsid w:val="0016297B"/>
    <w:rsid w:val="00162B68"/>
    <w:rsid w:val="001645C2"/>
    <w:rsid w:val="00165E89"/>
    <w:rsid w:val="00165EC1"/>
    <w:rsid w:val="0016628F"/>
    <w:rsid w:val="00166871"/>
    <w:rsid w:val="00166DB9"/>
    <w:rsid w:val="00170B42"/>
    <w:rsid w:val="00170C8D"/>
    <w:rsid w:val="0017149C"/>
    <w:rsid w:val="00171669"/>
    <w:rsid w:val="00171977"/>
    <w:rsid w:val="0017298B"/>
    <w:rsid w:val="00172AEC"/>
    <w:rsid w:val="00172FB5"/>
    <w:rsid w:val="001739AF"/>
    <w:rsid w:val="00173B56"/>
    <w:rsid w:val="0017478D"/>
    <w:rsid w:val="00174F8D"/>
    <w:rsid w:val="001756B4"/>
    <w:rsid w:val="001764E7"/>
    <w:rsid w:val="00176693"/>
    <w:rsid w:val="00176A78"/>
    <w:rsid w:val="0017741B"/>
    <w:rsid w:val="00177B8C"/>
    <w:rsid w:val="00180BB6"/>
    <w:rsid w:val="00182232"/>
    <w:rsid w:val="00182700"/>
    <w:rsid w:val="001827E5"/>
    <w:rsid w:val="001842E6"/>
    <w:rsid w:val="001843B8"/>
    <w:rsid w:val="001848EE"/>
    <w:rsid w:val="001852E0"/>
    <w:rsid w:val="0018540A"/>
    <w:rsid w:val="00185859"/>
    <w:rsid w:val="00185CC0"/>
    <w:rsid w:val="00186B5C"/>
    <w:rsid w:val="001870EE"/>
    <w:rsid w:val="00190441"/>
    <w:rsid w:val="00190860"/>
    <w:rsid w:val="00191AFB"/>
    <w:rsid w:val="00192DD1"/>
    <w:rsid w:val="0019324E"/>
    <w:rsid w:val="001936CB"/>
    <w:rsid w:val="001939EE"/>
    <w:rsid w:val="00193F91"/>
    <w:rsid w:val="00194A67"/>
    <w:rsid w:val="0019528B"/>
    <w:rsid w:val="001954B6"/>
    <w:rsid w:val="00197686"/>
    <w:rsid w:val="00197F01"/>
    <w:rsid w:val="001A004B"/>
    <w:rsid w:val="001A00C4"/>
    <w:rsid w:val="001A03A3"/>
    <w:rsid w:val="001A09F5"/>
    <w:rsid w:val="001A0F83"/>
    <w:rsid w:val="001A3169"/>
    <w:rsid w:val="001A416B"/>
    <w:rsid w:val="001A445C"/>
    <w:rsid w:val="001A4A75"/>
    <w:rsid w:val="001A55A2"/>
    <w:rsid w:val="001A57E3"/>
    <w:rsid w:val="001A5855"/>
    <w:rsid w:val="001A5C47"/>
    <w:rsid w:val="001A612D"/>
    <w:rsid w:val="001A693F"/>
    <w:rsid w:val="001A6F73"/>
    <w:rsid w:val="001A74E9"/>
    <w:rsid w:val="001A7C03"/>
    <w:rsid w:val="001B007D"/>
    <w:rsid w:val="001B01D4"/>
    <w:rsid w:val="001B119C"/>
    <w:rsid w:val="001B1209"/>
    <w:rsid w:val="001B154A"/>
    <w:rsid w:val="001B1D10"/>
    <w:rsid w:val="001B28FA"/>
    <w:rsid w:val="001B2F27"/>
    <w:rsid w:val="001B2F90"/>
    <w:rsid w:val="001B3041"/>
    <w:rsid w:val="001B30D5"/>
    <w:rsid w:val="001B3167"/>
    <w:rsid w:val="001B3299"/>
    <w:rsid w:val="001B38B8"/>
    <w:rsid w:val="001B4613"/>
    <w:rsid w:val="001B5318"/>
    <w:rsid w:val="001B615B"/>
    <w:rsid w:val="001B6B44"/>
    <w:rsid w:val="001B6FF5"/>
    <w:rsid w:val="001B7F98"/>
    <w:rsid w:val="001C0012"/>
    <w:rsid w:val="001C0BB2"/>
    <w:rsid w:val="001C193F"/>
    <w:rsid w:val="001C1B07"/>
    <w:rsid w:val="001C1BB5"/>
    <w:rsid w:val="001C24B6"/>
    <w:rsid w:val="001C31D3"/>
    <w:rsid w:val="001C33B9"/>
    <w:rsid w:val="001C3E32"/>
    <w:rsid w:val="001C5507"/>
    <w:rsid w:val="001C57D1"/>
    <w:rsid w:val="001C5A40"/>
    <w:rsid w:val="001C5EDD"/>
    <w:rsid w:val="001C6D64"/>
    <w:rsid w:val="001C6E7E"/>
    <w:rsid w:val="001C7943"/>
    <w:rsid w:val="001D02F6"/>
    <w:rsid w:val="001D037D"/>
    <w:rsid w:val="001D132D"/>
    <w:rsid w:val="001D1A8C"/>
    <w:rsid w:val="001D2CB4"/>
    <w:rsid w:val="001D3208"/>
    <w:rsid w:val="001D3B75"/>
    <w:rsid w:val="001D605B"/>
    <w:rsid w:val="001D6477"/>
    <w:rsid w:val="001D6A5C"/>
    <w:rsid w:val="001D7B8E"/>
    <w:rsid w:val="001D7CC5"/>
    <w:rsid w:val="001E0F7D"/>
    <w:rsid w:val="001E1418"/>
    <w:rsid w:val="001E1551"/>
    <w:rsid w:val="001E15DA"/>
    <w:rsid w:val="001E1892"/>
    <w:rsid w:val="001E1C29"/>
    <w:rsid w:val="001E291E"/>
    <w:rsid w:val="001E2A1B"/>
    <w:rsid w:val="001E2EE0"/>
    <w:rsid w:val="001E64B5"/>
    <w:rsid w:val="001E6DE4"/>
    <w:rsid w:val="001E70D1"/>
    <w:rsid w:val="001F0104"/>
    <w:rsid w:val="001F0550"/>
    <w:rsid w:val="001F09FA"/>
    <w:rsid w:val="001F0A4B"/>
    <w:rsid w:val="001F1A25"/>
    <w:rsid w:val="001F1EF5"/>
    <w:rsid w:val="001F267D"/>
    <w:rsid w:val="001F2C4E"/>
    <w:rsid w:val="001F303B"/>
    <w:rsid w:val="001F4952"/>
    <w:rsid w:val="001F4BAF"/>
    <w:rsid w:val="001F6084"/>
    <w:rsid w:val="001F66F8"/>
    <w:rsid w:val="001F6C7B"/>
    <w:rsid w:val="001F73B9"/>
    <w:rsid w:val="001F78A8"/>
    <w:rsid w:val="002002DA"/>
    <w:rsid w:val="00200D40"/>
    <w:rsid w:val="00201086"/>
    <w:rsid w:val="00201458"/>
    <w:rsid w:val="00201537"/>
    <w:rsid w:val="0020312D"/>
    <w:rsid w:val="0020327F"/>
    <w:rsid w:val="00203305"/>
    <w:rsid w:val="002034E6"/>
    <w:rsid w:val="00204196"/>
    <w:rsid w:val="00204B1C"/>
    <w:rsid w:val="00204BA5"/>
    <w:rsid w:val="00205F0F"/>
    <w:rsid w:val="00206E1D"/>
    <w:rsid w:val="00210D02"/>
    <w:rsid w:val="002116EB"/>
    <w:rsid w:val="00212212"/>
    <w:rsid w:val="00214D96"/>
    <w:rsid w:val="00215169"/>
    <w:rsid w:val="002151DE"/>
    <w:rsid w:val="00215880"/>
    <w:rsid w:val="00215C42"/>
    <w:rsid w:val="00215DCC"/>
    <w:rsid w:val="002173FD"/>
    <w:rsid w:val="00221842"/>
    <w:rsid w:val="002226D9"/>
    <w:rsid w:val="00223303"/>
    <w:rsid w:val="00225A26"/>
    <w:rsid w:val="00225EFC"/>
    <w:rsid w:val="00226281"/>
    <w:rsid w:val="00230B2F"/>
    <w:rsid w:val="00231F97"/>
    <w:rsid w:val="00232F41"/>
    <w:rsid w:val="002349FF"/>
    <w:rsid w:val="00236045"/>
    <w:rsid w:val="00236E6B"/>
    <w:rsid w:val="00237CAD"/>
    <w:rsid w:val="00240A77"/>
    <w:rsid w:val="0024169C"/>
    <w:rsid w:val="002416B5"/>
    <w:rsid w:val="0024176D"/>
    <w:rsid w:val="00241C51"/>
    <w:rsid w:val="0024247F"/>
    <w:rsid w:val="00242646"/>
    <w:rsid w:val="002427DD"/>
    <w:rsid w:val="0024300C"/>
    <w:rsid w:val="0024386D"/>
    <w:rsid w:val="002443F1"/>
    <w:rsid w:val="0024563A"/>
    <w:rsid w:val="00245849"/>
    <w:rsid w:val="002473D6"/>
    <w:rsid w:val="00247956"/>
    <w:rsid w:val="00247BE7"/>
    <w:rsid w:val="002509BA"/>
    <w:rsid w:val="00250B61"/>
    <w:rsid w:val="00250C5B"/>
    <w:rsid w:val="00250CFB"/>
    <w:rsid w:val="00250F67"/>
    <w:rsid w:val="00251167"/>
    <w:rsid w:val="0025248A"/>
    <w:rsid w:val="00254A25"/>
    <w:rsid w:val="002566FB"/>
    <w:rsid w:val="002568F0"/>
    <w:rsid w:val="00256970"/>
    <w:rsid w:val="00256FEF"/>
    <w:rsid w:val="00257005"/>
    <w:rsid w:val="0026266B"/>
    <w:rsid w:val="0026291B"/>
    <w:rsid w:val="00262984"/>
    <w:rsid w:val="00263B85"/>
    <w:rsid w:val="00263DD2"/>
    <w:rsid w:val="0026449E"/>
    <w:rsid w:val="0026485E"/>
    <w:rsid w:val="00265319"/>
    <w:rsid w:val="0026601C"/>
    <w:rsid w:val="00266037"/>
    <w:rsid w:val="00270D48"/>
    <w:rsid w:val="00271491"/>
    <w:rsid w:val="00271583"/>
    <w:rsid w:val="00271B34"/>
    <w:rsid w:val="00272CEB"/>
    <w:rsid w:val="00272EBF"/>
    <w:rsid w:val="002746E1"/>
    <w:rsid w:val="002750E8"/>
    <w:rsid w:val="00275657"/>
    <w:rsid w:val="0027576F"/>
    <w:rsid w:val="00276BB1"/>
    <w:rsid w:val="00277025"/>
    <w:rsid w:val="00277768"/>
    <w:rsid w:val="00280842"/>
    <w:rsid w:val="002810F4"/>
    <w:rsid w:val="002815C4"/>
    <w:rsid w:val="00282D59"/>
    <w:rsid w:val="00282FB3"/>
    <w:rsid w:val="00282FD7"/>
    <w:rsid w:val="0028321A"/>
    <w:rsid w:val="002838AF"/>
    <w:rsid w:val="00283AA7"/>
    <w:rsid w:val="0028408F"/>
    <w:rsid w:val="0028434C"/>
    <w:rsid w:val="00284DC1"/>
    <w:rsid w:val="00285277"/>
    <w:rsid w:val="0028551D"/>
    <w:rsid w:val="00285B00"/>
    <w:rsid w:val="00285F0B"/>
    <w:rsid w:val="0028685A"/>
    <w:rsid w:val="00286941"/>
    <w:rsid w:val="00290116"/>
    <w:rsid w:val="00290744"/>
    <w:rsid w:val="00290CD6"/>
    <w:rsid w:val="00290FD6"/>
    <w:rsid w:val="0029240A"/>
    <w:rsid w:val="00292898"/>
    <w:rsid w:val="00292C59"/>
    <w:rsid w:val="00293149"/>
    <w:rsid w:val="002932BE"/>
    <w:rsid w:val="00294696"/>
    <w:rsid w:val="00294BF6"/>
    <w:rsid w:val="0029572A"/>
    <w:rsid w:val="00297ADD"/>
    <w:rsid w:val="002A03AE"/>
    <w:rsid w:val="002A0448"/>
    <w:rsid w:val="002A0E07"/>
    <w:rsid w:val="002A1640"/>
    <w:rsid w:val="002A1ED3"/>
    <w:rsid w:val="002A24FA"/>
    <w:rsid w:val="002A28B8"/>
    <w:rsid w:val="002A2D6F"/>
    <w:rsid w:val="002A30A2"/>
    <w:rsid w:val="002A460E"/>
    <w:rsid w:val="002A4F50"/>
    <w:rsid w:val="002A50B5"/>
    <w:rsid w:val="002A5F66"/>
    <w:rsid w:val="002A68E8"/>
    <w:rsid w:val="002A6C3D"/>
    <w:rsid w:val="002A6E8D"/>
    <w:rsid w:val="002A6FE8"/>
    <w:rsid w:val="002A77C6"/>
    <w:rsid w:val="002A7D65"/>
    <w:rsid w:val="002A7F83"/>
    <w:rsid w:val="002B108C"/>
    <w:rsid w:val="002B117A"/>
    <w:rsid w:val="002B1644"/>
    <w:rsid w:val="002B17C2"/>
    <w:rsid w:val="002B2C43"/>
    <w:rsid w:val="002B3C81"/>
    <w:rsid w:val="002B3FA9"/>
    <w:rsid w:val="002B48A6"/>
    <w:rsid w:val="002B4BFC"/>
    <w:rsid w:val="002B4D7F"/>
    <w:rsid w:val="002B5D68"/>
    <w:rsid w:val="002B6057"/>
    <w:rsid w:val="002B607E"/>
    <w:rsid w:val="002B6782"/>
    <w:rsid w:val="002B712C"/>
    <w:rsid w:val="002B7752"/>
    <w:rsid w:val="002B7E17"/>
    <w:rsid w:val="002C0038"/>
    <w:rsid w:val="002C0190"/>
    <w:rsid w:val="002C030F"/>
    <w:rsid w:val="002C0CFF"/>
    <w:rsid w:val="002C18DD"/>
    <w:rsid w:val="002C2F8D"/>
    <w:rsid w:val="002C3767"/>
    <w:rsid w:val="002C3FAA"/>
    <w:rsid w:val="002C4348"/>
    <w:rsid w:val="002C65C6"/>
    <w:rsid w:val="002C67D0"/>
    <w:rsid w:val="002C7802"/>
    <w:rsid w:val="002C78C8"/>
    <w:rsid w:val="002C7A5D"/>
    <w:rsid w:val="002C7C5C"/>
    <w:rsid w:val="002D04BB"/>
    <w:rsid w:val="002D06F0"/>
    <w:rsid w:val="002D0712"/>
    <w:rsid w:val="002D1B68"/>
    <w:rsid w:val="002D322B"/>
    <w:rsid w:val="002D3D68"/>
    <w:rsid w:val="002D4660"/>
    <w:rsid w:val="002D47C5"/>
    <w:rsid w:val="002D5057"/>
    <w:rsid w:val="002D5163"/>
    <w:rsid w:val="002D5C96"/>
    <w:rsid w:val="002D5E0B"/>
    <w:rsid w:val="002D659C"/>
    <w:rsid w:val="002D6D74"/>
    <w:rsid w:val="002D7D4C"/>
    <w:rsid w:val="002E0AE7"/>
    <w:rsid w:val="002E0EBB"/>
    <w:rsid w:val="002E1052"/>
    <w:rsid w:val="002E1BB9"/>
    <w:rsid w:val="002E1C61"/>
    <w:rsid w:val="002E2068"/>
    <w:rsid w:val="002E2967"/>
    <w:rsid w:val="002E2985"/>
    <w:rsid w:val="002E3552"/>
    <w:rsid w:val="002E371E"/>
    <w:rsid w:val="002E3926"/>
    <w:rsid w:val="002E3CF0"/>
    <w:rsid w:val="002E421F"/>
    <w:rsid w:val="002E470A"/>
    <w:rsid w:val="002E4CEC"/>
    <w:rsid w:val="002E5694"/>
    <w:rsid w:val="002E607F"/>
    <w:rsid w:val="002E6FA8"/>
    <w:rsid w:val="002E7193"/>
    <w:rsid w:val="002E768A"/>
    <w:rsid w:val="002E7C60"/>
    <w:rsid w:val="002E7EA1"/>
    <w:rsid w:val="002F000A"/>
    <w:rsid w:val="002F0171"/>
    <w:rsid w:val="002F0298"/>
    <w:rsid w:val="002F1B37"/>
    <w:rsid w:val="002F2115"/>
    <w:rsid w:val="002F2EA9"/>
    <w:rsid w:val="002F3275"/>
    <w:rsid w:val="002F34E2"/>
    <w:rsid w:val="002F4092"/>
    <w:rsid w:val="002F45F4"/>
    <w:rsid w:val="002F4AB7"/>
    <w:rsid w:val="002F56DD"/>
    <w:rsid w:val="002F5869"/>
    <w:rsid w:val="002F5C6D"/>
    <w:rsid w:val="002F5EFD"/>
    <w:rsid w:val="002F671E"/>
    <w:rsid w:val="002F6DCB"/>
    <w:rsid w:val="002F74E3"/>
    <w:rsid w:val="002F7528"/>
    <w:rsid w:val="00300024"/>
    <w:rsid w:val="003000B2"/>
    <w:rsid w:val="00300AA5"/>
    <w:rsid w:val="00300F3A"/>
    <w:rsid w:val="00302DA9"/>
    <w:rsid w:val="0030340C"/>
    <w:rsid w:val="00303D3C"/>
    <w:rsid w:val="00304026"/>
    <w:rsid w:val="003046F1"/>
    <w:rsid w:val="00304CFA"/>
    <w:rsid w:val="00305761"/>
    <w:rsid w:val="003057E6"/>
    <w:rsid w:val="00306653"/>
    <w:rsid w:val="00306AF0"/>
    <w:rsid w:val="00307302"/>
    <w:rsid w:val="00310362"/>
    <w:rsid w:val="003120E0"/>
    <w:rsid w:val="0031214D"/>
    <w:rsid w:val="0031329F"/>
    <w:rsid w:val="00314D3E"/>
    <w:rsid w:val="003153A7"/>
    <w:rsid w:val="00315848"/>
    <w:rsid w:val="003162BC"/>
    <w:rsid w:val="00316C03"/>
    <w:rsid w:val="003174FF"/>
    <w:rsid w:val="00317DFB"/>
    <w:rsid w:val="003213FA"/>
    <w:rsid w:val="00321A36"/>
    <w:rsid w:val="003221E9"/>
    <w:rsid w:val="00322499"/>
    <w:rsid w:val="00322A72"/>
    <w:rsid w:val="00323D38"/>
    <w:rsid w:val="00324D54"/>
    <w:rsid w:val="00325697"/>
    <w:rsid w:val="00325E92"/>
    <w:rsid w:val="003260F3"/>
    <w:rsid w:val="00326A0F"/>
    <w:rsid w:val="00326C81"/>
    <w:rsid w:val="00330705"/>
    <w:rsid w:val="003307A9"/>
    <w:rsid w:val="00330B56"/>
    <w:rsid w:val="00331305"/>
    <w:rsid w:val="003314D0"/>
    <w:rsid w:val="00331DEA"/>
    <w:rsid w:val="003324AC"/>
    <w:rsid w:val="00332921"/>
    <w:rsid w:val="00332E22"/>
    <w:rsid w:val="00332ED4"/>
    <w:rsid w:val="00333BA6"/>
    <w:rsid w:val="00334193"/>
    <w:rsid w:val="00334F05"/>
    <w:rsid w:val="00335417"/>
    <w:rsid w:val="00336640"/>
    <w:rsid w:val="00337E8D"/>
    <w:rsid w:val="0034116E"/>
    <w:rsid w:val="003418B2"/>
    <w:rsid w:val="00341F8E"/>
    <w:rsid w:val="00342360"/>
    <w:rsid w:val="00342A33"/>
    <w:rsid w:val="00343C51"/>
    <w:rsid w:val="003444DD"/>
    <w:rsid w:val="0034453F"/>
    <w:rsid w:val="003454A8"/>
    <w:rsid w:val="00345E81"/>
    <w:rsid w:val="00346650"/>
    <w:rsid w:val="00346EC5"/>
    <w:rsid w:val="003473E3"/>
    <w:rsid w:val="003475FD"/>
    <w:rsid w:val="00347696"/>
    <w:rsid w:val="003478CF"/>
    <w:rsid w:val="003509CD"/>
    <w:rsid w:val="003510B9"/>
    <w:rsid w:val="00351867"/>
    <w:rsid w:val="00351AA3"/>
    <w:rsid w:val="00352CE8"/>
    <w:rsid w:val="00353EDF"/>
    <w:rsid w:val="00355074"/>
    <w:rsid w:val="00355976"/>
    <w:rsid w:val="003560B1"/>
    <w:rsid w:val="003560D1"/>
    <w:rsid w:val="0035657C"/>
    <w:rsid w:val="0035703A"/>
    <w:rsid w:val="00357044"/>
    <w:rsid w:val="00357266"/>
    <w:rsid w:val="003575D4"/>
    <w:rsid w:val="003576BB"/>
    <w:rsid w:val="00357758"/>
    <w:rsid w:val="0036048C"/>
    <w:rsid w:val="003608A2"/>
    <w:rsid w:val="00360D7B"/>
    <w:rsid w:val="00362063"/>
    <w:rsid w:val="003621FC"/>
    <w:rsid w:val="00362616"/>
    <w:rsid w:val="00362D59"/>
    <w:rsid w:val="00363373"/>
    <w:rsid w:val="00363634"/>
    <w:rsid w:val="00363D5E"/>
    <w:rsid w:val="00364BD2"/>
    <w:rsid w:val="00364F55"/>
    <w:rsid w:val="00364FFA"/>
    <w:rsid w:val="0036586E"/>
    <w:rsid w:val="0036591B"/>
    <w:rsid w:val="00366CAB"/>
    <w:rsid w:val="003674D3"/>
    <w:rsid w:val="003676A8"/>
    <w:rsid w:val="0036776F"/>
    <w:rsid w:val="0036790F"/>
    <w:rsid w:val="00367938"/>
    <w:rsid w:val="00367CA4"/>
    <w:rsid w:val="00367D84"/>
    <w:rsid w:val="003701AD"/>
    <w:rsid w:val="003702D8"/>
    <w:rsid w:val="003718FE"/>
    <w:rsid w:val="00372387"/>
    <w:rsid w:val="003729BA"/>
    <w:rsid w:val="00373865"/>
    <w:rsid w:val="00373E43"/>
    <w:rsid w:val="00374171"/>
    <w:rsid w:val="0037453D"/>
    <w:rsid w:val="00374E9F"/>
    <w:rsid w:val="0037544B"/>
    <w:rsid w:val="00375B25"/>
    <w:rsid w:val="00375F1D"/>
    <w:rsid w:val="00377E74"/>
    <w:rsid w:val="003804EC"/>
    <w:rsid w:val="00380564"/>
    <w:rsid w:val="003805B9"/>
    <w:rsid w:val="0038170C"/>
    <w:rsid w:val="003819AA"/>
    <w:rsid w:val="00381CA5"/>
    <w:rsid w:val="00382E31"/>
    <w:rsid w:val="00384DDD"/>
    <w:rsid w:val="00385126"/>
    <w:rsid w:val="003858CE"/>
    <w:rsid w:val="00386493"/>
    <w:rsid w:val="0038669D"/>
    <w:rsid w:val="00387B0F"/>
    <w:rsid w:val="003902C6"/>
    <w:rsid w:val="0039094F"/>
    <w:rsid w:val="003913B2"/>
    <w:rsid w:val="00391741"/>
    <w:rsid w:val="003929BF"/>
    <w:rsid w:val="00392E34"/>
    <w:rsid w:val="0039364E"/>
    <w:rsid w:val="00393ACB"/>
    <w:rsid w:val="003945B7"/>
    <w:rsid w:val="00395BD6"/>
    <w:rsid w:val="003965BD"/>
    <w:rsid w:val="00397065"/>
    <w:rsid w:val="003975E4"/>
    <w:rsid w:val="003A0C15"/>
    <w:rsid w:val="003A149E"/>
    <w:rsid w:val="003A1567"/>
    <w:rsid w:val="003A246F"/>
    <w:rsid w:val="003A297C"/>
    <w:rsid w:val="003A3862"/>
    <w:rsid w:val="003A3CAE"/>
    <w:rsid w:val="003A4085"/>
    <w:rsid w:val="003A4126"/>
    <w:rsid w:val="003A49FC"/>
    <w:rsid w:val="003A4EB1"/>
    <w:rsid w:val="003A6E90"/>
    <w:rsid w:val="003A6F7C"/>
    <w:rsid w:val="003A71E1"/>
    <w:rsid w:val="003A77C6"/>
    <w:rsid w:val="003B00C9"/>
    <w:rsid w:val="003B012B"/>
    <w:rsid w:val="003B0AD0"/>
    <w:rsid w:val="003B1200"/>
    <w:rsid w:val="003B1798"/>
    <w:rsid w:val="003B18BE"/>
    <w:rsid w:val="003B1C66"/>
    <w:rsid w:val="003B1F27"/>
    <w:rsid w:val="003B2132"/>
    <w:rsid w:val="003B33B9"/>
    <w:rsid w:val="003B3CDE"/>
    <w:rsid w:val="003B3F73"/>
    <w:rsid w:val="003B466E"/>
    <w:rsid w:val="003B47FE"/>
    <w:rsid w:val="003B53F4"/>
    <w:rsid w:val="003B6A8D"/>
    <w:rsid w:val="003B6F77"/>
    <w:rsid w:val="003C003A"/>
    <w:rsid w:val="003C047F"/>
    <w:rsid w:val="003C089A"/>
    <w:rsid w:val="003C0D1C"/>
    <w:rsid w:val="003C1D35"/>
    <w:rsid w:val="003C2264"/>
    <w:rsid w:val="003C232F"/>
    <w:rsid w:val="003C4401"/>
    <w:rsid w:val="003C4A42"/>
    <w:rsid w:val="003C698F"/>
    <w:rsid w:val="003C6BD4"/>
    <w:rsid w:val="003C7508"/>
    <w:rsid w:val="003D0350"/>
    <w:rsid w:val="003D0965"/>
    <w:rsid w:val="003D0B8E"/>
    <w:rsid w:val="003D0C27"/>
    <w:rsid w:val="003D0E30"/>
    <w:rsid w:val="003D0E89"/>
    <w:rsid w:val="003D183B"/>
    <w:rsid w:val="003D1C63"/>
    <w:rsid w:val="003D1EF5"/>
    <w:rsid w:val="003D1FF1"/>
    <w:rsid w:val="003D2529"/>
    <w:rsid w:val="003D2972"/>
    <w:rsid w:val="003D2B0A"/>
    <w:rsid w:val="003D4592"/>
    <w:rsid w:val="003D4871"/>
    <w:rsid w:val="003D4C01"/>
    <w:rsid w:val="003D5000"/>
    <w:rsid w:val="003D52E4"/>
    <w:rsid w:val="003D53E6"/>
    <w:rsid w:val="003D53FF"/>
    <w:rsid w:val="003D68F1"/>
    <w:rsid w:val="003D6C83"/>
    <w:rsid w:val="003D721B"/>
    <w:rsid w:val="003E019C"/>
    <w:rsid w:val="003E022F"/>
    <w:rsid w:val="003E067F"/>
    <w:rsid w:val="003E14BB"/>
    <w:rsid w:val="003E16F8"/>
    <w:rsid w:val="003E18C3"/>
    <w:rsid w:val="003E2E98"/>
    <w:rsid w:val="003E4DCE"/>
    <w:rsid w:val="003E4FEE"/>
    <w:rsid w:val="003E52BD"/>
    <w:rsid w:val="003E6601"/>
    <w:rsid w:val="003E6CE2"/>
    <w:rsid w:val="003E727A"/>
    <w:rsid w:val="003E7350"/>
    <w:rsid w:val="003E7669"/>
    <w:rsid w:val="003F0125"/>
    <w:rsid w:val="003F012D"/>
    <w:rsid w:val="003F150D"/>
    <w:rsid w:val="003F16AF"/>
    <w:rsid w:val="003F2341"/>
    <w:rsid w:val="003F27C3"/>
    <w:rsid w:val="003F29C1"/>
    <w:rsid w:val="003F2F9E"/>
    <w:rsid w:val="003F412C"/>
    <w:rsid w:val="003F416F"/>
    <w:rsid w:val="003F4561"/>
    <w:rsid w:val="003F479C"/>
    <w:rsid w:val="003F49ED"/>
    <w:rsid w:val="003F4BDC"/>
    <w:rsid w:val="003F5143"/>
    <w:rsid w:val="003F5AE1"/>
    <w:rsid w:val="003F6401"/>
    <w:rsid w:val="003F7ADF"/>
    <w:rsid w:val="00400008"/>
    <w:rsid w:val="00400026"/>
    <w:rsid w:val="004002C0"/>
    <w:rsid w:val="00400FC2"/>
    <w:rsid w:val="004013B5"/>
    <w:rsid w:val="00401D81"/>
    <w:rsid w:val="004021B9"/>
    <w:rsid w:val="00402411"/>
    <w:rsid w:val="00402572"/>
    <w:rsid w:val="00402660"/>
    <w:rsid w:val="00402B3A"/>
    <w:rsid w:val="0040390D"/>
    <w:rsid w:val="00403ECA"/>
    <w:rsid w:val="00404286"/>
    <w:rsid w:val="00404860"/>
    <w:rsid w:val="004051DC"/>
    <w:rsid w:val="004053C0"/>
    <w:rsid w:val="00405CDE"/>
    <w:rsid w:val="00405CEF"/>
    <w:rsid w:val="0040738C"/>
    <w:rsid w:val="004104F8"/>
    <w:rsid w:val="004109DD"/>
    <w:rsid w:val="00410A3C"/>
    <w:rsid w:val="00410A62"/>
    <w:rsid w:val="0041116C"/>
    <w:rsid w:val="00411AF2"/>
    <w:rsid w:val="0041205B"/>
    <w:rsid w:val="00412566"/>
    <w:rsid w:val="00412871"/>
    <w:rsid w:val="0041388E"/>
    <w:rsid w:val="00413917"/>
    <w:rsid w:val="004139C0"/>
    <w:rsid w:val="00413CFC"/>
    <w:rsid w:val="00413E4D"/>
    <w:rsid w:val="00413F51"/>
    <w:rsid w:val="004147DC"/>
    <w:rsid w:val="0041488A"/>
    <w:rsid w:val="00414B26"/>
    <w:rsid w:val="004160A6"/>
    <w:rsid w:val="004165E0"/>
    <w:rsid w:val="00416AA2"/>
    <w:rsid w:val="0041726F"/>
    <w:rsid w:val="004206A6"/>
    <w:rsid w:val="00421F24"/>
    <w:rsid w:val="0042226F"/>
    <w:rsid w:val="00424F58"/>
    <w:rsid w:val="004251C0"/>
    <w:rsid w:val="00425B5B"/>
    <w:rsid w:val="00425D14"/>
    <w:rsid w:val="004269A5"/>
    <w:rsid w:val="00427730"/>
    <w:rsid w:val="00427827"/>
    <w:rsid w:val="00427FFA"/>
    <w:rsid w:val="00432AAC"/>
    <w:rsid w:val="004333F9"/>
    <w:rsid w:val="004334EF"/>
    <w:rsid w:val="004337F9"/>
    <w:rsid w:val="004339BD"/>
    <w:rsid w:val="00434401"/>
    <w:rsid w:val="00434469"/>
    <w:rsid w:val="0043467B"/>
    <w:rsid w:val="00435A57"/>
    <w:rsid w:val="00435A6F"/>
    <w:rsid w:val="00436458"/>
    <w:rsid w:val="00436910"/>
    <w:rsid w:val="00440343"/>
    <w:rsid w:val="00441B7A"/>
    <w:rsid w:val="00441FD7"/>
    <w:rsid w:val="004420DE"/>
    <w:rsid w:val="0044292B"/>
    <w:rsid w:val="00442E6A"/>
    <w:rsid w:val="004433D7"/>
    <w:rsid w:val="00443926"/>
    <w:rsid w:val="00443ABE"/>
    <w:rsid w:val="0044420E"/>
    <w:rsid w:val="004450EB"/>
    <w:rsid w:val="004452A3"/>
    <w:rsid w:val="00446970"/>
    <w:rsid w:val="00446A9E"/>
    <w:rsid w:val="004475AF"/>
    <w:rsid w:val="00447BC6"/>
    <w:rsid w:val="004505A5"/>
    <w:rsid w:val="004514BC"/>
    <w:rsid w:val="00451712"/>
    <w:rsid w:val="00451833"/>
    <w:rsid w:val="00452196"/>
    <w:rsid w:val="004524F9"/>
    <w:rsid w:val="00452AED"/>
    <w:rsid w:val="00452C50"/>
    <w:rsid w:val="00453113"/>
    <w:rsid w:val="004538E2"/>
    <w:rsid w:val="00453E6A"/>
    <w:rsid w:val="00453EFB"/>
    <w:rsid w:val="00454DBF"/>
    <w:rsid w:val="004561F5"/>
    <w:rsid w:val="00456815"/>
    <w:rsid w:val="00456920"/>
    <w:rsid w:val="004572E7"/>
    <w:rsid w:val="004578E2"/>
    <w:rsid w:val="00457E7C"/>
    <w:rsid w:val="004600D8"/>
    <w:rsid w:val="00461315"/>
    <w:rsid w:val="00461A6F"/>
    <w:rsid w:val="004636B8"/>
    <w:rsid w:val="00463764"/>
    <w:rsid w:val="00463849"/>
    <w:rsid w:val="00463F27"/>
    <w:rsid w:val="00463FF2"/>
    <w:rsid w:val="00465987"/>
    <w:rsid w:val="0046621F"/>
    <w:rsid w:val="004664E0"/>
    <w:rsid w:val="0046667E"/>
    <w:rsid w:val="00471E5B"/>
    <w:rsid w:val="00472383"/>
    <w:rsid w:val="004745F7"/>
    <w:rsid w:val="00474E1F"/>
    <w:rsid w:val="004750BE"/>
    <w:rsid w:val="00475DB5"/>
    <w:rsid w:val="00476171"/>
    <w:rsid w:val="0047649E"/>
    <w:rsid w:val="004779E7"/>
    <w:rsid w:val="004804D5"/>
    <w:rsid w:val="004808AD"/>
    <w:rsid w:val="00481734"/>
    <w:rsid w:val="00482913"/>
    <w:rsid w:val="00482E8D"/>
    <w:rsid w:val="00483917"/>
    <w:rsid w:val="004841EA"/>
    <w:rsid w:val="00484E76"/>
    <w:rsid w:val="0048596B"/>
    <w:rsid w:val="00486BE9"/>
    <w:rsid w:val="00486D0C"/>
    <w:rsid w:val="00487E10"/>
    <w:rsid w:val="004925DC"/>
    <w:rsid w:val="00492EB0"/>
    <w:rsid w:val="0049343B"/>
    <w:rsid w:val="004938D6"/>
    <w:rsid w:val="00493AA2"/>
    <w:rsid w:val="00493F70"/>
    <w:rsid w:val="0049426C"/>
    <w:rsid w:val="00494318"/>
    <w:rsid w:val="0049434A"/>
    <w:rsid w:val="00495122"/>
    <w:rsid w:val="00496707"/>
    <w:rsid w:val="004973EE"/>
    <w:rsid w:val="0049786F"/>
    <w:rsid w:val="004A0EDE"/>
    <w:rsid w:val="004A1213"/>
    <w:rsid w:val="004A193B"/>
    <w:rsid w:val="004A2209"/>
    <w:rsid w:val="004A2EF8"/>
    <w:rsid w:val="004A2F90"/>
    <w:rsid w:val="004A3A8B"/>
    <w:rsid w:val="004A46DC"/>
    <w:rsid w:val="004A482F"/>
    <w:rsid w:val="004A4EF6"/>
    <w:rsid w:val="004A500E"/>
    <w:rsid w:val="004A5031"/>
    <w:rsid w:val="004A5BA6"/>
    <w:rsid w:val="004A67F1"/>
    <w:rsid w:val="004A73D5"/>
    <w:rsid w:val="004A7C5C"/>
    <w:rsid w:val="004B059F"/>
    <w:rsid w:val="004B0B56"/>
    <w:rsid w:val="004B1222"/>
    <w:rsid w:val="004B15A9"/>
    <w:rsid w:val="004B2602"/>
    <w:rsid w:val="004B2DB4"/>
    <w:rsid w:val="004B2E26"/>
    <w:rsid w:val="004B3601"/>
    <w:rsid w:val="004B3F17"/>
    <w:rsid w:val="004B3F3F"/>
    <w:rsid w:val="004B3F69"/>
    <w:rsid w:val="004B4330"/>
    <w:rsid w:val="004B46F6"/>
    <w:rsid w:val="004B52E0"/>
    <w:rsid w:val="004B6015"/>
    <w:rsid w:val="004B6234"/>
    <w:rsid w:val="004B692B"/>
    <w:rsid w:val="004B6993"/>
    <w:rsid w:val="004B6ABB"/>
    <w:rsid w:val="004B73EB"/>
    <w:rsid w:val="004C0A2A"/>
    <w:rsid w:val="004C1205"/>
    <w:rsid w:val="004C143C"/>
    <w:rsid w:val="004C1891"/>
    <w:rsid w:val="004C1D64"/>
    <w:rsid w:val="004C21BB"/>
    <w:rsid w:val="004C27FE"/>
    <w:rsid w:val="004C2BA8"/>
    <w:rsid w:val="004C2D17"/>
    <w:rsid w:val="004C3A77"/>
    <w:rsid w:val="004C42BB"/>
    <w:rsid w:val="004C4546"/>
    <w:rsid w:val="004C530A"/>
    <w:rsid w:val="004C568E"/>
    <w:rsid w:val="004C6597"/>
    <w:rsid w:val="004C7E03"/>
    <w:rsid w:val="004C7F9D"/>
    <w:rsid w:val="004D0357"/>
    <w:rsid w:val="004D0F88"/>
    <w:rsid w:val="004D12FC"/>
    <w:rsid w:val="004D26C5"/>
    <w:rsid w:val="004D2BEC"/>
    <w:rsid w:val="004D527C"/>
    <w:rsid w:val="004D670D"/>
    <w:rsid w:val="004D698F"/>
    <w:rsid w:val="004D6C28"/>
    <w:rsid w:val="004D739B"/>
    <w:rsid w:val="004D7DF8"/>
    <w:rsid w:val="004E0535"/>
    <w:rsid w:val="004E0ADC"/>
    <w:rsid w:val="004E1B6F"/>
    <w:rsid w:val="004E31A9"/>
    <w:rsid w:val="004E33B4"/>
    <w:rsid w:val="004E39F6"/>
    <w:rsid w:val="004E3AD0"/>
    <w:rsid w:val="004E5310"/>
    <w:rsid w:val="004E5AAB"/>
    <w:rsid w:val="004E5E10"/>
    <w:rsid w:val="004E673B"/>
    <w:rsid w:val="004E67A7"/>
    <w:rsid w:val="004E67C7"/>
    <w:rsid w:val="004E684B"/>
    <w:rsid w:val="004E6859"/>
    <w:rsid w:val="004E6F46"/>
    <w:rsid w:val="004F1045"/>
    <w:rsid w:val="004F1259"/>
    <w:rsid w:val="004F1817"/>
    <w:rsid w:val="004F20C1"/>
    <w:rsid w:val="004F245D"/>
    <w:rsid w:val="004F28FC"/>
    <w:rsid w:val="004F3135"/>
    <w:rsid w:val="004F3A0B"/>
    <w:rsid w:val="004F431D"/>
    <w:rsid w:val="004F51A1"/>
    <w:rsid w:val="004F56BF"/>
    <w:rsid w:val="004F6BD3"/>
    <w:rsid w:val="004F6DD8"/>
    <w:rsid w:val="00500138"/>
    <w:rsid w:val="005008B5"/>
    <w:rsid w:val="005018C6"/>
    <w:rsid w:val="00501D9A"/>
    <w:rsid w:val="005021D6"/>
    <w:rsid w:val="00502828"/>
    <w:rsid w:val="00502FE9"/>
    <w:rsid w:val="00503C9A"/>
    <w:rsid w:val="00504A30"/>
    <w:rsid w:val="00504FBB"/>
    <w:rsid w:val="005055A9"/>
    <w:rsid w:val="00505D27"/>
    <w:rsid w:val="00505FE0"/>
    <w:rsid w:val="005063B6"/>
    <w:rsid w:val="00507001"/>
    <w:rsid w:val="00507598"/>
    <w:rsid w:val="00510F03"/>
    <w:rsid w:val="005114B0"/>
    <w:rsid w:val="005114B6"/>
    <w:rsid w:val="0051440F"/>
    <w:rsid w:val="00514F33"/>
    <w:rsid w:val="00516252"/>
    <w:rsid w:val="00516255"/>
    <w:rsid w:val="00516B3F"/>
    <w:rsid w:val="00517788"/>
    <w:rsid w:val="00520DDF"/>
    <w:rsid w:val="00521295"/>
    <w:rsid w:val="00522CEC"/>
    <w:rsid w:val="00524487"/>
    <w:rsid w:val="0052596B"/>
    <w:rsid w:val="00525B03"/>
    <w:rsid w:val="00525F9E"/>
    <w:rsid w:val="0053015E"/>
    <w:rsid w:val="0053046C"/>
    <w:rsid w:val="00530585"/>
    <w:rsid w:val="00531298"/>
    <w:rsid w:val="00531DB5"/>
    <w:rsid w:val="00532862"/>
    <w:rsid w:val="0053320E"/>
    <w:rsid w:val="00533397"/>
    <w:rsid w:val="00533AF9"/>
    <w:rsid w:val="00533C99"/>
    <w:rsid w:val="00533F1D"/>
    <w:rsid w:val="00534314"/>
    <w:rsid w:val="00534D94"/>
    <w:rsid w:val="005364C0"/>
    <w:rsid w:val="005367D8"/>
    <w:rsid w:val="00541280"/>
    <w:rsid w:val="00541A2F"/>
    <w:rsid w:val="00541AEB"/>
    <w:rsid w:val="00542756"/>
    <w:rsid w:val="00542E99"/>
    <w:rsid w:val="00543080"/>
    <w:rsid w:val="00543094"/>
    <w:rsid w:val="00544D15"/>
    <w:rsid w:val="00545389"/>
    <w:rsid w:val="00545DAA"/>
    <w:rsid w:val="00545E45"/>
    <w:rsid w:val="00545FCD"/>
    <w:rsid w:val="0054662B"/>
    <w:rsid w:val="00546683"/>
    <w:rsid w:val="00547043"/>
    <w:rsid w:val="005473A0"/>
    <w:rsid w:val="00550B64"/>
    <w:rsid w:val="0055142D"/>
    <w:rsid w:val="005522F6"/>
    <w:rsid w:val="00552C72"/>
    <w:rsid w:val="00552C94"/>
    <w:rsid w:val="00552EF3"/>
    <w:rsid w:val="00553155"/>
    <w:rsid w:val="00553E9F"/>
    <w:rsid w:val="005540CB"/>
    <w:rsid w:val="00554398"/>
    <w:rsid w:val="00555E48"/>
    <w:rsid w:val="00556515"/>
    <w:rsid w:val="00556A56"/>
    <w:rsid w:val="00556CEE"/>
    <w:rsid w:val="005572CC"/>
    <w:rsid w:val="00557A84"/>
    <w:rsid w:val="005607E7"/>
    <w:rsid w:val="00562581"/>
    <w:rsid w:val="00562657"/>
    <w:rsid w:val="005626DF"/>
    <w:rsid w:val="0056307B"/>
    <w:rsid w:val="00563998"/>
    <w:rsid w:val="00563FD0"/>
    <w:rsid w:val="00564485"/>
    <w:rsid w:val="00564B29"/>
    <w:rsid w:val="005650B2"/>
    <w:rsid w:val="0056516C"/>
    <w:rsid w:val="00565349"/>
    <w:rsid w:val="00565DB2"/>
    <w:rsid w:val="00565DF5"/>
    <w:rsid w:val="00566AFB"/>
    <w:rsid w:val="0056740E"/>
    <w:rsid w:val="005679A7"/>
    <w:rsid w:val="00567D9B"/>
    <w:rsid w:val="005704BC"/>
    <w:rsid w:val="005705D4"/>
    <w:rsid w:val="00570A38"/>
    <w:rsid w:val="00571469"/>
    <w:rsid w:val="00571A0F"/>
    <w:rsid w:val="005720E3"/>
    <w:rsid w:val="00573096"/>
    <w:rsid w:val="005743E3"/>
    <w:rsid w:val="00574439"/>
    <w:rsid w:val="00574A82"/>
    <w:rsid w:val="00574EC7"/>
    <w:rsid w:val="005763C7"/>
    <w:rsid w:val="005768BA"/>
    <w:rsid w:val="005803D9"/>
    <w:rsid w:val="00580CE8"/>
    <w:rsid w:val="00581013"/>
    <w:rsid w:val="005815EC"/>
    <w:rsid w:val="005819B4"/>
    <w:rsid w:val="00582300"/>
    <w:rsid w:val="005829E7"/>
    <w:rsid w:val="0058341F"/>
    <w:rsid w:val="0058377B"/>
    <w:rsid w:val="00584AAE"/>
    <w:rsid w:val="00584B54"/>
    <w:rsid w:val="005860DD"/>
    <w:rsid w:val="005867AB"/>
    <w:rsid w:val="005904AE"/>
    <w:rsid w:val="00590A19"/>
    <w:rsid w:val="00590F97"/>
    <w:rsid w:val="0059215E"/>
    <w:rsid w:val="00592F94"/>
    <w:rsid w:val="00593D22"/>
    <w:rsid w:val="005942B0"/>
    <w:rsid w:val="005943F1"/>
    <w:rsid w:val="00595D10"/>
    <w:rsid w:val="00595D48"/>
    <w:rsid w:val="00597AE4"/>
    <w:rsid w:val="005A0472"/>
    <w:rsid w:val="005A1598"/>
    <w:rsid w:val="005A2030"/>
    <w:rsid w:val="005A3A62"/>
    <w:rsid w:val="005A3EDE"/>
    <w:rsid w:val="005A4136"/>
    <w:rsid w:val="005A4F81"/>
    <w:rsid w:val="005A52FA"/>
    <w:rsid w:val="005A5B4B"/>
    <w:rsid w:val="005A5DC8"/>
    <w:rsid w:val="005A5F77"/>
    <w:rsid w:val="005A6885"/>
    <w:rsid w:val="005A696B"/>
    <w:rsid w:val="005A6C9F"/>
    <w:rsid w:val="005A7EDB"/>
    <w:rsid w:val="005A7F64"/>
    <w:rsid w:val="005A7FE1"/>
    <w:rsid w:val="005B1738"/>
    <w:rsid w:val="005B2EF0"/>
    <w:rsid w:val="005B3593"/>
    <w:rsid w:val="005B3862"/>
    <w:rsid w:val="005B3D53"/>
    <w:rsid w:val="005B4A9E"/>
    <w:rsid w:val="005B4BD8"/>
    <w:rsid w:val="005B636E"/>
    <w:rsid w:val="005B65A4"/>
    <w:rsid w:val="005C04FB"/>
    <w:rsid w:val="005C0746"/>
    <w:rsid w:val="005C0A5E"/>
    <w:rsid w:val="005C0C5B"/>
    <w:rsid w:val="005C0EE0"/>
    <w:rsid w:val="005C1440"/>
    <w:rsid w:val="005C14DC"/>
    <w:rsid w:val="005C1DE9"/>
    <w:rsid w:val="005C2D8D"/>
    <w:rsid w:val="005C35FA"/>
    <w:rsid w:val="005C3A16"/>
    <w:rsid w:val="005C6559"/>
    <w:rsid w:val="005C7108"/>
    <w:rsid w:val="005C763D"/>
    <w:rsid w:val="005D06F2"/>
    <w:rsid w:val="005D0D24"/>
    <w:rsid w:val="005D2DC5"/>
    <w:rsid w:val="005D3C1B"/>
    <w:rsid w:val="005D4A34"/>
    <w:rsid w:val="005D4F92"/>
    <w:rsid w:val="005D5192"/>
    <w:rsid w:val="005E05D4"/>
    <w:rsid w:val="005E0945"/>
    <w:rsid w:val="005E0BAA"/>
    <w:rsid w:val="005E134F"/>
    <w:rsid w:val="005E2228"/>
    <w:rsid w:val="005E2409"/>
    <w:rsid w:val="005E368A"/>
    <w:rsid w:val="005E3735"/>
    <w:rsid w:val="005E405F"/>
    <w:rsid w:val="005E43D8"/>
    <w:rsid w:val="005E4BC4"/>
    <w:rsid w:val="005E4FBC"/>
    <w:rsid w:val="005E5069"/>
    <w:rsid w:val="005E559C"/>
    <w:rsid w:val="005E5937"/>
    <w:rsid w:val="005E5B7B"/>
    <w:rsid w:val="005E6BD1"/>
    <w:rsid w:val="005E7266"/>
    <w:rsid w:val="005E7272"/>
    <w:rsid w:val="005E74F0"/>
    <w:rsid w:val="005E77C7"/>
    <w:rsid w:val="005F0316"/>
    <w:rsid w:val="005F0BDC"/>
    <w:rsid w:val="005F1777"/>
    <w:rsid w:val="005F22E5"/>
    <w:rsid w:val="005F240F"/>
    <w:rsid w:val="005F39AF"/>
    <w:rsid w:val="005F3D1D"/>
    <w:rsid w:val="005F3F60"/>
    <w:rsid w:val="005F4DFD"/>
    <w:rsid w:val="005F4EE5"/>
    <w:rsid w:val="005F69A9"/>
    <w:rsid w:val="005F71D6"/>
    <w:rsid w:val="00600044"/>
    <w:rsid w:val="00600730"/>
    <w:rsid w:val="006008AC"/>
    <w:rsid w:val="006013DD"/>
    <w:rsid w:val="006018F5"/>
    <w:rsid w:val="0060197A"/>
    <w:rsid w:val="0060202F"/>
    <w:rsid w:val="00602134"/>
    <w:rsid w:val="0060280F"/>
    <w:rsid w:val="00603814"/>
    <w:rsid w:val="006051EB"/>
    <w:rsid w:val="00605694"/>
    <w:rsid w:val="00605E80"/>
    <w:rsid w:val="006065C6"/>
    <w:rsid w:val="00606CF3"/>
    <w:rsid w:val="0060700E"/>
    <w:rsid w:val="006070D0"/>
    <w:rsid w:val="00607549"/>
    <w:rsid w:val="00607D75"/>
    <w:rsid w:val="00610A39"/>
    <w:rsid w:val="00611CDD"/>
    <w:rsid w:val="00611DC2"/>
    <w:rsid w:val="00611EC6"/>
    <w:rsid w:val="0061215D"/>
    <w:rsid w:val="0061228F"/>
    <w:rsid w:val="0061299F"/>
    <w:rsid w:val="0061444C"/>
    <w:rsid w:val="006157B9"/>
    <w:rsid w:val="006169DC"/>
    <w:rsid w:val="00616BEB"/>
    <w:rsid w:val="0061779E"/>
    <w:rsid w:val="006209BF"/>
    <w:rsid w:val="00620EDE"/>
    <w:rsid w:val="00621232"/>
    <w:rsid w:val="00621508"/>
    <w:rsid w:val="006218F5"/>
    <w:rsid w:val="006228B0"/>
    <w:rsid w:val="00623455"/>
    <w:rsid w:val="00623FFA"/>
    <w:rsid w:val="0062555D"/>
    <w:rsid w:val="00626481"/>
    <w:rsid w:val="00626B8C"/>
    <w:rsid w:val="00626D32"/>
    <w:rsid w:val="00630371"/>
    <w:rsid w:val="0063099A"/>
    <w:rsid w:val="0063101C"/>
    <w:rsid w:val="006311D0"/>
    <w:rsid w:val="00631979"/>
    <w:rsid w:val="00631A70"/>
    <w:rsid w:val="006324E0"/>
    <w:rsid w:val="0063255C"/>
    <w:rsid w:val="00632EC5"/>
    <w:rsid w:val="00634B72"/>
    <w:rsid w:val="00634C31"/>
    <w:rsid w:val="00635587"/>
    <w:rsid w:val="006366D5"/>
    <w:rsid w:val="006379A5"/>
    <w:rsid w:val="006379DB"/>
    <w:rsid w:val="00637F25"/>
    <w:rsid w:val="0064030F"/>
    <w:rsid w:val="0064081B"/>
    <w:rsid w:val="00640A77"/>
    <w:rsid w:val="00640CD4"/>
    <w:rsid w:val="006414F3"/>
    <w:rsid w:val="00641B22"/>
    <w:rsid w:val="0064308E"/>
    <w:rsid w:val="00643893"/>
    <w:rsid w:val="00643C81"/>
    <w:rsid w:val="00643F1B"/>
    <w:rsid w:val="006445D3"/>
    <w:rsid w:val="00645421"/>
    <w:rsid w:val="00645719"/>
    <w:rsid w:val="006458F2"/>
    <w:rsid w:val="006458FB"/>
    <w:rsid w:val="00645901"/>
    <w:rsid w:val="0064598C"/>
    <w:rsid w:val="006459EC"/>
    <w:rsid w:val="00645ADB"/>
    <w:rsid w:val="00645B07"/>
    <w:rsid w:val="00645D17"/>
    <w:rsid w:val="00647577"/>
    <w:rsid w:val="006475D2"/>
    <w:rsid w:val="0064774B"/>
    <w:rsid w:val="006527ED"/>
    <w:rsid w:val="006528BE"/>
    <w:rsid w:val="006529D4"/>
    <w:rsid w:val="00653160"/>
    <w:rsid w:val="0065353E"/>
    <w:rsid w:val="0065435A"/>
    <w:rsid w:val="00654413"/>
    <w:rsid w:val="006547C1"/>
    <w:rsid w:val="0065563D"/>
    <w:rsid w:val="00655834"/>
    <w:rsid w:val="0065647A"/>
    <w:rsid w:val="0065737B"/>
    <w:rsid w:val="00657A55"/>
    <w:rsid w:val="00657CC3"/>
    <w:rsid w:val="006607FD"/>
    <w:rsid w:val="00660893"/>
    <w:rsid w:val="006618A6"/>
    <w:rsid w:val="00661BD1"/>
    <w:rsid w:val="00662A65"/>
    <w:rsid w:val="006643FD"/>
    <w:rsid w:val="0066442C"/>
    <w:rsid w:val="0066490D"/>
    <w:rsid w:val="006653AE"/>
    <w:rsid w:val="00665B22"/>
    <w:rsid w:val="0066632C"/>
    <w:rsid w:val="006667D2"/>
    <w:rsid w:val="0066779B"/>
    <w:rsid w:val="00667987"/>
    <w:rsid w:val="00667AC7"/>
    <w:rsid w:val="0067012D"/>
    <w:rsid w:val="00670374"/>
    <w:rsid w:val="006719B9"/>
    <w:rsid w:val="00671EF5"/>
    <w:rsid w:val="00672305"/>
    <w:rsid w:val="00672682"/>
    <w:rsid w:val="006727EE"/>
    <w:rsid w:val="0067338F"/>
    <w:rsid w:val="006742C4"/>
    <w:rsid w:val="00674B4C"/>
    <w:rsid w:val="00676008"/>
    <w:rsid w:val="006761BA"/>
    <w:rsid w:val="00676546"/>
    <w:rsid w:val="00676A36"/>
    <w:rsid w:val="006810CE"/>
    <w:rsid w:val="0068207B"/>
    <w:rsid w:val="0068322A"/>
    <w:rsid w:val="0068351A"/>
    <w:rsid w:val="00685926"/>
    <w:rsid w:val="0068593C"/>
    <w:rsid w:val="00685EC4"/>
    <w:rsid w:val="00685F49"/>
    <w:rsid w:val="0068644A"/>
    <w:rsid w:val="006864B5"/>
    <w:rsid w:val="00686CF9"/>
    <w:rsid w:val="006871D2"/>
    <w:rsid w:val="00687505"/>
    <w:rsid w:val="0068782C"/>
    <w:rsid w:val="006878B1"/>
    <w:rsid w:val="00687A22"/>
    <w:rsid w:val="0069088D"/>
    <w:rsid w:val="0069162D"/>
    <w:rsid w:val="00692333"/>
    <w:rsid w:val="00692412"/>
    <w:rsid w:val="00692804"/>
    <w:rsid w:val="00692CE0"/>
    <w:rsid w:val="00693157"/>
    <w:rsid w:val="00693653"/>
    <w:rsid w:val="006938B6"/>
    <w:rsid w:val="00693C70"/>
    <w:rsid w:val="00694724"/>
    <w:rsid w:val="006955FA"/>
    <w:rsid w:val="00696EBB"/>
    <w:rsid w:val="00697460"/>
    <w:rsid w:val="006A01F7"/>
    <w:rsid w:val="006A0B77"/>
    <w:rsid w:val="006A1B3B"/>
    <w:rsid w:val="006A1D9B"/>
    <w:rsid w:val="006A2174"/>
    <w:rsid w:val="006A2853"/>
    <w:rsid w:val="006A42EA"/>
    <w:rsid w:val="006A4874"/>
    <w:rsid w:val="006A4C42"/>
    <w:rsid w:val="006A58A9"/>
    <w:rsid w:val="006A74E5"/>
    <w:rsid w:val="006A7A44"/>
    <w:rsid w:val="006B02A2"/>
    <w:rsid w:val="006B045D"/>
    <w:rsid w:val="006B0486"/>
    <w:rsid w:val="006B049F"/>
    <w:rsid w:val="006B131D"/>
    <w:rsid w:val="006B1676"/>
    <w:rsid w:val="006B1949"/>
    <w:rsid w:val="006B1F5D"/>
    <w:rsid w:val="006B2958"/>
    <w:rsid w:val="006B2A7A"/>
    <w:rsid w:val="006B2D7B"/>
    <w:rsid w:val="006B33B3"/>
    <w:rsid w:val="006B6198"/>
    <w:rsid w:val="006B6310"/>
    <w:rsid w:val="006B69C7"/>
    <w:rsid w:val="006B70C1"/>
    <w:rsid w:val="006B724F"/>
    <w:rsid w:val="006C0015"/>
    <w:rsid w:val="006C07D3"/>
    <w:rsid w:val="006C1468"/>
    <w:rsid w:val="006C1BA4"/>
    <w:rsid w:val="006C1D9B"/>
    <w:rsid w:val="006C20FF"/>
    <w:rsid w:val="006C2B14"/>
    <w:rsid w:val="006C31C4"/>
    <w:rsid w:val="006C38DC"/>
    <w:rsid w:val="006C42B9"/>
    <w:rsid w:val="006C430B"/>
    <w:rsid w:val="006C43C6"/>
    <w:rsid w:val="006C4B0B"/>
    <w:rsid w:val="006C5426"/>
    <w:rsid w:val="006C74B6"/>
    <w:rsid w:val="006C7B12"/>
    <w:rsid w:val="006C7DAB"/>
    <w:rsid w:val="006D10E7"/>
    <w:rsid w:val="006D3036"/>
    <w:rsid w:val="006D3544"/>
    <w:rsid w:val="006D4283"/>
    <w:rsid w:val="006D4FF0"/>
    <w:rsid w:val="006D569C"/>
    <w:rsid w:val="006D6E7F"/>
    <w:rsid w:val="006D7172"/>
    <w:rsid w:val="006D798D"/>
    <w:rsid w:val="006D7C74"/>
    <w:rsid w:val="006E17B8"/>
    <w:rsid w:val="006E202B"/>
    <w:rsid w:val="006E2D2E"/>
    <w:rsid w:val="006E361E"/>
    <w:rsid w:val="006E51B2"/>
    <w:rsid w:val="006E6B93"/>
    <w:rsid w:val="006E78B9"/>
    <w:rsid w:val="006E7D7C"/>
    <w:rsid w:val="006E7EA7"/>
    <w:rsid w:val="006F07C1"/>
    <w:rsid w:val="006F1371"/>
    <w:rsid w:val="006F1D54"/>
    <w:rsid w:val="006F203D"/>
    <w:rsid w:val="006F2443"/>
    <w:rsid w:val="006F2474"/>
    <w:rsid w:val="006F2481"/>
    <w:rsid w:val="006F2B94"/>
    <w:rsid w:val="006F31C8"/>
    <w:rsid w:val="006F33F8"/>
    <w:rsid w:val="006F4786"/>
    <w:rsid w:val="006F4790"/>
    <w:rsid w:val="006F4C95"/>
    <w:rsid w:val="006F4CE3"/>
    <w:rsid w:val="006F4F63"/>
    <w:rsid w:val="006F5AA3"/>
    <w:rsid w:val="006F5F84"/>
    <w:rsid w:val="006F642E"/>
    <w:rsid w:val="00700104"/>
    <w:rsid w:val="00700409"/>
    <w:rsid w:val="00700973"/>
    <w:rsid w:val="00700982"/>
    <w:rsid w:val="00700F4F"/>
    <w:rsid w:val="00702FE1"/>
    <w:rsid w:val="00703175"/>
    <w:rsid w:val="007036AD"/>
    <w:rsid w:val="0070388B"/>
    <w:rsid w:val="00704405"/>
    <w:rsid w:val="00704A90"/>
    <w:rsid w:val="00705181"/>
    <w:rsid w:val="00705865"/>
    <w:rsid w:val="00706048"/>
    <w:rsid w:val="007067EE"/>
    <w:rsid w:val="00707D04"/>
    <w:rsid w:val="0071019D"/>
    <w:rsid w:val="00710787"/>
    <w:rsid w:val="007119B7"/>
    <w:rsid w:val="00712938"/>
    <w:rsid w:val="00713043"/>
    <w:rsid w:val="0071304B"/>
    <w:rsid w:val="007136F0"/>
    <w:rsid w:val="00713D8C"/>
    <w:rsid w:val="00716C39"/>
    <w:rsid w:val="00716FCA"/>
    <w:rsid w:val="00717521"/>
    <w:rsid w:val="00721498"/>
    <w:rsid w:val="00721DE6"/>
    <w:rsid w:val="00722026"/>
    <w:rsid w:val="0072331F"/>
    <w:rsid w:val="007238C5"/>
    <w:rsid w:val="00724662"/>
    <w:rsid w:val="0072469D"/>
    <w:rsid w:val="0072477D"/>
    <w:rsid w:val="00724CD9"/>
    <w:rsid w:val="00724E5D"/>
    <w:rsid w:val="00725BA2"/>
    <w:rsid w:val="00725D6A"/>
    <w:rsid w:val="00725E85"/>
    <w:rsid w:val="007277D0"/>
    <w:rsid w:val="00727BD4"/>
    <w:rsid w:val="00727C39"/>
    <w:rsid w:val="00730421"/>
    <w:rsid w:val="0073045A"/>
    <w:rsid w:val="00730492"/>
    <w:rsid w:val="00730E7F"/>
    <w:rsid w:val="00730F3E"/>
    <w:rsid w:val="0073264B"/>
    <w:rsid w:val="00732914"/>
    <w:rsid w:val="00732B2F"/>
    <w:rsid w:val="0073304C"/>
    <w:rsid w:val="00734E69"/>
    <w:rsid w:val="0073508C"/>
    <w:rsid w:val="007400E0"/>
    <w:rsid w:val="0074013E"/>
    <w:rsid w:val="00741E9F"/>
    <w:rsid w:val="0074242E"/>
    <w:rsid w:val="00742B6E"/>
    <w:rsid w:val="007433B1"/>
    <w:rsid w:val="00743ABD"/>
    <w:rsid w:val="00744325"/>
    <w:rsid w:val="00744BE5"/>
    <w:rsid w:val="0074527D"/>
    <w:rsid w:val="0074542B"/>
    <w:rsid w:val="00745609"/>
    <w:rsid w:val="0074572B"/>
    <w:rsid w:val="00745E9F"/>
    <w:rsid w:val="0074645A"/>
    <w:rsid w:val="007477BD"/>
    <w:rsid w:val="00750054"/>
    <w:rsid w:val="007504F6"/>
    <w:rsid w:val="00750A8B"/>
    <w:rsid w:val="007523F7"/>
    <w:rsid w:val="007524DF"/>
    <w:rsid w:val="00752AC2"/>
    <w:rsid w:val="00754596"/>
    <w:rsid w:val="00754EF9"/>
    <w:rsid w:val="00755457"/>
    <w:rsid w:val="00755C09"/>
    <w:rsid w:val="007560C4"/>
    <w:rsid w:val="007561CE"/>
    <w:rsid w:val="00756DA2"/>
    <w:rsid w:val="00757D72"/>
    <w:rsid w:val="00761700"/>
    <w:rsid w:val="00762CA1"/>
    <w:rsid w:val="00762F3D"/>
    <w:rsid w:val="00763BEF"/>
    <w:rsid w:val="0076415C"/>
    <w:rsid w:val="00765C1E"/>
    <w:rsid w:val="00765F50"/>
    <w:rsid w:val="007666C2"/>
    <w:rsid w:val="00766E70"/>
    <w:rsid w:val="00767C45"/>
    <w:rsid w:val="00767DEA"/>
    <w:rsid w:val="00770276"/>
    <w:rsid w:val="00771492"/>
    <w:rsid w:val="00771585"/>
    <w:rsid w:val="0077306E"/>
    <w:rsid w:val="007730D0"/>
    <w:rsid w:val="00773871"/>
    <w:rsid w:val="00774328"/>
    <w:rsid w:val="007743F1"/>
    <w:rsid w:val="00774FB7"/>
    <w:rsid w:val="007750FD"/>
    <w:rsid w:val="00775283"/>
    <w:rsid w:val="00775736"/>
    <w:rsid w:val="00775FEA"/>
    <w:rsid w:val="00776395"/>
    <w:rsid w:val="007766F8"/>
    <w:rsid w:val="00776979"/>
    <w:rsid w:val="007779C5"/>
    <w:rsid w:val="00781067"/>
    <w:rsid w:val="007813E2"/>
    <w:rsid w:val="00781D00"/>
    <w:rsid w:val="00781D99"/>
    <w:rsid w:val="007822F5"/>
    <w:rsid w:val="00782BD1"/>
    <w:rsid w:val="00783963"/>
    <w:rsid w:val="007843E0"/>
    <w:rsid w:val="0078486C"/>
    <w:rsid w:val="00784B69"/>
    <w:rsid w:val="00785223"/>
    <w:rsid w:val="00785267"/>
    <w:rsid w:val="00785696"/>
    <w:rsid w:val="007866CF"/>
    <w:rsid w:val="00787305"/>
    <w:rsid w:val="00787D4C"/>
    <w:rsid w:val="00790348"/>
    <w:rsid w:val="00790608"/>
    <w:rsid w:val="00790C5F"/>
    <w:rsid w:val="00790E09"/>
    <w:rsid w:val="00790E4B"/>
    <w:rsid w:val="0079101F"/>
    <w:rsid w:val="00791804"/>
    <w:rsid w:val="00791A05"/>
    <w:rsid w:val="00791E4B"/>
    <w:rsid w:val="00791EB0"/>
    <w:rsid w:val="0079325E"/>
    <w:rsid w:val="00793AA6"/>
    <w:rsid w:val="00793F37"/>
    <w:rsid w:val="00794275"/>
    <w:rsid w:val="007945B8"/>
    <w:rsid w:val="007946A8"/>
    <w:rsid w:val="007948A1"/>
    <w:rsid w:val="00794ABC"/>
    <w:rsid w:val="00794C0A"/>
    <w:rsid w:val="0079522B"/>
    <w:rsid w:val="007953E9"/>
    <w:rsid w:val="007953F7"/>
    <w:rsid w:val="007956E9"/>
    <w:rsid w:val="00795823"/>
    <w:rsid w:val="00797702"/>
    <w:rsid w:val="0079797A"/>
    <w:rsid w:val="007A0133"/>
    <w:rsid w:val="007A28A5"/>
    <w:rsid w:val="007A2918"/>
    <w:rsid w:val="007A2B47"/>
    <w:rsid w:val="007A3225"/>
    <w:rsid w:val="007A42D0"/>
    <w:rsid w:val="007A4DAB"/>
    <w:rsid w:val="007A5559"/>
    <w:rsid w:val="007A654D"/>
    <w:rsid w:val="007A686E"/>
    <w:rsid w:val="007A6AE6"/>
    <w:rsid w:val="007A6CAF"/>
    <w:rsid w:val="007A757E"/>
    <w:rsid w:val="007A793D"/>
    <w:rsid w:val="007A7C30"/>
    <w:rsid w:val="007B067C"/>
    <w:rsid w:val="007B0EB6"/>
    <w:rsid w:val="007B10FC"/>
    <w:rsid w:val="007B17B6"/>
    <w:rsid w:val="007B1BB2"/>
    <w:rsid w:val="007B2977"/>
    <w:rsid w:val="007B2EE7"/>
    <w:rsid w:val="007B3A5D"/>
    <w:rsid w:val="007B5196"/>
    <w:rsid w:val="007B52B4"/>
    <w:rsid w:val="007B5433"/>
    <w:rsid w:val="007B5495"/>
    <w:rsid w:val="007B56AB"/>
    <w:rsid w:val="007B690F"/>
    <w:rsid w:val="007B6A7C"/>
    <w:rsid w:val="007B6C71"/>
    <w:rsid w:val="007C0FAF"/>
    <w:rsid w:val="007C1EF2"/>
    <w:rsid w:val="007C2062"/>
    <w:rsid w:val="007C2CAA"/>
    <w:rsid w:val="007C38B6"/>
    <w:rsid w:val="007C65E4"/>
    <w:rsid w:val="007D1725"/>
    <w:rsid w:val="007D3B18"/>
    <w:rsid w:val="007D3CC0"/>
    <w:rsid w:val="007D4E22"/>
    <w:rsid w:val="007D590C"/>
    <w:rsid w:val="007D6657"/>
    <w:rsid w:val="007D7C46"/>
    <w:rsid w:val="007D7DB9"/>
    <w:rsid w:val="007E13D0"/>
    <w:rsid w:val="007E15E8"/>
    <w:rsid w:val="007E192E"/>
    <w:rsid w:val="007E23C9"/>
    <w:rsid w:val="007E304F"/>
    <w:rsid w:val="007E3126"/>
    <w:rsid w:val="007E3AA2"/>
    <w:rsid w:val="007E3B2B"/>
    <w:rsid w:val="007E4857"/>
    <w:rsid w:val="007E50AD"/>
    <w:rsid w:val="007E5F39"/>
    <w:rsid w:val="007E617B"/>
    <w:rsid w:val="007E6984"/>
    <w:rsid w:val="007E6EB7"/>
    <w:rsid w:val="007F0D38"/>
    <w:rsid w:val="007F122B"/>
    <w:rsid w:val="007F174B"/>
    <w:rsid w:val="007F210A"/>
    <w:rsid w:val="007F287E"/>
    <w:rsid w:val="007F2A91"/>
    <w:rsid w:val="007F3B2B"/>
    <w:rsid w:val="007F3F2A"/>
    <w:rsid w:val="007F4703"/>
    <w:rsid w:val="007F4B00"/>
    <w:rsid w:val="007F4B6A"/>
    <w:rsid w:val="007F4F0D"/>
    <w:rsid w:val="007F53E3"/>
    <w:rsid w:val="007F55FA"/>
    <w:rsid w:val="007F5C6F"/>
    <w:rsid w:val="007F5D93"/>
    <w:rsid w:val="007F6504"/>
    <w:rsid w:val="007F690B"/>
    <w:rsid w:val="007F6AFC"/>
    <w:rsid w:val="007F7112"/>
    <w:rsid w:val="007F7C28"/>
    <w:rsid w:val="00800A15"/>
    <w:rsid w:val="00800AE3"/>
    <w:rsid w:val="00802033"/>
    <w:rsid w:val="00802B98"/>
    <w:rsid w:val="008033A0"/>
    <w:rsid w:val="008039BF"/>
    <w:rsid w:val="00803C48"/>
    <w:rsid w:val="00803E41"/>
    <w:rsid w:val="00803E43"/>
    <w:rsid w:val="0080608B"/>
    <w:rsid w:val="008061E7"/>
    <w:rsid w:val="008061E9"/>
    <w:rsid w:val="00806BAE"/>
    <w:rsid w:val="00807473"/>
    <w:rsid w:val="008074E7"/>
    <w:rsid w:val="0080772B"/>
    <w:rsid w:val="008078DC"/>
    <w:rsid w:val="00807A83"/>
    <w:rsid w:val="00810048"/>
    <w:rsid w:val="00811476"/>
    <w:rsid w:val="00811A62"/>
    <w:rsid w:val="00811E00"/>
    <w:rsid w:val="00811FBB"/>
    <w:rsid w:val="00812344"/>
    <w:rsid w:val="00813258"/>
    <w:rsid w:val="00813C12"/>
    <w:rsid w:val="008140DC"/>
    <w:rsid w:val="008142E2"/>
    <w:rsid w:val="00814E33"/>
    <w:rsid w:val="00815FF8"/>
    <w:rsid w:val="0081714A"/>
    <w:rsid w:val="008171B1"/>
    <w:rsid w:val="0082018D"/>
    <w:rsid w:val="0082086E"/>
    <w:rsid w:val="00820CC3"/>
    <w:rsid w:val="0082141B"/>
    <w:rsid w:val="00821799"/>
    <w:rsid w:val="008229BE"/>
    <w:rsid w:val="008248FA"/>
    <w:rsid w:val="00824D7D"/>
    <w:rsid w:val="00824DAE"/>
    <w:rsid w:val="0082665F"/>
    <w:rsid w:val="00826D22"/>
    <w:rsid w:val="00826F8A"/>
    <w:rsid w:val="00827C72"/>
    <w:rsid w:val="00830B28"/>
    <w:rsid w:val="00831182"/>
    <w:rsid w:val="00831207"/>
    <w:rsid w:val="008323EE"/>
    <w:rsid w:val="00832677"/>
    <w:rsid w:val="008330A9"/>
    <w:rsid w:val="0083447D"/>
    <w:rsid w:val="00834A44"/>
    <w:rsid w:val="0083531B"/>
    <w:rsid w:val="00835A0F"/>
    <w:rsid w:val="00836D7F"/>
    <w:rsid w:val="00837A00"/>
    <w:rsid w:val="00840569"/>
    <w:rsid w:val="0084080C"/>
    <w:rsid w:val="00840F48"/>
    <w:rsid w:val="008412E2"/>
    <w:rsid w:val="0084261A"/>
    <w:rsid w:val="008426FA"/>
    <w:rsid w:val="00842CEC"/>
    <w:rsid w:val="00843282"/>
    <w:rsid w:val="0084331C"/>
    <w:rsid w:val="0084373D"/>
    <w:rsid w:val="00843BAF"/>
    <w:rsid w:val="0084448C"/>
    <w:rsid w:val="00844525"/>
    <w:rsid w:val="00844805"/>
    <w:rsid w:val="00844DB5"/>
    <w:rsid w:val="008455AD"/>
    <w:rsid w:val="008455E2"/>
    <w:rsid w:val="00845605"/>
    <w:rsid w:val="00845A77"/>
    <w:rsid w:val="00846B05"/>
    <w:rsid w:val="0084793A"/>
    <w:rsid w:val="00851F56"/>
    <w:rsid w:val="00853745"/>
    <w:rsid w:val="00853D79"/>
    <w:rsid w:val="00854991"/>
    <w:rsid w:val="00855A2C"/>
    <w:rsid w:val="00856420"/>
    <w:rsid w:val="008568E0"/>
    <w:rsid w:val="00856A96"/>
    <w:rsid w:val="00857CB7"/>
    <w:rsid w:val="00857F67"/>
    <w:rsid w:val="008604B4"/>
    <w:rsid w:val="0086106E"/>
    <w:rsid w:val="008617B5"/>
    <w:rsid w:val="00861FAD"/>
    <w:rsid w:val="008622FB"/>
    <w:rsid w:val="00862452"/>
    <w:rsid w:val="00862A0A"/>
    <w:rsid w:val="0086349A"/>
    <w:rsid w:val="00863CF7"/>
    <w:rsid w:val="008659BF"/>
    <w:rsid w:val="00866638"/>
    <w:rsid w:val="00866C2E"/>
    <w:rsid w:val="00866D4B"/>
    <w:rsid w:val="00866FDC"/>
    <w:rsid w:val="0087074B"/>
    <w:rsid w:val="00870A3A"/>
    <w:rsid w:val="00870A6F"/>
    <w:rsid w:val="00870EFD"/>
    <w:rsid w:val="008710A6"/>
    <w:rsid w:val="008715C0"/>
    <w:rsid w:val="00871A49"/>
    <w:rsid w:val="00871BFB"/>
    <w:rsid w:val="0087246E"/>
    <w:rsid w:val="00873122"/>
    <w:rsid w:val="00874446"/>
    <w:rsid w:val="008746CF"/>
    <w:rsid w:val="008758CA"/>
    <w:rsid w:val="00876569"/>
    <w:rsid w:val="00877D2D"/>
    <w:rsid w:val="008800F3"/>
    <w:rsid w:val="00880D16"/>
    <w:rsid w:val="00881648"/>
    <w:rsid w:val="008818CA"/>
    <w:rsid w:val="008819B0"/>
    <w:rsid w:val="00882550"/>
    <w:rsid w:val="00882585"/>
    <w:rsid w:val="00883981"/>
    <w:rsid w:val="008848AD"/>
    <w:rsid w:val="00885C64"/>
    <w:rsid w:val="00885D34"/>
    <w:rsid w:val="00886500"/>
    <w:rsid w:val="00886F99"/>
    <w:rsid w:val="0088763D"/>
    <w:rsid w:val="0088789A"/>
    <w:rsid w:val="00890148"/>
    <w:rsid w:val="00890D52"/>
    <w:rsid w:val="00891429"/>
    <w:rsid w:val="00891884"/>
    <w:rsid w:val="008918D2"/>
    <w:rsid w:val="00891BC6"/>
    <w:rsid w:val="00892488"/>
    <w:rsid w:val="00893011"/>
    <w:rsid w:val="0089316B"/>
    <w:rsid w:val="00895172"/>
    <w:rsid w:val="00895931"/>
    <w:rsid w:val="00896098"/>
    <w:rsid w:val="00896258"/>
    <w:rsid w:val="00897426"/>
    <w:rsid w:val="00897537"/>
    <w:rsid w:val="00897FB8"/>
    <w:rsid w:val="008A096F"/>
    <w:rsid w:val="008A0BE6"/>
    <w:rsid w:val="008A1282"/>
    <w:rsid w:val="008A290A"/>
    <w:rsid w:val="008A2B8D"/>
    <w:rsid w:val="008A3C61"/>
    <w:rsid w:val="008A3E80"/>
    <w:rsid w:val="008A5FFE"/>
    <w:rsid w:val="008A63E0"/>
    <w:rsid w:val="008B02C3"/>
    <w:rsid w:val="008B050E"/>
    <w:rsid w:val="008B0876"/>
    <w:rsid w:val="008B10F0"/>
    <w:rsid w:val="008B13E2"/>
    <w:rsid w:val="008B1915"/>
    <w:rsid w:val="008B25DF"/>
    <w:rsid w:val="008B2EDB"/>
    <w:rsid w:val="008B3155"/>
    <w:rsid w:val="008B3260"/>
    <w:rsid w:val="008B32DC"/>
    <w:rsid w:val="008B386A"/>
    <w:rsid w:val="008B3F2D"/>
    <w:rsid w:val="008B44EE"/>
    <w:rsid w:val="008B4F88"/>
    <w:rsid w:val="008B6884"/>
    <w:rsid w:val="008B75C2"/>
    <w:rsid w:val="008B797F"/>
    <w:rsid w:val="008B7C03"/>
    <w:rsid w:val="008B7C7A"/>
    <w:rsid w:val="008B7CED"/>
    <w:rsid w:val="008B7D40"/>
    <w:rsid w:val="008B7D69"/>
    <w:rsid w:val="008C038C"/>
    <w:rsid w:val="008C13AF"/>
    <w:rsid w:val="008C1997"/>
    <w:rsid w:val="008C1CEF"/>
    <w:rsid w:val="008C2351"/>
    <w:rsid w:val="008C2497"/>
    <w:rsid w:val="008C2579"/>
    <w:rsid w:val="008C2675"/>
    <w:rsid w:val="008C30CD"/>
    <w:rsid w:val="008C3EF5"/>
    <w:rsid w:val="008C42B3"/>
    <w:rsid w:val="008C42CF"/>
    <w:rsid w:val="008C464E"/>
    <w:rsid w:val="008C530B"/>
    <w:rsid w:val="008C5B4E"/>
    <w:rsid w:val="008C5C00"/>
    <w:rsid w:val="008C5E07"/>
    <w:rsid w:val="008C61C6"/>
    <w:rsid w:val="008C724F"/>
    <w:rsid w:val="008D06BA"/>
    <w:rsid w:val="008D126A"/>
    <w:rsid w:val="008D16D1"/>
    <w:rsid w:val="008D1D53"/>
    <w:rsid w:val="008D2838"/>
    <w:rsid w:val="008D373D"/>
    <w:rsid w:val="008D3AED"/>
    <w:rsid w:val="008D5512"/>
    <w:rsid w:val="008D6BC4"/>
    <w:rsid w:val="008D6DBE"/>
    <w:rsid w:val="008D71B7"/>
    <w:rsid w:val="008D74EF"/>
    <w:rsid w:val="008D79D3"/>
    <w:rsid w:val="008E1524"/>
    <w:rsid w:val="008E17B2"/>
    <w:rsid w:val="008E23F9"/>
    <w:rsid w:val="008E36C5"/>
    <w:rsid w:val="008E3E63"/>
    <w:rsid w:val="008E4F1E"/>
    <w:rsid w:val="008E5A01"/>
    <w:rsid w:val="008E654F"/>
    <w:rsid w:val="008F06FF"/>
    <w:rsid w:val="008F1DFB"/>
    <w:rsid w:val="008F3F44"/>
    <w:rsid w:val="008F46A5"/>
    <w:rsid w:val="008F50B8"/>
    <w:rsid w:val="008F6A93"/>
    <w:rsid w:val="008F6C34"/>
    <w:rsid w:val="0090093C"/>
    <w:rsid w:val="00900E0C"/>
    <w:rsid w:val="0090117C"/>
    <w:rsid w:val="00901D76"/>
    <w:rsid w:val="00902016"/>
    <w:rsid w:val="009027AE"/>
    <w:rsid w:val="00902FEE"/>
    <w:rsid w:val="00903B95"/>
    <w:rsid w:val="00904463"/>
    <w:rsid w:val="0090453F"/>
    <w:rsid w:val="00904800"/>
    <w:rsid w:val="00904927"/>
    <w:rsid w:val="00904BB9"/>
    <w:rsid w:val="00904CE1"/>
    <w:rsid w:val="0090580B"/>
    <w:rsid w:val="009062ED"/>
    <w:rsid w:val="00906A27"/>
    <w:rsid w:val="00906AEB"/>
    <w:rsid w:val="00906E81"/>
    <w:rsid w:val="009079D6"/>
    <w:rsid w:val="00907F8E"/>
    <w:rsid w:val="00910A81"/>
    <w:rsid w:val="00910FD1"/>
    <w:rsid w:val="00913CCE"/>
    <w:rsid w:val="00914FC8"/>
    <w:rsid w:val="00915C8A"/>
    <w:rsid w:val="0091648F"/>
    <w:rsid w:val="0092040A"/>
    <w:rsid w:val="009206A8"/>
    <w:rsid w:val="00920964"/>
    <w:rsid w:val="00920C0D"/>
    <w:rsid w:val="0092113E"/>
    <w:rsid w:val="00921B6C"/>
    <w:rsid w:val="009225B2"/>
    <w:rsid w:val="009229DB"/>
    <w:rsid w:val="00922A3D"/>
    <w:rsid w:val="00922D0E"/>
    <w:rsid w:val="00922E51"/>
    <w:rsid w:val="00922EFA"/>
    <w:rsid w:val="009231D6"/>
    <w:rsid w:val="00924DF7"/>
    <w:rsid w:val="00924E2B"/>
    <w:rsid w:val="00924F2D"/>
    <w:rsid w:val="0092506F"/>
    <w:rsid w:val="00925423"/>
    <w:rsid w:val="00925B5B"/>
    <w:rsid w:val="00926248"/>
    <w:rsid w:val="00926984"/>
    <w:rsid w:val="00926A60"/>
    <w:rsid w:val="00927733"/>
    <w:rsid w:val="00927A28"/>
    <w:rsid w:val="00927E42"/>
    <w:rsid w:val="00930453"/>
    <w:rsid w:val="00930C63"/>
    <w:rsid w:val="009315CE"/>
    <w:rsid w:val="00931753"/>
    <w:rsid w:val="00931A71"/>
    <w:rsid w:val="00931C82"/>
    <w:rsid w:val="00931E6A"/>
    <w:rsid w:val="0093269F"/>
    <w:rsid w:val="00932F7B"/>
    <w:rsid w:val="009332FF"/>
    <w:rsid w:val="00933301"/>
    <w:rsid w:val="00933CEF"/>
    <w:rsid w:val="009351BE"/>
    <w:rsid w:val="00936238"/>
    <w:rsid w:val="009362D0"/>
    <w:rsid w:val="00936407"/>
    <w:rsid w:val="00936A69"/>
    <w:rsid w:val="00936CE0"/>
    <w:rsid w:val="0093709A"/>
    <w:rsid w:val="00941238"/>
    <w:rsid w:val="00941C72"/>
    <w:rsid w:val="00942886"/>
    <w:rsid w:val="009434F4"/>
    <w:rsid w:val="009435FA"/>
    <w:rsid w:val="0094373A"/>
    <w:rsid w:val="0094424F"/>
    <w:rsid w:val="00944523"/>
    <w:rsid w:val="009445BA"/>
    <w:rsid w:val="009459D4"/>
    <w:rsid w:val="00945B7C"/>
    <w:rsid w:val="009464DB"/>
    <w:rsid w:val="009469AA"/>
    <w:rsid w:val="00946BAB"/>
    <w:rsid w:val="009471FB"/>
    <w:rsid w:val="009474AA"/>
    <w:rsid w:val="00947553"/>
    <w:rsid w:val="009475A1"/>
    <w:rsid w:val="009476E6"/>
    <w:rsid w:val="00950153"/>
    <w:rsid w:val="00951B7A"/>
    <w:rsid w:val="009525DA"/>
    <w:rsid w:val="0095296F"/>
    <w:rsid w:val="00952D85"/>
    <w:rsid w:val="009541B3"/>
    <w:rsid w:val="009548EC"/>
    <w:rsid w:val="00954E91"/>
    <w:rsid w:val="00955B81"/>
    <w:rsid w:val="00955B83"/>
    <w:rsid w:val="00955BB1"/>
    <w:rsid w:val="009563D2"/>
    <w:rsid w:val="00956B3D"/>
    <w:rsid w:val="009572CB"/>
    <w:rsid w:val="00957E5C"/>
    <w:rsid w:val="0096055B"/>
    <w:rsid w:val="00960876"/>
    <w:rsid w:val="009608C9"/>
    <w:rsid w:val="009614E5"/>
    <w:rsid w:val="00962317"/>
    <w:rsid w:val="00963F9C"/>
    <w:rsid w:val="009648EA"/>
    <w:rsid w:val="00964C44"/>
    <w:rsid w:val="009650DA"/>
    <w:rsid w:val="00966C2A"/>
    <w:rsid w:val="00971063"/>
    <w:rsid w:val="009717A9"/>
    <w:rsid w:val="00972123"/>
    <w:rsid w:val="009726B7"/>
    <w:rsid w:val="009728C4"/>
    <w:rsid w:val="00972D87"/>
    <w:rsid w:val="00973350"/>
    <w:rsid w:val="00973E01"/>
    <w:rsid w:val="00973EAB"/>
    <w:rsid w:val="00974154"/>
    <w:rsid w:val="009741E6"/>
    <w:rsid w:val="00974C4E"/>
    <w:rsid w:val="00975664"/>
    <w:rsid w:val="00975BAD"/>
    <w:rsid w:val="00976634"/>
    <w:rsid w:val="0098023A"/>
    <w:rsid w:val="00980C2B"/>
    <w:rsid w:val="00980F82"/>
    <w:rsid w:val="0098287B"/>
    <w:rsid w:val="00982926"/>
    <w:rsid w:val="00982BB6"/>
    <w:rsid w:val="00983A0E"/>
    <w:rsid w:val="00983B40"/>
    <w:rsid w:val="00984793"/>
    <w:rsid w:val="00984842"/>
    <w:rsid w:val="00985986"/>
    <w:rsid w:val="00985C38"/>
    <w:rsid w:val="00985F44"/>
    <w:rsid w:val="009869FC"/>
    <w:rsid w:val="00987B0B"/>
    <w:rsid w:val="009917C2"/>
    <w:rsid w:val="00992275"/>
    <w:rsid w:val="0099378F"/>
    <w:rsid w:val="00993AEA"/>
    <w:rsid w:val="009948DE"/>
    <w:rsid w:val="00994DD9"/>
    <w:rsid w:val="00994FD1"/>
    <w:rsid w:val="00995AF4"/>
    <w:rsid w:val="00996CD2"/>
    <w:rsid w:val="00996CE3"/>
    <w:rsid w:val="00997017"/>
    <w:rsid w:val="00997F4D"/>
    <w:rsid w:val="009A0AF4"/>
    <w:rsid w:val="009A0E14"/>
    <w:rsid w:val="009A1161"/>
    <w:rsid w:val="009A26A2"/>
    <w:rsid w:val="009A26B7"/>
    <w:rsid w:val="009A2DFC"/>
    <w:rsid w:val="009A3902"/>
    <w:rsid w:val="009A3926"/>
    <w:rsid w:val="009A3980"/>
    <w:rsid w:val="009A479F"/>
    <w:rsid w:val="009A47BA"/>
    <w:rsid w:val="009A488E"/>
    <w:rsid w:val="009A4B19"/>
    <w:rsid w:val="009A4FC2"/>
    <w:rsid w:val="009A6BCF"/>
    <w:rsid w:val="009A788A"/>
    <w:rsid w:val="009B0C28"/>
    <w:rsid w:val="009B0CE1"/>
    <w:rsid w:val="009B148F"/>
    <w:rsid w:val="009B201A"/>
    <w:rsid w:val="009B2037"/>
    <w:rsid w:val="009B25AE"/>
    <w:rsid w:val="009B2633"/>
    <w:rsid w:val="009B2C0D"/>
    <w:rsid w:val="009B3315"/>
    <w:rsid w:val="009B39A6"/>
    <w:rsid w:val="009B3B71"/>
    <w:rsid w:val="009B4419"/>
    <w:rsid w:val="009B4981"/>
    <w:rsid w:val="009B52E4"/>
    <w:rsid w:val="009B57D0"/>
    <w:rsid w:val="009B5D04"/>
    <w:rsid w:val="009B5DD4"/>
    <w:rsid w:val="009B65C9"/>
    <w:rsid w:val="009C0318"/>
    <w:rsid w:val="009C1EEB"/>
    <w:rsid w:val="009C21A0"/>
    <w:rsid w:val="009C2632"/>
    <w:rsid w:val="009C2CFA"/>
    <w:rsid w:val="009C2D31"/>
    <w:rsid w:val="009C2D4C"/>
    <w:rsid w:val="009C2E3F"/>
    <w:rsid w:val="009C3505"/>
    <w:rsid w:val="009C3D17"/>
    <w:rsid w:val="009C3DF4"/>
    <w:rsid w:val="009C4304"/>
    <w:rsid w:val="009C4720"/>
    <w:rsid w:val="009C5AB6"/>
    <w:rsid w:val="009C5F3A"/>
    <w:rsid w:val="009D02F1"/>
    <w:rsid w:val="009D10FB"/>
    <w:rsid w:val="009D155C"/>
    <w:rsid w:val="009D15DE"/>
    <w:rsid w:val="009D1B93"/>
    <w:rsid w:val="009D3B49"/>
    <w:rsid w:val="009D3E0C"/>
    <w:rsid w:val="009D4768"/>
    <w:rsid w:val="009D4D0F"/>
    <w:rsid w:val="009D50A0"/>
    <w:rsid w:val="009D579D"/>
    <w:rsid w:val="009D5EAC"/>
    <w:rsid w:val="009D65C8"/>
    <w:rsid w:val="009D6E02"/>
    <w:rsid w:val="009D7812"/>
    <w:rsid w:val="009D7C68"/>
    <w:rsid w:val="009D7FE8"/>
    <w:rsid w:val="009E118C"/>
    <w:rsid w:val="009E13D2"/>
    <w:rsid w:val="009E171B"/>
    <w:rsid w:val="009E19EC"/>
    <w:rsid w:val="009E2B04"/>
    <w:rsid w:val="009E2B29"/>
    <w:rsid w:val="009E2F17"/>
    <w:rsid w:val="009E2F97"/>
    <w:rsid w:val="009E4D09"/>
    <w:rsid w:val="009E573F"/>
    <w:rsid w:val="009E7B0C"/>
    <w:rsid w:val="009F00F0"/>
    <w:rsid w:val="009F0858"/>
    <w:rsid w:val="009F0AEA"/>
    <w:rsid w:val="009F0D2F"/>
    <w:rsid w:val="009F0FA2"/>
    <w:rsid w:val="009F2667"/>
    <w:rsid w:val="009F3E5B"/>
    <w:rsid w:val="009F4DFE"/>
    <w:rsid w:val="009F4E6B"/>
    <w:rsid w:val="009F5F19"/>
    <w:rsid w:val="009F6749"/>
    <w:rsid w:val="009F6B46"/>
    <w:rsid w:val="009F6C4F"/>
    <w:rsid w:val="009F6C58"/>
    <w:rsid w:val="009F6F9D"/>
    <w:rsid w:val="00A0005A"/>
    <w:rsid w:val="00A007B8"/>
    <w:rsid w:val="00A00C2D"/>
    <w:rsid w:val="00A01213"/>
    <w:rsid w:val="00A01784"/>
    <w:rsid w:val="00A026C8"/>
    <w:rsid w:val="00A0406A"/>
    <w:rsid w:val="00A0511E"/>
    <w:rsid w:val="00A05253"/>
    <w:rsid w:val="00A05624"/>
    <w:rsid w:val="00A05730"/>
    <w:rsid w:val="00A05833"/>
    <w:rsid w:val="00A05DC3"/>
    <w:rsid w:val="00A063D1"/>
    <w:rsid w:val="00A06564"/>
    <w:rsid w:val="00A0682C"/>
    <w:rsid w:val="00A0717A"/>
    <w:rsid w:val="00A0779D"/>
    <w:rsid w:val="00A07810"/>
    <w:rsid w:val="00A07CB5"/>
    <w:rsid w:val="00A07EB1"/>
    <w:rsid w:val="00A102B2"/>
    <w:rsid w:val="00A104E3"/>
    <w:rsid w:val="00A10560"/>
    <w:rsid w:val="00A11B31"/>
    <w:rsid w:val="00A11C0F"/>
    <w:rsid w:val="00A11F7D"/>
    <w:rsid w:val="00A121C1"/>
    <w:rsid w:val="00A122B2"/>
    <w:rsid w:val="00A12310"/>
    <w:rsid w:val="00A12A12"/>
    <w:rsid w:val="00A12AE1"/>
    <w:rsid w:val="00A1306E"/>
    <w:rsid w:val="00A14850"/>
    <w:rsid w:val="00A148CE"/>
    <w:rsid w:val="00A14F08"/>
    <w:rsid w:val="00A156F1"/>
    <w:rsid w:val="00A15DB3"/>
    <w:rsid w:val="00A176EE"/>
    <w:rsid w:val="00A17CF0"/>
    <w:rsid w:val="00A2176B"/>
    <w:rsid w:val="00A21F13"/>
    <w:rsid w:val="00A229DC"/>
    <w:rsid w:val="00A22A92"/>
    <w:rsid w:val="00A22E22"/>
    <w:rsid w:val="00A235A7"/>
    <w:rsid w:val="00A24F13"/>
    <w:rsid w:val="00A24F41"/>
    <w:rsid w:val="00A26690"/>
    <w:rsid w:val="00A2733A"/>
    <w:rsid w:val="00A31EF7"/>
    <w:rsid w:val="00A31F32"/>
    <w:rsid w:val="00A32650"/>
    <w:rsid w:val="00A32739"/>
    <w:rsid w:val="00A32804"/>
    <w:rsid w:val="00A33319"/>
    <w:rsid w:val="00A3422E"/>
    <w:rsid w:val="00A34A68"/>
    <w:rsid w:val="00A35309"/>
    <w:rsid w:val="00A3646A"/>
    <w:rsid w:val="00A371DC"/>
    <w:rsid w:val="00A378FA"/>
    <w:rsid w:val="00A406D9"/>
    <w:rsid w:val="00A41383"/>
    <w:rsid w:val="00A42B60"/>
    <w:rsid w:val="00A43DB2"/>
    <w:rsid w:val="00A44424"/>
    <w:rsid w:val="00A448C1"/>
    <w:rsid w:val="00A44C07"/>
    <w:rsid w:val="00A45B44"/>
    <w:rsid w:val="00A45DB2"/>
    <w:rsid w:val="00A461B1"/>
    <w:rsid w:val="00A465E4"/>
    <w:rsid w:val="00A46B01"/>
    <w:rsid w:val="00A4771D"/>
    <w:rsid w:val="00A503AB"/>
    <w:rsid w:val="00A50AA9"/>
    <w:rsid w:val="00A52220"/>
    <w:rsid w:val="00A53326"/>
    <w:rsid w:val="00A53D76"/>
    <w:rsid w:val="00A53D8B"/>
    <w:rsid w:val="00A5417C"/>
    <w:rsid w:val="00A541D1"/>
    <w:rsid w:val="00A54E7F"/>
    <w:rsid w:val="00A54FDB"/>
    <w:rsid w:val="00A56699"/>
    <w:rsid w:val="00A570B1"/>
    <w:rsid w:val="00A57432"/>
    <w:rsid w:val="00A60005"/>
    <w:rsid w:val="00A60920"/>
    <w:rsid w:val="00A60BA6"/>
    <w:rsid w:val="00A61664"/>
    <w:rsid w:val="00A6185D"/>
    <w:rsid w:val="00A626DB"/>
    <w:rsid w:val="00A62E74"/>
    <w:rsid w:val="00A6373F"/>
    <w:rsid w:val="00A64583"/>
    <w:rsid w:val="00A6474F"/>
    <w:rsid w:val="00A65B31"/>
    <w:rsid w:val="00A66375"/>
    <w:rsid w:val="00A6688E"/>
    <w:rsid w:val="00A66D30"/>
    <w:rsid w:val="00A70025"/>
    <w:rsid w:val="00A701CA"/>
    <w:rsid w:val="00A71113"/>
    <w:rsid w:val="00A712A9"/>
    <w:rsid w:val="00A71D50"/>
    <w:rsid w:val="00A71F37"/>
    <w:rsid w:val="00A71FE8"/>
    <w:rsid w:val="00A72701"/>
    <w:rsid w:val="00A7346E"/>
    <w:rsid w:val="00A73585"/>
    <w:rsid w:val="00A751F4"/>
    <w:rsid w:val="00A75362"/>
    <w:rsid w:val="00A77220"/>
    <w:rsid w:val="00A77271"/>
    <w:rsid w:val="00A77A9F"/>
    <w:rsid w:val="00A77B11"/>
    <w:rsid w:val="00A77EBD"/>
    <w:rsid w:val="00A8010F"/>
    <w:rsid w:val="00A80A3B"/>
    <w:rsid w:val="00A823A2"/>
    <w:rsid w:val="00A8257A"/>
    <w:rsid w:val="00A834C1"/>
    <w:rsid w:val="00A83940"/>
    <w:rsid w:val="00A83B4F"/>
    <w:rsid w:val="00A841AC"/>
    <w:rsid w:val="00A85290"/>
    <w:rsid w:val="00A852A4"/>
    <w:rsid w:val="00A85977"/>
    <w:rsid w:val="00A85AEA"/>
    <w:rsid w:val="00A86187"/>
    <w:rsid w:val="00A86567"/>
    <w:rsid w:val="00A86EEA"/>
    <w:rsid w:val="00A87435"/>
    <w:rsid w:val="00A879DE"/>
    <w:rsid w:val="00A87BD2"/>
    <w:rsid w:val="00A87F12"/>
    <w:rsid w:val="00A9001B"/>
    <w:rsid w:val="00A912CE"/>
    <w:rsid w:val="00A916B5"/>
    <w:rsid w:val="00A91AE5"/>
    <w:rsid w:val="00A92058"/>
    <w:rsid w:val="00A92380"/>
    <w:rsid w:val="00A9301C"/>
    <w:rsid w:val="00A93252"/>
    <w:rsid w:val="00A93B74"/>
    <w:rsid w:val="00A9406E"/>
    <w:rsid w:val="00A943B5"/>
    <w:rsid w:val="00A94B00"/>
    <w:rsid w:val="00A95B93"/>
    <w:rsid w:val="00A96BB7"/>
    <w:rsid w:val="00A9759C"/>
    <w:rsid w:val="00A977A3"/>
    <w:rsid w:val="00A97891"/>
    <w:rsid w:val="00AA007D"/>
    <w:rsid w:val="00AA15A6"/>
    <w:rsid w:val="00AA227C"/>
    <w:rsid w:val="00AA2433"/>
    <w:rsid w:val="00AA2484"/>
    <w:rsid w:val="00AA4741"/>
    <w:rsid w:val="00AA487E"/>
    <w:rsid w:val="00AA49DB"/>
    <w:rsid w:val="00AA53AB"/>
    <w:rsid w:val="00AA5552"/>
    <w:rsid w:val="00AA76AF"/>
    <w:rsid w:val="00AB0761"/>
    <w:rsid w:val="00AB0D17"/>
    <w:rsid w:val="00AB2217"/>
    <w:rsid w:val="00AB25A8"/>
    <w:rsid w:val="00AB2699"/>
    <w:rsid w:val="00AB28D0"/>
    <w:rsid w:val="00AB29DE"/>
    <w:rsid w:val="00AB32C9"/>
    <w:rsid w:val="00AB351E"/>
    <w:rsid w:val="00AB42B2"/>
    <w:rsid w:val="00AB60A3"/>
    <w:rsid w:val="00AB6A86"/>
    <w:rsid w:val="00AB72A2"/>
    <w:rsid w:val="00AB7AEB"/>
    <w:rsid w:val="00AB7B2D"/>
    <w:rsid w:val="00AC06F5"/>
    <w:rsid w:val="00AC0D3E"/>
    <w:rsid w:val="00AC121C"/>
    <w:rsid w:val="00AC29B0"/>
    <w:rsid w:val="00AC38F4"/>
    <w:rsid w:val="00AC4339"/>
    <w:rsid w:val="00AC527A"/>
    <w:rsid w:val="00AC5964"/>
    <w:rsid w:val="00AC5AA9"/>
    <w:rsid w:val="00AC5B3B"/>
    <w:rsid w:val="00AC6915"/>
    <w:rsid w:val="00AC7057"/>
    <w:rsid w:val="00AC7216"/>
    <w:rsid w:val="00AC778D"/>
    <w:rsid w:val="00AC7FBF"/>
    <w:rsid w:val="00AD04D9"/>
    <w:rsid w:val="00AD0A9A"/>
    <w:rsid w:val="00AD1759"/>
    <w:rsid w:val="00AD1AE6"/>
    <w:rsid w:val="00AD1D13"/>
    <w:rsid w:val="00AD4179"/>
    <w:rsid w:val="00AD5111"/>
    <w:rsid w:val="00AD5D7A"/>
    <w:rsid w:val="00AD7DB7"/>
    <w:rsid w:val="00AE0171"/>
    <w:rsid w:val="00AE04FF"/>
    <w:rsid w:val="00AE0D86"/>
    <w:rsid w:val="00AE246C"/>
    <w:rsid w:val="00AE2B02"/>
    <w:rsid w:val="00AE3231"/>
    <w:rsid w:val="00AE386B"/>
    <w:rsid w:val="00AE3D5E"/>
    <w:rsid w:val="00AE3E10"/>
    <w:rsid w:val="00AE3E31"/>
    <w:rsid w:val="00AE4671"/>
    <w:rsid w:val="00AE4756"/>
    <w:rsid w:val="00AE4A53"/>
    <w:rsid w:val="00AE5086"/>
    <w:rsid w:val="00AE5A97"/>
    <w:rsid w:val="00AE5AA9"/>
    <w:rsid w:val="00AE6059"/>
    <w:rsid w:val="00AE6E1A"/>
    <w:rsid w:val="00AE7C78"/>
    <w:rsid w:val="00AE7FA9"/>
    <w:rsid w:val="00AF06B7"/>
    <w:rsid w:val="00AF0C72"/>
    <w:rsid w:val="00AF1F7F"/>
    <w:rsid w:val="00AF2D88"/>
    <w:rsid w:val="00AF3EED"/>
    <w:rsid w:val="00AF557B"/>
    <w:rsid w:val="00AF5C4B"/>
    <w:rsid w:val="00AF617C"/>
    <w:rsid w:val="00AF6287"/>
    <w:rsid w:val="00AF6758"/>
    <w:rsid w:val="00AF76F1"/>
    <w:rsid w:val="00B00C95"/>
    <w:rsid w:val="00B01A77"/>
    <w:rsid w:val="00B01D58"/>
    <w:rsid w:val="00B03134"/>
    <w:rsid w:val="00B04144"/>
    <w:rsid w:val="00B05891"/>
    <w:rsid w:val="00B06684"/>
    <w:rsid w:val="00B06B14"/>
    <w:rsid w:val="00B077C8"/>
    <w:rsid w:val="00B07857"/>
    <w:rsid w:val="00B105AC"/>
    <w:rsid w:val="00B10A1C"/>
    <w:rsid w:val="00B10AA1"/>
    <w:rsid w:val="00B10B1B"/>
    <w:rsid w:val="00B10DA4"/>
    <w:rsid w:val="00B12FD6"/>
    <w:rsid w:val="00B131B4"/>
    <w:rsid w:val="00B134BD"/>
    <w:rsid w:val="00B14139"/>
    <w:rsid w:val="00B14A67"/>
    <w:rsid w:val="00B15FDB"/>
    <w:rsid w:val="00B167C9"/>
    <w:rsid w:val="00B16AFF"/>
    <w:rsid w:val="00B16EE5"/>
    <w:rsid w:val="00B20400"/>
    <w:rsid w:val="00B20583"/>
    <w:rsid w:val="00B208D9"/>
    <w:rsid w:val="00B2144D"/>
    <w:rsid w:val="00B21464"/>
    <w:rsid w:val="00B21714"/>
    <w:rsid w:val="00B22B4F"/>
    <w:rsid w:val="00B2314A"/>
    <w:rsid w:val="00B23DD7"/>
    <w:rsid w:val="00B24399"/>
    <w:rsid w:val="00B24640"/>
    <w:rsid w:val="00B24977"/>
    <w:rsid w:val="00B25169"/>
    <w:rsid w:val="00B2576C"/>
    <w:rsid w:val="00B259C5"/>
    <w:rsid w:val="00B25C06"/>
    <w:rsid w:val="00B26325"/>
    <w:rsid w:val="00B26980"/>
    <w:rsid w:val="00B26AF0"/>
    <w:rsid w:val="00B27957"/>
    <w:rsid w:val="00B30569"/>
    <w:rsid w:val="00B30696"/>
    <w:rsid w:val="00B30D03"/>
    <w:rsid w:val="00B30D59"/>
    <w:rsid w:val="00B32CFE"/>
    <w:rsid w:val="00B32E75"/>
    <w:rsid w:val="00B33209"/>
    <w:rsid w:val="00B338CF"/>
    <w:rsid w:val="00B339A2"/>
    <w:rsid w:val="00B34360"/>
    <w:rsid w:val="00B345A6"/>
    <w:rsid w:val="00B34C07"/>
    <w:rsid w:val="00B352AD"/>
    <w:rsid w:val="00B3615D"/>
    <w:rsid w:val="00B366FB"/>
    <w:rsid w:val="00B36A37"/>
    <w:rsid w:val="00B37790"/>
    <w:rsid w:val="00B403EC"/>
    <w:rsid w:val="00B409EB"/>
    <w:rsid w:val="00B4191B"/>
    <w:rsid w:val="00B429F8"/>
    <w:rsid w:val="00B440AC"/>
    <w:rsid w:val="00B45784"/>
    <w:rsid w:val="00B46FE2"/>
    <w:rsid w:val="00B4750B"/>
    <w:rsid w:val="00B51D86"/>
    <w:rsid w:val="00B51EF7"/>
    <w:rsid w:val="00B52672"/>
    <w:rsid w:val="00B5311C"/>
    <w:rsid w:val="00B53402"/>
    <w:rsid w:val="00B53824"/>
    <w:rsid w:val="00B53847"/>
    <w:rsid w:val="00B53DF5"/>
    <w:rsid w:val="00B552A3"/>
    <w:rsid w:val="00B55427"/>
    <w:rsid w:val="00B55B1A"/>
    <w:rsid w:val="00B5665A"/>
    <w:rsid w:val="00B568E2"/>
    <w:rsid w:val="00B56BC8"/>
    <w:rsid w:val="00B60581"/>
    <w:rsid w:val="00B60822"/>
    <w:rsid w:val="00B60B10"/>
    <w:rsid w:val="00B61092"/>
    <w:rsid w:val="00B63239"/>
    <w:rsid w:val="00B63349"/>
    <w:rsid w:val="00B650D8"/>
    <w:rsid w:val="00B65173"/>
    <w:rsid w:val="00B65A5C"/>
    <w:rsid w:val="00B65F51"/>
    <w:rsid w:val="00B65FAB"/>
    <w:rsid w:val="00B66783"/>
    <w:rsid w:val="00B66A76"/>
    <w:rsid w:val="00B6736C"/>
    <w:rsid w:val="00B67CCD"/>
    <w:rsid w:val="00B67F8C"/>
    <w:rsid w:val="00B70433"/>
    <w:rsid w:val="00B705D2"/>
    <w:rsid w:val="00B721E9"/>
    <w:rsid w:val="00B724FB"/>
    <w:rsid w:val="00B7274B"/>
    <w:rsid w:val="00B72F4F"/>
    <w:rsid w:val="00B72F52"/>
    <w:rsid w:val="00B73B82"/>
    <w:rsid w:val="00B75E50"/>
    <w:rsid w:val="00B7607D"/>
    <w:rsid w:val="00B760BD"/>
    <w:rsid w:val="00B77586"/>
    <w:rsid w:val="00B77A63"/>
    <w:rsid w:val="00B80274"/>
    <w:rsid w:val="00B80FC2"/>
    <w:rsid w:val="00B8138B"/>
    <w:rsid w:val="00B82299"/>
    <w:rsid w:val="00B82B33"/>
    <w:rsid w:val="00B8345D"/>
    <w:rsid w:val="00B847F1"/>
    <w:rsid w:val="00B84F99"/>
    <w:rsid w:val="00B854FF"/>
    <w:rsid w:val="00B865EB"/>
    <w:rsid w:val="00B86E37"/>
    <w:rsid w:val="00B87819"/>
    <w:rsid w:val="00B87B4E"/>
    <w:rsid w:val="00B87FC2"/>
    <w:rsid w:val="00B918B6"/>
    <w:rsid w:val="00B91C64"/>
    <w:rsid w:val="00B924B2"/>
    <w:rsid w:val="00B93BF6"/>
    <w:rsid w:val="00B94F75"/>
    <w:rsid w:val="00B95ED9"/>
    <w:rsid w:val="00B9670B"/>
    <w:rsid w:val="00B9714E"/>
    <w:rsid w:val="00B973DD"/>
    <w:rsid w:val="00BA0822"/>
    <w:rsid w:val="00BA110E"/>
    <w:rsid w:val="00BA14A6"/>
    <w:rsid w:val="00BA155E"/>
    <w:rsid w:val="00BA1CBE"/>
    <w:rsid w:val="00BA1FB5"/>
    <w:rsid w:val="00BA3ABC"/>
    <w:rsid w:val="00BA443A"/>
    <w:rsid w:val="00BA4A12"/>
    <w:rsid w:val="00BA535B"/>
    <w:rsid w:val="00BA6C85"/>
    <w:rsid w:val="00BA6C8C"/>
    <w:rsid w:val="00BA7139"/>
    <w:rsid w:val="00BA72F8"/>
    <w:rsid w:val="00BA7EE2"/>
    <w:rsid w:val="00BB08AA"/>
    <w:rsid w:val="00BB0D2A"/>
    <w:rsid w:val="00BB0F73"/>
    <w:rsid w:val="00BB128D"/>
    <w:rsid w:val="00BB180D"/>
    <w:rsid w:val="00BB1821"/>
    <w:rsid w:val="00BB1B2C"/>
    <w:rsid w:val="00BB230B"/>
    <w:rsid w:val="00BB29CE"/>
    <w:rsid w:val="00BB2AFE"/>
    <w:rsid w:val="00BB2EC5"/>
    <w:rsid w:val="00BB3908"/>
    <w:rsid w:val="00BB3A82"/>
    <w:rsid w:val="00BB461C"/>
    <w:rsid w:val="00BB48A9"/>
    <w:rsid w:val="00BB4AF6"/>
    <w:rsid w:val="00BB4B5C"/>
    <w:rsid w:val="00BB4E2F"/>
    <w:rsid w:val="00BB5537"/>
    <w:rsid w:val="00BB5E83"/>
    <w:rsid w:val="00BB640D"/>
    <w:rsid w:val="00BB6681"/>
    <w:rsid w:val="00BB7790"/>
    <w:rsid w:val="00BB7C1D"/>
    <w:rsid w:val="00BC111B"/>
    <w:rsid w:val="00BC1679"/>
    <w:rsid w:val="00BC1754"/>
    <w:rsid w:val="00BC227C"/>
    <w:rsid w:val="00BC2520"/>
    <w:rsid w:val="00BC355B"/>
    <w:rsid w:val="00BC3A0A"/>
    <w:rsid w:val="00BC3A29"/>
    <w:rsid w:val="00BC4661"/>
    <w:rsid w:val="00BC4E64"/>
    <w:rsid w:val="00BC56B3"/>
    <w:rsid w:val="00BC56B9"/>
    <w:rsid w:val="00BC59E2"/>
    <w:rsid w:val="00BC6345"/>
    <w:rsid w:val="00BC6528"/>
    <w:rsid w:val="00BC70C0"/>
    <w:rsid w:val="00BC79B3"/>
    <w:rsid w:val="00BD0CDA"/>
    <w:rsid w:val="00BD185C"/>
    <w:rsid w:val="00BD19DB"/>
    <w:rsid w:val="00BD2A17"/>
    <w:rsid w:val="00BD2DA8"/>
    <w:rsid w:val="00BD3D62"/>
    <w:rsid w:val="00BD4405"/>
    <w:rsid w:val="00BD44C2"/>
    <w:rsid w:val="00BD5541"/>
    <w:rsid w:val="00BD5AC8"/>
    <w:rsid w:val="00BD5D9B"/>
    <w:rsid w:val="00BD6371"/>
    <w:rsid w:val="00BD637D"/>
    <w:rsid w:val="00BD6D9F"/>
    <w:rsid w:val="00BD6F65"/>
    <w:rsid w:val="00BD70E9"/>
    <w:rsid w:val="00BD7B8D"/>
    <w:rsid w:val="00BE1E80"/>
    <w:rsid w:val="00BE22B3"/>
    <w:rsid w:val="00BE2D74"/>
    <w:rsid w:val="00BE2DC9"/>
    <w:rsid w:val="00BE370A"/>
    <w:rsid w:val="00BE4560"/>
    <w:rsid w:val="00BE4835"/>
    <w:rsid w:val="00BE48E5"/>
    <w:rsid w:val="00BE4B6B"/>
    <w:rsid w:val="00BE65D3"/>
    <w:rsid w:val="00BE67B5"/>
    <w:rsid w:val="00BE6C27"/>
    <w:rsid w:val="00BE77DF"/>
    <w:rsid w:val="00BF06DC"/>
    <w:rsid w:val="00BF0786"/>
    <w:rsid w:val="00BF179E"/>
    <w:rsid w:val="00BF17FE"/>
    <w:rsid w:val="00BF2252"/>
    <w:rsid w:val="00BF34CF"/>
    <w:rsid w:val="00BF3FAC"/>
    <w:rsid w:val="00BF3FD5"/>
    <w:rsid w:val="00BF4078"/>
    <w:rsid w:val="00BF40E2"/>
    <w:rsid w:val="00BF4B36"/>
    <w:rsid w:val="00BF4D0C"/>
    <w:rsid w:val="00BF4F4A"/>
    <w:rsid w:val="00BF5603"/>
    <w:rsid w:val="00BF5AB5"/>
    <w:rsid w:val="00BF72F3"/>
    <w:rsid w:val="00BF7D6A"/>
    <w:rsid w:val="00C014AA"/>
    <w:rsid w:val="00C0219E"/>
    <w:rsid w:val="00C02918"/>
    <w:rsid w:val="00C0370D"/>
    <w:rsid w:val="00C04047"/>
    <w:rsid w:val="00C04777"/>
    <w:rsid w:val="00C068A4"/>
    <w:rsid w:val="00C06CB8"/>
    <w:rsid w:val="00C06DC3"/>
    <w:rsid w:val="00C07D38"/>
    <w:rsid w:val="00C100C9"/>
    <w:rsid w:val="00C10151"/>
    <w:rsid w:val="00C102FE"/>
    <w:rsid w:val="00C106D8"/>
    <w:rsid w:val="00C10F82"/>
    <w:rsid w:val="00C11588"/>
    <w:rsid w:val="00C1159A"/>
    <w:rsid w:val="00C124E8"/>
    <w:rsid w:val="00C1287B"/>
    <w:rsid w:val="00C13292"/>
    <w:rsid w:val="00C136B5"/>
    <w:rsid w:val="00C13EF7"/>
    <w:rsid w:val="00C14068"/>
    <w:rsid w:val="00C15B5E"/>
    <w:rsid w:val="00C16D92"/>
    <w:rsid w:val="00C170B8"/>
    <w:rsid w:val="00C176E1"/>
    <w:rsid w:val="00C17A33"/>
    <w:rsid w:val="00C201E5"/>
    <w:rsid w:val="00C20B8C"/>
    <w:rsid w:val="00C20C32"/>
    <w:rsid w:val="00C20E80"/>
    <w:rsid w:val="00C21424"/>
    <w:rsid w:val="00C23C4E"/>
    <w:rsid w:val="00C25A0B"/>
    <w:rsid w:val="00C25C81"/>
    <w:rsid w:val="00C263EB"/>
    <w:rsid w:val="00C272AB"/>
    <w:rsid w:val="00C274E7"/>
    <w:rsid w:val="00C2784D"/>
    <w:rsid w:val="00C30117"/>
    <w:rsid w:val="00C306BF"/>
    <w:rsid w:val="00C31DC6"/>
    <w:rsid w:val="00C337FA"/>
    <w:rsid w:val="00C33D26"/>
    <w:rsid w:val="00C34987"/>
    <w:rsid w:val="00C34CCC"/>
    <w:rsid w:val="00C356CA"/>
    <w:rsid w:val="00C35CDD"/>
    <w:rsid w:val="00C3654A"/>
    <w:rsid w:val="00C37BAE"/>
    <w:rsid w:val="00C40300"/>
    <w:rsid w:val="00C41033"/>
    <w:rsid w:val="00C41681"/>
    <w:rsid w:val="00C41734"/>
    <w:rsid w:val="00C41A76"/>
    <w:rsid w:val="00C42076"/>
    <w:rsid w:val="00C424DD"/>
    <w:rsid w:val="00C426D8"/>
    <w:rsid w:val="00C428B7"/>
    <w:rsid w:val="00C43C0C"/>
    <w:rsid w:val="00C43CC7"/>
    <w:rsid w:val="00C43D30"/>
    <w:rsid w:val="00C43EF9"/>
    <w:rsid w:val="00C441B0"/>
    <w:rsid w:val="00C44550"/>
    <w:rsid w:val="00C44EE9"/>
    <w:rsid w:val="00C46670"/>
    <w:rsid w:val="00C4673E"/>
    <w:rsid w:val="00C46C0B"/>
    <w:rsid w:val="00C47CB6"/>
    <w:rsid w:val="00C50099"/>
    <w:rsid w:val="00C50114"/>
    <w:rsid w:val="00C5017B"/>
    <w:rsid w:val="00C503E8"/>
    <w:rsid w:val="00C50CE1"/>
    <w:rsid w:val="00C511C8"/>
    <w:rsid w:val="00C51A67"/>
    <w:rsid w:val="00C523AB"/>
    <w:rsid w:val="00C52C21"/>
    <w:rsid w:val="00C54DD2"/>
    <w:rsid w:val="00C55ECF"/>
    <w:rsid w:val="00C55EDF"/>
    <w:rsid w:val="00C5686B"/>
    <w:rsid w:val="00C57A57"/>
    <w:rsid w:val="00C60457"/>
    <w:rsid w:val="00C60672"/>
    <w:rsid w:val="00C60684"/>
    <w:rsid w:val="00C6133B"/>
    <w:rsid w:val="00C6162A"/>
    <w:rsid w:val="00C61FED"/>
    <w:rsid w:val="00C6298E"/>
    <w:rsid w:val="00C6343E"/>
    <w:rsid w:val="00C635C6"/>
    <w:rsid w:val="00C6436F"/>
    <w:rsid w:val="00C64678"/>
    <w:rsid w:val="00C64AFF"/>
    <w:rsid w:val="00C65235"/>
    <w:rsid w:val="00C654A6"/>
    <w:rsid w:val="00C66563"/>
    <w:rsid w:val="00C6659A"/>
    <w:rsid w:val="00C666C8"/>
    <w:rsid w:val="00C67208"/>
    <w:rsid w:val="00C67C28"/>
    <w:rsid w:val="00C70401"/>
    <w:rsid w:val="00C70582"/>
    <w:rsid w:val="00C70751"/>
    <w:rsid w:val="00C70A51"/>
    <w:rsid w:val="00C71B57"/>
    <w:rsid w:val="00C71DA8"/>
    <w:rsid w:val="00C726C6"/>
    <w:rsid w:val="00C737E2"/>
    <w:rsid w:val="00C73ADD"/>
    <w:rsid w:val="00C74560"/>
    <w:rsid w:val="00C7603B"/>
    <w:rsid w:val="00C76BCA"/>
    <w:rsid w:val="00C76E1D"/>
    <w:rsid w:val="00C776C3"/>
    <w:rsid w:val="00C80886"/>
    <w:rsid w:val="00C80B35"/>
    <w:rsid w:val="00C82ABE"/>
    <w:rsid w:val="00C82BA5"/>
    <w:rsid w:val="00C83038"/>
    <w:rsid w:val="00C8343B"/>
    <w:rsid w:val="00C841C2"/>
    <w:rsid w:val="00C85237"/>
    <w:rsid w:val="00C85EC5"/>
    <w:rsid w:val="00C8691F"/>
    <w:rsid w:val="00C91CB0"/>
    <w:rsid w:val="00C93E5F"/>
    <w:rsid w:val="00C947B0"/>
    <w:rsid w:val="00C94E8A"/>
    <w:rsid w:val="00C95CB9"/>
    <w:rsid w:val="00C97707"/>
    <w:rsid w:val="00C97BF3"/>
    <w:rsid w:val="00C97EFE"/>
    <w:rsid w:val="00CA0370"/>
    <w:rsid w:val="00CA1369"/>
    <w:rsid w:val="00CA300D"/>
    <w:rsid w:val="00CA3C67"/>
    <w:rsid w:val="00CA52BA"/>
    <w:rsid w:val="00CA5847"/>
    <w:rsid w:val="00CA5862"/>
    <w:rsid w:val="00CA5DA9"/>
    <w:rsid w:val="00CA5E6E"/>
    <w:rsid w:val="00CA5F04"/>
    <w:rsid w:val="00CA70F3"/>
    <w:rsid w:val="00CA7D72"/>
    <w:rsid w:val="00CB0572"/>
    <w:rsid w:val="00CB06DC"/>
    <w:rsid w:val="00CB09EF"/>
    <w:rsid w:val="00CB2F62"/>
    <w:rsid w:val="00CB3193"/>
    <w:rsid w:val="00CB36E7"/>
    <w:rsid w:val="00CB39ED"/>
    <w:rsid w:val="00CB3BA4"/>
    <w:rsid w:val="00CB3BEC"/>
    <w:rsid w:val="00CB4F4A"/>
    <w:rsid w:val="00CB52C9"/>
    <w:rsid w:val="00CB57E8"/>
    <w:rsid w:val="00CB5D04"/>
    <w:rsid w:val="00CB617C"/>
    <w:rsid w:val="00CB6B3E"/>
    <w:rsid w:val="00CB6CEB"/>
    <w:rsid w:val="00CB76B4"/>
    <w:rsid w:val="00CC1C7B"/>
    <w:rsid w:val="00CC1FDD"/>
    <w:rsid w:val="00CC2230"/>
    <w:rsid w:val="00CC235C"/>
    <w:rsid w:val="00CC29B6"/>
    <w:rsid w:val="00CC29C6"/>
    <w:rsid w:val="00CC3C21"/>
    <w:rsid w:val="00CC422C"/>
    <w:rsid w:val="00CC4AF6"/>
    <w:rsid w:val="00CC5545"/>
    <w:rsid w:val="00CC5651"/>
    <w:rsid w:val="00CC5D63"/>
    <w:rsid w:val="00CC5D9C"/>
    <w:rsid w:val="00CC60B3"/>
    <w:rsid w:val="00CC69C9"/>
    <w:rsid w:val="00CC6E60"/>
    <w:rsid w:val="00CC6ED4"/>
    <w:rsid w:val="00CC6F66"/>
    <w:rsid w:val="00CC7879"/>
    <w:rsid w:val="00CD009F"/>
    <w:rsid w:val="00CD0CA7"/>
    <w:rsid w:val="00CD11AD"/>
    <w:rsid w:val="00CD134F"/>
    <w:rsid w:val="00CD1B55"/>
    <w:rsid w:val="00CD2061"/>
    <w:rsid w:val="00CD26A7"/>
    <w:rsid w:val="00CD2DA9"/>
    <w:rsid w:val="00CD3B58"/>
    <w:rsid w:val="00CD3B5E"/>
    <w:rsid w:val="00CD44F4"/>
    <w:rsid w:val="00CD48CE"/>
    <w:rsid w:val="00CD4DE5"/>
    <w:rsid w:val="00CD53EF"/>
    <w:rsid w:val="00CD5779"/>
    <w:rsid w:val="00CD6377"/>
    <w:rsid w:val="00CD7608"/>
    <w:rsid w:val="00CD7A97"/>
    <w:rsid w:val="00CD7AC9"/>
    <w:rsid w:val="00CD7DBD"/>
    <w:rsid w:val="00CD7F11"/>
    <w:rsid w:val="00CE022D"/>
    <w:rsid w:val="00CE137F"/>
    <w:rsid w:val="00CE19B6"/>
    <w:rsid w:val="00CE1C9F"/>
    <w:rsid w:val="00CE1E73"/>
    <w:rsid w:val="00CE288E"/>
    <w:rsid w:val="00CE2B2B"/>
    <w:rsid w:val="00CE39A4"/>
    <w:rsid w:val="00CE3C63"/>
    <w:rsid w:val="00CE3FD2"/>
    <w:rsid w:val="00CE5B02"/>
    <w:rsid w:val="00CE7FBF"/>
    <w:rsid w:val="00CF053D"/>
    <w:rsid w:val="00CF0A55"/>
    <w:rsid w:val="00CF0B70"/>
    <w:rsid w:val="00CF11D5"/>
    <w:rsid w:val="00CF1534"/>
    <w:rsid w:val="00CF17AA"/>
    <w:rsid w:val="00CF184B"/>
    <w:rsid w:val="00CF2200"/>
    <w:rsid w:val="00CF22CA"/>
    <w:rsid w:val="00CF2771"/>
    <w:rsid w:val="00CF2F61"/>
    <w:rsid w:val="00CF403B"/>
    <w:rsid w:val="00CF434B"/>
    <w:rsid w:val="00CF4AE7"/>
    <w:rsid w:val="00CF4D26"/>
    <w:rsid w:val="00CF5942"/>
    <w:rsid w:val="00CF5C71"/>
    <w:rsid w:val="00CF6398"/>
    <w:rsid w:val="00CF67EC"/>
    <w:rsid w:val="00CF7070"/>
    <w:rsid w:val="00CF7923"/>
    <w:rsid w:val="00CF7DC2"/>
    <w:rsid w:val="00CF7E5C"/>
    <w:rsid w:val="00D001DC"/>
    <w:rsid w:val="00D009F3"/>
    <w:rsid w:val="00D009F7"/>
    <w:rsid w:val="00D0142C"/>
    <w:rsid w:val="00D0167D"/>
    <w:rsid w:val="00D01880"/>
    <w:rsid w:val="00D02B73"/>
    <w:rsid w:val="00D02E5A"/>
    <w:rsid w:val="00D034AD"/>
    <w:rsid w:val="00D03B95"/>
    <w:rsid w:val="00D04033"/>
    <w:rsid w:val="00D040EA"/>
    <w:rsid w:val="00D047C0"/>
    <w:rsid w:val="00D049FC"/>
    <w:rsid w:val="00D054C5"/>
    <w:rsid w:val="00D05609"/>
    <w:rsid w:val="00D056CF"/>
    <w:rsid w:val="00D07109"/>
    <w:rsid w:val="00D07B78"/>
    <w:rsid w:val="00D07FE5"/>
    <w:rsid w:val="00D1033A"/>
    <w:rsid w:val="00D10564"/>
    <w:rsid w:val="00D106C0"/>
    <w:rsid w:val="00D11081"/>
    <w:rsid w:val="00D11099"/>
    <w:rsid w:val="00D11198"/>
    <w:rsid w:val="00D1139A"/>
    <w:rsid w:val="00D11675"/>
    <w:rsid w:val="00D124EA"/>
    <w:rsid w:val="00D127AA"/>
    <w:rsid w:val="00D13757"/>
    <w:rsid w:val="00D13F22"/>
    <w:rsid w:val="00D14554"/>
    <w:rsid w:val="00D1479B"/>
    <w:rsid w:val="00D16369"/>
    <w:rsid w:val="00D16522"/>
    <w:rsid w:val="00D1788C"/>
    <w:rsid w:val="00D17BB9"/>
    <w:rsid w:val="00D17DD2"/>
    <w:rsid w:val="00D17F81"/>
    <w:rsid w:val="00D201B5"/>
    <w:rsid w:val="00D2078F"/>
    <w:rsid w:val="00D22364"/>
    <w:rsid w:val="00D225CE"/>
    <w:rsid w:val="00D22F13"/>
    <w:rsid w:val="00D23162"/>
    <w:rsid w:val="00D23DFE"/>
    <w:rsid w:val="00D248A6"/>
    <w:rsid w:val="00D25346"/>
    <w:rsid w:val="00D25785"/>
    <w:rsid w:val="00D26633"/>
    <w:rsid w:val="00D27D40"/>
    <w:rsid w:val="00D27DAF"/>
    <w:rsid w:val="00D31700"/>
    <w:rsid w:val="00D3174F"/>
    <w:rsid w:val="00D32417"/>
    <w:rsid w:val="00D33567"/>
    <w:rsid w:val="00D33B55"/>
    <w:rsid w:val="00D33BE4"/>
    <w:rsid w:val="00D34C51"/>
    <w:rsid w:val="00D350BB"/>
    <w:rsid w:val="00D35C6F"/>
    <w:rsid w:val="00D36196"/>
    <w:rsid w:val="00D3687D"/>
    <w:rsid w:val="00D36E6F"/>
    <w:rsid w:val="00D36E7C"/>
    <w:rsid w:val="00D37303"/>
    <w:rsid w:val="00D37D3A"/>
    <w:rsid w:val="00D407B9"/>
    <w:rsid w:val="00D408F2"/>
    <w:rsid w:val="00D41058"/>
    <w:rsid w:val="00D4116C"/>
    <w:rsid w:val="00D417C4"/>
    <w:rsid w:val="00D41A39"/>
    <w:rsid w:val="00D41A4A"/>
    <w:rsid w:val="00D41E04"/>
    <w:rsid w:val="00D42894"/>
    <w:rsid w:val="00D42D1A"/>
    <w:rsid w:val="00D4402F"/>
    <w:rsid w:val="00D446B6"/>
    <w:rsid w:val="00D447F3"/>
    <w:rsid w:val="00D45B5B"/>
    <w:rsid w:val="00D45C81"/>
    <w:rsid w:val="00D467E0"/>
    <w:rsid w:val="00D47561"/>
    <w:rsid w:val="00D47B96"/>
    <w:rsid w:val="00D47DCE"/>
    <w:rsid w:val="00D47FE2"/>
    <w:rsid w:val="00D503DE"/>
    <w:rsid w:val="00D50828"/>
    <w:rsid w:val="00D508AD"/>
    <w:rsid w:val="00D50B9C"/>
    <w:rsid w:val="00D50BA4"/>
    <w:rsid w:val="00D50E8E"/>
    <w:rsid w:val="00D510DB"/>
    <w:rsid w:val="00D51845"/>
    <w:rsid w:val="00D52343"/>
    <w:rsid w:val="00D526AB"/>
    <w:rsid w:val="00D53CBA"/>
    <w:rsid w:val="00D5475C"/>
    <w:rsid w:val="00D55723"/>
    <w:rsid w:val="00D567F2"/>
    <w:rsid w:val="00D57BA8"/>
    <w:rsid w:val="00D612DA"/>
    <w:rsid w:val="00D61C26"/>
    <w:rsid w:val="00D621EA"/>
    <w:rsid w:val="00D6286B"/>
    <w:rsid w:val="00D65F24"/>
    <w:rsid w:val="00D66108"/>
    <w:rsid w:val="00D661A5"/>
    <w:rsid w:val="00D674F3"/>
    <w:rsid w:val="00D67E1A"/>
    <w:rsid w:val="00D704CD"/>
    <w:rsid w:val="00D70F14"/>
    <w:rsid w:val="00D71229"/>
    <w:rsid w:val="00D71D91"/>
    <w:rsid w:val="00D72BDD"/>
    <w:rsid w:val="00D73200"/>
    <w:rsid w:val="00D748BE"/>
    <w:rsid w:val="00D75753"/>
    <w:rsid w:val="00D764FA"/>
    <w:rsid w:val="00D76932"/>
    <w:rsid w:val="00D76F87"/>
    <w:rsid w:val="00D7765C"/>
    <w:rsid w:val="00D80E44"/>
    <w:rsid w:val="00D81471"/>
    <w:rsid w:val="00D81B07"/>
    <w:rsid w:val="00D81F45"/>
    <w:rsid w:val="00D82153"/>
    <w:rsid w:val="00D82C52"/>
    <w:rsid w:val="00D82FF9"/>
    <w:rsid w:val="00D837EC"/>
    <w:rsid w:val="00D84DDF"/>
    <w:rsid w:val="00D851BC"/>
    <w:rsid w:val="00D858BB"/>
    <w:rsid w:val="00D85983"/>
    <w:rsid w:val="00D85C58"/>
    <w:rsid w:val="00D86854"/>
    <w:rsid w:val="00D87140"/>
    <w:rsid w:val="00D9016A"/>
    <w:rsid w:val="00D9077D"/>
    <w:rsid w:val="00D90EE6"/>
    <w:rsid w:val="00D92095"/>
    <w:rsid w:val="00D92176"/>
    <w:rsid w:val="00D9220B"/>
    <w:rsid w:val="00D92FD4"/>
    <w:rsid w:val="00D9390C"/>
    <w:rsid w:val="00D9486F"/>
    <w:rsid w:val="00D962D0"/>
    <w:rsid w:val="00D966C7"/>
    <w:rsid w:val="00DA00D2"/>
    <w:rsid w:val="00DA0387"/>
    <w:rsid w:val="00DA0C62"/>
    <w:rsid w:val="00DA109E"/>
    <w:rsid w:val="00DA1527"/>
    <w:rsid w:val="00DA2879"/>
    <w:rsid w:val="00DA2F26"/>
    <w:rsid w:val="00DA2FAD"/>
    <w:rsid w:val="00DA34A0"/>
    <w:rsid w:val="00DA69BC"/>
    <w:rsid w:val="00DA69F8"/>
    <w:rsid w:val="00DA7224"/>
    <w:rsid w:val="00DA7837"/>
    <w:rsid w:val="00DA7A31"/>
    <w:rsid w:val="00DA7F16"/>
    <w:rsid w:val="00DB0160"/>
    <w:rsid w:val="00DB029F"/>
    <w:rsid w:val="00DB14E3"/>
    <w:rsid w:val="00DB1A3D"/>
    <w:rsid w:val="00DB2420"/>
    <w:rsid w:val="00DB3098"/>
    <w:rsid w:val="00DB3137"/>
    <w:rsid w:val="00DB4BEC"/>
    <w:rsid w:val="00DB4C7E"/>
    <w:rsid w:val="00DB5CDB"/>
    <w:rsid w:val="00DB642B"/>
    <w:rsid w:val="00DB72B1"/>
    <w:rsid w:val="00DB75F0"/>
    <w:rsid w:val="00DB78ED"/>
    <w:rsid w:val="00DC0873"/>
    <w:rsid w:val="00DC09ED"/>
    <w:rsid w:val="00DC0ABD"/>
    <w:rsid w:val="00DC1102"/>
    <w:rsid w:val="00DC1297"/>
    <w:rsid w:val="00DC14C2"/>
    <w:rsid w:val="00DC14F2"/>
    <w:rsid w:val="00DC2C94"/>
    <w:rsid w:val="00DC313D"/>
    <w:rsid w:val="00DC38CC"/>
    <w:rsid w:val="00DC3DF5"/>
    <w:rsid w:val="00DC3E28"/>
    <w:rsid w:val="00DC5688"/>
    <w:rsid w:val="00DC64A2"/>
    <w:rsid w:val="00DC741E"/>
    <w:rsid w:val="00DC75CE"/>
    <w:rsid w:val="00DC7EB9"/>
    <w:rsid w:val="00DC7EC1"/>
    <w:rsid w:val="00DC7F99"/>
    <w:rsid w:val="00DD03A8"/>
    <w:rsid w:val="00DD0565"/>
    <w:rsid w:val="00DD12B2"/>
    <w:rsid w:val="00DD18FD"/>
    <w:rsid w:val="00DD192C"/>
    <w:rsid w:val="00DD1DDA"/>
    <w:rsid w:val="00DD2076"/>
    <w:rsid w:val="00DD3271"/>
    <w:rsid w:val="00DD4C71"/>
    <w:rsid w:val="00DD554A"/>
    <w:rsid w:val="00DD7A7E"/>
    <w:rsid w:val="00DD7EB9"/>
    <w:rsid w:val="00DE0420"/>
    <w:rsid w:val="00DE0CF9"/>
    <w:rsid w:val="00DE19B3"/>
    <w:rsid w:val="00DE2A53"/>
    <w:rsid w:val="00DE38A0"/>
    <w:rsid w:val="00DE38F5"/>
    <w:rsid w:val="00DE3EA3"/>
    <w:rsid w:val="00DE588F"/>
    <w:rsid w:val="00DE6934"/>
    <w:rsid w:val="00DE6C6C"/>
    <w:rsid w:val="00DE783E"/>
    <w:rsid w:val="00DE794C"/>
    <w:rsid w:val="00DE7F21"/>
    <w:rsid w:val="00DF063E"/>
    <w:rsid w:val="00DF0C62"/>
    <w:rsid w:val="00DF0F4E"/>
    <w:rsid w:val="00DF1122"/>
    <w:rsid w:val="00DF12F9"/>
    <w:rsid w:val="00DF280A"/>
    <w:rsid w:val="00DF2A0C"/>
    <w:rsid w:val="00DF2B61"/>
    <w:rsid w:val="00DF2ED8"/>
    <w:rsid w:val="00DF40F2"/>
    <w:rsid w:val="00DF4873"/>
    <w:rsid w:val="00DF4B5E"/>
    <w:rsid w:val="00DF5091"/>
    <w:rsid w:val="00DF55C0"/>
    <w:rsid w:val="00DF5935"/>
    <w:rsid w:val="00DF60F8"/>
    <w:rsid w:val="00DF68E7"/>
    <w:rsid w:val="00DF7328"/>
    <w:rsid w:val="00E00788"/>
    <w:rsid w:val="00E01A83"/>
    <w:rsid w:val="00E03325"/>
    <w:rsid w:val="00E040D9"/>
    <w:rsid w:val="00E04A51"/>
    <w:rsid w:val="00E0596B"/>
    <w:rsid w:val="00E068F9"/>
    <w:rsid w:val="00E078F0"/>
    <w:rsid w:val="00E07CF8"/>
    <w:rsid w:val="00E110C6"/>
    <w:rsid w:val="00E113DC"/>
    <w:rsid w:val="00E1155F"/>
    <w:rsid w:val="00E11FEC"/>
    <w:rsid w:val="00E12255"/>
    <w:rsid w:val="00E12D42"/>
    <w:rsid w:val="00E12D69"/>
    <w:rsid w:val="00E12EC4"/>
    <w:rsid w:val="00E13094"/>
    <w:rsid w:val="00E1406C"/>
    <w:rsid w:val="00E17470"/>
    <w:rsid w:val="00E17603"/>
    <w:rsid w:val="00E17EDD"/>
    <w:rsid w:val="00E2047C"/>
    <w:rsid w:val="00E20A17"/>
    <w:rsid w:val="00E20FA5"/>
    <w:rsid w:val="00E211B1"/>
    <w:rsid w:val="00E219C5"/>
    <w:rsid w:val="00E21ACC"/>
    <w:rsid w:val="00E2229C"/>
    <w:rsid w:val="00E22977"/>
    <w:rsid w:val="00E22F9D"/>
    <w:rsid w:val="00E25564"/>
    <w:rsid w:val="00E259E9"/>
    <w:rsid w:val="00E25CEC"/>
    <w:rsid w:val="00E25EE6"/>
    <w:rsid w:val="00E2615B"/>
    <w:rsid w:val="00E27683"/>
    <w:rsid w:val="00E30863"/>
    <w:rsid w:val="00E309B8"/>
    <w:rsid w:val="00E31094"/>
    <w:rsid w:val="00E3141E"/>
    <w:rsid w:val="00E32070"/>
    <w:rsid w:val="00E32109"/>
    <w:rsid w:val="00E3213C"/>
    <w:rsid w:val="00E32263"/>
    <w:rsid w:val="00E323F1"/>
    <w:rsid w:val="00E32C9D"/>
    <w:rsid w:val="00E337A9"/>
    <w:rsid w:val="00E34183"/>
    <w:rsid w:val="00E34CAF"/>
    <w:rsid w:val="00E352DD"/>
    <w:rsid w:val="00E35E92"/>
    <w:rsid w:val="00E36480"/>
    <w:rsid w:val="00E36B6D"/>
    <w:rsid w:val="00E36EF0"/>
    <w:rsid w:val="00E371BC"/>
    <w:rsid w:val="00E374D0"/>
    <w:rsid w:val="00E37D3C"/>
    <w:rsid w:val="00E40B4D"/>
    <w:rsid w:val="00E410B6"/>
    <w:rsid w:val="00E417F0"/>
    <w:rsid w:val="00E41C36"/>
    <w:rsid w:val="00E41C81"/>
    <w:rsid w:val="00E42F5D"/>
    <w:rsid w:val="00E431E9"/>
    <w:rsid w:val="00E4386F"/>
    <w:rsid w:val="00E44CFD"/>
    <w:rsid w:val="00E45905"/>
    <w:rsid w:val="00E461CC"/>
    <w:rsid w:val="00E4669A"/>
    <w:rsid w:val="00E476D2"/>
    <w:rsid w:val="00E47915"/>
    <w:rsid w:val="00E5104E"/>
    <w:rsid w:val="00E536D1"/>
    <w:rsid w:val="00E54719"/>
    <w:rsid w:val="00E5563D"/>
    <w:rsid w:val="00E55E78"/>
    <w:rsid w:val="00E56BF3"/>
    <w:rsid w:val="00E57390"/>
    <w:rsid w:val="00E57740"/>
    <w:rsid w:val="00E577CE"/>
    <w:rsid w:val="00E60134"/>
    <w:rsid w:val="00E604B6"/>
    <w:rsid w:val="00E6103C"/>
    <w:rsid w:val="00E6115B"/>
    <w:rsid w:val="00E613AC"/>
    <w:rsid w:val="00E61462"/>
    <w:rsid w:val="00E64297"/>
    <w:rsid w:val="00E6480D"/>
    <w:rsid w:val="00E64D97"/>
    <w:rsid w:val="00E67950"/>
    <w:rsid w:val="00E704F6"/>
    <w:rsid w:val="00E71811"/>
    <w:rsid w:val="00E71AA1"/>
    <w:rsid w:val="00E7247C"/>
    <w:rsid w:val="00E72EF4"/>
    <w:rsid w:val="00E73887"/>
    <w:rsid w:val="00E73B28"/>
    <w:rsid w:val="00E7480B"/>
    <w:rsid w:val="00E7489F"/>
    <w:rsid w:val="00E74910"/>
    <w:rsid w:val="00E74BC9"/>
    <w:rsid w:val="00E74C4C"/>
    <w:rsid w:val="00E74CD7"/>
    <w:rsid w:val="00E76B84"/>
    <w:rsid w:val="00E76C04"/>
    <w:rsid w:val="00E77F83"/>
    <w:rsid w:val="00E805C0"/>
    <w:rsid w:val="00E80721"/>
    <w:rsid w:val="00E819D3"/>
    <w:rsid w:val="00E820BA"/>
    <w:rsid w:val="00E82B79"/>
    <w:rsid w:val="00E83205"/>
    <w:rsid w:val="00E836B2"/>
    <w:rsid w:val="00E83E80"/>
    <w:rsid w:val="00E84F1A"/>
    <w:rsid w:val="00E85166"/>
    <w:rsid w:val="00E85AE2"/>
    <w:rsid w:val="00E864B9"/>
    <w:rsid w:val="00E86880"/>
    <w:rsid w:val="00E87378"/>
    <w:rsid w:val="00E8763B"/>
    <w:rsid w:val="00E87899"/>
    <w:rsid w:val="00E91EFF"/>
    <w:rsid w:val="00E9242C"/>
    <w:rsid w:val="00E92A1A"/>
    <w:rsid w:val="00E932C3"/>
    <w:rsid w:val="00E936D5"/>
    <w:rsid w:val="00E957C2"/>
    <w:rsid w:val="00E962FB"/>
    <w:rsid w:val="00E96350"/>
    <w:rsid w:val="00E96622"/>
    <w:rsid w:val="00E97172"/>
    <w:rsid w:val="00E97246"/>
    <w:rsid w:val="00E977E4"/>
    <w:rsid w:val="00E97ED4"/>
    <w:rsid w:val="00E97F40"/>
    <w:rsid w:val="00EA0C6E"/>
    <w:rsid w:val="00EA1332"/>
    <w:rsid w:val="00EA1690"/>
    <w:rsid w:val="00EA187D"/>
    <w:rsid w:val="00EA1E2E"/>
    <w:rsid w:val="00EA1FCC"/>
    <w:rsid w:val="00EA215F"/>
    <w:rsid w:val="00EA413A"/>
    <w:rsid w:val="00EA4281"/>
    <w:rsid w:val="00EA4DCA"/>
    <w:rsid w:val="00EA5008"/>
    <w:rsid w:val="00EA546A"/>
    <w:rsid w:val="00EA5F85"/>
    <w:rsid w:val="00EA60AB"/>
    <w:rsid w:val="00EA66AD"/>
    <w:rsid w:val="00EA6F13"/>
    <w:rsid w:val="00EB1086"/>
    <w:rsid w:val="00EB223D"/>
    <w:rsid w:val="00EB32B0"/>
    <w:rsid w:val="00EB3556"/>
    <w:rsid w:val="00EB4068"/>
    <w:rsid w:val="00EB4408"/>
    <w:rsid w:val="00EB47B3"/>
    <w:rsid w:val="00EB47C6"/>
    <w:rsid w:val="00EB51CD"/>
    <w:rsid w:val="00EB702F"/>
    <w:rsid w:val="00EC0A62"/>
    <w:rsid w:val="00EC0CDD"/>
    <w:rsid w:val="00EC144B"/>
    <w:rsid w:val="00EC1CE1"/>
    <w:rsid w:val="00EC1DF6"/>
    <w:rsid w:val="00EC2060"/>
    <w:rsid w:val="00EC26E8"/>
    <w:rsid w:val="00EC28F3"/>
    <w:rsid w:val="00EC29E3"/>
    <w:rsid w:val="00EC2B4D"/>
    <w:rsid w:val="00EC362A"/>
    <w:rsid w:val="00EC4611"/>
    <w:rsid w:val="00EC63EC"/>
    <w:rsid w:val="00EC69C5"/>
    <w:rsid w:val="00EC708B"/>
    <w:rsid w:val="00EC7131"/>
    <w:rsid w:val="00EC7188"/>
    <w:rsid w:val="00ED1327"/>
    <w:rsid w:val="00ED1E18"/>
    <w:rsid w:val="00ED28D6"/>
    <w:rsid w:val="00ED3272"/>
    <w:rsid w:val="00ED38A1"/>
    <w:rsid w:val="00ED48B1"/>
    <w:rsid w:val="00ED634B"/>
    <w:rsid w:val="00ED6B50"/>
    <w:rsid w:val="00ED713E"/>
    <w:rsid w:val="00ED71B9"/>
    <w:rsid w:val="00ED71BE"/>
    <w:rsid w:val="00ED76C4"/>
    <w:rsid w:val="00ED77C9"/>
    <w:rsid w:val="00ED7C64"/>
    <w:rsid w:val="00EE0DF1"/>
    <w:rsid w:val="00EE15E4"/>
    <w:rsid w:val="00EE1C04"/>
    <w:rsid w:val="00EE1ED0"/>
    <w:rsid w:val="00EE2E6D"/>
    <w:rsid w:val="00EE324F"/>
    <w:rsid w:val="00EE32D9"/>
    <w:rsid w:val="00EE48B8"/>
    <w:rsid w:val="00EE4C65"/>
    <w:rsid w:val="00EE50FA"/>
    <w:rsid w:val="00EE528E"/>
    <w:rsid w:val="00EE54DF"/>
    <w:rsid w:val="00EE659E"/>
    <w:rsid w:val="00EE6836"/>
    <w:rsid w:val="00EE6857"/>
    <w:rsid w:val="00EF00D4"/>
    <w:rsid w:val="00EF0A2A"/>
    <w:rsid w:val="00EF0E6F"/>
    <w:rsid w:val="00EF0FCB"/>
    <w:rsid w:val="00EF2DEE"/>
    <w:rsid w:val="00EF32AA"/>
    <w:rsid w:val="00EF35D4"/>
    <w:rsid w:val="00EF45AA"/>
    <w:rsid w:val="00EF5699"/>
    <w:rsid w:val="00EF5A5A"/>
    <w:rsid w:val="00EF628E"/>
    <w:rsid w:val="00EF686A"/>
    <w:rsid w:val="00EF6939"/>
    <w:rsid w:val="00EF6C02"/>
    <w:rsid w:val="00F00C08"/>
    <w:rsid w:val="00F00CC8"/>
    <w:rsid w:val="00F01598"/>
    <w:rsid w:val="00F018C4"/>
    <w:rsid w:val="00F03432"/>
    <w:rsid w:val="00F03769"/>
    <w:rsid w:val="00F037F8"/>
    <w:rsid w:val="00F03AFB"/>
    <w:rsid w:val="00F042B3"/>
    <w:rsid w:val="00F04507"/>
    <w:rsid w:val="00F04D12"/>
    <w:rsid w:val="00F066E4"/>
    <w:rsid w:val="00F067E1"/>
    <w:rsid w:val="00F070B0"/>
    <w:rsid w:val="00F102CD"/>
    <w:rsid w:val="00F11C37"/>
    <w:rsid w:val="00F12E1D"/>
    <w:rsid w:val="00F141DD"/>
    <w:rsid w:val="00F142C5"/>
    <w:rsid w:val="00F143A6"/>
    <w:rsid w:val="00F14D01"/>
    <w:rsid w:val="00F1600C"/>
    <w:rsid w:val="00F1712C"/>
    <w:rsid w:val="00F17418"/>
    <w:rsid w:val="00F201CE"/>
    <w:rsid w:val="00F219E1"/>
    <w:rsid w:val="00F22935"/>
    <w:rsid w:val="00F23602"/>
    <w:rsid w:val="00F239BB"/>
    <w:rsid w:val="00F256A6"/>
    <w:rsid w:val="00F26558"/>
    <w:rsid w:val="00F268DC"/>
    <w:rsid w:val="00F26B07"/>
    <w:rsid w:val="00F26DF7"/>
    <w:rsid w:val="00F27621"/>
    <w:rsid w:val="00F2780B"/>
    <w:rsid w:val="00F31A12"/>
    <w:rsid w:val="00F327D5"/>
    <w:rsid w:val="00F33007"/>
    <w:rsid w:val="00F33F80"/>
    <w:rsid w:val="00F34784"/>
    <w:rsid w:val="00F36F09"/>
    <w:rsid w:val="00F40248"/>
    <w:rsid w:val="00F40453"/>
    <w:rsid w:val="00F40594"/>
    <w:rsid w:val="00F40711"/>
    <w:rsid w:val="00F412D8"/>
    <w:rsid w:val="00F4178B"/>
    <w:rsid w:val="00F41936"/>
    <w:rsid w:val="00F421E3"/>
    <w:rsid w:val="00F43082"/>
    <w:rsid w:val="00F4323A"/>
    <w:rsid w:val="00F433EC"/>
    <w:rsid w:val="00F43ABE"/>
    <w:rsid w:val="00F440D1"/>
    <w:rsid w:val="00F45144"/>
    <w:rsid w:val="00F457D3"/>
    <w:rsid w:val="00F4597E"/>
    <w:rsid w:val="00F45AB6"/>
    <w:rsid w:val="00F46084"/>
    <w:rsid w:val="00F46C95"/>
    <w:rsid w:val="00F47659"/>
    <w:rsid w:val="00F502E6"/>
    <w:rsid w:val="00F51EF0"/>
    <w:rsid w:val="00F52EA9"/>
    <w:rsid w:val="00F53399"/>
    <w:rsid w:val="00F540AE"/>
    <w:rsid w:val="00F55288"/>
    <w:rsid w:val="00F55C55"/>
    <w:rsid w:val="00F55EF5"/>
    <w:rsid w:val="00F563C0"/>
    <w:rsid w:val="00F566C8"/>
    <w:rsid w:val="00F56A10"/>
    <w:rsid w:val="00F56F63"/>
    <w:rsid w:val="00F57784"/>
    <w:rsid w:val="00F60B40"/>
    <w:rsid w:val="00F613FB"/>
    <w:rsid w:val="00F615C0"/>
    <w:rsid w:val="00F61B54"/>
    <w:rsid w:val="00F61D4E"/>
    <w:rsid w:val="00F620BC"/>
    <w:rsid w:val="00F622DC"/>
    <w:rsid w:val="00F62C33"/>
    <w:rsid w:val="00F62CE4"/>
    <w:rsid w:val="00F62F29"/>
    <w:rsid w:val="00F63522"/>
    <w:rsid w:val="00F636B2"/>
    <w:rsid w:val="00F636D9"/>
    <w:rsid w:val="00F63C37"/>
    <w:rsid w:val="00F65EBA"/>
    <w:rsid w:val="00F65EE9"/>
    <w:rsid w:val="00F669A1"/>
    <w:rsid w:val="00F66F3A"/>
    <w:rsid w:val="00F675FE"/>
    <w:rsid w:val="00F67A16"/>
    <w:rsid w:val="00F700D5"/>
    <w:rsid w:val="00F700FC"/>
    <w:rsid w:val="00F7120F"/>
    <w:rsid w:val="00F71580"/>
    <w:rsid w:val="00F72143"/>
    <w:rsid w:val="00F73938"/>
    <w:rsid w:val="00F73CF9"/>
    <w:rsid w:val="00F75805"/>
    <w:rsid w:val="00F762B2"/>
    <w:rsid w:val="00F76C16"/>
    <w:rsid w:val="00F76DC8"/>
    <w:rsid w:val="00F770F3"/>
    <w:rsid w:val="00F777C4"/>
    <w:rsid w:val="00F80655"/>
    <w:rsid w:val="00F829C8"/>
    <w:rsid w:val="00F82BE8"/>
    <w:rsid w:val="00F83112"/>
    <w:rsid w:val="00F83386"/>
    <w:rsid w:val="00F8552B"/>
    <w:rsid w:val="00F85751"/>
    <w:rsid w:val="00F85B30"/>
    <w:rsid w:val="00F85BFD"/>
    <w:rsid w:val="00F86E8E"/>
    <w:rsid w:val="00F87460"/>
    <w:rsid w:val="00F90103"/>
    <w:rsid w:val="00F902EB"/>
    <w:rsid w:val="00F9090E"/>
    <w:rsid w:val="00F90D95"/>
    <w:rsid w:val="00F921A3"/>
    <w:rsid w:val="00F921E4"/>
    <w:rsid w:val="00F923C0"/>
    <w:rsid w:val="00F928F4"/>
    <w:rsid w:val="00F9381F"/>
    <w:rsid w:val="00F94173"/>
    <w:rsid w:val="00F9530B"/>
    <w:rsid w:val="00F95830"/>
    <w:rsid w:val="00F95A94"/>
    <w:rsid w:val="00F963B3"/>
    <w:rsid w:val="00F9683D"/>
    <w:rsid w:val="00F968AE"/>
    <w:rsid w:val="00F96BDC"/>
    <w:rsid w:val="00F976F7"/>
    <w:rsid w:val="00F97EE3"/>
    <w:rsid w:val="00FA04A0"/>
    <w:rsid w:val="00FA086C"/>
    <w:rsid w:val="00FA28F4"/>
    <w:rsid w:val="00FA2CB4"/>
    <w:rsid w:val="00FA2FF6"/>
    <w:rsid w:val="00FA37AD"/>
    <w:rsid w:val="00FA477D"/>
    <w:rsid w:val="00FA4834"/>
    <w:rsid w:val="00FA48EE"/>
    <w:rsid w:val="00FA4940"/>
    <w:rsid w:val="00FA54DA"/>
    <w:rsid w:val="00FA6396"/>
    <w:rsid w:val="00FA6481"/>
    <w:rsid w:val="00FA6A93"/>
    <w:rsid w:val="00FA6D7A"/>
    <w:rsid w:val="00FA70FC"/>
    <w:rsid w:val="00FA7A07"/>
    <w:rsid w:val="00FA7AAB"/>
    <w:rsid w:val="00FA7CFA"/>
    <w:rsid w:val="00FA7EE6"/>
    <w:rsid w:val="00FB181F"/>
    <w:rsid w:val="00FB19B9"/>
    <w:rsid w:val="00FB1E77"/>
    <w:rsid w:val="00FB46C8"/>
    <w:rsid w:val="00FB4748"/>
    <w:rsid w:val="00FB4822"/>
    <w:rsid w:val="00FB4C92"/>
    <w:rsid w:val="00FB556B"/>
    <w:rsid w:val="00FB5A70"/>
    <w:rsid w:val="00FB7152"/>
    <w:rsid w:val="00FB7EF9"/>
    <w:rsid w:val="00FC0B3A"/>
    <w:rsid w:val="00FC1609"/>
    <w:rsid w:val="00FC2319"/>
    <w:rsid w:val="00FC40F7"/>
    <w:rsid w:val="00FC41A9"/>
    <w:rsid w:val="00FC479A"/>
    <w:rsid w:val="00FC4847"/>
    <w:rsid w:val="00FC5C73"/>
    <w:rsid w:val="00FC69DE"/>
    <w:rsid w:val="00FC6EAA"/>
    <w:rsid w:val="00FC706D"/>
    <w:rsid w:val="00FC7580"/>
    <w:rsid w:val="00FC798C"/>
    <w:rsid w:val="00FC7E90"/>
    <w:rsid w:val="00FD233C"/>
    <w:rsid w:val="00FD29F3"/>
    <w:rsid w:val="00FD2B98"/>
    <w:rsid w:val="00FD33CF"/>
    <w:rsid w:val="00FD44A3"/>
    <w:rsid w:val="00FD4951"/>
    <w:rsid w:val="00FD506D"/>
    <w:rsid w:val="00FD5370"/>
    <w:rsid w:val="00FD55C0"/>
    <w:rsid w:val="00FD7538"/>
    <w:rsid w:val="00FE0575"/>
    <w:rsid w:val="00FE11C0"/>
    <w:rsid w:val="00FE135B"/>
    <w:rsid w:val="00FE1494"/>
    <w:rsid w:val="00FE290F"/>
    <w:rsid w:val="00FE3303"/>
    <w:rsid w:val="00FE4414"/>
    <w:rsid w:val="00FE4559"/>
    <w:rsid w:val="00FE49D9"/>
    <w:rsid w:val="00FE5415"/>
    <w:rsid w:val="00FE5E83"/>
    <w:rsid w:val="00FE6AE7"/>
    <w:rsid w:val="00FE73DF"/>
    <w:rsid w:val="00FF03D3"/>
    <w:rsid w:val="00FF09AF"/>
    <w:rsid w:val="00FF0C32"/>
    <w:rsid w:val="00FF0CA9"/>
    <w:rsid w:val="00FF0F44"/>
    <w:rsid w:val="00FF139C"/>
    <w:rsid w:val="00FF46F5"/>
    <w:rsid w:val="00FF4B5A"/>
    <w:rsid w:val="00FF4CFE"/>
    <w:rsid w:val="00FF6439"/>
    <w:rsid w:val="00FF6E2C"/>
    <w:rsid w:val="00FF6E74"/>
    <w:rsid w:val="00FF6F9B"/>
    <w:rsid w:val="00FF7531"/>
    <w:rsid w:val="00FF7ECB"/>
    <w:rsid w:val="00FF7F59"/>
    <w:rsid w:val="0D1F1317"/>
    <w:rsid w:val="11B62CC8"/>
    <w:rsid w:val="132BD76D"/>
    <w:rsid w:val="147F5BE6"/>
    <w:rsid w:val="174420B4"/>
    <w:rsid w:val="2D48807E"/>
    <w:rsid w:val="3F3DD507"/>
    <w:rsid w:val="49C93D0E"/>
    <w:rsid w:val="5A308E51"/>
    <w:rsid w:val="5BB6E1A7"/>
    <w:rsid w:val="608C8977"/>
    <w:rsid w:val="7535907D"/>
    <w:rsid w:val="7B7B6AAE"/>
    <w:rsid w:val="7B8249EF"/>
    <w:rsid w:val="7D118B0C"/>
    <w:rsid w:val="7D452EA9"/>
    <w:rsid w:val="7E0AB4F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2" style="mso-position-horizontal-relative:page;mso-position-vertical-relative:page" strokecolor="none [3215]">
      <v:stroke color="none [3215]" weight="1pt"/>
    </o:shapedefaults>
    <o:shapelayout v:ext="edit">
      <o:idmap v:ext="edit" data="1"/>
    </o:shapelayout>
  </w:shapeDefaults>
  <w:decimalSymbol w:val="."/>
  <w:listSeparator w:val=","/>
  <w15:docId w15:val="{A122E454-808F-4F22-A8FC-3DE6E8773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148F"/>
    <w:rPr>
      <w:rFonts w:ascii="Arial" w:eastAsia="Times New Roman" w:hAnsi="Arial" w:cs="Times New Roman"/>
      <w:szCs w:val="24"/>
      <w:lang w:eastAsia="de-DE"/>
    </w:rPr>
  </w:style>
  <w:style w:type="paragraph" w:styleId="Heading1">
    <w:name w:val="heading 1"/>
    <w:basedOn w:val="Normal"/>
    <w:next w:val="Normal"/>
    <w:link w:val="Heading1Char"/>
    <w:uiPriority w:val="9"/>
    <w:semiHidden/>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2">
    <w:name w:val="heading 2"/>
    <w:basedOn w:val="Normal"/>
    <w:next w:val="Normal"/>
    <w:link w:val="Heading2Char"/>
    <w:uiPriority w:val="9"/>
    <w:semiHidden/>
    <w:qFormat/>
    <w:rsid w:val="00660893"/>
    <w:pPr>
      <w:keepNext/>
      <w:keepLines/>
      <w:spacing w:before="40"/>
      <w:outlineLvl w:val="1"/>
    </w:pPr>
    <w:rPr>
      <w:rFonts w:asciiTheme="majorHAnsi" w:eastAsiaTheme="majorEastAsia" w:hAnsiTheme="majorHAnsi" w:cstheme="majorBidi"/>
      <w:color w:val="424477" w:themeColor="accent1" w:themeShade="BF"/>
      <w:sz w:val="26"/>
      <w:szCs w:val="26"/>
    </w:rPr>
  </w:style>
  <w:style w:type="paragraph" w:styleId="Heading3">
    <w:name w:val="heading 3"/>
    <w:basedOn w:val="Normal"/>
    <w:next w:val="Normal"/>
    <w:link w:val="Heading3Char"/>
    <w:uiPriority w:val="99"/>
    <w:unhideWhenUsed/>
    <w:qFormat/>
    <w:rsid w:val="00F82BE8"/>
    <w:pPr>
      <w:keepNext/>
      <w:keepLines/>
      <w:spacing w:before="40"/>
      <w:outlineLvl w:val="2"/>
    </w:pPr>
    <w:rPr>
      <w:rFonts w:asciiTheme="majorHAnsi" w:eastAsiaTheme="majorEastAsia" w:hAnsiTheme="majorHAnsi" w:cstheme="majorBidi"/>
      <w:color w:val="2C2D4F"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link w:val="textregularZchn"/>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0F693C"/>
    <w:pPr>
      <w:numPr>
        <w:numId w:val="1"/>
      </w:numPr>
      <w:spacing w:before="400" w:line="340" w:lineRule="exact"/>
      <w:ind w:left="284" w:hanging="284"/>
      <w:outlineLvl w:val="0"/>
    </w:pPr>
    <w:rPr>
      <w:rFonts w:asciiTheme="majorHAnsi" w:hAnsiTheme="majorHAnsi" w:cstheme="majorHAnsi"/>
      <w:b/>
      <w:color w:val="23236E" w:themeColor="text2"/>
      <w:sz w:val="28"/>
      <w:szCs w:val="28"/>
    </w:rPr>
  </w:style>
  <w:style w:type="numbering" w:customStyle="1" w:styleId="XXXList">
    <w:name w:val="XXX_List"/>
    <w:basedOn w:val="NoList"/>
    <w:uiPriority w:val="99"/>
    <w:rsid w:val="00D9486F"/>
  </w:style>
  <w:style w:type="character" w:customStyle="1" w:styleId="Heading1Char">
    <w:name w:val="Heading 1 Char"/>
    <w:basedOn w:val="DefaultParagraphFont"/>
    <w:link w:val="Heading1"/>
    <w:uiPriority w:val="9"/>
    <w:semiHidden/>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CF2F61"/>
    <w:pPr>
      <w:tabs>
        <w:tab w:val="right" w:leader="dot" w:pos="9514"/>
      </w:tabs>
      <w:spacing w:after="100"/>
    </w:pPr>
    <w:rPr>
      <w:rFonts w:asciiTheme="majorHAnsi" w:hAnsiTheme="majorHAnsi"/>
    </w:rPr>
  </w:style>
  <w:style w:type="paragraph" w:styleId="TOCHeading">
    <w:name w:val="TOC Heading"/>
    <w:basedOn w:val="Heading1"/>
    <w:next w:val="Normal"/>
    <w:uiPriority w:val="39"/>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13"/>
      </w:numPr>
    </w:pPr>
  </w:style>
  <w:style w:type="paragraph" w:customStyle="1" w:styleId="textenumeration">
    <w:name w:val="text enumeration"/>
    <w:basedOn w:val="textregular"/>
    <w:link w:val="textenumerationZchn"/>
    <w:uiPriority w:val="4"/>
    <w:qFormat/>
    <w:rsid w:val="00A0406A"/>
    <w:rPr>
      <w:rFonts w:ascii="Times New Roman" w:hAnsi="Times New Roman"/>
    </w:r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rPr>
  </w:style>
  <w:style w:type="numbering" w:customStyle="1" w:styleId="XXXtextbullets">
    <w:name w:val="XXX_text bullets"/>
    <w:basedOn w:val="NoList"/>
    <w:uiPriority w:val="99"/>
    <w:rsid w:val="000961F8"/>
    <w:pPr>
      <w:numPr>
        <w:numId w:val="3"/>
      </w:numPr>
    </w:pPr>
  </w:style>
  <w:style w:type="paragraph" w:customStyle="1" w:styleId="textbullets">
    <w:name w:val="text bullets"/>
    <w:basedOn w:val="textregular"/>
    <w:uiPriority w:val="5"/>
    <w:qFormat/>
    <w:rsid w:val="000961F8"/>
    <w:pPr>
      <w:numPr>
        <w:numId w:val="3"/>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AE5A97"/>
    <w:pPr>
      <w:tabs>
        <w:tab w:val="right" w:leader="dot" w:pos="9514"/>
      </w:tabs>
      <w:spacing w:after="100"/>
      <w:ind w:left="220"/>
    </w:pPr>
    <w:rPr>
      <w:rFonts w:ascii="Times New Roman" w:hAnsi="Times New Roman" w:cs="Arial"/>
      <w:b/>
      <w:noProof/>
      <w:lang w:val="en-GB" w:eastAsia="en-US"/>
    </w:rPr>
  </w:style>
  <w:style w:type="paragraph" w:styleId="ListParagraph">
    <w:name w:val="List Paragraph"/>
    <w:basedOn w:val="Normal"/>
    <w:link w:val="ListParagraphChar"/>
    <w:uiPriority w:val="34"/>
    <w:qFormat/>
    <w:rsid w:val="004F245D"/>
    <w:pPr>
      <w:ind w:left="720"/>
      <w:contextualSpacing/>
    </w:pPr>
  </w:style>
  <w:style w:type="character" w:customStyle="1" w:styleId="textregularZchn">
    <w:name w:val="text regular Zchn"/>
    <w:basedOn w:val="DefaultParagraphFont"/>
    <w:link w:val="textregular"/>
    <w:rsid w:val="004F245D"/>
    <w:rPr>
      <w:lang w:val="en-GB"/>
    </w:rPr>
  </w:style>
  <w:style w:type="table" w:customStyle="1" w:styleId="TableGrid1">
    <w:name w:val="Table Grid1"/>
    <w:basedOn w:val="TableNormal"/>
    <w:next w:val="TableGrid"/>
    <w:uiPriority w:val="59"/>
    <w:rsid w:val="004F245D"/>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aliases w:val="Stinking Styles6,Marque de commentaire1,Merknadsreferanse,Verwijzing opmerking,Rimando commento"/>
    <w:basedOn w:val="DefaultParagraphFont"/>
    <w:uiPriority w:val="99"/>
    <w:unhideWhenUsed/>
    <w:rsid w:val="00E6115B"/>
    <w:rPr>
      <w:sz w:val="16"/>
      <w:szCs w:val="16"/>
    </w:rPr>
  </w:style>
  <w:style w:type="paragraph" w:styleId="CommentText">
    <w:name w:val="annotation text"/>
    <w:aliases w:val="Stinking Styles5,Texto comentario,Merknadstekst,Tekst opmerking"/>
    <w:basedOn w:val="Normal"/>
    <w:link w:val="CommentTextChar"/>
    <w:uiPriority w:val="99"/>
    <w:unhideWhenUsed/>
    <w:rsid w:val="00E6115B"/>
    <w:rPr>
      <w:sz w:val="20"/>
      <w:szCs w:val="20"/>
    </w:rPr>
  </w:style>
  <w:style w:type="character" w:customStyle="1" w:styleId="CommentTextChar">
    <w:name w:val="Comment Text Char"/>
    <w:aliases w:val="Stinking Styles5 Char,Texto comentario Char,Merknadstekst Char,Tekst opmerking Char"/>
    <w:basedOn w:val="DefaultParagraphFont"/>
    <w:link w:val="CommentText"/>
    <w:uiPriority w:val="99"/>
    <w:rsid w:val="00E6115B"/>
    <w:rPr>
      <w:rFonts w:ascii="Arial" w:eastAsia="Times New Roman" w:hAnsi="Arial" w:cs="Times New Roman"/>
      <w:sz w:val="20"/>
      <w:szCs w:val="20"/>
      <w:lang w:eastAsia="de-DE"/>
    </w:rPr>
  </w:style>
  <w:style w:type="paragraph" w:styleId="CommentSubject">
    <w:name w:val="annotation subject"/>
    <w:basedOn w:val="CommentText"/>
    <w:next w:val="CommentText"/>
    <w:link w:val="CommentSubjectChar"/>
    <w:uiPriority w:val="99"/>
    <w:semiHidden/>
    <w:unhideWhenUsed/>
    <w:rsid w:val="00E6115B"/>
    <w:rPr>
      <w:b/>
      <w:bCs/>
    </w:rPr>
  </w:style>
  <w:style w:type="character" w:customStyle="1" w:styleId="CommentSubjectChar">
    <w:name w:val="Comment Subject Char"/>
    <w:basedOn w:val="CommentTextChar"/>
    <w:link w:val="CommentSubject"/>
    <w:uiPriority w:val="99"/>
    <w:semiHidden/>
    <w:rsid w:val="00E6115B"/>
    <w:rPr>
      <w:rFonts w:ascii="Arial" w:eastAsia="Times New Roman" w:hAnsi="Arial" w:cs="Times New Roman"/>
      <w:b/>
      <w:bCs/>
      <w:sz w:val="20"/>
      <w:szCs w:val="20"/>
      <w:lang w:eastAsia="de-DE"/>
    </w:rPr>
  </w:style>
  <w:style w:type="paragraph" w:styleId="Revision">
    <w:name w:val="Revision"/>
    <w:hidden/>
    <w:uiPriority w:val="99"/>
    <w:semiHidden/>
    <w:rsid w:val="00F00CC8"/>
    <w:rPr>
      <w:rFonts w:ascii="Arial" w:eastAsia="Times New Roman" w:hAnsi="Arial" w:cs="Times New Roman"/>
      <w:szCs w:val="24"/>
      <w:lang w:eastAsia="de-DE"/>
    </w:rPr>
  </w:style>
  <w:style w:type="character" w:styleId="Strong">
    <w:name w:val="Strong"/>
    <w:basedOn w:val="DefaultParagraphFont"/>
    <w:uiPriority w:val="22"/>
    <w:qFormat/>
    <w:rsid w:val="00C85EC5"/>
    <w:rPr>
      <w:b/>
      <w:bCs/>
    </w:rPr>
  </w:style>
  <w:style w:type="character" w:customStyle="1" w:styleId="Heading3Char">
    <w:name w:val="Heading 3 Char"/>
    <w:basedOn w:val="DefaultParagraphFont"/>
    <w:link w:val="Heading3"/>
    <w:uiPriority w:val="9"/>
    <w:semiHidden/>
    <w:rsid w:val="00F82BE8"/>
    <w:rPr>
      <w:rFonts w:asciiTheme="majorHAnsi" w:eastAsiaTheme="majorEastAsia" w:hAnsiTheme="majorHAnsi" w:cstheme="majorBidi"/>
      <w:color w:val="2C2D4F" w:themeColor="accent1" w:themeShade="7F"/>
      <w:sz w:val="24"/>
      <w:szCs w:val="24"/>
      <w:lang w:eastAsia="de-DE"/>
    </w:rPr>
  </w:style>
  <w:style w:type="character" w:customStyle="1" w:styleId="Heading2Char">
    <w:name w:val="Heading 2 Char"/>
    <w:basedOn w:val="DefaultParagraphFont"/>
    <w:link w:val="Heading2"/>
    <w:uiPriority w:val="9"/>
    <w:rsid w:val="00660893"/>
    <w:rPr>
      <w:rFonts w:asciiTheme="majorHAnsi" w:eastAsiaTheme="majorEastAsia" w:hAnsiTheme="majorHAnsi" w:cstheme="majorBidi"/>
      <w:color w:val="424477" w:themeColor="accent1" w:themeShade="BF"/>
      <w:sz w:val="26"/>
      <w:szCs w:val="26"/>
      <w:lang w:eastAsia="de-DE"/>
    </w:rPr>
  </w:style>
  <w:style w:type="character" w:customStyle="1" w:styleId="ListParagraphChar">
    <w:name w:val="List Paragraph Char"/>
    <w:link w:val="ListParagraph"/>
    <w:uiPriority w:val="34"/>
    <w:locked/>
    <w:rsid w:val="00660893"/>
    <w:rPr>
      <w:rFonts w:ascii="Arial" w:eastAsia="Times New Roman" w:hAnsi="Arial" w:cs="Times New Roman"/>
      <w:szCs w:val="24"/>
      <w:lang w:eastAsia="de-DE"/>
    </w:rPr>
  </w:style>
  <w:style w:type="paragraph" w:customStyle="1" w:styleId="AnnexeTitre2">
    <w:name w:val="Annexe Titre 2"/>
    <w:basedOn w:val="Normal"/>
    <w:next w:val="Normal"/>
    <w:link w:val="AnnexeTitre2Car1"/>
    <w:uiPriority w:val="99"/>
    <w:rsid w:val="006C43C6"/>
    <w:pPr>
      <w:widowControl w:val="0"/>
      <w:numPr>
        <w:ilvl w:val="1"/>
        <w:numId w:val="4"/>
      </w:numPr>
      <w:tabs>
        <w:tab w:val="left" w:pos="709"/>
      </w:tabs>
      <w:autoSpaceDE w:val="0"/>
      <w:autoSpaceDN w:val="0"/>
      <w:spacing w:before="360" w:after="120"/>
      <w:jc w:val="both"/>
      <w:outlineLvl w:val="1"/>
    </w:pPr>
    <w:rPr>
      <w:rFonts w:ascii="Avenir Next LT Com Demi" w:hAnsi="Avenir Next LT Com Demi" w:cs="Tahoma"/>
      <w:b/>
      <w:sz w:val="24"/>
      <w:lang w:val="fr-FR" w:eastAsia="fr-FR"/>
    </w:rPr>
  </w:style>
  <w:style w:type="paragraph" w:customStyle="1" w:styleId="AnnexeTitre1">
    <w:name w:val="Annexe Titre 1"/>
    <w:basedOn w:val="Normal"/>
    <w:next w:val="Normal"/>
    <w:uiPriority w:val="99"/>
    <w:rsid w:val="006C43C6"/>
    <w:pPr>
      <w:keepNext/>
      <w:widowControl w:val="0"/>
      <w:numPr>
        <w:numId w:val="4"/>
      </w:numPr>
      <w:autoSpaceDE w:val="0"/>
      <w:autoSpaceDN w:val="0"/>
      <w:spacing w:before="480" w:after="120"/>
      <w:jc w:val="both"/>
      <w:outlineLvl w:val="0"/>
    </w:pPr>
    <w:rPr>
      <w:rFonts w:ascii="Avenir Next LT Com Demi" w:eastAsia="AvenirNext LT Com Regular" w:hAnsi="Avenir Next LT Com Demi" w:cs="Tahoma"/>
      <w:b/>
      <w:bCs/>
      <w:caps/>
      <w:spacing w:val="4"/>
      <w:sz w:val="24"/>
      <w:lang w:val="fr-FR" w:eastAsia="fr-FR"/>
    </w:rPr>
  </w:style>
  <w:style w:type="paragraph" w:customStyle="1" w:styleId="AnnexeTitre3">
    <w:name w:val="Annexe Titre 3"/>
    <w:basedOn w:val="Normal"/>
    <w:next w:val="Normal"/>
    <w:uiPriority w:val="99"/>
    <w:rsid w:val="006C43C6"/>
    <w:pPr>
      <w:widowControl w:val="0"/>
      <w:numPr>
        <w:ilvl w:val="2"/>
        <w:numId w:val="4"/>
      </w:numPr>
      <w:tabs>
        <w:tab w:val="left" w:pos="851"/>
      </w:tabs>
      <w:autoSpaceDE w:val="0"/>
      <w:autoSpaceDN w:val="0"/>
      <w:spacing w:before="360" w:after="120"/>
      <w:jc w:val="both"/>
      <w:outlineLvl w:val="2"/>
    </w:pPr>
    <w:rPr>
      <w:rFonts w:ascii="Avenir Next LT Com Demi" w:hAnsi="Avenir Next LT Com Demi" w:cs="Tahoma"/>
      <w:b/>
      <w:sz w:val="24"/>
      <w:lang w:val="fr-FR" w:eastAsia="fr-FR"/>
    </w:rPr>
  </w:style>
  <w:style w:type="character" w:customStyle="1" w:styleId="AnnexeTitre2Car1">
    <w:name w:val="Annexe Titre 2 Car1"/>
    <w:link w:val="AnnexeTitre2"/>
    <w:uiPriority w:val="99"/>
    <w:locked/>
    <w:rsid w:val="006C43C6"/>
    <w:rPr>
      <w:rFonts w:ascii="Avenir Next LT Com Demi" w:eastAsia="Times New Roman" w:hAnsi="Avenir Next LT Com Demi" w:cs="Tahoma"/>
      <w:b/>
      <w:sz w:val="24"/>
      <w:szCs w:val="24"/>
      <w:lang w:val="fr-FR" w:eastAsia="fr-FR"/>
    </w:rPr>
  </w:style>
  <w:style w:type="paragraph" w:customStyle="1" w:styleId="AnnexeTitre4">
    <w:name w:val="Annexe Titre 4"/>
    <w:basedOn w:val="Normal"/>
    <w:next w:val="Normal"/>
    <w:uiPriority w:val="99"/>
    <w:rsid w:val="006C43C6"/>
    <w:pPr>
      <w:widowControl w:val="0"/>
      <w:numPr>
        <w:ilvl w:val="3"/>
        <w:numId w:val="4"/>
      </w:numPr>
      <w:tabs>
        <w:tab w:val="left" w:pos="-1843"/>
      </w:tabs>
      <w:autoSpaceDE w:val="0"/>
      <w:autoSpaceDN w:val="0"/>
      <w:spacing w:before="240" w:after="120"/>
      <w:jc w:val="both"/>
    </w:pPr>
    <w:rPr>
      <w:rFonts w:ascii="Avenir Next LT Com Demi" w:hAnsi="Avenir Next LT Com Demi" w:cs="Tahoma"/>
      <w:b/>
      <w:i/>
      <w:sz w:val="24"/>
      <w:lang w:val="fr-FR" w:eastAsia="fr-FR"/>
    </w:rPr>
  </w:style>
  <w:style w:type="paragraph" w:customStyle="1" w:styleId="Code">
    <w:name w:val="Code"/>
    <w:basedOn w:val="Normal"/>
    <w:uiPriority w:val="99"/>
    <w:rsid w:val="006C43C6"/>
    <w:pPr>
      <w:keepLines/>
      <w:widowControl w:val="0"/>
      <w:numPr>
        <w:numId w:val="5"/>
      </w:numPr>
      <w:pBdr>
        <w:top w:val="single" w:sz="8" w:space="4" w:color="595959"/>
        <w:left w:val="single" w:sz="8" w:space="4" w:color="595959"/>
        <w:bottom w:val="single" w:sz="8" w:space="4" w:color="595959"/>
        <w:right w:val="single" w:sz="8" w:space="4" w:color="595959"/>
      </w:pBdr>
      <w:shd w:val="clear" w:color="auto" w:fill="FAFAFA"/>
      <w:tabs>
        <w:tab w:val="left" w:pos="924"/>
        <w:tab w:val="left" w:pos="1491"/>
        <w:tab w:val="left" w:pos="2058"/>
        <w:tab w:val="left" w:pos="2625"/>
        <w:tab w:val="left" w:pos="3192"/>
        <w:tab w:val="left" w:pos="3759"/>
        <w:tab w:val="left" w:pos="4326"/>
        <w:tab w:val="left" w:pos="4893"/>
        <w:tab w:val="left" w:pos="5460"/>
        <w:tab w:val="left" w:pos="6027"/>
        <w:tab w:val="left" w:pos="6594"/>
        <w:tab w:val="left" w:pos="7161"/>
        <w:tab w:val="left" w:pos="7728"/>
        <w:tab w:val="left" w:pos="8295"/>
        <w:tab w:val="left" w:pos="8862"/>
      </w:tabs>
      <w:suppressAutoHyphens/>
      <w:autoSpaceDE w:val="0"/>
      <w:autoSpaceDN w:val="0"/>
      <w:spacing w:before="240" w:after="240"/>
      <w:contextualSpacing/>
    </w:pPr>
    <w:rPr>
      <w:rFonts w:ascii="Consolas" w:hAnsi="Consolas" w:cs="AvenirNext LT Com Regular"/>
      <w:szCs w:val="20"/>
      <w:lang w:val="fr-FR" w:eastAsia="fr-FR"/>
    </w:rPr>
  </w:style>
  <w:style w:type="paragraph" w:customStyle="1" w:styleId="Point0number">
    <w:name w:val="Point 0 (number)"/>
    <w:basedOn w:val="Normal"/>
    <w:rsid w:val="00DE794C"/>
    <w:pPr>
      <w:numPr>
        <w:numId w:val="6"/>
      </w:numPr>
      <w:spacing w:before="120" w:after="120"/>
      <w:jc w:val="both"/>
    </w:pPr>
    <w:rPr>
      <w:rFonts w:ascii="Times New Roman" w:eastAsiaTheme="minorHAnsi" w:hAnsi="Times New Roman"/>
      <w:sz w:val="24"/>
      <w:szCs w:val="22"/>
      <w:lang w:val="en-GB" w:eastAsia="en-US"/>
    </w:rPr>
  </w:style>
  <w:style w:type="paragraph" w:customStyle="1" w:styleId="Point1number">
    <w:name w:val="Point 1 (number)"/>
    <w:basedOn w:val="Normal"/>
    <w:rsid w:val="00DE794C"/>
    <w:pPr>
      <w:numPr>
        <w:ilvl w:val="2"/>
        <w:numId w:val="6"/>
      </w:numPr>
      <w:spacing w:before="120" w:after="120"/>
      <w:jc w:val="both"/>
    </w:pPr>
    <w:rPr>
      <w:rFonts w:ascii="Times New Roman" w:eastAsiaTheme="minorHAnsi" w:hAnsi="Times New Roman"/>
      <w:sz w:val="24"/>
      <w:szCs w:val="22"/>
      <w:lang w:val="en-GB" w:eastAsia="en-US"/>
    </w:rPr>
  </w:style>
  <w:style w:type="paragraph" w:customStyle="1" w:styleId="Point2number">
    <w:name w:val="Point 2 (number)"/>
    <w:basedOn w:val="Normal"/>
    <w:rsid w:val="00DE794C"/>
    <w:pPr>
      <w:numPr>
        <w:ilvl w:val="4"/>
        <w:numId w:val="6"/>
      </w:numPr>
      <w:spacing w:before="120" w:after="120"/>
      <w:jc w:val="both"/>
    </w:pPr>
    <w:rPr>
      <w:rFonts w:ascii="Times New Roman" w:eastAsiaTheme="minorHAnsi" w:hAnsi="Times New Roman"/>
      <w:sz w:val="24"/>
      <w:szCs w:val="22"/>
      <w:lang w:val="en-GB" w:eastAsia="en-US"/>
    </w:rPr>
  </w:style>
  <w:style w:type="paragraph" w:customStyle="1" w:styleId="Point3number">
    <w:name w:val="Point 3 (number)"/>
    <w:basedOn w:val="Normal"/>
    <w:rsid w:val="00DE794C"/>
    <w:pPr>
      <w:numPr>
        <w:ilvl w:val="6"/>
        <w:numId w:val="6"/>
      </w:numPr>
      <w:spacing w:before="120" w:after="120"/>
      <w:jc w:val="both"/>
    </w:pPr>
    <w:rPr>
      <w:rFonts w:ascii="Times New Roman" w:eastAsiaTheme="minorHAnsi" w:hAnsi="Times New Roman"/>
      <w:sz w:val="24"/>
      <w:szCs w:val="22"/>
      <w:lang w:val="en-GB" w:eastAsia="en-US"/>
    </w:rPr>
  </w:style>
  <w:style w:type="paragraph" w:customStyle="1" w:styleId="Point0letter">
    <w:name w:val="Point 0 (letter)"/>
    <w:basedOn w:val="Normal"/>
    <w:rsid w:val="00DE794C"/>
    <w:pPr>
      <w:numPr>
        <w:ilvl w:val="1"/>
        <w:numId w:val="6"/>
      </w:numPr>
      <w:spacing w:before="120" w:after="120"/>
      <w:jc w:val="both"/>
    </w:pPr>
    <w:rPr>
      <w:rFonts w:ascii="Times New Roman" w:eastAsiaTheme="minorHAnsi" w:hAnsi="Times New Roman"/>
      <w:sz w:val="24"/>
      <w:szCs w:val="22"/>
      <w:lang w:val="en-GB" w:eastAsia="en-US"/>
    </w:rPr>
  </w:style>
  <w:style w:type="paragraph" w:customStyle="1" w:styleId="Point1letter">
    <w:name w:val="Point 1 (letter)"/>
    <w:basedOn w:val="Normal"/>
    <w:rsid w:val="00DE794C"/>
    <w:pPr>
      <w:numPr>
        <w:ilvl w:val="3"/>
        <w:numId w:val="6"/>
      </w:numPr>
      <w:spacing w:before="120" w:after="120"/>
      <w:jc w:val="both"/>
    </w:pPr>
    <w:rPr>
      <w:rFonts w:ascii="Times New Roman" w:eastAsiaTheme="minorHAnsi" w:hAnsi="Times New Roman"/>
      <w:sz w:val="24"/>
      <w:szCs w:val="22"/>
      <w:lang w:val="en-GB" w:eastAsia="en-US"/>
    </w:rPr>
  </w:style>
  <w:style w:type="paragraph" w:customStyle="1" w:styleId="Point2letter">
    <w:name w:val="Point 2 (letter)"/>
    <w:basedOn w:val="Normal"/>
    <w:rsid w:val="00DE794C"/>
    <w:pPr>
      <w:numPr>
        <w:ilvl w:val="5"/>
        <w:numId w:val="6"/>
      </w:numPr>
      <w:spacing w:before="120" w:after="120"/>
      <w:jc w:val="both"/>
    </w:pPr>
    <w:rPr>
      <w:rFonts w:ascii="Times New Roman" w:eastAsiaTheme="minorHAnsi" w:hAnsi="Times New Roman"/>
      <w:sz w:val="24"/>
      <w:szCs w:val="22"/>
      <w:lang w:val="en-GB" w:eastAsia="en-US"/>
    </w:rPr>
  </w:style>
  <w:style w:type="paragraph" w:customStyle="1" w:styleId="Point3letter">
    <w:name w:val="Point 3 (letter)"/>
    <w:basedOn w:val="Normal"/>
    <w:rsid w:val="00DE794C"/>
    <w:pPr>
      <w:numPr>
        <w:ilvl w:val="7"/>
        <w:numId w:val="6"/>
      </w:numPr>
      <w:spacing w:before="120" w:after="120"/>
      <w:jc w:val="both"/>
    </w:pPr>
    <w:rPr>
      <w:rFonts w:ascii="Times New Roman" w:eastAsiaTheme="minorHAnsi" w:hAnsi="Times New Roman"/>
      <w:sz w:val="24"/>
      <w:szCs w:val="22"/>
      <w:lang w:val="en-GB" w:eastAsia="en-US"/>
    </w:rPr>
  </w:style>
  <w:style w:type="paragraph" w:customStyle="1" w:styleId="Point4letter">
    <w:name w:val="Point 4 (letter)"/>
    <w:basedOn w:val="Normal"/>
    <w:rsid w:val="00DE794C"/>
    <w:pPr>
      <w:numPr>
        <w:ilvl w:val="8"/>
        <w:numId w:val="6"/>
      </w:numPr>
      <w:spacing w:before="120" w:after="120"/>
      <w:jc w:val="both"/>
    </w:pPr>
    <w:rPr>
      <w:rFonts w:ascii="Times New Roman" w:eastAsiaTheme="minorHAnsi" w:hAnsi="Times New Roman"/>
      <w:sz w:val="24"/>
      <w:szCs w:val="22"/>
      <w:lang w:val="en-GB" w:eastAsia="en-US"/>
    </w:rPr>
  </w:style>
  <w:style w:type="paragraph" w:customStyle="1" w:styleId="Default">
    <w:name w:val="Default"/>
    <w:rsid w:val="00955B83"/>
    <w:pPr>
      <w:autoSpaceDE w:val="0"/>
      <w:autoSpaceDN w:val="0"/>
      <w:adjustRightInd w:val="0"/>
    </w:pPr>
    <w:rPr>
      <w:rFonts w:ascii="Times New Roman" w:hAnsi="Times New Roman" w:cs="Times New Roman"/>
      <w:color w:val="000000"/>
      <w:sz w:val="24"/>
      <w:szCs w:val="24"/>
      <w:lang w:val="cs-CZ"/>
    </w:rPr>
  </w:style>
  <w:style w:type="paragraph" w:styleId="FootnoteText">
    <w:name w:val="footnote text"/>
    <w:basedOn w:val="Normal"/>
    <w:link w:val="FootnoteTextChar"/>
    <w:uiPriority w:val="99"/>
    <w:rsid w:val="00727BD4"/>
    <w:pPr>
      <w:spacing w:line="360" w:lineRule="auto"/>
      <w:jc w:val="both"/>
    </w:pPr>
    <w:rPr>
      <w:rFonts w:ascii="Verdana" w:hAnsi="Verdana"/>
      <w:sz w:val="18"/>
      <w:szCs w:val="20"/>
      <w:lang w:val="en-US" w:eastAsia="en-US"/>
    </w:rPr>
  </w:style>
  <w:style w:type="character" w:customStyle="1" w:styleId="FootnoteTextChar">
    <w:name w:val="Footnote Text Char"/>
    <w:basedOn w:val="DefaultParagraphFont"/>
    <w:link w:val="FootnoteText"/>
    <w:uiPriority w:val="99"/>
    <w:rsid w:val="00727BD4"/>
    <w:rPr>
      <w:rFonts w:ascii="Verdana" w:eastAsia="Times New Roman" w:hAnsi="Verdana" w:cs="Times New Roman"/>
      <w:sz w:val="18"/>
      <w:szCs w:val="20"/>
      <w:lang w:val="en-US"/>
    </w:rPr>
  </w:style>
  <w:style w:type="character" w:styleId="FootnoteReference">
    <w:name w:val="footnote reference"/>
    <w:uiPriority w:val="99"/>
    <w:rsid w:val="00727BD4"/>
    <w:rPr>
      <w:vertAlign w:val="superscript"/>
    </w:rPr>
  </w:style>
  <w:style w:type="table" w:customStyle="1" w:styleId="Rutenettabelllys1">
    <w:name w:val="Rutenettabell lys1"/>
    <w:basedOn w:val="TableNormal"/>
    <w:uiPriority w:val="40"/>
    <w:rsid w:val="00727BD4"/>
    <w:rPr>
      <w:lang w:val="cs-CZ"/>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umbering">
    <w:name w:val="Numbering !"/>
    <w:basedOn w:val="textenumeration"/>
    <w:uiPriority w:val="99"/>
    <w:qFormat/>
    <w:rsid w:val="00F03AFB"/>
    <w:pPr>
      <w:spacing w:line="256" w:lineRule="auto"/>
      <w:ind w:left="473" w:hanging="360"/>
      <w:jc w:val="both"/>
    </w:pPr>
    <w:rPr>
      <w:szCs w:val="22"/>
      <w:lang w:val="en-GB"/>
    </w:rPr>
  </w:style>
  <w:style w:type="paragraph" w:customStyle="1" w:styleId="Numbering2">
    <w:name w:val="Numbering 2"/>
    <w:basedOn w:val="textenumeration"/>
    <w:qFormat/>
    <w:rsid w:val="009650DA"/>
    <w:pPr>
      <w:spacing w:line="256" w:lineRule="auto"/>
      <w:ind w:left="680" w:hanging="340"/>
      <w:jc w:val="both"/>
    </w:pPr>
    <w:rPr>
      <w:lang w:val="en-GB" w:eastAsia="en-US"/>
    </w:rPr>
  </w:style>
  <w:style w:type="paragraph" w:customStyle="1" w:styleId="Numbering3">
    <w:name w:val="Numbering 3"/>
    <w:basedOn w:val="textenumeration"/>
    <w:qFormat/>
    <w:rsid w:val="00F03AFB"/>
    <w:pPr>
      <w:numPr>
        <w:ilvl w:val="2"/>
        <w:numId w:val="7"/>
      </w:numPr>
      <w:spacing w:line="256" w:lineRule="auto"/>
      <w:jc w:val="both"/>
    </w:pPr>
    <w:rPr>
      <w:lang w:val="en-GB" w:eastAsia="en-US"/>
    </w:rPr>
  </w:style>
  <w:style w:type="paragraph" w:customStyle="1" w:styleId="Normal1">
    <w:name w:val="Normal1"/>
    <w:basedOn w:val="Normal"/>
    <w:rsid w:val="00BC227C"/>
    <w:pPr>
      <w:spacing w:before="120"/>
      <w:jc w:val="both"/>
    </w:pPr>
    <w:rPr>
      <w:rFonts w:ascii="Times New Roman" w:hAnsi="Times New Roman"/>
      <w:sz w:val="24"/>
      <w:lang w:val="cs-CZ" w:eastAsia="cs-CZ"/>
    </w:rPr>
  </w:style>
  <w:style w:type="character" w:customStyle="1" w:styleId="textenumerationZchn">
    <w:name w:val="text enumeration Zchn"/>
    <w:basedOn w:val="textregularZchn"/>
    <w:link w:val="textenumeration"/>
    <w:uiPriority w:val="4"/>
    <w:rsid w:val="00FF6E74"/>
    <w:rPr>
      <w:rFonts w:ascii="Times New Roman" w:eastAsia="Times New Roman" w:hAnsi="Times New Roman" w:cs="Times New Roman"/>
      <w:szCs w:val="24"/>
      <w:lang w:val="en-GB" w:eastAsia="de-DE"/>
    </w:rPr>
  </w:style>
  <w:style w:type="paragraph" w:customStyle="1" w:styleId="ListenabsatzNew">
    <w:name w:val="Listenabsatz_New"/>
    <w:basedOn w:val="ListParagraph"/>
    <w:qFormat/>
    <w:rsid w:val="009C2D4C"/>
    <w:pPr>
      <w:spacing w:after="120" w:line="252" w:lineRule="auto"/>
      <w:ind w:left="1437" w:hanging="360"/>
      <w:contextualSpacing w:val="0"/>
      <w:jc w:val="both"/>
    </w:pPr>
    <w:rPr>
      <w:rFonts w:ascii="Times New Roman" w:hAnsi="Times New Roman"/>
      <w:szCs w:val="22"/>
      <w:lang w:val="en-US"/>
    </w:rPr>
  </w:style>
  <w:style w:type="numbering" w:customStyle="1" w:styleId="XXXNummerierung1">
    <w:name w:val="XXX_Nummerierung1"/>
    <w:basedOn w:val="NoList"/>
    <w:uiPriority w:val="99"/>
    <w:rsid w:val="00EB4408"/>
    <w:pPr>
      <w:numPr>
        <w:numId w:val="1"/>
      </w:numPr>
    </w:pPr>
  </w:style>
  <w:style w:type="character" w:customStyle="1" w:styleId="UnresolvedMention1">
    <w:name w:val="Unresolved Mention1"/>
    <w:basedOn w:val="DefaultParagraphFont"/>
    <w:uiPriority w:val="99"/>
    <w:semiHidden/>
    <w:unhideWhenUsed/>
    <w:rsid w:val="00531298"/>
    <w:rPr>
      <w:color w:val="808080"/>
      <w:shd w:val="clear" w:color="auto" w:fill="E6E6E6"/>
    </w:rPr>
  </w:style>
  <w:style w:type="paragraph" w:customStyle="1" w:styleId="Text1">
    <w:name w:val="Text 1"/>
    <w:basedOn w:val="Normal"/>
    <w:rsid w:val="00FA37AD"/>
    <w:pPr>
      <w:spacing w:before="120" w:after="120"/>
      <w:ind w:left="850"/>
      <w:jc w:val="both"/>
    </w:pPr>
    <w:rPr>
      <w:rFonts w:ascii="Times New Roman" w:eastAsiaTheme="minorHAnsi" w:hAnsi="Times New Roman"/>
      <w:sz w:val="24"/>
      <w:szCs w:val="22"/>
      <w:lang w:val="en-GB" w:eastAsia="en-US"/>
    </w:rPr>
  </w:style>
  <w:style w:type="character" w:customStyle="1" w:styleId="UnresolvedMention2">
    <w:name w:val="Unresolved Mention2"/>
    <w:basedOn w:val="DefaultParagraphFont"/>
    <w:uiPriority w:val="99"/>
    <w:semiHidden/>
    <w:unhideWhenUsed/>
    <w:rsid w:val="00EE6836"/>
    <w:rPr>
      <w:color w:val="808080"/>
      <w:shd w:val="clear" w:color="auto" w:fill="E6E6E6"/>
    </w:rPr>
  </w:style>
  <w:style w:type="numbering" w:customStyle="1" w:styleId="XXXNummerierung2">
    <w:name w:val="XXX_Nummerierung2"/>
    <w:basedOn w:val="NoList"/>
    <w:uiPriority w:val="99"/>
    <w:rsid w:val="00AB72A2"/>
  </w:style>
  <w:style w:type="paragraph" w:styleId="Caption">
    <w:name w:val="caption"/>
    <w:basedOn w:val="Normal"/>
    <w:next w:val="Normal"/>
    <w:uiPriority w:val="35"/>
    <w:unhideWhenUsed/>
    <w:qFormat/>
    <w:rsid w:val="00BC79B3"/>
    <w:pPr>
      <w:spacing w:after="200"/>
    </w:pPr>
    <w:rPr>
      <w:i/>
      <w:iCs/>
      <w:color w:val="23236E" w:themeColor="text2"/>
      <w:sz w:val="18"/>
      <w:szCs w:val="18"/>
    </w:rPr>
  </w:style>
  <w:style w:type="paragraph" w:styleId="TableofFigures">
    <w:name w:val="table of figures"/>
    <w:basedOn w:val="Normal"/>
    <w:next w:val="Normal"/>
    <w:uiPriority w:val="99"/>
    <w:unhideWhenUsed/>
    <w:rsid w:val="00BC7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4691">
      <w:bodyDiv w:val="1"/>
      <w:marLeft w:val="0"/>
      <w:marRight w:val="0"/>
      <w:marTop w:val="0"/>
      <w:marBottom w:val="0"/>
      <w:divBdr>
        <w:top w:val="none" w:sz="0" w:space="0" w:color="auto"/>
        <w:left w:val="none" w:sz="0" w:space="0" w:color="auto"/>
        <w:bottom w:val="none" w:sz="0" w:space="0" w:color="auto"/>
        <w:right w:val="none" w:sz="0" w:space="0" w:color="auto"/>
      </w:divBdr>
    </w:div>
    <w:div w:id="61685204">
      <w:bodyDiv w:val="1"/>
      <w:marLeft w:val="0"/>
      <w:marRight w:val="0"/>
      <w:marTop w:val="0"/>
      <w:marBottom w:val="0"/>
      <w:divBdr>
        <w:top w:val="none" w:sz="0" w:space="0" w:color="auto"/>
        <w:left w:val="none" w:sz="0" w:space="0" w:color="auto"/>
        <w:bottom w:val="none" w:sz="0" w:space="0" w:color="auto"/>
        <w:right w:val="none" w:sz="0" w:space="0" w:color="auto"/>
      </w:divBdr>
    </w:div>
    <w:div w:id="118957083">
      <w:bodyDiv w:val="1"/>
      <w:marLeft w:val="0"/>
      <w:marRight w:val="0"/>
      <w:marTop w:val="0"/>
      <w:marBottom w:val="0"/>
      <w:divBdr>
        <w:top w:val="none" w:sz="0" w:space="0" w:color="auto"/>
        <w:left w:val="none" w:sz="0" w:space="0" w:color="auto"/>
        <w:bottom w:val="none" w:sz="0" w:space="0" w:color="auto"/>
        <w:right w:val="none" w:sz="0" w:space="0" w:color="auto"/>
      </w:divBdr>
    </w:div>
    <w:div w:id="122963775">
      <w:bodyDiv w:val="1"/>
      <w:marLeft w:val="0"/>
      <w:marRight w:val="0"/>
      <w:marTop w:val="0"/>
      <w:marBottom w:val="0"/>
      <w:divBdr>
        <w:top w:val="none" w:sz="0" w:space="0" w:color="auto"/>
        <w:left w:val="none" w:sz="0" w:space="0" w:color="auto"/>
        <w:bottom w:val="none" w:sz="0" w:space="0" w:color="auto"/>
        <w:right w:val="none" w:sz="0" w:space="0" w:color="auto"/>
      </w:divBdr>
    </w:div>
    <w:div w:id="194469771">
      <w:bodyDiv w:val="1"/>
      <w:marLeft w:val="0"/>
      <w:marRight w:val="0"/>
      <w:marTop w:val="0"/>
      <w:marBottom w:val="0"/>
      <w:divBdr>
        <w:top w:val="none" w:sz="0" w:space="0" w:color="auto"/>
        <w:left w:val="none" w:sz="0" w:space="0" w:color="auto"/>
        <w:bottom w:val="none" w:sz="0" w:space="0" w:color="auto"/>
        <w:right w:val="none" w:sz="0" w:space="0" w:color="auto"/>
      </w:divBdr>
      <w:divsChild>
        <w:div w:id="846938952">
          <w:marLeft w:val="1886"/>
          <w:marRight w:val="0"/>
          <w:marTop w:val="0"/>
          <w:marBottom w:val="0"/>
          <w:divBdr>
            <w:top w:val="none" w:sz="0" w:space="0" w:color="auto"/>
            <w:left w:val="none" w:sz="0" w:space="0" w:color="auto"/>
            <w:bottom w:val="none" w:sz="0" w:space="0" w:color="auto"/>
            <w:right w:val="none" w:sz="0" w:space="0" w:color="auto"/>
          </w:divBdr>
        </w:div>
        <w:div w:id="149759893">
          <w:marLeft w:val="1886"/>
          <w:marRight w:val="0"/>
          <w:marTop w:val="0"/>
          <w:marBottom w:val="0"/>
          <w:divBdr>
            <w:top w:val="none" w:sz="0" w:space="0" w:color="auto"/>
            <w:left w:val="none" w:sz="0" w:space="0" w:color="auto"/>
            <w:bottom w:val="none" w:sz="0" w:space="0" w:color="auto"/>
            <w:right w:val="none" w:sz="0" w:space="0" w:color="auto"/>
          </w:divBdr>
        </w:div>
      </w:divsChild>
    </w:div>
    <w:div w:id="219681670">
      <w:bodyDiv w:val="1"/>
      <w:marLeft w:val="0"/>
      <w:marRight w:val="0"/>
      <w:marTop w:val="0"/>
      <w:marBottom w:val="0"/>
      <w:divBdr>
        <w:top w:val="none" w:sz="0" w:space="0" w:color="auto"/>
        <w:left w:val="none" w:sz="0" w:space="0" w:color="auto"/>
        <w:bottom w:val="none" w:sz="0" w:space="0" w:color="auto"/>
        <w:right w:val="none" w:sz="0" w:space="0" w:color="auto"/>
      </w:divBdr>
    </w:div>
    <w:div w:id="278689482">
      <w:bodyDiv w:val="1"/>
      <w:marLeft w:val="0"/>
      <w:marRight w:val="0"/>
      <w:marTop w:val="0"/>
      <w:marBottom w:val="0"/>
      <w:divBdr>
        <w:top w:val="none" w:sz="0" w:space="0" w:color="auto"/>
        <w:left w:val="none" w:sz="0" w:space="0" w:color="auto"/>
        <w:bottom w:val="none" w:sz="0" w:space="0" w:color="auto"/>
        <w:right w:val="none" w:sz="0" w:space="0" w:color="auto"/>
      </w:divBdr>
    </w:div>
    <w:div w:id="279578772">
      <w:bodyDiv w:val="1"/>
      <w:marLeft w:val="0"/>
      <w:marRight w:val="0"/>
      <w:marTop w:val="0"/>
      <w:marBottom w:val="0"/>
      <w:divBdr>
        <w:top w:val="none" w:sz="0" w:space="0" w:color="auto"/>
        <w:left w:val="none" w:sz="0" w:space="0" w:color="auto"/>
        <w:bottom w:val="none" w:sz="0" w:space="0" w:color="auto"/>
        <w:right w:val="none" w:sz="0" w:space="0" w:color="auto"/>
      </w:divBdr>
    </w:div>
    <w:div w:id="288054568">
      <w:bodyDiv w:val="1"/>
      <w:marLeft w:val="0"/>
      <w:marRight w:val="0"/>
      <w:marTop w:val="0"/>
      <w:marBottom w:val="0"/>
      <w:divBdr>
        <w:top w:val="none" w:sz="0" w:space="0" w:color="auto"/>
        <w:left w:val="none" w:sz="0" w:space="0" w:color="auto"/>
        <w:bottom w:val="none" w:sz="0" w:space="0" w:color="auto"/>
        <w:right w:val="none" w:sz="0" w:space="0" w:color="auto"/>
      </w:divBdr>
    </w:div>
    <w:div w:id="340815232">
      <w:bodyDiv w:val="1"/>
      <w:marLeft w:val="0"/>
      <w:marRight w:val="0"/>
      <w:marTop w:val="0"/>
      <w:marBottom w:val="0"/>
      <w:divBdr>
        <w:top w:val="none" w:sz="0" w:space="0" w:color="auto"/>
        <w:left w:val="none" w:sz="0" w:space="0" w:color="auto"/>
        <w:bottom w:val="none" w:sz="0" w:space="0" w:color="auto"/>
        <w:right w:val="none" w:sz="0" w:space="0" w:color="auto"/>
      </w:divBdr>
    </w:div>
    <w:div w:id="433402312">
      <w:bodyDiv w:val="1"/>
      <w:marLeft w:val="0"/>
      <w:marRight w:val="0"/>
      <w:marTop w:val="0"/>
      <w:marBottom w:val="0"/>
      <w:divBdr>
        <w:top w:val="none" w:sz="0" w:space="0" w:color="auto"/>
        <w:left w:val="none" w:sz="0" w:space="0" w:color="auto"/>
        <w:bottom w:val="none" w:sz="0" w:space="0" w:color="auto"/>
        <w:right w:val="none" w:sz="0" w:space="0" w:color="auto"/>
      </w:divBdr>
    </w:div>
    <w:div w:id="457458289">
      <w:bodyDiv w:val="1"/>
      <w:marLeft w:val="0"/>
      <w:marRight w:val="0"/>
      <w:marTop w:val="0"/>
      <w:marBottom w:val="0"/>
      <w:divBdr>
        <w:top w:val="none" w:sz="0" w:space="0" w:color="auto"/>
        <w:left w:val="none" w:sz="0" w:space="0" w:color="auto"/>
        <w:bottom w:val="none" w:sz="0" w:space="0" w:color="auto"/>
        <w:right w:val="none" w:sz="0" w:space="0" w:color="auto"/>
      </w:divBdr>
    </w:div>
    <w:div w:id="457646360">
      <w:bodyDiv w:val="1"/>
      <w:marLeft w:val="0"/>
      <w:marRight w:val="0"/>
      <w:marTop w:val="0"/>
      <w:marBottom w:val="0"/>
      <w:divBdr>
        <w:top w:val="none" w:sz="0" w:space="0" w:color="auto"/>
        <w:left w:val="none" w:sz="0" w:space="0" w:color="auto"/>
        <w:bottom w:val="none" w:sz="0" w:space="0" w:color="auto"/>
        <w:right w:val="none" w:sz="0" w:space="0" w:color="auto"/>
      </w:divBdr>
    </w:div>
    <w:div w:id="474027452">
      <w:bodyDiv w:val="1"/>
      <w:marLeft w:val="0"/>
      <w:marRight w:val="0"/>
      <w:marTop w:val="0"/>
      <w:marBottom w:val="0"/>
      <w:divBdr>
        <w:top w:val="none" w:sz="0" w:space="0" w:color="auto"/>
        <w:left w:val="none" w:sz="0" w:space="0" w:color="auto"/>
        <w:bottom w:val="none" w:sz="0" w:space="0" w:color="auto"/>
        <w:right w:val="none" w:sz="0" w:space="0" w:color="auto"/>
      </w:divBdr>
    </w:div>
    <w:div w:id="576400237">
      <w:bodyDiv w:val="1"/>
      <w:marLeft w:val="0"/>
      <w:marRight w:val="0"/>
      <w:marTop w:val="0"/>
      <w:marBottom w:val="0"/>
      <w:divBdr>
        <w:top w:val="none" w:sz="0" w:space="0" w:color="auto"/>
        <w:left w:val="none" w:sz="0" w:space="0" w:color="auto"/>
        <w:bottom w:val="none" w:sz="0" w:space="0" w:color="auto"/>
        <w:right w:val="none" w:sz="0" w:space="0" w:color="auto"/>
      </w:divBdr>
    </w:div>
    <w:div w:id="656687241">
      <w:bodyDiv w:val="1"/>
      <w:marLeft w:val="0"/>
      <w:marRight w:val="0"/>
      <w:marTop w:val="0"/>
      <w:marBottom w:val="0"/>
      <w:divBdr>
        <w:top w:val="none" w:sz="0" w:space="0" w:color="auto"/>
        <w:left w:val="none" w:sz="0" w:space="0" w:color="auto"/>
        <w:bottom w:val="none" w:sz="0" w:space="0" w:color="auto"/>
        <w:right w:val="none" w:sz="0" w:space="0" w:color="auto"/>
      </w:divBdr>
    </w:div>
    <w:div w:id="658391209">
      <w:bodyDiv w:val="1"/>
      <w:marLeft w:val="0"/>
      <w:marRight w:val="0"/>
      <w:marTop w:val="0"/>
      <w:marBottom w:val="0"/>
      <w:divBdr>
        <w:top w:val="none" w:sz="0" w:space="0" w:color="auto"/>
        <w:left w:val="none" w:sz="0" w:space="0" w:color="auto"/>
        <w:bottom w:val="none" w:sz="0" w:space="0" w:color="auto"/>
        <w:right w:val="none" w:sz="0" w:space="0" w:color="auto"/>
      </w:divBdr>
    </w:div>
    <w:div w:id="668945384">
      <w:bodyDiv w:val="1"/>
      <w:marLeft w:val="0"/>
      <w:marRight w:val="0"/>
      <w:marTop w:val="0"/>
      <w:marBottom w:val="0"/>
      <w:divBdr>
        <w:top w:val="none" w:sz="0" w:space="0" w:color="auto"/>
        <w:left w:val="none" w:sz="0" w:space="0" w:color="auto"/>
        <w:bottom w:val="none" w:sz="0" w:space="0" w:color="auto"/>
        <w:right w:val="none" w:sz="0" w:space="0" w:color="auto"/>
      </w:divBdr>
    </w:div>
    <w:div w:id="726032532">
      <w:bodyDiv w:val="1"/>
      <w:marLeft w:val="0"/>
      <w:marRight w:val="0"/>
      <w:marTop w:val="0"/>
      <w:marBottom w:val="0"/>
      <w:divBdr>
        <w:top w:val="none" w:sz="0" w:space="0" w:color="auto"/>
        <w:left w:val="none" w:sz="0" w:space="0" w:color="auto"/>
        <w:bottom w:val="none" w:sz="0" w:space="0" w:color="auto"/>
        <w:right w:val="none" w:sz="0" w:space="0" w:color="auto"/>
      </w:divBdr>
    </w:div>
    <w:div w:id="777674881">
      <w:bodyDiv w:val="1"/>
      <w:marLeft w:val="0"/>
      <w:marRight w:val="0"/>
      <w:marTop w:val="0"/>
      <w:marBottom w:val="0"/>
      <w:divBdr>
        <w:top w:val="none" w:sz="0" w:space="0" w:color="auto"/>
        <w:left w:val="none" w:sz="0" w:space="0" w:color="auto"/>
        <w:bottom w:val="none" w:sz="0" w:space="0" w:color="auto"/>
        <w:right w:val="none" w:sz="0" w:space="0" w:color="auto"/>
      </w:divBdr>
    </w:div>
    <w:div w:id="816655315">
      <w:bodyDiv w:val="1"/>
      <w:marLeft w:val="0"/>
      <w:marRight w:val="0"/>
      <w:marTop w:val="0"/>
      <w:marBottom w:val="0"/>
      <w:divBdr>
        <w:top w:val="none" w:sz="0" w:space="0" w:color="auto"/>
        <w:left w:val="none" w:sz="0" w:space="0" w:color="auto"/>
        <w:bottom w:val="none" w:sz="0" w:space="0" w:color="auto"/>
        <w:right w:val="none" w:sz="0" w:space="0" w:color="auto"/>
      </w:divBdr>
    </w:div>
    <w:div w:id="826819523">
      <w:bodyDiv w:val="1"/>
      <w:marLeft w:val="0"/>
      <w:marRight w:val="0"/>
      <w:marTop w:val="0"/>
      <w:marBottom w:val="0"/>
      <w:divBdr>
        <w:top w:val="none" w:sz="0" w:space="0" w:color="auto"/>
        <w:left w:val="none" w:sz="0" w:space="0" w:color="auto"/>
        <w:bottom w:val="none" w:sz="0" w:space="0" w:color="auto"/>
        <w:right w:val="none" w:sz="0" w:space="0" w:color="auto"/>
      </w:divBdr>
    </w:div>
    <w:div w:id="900361236">
      <w:bodyDiv w:val="1"/>
      <w:marLeft w:val="0"/>
      <w:marRight w:val="0"/>
      <w:marTop w:val="0"/>
      <w:marBottom w:val="0"/>
      <w:divBdr>
        <w:top w:val="none" w:sz="0" w:space="0" w:color="auto"/>
        <w:left w:val="none" w:sz="0" w:space="0" w:color="auto"/>
        <w:bottom w:val="none" w:sz="0" w:space="0" w:color="auto"/>
        <w:right w:val="none" w:sz="0" w:space="0" w:color="auto"/>
      </w:divBdr>
    </w:div>
    <w:div w:id="907350705">
      <w:bodyDiv w:val="1"/>
      <w:marLeft w:val="0"/>
      <w:marRight w:val="0"/>
      <w:marTop w:val="0"/>
      <w:marBottom w:val="0"/>
      <w:divBdr>
        <w:top w:val="none" w:sz="0" w:space="0" w:color="auto"/>
        <w:left w:val="none" w:sz="0" w:space="0" w:color="auto"/>
        <w:bottom w:val="none" w:sz="0" w:space="0" w:color="auto"/>
        <w:right w:val="none" w:sz="0" w:space="0" w:color="auto"/>
      </w:divBdr>
    </w:div>
    <w:div w:id="953294429">
      <w:bodyDiv w:val="1"/>
      <w:marLeft w:val="0"/>
      <w:marRight w:val="0"/>
      <w:marTop w:val="0"/>
      <w:marBottom w:val="0"/>
      <w:divBdr>
        <w:top w:val="none" w:sz="0" w:space="0" w:color="auto"/>
        <w:left w:val="none" w:sz="0" w:space="0" w:color="auto"/>
        <w:bottom w:val="none" w:sz="0" w:space="0" w:color="auto"/>
        <w:right w:val="none" w:sz="0" w:space="0" w:color="auto"/>
      </w:divBdr>
    </w:div>
    <w:div w:id="973213879">
      <w:bodyDiv w:val="1"/>
      <w:marLeft w:val="0"/>
      <w:marRight w:val="0"/>
      <w:marTop w:val="0"/>
      <w:marBottom w:val="0"/>
      <w:divBdr>
        <w:top w:val="none" w:sz="0" w:space="0" w:color="auto"/>
        <w:left w:val="none" w:sz="0" w:space="0" w:color="auto"/>
        <w:bottom w:val="none" w:sz="0" w:space="0" w:color="auto"/>
        <w:right w:val="none" w:sz="0" w:space="0" w:color="auto"/>
      </w:divBdr>
    </w:div>
    <w:div w:id="985478151">
      <w:bodyDiv w:val="1"/>
      <w:marLeft w:val="0"/>
      <w:marRight w:val="0"/>
      <w:marTop w:val="0"/>
      <w:marBottom w:val="0"/>
      <w:divBdr>
        <w:top w:val="none" w:sz="0" w:space="0" w:color="auto"/>
        <w:left w:val="none" w:sz="0" w:space="0" w:color="auto"/>
        <w:bottom w:val="none" w:sz="0" w:space="0" w:color="auto"/>
        <w:right w:val="none" w:sz="0" w:space="0" w:color="auto"/>
      </w:divBdr>
    </w:div>
    <w:div w:id="1007291704">
      <w:bodyDiv w:val="1"/>
      <w:marLeft w:val="0"/>
      <w:marRight w:val="0"/>
      <w:marTop w:val="0"/>
      <w:marBottom w:val="0"/>
      <w:divBdr>
        <w:top w:val="none" w:sz="0" w:space="0" w:color="auto"/>
        <w:left w:val="none" w:sz="0" w:space="0" w:color="auto"/>
        <w:bottom w:val="none" w:sz="0" w:space="0" w:color="auto"/>
        <w:right w:val="none" w:sz="0" w:space="0" w:color="auto"/>
      </w:divBdr>
    </w:div>
    <w:div w:id="1077629911">
      <w:bodyDiv w:val="1"/>
      <w:marLeft w:val="0"/>
      <w:marRight w:val="0"/>
      <w:marTop w:val="0"/>
      <w:marBottom w:val="0"/>
      <w:divBdr>
        <w:top w:val="none" w:sz="0" w:space="0" w:color="auto"/>
        <w:left w:val="none" w:sz="0" w:space="0" w:color="auto"/>
        <w:bottom w:val="none" w:sz="0" w:space="0" w:color="auto"/>
        <w:right w:val="none" w:sz="0" w:space="0" w:color="auto"/>
      </w:divBdr>
    </w:div>
    <w:div w:id="1116562401">
      <w:bodyDiv w:val="1"/>
      <w:marLeft w:val="0"/>
      <w:marRight w:val="0"/>
      <w:marTop w:val="0"/>
      <w:marBottom w:val="0"/>
      <w:divBdr>
        <w:top w:val="none" w:sz="0" w:space="0" w:color="auto"/>
        <w:left w:val="none" w:sz="0" w:space="0" w:color="auto"/>
        <w:bottom w:val="none" w:sz="0" w:space="0" w:color="auto"/>
        <w:right w:val="none" w:sz="0" w:space="0" w:color="auto"/>
      </w:divBdr>
    </w:div>
    <w:div w:id="1148402485">
      <w:bodyDiv w:val="1"/>
      <w:marLeft w:val="0"/>
      <w:marRight w:val="0"/>
      <w:marTop w:val="0"/>
      <w:marBottom w:val="0"/>
      <w:divBdr>
        <w:top w:val="none" w:sz="0" w:space="0" w:color="auto"/>
        <w:left w:val="none" w:sz="0" w:space="0" w:color="auto"/>
        <w:bottom w:val="none" w:sz="0" w:space="0" w:color="auto"/>
        <w:right w:val="none" w:sz="0" w:space="0" w:color="auto"/>
      </w:divBdr>
      <w:divsChild>
        <w:div w:id="93676596">
          <w:marLeft w:val="0"/>
          <w:marRight w:val="0"/>
          <w:marTop w:val="0"/>
          <w:marBottom w:val="0"/>
          <w:divBdr>
            <w:top w:val="none" w:sz="0" w:space="0" w:color="auto"/>
            <w:left w:val="none" w:sz="0" w:space="0" w:color="auto"/>
            <w:bottom w:val="none" w:sz="0" w:space="0" w:color="auto"/>
            <w:right w:val="none" w:sz="0" w:space="0" w:color="auto"/>
          </w:divBdr>
          <w:divsChild>
            <w:div w:id="1985968690">
              <w:marLeft w:val="0"/>
              <w:marRight w:val="0"/>
              <w:marTop w:val="0"/>
              <w:marBottom w:val="0"/>
              <w:divBdr>
                <w:top w:val="none" w:sz="0" w:space="0" w:color="auto"/>
                <w:left w:val="none" w:sz="0" w:space="0" w:color="auto"/>
                <w:bottom w:val="none" w:sz="0" w:space="0" w:color="auto"/>
                <w:right w:val="none" w:sz="0" w:space="0" w:color="auto"/>
              </w:divBdr>
              <w:divsChild>
                <w:div w:id="787160446">
                  <w:marLeft w:val="0"/>
                  <w:marRight w:val="0"/>
                  <w:marTop w:val="0"/>
                  <w:marBottom w:val="0"/>
                  <w:divBdr>
                    <w:top w:val="none" w:sz="0" w:space="0" w:color="auto"/>
                    <w:left w:val="none" w:sz="0" w:space="0" w:color="auto"/>
                    <w:bottom w:val="none" w:sz="0" w:space="0" w:color="auto"/>
                    <w:right w:val="none" w:sz="0" w:space="0" w:color="auto"/>
                  </w:divBdr>
                  <w:divsChild>
                    <w:div w:id="87819489">
                      <w:marLeft w:val="0"/>
                      <w:marRight w:val="0"/>
                      <w:marTop w:val="0"/>
                      <w:marBottom w:val="0"/>
                      <w:divBdr>
                        <w:top w:val="none" w:sz="0" w:space="0" w:color="auto"/>
                        <w:left w:val="none" w:sz="0" w:space="0" w:color="auto"/>
                        <w:bottom w:val="none" w:sz="0" w:space="0" w:color="auto"/>
                        <w:right w:val="none" w:sz="0" w:space="0" w:color="auto"/>
                      </w:divBdr>
                      <w:divsChild>
                        <w:div w:id="1064137893">
                          <w:marLeft w:val="0"/>
                          <w:marRight w:val="0"/>
                          <w:marTop w:val="0"/>
                          <w:marBottom w:val="0"/>
                          <w:divBdr>
                            <w:top w:val="none" w:sz="0" w:space="0" w:color="auto"/>
                            <w:left w:val="none" w:sz="0" w:space="0" w:color="auto"/>
                            <w:bottom w:val="none" w:sz="0" w:space="0" w:color="auto"/>
                            <w:right w:val="none" w:sz="0" w:space="0" w:color="auto"/>
                          </w:divBdr>
                          <w:divsChild>
                            <w:div w:id="1046101682">
                              <w:marLeft w:val="0"/>
                              <w:marRight w:val="0"/>
                              <w:marTop w:val="0"/>
                              <w:marBottom w:val="0"/>
                              <w:divBdr>
                                <w:top w:val="none" w:sz="0" w:space="0" w:color="auto"/>
                                <w:left w:val="none" w:sz="0" w:space="0" w:color="auto"/>
                                <w:bottom w:val="none" w:sz="0" w:space="0" w:color="auto"/>
                                <w:right w:val="none" w:sz="0" w:space="0" w:color="auto"/>
                              </w:divBdr>
                              <w:divsChild>
                                <w:div w:id="70255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4125474">
      <w:bodyDiv w:val="1"/>
      <w:marLeft w:val="390"/>
      <w:marRight w:val="390"/>
      <w:marTop w:val="0"/>
      <w:marBottom w:val="0"/>
      <w:divBdr>
        <w:top w:val="none" w:sz="0" w:space="0" w:color="auto"/>
        <w:left w:val="none" w:sz="0" w:space="0" w:color="auto"/>
        <w:bottom w:val="none" w:sz="0" w:space="0" w:color="auto"/>
        <w:right w:val="none" w:sz="0" w:space="0" w:color="auto"/>
      </w:divBdr>
    </w:div>
    <w:div w:id="1282565995">
      <w:bodyDiv w:val="1"/>
      <w:marLeft w:val="0"/>
      <w:marRight w:val="0"/>
      <w:marTop w:val="0"/>
      <w:marBottom w:val="0"/>
      <w:divBdr>
        <w:top w:val="none" w:sz="0" w:space="0" w:color="auto"/>
        <w:left w:val="none" w:sz="0" w:space="0" w:color="auto"/>
        <w:bottom w:val="none" w:sz="0" w:space="0" w:color="auto"/>
        <w:right w:val="none" w:sz="0" w:space="0" w:color="auto"/>
      </w:divBdr>
    </w:div>
    <w:div w:id="1413241212">
      <w:bodyDiv w:val="1"/>
      <w:marLeft w:val="0"/>
      <w:marRight w:val="0"/>
      <w:marTop w:val="0"/>
      <w:marBottom w:val="0"/>
      <w:divBdr>
        <w:top w:val="none" w:sz="0" w:space="0" w:color="auto"/>
        <w:left w:val="none" w:sz="0" w:space="0" w:color="auto"/>
        <w:bottom w:val="none" w:sz="0" w:space="0" w:color="auto"/>
        <w:right w:val="none" w:sz="0" w:space="0" w:color="auto"/>
      </w:divBdr>
    </w:div>
    <w:div w:id="1450508785">
      <w:bodyDiv w:val="1"/>
      <w:marLeft w:val="0"/>
      <w:marRight w:val="0"/>
      <w:marTop w:val="0"/>
      <w:marBottom w:val="0"/>
      <w:divBdr>
        <w:top w:val="none" w:sz="0" w:space="0" w:color="auto"/>
        <w:left w:val="none" w:sz="0" w:space="0" w:color="auto"/>
        <w:bottom w:val="none" w:sz="0" w:space="0" w:color="auto"/>
        <w:right w:val="none" w:sz="0" w:space="0" w:color="auto"/>
      </w:divBdr>
    </w:div>
    <w:div w:id="1473058212">
      <w:bodyDiv w:val="1"/>
      <w:marLeft w:val="0"/>
      <w:marRight w:val="0"/>
      <w:marTop w:val="0"/>
      <w:marBottom w:val="0"/>
      <w:divBdr>
        <w:top w:val="none" w:sz="0" w:space="0" w:color="auto"/>
        <w:left w:val="none" w:sz="0" w:space="0" w:color="auto"/>
        <w:bottom w:val="none" w:sz="0" w:space="0" w:color="auto"/>
        <w:right w:val="none" w:sz="0" w:space="0" w:color="auto"/>
      </w:divBdr>
    </w:div>
    <w:div w:id="1572109629">
      <w:bodyDiv w:val="1"/>
      <w:marLeft w:val="0"/>
      <w:marRight w:val="0"/>
      <w:marTop w:val="0"/>
      <w:marBottom w:val="0"/>
      <w:divBdr>
        <w:top w:val="none" w:sz="0" w:space="0" w:color="auto"/>
        <w:left w:val="none" w:sz="0" w:space="0" w:color="auto"/>
        <w:bottom w:val="none" w:sz="0" w:space="0" w:color="auto"/>
        <w:right w:val="none" w:sz="0" w:space="0" w:color="auto"/>
      </w:divBdr>
    </w:div>
    <w:div w:id="1605452179">
      <w:bodyDiv w:val="1"/>
      <w:marLeft w:val="0"/>
      <w:marRight w:val="0"/>
      <w:marTop w:val="0"/>
      <w:marBottom w:val="0"/>
      <w:divBdr>
        <w:top w:val="none" w:sz="0" w:space="0" w:color="auto"/>
        <w:left w:val="none" w:sz="0" w:space="0" w:color="auto"/>
        <w:bottom w:val="none" w:sz="0" w:space="0" w:color="auto"/>
        <w:right w:val="none" w:sz="0" w:space="0" w:color="auto"/>
      </w:divBdr>
    </w:div>
    <w:div w:id="1610816868">
      <w:bodyDiv w:val="1"/>
      <w:marLeft w:val="0"/>
      <w:marRight w:val="0"/>
      <w:marTop w:val="0"/>
      <w:marBottom w:val="0"/>
      <w:divBdr>
        <w:top w:val="none" w:sz="0" w:space="0" w:color="auto"/>
        <w:left w:val="none" w:sz="0" w:space="0" w:color="auto"/>
        <w:bottom w:val="none" w:sz="0" w:space="0" w:color="auto"/>
        <w:right w:val="none" w:sz="0" w:space="0" w:color="auto"/>
      </w:divBdr>
    </w:div>
    <w:div w:id="1658992128">
      <w:bodyDiv w:val="1"/>
      <w:marLeft w:val="0"/>
      <w:marRight w:val="0"/>
      <w:marTop w:val="0"/>
      <w:marBottom w:val="0"/>
      <w:divBdr>
        <w:top w:val="none" w:sz="0" w:space="0" w:color="auto"/>
        <w:left w:val="none" w:sz="0" w:space="0" w:color="auto"/>
        <w:bottom w:val="none" w:sz="0" w:space="0" w:color="auto"/>
        <w:right w:val="none" w:sz="0" w:space="0" w:color="auto"/>
      </w:divBdr>
    </w:div>
    <w:div w:id="1673484447">
      <w:bodyDiv w:val="1"/>
      <w:marLeft w:val="0"/>
      <w:marRight w:val="0"/>
      <w:marTop w:val="0"/>
      <w:marBottom w:val="0"/>
      <w:divBdr>
        <w:top w:val="none" w:sz="0" w:space="0" w:color="auto"/>
        <w:left w:val="none" w:sz="0" w:space="0" w:color="auto"/>
        <w:bottom w:val="none" w:sz="0" w:space="0" w:color="auto"/>
        <w:right w:val="none" w:sz="0" w:space="0" w:color="auto"/>
      </w:divBdr>
    </w:div>
    <w:div w:id="1816137709">
      <w:bodyDiv w:val="1"/>
      <w:marLeft w:val="0"/>
      <w:marRight w:val="0"/>
      <w:marTop w:val="0"/>
      <w:marBottom w:val="0"/>
      <w:divBdr>
        <w:top w:val="none" w:sz="0" w:space="0" w:color="auto"/>
        <w:left w:val="none" w:sz="0" w:space="0" w:color="auto"/>
        <w:bottom w:val="none" w:sz="0" w:space="0" w:color="auto"/>
        <w:right w:val="none" w:sz="0" w:space="0" w:color="auto"/>
      </w:divBdr>
    </w:div>
    <w:div w:id="1822186081">
      <w:bodyDiv w:val="1"/>
      <w:marLeft w:val="0"/>
      <w:marRight w:val="0"/>
      <w:marTop w:val="0"/>
      <w:marBottom w:val="0"/>
      <w:divBdr>
        <w:top w:val="none" w:sz="0" w:space="0" w:color="auto"/>
        <w:left w:val="none" w:sz="0" w:space="0" w:color="auto"/>
        <w:bottom w:val="none" w:sz="0" w:space="0" w:color="auto"/>
        <w:right w:val="none" w:sz="0" w:space="0" w:color="auto"/>
      </w:divBdr>
    </w:div>
    <w:div w:id="1948341883">
      <w:bodyDiv w:val="1"/>
      <w:marLeft w:val="0"/>
      <w:marRight w:val="0"/>
      <w:marTop w:val="0"/>
      <w:marBottom w:val="0"/>
      <w:divBdr>
        <w:top w:val="none" w:sz="0" w:space="0" w:color="auto"/>
        <w:left w:val="none" w:sz="0" w:space="0" w:color="auto"/>
        <w:bottom w:val="none" w:sz="0" w:space="0" w:color="auto"/>
        <w:right w:val="none" w:sz="0" w:space="0" w:color="auto"/>
      </w:divBdr>
    </w:div>
    <w:div w:id="1982806131">
      <w:bodyDiv w:val="1"/>
      <w:marLeft w:val="0"/>
      <w:marRight w:val="0"/>
      <w:marTop w:val="0"/>
      <w:marBottom w:val="0"/>
      <w:divBdr>
        <w:top w:val="none" w:sz="0" w:space="0" w:color="auto"/>
        <w:left w:val="none" w:sz="0" w:space="0" w:color="auto"/>
        <w:bottom w:val="none" w:sz="0" w:space="0" w:color="auto"/>
        <w:right w:val="none" w:sz="0" w:space="0" w:color="auto"/>
      </w:divBdr>
    </w:div>
    <w:div w:id="2000111460">
      <w:bodyDiv w:val="1"/>
      <w:marLeft w:val="0"/>
      <w:marRight w:val="0"/>
      <w:marTop w:val="0"/>
      <w:marBottom w:val="0"/>
      <w:divBdr>
        <w:top w:val="none" w:sz="0" w:space="0" w:color="auto"/>
        <w:left w:val="none" w:sz="0" w:space="0" w:color="auto"/>
        <w:bottom w:val="none" w:sz="0" w:space="0" w:color="auto"/>
        <w:right w:val="none" w:sz="0" w:space="0" w:color="auto"/>
      </w:divBdr>
    </w:div>
    <w:div w:id="2006517296">
      <w:bodyDiv w:val="1"/>
      <w:marLeft w:val="0"/>
      <w:marRight w:val="0"/>
      <w:marTop w:val="0"/>
      <w:marBottom w:val="0"/>
      <w:divBdr>
        <w:top w:val="none" w:sz="0" w:space="0" w:color="auto"/>
        <w:left w:val="none" w:sz="0" w:space="0" w:color="auto"/>
        <w:bottom w:val="none" w:sz="0" w:space="0" w:color="auto"/>
        <w:right w:val="none" w:sz="0" w:space="0" w:color="auto"/>
      </w:divBdr>
    </w:div>
    <w:div w:id="2030983127">
      <w:bodyDiv w:val="1"/>
      <w:marLeft w:val="0"/>
      <w:marRight w:val="0"/>
      <w:marTop w:val="0"/>
      <w:marBottom w:val="0"/>
      <w:divBdr>
        <w:top w:val="none" w:sz="0" w:space="0" w:color="auto"/>
        <w:left w:val="none" w:sz="0" w:space="0" w:color="auto"/>
        <w:bottom w:val="none" w:sz="0" w:space="0" w:color="auto"/>
        <w:right w:val="none" w:sz="0" w:space="0" w:color="auto"/>
      </w:divBdr>
    </w:div>
    <w:div w:id="2062168684">
      <w:bodyDiv w:val="1"/>
      <w:marLeft w:val="0"/>
      <w:marRight w:val="0"/>
      <w:marTop w:val="0"/>
      <w:marBottom w:val="0"/>
      <w:divBdr>
        <w:top w:val="none" w:sz="0" w:space="0" w:color="auto"/>
        <w:left w:val="none" w:sz="0" w:space="0" w:color="auto"/>
        <w:bottom w:val="none" w:sz="0" w:space="0" w:color="auto"/>
        <w:right w:val="none" w:sz="0" w:space="0" w:color="auto"/>
      </w:divBdr>
    </w:div>
    <w:div w:id="2079595934">
      <w:bodyDiv w:val="1"/>
      <w:marLeft w:val="0"/>
      <w:marRight w:val="0"/>
      <w:marTop w:val="0"/>
      <w:marBottom w:val="0"/>
      <w:divBdr>
        <w:top w:val="none" w:sz="0" w:space="0" w:color="auto"/>
        <w:left w:val="none" w:sz="0" w:space="0" w:color="auto"/>
        <w:bottom w:val="none" w:sz="0" w:space="0" w:color="auto"/>
        <w:right w:val="none" w:sz="0" w:space="0" w:color="auto"/>
      </w:divBdr>
    </w:div>
    <w:div w:id="2111848595">
      <w:bodyDiv w:val="1"/>
      <w:marLeft w:val="0"/>
      <w:marRight w:val="0"/>
      <w:marTop w:val="0"/>
      <w:marBottom w:val="0"/>
      <w:divBdr>
        <w:top w:val="none" w:sz="0" w:space="0" w:color="auto"/>
        <w:left w:val="none" w:sz="0" w:space="0" w:color="auto"/>
        <w:bottom w:val="none" w:sz="0" w:space="0" w:color="auto"/>
        <w:right w:val="none" w:sz="0" w:space="0" w:color="auto"/>
      </w:divBdr>
    </w:div>
    <w:div w:id="212252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7A5AA713F11E4C8447F851B217553D" ma:contentTypeVersion="0" ma:contentTypeDescription="Create a new document." ma:contentTypeScope="" ma:versionID="46adfe984b43dabeab822b4668d1b485">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8B4992-059D-40CD-94FC-82C054F39F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B40DF9-BC74-4345-A7C2-764A958DEE49}">
  <ds:schemaRefs>
    <ds:schemaRef ds:uri="http://schemas.microsoft.com/sharepoint/v3/contenttype/forms"/>
  </ds:schemaRefs>
</ds:datastoreItem>
</file>

<file path=customXml/itemProps3.xml><?xml version="1.0" encoding="utf-8"?>
<ds:datastoreItem xmlns:ds="http://schemas.openxmlformats.org/officeDocument/2006/customXml" ds:itemID="{FDB26CD2-9912-4877-BFCE-14CDB9DF2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52DE3E5-48FA-4168-83FF-98B7D36F8381}">
  <ds:schemaRefs>
    <ds:schemaRef ds:uri="http://schemas.openxmlformats.org/officeDocument/2006/bibliography"/>
  </ds:schemaRefs>
</ds:datastoreItem>
</file>

<file path=customXml/itemProps5.xml><?xml version="1.0" encoding="utf-8"?>
<ds:datastoreItem xmlns:ds="http://schemas.openxmlformats.org/officeDocument/2006/customXml" ds:itemID="{D1FE2244-226E-430C-814F-671B3731D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12235</Words>
  <Characters>69746</Characters>
  <Application>Microsoft Office Word</Application>
  <DocSecurity>0</DocSecurity>
  <Lines>581</Lines>
  <Paragraphs>163</Paragraphs>
  <ScaleCrop>false</ScaleCrop>
  <HeadingPairs>
    <vt:vector size="16" baseType="variant">
      <vt:variant>
        <vt:lpstr>Title</vt:lpstr>
      </vt:variant>
      <vt:variant>
        <vt:i4>1</vt:i4>
      </vt:variant>
      <vt:variant>
        <vt:lpstr>Titre</vt:lpstr>
      </vt:variant>
      <vt:variant>
        <vt:i4>1</vt:i4>
      </vt:variant>
      <vt:variant>
        <vt:lpstr>Titolo</vt:lpstr>
      </vt:variant>
      <vt:variant>
        <vt:i4>1</vt:i4>
      </vt:variant>
      <vt:variant>
        <vt:lpstr>Názov</vt:lpstr>
      </vt:variant>
      <vt:variant>
        <vt:i4>1</vt:i4>
      </vt:variant>
      <vt:variant>
        <vt:lpstr>Tytuł</vt:lpstr>
      </vt:variant>
      <vt:variant>
        <vt:i4>1</vt:i4>
      </vt:variant>
      <vt:variant>
        <vt:lpstr>Název</vt:lpstr>
      </vt:variant>
      <vt:variant>
        <vt:i4>1</vt:i4>
      </vt:variant>
      <vt:variant>
        <vt:lpstr>Titel</vt:lpstr>
      </vt:variant>
      <vt:variant>
        <vt:i4>1</vt:i4>
      </vt:variant>
      <vt:variant>
        <vt:lpstr>Cím</vt:lpstr>
      </vt:variant>
      <vt:variant>
        <vt:i4>1</vt:i4>
      </vt:variant>
    </vt:vector>
  </HeadingPairs>
  <TitlesOfParts>
    <vt:vector size="8" baseType="lpstr">
      <vt:lpstr>All TSOs’ proposal for the implementation framework for a European platform for the exchange of balancing energy from frequency restoration reserves with manual activation in accordance with Article 20  of Commission Regulation (EU) 2017/2195 establishing</vt:lpstr>
      <vt:lpstr>All TSOs’ proposal for the implementation framework for a European platform for the exchange of balancing energy from frequency restoration reserves with manual activation in accordance with Article 20  of Commission Regulation (EU) 2017/2195 establishing</vt:lpstr>
      <vt:lpstr>All TSOs’ proposal for the implementation framework for a European platform for the exchange of balancing energy from frequency restoration reserves with manual activation in accordance with Article 20  of Commission Regulation (EU) 2017/2195 establishing</vt:lpstr>
      <vt:lpstr>All TSOs’ proposal for the implementation framework for a European platform for the exchange of balancing energy from frequency restoration reserves with manual activation in accordance with Article 20  of Commission Regulation (EU) 2017/2195 establishing</vt:lpstr>
      <vt:lpstr>All TSOs’ proposal for the implementation framework for a European platform for the exchange of balancing energy from frequency restoration reserves with manual activation in accordance with Article 20  of Commission Regulation (EU) 2017/2195 establishing</vt:lpstr>
      <vt:lpstr>All TSOs’ proposal for the implementation framework for a European platform for the exchange of balancing energy from frequency restoration reserves with manual activation in accordance with Article 20  of Commission Regulation (EU) 2017/2195 establishing</vt:lpstr>
      <vt:lpstr>All TSOs’ proposal for the implementation framework for a European platform for the exchange of balancing energy from frequency restoration reserves with manual activation in accordance with Article 20  of Commission Regulation (EU) 2017/2195 establishing</vt:lpstr>
      <vt:lpstr>All TSOs’ proposal for the implementation framework for a European platform for the exchange of balancing energy from frequency restoration reserves with manual activation in accordance with Article 20  of Commission Regulation (EU) 2017/2195 establishing</vt:lpstr>
    </vt:vector>
  </TitlesOfParts>
  <Company>Svenska Kraftnät</Company>
  <LinksUpToDate>false</LinksUpToDate>
  <CharactersWithSpaces>81818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TSOs’ proposal for the implementation framework for a European platform for the exchange of balancing energy from frequency restoration reserves with manual activation in accordance with Article 20  of Commission Regulation (EU) 2017/2195 establishing</dc:title>
  <cp:revision>7</cp:revision>
  <cp:lastPrinted>2018-11-26T10:40:00Z</cp:lastPrinted>
  <dcterms:created xsi:type="dcterms:W3CDTF">2018-12-14T07:04:00Z</dcterms:created>
  <dcterms:modified xsi:type="dcterms:W3CDTF">2018-12-18T09:01:00Z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ContentTypeId">
    <vt:lpwstr>0x0101000F7A5AA713F11E4C8447F851B217553D</vt:lpwstr>
  </property>
  <property fmtid="{D5CDD505-2E9C-101B-9397-08002B2CF9AE}" pid="4" name="m21e1f176c4a4ad491d679d83442a8a3">
    <vt:lpwstr/>
  </property>
  <property fmtid="{D5CDD505-2E9C-101B-9397-08002B2CF9AE}" pid="5" name="b">
    <vt:lpwstr/>
  </property>
  <property fmtid="{D5CDD505-2E9C-101B-9397-08002B2CF9AE}" pid="6" name="Addo_DocID">
    <vt:lpwstr>df1358bb-33b6-4859-adaa-b8a43d90bcae</vt:lpwstr>
  </property>
  <property fmtid="{D5CDD505-2E9C-101B-9397-08002B2CF9AE}" pid="7" name="MSIP_Label_55b74f4c-7570-4ac9-8413-c450456f7dc6_Enabled">
    <vt:lpwstr>True</vt:lpwstr>
  </property>
  <property fmtid="{D5CDD505-2E9C-101B-9397-08002B2CF9AE}" pid="8" name="MSIP_Label_55b74f4c-7570-4ac9-8413-c450456f7dc6_SiteId">
    <vt:lpwstr>a8d61462-f252-44b2-bf6a-d7231960c041</vt:lpwstr>
  </property>
  <property fmtid="{D5CDD505-2E9C-101B-9397-08002B2CF9AE}" pid="9" name="MSIP_Label_55b74f4c-7570-4ac9-8413-c450456f7dc6_Owner">
    <vt:lpwstr>Martha.Oberg@statnett.no</vt:lpwstr>
  </property>
  <property fmtid="{D5CDD505-2E9C-101B-9397-08002B2CF9AE}" pid="10" name="MSIP_Label_55b74f4c-7570-4ac9-8413-c450456f7dc6_SetDate">
    <vt:lpwstr>2018-11-19T19:52:21.0540524Z</vt:lpwstr>
  </property>
  <property fmtid="{D5CDD505-2E9C-101B-9397-08002B2CF9AE}" pid="11" name="MSIP_Label_55b74f4c-7570-4ac9-8413-c450456f7dc6_Name">
    <vt:lpwstr>Statnett intern</vt:lpwstr>
  </property>
  <property fmtid="{D5CDD505-2E9C-101B-9397-08002B2CF9AE}" pid="12" name="MSIP_Label_55b74f4c-7570-4ac9-8413-c450456f7dc6_Application">
    <vt:lpwstr>Microsoft Azure Information Protection</vt:lpwstr>
  </property>
  <property fmtid="{D5CDD505-2E9C-101B-9397-08002B2CF9AE}" pid="13" name="MSIP_Label_55b74f4c-7570-4ac9-8413-c450456f7dc6_Extended_MSFT_Method">
    <vt:lpwstr>Manual</vt:lpwstr>
  </property>
  <property fmtid="{D5CDD505-2E9C-101B-9397-08002B2CF9AE}" pid="14" name="Sensitivity">
    <vt:lpwstr>Statnett intern</vt:lpwstr>
  </property>
</Properties>
</file>