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3296" w:rsidRPr="00D86A98" w:rsidRDefault="004A3296" w:rsidP="00894B9D">
      <w:pPr>
        <w:pStyle w:val="BodyText3"/>
        <w:spacing w:after="0" w:line="276" w:lineRule="auto"/>
        <w:jc w:val="both"/>
        <w:rPr>
          <w:rFonts w:ascii="Times New Roman" w:hAnsi="Times New Roman"/>
          <w:sz w:val="24"/>
          <w:szCs w:val="24"/>
        </w:rPr>
      </w:pPr>
    </w:p>
    <w:p w:rsidR="00C3208E" w:rsidRDefault="00C3208E" w:rsidP="00B111CE">
      <w:pPr>
        <w:spacing w:line="276" w:lineRule="auto"/>
        <w:jc w:val="center"/>
        <w:rPr>
          <w:rFonts w:eastAsia="Calibri"/>
          <w:lang w:eastAsia="en-US"/>
        </w:rPr>
      </w:pPr>
      <w:r>
        <w:rPr>
          <w:rFonts w:eastAsia="Calibri"/>
          <w:lang w:eastAsia="en-US"/>
        </w:rPr>
        <w:t>NOTĂ DE INFORMARE</w:t>
      </w:r>
    </w:p>
    <w:p w:rsidR="00B111CE" w:rsidRDefault="00B111CE" w:rsidP="00B111CE">
      <w:pPr>
        <w:spacing w:line="276" w:lineRule="auto"/>
        <w:jc w:val="center"/>
        <w:rPr>
          <w:rFonts w:eastAsia="Calibri"/>
          <w:lang w:eastAsia="en-US"/>
        </w:rPr>
      </w:pPr>
      <w:r>
        <w:t xml:space="preserve">Detalierea </w:t>
      </w:r>
      <w:r w:rsidRPr="003A2AD1">
        <w:t>modul</w:t>
      </w:r>
      <w:r>
        <w:t>ui</w:t>
      </w:r>
      <w:r w:rsidRPr="003A2AD1">
        <w:rPr>
          <w:noProof/>
          <w:color w:val="000000"/>
        </w:rPr>
        <w:t xml:space="preserve"> de calcul al cantităților de gaze naturale destinate consumului CC și PET</w:t>
      </w:r>
      <w:r w:rsidRPr="003A2AD1">
        <w:rPr>
          <w:i/>
          <w:noProof/>
          <w:color w:val="000000"/>
        </w:rPr>
        <w:t xml:space="preserve"> </w:t>
      </w:r>
      <w:r w:rsidRPr="003A2AD1">
        <w:rPr>
          <w:noProof/>
          <w:color w:val="000000"/>
        </w:rPr>
        <w:t>pentru perioada noiembrie 2022- martie 2023</w:t>
      </w:r>
    </w:p>
    <w:p w:rsidR="00B111CE" w:rsidRDefault="00B111CE" w:rsidP="00545324">
      <w:pPr>
        <w:spacing w:line="276" w:lineRule="auto"/>
        <w:ind w:firstLine="720"/>
        <w:jc w:val="both"/>
        <w:rPr>
          <w:rFonts w:eastAsia="Calibri"/>
          <w:lang w:eastAsia="en-US"/>
        </w:rPr>
      </w:pPr>
    </w:p>
    <w:p w:rsidR="00D86A98" w:rsidRPr="003A2AD1" w:rsidRDefault="00D86A98" w:rsidP="00545324">
      <w:pPr>
        <w:spacing w:line="276" w:lineRule="auto"/>
        <w:ind w:firstLine="720"/>
        <w:jc w:val="both"/>
        <w:rPr>
          <w:rFonts w:eastAsia="Calibri"/>
          <w:lang w:eastAsia="en-US"/>
        </w:rPr>
      </w:pPr>
      <w:r w:rsidRPr="003A2AD1">
        <w:rPr>
          <w:rFonts w:eastAsia="Calibri"/>
          <w:lang w:eastAsia="en-US"/>
        </w:rPr>
        <w:t xml:space="preserve">În conformitate cu </w:t>
      </w:r>
      <w:r w:rsidRPr="003A2AD1">
        <w:t xml:space="preserve">prevederile </w:t>
      </w:r>
      <w:r w:rsidRPr="003A2AD1">
        <w:rPr>
          <w:rFonts w:eastAsia="Calibri"/>
          <w:lang w:eastAsia="en-US"/>
        </w:rPr>
        <w:t>art.</w:t>
      </w:r>
      <w:r w:rsidR="00D31CB2">
        <w:rPr>
          <w:rFonts w:eastAsia="Calibri"/>
          <w:lang w:eastAsia="en-US"/>
        </w:rPr>
        <w:t xml:space="preserve"> </w:t>
      </w:r>
      <w:r w:rsidRPr="003A2AD1">
        <w:t>12</w:t>
      </w:r>
      <w:r w:rsidRPr="003A2AD1">
        <w:rPr>
          <w:rFonts w:eastAsia="Calibri"/>
          <w:lang w:eastAsia="en-US"/>
        </w:rPr>
        <w:t xml:space="preserve"> </w:t>
      </w:r>
      <w:r w:rsidRPr="003A2AD1">
        <w:t>alin. (1) și alin. (2) din</w:t>
      </w:r>
      <w:r w:rsidRPr="003A2AD1">
        <w:rPr>
          <w:rFonts w:eastAsia="Calibri"/>
          <w:lang w:eastAsia="en-US"/>
        </w:rPr>
        <w:t xml:space="preserve"> Ordonanț</w:t>
      </w:r>
      <w:r w:rsidRPr="003A2AD1">
        <w:t>a</w:t>
      </w:r>
      <w:r w:rsidRPr="003A2AD1">
        <w:rPr>
          <w:rFonts w:eastAsia="Calibri"/>
          <w:lang w:eastAsia="en-US"/>
        </w:rPr>
        <w:t xml:space="preserve"> de urgență a Guvernului nr.</w:t>
      </w:r>
      <w:r w:rsidR="00D31CB2">
        <w:rPr>
          <w:rFonts w:eastAsia="Calibri"/>
          <w:lang w:eastAsia="en-US"/>
        </w:rPr>
        <w:t xml:space="preserve"> </w:t>
      </w:r>
      <w:r w:rsidRPr="003A2AD1">
        <w:rPr>
          <w:rFonts w:eastAsia="Calibri"/>
          <w:lang w:eastAsia="en-US"/>
        </w:rPr>
        <w:t>27/2022 privind măsurile aplicabile clienților finali din piața de energie electrică și gaze naturale în perioada 1 aprilie 2022 – 31 martie 2023, precum și pentru modificarea și completarea unor acte normative</w:t>
      </w:r>
      <w:r w:rsidR="00A82DFB">
        <w:rPr>
          <w:rFonts w:eastAsia="Calibri"/>
          <w:lang w:eastAsia="en-US"/>
        </w:rPr>
        <w:t xml:space="preserve"> (</w:t>
      </w:r>
      <w:r w:rsidR="00A82DFB" w:rsidRPr="003A2AD1">
        <w:rPr>
          <w:iCs/>
          <w:noProof/>
        </w:rPr>
        <w:t>OUG nr. 27/2022</w:t>
      </w:r>
      <w:r w:rsidR="00A82DFB">
        <w:rPr>
          <w:iCs/>
          <w:noProof/>
        </w:rPr>
        <w:t>)</w:t>
      </w:r>
      <w:r w:rsidRPr="003A2AD1">
        <w:rPr>
          <w:rFonts w:eastAsia="Calibri"/>
          <w:lang w:eastAsia="en-US"/>
        </w:rPr>
        <w:t xml:space="preserve">, </w:t>
      </w:r>
    </w:p>
    <w:p w:rsidR="00D86A98" w:rsidRPr="003A2AD1" w:rsidRDefault="00D86A98" w:rsidP="00D86A98">
      <w:pPr>
        <w:spacing w:line="276" w:lineRule="auto"/>
        <w:jc w:val="both"/>
        <w:rPr>
          <w:i/>
          <w:lang w:eastAsia="en-US"/>
        </w:rPr>
      </w:pPr>
      <w:r w:rsidRPr="003A2AD1">
        <w:rPr>
          <w:b/>
          <w:i/>
        </w:rPr>
        <w:t>”Art. 12</w:t>
      </w:r>
      <w:r w:rsidRPr="003A2AD1">
        <w:rPr>
          <w:i/>
        </w:rPr>
        <w:t xml:space="preserve"> - (1) </w:t>
      </w:r>
      <w:bookmarkStart w:id="0" w:name="_Hlk98750733"/>
      <w:r w:rsidRPr="003A2AD1">
        <w:rPr>
          <w:i/>
        </w:rPr>
        <w:t>În perioada 1 aprilie 2022 – 31 martie 2023, producătorii de gaze naturale care desfăşoară atât activităţi de extracţie onshore și/sau offshore,</w:t>
      </w:r>
      <w:r w:rsidRPr="003A2AD1">
        <w:rPr>
          <w:i/>
          <w:color w:val="000000" w:themeColor="text1"/>
        </w:rPr>
        <w:t xml:space="preserve"> indiferent de data începerii acestei activități,</w:t>
      </w:r>
      <w:r w:rsidRPr="003A2AD1">
        <w:rPr>
          <w:i/>
        </w:rPr>
        <w:t xml:space="preserve"> cât şi activităţi de vânzare a gazelor naturale, au obligaţia să vândă, cu preţul de 150 lei/MWh, cantităţile necesare de gaze naturale rezultate din activitatea de producţie internă curentă, către furnizorii clienţilor casnici pentru a asigura, în perioada 1 aprilie 2022 – 31 martie 2023, necesarul de consum al clienților casnici din producţia curentă şi din depozitele de înmagazinare subterană a gazelor naturale</w:t>
      </w:r>
      <w:r w:rsidRPr="003A2AD1">
        <w:rPr>
          <w:i/>
          <w:color w:val="000000" w:themeColor="text1"/>
        </w:rPr>
        <w:t xml:space="preserve"> stabilit conform Anexei</w:t>
      </w:r>
      <w:bookmarkEnd w:id="0"/>
      <w:r w:rsidRPr="003A2AD1">
        <w:rPr>
          <w:i/>
          <w:color w:val="000000" w:themeColor="text1"/>
        </w:rPr>
        <w:t xml:space="preserve"> nr. 5</w:t>
      </w:r>
      <w:r w:rsidRPr="003A2AD1">
        <w:rPr>
          <w:i/>
        </w:rPr>
        <w:t>.</w:t>
      </w:r>
    </w:p>
    <w:p w:rsidR="00D86A98" w:rsidRPr="003A2AD1" w:rsidRDefault="00D86A98" w:rsidP="00D86A98">
      <w:pPr>
        <w:spacing w:line="276" w:lineRule="auto"/>
        <w:jc w:val="both"/>
        <w:rPr>
          <w:i/>
        </w:rPr>
      </w:pPr>
      <w:r w:rsidRPr="003A2AD1">
        <w:rPr>
          <w:i/>
        </w:rPr>
        <w:t xml:space="preserve">(2) </w:t>
      </w:r>
      <w:bookmarkStart w:id="1" w:name="_Hlk98750799"/>
      <w:r w:rsidRPr="003A2AD1">
        <w:rPr>
          <w:i/>
        </w:rPr>
        <w:t xml:space="preserve">În perioada 1 aprilie 2022 – 31 martie 2023, producătorii de gaze naturale care desfăşoară atât activităţi de extracţie onshore și/sau offshore, </w:t>
      </w:r>
      <w:r w:rsidRPr="003A2AD1">
        <w:rPr>
          <w:i/>
          <w:color w:val="000000" w:themeColor="text1"/>
        </w:rPr>
        <w:t xml:space="preserve">indiferent de data începerii acestei activități, </w:t>
      </w:r>
      <w:r w:rsidRPr="003A2AD1">
        <w:rPr>
          <w:i/>
        </w:rPr>
        <w:t xml:space="preserve">cât şi activităţi de vânzare a gazelor naturale, au obligaţia să vândă, cu preţul de 250 lei/MWh, cantităţile necesare de gaze naturale rezultate din activitatea de producţie internă curentă, către furnizorii </w:t>
      </w:r>
      <w:bookmarkStart w:id="2" w:name="_Hlk98750950"/>
      <w:r w:rsidRPr="003A2AD1">
        <w:rPr>
          <w:i/>
        </w:rPr>
        <w:t>producătorilor de energie termică sau direct către producătorii de energie termică, dupa caz</w:t>
      </w:r>
      <w:bookmarkStart w:id="3" w:name="_Hlk98750420"/>
      <w:r w:rsidRPr="003A2AD1">
        <w:rPr>
          <w:i/>
        </w:rPr>
        <w:t>, numai pentru cantitatea de gaze naturale utilizată la producerea de energie termică în centralele de cogenerare şi în centralele termice destinată consumului populaţiei (PET), pentru a asigura, în perioada 1 noiembrie 2022 – 31 martie 2023</w:t>
      </w:r>
      <w:bookmarkEnd w:id="2"/>
      <w:r w:rsidRPr="003A2AD1">
        <w:rPr>
          <w:i/>
        </w:rPr>
        <w:t>, necesarul de consum al acestor clienți din producţia curentă şi din depozitele de înmagazinare subterană a gazelor naturale</w:t>
      </w:r>
      <w:r w:rsidRPr="003A2AD1">
        <w:rPr>
          <w:i/>
          <w:color w:val="000000" w:themeColor="text1"/>
        </w:rPr>
        <w:t xml:space="preserve"> stabilit conform Anexei </w:t>
      </w:r>
      <w:bookmarkEnd w:id="1"/>
      <w:r w:rsidRPr="003A2AD1">
        <w:rPr>
          <w:i/>
          <w:color w:val="000000" w:themeColor="text1"/>
        </w:rPr>
        <w:t>nr. 5</w:t>
      </w:r>
      <w:bookmarkEnd w:id="3"/>
      <w:r w:rsidRPr="003A2AD1">
        <w:rPr>
          <w:i/>
        </w:rPr>
        <w:t>.”</w:t>
      </w:r>
    </w:p>
    <w:p w:rsidR="00D86A98" w:rsidRPr="003A2AD1" w:rsidRDefault="00545324" w:rsidP="00E63643">
      <w:pPr>
        <w:pStyle w:val="BodyText3"/>
        <w:spacing w:after="0" w:line="276" w:lineRule="auto"/>
        <w:ind w:firstLine="720"/>
        <w:jc w:val="both"/>
        <w:rPr>
          <w:rFonts w:ascii="Times New Roman" w:hAnsi="Times New Roman"/>
          <w:sz w:val="24"/>
          <w:szCs w:val="24"/>
        </w:rPr>
      </w:pPr>
      <w:r w:rsidRPr="003A2AD1">
        <w:rPr>
          <w:rFonts w:ascii="Times New Roman" w:hAnsi="Times New Roman"/>
          <w:iCs/>
          <w:noProof/>
          <w:sz w:val="24"/>
          <w:szCs w:val="24"/>
        </w:rPr>
        <w:t>Producătorii de gaze naturale, furnizorii</w:t>
      </w:r>
      <w:r w:rsidR="00E63643" w:rsidRPr="003A2AD1">
        <w:rPr>
          <w:rFonts w:ascii="Times New Roman" w:hAnsi="Times New Roman"/>
          <w:iCs/>
          <w:noProof/>
          <w:sz w:val="24"/>
          <w:szCs w:val="24"/>
        </w:rPr>
        <w:t xml:space="preserve"> clienților casnici (CC) și producătorilor de energie termică destinată consumului populației (PET) și/sau</w:t>
      </w:r>
      <w:r w:rsidRPr="003A2AD1">
        <w:rPr>
          <w:rFonts w:ascii="Times New Roman" w:hAnsi="Times New Roman"/>
          <w:iCs/>
          <w:noProof/>
          <w:sz w:val="24"/>
          <w:szCs w:val="24"/>
        </w:rPr>
        <w:t xml:space="preserve"> producătorii de energie termică care au optat pentru achiziția </w:t>
      </w:r>
      <w:r w:rsidR="00E63643" w:rsidRPr="003A2AD1">
        <w:rPr>
          <w:rFonts w:ascii="Times New Roman" w:hAnsi="Times New Roman"/>
          <w:iCs/>
          <w:noProof/>
          <w:sz w:val="24"/>
          <w:szCs w:val="24"/>
        </w:rPr>
        <w:t xml:space="preserve">gazelor naturale </w:t>
      </w:r>
      <w:r w:rsidRPr="003A2AD1">
        <w:rPr>
          <w:rFonts w:ascii="Times New Roman" w:hAnsi="Times New Roman"/>
          <w:iCs/>
          <w:noProof/>
          <w:sz w:val="24"/>
          <w:szCs w:val="24"/>
        </w:rPr>
        <w:t xml:space="preserve">direct de la producător (PET client direct), au obligaţia de a transmite operatorului de transport și sistem (OTS), </w:t>
      </w:r>
      <w:r w:rsidR="00B5370D">
        <w:rPr>
          <w:rFonts w:ascii="Times New Roman" w:hAnsi="Times New Roman"/>
          <w:iCs/>
          <w:noProof/>
          <w:sz w:val="24"/>
          <w:szCs w:val="24"/>
        </w:rPr>
        <w:t xml:space="preserve">în termen de două zile lucrătoare de la publicarea OUG, </w:t>
      </w:r>
      <w:r w:rsidRPr="003A2AD1">
        <w:rPr>
          <w:rFonts w:ascii="Times New Roman" w:hAnsi="Times New Roman"/>
          <w:iCs/>
          <w:noProof/>
          <w:sz w:val="24"/>
          <w:szCs w:val="24"/>
        </w:rPr>
        <w:t xml:space="preserve">o serie de informații conform celor precizate în cadrul Anexei nr. 5 la OUG </w:t>
      </w:r>
      <w:r w:rsidR="00E63643" w:rsidRPr="003A2AD1">
        <w:rPr>
          <w:rFonts w:ascii="Times New Roman" w:hAnsi="Times New Roman"/>
          <w:iCs/>
          <w:noProof/>
          <w:sz w:val="24"/>
          <w:szCs w:val="24"/>
        </w:rPr>
        <w:t>nr. 27/2022</w:t>
      </w:r>
      <w:r w:rsidR="00A82DFB">
        <w:rPr>
          <w:rFonts w:ascii="Times New Roman" w:hAnsi="Times New Roman"/>
          <w:iCs/>
          <w:noProof/>
          <w:sz w:val="24"/>
          <w:szCs w:val="24"/>
        </w:rPr>
        <w:t>,</w:t>
      </w:r>
      <w:r w:rsidR="00E63643" w:rsidRPr="003A2AD1">
        <w:rPr>
          <w:rFonts w:ascii="Times New Roman" w:hAnsi="Times New Roman"/>
          <w:iCs/>
          <w:noProof/>
          <w:sz w:val="24"/>
          <w:szCs w:val="24"/>
        </w:rPr>
        <w:t xml:space="preserve"> </w:t>
      </w:r>
      <w:r w:rsidRPr="003A2AD1">
        <w:rPr>
          <w:rFonts w:ascii="Times New Roman" w:hAnsi="Times New Roman"/>
          <w:iCs/>
          <w:noProof/>
          <w:sz w:val="24"/>
          <w:szCs w:val="24"/>
        </w:rPr>
        <w:t xml:space="preserve">urmând ca </w:t>
      </w:r>
      <w:r w:rsidR="00B5370D">
        <w:rPr>
          <w:rFonts w:ascii="Times New Roman" w:hAnsi="Times New Roman"/>
          <w:iCs/>
          <w:noProof/>
          <w:sz w:val="24"/>
          <w:szCs w:val="24"/>
        </w:rPr>
        <w:t xml:space="preserve">în termen de trei zile lucrătoare de la primirea completă a informațiilor </w:t>
      </w:r>
      <w:r w:rsidRPr="003A2AD1">
        <w:rPr>
          <w:rFonts w:ascii="Times New Roman" w:hAnsi="Times New Roman"/>
          <w:iCs/>
          <w:noProof/>
          <w:sz w:val="24"/>
          <w:szCs w:val="24"/>
        </w:rPr>
        <w:t xml:space="preserve">OTS să calculeze și să transmită furnizorilor </w:t>
      </w:r>
      <w:r w:rsidR="00E63643" w:rsidRPr="003A2AD1">
        <w:rPr>
          <w:rFonts w:ascii="Times New Roman" w:hAnsi="Times New Roman"/>
          <w:iCs/>
          <w:noProof/>
          <w:sz w:val="24"/>
          <w:szCs w:val="24"/>
        </w:rPr>
        <w:t>CC și PET sau PET client direct cantitățile de gaze naturale ce fac obiectul prevederilor art. 12 din OUG nr. 27/2022.</w:t>
      </w:r>
    </w:p>
    <w:p w:rsidR="00D86A98" w:rsidRPr="003A2AD1" w:rsidRDefault="00E63643" w:rsidP="00894B9D">
      <w:pPr>
        <w:pStyle w:val="BodyText3"/>
        <w:spacing w:after="0" w:line="276" w:lineRule="auto"/>
        <w:jc w:val="both"/>
        <w:rPr>
          <w:rFonts w:ascii="Times New Roman" w:hAnsi="Times New Roman"/>
          <w:noProof/>
          <w:color w:val="000000"/>
          <w:sz w:val="24"/>
          <w:szCs w:val="24"/>
        </w:rPr>
      </w:pPr>
      <w:r w:rsidRPr="003A2AD1">
        <w:rPr>
          <w:rFonts w:ascii="Times New Roman" w:hAnsi="Times New Roman"/>
          <w:sz w:val="24"/>
          <w:szCs w:val="24"/>
        </w:rPr>
        <w:tab/>
        <w:t>Prin prezenta</w:t>
      </w:r>
      <w:r w:rsidR="00B5370D">
        <w:rPr>
          <w:rFonts w:ascii="Times New Roman" w:hAnsi="Times New Roman"/>
          <w:sz w:val="24"/>
          <w:szCs w:val="24"/>
        </w:rPr>
        <w:t>,</w:t>
      </w:r>
      <w:r w:rsidRPr="003A2AD1">
        <w:rPr>
          <w:rFonts w:ascii="Times New Roman" w:hAnsi="Times New Roman"/>
          <w:sz w:val="24"/>
          <w:szCs w:val="24"/>
        </w:rPr>
        <w:t xml:space="preserve"> detaliem </w:t>
      </w:r>
      <w:r w:rsidR="003A2AD1" w:rsidRPr="003A2AD1">
        <w:rPr>
          <w:rFonts w:ascii="Times New Roman" w:hAnsi="Times New Roman"/>
          <w:sz w:val="24"/>
          <w:szCs w:val="24"/>
        </w:rPr>
        <w:t>modul</w:t>
      </w:r>
      <w:r w:rsidR="003A2AD1" w:rsidRPr="003A2AD1">
        <w:rPr>
          <w:rFonts w:ascii="Times New Roman" w:hAnsi="Times New Roman"/>
          <w:noProof/>
          <w:color w:val="000000"/>
          <w:sz w:val="24"/>
          <w:szCs w:val="24"/>
        </w:rPr>
        <w:t xml:space="preserve"> de </w:t>
      </w:r>
      <w:bookmarkStart w:id="4" w:name="_Hlk98749867"/>
      <w:r w:rsidR="003A2AD1" w:rsidRPr="003A2AD1">
        <w:rPr>
          <w:rFonts w:ascii="Times New Roman" w:hAnsi="Times New Roman"/>
          <w:noProof/>
          <w:color w:val="000000"/>
          <w:sz w:val="24"/>
          <w:szCs w:val="24"/>
        </w:rPr>
        <w:t>calcul al cantităților de gaze naturale destinate consumului CC și PET</w:t>
      </w:r>
      <w:r w:rsidR="003A2AD1" w:rsidRPr="003A2AD1">
        <w:rPr>
          <w:rFonts w:ascii="Times New Roman" w:hAnsi="Times New Roman"/>
          <w:i/>
          <w:noProof/>
          <w:color w:val="000000"/>
          <w:sz w:val="24"/>
          <w:szCs w:val="24"/>
        </w:rPr>
        <w:t xml:space="preserve"> </w:t>
      </w:r>
      <w:r w:rsidR="003A2AD1" w:rsidRPr="003A2AD1">
        <w:rPr>
          <w:rFonts w:ascii="Times New Roman" w:hAnsi="Times New Roman"/>
          <w:noProof/>
          <w:color w:val="000000"/>
          <w:sz w:val="24"/>
          <w:szCs w:val="24"/>
        </w:rPr>
        <w:t>pentru perioada noiembrie 2022- martie 2023</w:t>
      </w:r>
      <w:bookmarkEnd w:id="4"/>
      <w:r w:rsidR="003A2AD1" w:rsidRPr="003A2AD1">
        <w:rPr>
          <w:rFonts w:ascii="Times New Roman" w:hAnsi="Times New Roman"/>
          <w:noProof/>
          <w:color w:val="000000"/>
          <w:sz w:val="24"/>
          <w:szCs w:val="24"/>
        </w:rPr>
        <w:t>:</w:t>
      </w:r>
    </w:p>
    <w:p w:rsidR="003A2AD1" w:rsidRPr="003A2AD1" w:rsidRDefault="003A2AD1" w:rsidP="003A2AD1">
      <w:pPr>
        <w:pStyle w:val="ListParagraph"/>
        <w:numPr>
          <w:ilvl w:val="0"/>
          <w:numId w:val="7"/>
        </w:numPr>
        <w:spacing w:after="0" w:line="276" w:lineRule="auto"/>
        <w:jc w:val="both"/>
        <w:rPr>
          <w:rFonts w:ascii="Times New Roman" w:hAnsi="Times New Roman" w:cs="Times New Roman"/>
          <w:iCs/>
          <w:sz w:val="24"/>
          <w:szCs w:val="24"/>
        </w:rPr>
      </w:pPr>
      <w:r w:rsidRPr="003A2AD1">
        <w:rPr>
          <w:rFonts w:ascii="Times New Roman" w:hAnsi="Times New Roman" w:cs="Times New Roman"/>
          <w:iCs/>
          <w:sz w:val="24"/>
          <w:szCs w:val="24"/>
        </w:rPr>
        <w:t>Cantităţile de gaze naturale din producţia internă pe care producătorii au obligaţia de a le vinde furnizorilor CC şi ai PET</w:t>
      </w:r>
      <w:r w:rsidR="00A82DFB">
        <w:rPr>
          <w:rFonts w:ascii="Times New Roman" w:hAnsi="Times New Roman" w:cs="Times New Roman"/>
          <w:iCs/>
          <w:sz w:val="24"/>
          <w:szCs w:val="24"/>
        </w:rPr>
        <w:t xml:space="preserve"> și PET client direct</w:t>
      </w:r>
      <w:r w:rsidRPr="003A2AD1">
        <w:rPr>
          <w:rFonts w:ascii="Times New Roman" w:hAnsi="Times New Roman" w:cs="Times New Roman"/>
          <w:iCs/>
          <w:sz w:val="24"/>
          <w:szCs w:val="24"/>
        </w:rPr>
        <w:t xml:space="preserve"> se stabilesc distinct pentru următoarele perioade:</w:t>
      </w:r>
    </w:p>
    <w:p w:rsidR="003A2AD1" w:rsidRPr="003A2AD1" w:rsidRDefault="003A2AD1" w:rsidP="003A2AD1">
      <w:pPr>
        <w:spacing w:line="276" w:lineRule="auto"/>
        <w:ind w:left="720"/>
        <w:jc w:val="both"/>
        <w:rPr>
          <w:iCs/>
          <w:color w:val="000000" w:themeColor="text1"/>
        </w:rPr>
      </w:pPr>
      <w:r w:rsidRPr="003A2AD1">
        <w:rPr>
          <w:iCs/>
          <w:color w:val="000000" w:themeColor="text1"/>
        </w:rPr>
        <w:t>a) 01 aprilie 2022-31 octombrie 2022, cantitățile de gaze naturale destinate constituirii stocului minim de gaze naturale pentru consumul CC și PET precum și cantitățile necesare consumului lunar al CC;</w:t>
      </w:r>
    </w:p>
    <w:p w:rsidR="003A2AD1" w:rsidRPr="003A2AD1" w:rsidRDefault="003A2AD1" w:rsidP="003A2AD1">
      <w:pPr>
        <w:pStyle w:val="BodyText3"/>
        <w:spacing w:after="0" w:line="276" w:lineRule="auto"/>
        <w:ind w:left="720"/>
        <w:jc w:val="both"/>
        <w:rPr>
          <w:rFonts w:ascii="Times New Roman" w:hAnsi="Times New Roman"/>
          <w:iCs/>
          <w:color w:val="000000" w:themeColor="text1"/>
          <w:sz w:val="24"/>
          <w:szCs w:val="24"/>
        </w:rPr>
      </w:pPr>
      <w:r w:rsidRPr="003A2AD1">
        <w:rPr>
          <w:rFonts w:ascii="Times New Roman" w:hAnsi="Times New Roman"/>
          <w:iCs/>
          <w:color w:val="000000" w:themeColor="text1"/>
          <w:sz w:val="24"/>
          <w:szCs w:val="24"/>
        </w:rPr>
        <w:lastRenderedPageBreak/>
        <w:t>b) 01 noiembrie 2022-31 martie 2023, cantitățile de gaze naturale destinate consumului CC și PET</w:t>
      </w:r>
      <w:r w:rsidR="00A82DFB">
        <w:rPr>
          <w:rFonts w:ascii="Times New Roman" w:hAnsi="Times New Roman"/>
          <w:iCs/>
          <w:color w:val="000000" w:themeColor="text1"/>
          <w:sz w:val="24"/>
          <w:szCs w:val="24"/>
        </w:rPr>
        <w:t>.</w:t>
      </w:r>
    </w:p>
    <w:p w:rsidR="003A2AD1" w:rsidRPr="003A2AD1" w:rsidRDefault="003A2AD1" w:rsidP="003A2AD1">
      <w:pPr>
        <w:pStyle w:val="ListParagraph"/>
        <w:numPr>
          <w:ilvl w:val="0"/>
          <w:numId w:val="7"/>
        </w:numPr>
        <w:spacing w:after="0" w:line="276" w:lineRule="auto"/>
        <w:jc w:val="both"/>
        <w:rPr>
          <w:rFonts w:ascii="Times New Roman" w:hAnsi="Times New Roman" w:cs="Times New Roman"/>
          <w:sz w:val="24"/>
          <w:szCs w:val="24"/>
        </w:rPr>
      </w:pPr>
      <w:r w:rsidRPr="003A2AD1">
        <w:rPr>
          <w:rFonts w:ascii="Times New Roman" w:hAnsi="Times New Roman" w:cs="Times New Roman"/>
          <w:iCs/>
          <w:sz w:val="24"/>
          <w:szCs w:val="24"/>
        </w:rPr>
        <w:t xml:space="preserve">Pentru stabilirea cantităţilor de gaze naturale precizate la punctul 1, producătorii, furnizorii și PET client direct, au obligaţia de a transmite OTS, în termen de două zile lucrătoare de la publicarea OUG </w:t>
      </w:r>
      <w:r w:rsidR="00F02C15">
        <w:rPr>
          <w:rFonts w:ascii="Times New Roman" w:hAnsi="Times New Roman" w:cs="Times New Roman"/>
          <w:iCs/>
          <w:sz w:val="24"/>
          <w:szCs w:val="24"/>
        </w:rPr>
        <w:t xml:space="preserve">nr. </w:t>
      </w:r>
      <w:r w:rsidRPr="003A2AD1">
        <w:rPr>
          <w:rFonts w:ascii="Times New Roman" w:hAnsi="Times New Roman" w:cs="Times New Roman"/>
          <w:iCs/>
          <w:sz w:val="24"/>
          <w:szCs w:val="24"/>
        </w:rPr>
        <w:t>27/2022</w:t>
      </w:r>
      <w:r w:rsidR="00A82DFB">
        <w:rPr>
          <w:rFonts w:ascii="Times New Roman" w:hAnsi="Times New Roman" w:cs="Times New Roman"/>
          <w:iCs/>
          <w:sz w:val="24"/>
          <w:szCs w:val="24"/>
        </w:rPr>
        <w:t>,</w:t>
      </w:r>
      <w:r w:rsidRPr="003A2AD1">
        <w:rPr>
          <w:rFonts w:ascii="Times New Roman" w:hAnsi="Times New Roman" w:cs="Times New Roman"/>
          <w:iCs/>
          <w:sz w:val="24"/>
          <w:szCs w:val="24"/>
        </w:rPr>
        <w:t xml:space="preserve"> informațiile prevăzute la punctul 2 din Anexa nr. 5.</w:t>
      </w:r>
    </w:p>
    <w:p w:rsidR="003A2AD1" w:rsidRPr="003A2AD1" w:rsidRDefault="003A2AD1" w:rsidP="003A2AD1">
      <w:pPr>
        <w:pStyle w:val="ListParagraph"/>
        <w:numPr>
          <w:ilvl w:val="0"/>
          <w:numId w:val="7"/>
        </w:numPr>
        <w:spacing w:after="0" w:line="276" w:lineRule="auto"/>
        <w:jc w:val="both"/>
        <w:rPr>
          <w:rFonts w:ascii="Times New Roman" w:hAnsi="Times New Roman" w:cs="Times New Roman"/>
          <w:sz w:val="24"/>
          <w:szCs w:val="24"/>
        </w:rPr>
      </w:pPr>
      <w:r w:rsidRPr="003A2AD1">
        <w:rPr>
          <w:rFonts w:ascii="Times New Roman" w:hAnsi="Times New Roman" w:cs="Times New Roman"/>
          <w:iCs/>
          <w:sz w:val="24"/>
          <w:szCs w:val="24"/>
        </w:rPr>
        <w:t>Cantităţile de gaze naturale din producţia internă curentă rămase disponibile fiecărui producător, cu livrare în perioada 01 aprilie 2022-31 martie 2023</w:t>
      </w:r>
      <w:r w:rsidR="00A82DFB">
        <w:rPr>
          <w:rFonts w:ascii="Times New Roman" w:hAnsi="Times New Roman" w:cs="Times New Roman"/>
          <w:iCs/>
          <w:sz w:val="24"/>
          <w:szCs w:val="24"/>
        </w:rPr>
        <w:t>,</w:t>
      </w:r>
      <w:r w:rsidRPr="003A2AD1">
        <w:rPr>
          <w:rFonts w:ascii="Times New Roman" w:hAnsi="Times New Roman" w:cs="Times New Roman"/>
          <w:iCs/>
          <w:sz w:val="24"/>
          <w:szCs w:val="24"/>
        </w:rPr>
        <w:t xml:space="preserve"> se stabilesc ca diferența dintre cantitățile de gaze naturale estimate a fi produse de fiecare producător</w:t>
      </w:r>
      <w:r w:rsidR="00A82DFB">
        <w:rPr>
          <w:rFonts w:ascii="Times New Roman" w:hAnsi="Times New Roman" w:cs="Times New Roman"/>
          <w:iCs/>
          <w:sz w:val="24"/>
          <w:szCs w:val="24"/>
        </w:rPr>
        <w:t xml:space="preserve"> și</w:t>
      </w:r>
      <w:r w:rsidRPr="003A2AD1">
        <w:rPr>
          <w:rFonts w:ascii="Times New Roman" w:hAnsi="Times New Roman" w:cs="Times New Roman"/>
          <w:iCs/>
          <w:sz w:val="24"/>
          <w:szCs w:val="24"/>
        </w:rPr>
        <w:t xml:space="preserve"> cantităţile de gaze naturale destinate consumurilor tehnologice specifice operaţiunilor petroliere, consumul propriu şi cantităţile de gaze naturale reinjectate în zăcăminte, în scop tehnologic, exceptate de la plata redevenţei în condiţiile legii, în perioada respectivă</w:t>
      </w:r>
      <w:r w:rsidR="00A82DFB">
        <w:rPr>
          <w:rFonts w:ascii="Times New Roman" w:hAnsi="Times New Roman" w:cs="Times New Roman"/>
          <w:iCs/>
          <w:sz w:val="24"/>
          <w:szCs w:val="24"/>
        </w:rPr>
        <w:t>,</w:t>
      </w:r>
      <w:r w:rsidRPr="003A2AD1">
        <w:rPr>
          <w:rFonts w:ascii="Times New Roman" w:hAnsi="Times New Roman" w:cs="Times New Roman"/>
          <w:iCs/>
          <w:sz w:val="24"/>
          <w:szCs w:val="24"/>
        </w:rPr>
        <w:t xml:space="preserve"> precum și cantitățile de gaze naturale din producţia internă curentă contractată pentru vânzare de către fiecare producător anterior intrării în vigoare a OUG</w:t>
      </w:r>
      <w:r w:rsidR="00F02C15">
        <w:rPr>
          <w:rFonts w:ascii="Times New Roman" w:hAnsi="Times New Roman" w:cs="Times New Roman"/>
          <w:iCs/>
          <w:sz w:val="24"/>
          <w:szCs w:val="24"/>
        </w:rPr>
        <w:t xml:space="preserve"> nr. 27/2022</w:t>
      </w:r>
      <w:r w:rsidRPr="003A2AD1">
        <w:rPr>
          <w:rFonts w:ascii="Times New Roman" w:hAnsi="Times New Roman" w:cs="Times New Roman"/>
          <w:iCs/>
          <w:sz w:val="24"/>
          <w:szCs w:val="24"/>
        </w:rPr>
        <w:t>, cu livrare în perioada respectivă.</w:t>
      </w:r>
    </w:p>
    <w:p w:rsidR="003A2AD1" w:rsidRPr="003A2AD1" w:rsidRDefault="00ED7A24" w:rsidP="00367E61">
      <w:pPr>
        <w:pStyle w:val="ListParagraph"/>
        <w:numPr>
          <w:ilvl w:val="0"/>
          <w:numId w:val="7"/>
        </w:numP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Î</w:t>
      </w:r>
      <w:r w:rsidR="003A2AD1" w:rsidRPr="003A2AD1">
        <w:rPr>
          <w:rFonts w:ascii="Times New Roman" w:eastAsia="Times New Roman" w:hAnsi="Times New Roman" w:cs="Times New Roman"/>
          <w:color w:val="000000"/>
          <w:sz w:val="24"/>
          <w:szCs w:val="24"/>
        </w:rPr>
        <w:t>n situatia in care cantitatea total</w:t>
      </w:r>
      <w:r w:rsidR="00A82DFB">
        <w:rPr>
          <w:rFonts w:ascii="Times New Roman" w:eastAsia="Times New Roman" w:hAnsi="Times New Roman" w:cs="Times New Roman"/>
          <w:color w:val="000000"/>
          <w:sz w:val="24"/>
          <w:szCs w:val="24"/>
        </w:rPr>
        <w:t>ă</w:t>
      </w:r>
      <w:r w:rsidR="003A2AD1" w:rsidRPr="003A2AD1">
        <w:rPr>
          <w:rFonts w:ascii="Times New Roman" w:eastAsia="Times New Roman" w:hAnsi="Times New Roman" w:cs="Times New Roman"/>
          <w:color w:val="000000"/>
          <w:sz w:val="24"/>
          <w:szCs w:val="24"/>
        </w:rPr>
        <w:t xml:space="preserve"> de gaze naturale determinată în conformitate cu formulele </w:t>
      </w:r>
      <w:r w:rsidR="00F02C15">
        <w:rPr>
          <w:rFonts w:ascii="Times New Roman" w:eastAsia="Times New Roman" w:hAnsi="Times New Roman" w:cs="Times New Roman"/>
          <w:color w:val="000000"/>
          <w:sz w:val="24"/>
          <w:szCs w:val="24"/>
        </w:rPr>
        <w:t xml:space="preserve">prevăzute </w:t>
      </w:r>
      <w:r w:rsidR="003A2AD1" w:rsidRPr="003A2AD1">
        <w:rPr>
          <w:rFonts w:ascii="Times New Roman" w:eastAsia="Times New Roman" w:hAnsi="Times New Roman" w:cs="Times New Roman"/>
          <w:color w:val="000000"/>
          <w:sz w:val="24"/>
          <w:szCs w:val="24"/>
        </w:rPr>
        <w:t>la p</w:t>
      </w:r>
      <w:r w:rsidR="00F02C15">
        <w:rPr>
          <w:rFonts w:ascii="Times New Roman" w:eastAsia="Times New Roman" w:hAnsi="Times New Roman" w:cs="Times New Roman"/>
          <w:color w:val="000000"/>
          <w:sz w:val="24"/>
          <w:szCs w:val="24"/>
        </w:rPr>
        <w:t>ct.</w:t>
      </w:r>
      <w:r w:rsidR="003A2AD1" w:rsidRPr="003A2AD1">
        <w:rPr>
          <w:rFonts w:ascii="Times New Roman" w:eastAsia="Times New Roman" w:hAnsi="Times New Roman" w:cs="Times New Roman"/>
          <w:color w:val="000000"/>
          <w:sz w:val="24"/>
          <w:szCs w:val="24"/>
        </w:rPr>
        <w:t xml:space="preserve"> 6 lit</w:t>
      </w:r>
      <w:r w:rsidR="00F02C15">
        <w:rPr>
          <w:rFonts w:ascii="Times New Roman" w:eastAsia="Times New Roman" w:hAnsi="Times New Roman" w:cs="Times New Roman"/>
          <w:color w:val="000000"/>
          <w:sz w:val="24"/>
          <w:szCs w:val="24"/>
        </w:rPr>
        <w:t xml:space="preserve">. </w:t>
      </w:r>
      <w:r w:rsidR="003A2AD1" w:rsidRPr="003A2AD1">
        <w:rPr>
          <w:rFonts w:ascii="Times New Roman" w:eastAsia="Times New Roman" w:hAnsi="Times New Roman" w:cs="Times New Roman"/>
          <w:color w:val="000000"/>
          <w:sz w:val="24"/>
          <w:szCs w:val="24"/>
        </w:rPr>
        <w:t xml:space="preserve">b) și c) din Anexa nr. 5 </w:t>
      </w:r>
      <w:r w:rsidR="00A82DFB">
        <w:rPr>
          <w:rFonts w:ascii="Times New Roman" w:eastAsia="Times New Roman" w:hAnsi="Times New Roman" w:cs="Times New Roman"/>
          <w:color w:val="000000"/>
          <w:sz w:val="24"/>
          <w:szCs w:val="24"/>
        </w:rPr>
        <w:t xml:space="preserve">la OUG nr. 27/2022 </w:t>
      </w:r>
      <w:r w:rsidR="003A2AD1" w:rsidRPr="003A2AD1">
        <w:rPr>
          <w:rFonts w:ascii="Times New Roman" w:eastAsia="Times New Roman" w:hAnsi="Times New Roman" w:cs="Times New Roman"/>
          <w:color w:val="000000"/>
          <w:sz w:val="24"/>
          <w:szCs w:val="24"/>
        </w:rPr>
        <w:t>este mai mic</w:t>
      </w:r>
      <w:r w:rsidR="00A82DFB">
        <w:rPr>
          <w:rFonts w:ascii="Times New Roman" w:eastAsia="Times New Roman" w:hAnsi="Times New Roman" w:cs="Times New Roman"/>
          <w:color w:val="000000"/>
          <w:sz w:val="24"/>
          <w:szCs w:val="24"/>
        </w:rPr>
        <w:t>ă</w:t>
      </w:r>
      <w:r w:rsidR="003A2AD1" w:rsidRPr="003A2AD1">
        <w:rPr>
          <w:rFonts w:ascii="Times New Roman" w:eastAsia="Times New Roman" w:hAnsi="Times New Roman" w:cs="Times New Roman"/>
          <w:color w:val="000000"/>
          <w:sz w:val="24"/>
          <w:szCs w:val="24"/>
        </w:rPr>
        <w:t xml:space="preserve"> decat totalul produc</w:t>
      </w:r>
      <w:r w:rsidR="00A82DFB">
        <w:rPr>
          <w:rFonts w:ascii="Times New Roman" w:eastAsia="Times New Roman" w:hAnsi="Times New Roman" w:cs="Times New Roman"/>
          <w:color w:val="000000"/>
          <w:sz w:val="24"/>
          <w:szCs w:val="24"/>
        </w:rPr>
        <w:t>ț</w:t>
      </w:r>
      <w:r w:rsidR="003A2AD1" w:rsidRPr="003A2AD1">
        <w:rPr>
          <w:rFonts w:ascii="Times New Roman" w:eastAsia="Times New Roman" w:hAnsi="Times New Roman" w:cs="Times New Roman"/>
          <w:color w:val="000000"/>
          <w:sz w:val="24"/>
          <w:szCs w:val="24"/>
        </w:rPr>
        <w:t>iei disponibile a producatorilor, pentru perioada respectivă, obliga</w:t>
      </w:r>
      <w:r w:rsidR="00A82DFB">
        <w:rPr>
          <w:rFonts w:ascii="Times New Roman" w:eastAsia="Times New Roman" w:hAnsi="Times New Roman" w:cs="Times New Roman"/>
          <w:color w:val="000000"/>
          <w:sz w:val="24"/>
          <w:szCs w:val="24"/>
        </w:rPr>
        <w:t>ț</w:t>
      </w:r>
      <w:r w:rsidR="003A2AD1" w:rsidRPr="003A2AD1">
        <w:rPr>
          <w:rFonts w:ascii="Times New Roman" w:eastAsia="Times New Roman" w:hAnsi="Times New Roman" w:cs="Times New Roman"/>
          <w:color w:val="000000"/>
          <w:sz w:val="24"/>
          <w:szCs w:val="24"/>
        </w:rPr>
        <w:t>ia de v</w:t>
      </w:r>
      <w:r w:rsidR="00A82DFB">
        <w:rPr>
          <w:rFonts w:ascii="Times New Roman" w:eastAsia="Times New Roman" w:hAnsi="Times New Roman" w:cs="Times New Roman"/>
          <w:color w:val="000000"/>
          <w:sz w:val="24"/>
          <w:szCs w:val="24"/>
        </w:rPr>
        <w:t>â</w:t>
      </w:r>
      <w:r w:rsidR="003A2AD1" w:rsidRPr="003A2AD1">
        <w:rPr>
          <w:rFonts w:ascii="Times New Roman" w:eastAsia="Times New Roman" w:hAnsi="Times New Roman" w:cs="Times New Roman"/>
          <w:color w:val="000000"/>
          <w:sz w:val="24"/>
          <w:szCs w:val="24"/>
        </w:rPr>
        <w:t>nzare a fiec</w:t>
      </w:r>
      <w:r w:rsidR="00A82DFB">
        <w:rPr>
          <w:rFonts w:ascii="Times New Roman" w:eastAsia="Times New Roman" w:hAnsi="Times New Roman" w:cs="Times New Roman"/>
          <w:color w:val="000000"/>
          <w:sz w:val="24"/>
          <w:szCs w:val="24"/>
        </w:rPr>
        <w:t>ă</w:t>
      </w:r>
      <w:r w:rsidR="003A2AD1" w:rsidRPr="003A2AD1">
        <w:rPr>
          <w:rFonts w:ascii="Times New Roman" w:eastAsia="Times New Roman" w:hAnsi="Times New Roman" w:cs="Times New Roman"/>
          <w:color w:val="000000"/>
          <w:sz w:val="24"/>
          <w:szCs w:val="24"/>
        </w:rPr>
        <w:t>rui produc</w:t>
      </w:r>
      <w:r w:rsidR="00A82DFB">
        <w:rPr>
          <w:rFonts w:ascii="Times New Roman" w:eastAsia="Times New Roman" w:hAnsi="Times New Roman" w:cs="Times New Roman"/>
          <w:color w:val="000000"/>
          <w:sz w:val="24"/>
          <w:szCs w:val="24"/>
        </w:rPr>
        <w:t>ă</w:t>
      </w:r>
      <w:r w:rsidR="003A2AD1" w:rsidRPr="003A2AD1">
        <w:rPr>
          <w:rFonts w:ascii="Times New Roman" w:eastAsia="Times New Roman" w:hAnsi="Times New Roman" w:cs="Times New Roman"/>
          <w:color w:val="000000"/>
          <w:sz w:val="24"/>
          <w:szCs w:val="24"/>
        </w:rPr>
        <w:t>tor se ajustează aplic</w:t>
      </w:r>
      <w:r w:rsidR="00A82DFB">
        <w:rPr>
          <w:rFonts w:ascii="Times New Roman" w:eastAsia="Times New Roman" w:hAnsi="Times New Roman" w:cs="Times New Roman"/>
          <w:color w:val="000000"/>
          <w:sz w:val="24"/>
          <w:szCs w:val="24"/>
        </w:rPr>
        <w:t>â</w:t>
      </w:r>
      <w:r w:rsidR="003A2AD1" w:rsidRPr="003A2AD1">
        <w:rPr>
          <w:rFonts w:ascii="Times New Roman" w:eastAsia="Times New Roman" w:hAnsi="Times New Roman" w:cs="Times New Roman"/>
          <w:color w:val="000000"/>
          <w:sz w:val="24"/>
          <w:szCs w:val="24"/>
        </w:rPr>
        <w:t>nd ponderea disponibilului fiec</w:t>
      </w:r>
      <w:r w:rsidR="00A82DFB">
        <w:rPr>
          <w:rFonts w:ascii="Times New Roman" w:eastAsia="Times New Roman" w:hAnsi="Times New Roman" w:cs="Times New Roman"/>
          <w:color w:val="000000"/>
          <w:sz w:val="24"/>
          <w:szCs w:val="24"/>
        </w:rPr>
        <w:t>ă</w:t>
      </w:r>
      <w:r w:rsidR="003A2AD1" w:rsidRPr="003A2AD1">
        <w:rPr>
          <w:rFonts w:ascii="Times New Roman" w:eastAsia="Times New Roman" w:hAnsi="Times New Roman" w:cs="Times New Roman"/>
          <w:color w:val="000000"/>
          <w:sz w:val="24"/>
          <w:szCs w:val="24"/>
        </w:rPr>
        <w:t>rui produc</w:t>
      </w:r>
      <w:r w:rsidR="00A82DFB">
        <w:rPr>
          <w:rFonts w:ascii="Times New Roman" w:eastAsia="Times New Roman" w:hAnsi="Times New Roman" w:cs="Times New Roman"/>
          <w:color w:val="000000"/>
          <w:sz w:val="24"/>
          <w:szCs w:val="24"/>
        </w:rPr>
        <w:t>ă</w:t>
      </w:r>
      <w:r w:rsidR="003A2AD1" w:rsidRPr="003A2AD1">
        <w:rPr>
          <w:rFonts w:ascii="Times New Roman" w:eastAsia="Times New Roman" w:hAnsi="Times New Roman" w:cs="Times New Roman"/>
          <w:color w:val="000000"/>
          <w:sz w:val="24"/>
          <w:szCs w:val="24"/>
        </w:rPr>
        <w:t>tor în disponibilul total pentru perioada respectivă. Alocarea cantităților destinate fiecărui furnizor se determin</w:t>
      </w:r>
      <w:r w:rsidR="00A82DFB">
        <w:rPr>
          <w:rFonts w:ascii="Times New Roman" w:eastAsia="Times New Roman" w:hAnsi="Times New Roman" w:cs="Times New Roman"/>
          <w:color w:val="000000"/>
          <w:sz w:val="24"/>
          <w:szCs w:val="24"/>
        </w:rPr>
        <w:t>ă</w:t>
      </w:r>
      <w:r w:rsidR="003A2AD1" w:rsidRPr="003A2AD1">
        <w:rPr>
          <w:rFonts w:ascii="Times New Roman" w:eastAsia="Times New Roman" w:hAnsi="Times New Roman" w:cs="Times New Roman"/>
          <w:color w:val="000000"/>
          <w:sz w:val="24"/>
          <w:szCs w:val="24"/>
        </w:rPr>
        <w:t xml:space="preserve"> aplicând cantităților calculate pentru aceștia, cu formulele </w:t>
      </w:r>
      <w:r w:rsidR="00F02C15">
        <w:rPr>
          <w:rFonts w:ascii="Times New Roman" w:eastAsia="Times New Roman" w:hAnsi="Times New Roman" w:cs="Times New Roman"/>
          <w:color w:val="000000"/>
          <w:sz w:val="24"/>
          <w:szCs w:val="24"/>
        </w:rPr>
        <w:t>prevăzute</w:t>
      </w:r>
      <w:r w:rsidR="003A2AD1" w:rsidRPr="003A2AD1">
        <w:rPr>
          <w:rFonts w:ascii="Times New Roman" w:eastAsia="Times New Roman" w:hAnsi="Times New Roman" w:cs="Times New Roman"/>
          <w:color w:val="000000"/>
          <w:sz w:val="24"/>
          <w:szCs w:val="24"/>
        </w:rPr>
        <w:t xml:space="preserve"> la p</w:t>
      </w:r>
      <w:r w:rsidR="00F02C15">
        <w:rPr>
          <w:rFonts w:ascii="Times New Roman" w:eastAsia="Times New Roman" w:hAnsi="Times New Roman" w:cs="Times New Roman"/>
          <w:color w:val="000000"/>
          <w:sz w:val="24"/>
          <w:szCs w:val="24"/>
        </w:rPr>
        <w:t>ct.</w:t>
      </w:r>
      <w:r w:rsidR="003A2AD1" w:rsidRPr="003A2AD1">
        <w:rPr>
          <w:rFonts w:ascii="Times New Roman" w:eastAsia="Times New Roman" w:hAnsi="Times New Roman" w:cs="Times New Roman"/>
          <w:color w:val="000000"/>
          <w:sz w:val="24"/>
          <w:szCs w:val="24"/>
        </w:rPr>
        <w:t xml:space="preserve"> 6 lit</w:t>
      </w:r>
      <w:r w:rsidR="00F02C15">
        <w:rPr>
          <w:rFonts w:ascii="Times New Roman" w:eastAsia="Times New Roman" w:hAnsi="Times New Roman" w:cs="Times New Roman"/>
          <w:color w:val="000000"/>
          <w:sz w:val="24"/>
          <w:szCs w:val="24"/>
        </w:rPr>
        <w:t>.</w:t>
      </w:r>
      <w:r w:rsidR="003A2AD1" w:rsidRPr="003A2AD1">
        <w:rPr>
          <w:rFonts w:ascii="Times New Roman" w:eastAsia="Times New Roman" w:hAnsi="Times New Roman" w:cs="Times New Roman"/>
          <w:color w:val="000000"/>
          <w:sz w:val="24"/>
          <w:szCs w:val="24"/>
        </w:rPr>
        <w:t xml:space="preserve"> b) și c) din Anexa nr. 5, </w:t>
      </w:r>
      <w:r w:rsidR="003A2AD1" w:rsidRPr="003A2AD1">
        <w:rPr>
          <w:rFonts w:ascii="Times New Roman" w:eastAsia="Times New Roman" w:hAnsi="Times New Roman" w:cs="Times New Roman"/>
          <w:sz w:val="24"/>
          <w:szCs w:val="24"/>
        </w:rPr>
        <w:t>ponderea obliga</w:t>
      </w:r>
      <w:r w:rsidR="00A82DFB">
        <w:rPr>
          <w:rFonts w:ascii="Times New Roman" w:eastAsia="Times New Roman" w:hAnsi="Times New Roman" w:cs="Times New Roman"/>
          <w:sz w:val="24"/>
          <w:szCs w:val="24"/>
        </w:rPr>
        <w:t>ț</w:t>
      </w:r>
      <w:r w:rsidR="003A2AD1" w:rsidRPr="003A2AD1">
        <w:rPr>
          <w:rFonts w:ascii="Times New Roman" w:eastAsia="Times New Roman" w:hAnsi="Times New Roman" w:cs="Times New Roman"/>
          <w:sz w:val="24"/>
          <w:szCs w:val="24"/>
        </w:rPr>
        <w:t xml:space="preserve">iei ajustate în totalul cantităților calculate cu formulele </w:t>
      </w:r>
      <w:r w:rsidR="003A2AD1" w:rsidRPr="003A2AD1">
        <w:rPr>
          <w:rFonts w:ascii="Times New Roman" w:eastAsia="Times New Roman" w:hAnsi="Times New Roman" w:cs="Times New Roman"/>
          <w:color w:val="000000"/>
          <w:sz w:val="24"/>
          <w:szCs w:val="24"/>
        </w:rPr>
        <w:t>de la punctul 6 literele b) și c) din Anexa nr. 5 pentru fiecare producător.</w:t>
      </w:r>
    </w:p>
    <w:p w:rsidR="003A2AD1" w:rsidRDefault="00ED7A24" w:rsidP="00367E61">
      <w:pPr>
        <w:pStyle w:val="ListParagraph"/>
        <w:numPr>
          <w:ilvl w:val="0"/>
          <w:numId w:val="7"/>
        </w:numP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Î</w:t>
      </w:r>
      <w:r w:rsidR="003A2AD1" w:rsidRPr="003A2AD1">
        <w:rPr>
          <w:rFonts w:ascii="Times New Roman" w:eastAsia="Times New Roman" w:hAnsi="Times New Roman" w:cs="Times New Roman"/>
          <w:color w:val="000000"/>
          <w:sz w:val="24"/>
          <w:szCs w:val="24"/>
        </w:rPr>
        <w:t>n situa</w:t>
      </w:r>
      <w:r>
        <w:rPr>
          <w:rFonts w:ascii="Times New Roman" w:eastAsia="Times New Roman" w:hAnsi="Times New Roman" w:cs="Times New Roman"/>
          <w:color w:val="000000"/>
          <w:sz w:val="24"/>
          <w:szCs w:val="24"/>
        </w:rPr>
        <w:t>ț</w:t>
      </w:r>
      <w:r w:rsidR="003A2AD1" w:rsidRPr="003A2AD1">
        <w:rPr>
          <w:rFonts w:ascii="Times New Roman" w:eastAsia="Times New Roman" w:hAnsi="Times New Roman" w:cs="Times New Roman"/>
          <w:color w:val="000000"/>
          <w:sz w:val="24"/>
          <w:szCs w:val="24"/>
        </w:rPr>
        <w:t xml:space="preserve">ia </w:t>
      </w:r>
      <w:r>
        <w:rPr>
          <w:rFonts w:ascii="Times New Roman" w:eastAsia="Times New Roman" w:hAnsi="Times New Roman" w:cs="Times New Roman"/>
          <w:color w:val="000000"/>
          <w:sz w:val="24"/>
          <w:szCs w:val="24"/>
        </w:rPr>
        <w:t>î</w:t>
      </w:r>
      <w:r w:rsidR="003A2AD1" w:rsidRPr="003A2AD1">
        <w:rPr>
          <w:rFonts w:ascii="Times New Roman" w:eastAsia="Times New Roman" w:hAnsi="Times New Roman" w:cs="Times New Roman"/>
          <w:color w:val="000000"/>
          <w:sz w:val="24"/>
          <w:szCs w:val="24"/>
        </w:rPr>
        <w:t>n care cantitatea total</w:t>
      </w:r>
      <w:r>
        <w:rPr>
          <w:rFonts w:ascii="Times New Roman" w:eastAsia="Times New Roman" w:hAnsi="Times New Roman" w:cs="Times New Roman"/>
          <w:color w:val="000000"/>
          <w:sz w:val="24"/>
          <w:szCs w:val="24"/>
        </w:rPr>
        <w:t>ă</w:t>
      </w:r>
      <w:r w:rsidR="003A2AD1" w:rsidRPr="003A2AD1">
        <w:rPr>
          <w:rFonts w:ascii="Times New Roman" w:eastAsia="Times New Roman" w:hAnsi="Times New Roman" w:cs="Times New Roman"/>
          <w:color w:val="000000"/>
          <w:sz w:val="24"/>
          <w:szCs w:val="24"/>
        </w:rPr>
        <w:t xml:space="preserve"> de gaze naturale determinată în conformitate cu formulele </w:t>
      </w:r>
      <w:r w:rsidR="00F02C15">
        <w:rPr>
          <w:rFonts w:ascii="Times New Roman" w:eastAsia="Times New Roman" w:hAnsi="Times New Roman" w:cs="Times New Roman"/>
          <w:color w:val="000000"/>
          <w:sz w:val="24"/>
          <w:szCs w:val="24"/>
        </w:rPr>
        <w:t>prevăzute</w:t>
      </w:r>
      <w:r w:rsidR="003A2AD1" w:rsidRPr="003A2AD1">
        <w:rPr>
          <w:rFonts w:ascii="Times New Roman" w:eastAsia="Times New Roman" w:hAnsi="Times New Roman" w:cs="Times New Roman"/>
          <w:color w:val="000000"/>
          <w:sz w:val="24"/>
          <w:szCs w:val="24"/>
        </w:rPr>
        <w:t xml:space="preserve"> la p</w:t>
      </w:r>
      <w:r w:rsidR="00F02C15">
        <w:rPr>
          <w:rFonts w:ascii="Times New Roman" w:eastAsia="Times New Roman" w:hAnsi="Times New Roman" w:cs="Times New Roman"/>
          <w:color w:val="000000"/>
          <w:sz w:val="24"/>
          <w:szCs w:val="24"/>
        </w:rPr>
        <w:t>ct.</w:t>
      </w:r>
      <w:r w:rsidR="003A2AD1" w:rsidRPr="003A2AD1">
        <w:rPr>
          <w:rFonts w:ascii="Times New Roman" w:eastAsia="Times New Roman" w:hAnsi="Times New Roman" w:cs="Times New Roman"/>
          <w:color w:val="000000"/>
          <w:sz w:val="24"/>
          <w:szCs w:val="24"/>
        </w:rPr>
        <w:t xml:space="preserve"> 6 lit</w:t>
      </w:r>
      <w:r w:rsidR="00F02C15">
        <w:rPr>
          <w:rFonts w:ascii="Times New Roman" w:eastAsia="Times New Roman" w:hAnsi="Times New Roman" w:cs="Times New Roman"/>
          <w:color w:val="000000"/>
          <w:sz w:val="24"/>
          <w:szCs w:val="24"/>
        </w:rPr>
        <w:t>.</w:t>
      </w:r>
      <w:r w:rsidR="003A2AD1" w:rsidRPr="003A2AD1">
        <w:rPr>
          <w:rFonts w:ascii="Times New Roman" w:eastAsia="Times New Roman" w:hAnsi="Times New Roman" w:cs="Times New Roman"/>
          <w:color w:val="000000"/>
          <w:sz w:val="24"/>
          <w:szCs w:val="24"/>
        </w:rPr>
        <w:t xml:space="preserve"> b) și c) din Anexa nr. 5 </w:t>
      </w:r>
      <w:r>
        <w:rPr>
          <w:rFonts w:ascii="Times New Roman" w:eastAsia="Times New Roman" w:hAnsi="Times New Roman" w:cs="Times New Roman"/>
          <w:color w:val="000000"/>
          <w:sz w:val="24"/>
          <w:szCs w:val="24"/>
        </w:rPr>
        <w:t xml:space="preserve">la OUG nr. 27/2022 </w:t>
      </w:r>
      <w:r w:rsidR="003A2AD1" w:rsidRPr="003A2AD1">
        <w:rPr>
          <w:rFonts w:ascii="Times New Roman" w:eastAsia="Times New Roman" w:hAnsi="Times New Roman" w:cs="Times New Roman"/>
          <w:color w:val="000000"/>
          <w:sz w:val="24"/>
          <w:szCs w:val="24"/>
        </w:rPr>
        <w:t>este mai mare dec</w:t>
      </w:r>
      <w:r>
        <w:rPr>
          <w:rFonts w:ascii="Times New Roman" w:eastAsia="Times New Roman" w:hAnsi="Times New Roman" w:cs="Times New Roman"/>
          <w:color w:val="000000"/>
          <w:sz w:val="24"/>
          <w:szCs w:val="24"/>
        </w:rPr>
        <w:t>â</w:t>
      </w:r>
      <w:r w:rsidR="003A2AD1" w:rsidRPr="003A2AD1">
        <w:rPr>
          <w:rFonts w:ascii="Times New Roman" w:eastAsia="Times New Roman" w:hAnsi="Times New Roman" w:cs="Times New Roman"/>
          <w:color w:val="000000"/>
          <w:sz w:val="24"/>
          <w:szCs w:val="24"/>
        </w:rPr>
        <w:t>t totalul produc</w:t>
      </w:r>
      <w:r>
        <w:rPr>
          <w:rFonts w:ascii="Times New Roman" w:eastAsia="Times New Roman" w:hAnsi="Times New Roman" w:cs="Times New Roman"/>
          <w:color w:val="000000"/>
          <w:sz w:val="24"/>
          <w:szCs w:val="24"/>
        </w:rPr>
        <w:t>ț</w:t>
      </w:r>
      <w:r w:rsidR="003A2AD1" w:rsidRPr="003A2AD1">
        <w:rPr>
          <w:rFonts w:ascii="Times New Roman" w:eastAsia="Times New Roman" w:hAnsi="Times New Roman" w:cs="Times New Roman"/>
          <w:color w:val="000000"/>
          <w:sz w:val="24"/>
          <w:szCs w:val="24"/>
        </w:rPr>
        <w:t>iei disponibile a producătorilor, pentru perioada respectivă, obliga</w:t>
      </w:r>
      <w:r>
        <w:rPr>
          <w:rFonts w:ascii="Times New Roman" w:eastAsia="Times New Roman" w:hAnsi="Times New Roman" w:cs="Times New Roman"/>
          <w:color w:val="000000"/>
          <w:sz w:val="24"/>
          <w:szCs w:val="24"/>
        </w:rPr>
        <w:t>ț</w:t>
      </w:r>
      <w:r w:rsidR="003A2AD1" w:rsidRPr="003A2AD1">
        <w:rPr>
          <w:rFonts w:ascii="Times New Roman" w:eastAsia="Times New Roman" w:hAnsi="Times New Roman" w:cs="Times New Roman"/>
          <w:color w:val="000000"/>
          <w:sz w:val="24"/>
          <w:szCs w:val="24"/>
        </w:rPr>
        <w:t>ia de v</w:t>
      </w:r>
      <w:r>
        <w:rPr>
          <w:rFonts w:ascii="Times New Roman" w:eastAsia="Times New Roman" w:hAnsi="Times New Roman" w:cs="Times New Roman"/>
          <w:color w:val="000000"/>
          <w:sz w:val="24"/>
          <w:szCs w:val="24"/>
        </w:rPr>
        <w:t>â</w:t>
      </w:r>
      <w:r w:rsidR="003A2AD1" w:rsidRPr="003A2AD1">
        <w:rPr>
          <w:rFonts w:ascii="Times New Roman" w:eastAsia="Times New Roman" w:hAnsi="Times New Roman" w:cs="Times New Roman"/>
          <w:color w:val="000000"/>
          <w:sz w:val="24"/>
          <w:szCs w:val="24"/>
        </w:rPr>
        <w:t>nzare a fiecărui produc</w:t>
      </w:r>
      <w:r>
        <w:rPr>
          <w:rFonts w:ascii="Times New Roman" w:eastAsia="Times New Roman" w:hAnsi="Times New Roman" w:cs="Times New Roman"/>
          <w:color w:val="000000"/>
          <w:sz w:val="24"/>
          <w:szCs w:val="24"/>
        </w:rPr>
        <w:t>ă</w:t>
      </w:r>
      <w:r w:rsidR="003A2AD1" w:rsidRPr="003A2AD1">
        <w:rPr>
          <w:rFonts w:ascii="Times New Roman" w:eastAsia="Times New Roman" w:hAnsi="Times New Roman" w:cs="Times New Roman"/>
          <w:color w:val="000000"/>
          <w:sz w:val="24"/>
          <w:szCs w:val="24"/>
        </w:rPr>
        <w:t>tor va fi egal</w:t>
      </w:r>
      <w:r>
        <w:rPr>
          <w:rFonts w:ascii="Times New Roman" w:eastAsia="Times New Roman" w:hAnsi="Times New Roman" w:cs="Times New Roman"/>
          <w:color w:val="000000"/>
          <w:sz w:val="24"/>
          <w:szCs w:val="24"/>
        </w:rPr>
        <w:t>ă</w:t>
      </w:r>
      <w:r w:rsidR="003A2AD1" w:rsidRPr="003A2AD1">
        <w:rPr>
          <w:rFonts w:ascii="Times New Roman" w:eastAsia="Times New Roman" w:hAnsi="Times New Roman" w:cs="Times New Roman"/>
          <w:color w:val="000000"/>
          <w:sz w:val="24"/>
          <w:szCs w:val="24"/>
        </w:rPr>
        <w:t xml:space="preserve"> cu produc</w:t>
      </w:r>
      <w:r>
        <w:rPr>
          <w:rFonts w:ascii="Times New Roman" w:eastAsia="Times New Roman" w:hAnsi="Times New Roman" w:cs="Times New Roman"/>
          <w:color w:val="000000"/>
          <w:sz w:val="24"/>
          <w:szCs w:val="24"/>
        </w:rPr>
        <w:t>ț</w:t>
      </w:r>
      <w:r w:rsidR="003A2AD1" w:rsidRPr="003A2AD1">
        <w:rPr>
          <w:rFonts w:ascii="Times New Roman" w:eastAsia="Times New Roman" w:hAnsi="Times New Roman" w:cs="Times New Roman"/>
          <w:color w:val="000000"/>
          <w:sz w:val="24"/>
          <w:szCs w:val="24"/>
        </w:rPr>
        <w:t>ia disponibil</w:t>
      </w:r>
      <w:r>
        <w:rPr>
          <w:rFonts w:ascii="Times New Roman" w:eastAsia="Times New Roman" w:hAnsi="Times New Roman" w:cs="Times New Roman"/>
          <w:color w:val="000000"/>
          <w:sz w:val="24"/>
          <w:szCs w:val="24"/>
        </w:rPr>
        <w:t>ă</w:t>
      </w:r>
      <w:r w:rsidR="003A2AD1" w:rsidRPr="003A2AD1">
        <w:rPr>
          <w:rFonts w:ascii="Times New Roman" w:eastAsia="Times New Roman" w:hAnsi="Times New Roman" w:cs="Times New Roman"/>
          <w:color w:val="000000"/>
          <w:sz w:val="24"/>
          <w:szCs w:val="24"/>
        </w:rPr>
        <w:t xml:space="preserve"> a acestuia. Alocarea cantităților destinate fiecărui furnizor se determin</w:t>
      </w:r>
      <w:r>
        <w:rPr>
          <w:rFonts w:ascii="Times New Roman" w:eastAsia="Times New Roman" w:hAnsi="Times New Roman" w:cs="Times New Roman"/>
          <w:color w:val="000000"/>
          <w:sz w:val="24"/>
          <w:szCs w:val="24"/>
        </w:rPr>
        <w:t>ă</w:t>
      </w:r>
      <w:r w:rsidR="003A2AD1" w:rsidRPr="003A2AD1">
        <w:rPr>
          <w:rFonts w:ascii="Times New Roman" w:eastAsia="Times New Roman" w:hAnsi="Times New Roman" w:cs="Times New Roman"/>
          <w:color w:val="000000"/>
          <w:sz w:val="24"/>
          <w:szCs w:val="24"/>
        </w:rPr>
        <w:t xml:space="preserve"> aplicând cantităților calculate pentru aceștia, cu formulele </w:t>
      </w:r>
      <w:r w:rsidR="00F02C15">
        <w:rPr>
          <w:rFonts w:ascii="Times New Roman" w:eastAsia="Times New Roman" w:hAnsi="Times New Roman" w:cs="Times New Roman"/>
          <w:color w:val="000000"/>
          <w:sz w:val="24"/>
          <w:szCs w:val="24"/>
        </w:rPr>
        <w:t xml:space="preserve">prevăzute </w:t>
      </w:r>
      <w:r w:rsidR="003A2AD1" w:rsidRPr="003A2AD1">
        <w:rPr>
          <w:rFonts w:ascii="Times New Roman" w:eastAsia="Times New Roman" w:hAnsi="Times New Roman" w:cs="Times New Roman"/>
          <w:color w:val="000000"/>
          <w:sz w:val="24"/>
          <w:szCs w:val="24"/>
        </w:rPr>
        <w:t>la p</w:t>
      </w:r>
      <w:r w:rsidR="00F02C15">
        <w:rPr>
          <w:rFonts w:ascii="Times New Roman" w:eastAsia="Times New Roman" w:hAnsi="Times New Roman" w:cs="Times New Roman"/>
          <w:color w:val="000000"/>
          <w:sz w:val="24"/>
          <w:szCs w:val="24"/>
        </w:rPr>
        <w:t>ct.</w:t>
      </w:r>
      <w:r w:rsidR="003A2AD1" w:rsidRPr="003A2AD1">
        <w:rPr>
          <w:rFonts w:ascii="Times New Roman" w:eastAsia="Times New Roman" w:hAnsi="Times New Roman" w:cs="Times New Roman"/>
          <w:color w:val="000000"/>
          <w:sz w:val="24"/>
          <w:szCs w:val="24"/>
        </w:rPr>
        <w:t xml:space="preserve"> 6 lit</w:t>
      </w:r>
      <w:r w:rsidR="00F02C15">
        <w:rPr>
          <w:rFonts w:ascii="Times New Roman" w:eastAsia="Times New Roman" w:hAnsi="Times New Roman" w:cs="Times New Roman"/>
          <w:color w:val="000000"/>
          <w:sz w:val="24"/>
          <w:szCs w:val="24"/>
        </w:rPr>
        <w:t>.</w:t>
      </w:r>
      <w:r w:rsidR="003A2AD1" w:rsidRPr="003A2AD1">
        <w:rPr>
          <w:rFonts w:ascii="Times New Roman" w:eastAsia="Times New Roman" w:hAnsi="Times New Roman" w:cs="Times New Roman"/>
          <w:color w:val="000000"/>
          <w:sz w:val="24"/>
          <w:szCs w:val="24"/>
        </w:rPr>
        <w:t xml:space="preserve"> b) și c) din Anexa nr. 5, </w:t>
      </w:r>
      <w:r w:rsidR="003A2AD1" w:rsidRPr="003A2AD1">
        <w:rPr>
          <w:rFonts w:ascii="Times New Roman" w:eastAsia="Times New Roman" w:hAnsi="Times New Roman" w:cs="Times New Roman"/>
          <w:sz w:val="24"/>
          <w:szCs w:val="24"/>
        </w:rPr>
        <w:t>ponderea cantită</w:t>
      </w:r>
      <w:r>
        <w:rPr>
          <w:rFonts w:ascii="Times New Roman" w:eastAsia="Times New Roman" w:hAnsi="Times New Roman" w:cs="Times New Roman"/>
          <w:sz w:val="24"/>
          <w:szCs w:val="24"/>
        </w:rPr>
        <w:t>ț</w:t>
      </w:r>
      <w:r w:rsidR="003A2AD1" w:rsidRPr="003A2AD1">
        <w:rPr>
          <w:rFonts w:ascii="Times New Roman" w:eastAsia="Times New Roman" w:hAnsi="Times New Roman" w:cs="Times New Roman"/>
          <w:sz w:val="24"/>
          <w:szCs w:val="24"/>
        </w:rPr>
        <w:t xml:space="preserve">ii disponibile în totalul cantităților calculate cu formulele </w:t>
      </w:r>
      <w:r w:rsidR="003A2AD1" w:rsidRPr="003A2AD1">
        <w:rPr>
          <w:rFonts w:ascii="Times New Roman" w:eastAsia="Times New Roman" w:hAnsi="Times New Roman" w:cs="Times New Roman"/>
          <w:color w:val="000000"/>
          <w:sz w:val="24"/>
          <w:szCs w:val="24"/>
        </w:rPr>
        <w:t>de la p</w:t>
      </w:r>
      <w:r w:rsidR="00F02C15">
        <w:rPr>
          <w:rFonts w:ascii="Times New Roman" w:eastAsia="Times New Roman" w:hAnsi="Times New Roman" w:cs="Times New Roman"/>
          <w:color w:val="000000"/>
          <w:sz w:val="24"/>
          <w:szCs w:val="24"/>
        </w:rPr>
        <w:t>ct.</w:t>
      </w:r>
      <w:r w:rsidR="003A2AD1" w:rsidRPr="003A2AD1">
        <w:rPr>
          <w:rFonts w:ascii="Times New Roman" w:eastAsia="Times New Roman" w:hAnsi="Times New Roman" w:cs="Times New Roman"/>
          <w:color w:val="000000"/>
          <w:sz w:val="24"/>
          <w:szCs w:val="24"/>
        </w:rPr>
        <w:t xml:space="preserve"> 6 lit</w:t>
      </w:r>
      <w:r w:rsidR="00F02C15">
        <w:rPr>
          <w:rFonts w:ascii="Times New Roman" w:eastAsia="Times New Roman" w:hAnsi="Times New Roman" w:cs="Times New Roman"/>
          <w:color w:val="000000"/>
          <w:sz w:val="24"/>
          <w:szCs w:val="24"/>
        </w:rPr>
        <w:t>.</w:t>
      </w:r>
      <w:r w:rsidR="003A2AD1" w:rsidRPr="003A2AD1">
        <w:rPr>
          <w:rFonts w:ascii="Times New Roman" w:eastAsia="Times New Roman" w:hAnsi="Times New Roman" w:cs="Times New Roman"/>
          <w:color w:val="000000"/>
          <w:sz w:val="24"/>
          <w:szCs w:val="24"/>
        </w:rPr>
        <w:t xml:space="preserve"> b) și c) din Anexa nr. 5 pentru fiecare producător.</w:t>
      </w:r>
    </w:p>
    <w:p w:rsidR="003A2AD1" w:rsidRPr="003A2AD1" w:rsidRDefault="003A2AD1" w:rsidP="00A82DFB">
      <w:pPr>
        <w:pStyle w:val="ListParagraph"/>
        <w:numPr>
          <w:ilvl w:val="0"/>
          <w:numId w:val="7"/>
        </w:numPr>
        <w:spacing w:after="0" w:line="276" w:lineRule="auto"/>
        <w:jc w:val="both"/>
        <w:rPr>
          <w:rFonts w:ascii="Times New Roman" w:hAnsi="Times New Roman" w:cs="Times New Roman"/>
          <w:sz w:val="24"/>
          <w:szCs w:val="24"/>
        </w:rPr>
      </w:pPr>
      <w:r w:rsidRPr="003A2AD1">
        <w:rPr>
          <w:rFonts w:ascii="Times New Roman" w:eastAsia="Times New Roman" w:hAnsi="Times New Roman" w:cs="Times New Roman"/>
          <w:sz w:val="24"/>
          <w:szCs w:val="24"/>
        </w:rPr>
        <w:t>Defalcarea cantităților pentru CC și PET</w:t>
      </w:r>
    </w:p>
    <w:p w:rsidR="003A2AD1" w:rsidRPr="003A2AD1" w:rsidRDefault="003A2AD1" w:rsidP="00367E61">
      <w:pPr>
        <w:pStyle w:val="ListParagraph"/>
        <w:spacing w:line="276" w:lineRule="auto"/>
        <w:jc w:val="both"/>
        <w:rPr>
          <w:rFonts w:ascii="Times New Roman" w:eastAsia="Times New Roman" w:hAnsi="Times New Roman" w:cs="Times New Roman"/>
          <w:sz w:val="24"/>
          <w:szCs w:val="24"/>
        </w:rPr>
      </w:pPr>
      <w:r w:rsidRPr="003A2AD1">
        <w:rPr>
          <w:rFonts w:ascii="Times New Roman" w:eastAsia="Times New Roman" w:hAnsi="Times New Roman" w:cs="Times New Roman"/>
          <w:sz w:val="24"/>
          <w:szCs w:val="24"/>
        </w:rPr>
        <w:t>Defalcarea cantităților pentru CC și PET alocate fiecărui furnizor se determină după cum urmează:</w:t>
      </w:r>
    </w:p>
    <w:p w:rsidR="003A2AD1" w:rsidRPr="003A2AD1" w:rsidRDefault="003A2AD1" w:rsidP="00367E61">
      <w:pPr>
        <w:pStyle w:val="ListParagraph"/>
        <w:spacing w:line="276" w:lineRule="auto"/>
        <w:jc w:val="both"/>
        <w:rPr>
          <w:rFonts w:ascii="Times New Roman" w:eastAsia="Times New Roman" w:hAnsi="Times New Roman" w:cs="Times New Roman"/>
          <w:sz w:val="24"/>
          <w:szCs w:val="24"/>
        </w:rPr>
      </w:pPr>
      <w:r w:rsidRPr="003A2AD1">
        <w:rPr>
          <w:rFonts w:ascii="Times New Roman" w:eastAsia="Times New Roman" w:hAnsi="Times New Roman" w:cs="Times New Roman"/>
          <w:sz w:val="24"/>
          <w:szCs w:val="24"/>
        </w:rPr>
        <w:t xml:space="preserve">a) se calculează ponderea necesarului de consum CC în perioada 1 noiembrie </w:t>
      </w:r>
      <w:r w:rsidR="00ED7A24">
        <w:rPr>
          <w:rFonts w:ascii="Times New Roman" w:eastAsia="Times New Roman" w:hAnsi="Times New Roman" w:cs="Times New Roman"/>
          <w:sz w:val="24"/>
          <w:szCs w:val="24"/>
        </w:rPr>
        <w:t>2022</w:t>
      </w:r>
      <w:r w:rsidRPr="003A2AD1">
        <w:rPr>
          <w:rFonts w:ascii="Times New Roman" w:eastAsia="Times New Roman" w:hAnsi="Times New Roman" w:cs="Times New Roman"/>
          <w:sz w:val="24"/>
          <w:szCs w:val="24"/>
        </w:rPr>
        <w:t>-31 martie</w:t>
      </w:r>
      <w:r w:rsidR="00ED7A24">
        <w:rPr>
          <w:rFonts w:ascii="Times New Roman" w:eastAsia="Times New Roman" w:hAnsi="Times New Roman" w:cs="Times New Roman"/>
          <w:sz w:val="24"/>
          <w:szCs w:val="24"/>
        </w:rPr>
        <w:t xml:space="preserve"> 2023</w:t>
      </w:r>
      <w:r w:rsidRPr="003A2AD1">
        <w:rPr>
          <w:rFonts w:ascii="Times New Roman" w:eastAsia="Times New Roman" w:hAnsi="Times New Roman" w:cs="Times New Roman"/>
          <w:sz w:val="24"/>
          <w:szCs w:val="24"/>
        </w:rPr>
        <w:t xml:space="preserve"> din total necearului de consum CC și PET în aceeași perioadă;</w:t>
      </w:r>
    </w:p>
    <w:p w:rsidR="003A2AD1" w:rsidRPr="003A2AD1" w:rsidRDefault="003A2AD1" w:rsidP="00367E61">
      <w:pPr>
        <w:pStyle w:val="ListParagraph"/>
        <w:spacing w:line="276" w:lineRule="auto"/>
        <w:jc w:val="both"/>
        <w:rPr>
          <w:rFonts w:ascii="Times New Roman" w:eastAsia="Times New Roman" w:hAnsi="Times New Roman" w:cs="Times New Roman"/>
          <w:sz w:val="24"/>
          <w:szCs w:val="24"/>
        </w:rPr>
      </w:pPr>
      <w:r w:rsidRPr="003A2AD1">
        <w:rPr>
          <w:rFonts w:ascii="Times New Roman" w:eastAsia="Times New Roman" w:hAnsi="Times New Roman" w:cs="Times New Roman"/>
          <w:sz w:val="24"/>
          <w:szCs w:val="24"/>
        </w:rPr>
        <w:t>b) Cantitatea destinată înmagazinării pentru consumul CC se determină aplic</w:t>
      </w:r>
      <w:r w:rsidR="00ED7A24">
        <w:rPr>
          <w:rFonts w:ascii="Times New Roman" w:eastAsia="Times New Roman" w:hAnsi="Times New Roman" w:cs="Times New Roman"/>
          <w:sz w:val="24"/>
          <w:szCs w:val="24"/>
        </w:rPr>
        <w:t>â</w:t>
      </w:r>
      <w:r w:rsidRPr="003A2AD1">
        <w:rPr>
          <w:rFonts w:ascii="Times New Roman" w:eastAsia="Times New Roman" w:hAnsi="Times New Roman" w:cs="Times New Roman"/>
          <w:sz w:val="24"/>
          <w:szCs w:val="24"/>
        </w:rPr>
        <w:t>nd cantit</w:t>
      </w:r>
      <w:r w:rsidR="00ED7A24">
        <w:rPr>
          <w:rFonts w:ascii="Times New Roman" w:eastAsia="Times New Roman" w:hAnsi="Times New Roman" w:cs="Times New Roman"/>
          <w:sz w:val="24"/>
          <w:szCs w:val="24"/>
        </w:rPr>
        <w:t>ăț</w:t>
      </w:r>
      <w:r w:rsidRPr="003A2AD1">
        <w:rPr>
          <w:rFonts w:ascii="Times New Roman" w:eastAsia="Times New Roman" w:hAnsi="Times New Roman" w:cs="Times New Roman"/>
          <w:sz w:val="24"/>
          <w:szCs w:val="24"/>
        </w:rPr>
        <w:t>ii de gaze naturale</w:t>
      </w:r>
      <w:r w:rsidR="00ED7A24">
        <w:rPr>
          <w:rFonts w:ascii="Times New Roman" w:eastAsia="Times New Roman" w:hAnsi="Times New Roman" w:cs="Times New Roman"/>
          <w:sz w:val="24"/>
          <w:szCs w:val="24"/>
        </w:rPr>
        <w:t>,</w:t>
      </w:r>
      <w:r w:rsidRPr="003A2AD1">
        <w:rPr>
          <w:rFonts w:ascii="Times New Roman" w:eastAsia="Times New Roman" w:hAnsi="Times New Roman" w:cs="Times New Roman"/>
          <w:sz w:val="24"/>
          <w:szCs w:val="24"/>
        </w:rPr>
        <w:t xml:space="preserve"> calculate conform formulei </w:t>
      </w:r>
      <w:r w:rsidR="00F02C15">
        <w:rPr>
          <w:rFonts w:ascii="Times New Roman" w:eastAsia="Times New Roman" w:hAnsi="Times New Roman" w:cs="Times New Roman"/>
          <w:sz w:val="24"/>
          <w:szCs w:val="24"/>
        </w:rPr>
        <w:t>prevăzute</w:t>
      </w:r>
      <w:r w:rsidRPr="003A2AD1">
        <w:rPr>
          <w:rFonts w:ascii="Times New Roman" w:eastAsia="Times New Roman" w:hAnsi="Times New Roman" w:cs="Times New Roman"/>
          <w:sz w:val="24"/>
          <w:szCs w:val="24"/>
        </w:rPr>
        <w:t xml:space="preserve"> la p</w:t>
      </w:r>
      <w:r w:rsidR="00F02C15">
        <w:rPr>
          <w:rFonts w:ascii="Times New Roman" w:eastAsia="Times New Roman" w:hAnsi="Times New Roman" w:cs="Times New Roman"/>
          <w:sz w:val="24"/>
          <w:szCs w:val="24"/>
        </w:rPr>
        <w:t>ct.</w:t>
      </w:r>
      <w:r w:rsidRPr="003A2AD1">
        <w:rPr>
          <w:rFonts w:ascii="Times New Roman" w:eastAsia="Times New Roman" w:hAnsi="Times New Roman" w:cs="Times New Roman"/>
          <w:sz w:val="24"/>
          <w:szCs w:val="24"/>
        </w:rPr>
        <w:t xml:space="preserve"> 6 lit. a) </w:t>
      </w:r>
      <w:r w:rsidR="00ED7A24" w:rsidRPr="003A2AD1">
        <w:rPr>
          <w:rFonts w:ascii="Times New Roman" w:eastAsia="Times New Roman" w:hAnsi="Times New Roman" w:cs="Times New Roman"/>
          <w:color w:val="000000"/>
          <w:sz w:val="24"/>
          <w:szCs w:val="24"/>
        </w:rPr>
        <w:t xml:space="preserve">din Anexa nr. 5 </w:t>
      </w:r>
      <w:r w:rsidR="00ED7A24">
        <w:rPr>
          <w:rFonts w:ascii="Times New Roman" w:eastAsia="Times New Roman" w:hAnsi="Times New Roman" w:cs="Times New Roman"/>
          <w:color w:val="000000"/>
          <w:sz w:val="24"/>
          <w:szCs w:val="24"/>
        </w:rPr>
        <w:t xml:space="preserve">la OUG nr. 27/2022, </w:t>
      </w:r>
      <w:r w:rsidRPr="003A2AD1">
        <w:rPr>
          <w:rFonts w:ascii="Times New Roman" w:eastAsia="Times New Roman" w:hAnsi="Times New Roman" w:cs="Times New Roman"/>
          <w:sz w:val="24"/>
          <w:szCs w:val="24"/>
        </w:rPr>
        <w:t xml:space="preserve">prorata cu ponderea calculată la lit. a). </w:t>
      </w:r>
    </w:p>
    <w:p w:rsidR="003A2AD1" w:rsidRPr="003A2AD1" w:rsidRDefault="003A2AD1" w:rsidP="00367E61">
      <w:pPr>
        <w:pStyle w:val="ListParagraph"/>
        <w:spacing w:line="276" w:lineRule="auto"/>
        <w:jc w:val="both"/>
        <w:rPr>
          <w:rFonts w:ascii="Times New Roman" w:eastAsia="Times New Roman" w:hAnsi="Times New Roman" w:cs="Times New Roman"/>
          <w:sz w:val="24"/>
          <w:szCs w:val="24"/>
        </w:rPr>
      </w:pPr>
      <w:r w:rsidRPr="003A2AD1">
        <w:rPr>
          <w:rFonts w:ascii="Times New Roman" w:eastAsia="Times New Roman" w:hAnsi="Times New Roman" w:cs="Times New Roman"/>
          <w:sz w:val="24"/>
          <w:szCs w:val="24"/>
        </w:rPr>
        <w:t xml:space="preserve">c) cantitatea totală de gaze naturale necesară consumului CC destinată furnizorului </w:t>
      </w:r>
      <w:r w:rsidRPr="003A2AD1">
        <w:rPr>
          <w:rFonts w:ascii="Times New Roman" w:eastAsia="Times New Roman" w:hAnsi="Times New Roman" w:cs="Times New Roman"/>
          <w:i/>
          <w:sz w:val="24"/>
          <w:szCs w:val="24"/>
        </w:rPr>
        <w:t>i</w:t>
      </w:r>
      <w:r w:rsidRPr="003A2AD1">
        <w:rPr>
          <w:rFonts w:ascii="Times New Roman" w:eastAsia="Times New Roman" w:hAnsi="Times New Roman" w:cs="Times New Roman"/>
          <w:sz w:val="24"/>
          <w:szCs w:val="24"/>
        </w:rPr>
        <w:t xml:space="preserve"> pentru perioada 1 aprilie</w:t>
      </w:r>
      <w:r w:rsidR="00ED7A24">
        <w:rPr>
          <w:rFonts w:ascii="Times New Roman" w:eastAsia="Times New Roman" w:hAnsi="Times New Roman" w:cs="Times New Roman"/>
          <w:sz w:val="24"/>
          <w:szCs w:val="24"/>
        </w:rPr>
        <w:t xml:space="preserve"> 2022</w:t>
      </w:r>
      <w:r w:rsidRPr="003A2AD1">
        <w:rPr>
          <w:rFonts w:ascii="Times New Roman" w:eastAsia="Times New Roman" w:hAnsi="Times New Roman" w:cs="Times New Roman"/>
          <w:sz w:val="24"/>
          <w:szCs w:val="24"/>
        </w:rPr>
        <w:t xml:space="preserve">-31 octombrie </w:t>
      </w:r>
      <w:r w:rsidR="00ED7A24">
        <w:rPr>
          <w:rFonts w:ascii="Times New Roman" w:eastAsia="Times New Roman" w:hAnsi="Times New Roman" w:cs="Times New Roman"/>
          <w:sz w:val="24"/>
          <w:szCs w:val="24"/>
        </w:rPr>
        <w:t xml:space="preserve">2022 </w:t>
      </w:r>
      <w:r w:rsidRPr="003A2AD1">
        <w:rPr>
          <w:rFonts w:ascii="Times New Roman" w:eastAsia="Times New Roman" w:hAnsi="Times New Roman" w:cs="Times New Roman"/>
          <w:sz w:val="24"/>
          <w:szCs w:val="24"/>
        </w:rPr>
        <w:t>se obține însumând cantitate</w:t>
      </w:r>
      <w:r w:rsidR="00ED7A24">
        <w:rPr>
          <w:rFonts w:ascii="Times New Roman" w:eastAsia="Times New Roman" w:hAnsi="Times New Roman" w:cs="Times New Roman"/>
          <w:sz w:val="24"/>
          <w:szCs w:val="24"/>
        </w:rPr>
        <w:t>a</w:t>
      </w:r>
      <w:r w:rsidRPr="003A2AD1">
        <w:rPr>
          <w:rFonts w:ascii="Times New Roman" w:eastAsia="Times New Roman" w:hAnsi="Times New Roman" w:cs="Times New Roman"/>
          <w:sz w:val="24"/>
          <w:szCs w:val="24"/>
        </w:rPr>
        <w:t xml:space="preserve"> aferentă consumului CC determinată conform lit. b) și cantitatea necesară consumului curent CC în perioada 1 aprilie </w:t>
      </w:r>
      <w:r w:rsidR="00ED7A24">
        <w:rPr>
          <w:rFonts w:ascii="Times New Roman" w:eastAsia="Times New Roman" w:hAnsi="Times New Roman" w:cs="Times New Roman"/>
          <w:sz w:val="24"/>
          <w:szCs w:val="24"/>
        </w:rPr>
        <w:t>2022</w:t>
      </w:r>
      <w:r w:rsidRPr="003A2AD1">
        <w:rPr>
          <w:rFonts w:ascii="Times New Roman" w:eastAsia="Times New Roman" w:hAnsi="Times New Roman" w:cs="Times New Roman"/>
          <w:sz w:val="24"/>
          <w:szCs w:val="24"/>
        </w:rPr>
        <w:t>-31 octombrie 2022.</w:t>
      </w:r>
    </w:p>
    <w:p w:rsidR="003A2AD1" w:rsidRPr="003A2AD1" w:rsidRDefault="003A2AD1" w:rsidP="00367E61">
      <w:pPr>
        <w:pStyle w:val="ListParagraph"/>
        <w:spacing w:line="276" w:lineRule="auto"/>
        <w:jc w:val="both"/>
        <w:rPr>
          <w:rFonts w:ascii="Times New Roman" w:eastAsia="Times New Roman" w:hAnsi="Times New Roman" w:cs="Times New Roman"/>
          <w:sz w:val="24"/>
          <w:szCs w:val="24"/>
        </w:rPr>
      </w:pPr>
      <w:r w:rsidRPr="003A2AD1">
        <w:rPr>
          <w:rFonts w:ascii="Times New Roman" w:eastAsia="Times New Roman" w:hAnsi="Times New Roman" w:cs="Times New Roman"/>
          <w:sz w:val="24"/>
          <w:szCs w:val="24"/>
        </w:rPr>
        <w:t xml:space="preserve">d) cantitatea totală de gaze naturale necesară consumului CC destinată furnizorului </w:t>
      </w:r>
      <w:r w:rsidRPr="003A2AD1">
        <w:rPr>
          <w:rFonts w:ascii="Times New Roman" w:eastAsia="Times New Roman" w:hAnsi="Times New Roman" w:cs="Times New Roman"/>
          <w:i/>
          <w:sz w:val="24"/>
          <w:szCs w:val="24"/>
        </w:rPr>
        <w:t xml:space="preserve">i </w:t>
      </w:r>
      <w:r w:rsidRPr="003A2AD1">
        <w:rPr>
          <w:rFonts w:ascii="Times New Roman" w:eastAsia="Times New Roman" w:hAnsi="Times New Roman" w:cs="Times New Roman"/>
          <w:sz w:val="24"/>
          <w:szCs w:val="24"/>
        </w:rPr>
        <w:t>se defalcă pe fiecare producător prorata cu ponderea cantit</w:t>
      </w:r>
      <w:r w:rsidR="00ED7A24">
        <w:rPr>
          <w:rFonts w:ascii="Times New Roman" w:eastAsia="Times New Roman" w:hAnsi="Times New Roman" w:cs="Times New Roman"/>
          <w:sz w:val="24"/>
          <w:szCs w:val="24"/>
        </w:rPr>
        <w:t>ăț</w:t>
      </w:r>
      <w:r w:rsidRPr="003A2AD1">
        <w:rPr>
          <w:rFonts w:ascii="Times New Roman" w:eastAsia="Times New Roman" w:hAnsi="Times New Roman" w:cs="Times New Roman"/>
          <w:sz w:val="24"/>
          <w:szCs w:val="24"/>
        </w:rPr>
        <w:t xml:space="preserve">ii de gaze naturale vândută de fiecare </w:t>
      </w:r>
      <w:r w:rsidRPr="003A2AD1">
        <w:rPr>
          <w:rFonts w:ascii="Times New Roman" w:eastAsia="Times New Roman" w:hAnsi="Times New Roman" w:cs="Times New Roman"/>
          <w:sz w:val="24"/>
          <w:szCs w:val="24"/>
        </w:rPr>
        <w:lastRenderedPageBreak/>
        <w:t xml:space="preserve">producător în totalul cantității de gaze naturale pe care producătorii au obligația de a o vinde în perioada 1 aprilie </w:t>
      </w:r>
      <w:r w:rsidR="00ED7A24">
        <w:rPr>
          <w:rFonts w:ascii="Times New Roman" w:eastAsia="Times New Roman" w:hAnsi="Times New Roman" w:cs="Times New Roman"/>
          <w:sz w:val="24"/>
          <w:szCs w:val="24"/>
        </w:rPr>
        <w:t>2022</w:t>
      </w:r>
      <w:r w:rsidRPr="003A2AD1">
        <w:rPr>
          <w:rFonts w:ascii="Times New Roman" w:eastAsia="Times New Roman" w:hAnsi="Times New Roman" w:cs="Times New Roman"/>
          <w:sz w:val="24"/>
          <w:szCs w:val="24"/>
        </w:rPr>
        <w:t>-31 octombrie 2022.</w:t>
      </w:r>
    </w:p>
    <w:p w:rsidR="003A2AD1" w:rsidRPr="003A2AD1" w:rsidRDefault="003A2AD1" w:rsidP="00367E61">
      <w:pPr>
        <w:pStyle w:val="ListParagraph"/>
        <w:spacing w:after="0" w:line="276" w:lineRule="auto"/>
        <w:jc w:val="both"/>
        <w:rPr>
          <w:rFonts w:ascii="Times New Roman" w:eastAsia="Times New Roman" w:hAnsi="Times New Roman" w:cs="Times New Roman"/>
          <w:sz w:val="24"/>
          <w:szCs w:val="24"/>
        </w:rPr>
      </w:pPr>
      <w:r w:rsidRPr="003A2AD1">
        <w:rPr>
          <w:rFonts w:ascii="Times New Roman" w:eastAsia="Times New Roman" w:hAnsi="Times New Roman" w:cs="Times New Roman"/>
          <w:sz w:val="24"/>
          <w:szCs w:val="24"/>
        </w:rPr>
        <w:t>e) defalcarea cantit</w:t>
      </w:r>
      <w:r w:rsidR="00ED7A24">
        <w:rPr>
          <w:rFonts w:ascii="Times New Roman" w:eastAsia="Times New Roman" w:hAnsi="Times New Roman" w:cs="Times New Roman"/>
          <w:sz w:val="24"/>
          <w:szCs w:val="24"/>
        </w:rPr>
        <w:t>ăț</w:t>
      </w:r>
      <w:r w:rsidRPr="003A2AD1">
        <w:rPr>
          <w:rFonts w:ascii="Times New Roman" w:eastAsia="Times New Roman" w:hAnsi="Times New Roman" w:cs="Times New Roman"/>
          <w:sz w:val="24"/>
          <w:szCs w:val="24"/>
        </w:rPr>
        <w:t>ilor pentru CC și PET alocate furnizor</w:t>
      </w:r>
      <w:r w:rsidR="00F02C15">
        <w:rPr>
          <w:rFonts w:ascii="Times New Roman" w:eastAsia="Times New Roman" w:hAnsi="Times New Roman" w:cs="Times New Roman"/>
          <w:sz w:val="24"/>
          <w:szCs w:val="24"/>
        </w:rPr>
        <w:t xml:space="preserve">ului </w:t>
      </w:r>
      <w:r w:rsidR="00F02C15" w:rsidRPr="00367E61">
        <w:rPr>
          <w:rFonts w:ascii="Times New Roman" w:eastAsia="Times New Roman" w:hAnsi="Times New Roman" w:cs="Times New Roman"/>
          <w:i/>
          <w:sz w:val="24"/>
          <w:szCs w:val="24"/>
        </w:rPr>
        <w:t>i</w:t>
      </w:r>
      <w:r w:rsidRPr="003A2AD1">
        <w:rPr>
          <w:rFonts w:ascii="Times New Roman" w:eastAsia="Times New Roman" w:hAnsi="Times New Roman" w:cs="Times New Roman"/>
          <w:sz w:val="24"/>
          <w:szCs w:val="24"/>
        </w:rPr>
        <w:t xml:space="preserve"> destinate consumului pentru perioada 1 noiembrie </w:t>
      </w:r>
      <w:r w:rsidR="00ED7A24">
        <w:rPr>
          <w:rFonts w:ascii="Times New Roman" w:eastAsia="Times New Roman" w:hAnsi="Times New Roman" w:cs="Times New Roman"/>
          <w:sz w:val="24"/>
          <w:szCs w:val="24"/>
        </w:rPr>
        <w:t>2022</w:t>
      </w:r>
      <w:r w:rsidRPr="003A2AD1">
        <w:rPr>
          <w:rFonts w:ascii="Times New Roman" w:eastAsia="Times New Roman" w:hAnsi="Times New Roman" w:cs="Times New Roman"/>
          <w:sz w:val="24"/>
          <w:szCs w:val="24"/>
        </w:rPr>
        <w:t>-31 martie</w:t>
      </w:r>
      <w:r w:rsidR="00ED7A24">
        <w:rPr>
          <w:rFonts w:ascii="Times New Roman" w:eastAsia="Times New Roman" w:hAnsi="Times New Roman" w:cs="Times New Roman"/>
          <w:sz w:val="24"/>
          <w:szCs w:val="24"/>
        </w:rPr>
        <w:t xml:space="preserve"> 2023</w:t>
      </w:r>
      <w:r w:rsidRPr="003A2AD1">
        <w:rPr>
          <w:rFonts w:ascii="Times New Roman" w:eastAsia="Times New Roman" w:hAnsi="Times New Roman" w:cs="Times New Roman"/>
          <w:sz w:val="24"/>
          <w:szCs w:val="24"/>
        </w:rPr>
        <w:t xml:space="preserve"> se determin</w:t>
      </w:r>
      <w:r w:rsidR="00ED7A24">
        <w:rPr>
          <w:rFonts w:ascii="Times New Roman" w:eastAsia="Times New Roman" w:hAnsi="Times New Roman" w:cs="Times New Roman"/>
          <w:sz w:val="24"/>
          <w:szCs w:val="24"/>
        </w:rPr>
        <w:t>ă</w:t>
      </w:r>
      <w:r w:rsidRPr="003A2AD1">
        <w:rPr>
          <w:rFonts w:ascii="Times New Roman" w:eastAsia="Times New Roman" w:hAnsi="Times New Roman" w:cs="Times New Roman"/>
          <w:sz w:val="24"/>
          <w:szCs w:val="24"/>
        </w:rPr>
        <w:t xml:space="preserve"> aplic</w:t>
      </w:r>
      <w:r w:rsidR="00ED7A24">
        <w:rPr>
          <w:rFonts w:ascii="Times New Roman" w:eastAsia="Times New Roman" w:hAnsi="Times New Roman" w:cs="Times New Roman"/>
          <w:sz w:val="24"/>
          <w:szCs w:val="24"/>
        </w:rPr>
        <w:t>â</w:t>
      </w:r>
      <w:r w:rsidRPr="003A2AD1">
        <w:rPr>
          <w:rFonts w:ascii="Times New Roman" w:eastAsia="Times New Roman" w:hAnsi="Times New Roman" w:cs="Times New Roman"/>
          <w:sz w:val="24"/>
          <w:szCs w:val="24"/>
        </w:rPr>
        <w:t>nd cantit</w:t>
      </w:r>
      <w:r w:rsidR="00ED7A24">
        <w:rPr>
          <w:rFonts w:ascii="Times New Roman" w:eastAsia="Times New Roman" w:hAnsi="Times New Roman" w:cs="Times New Roman"/>
          <w:sz w:val="24"/>
          <w:szCs w:val="24"/>
        </w:rPr>
        <w:t>ăț</w:t>
      </w:r>
      <w:r w:rsidRPr="003A2AD1">
        <w:rPr>
          <w:rFonts w:ascii="Times New Roman" w:eastAsia="Times New Roman" w:hAnsi="Times New Roman" w:cs="Times New Roman"/>
          <w:sz w:val="24"/>
          <w:szCs w:val="24"/>
        </w:rPr>
        <w:t xml:space="preserve">ii determinate cu formula </w:t>
      </w:r>
      <w:r w:rsidR="00F02C15">
        <w:rPr>
          <w:rFonts w:ascii="Times New Roman" w:eastAsia="Times New Roman" w:hAnsi="Times New Roman" w:cs="Times New Roman"/>
          <w:sz w:val="24"/>
          <w:szCs w:val="24"/>
        </w:rPr>
        <w:t>prevăzută</w:t>
      </w:r>
      <w:r>
        <w:rPr>
          <w:rFonts w:ascii="Times New Roman" w:eastAsia="Times New Roman" w:hAnsi="Times New Roman" w:cs="Times New Roman"/>
          <w:sz w:val="24"/>
          <w:szCs w:val="24"/>
        </w:rPr>
        <w:t xml:space="preserve"> la p</w:t>
      </w:r>
      <w:r w:rsidR="00F02C15">
        <w:rPr>
          <w:rFonts w:ascii="Times New Roman" w:eastAsia="Times New Roman" w:hAnsi="Times New Roman" w:cs="Times New Roman"/>
          <w:sz w:val="24"/>
          <w:szCs w:val="24"/>
        </w:rPr>
        <w:t>ct.</w:t>
      </w:r>
      <w:r>
        <w:rPr>
          <w:rFonts w:ascii="Times New Roman" w:eastAsia="Times New Roman" w:hAnsi="Times New Roman" w:cs="Times New Roman"/>
          <w:sz w:val="24"/>
          <w:szCs w:val="24"/>
        </w:rPr>
        <w:t xml:space="preserve"> </w:t>
      </w:r>
      <w:r w:rsidRPr="003A2AD1">
        <w:rPr>
          <w:rFonts w:ascii="Times New Roman" w:eastAsia="Times New Roman" w:hAnsi="Times New Roman" w:cs="Times New Roman"/>
          <w:sz w:val="24"/>
          <w:szCs w:val="24"/>
        </w:rPr>
        <w:t>6</w:t>
      </w:r>
      <w:r>
        <w:rPr>
          <w:rFonts w:ascii="Times New Roman" w:eastAsia="Times New Roman" w:hAnsi="Times New Roman" w:cs="Times New Roman"/>
          <w:sz w:val="24"/>
          <w:szCs w:val="24"/>
        </w:rPr>
        <w:t xml:space="preserve"> lit.</w:t>
      </w:r>
      <w:r w:rsidRPr="003A2AD1">
        <w:rPr>
          <w:rFonts w:ascii="Times New Roman" w:eastAsia="Times New Roman" w:hAnsi="Times New Roman" w:cs="Times New Roman"/>
          <w:sz w:val="24"/>
          <w:szCs w:val="24"/>
        </w:rPr>
        <w:t xml:space="preserve">c) </w:t>
      </w:r>
      <w:r w:rsidR="00ED7A24" w:rsidRPr="003A2AD1">
        <w:rPr>
          <w:rFonts w:ascii="Times New Roman" w:eastAsia="Times New Roman" w:hAnsi="Times New Roman" w:cs="Times New Roman"/>
          <w:color w:val="000000"/>
          <w:sz w:val="24"/>
          <w:szCs w:val="24"/>
        </w:rPr>
        <w:t xml:space="preserve">din Anexa nr. 5 </w:t>
      </w:r>
      <w:r w:rsidR="00ED7A24">
        <w:rPr>
          <w:rFonts w:ascii="Times New Roman" w:eastAsia="Times New Roman" w:hAnsi="Times New Roman" w:cs="Times New Roman"/>
          <w:color w:val="000000"/>
          <w:sz w:val="24"/>
          <w:szCs w:val="24"/>
        </w:rPr>
        <w:t xml:space="preserve">la OUG nr. 27/2022 </w:t>
      </w:r>
      <w:r w:rsidRPr="003A2AD1">
        <w:rPr>
          <w:rFonts w:ascii="Times New Roman" w:eastAsia="Times New Roman" w:hAnsi="Times New Roman" w:cs="Times New Roman"/>
          <w:sz w:val="24"/>
          <w:szCs w:val="24"/>
        </w:rPr>
        <w:t>ponderea calculat</w:t>
      </w:r>
      <w:r>
        <w:rPr>
          <w:rFonts w:ascii="Times New Roman" w:eastAsia="Times New Roman" w:hAnsi="Times New Roman" w:cs="Times New Roman"/>
          <w:sz w:val="24"/>
          <w:szCs w:val="24"/>
        </w:rPr>
        <w:t>ă</w:t>
      </w:r>
      <w:r w:rsidRPr="003A2AD1">
        <w:rPr>
          <w:rFonts w:ascii="Times New Roman" w:eastAsia="Times New Roman" w:hAnsi="Times New Roman" w:cs="Times New Roman"/>
          <w:sz w:val="24"/>
          <w:szCs w:val="24"/>
        </w:rPr>
        <w:t xml:space="preserve"> la punctul a). </w:t>
      </w:r>
    </w:p>
    <w:p w:rsidR="003A2AD1" w:rsidRDefault="003A2AD1" w:rsidP="00A82DFB">
      <w:pPr>
        <w:pStyle w:val="BodyText3"/>
        <w:spacing w:after="0" w:line="276" w:lineRule="auto"/>
        <w:ind w:left="720"/>
        <w:jc w:val="both"/>
        <w:rPr>
          <w:rFonts w:ascii="Times New Roman" w:eastAsia="Times New Roman" w:hAnsi="Times New Roman"/>
          <w:sz w:val="24"/>
          <w:szCs w:val="24"/>
        </w:rPr>
      </w:pPr>
      <w:r w:rsidRPr="003A2AD1">
        <w:rPr>
          <w:rFonts w:ascii="Times New Roman" w:eastAsia="Times New Roman" w:hAnsi="Times New Roman"/>
          <w:sz w:val="24"/>
          <w:szCs w:val="24"/>
        </w:rPr>
        <w:t xml:space="preserve">Cantitatea destinată consumului PET se obține prin diferență dintre obligația producătorului calculată conform formulei </w:t>
      </w:r>
      <w:r w:rsidR="00FF74FD">
        <w:rPr>
          <w:rFonts w:ascii="Times New Roman" w:eastAsia="Times New Roman" w:hAnsi="Times New Roman"/>
          <w:sz w:val="24"/>
          <w:szCs w:val="24"/>
        </w:rPr>
        <w:t>prevăzute</w:t>
      </w:r>
      <w:r w:rsidRPr="003A2AD1">
        <w:rPr>
          <w:rFonts w:ascii="Times New Roman" w:eastAsia="Times New Roman" w:hAnsi="Times New Roman"/>
          <w:sz w:val="24"/>
          <w:szCs w:val="24"/>
        </w:rPr>
        <w:t xml:space="preserve"> la p</w:t>
      </w:r>
      <w:r w:rsidR="00FF74FD">
        <w:rPr>
          <w:rFonts w:ascii="Times New Roman" w:eastAsia="Times New Roman" w:hAnsi="Times New Roman"/>
          <w:sz w:val="24"/>
          <w:szCs w:val="24"/>
        </w:rPr>
        <w:t>ct.</w:t>
      </w:r>
      <w:r w:rsidRPr="003A2AD1">
        <w:rPr>
          <w:rFonts w:ascii="Times New Roman" w:eastAsia="Times New Roman" w:hAnsi="Times New Roman"/>
          <w:sz w:val="24"/>
          <w:szCs w:val="24"/>
        </w:rPr>
        <w:t xml:space="preserve"> 6 lit. a) din Anexa nr. 5 </w:t>
      </w:r>
      <w:r w:rsidR="00F02C15">
        <w:rPr>
          <w:rFonts w:ascii="Times New Roman" w:eastAsia="Times New Roman" w:hAnsi="Times New Roman"/>
          <w:sz w:val="24"/>
          <w:szCs w:val="24"/>
        </w:rPr>
        <w:t xml:space="preserve">la OUG nr. 27/2022 </w:t>
      </w:r>
      <w:r w:rsidRPr="003A2AD1">
        <w:rPr>
          <w:rFonts w:ascii="Times New Roman" w:eastAsia="Times New Roman" w:hAnsi="Times New Roman"/>
          <w:sz w:val="24"/>
          <w:szCs w:val="24"/>
        </w:rPr>
        <w:t>și defalcarea astfel obținută.</w:t>
      </w:r>
    </w:p>
    <w:p w:rsidR="00367E61" w:rsidRPr="00D86A98" w:rsidRDefault="00367E61" w:rsidP="003A2AD1">
      <w:pPr>
        <w:spacing w:line="360" w:lineRule="auto"/>
        <w:jc w:val="both"/>
        <w:rPr>
          <w:bCs/>
          <w:color w:val="000000"/>
        </w:rPr>
      </w:pPr>
    </w:p>
    <w:p w:rsidR="003B0D9B" w:rsidRPr="00D86A98" w:rsidRDefault="003B0D9B" w:rsidP="004A3296">
      <w:pPr>
        <w:pStyle w:val="BodyText3"/>
        <w:spacing w:after="0" w:line="276" w:lineRule="auto"/>
        <w:ind w:firstLine="720"/>
        <w:jc w:val="right"/>
      </w:pPr>
      <w:bookmarkStart w:id="5" w:name="_GoBack"/>
      <w:bookmarkEnd w:id="5"/>
    </w:p>
    <w:sectPr w:rsidR="003B0D9B" w:rsidRPr="00D86A98" w:rsidSect="0027738A">
      <w:footerReference w:type="default" r:id="rId8"/>
      <w:headerReference w:type="first" r:id="rId9"/>
      <w:footerReference w:type="first" r:id="rId10"/>
      <w:pgSz w:w="11906" w:h="16838" w:code="9"/>
      <w:pgMar w:top="1418" w:right="760" w:bottom="1276" w:left="1418" w:header="850"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6090" w:rsidRDefault="00DD6090" w:rsidP="003B4C37">
      <w:r>
        <w:separator/>
      </w:r>
    </w:p>
  </w:endnote>
  <w:endnote w:type="continuationSeparator" w:id="0">
    <w:p w:rsidR="00DD6090" w:rsidRDefault="00DD6090" w:rsidP="003B4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906530"/>
      <w:docPartObj>
        <w:docPartGallery w:val="Page Numbers (Bottom of Page)"/>
        <w:docPartUnique/>
      </w:docPartObj>
    </w:sdtPr>
    <w:sdtEndPr>
      <w:rPr>
        <w:noProof/>
      </w:rPr>
    </w:sdtEndPr>
    <w:sdtContent>
      <w:p w:rsidR="00561D6D" w:rsidRDefault="00561D6D">
        <w:pPr>
          <w:pStyle w:val="Footer"/>
          <w:jc w:val="center"/>
        </w:pPr>
        <w:r>
          <w:fldChar w:fldCharType="begin"/>
        </w:r>
        <w:r>
          <w:instrText xml:space="preserve"> PAGE   \* MERGEFORMAT </w:instrText>
        </w:r>
        <w:r>
          <w:fldChar w:fldCharType="separate"/>
        </w:r>
        <w:r w:rsidR="00B5370D">
          <w:rPr>
            <w:noProof/>
          </w:rPr>
          <w:t>4</w:t>
        </w:r>
        <w:r>
          <w:rPr>
            <w:noProof/>
          </w:rPr>
          <w:fldChar w:fldCharType="end"/>
        </w:r>
      </w:p>
    </w:sdtContent>
  </w:sdt>
  <w:p w:rsidR="00561D6D" w:rsidRDefault="0056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3D04" w:rsidRDefault="00043D04" w:rsidP="00043D04">
    <w:pPr>
      <w:tabs>
        <w:tab w:val="center" w:pos="4864"/>
        <w:tab w:val="right" w:pos="9728"/>
      </w:tabs>
      <w:spacing w:after="40"/>
      <w:jc w:val="center"/>
      <w:rPr>
        <w:rFonts w:ascii="Arial" w:hAnsi="Arial" w:cs="Arial"/>
        <w:sz w:val="16"/>
      </w:rPr>
    </w:pPr>
    <w:r>
      <w:rPr>
        <w:rFonts w:ascii="Arial" w:hAnsi="Arial" w:cs="Arial"/>
        <w:sz w:val="16"/>
      </w:rPr>
      <w:t>Str. Constantin Nacu, nr. 3, Sector 2, Bucure</w:t>
    </w:r>
    <w:r w:rsidR="00497360">
      <w:rPr>
        <w:rFonts w:ascii="Arial" w:hAnsi="Arial" w:cs="Arial"/>
        <w:sz w:val="16"/>
      </w:rPr>
      <w:t>ș</w:t>
    </w:r>
    <w:r>
      <w:rPr>
        <w:rFonts w:ascii="Arial" w:hAnsi="Arial" w:cs="Arial"/>
        <w:sz w:val="16"/>
      </w:rPr>
      <w:t>ti, Cod po</w:t>
    </w:r>
    <w:r w:rsidR="00497360">
      <w:rPr>
        <w:rFonts w:ascii="Arial" w:hAnsi="Arial" w:cs="Arial"/>
        <w:sz w:val="16"/>
      </w:rPr>
      <w:t>ș</w:t>
    </w:r>
    <w:r>
      <w:rPr>
        <w:rFonts w:ascii="Arial" w:hAnsi="Arial" w:cs="Arial"/>
        <w:sz w:val="16"/>
      </w:rPr>
      <w:t>tal: 020995</w:t>
    </w:r>
  </w:p>
  <w:p w:rsidR="00043D04" w:rsidRDefault="00043D04" w:rsidP="00043D04">
    <w:pPr>
      <w:tabs>
        <w:tab w:val="center" w:pos="4864"/>
        <w:tab w:val="left" w:pos="8235"/>
      </w:tabs>
      <w:spacing w:after="40"/>
      <w:jc w:val="center"/>
      <w:rPr>
        <w:rFonts w:ascii="Arial" w:hAnsi="Arial" w:cs="Arial"/>
        <w:sz w:val="16"/>
      </w:rPr>
    </w:pPr>
    <w:r>
      <w:rPr>
        <w:rFonts w:ascii="Arial" w:hAnsi="Arial" w:cs="Arial"/>
        <w:sz w:val="16"/>
      </w:rPr>
      <w:t>Tel: (021) 327 8100. Fax: (021) 312 4365. E-mail: anre@anre.ro. Web: www.anre.ro</w:t>
    </w:r>
  </w:p>
  <w:p w:rsidR="00043D04" w:rsidRDefault="00043D04" w:rsidP="00043D04">
    <w:pPr>
      <w:tabs>
        <w:tab w:val="center" w:pos="4864"/>
        <w:tab w:val="left" w:pos="8235"/>
      </w:tabs>
      <w:spacing w:after="40"/>
      <w:jc w:val="center"/>
      <w:rPr>
        <w:rFonts w:ascii="Arial" w:hAnsi="Arial" w:cs="Arial"/>
        <w:sz w:val="16"/>
      </w:rPr>
    </w:pPr>
    <w:r>
      <w:rPr>
        <w:noProof/>
        <w:lang w:val="en-GB" w:eastAsia="en-GB"/>
      </w:rPr>
      <w:drawing>
        <wp:anchor distT="0" distB="0" distL="114300" distR="114300" simplePos="0" relativeHeight="251667456" behindDoc="1" locked="0" layoutInCell="1" allowOverlap="1" wp14:anchorId="3B5C1D6D" wp14:editId="57E1B25E">
          <wp:simplePos x="0" y="0"/>
          <wp:positionH relativeFrom="column">
            <wp:posOffset>5814695</wp:posOffset>
          </wp:positionH>
          <wp:positionV relativeFrom="page">
            <wp:posOffset>10182225</wp:posOffset>
          </wp:positionV>
          <wp:extent cx="353695" cy="353695"/>
          <wp:effectExtent l="0" t="0" r="8255" b="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3695" cy="353695"/>
                  </a:xfrm>
                  <a:prstGeom prst="rect">
                    <a:avLst/>
                  </a:prstGeom>
                  <a:noFill/>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6432" behindDoc="1" locked="0" layoutInCell="1" allowOverlap="1" wp14:anchorId="08849CD7" wp14:editId="62818BAA">
          <wp:simplePos x="0" y="0"/>
          <wp:positionH relativeFrom="column">
            <wp:posOffset>5441950</wp:posOffset>
          </wp:positionH>
          <wp:positionV relativeFrom="page">
            <wp:posOffset>10182225</wp:posOffset>
          </wp:positionV>
          <wp:extent cx="353695" cy="353695"/>
          <wp:effectExtent l="0" t="0" r="8255"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53695" cy="35369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16"/>
      </w:rPr>
      <w:t>ANRE, în calitate de operator de date cu caracter personal, respecta prevederile Regulamentului UE nr. 679/2016</w:t>
    </w:r>
  </w:p>
  <w:p w:rsidR="00043D04" w:rsidRDefault="00497360" w:rsidP="00043D04">
    <w:pPr>
      <w:tabs>
        <w:tab w:val="center" w:pos="4864"/>
        <w:tab w:val="left" w:pos="8235"/>
      </w:tabs>
      <w:spacing w:after="40"/>
      <w:jc w:val="center"/>
      <w:rPr>
        <w:rFonts w:ascii="Arial" w:hAnsi="Arial" w:cs="Arial"/>
        <w:sz w:val="16"/>
      </w:rPr>
    </w:pPr>
    <w:r>
      <w:rPr>
        <w:rFonts w:ascii="Arial" w:hAnsi="Arial" w:cs="Arial"/>
        <w:sz w:val="16"/>
      </w:rPr>
      <w:t>ș</w:t>
    </w:r>
    <w:r w:rsidR="00043D04">
      <w:rPr>
        <w:rFonts w:ascii="Arial" w:hAnsi="Arial" w:cs="Arial"/>
        <w:sz w:val="16"/>
      </w:rPr>
      <w:t>i reglementările interne în vigoare în materia protec</w:t>
    </w:r>
    <w:r>
      <w:rPr>
        <w:rFonts w:ascii="Arial" w:hAnsi="Arial" w:cs="Arial"/>
        <w:sz w:val="16"/>
      </w:rPr>
      <w:t>ț</w:t>
    </w:r>
    <w:r w:rsidR="00043D04">
      <w:rPr>
        <w:rFonts w:ascii="Arial" w:hAnsi="Arial" w:cs="Arial"/>
        <w:sz w:val="16"/>
      </w:rPr>
      <w:t>iei datelor cu caracter personal</w:t>
    </w:r>
  </w:p>
  <w:p w:rsidR="003B4C37" w:rsidRPr="00160D1D" w:rsidRDefault="00C473AD" w:rsidP="00043D04">
    <w:pPr>
      <w:tabs>
        <w:tab w:val="center" w:pos="4864"/>
        <w:tab w:val="right" w:pos="9728"/>
      </w:tabs>
      <w:spacing w:after="40"/>
      <w:rPr>
        <w:rFonts w:ascii="Arial" w:hAnsi="Arial" w:cs="Arial"/>
        <w:sz w:val="16"/>
      </w:rPr>
    </w:pPr>
    <w:r>
      <w:rPr>
        <w:rFonts w:ascii="Arial" w:hAnsi="Arial" w:cs="Arial"/>
        <w:sz w:val="16"/>
      </w:rPr>
      <w:t xml:space="preserve">  </w:t>
    </w:r>
    <w:r w:rsidR="00F80B77">
      <w:rPr>
        <w:rFonts w:ascii="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6090" w:rsidRDefault="00DD6090" w:rsidP="003B4C37">
      <w:r>
        <w:separator/>
      </w:r>
    </w:p>
  </w:footnote>
  <w:footnote w:type="continuationSeparator" w:id="0">
    <w:p w:rsidR="00DD6090" w:rsidRDefault="00DD6090" w:rsidP="003B4C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27D9" w:rsidRDefault="003B5D29" w:rsidP="003927D9">
    <w:pPr>
      <w:pStyle w:val="Header"/>
      <w:tabs>
        <w:tab w:val="clear" w:pos="9026"/>
        <w:tab w:val="right" w:pos="7349"/>
      </w:tabs>
    </w:pPr>
    <w:r>
      <w:rPr>
        <w:noProof/>
        <w:lang w:val="en-GB" w:eastAsia="en-GB"/>
      </w:rPr>
      <w:drawing>
        <wp:inline distT="0" distB="0" distL="0" distR="0" wp14:anchorId="79E3E6A4" wp14:editId="3714198A">
          <wp:extent cx="834390" cy="70763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46270" cy="717710"/>
                  </a:xfrm>
                  <a:prstGeom prst="rect">
                    <a:avLst/>
                  </a:prstGeom>
                </pic:spPr>
              </pic:pic>
            </a:graphicData>
          </a:graphic>
        </wp:inline>
      </w:drawing>
    </w:r>
    <w:r w:rsidR="00DD2CC7">
      <w:rPr>
        <w:noProof/>
        <w:lang w:val="en-GB" w:eastAsia="en-GB"/>
      </w:rPr>
      <mc:AlternateContent>
        <mc:Choice Requires="wps">
          <w:drawing>
            <wp:anchor distT="0" distB="0" distL="114300" distR="114300" simplePos="0" relativeHeight="251664384" behindDoc="0" locked="0" layoutInCell="1" allowOverlap="1" wp14:anchorId="192495A2" wp14:editId="2B8D1ACE">
              <wp:simplePos x="0" y="0"/>
              <wp:positionH relativeFrom="margin">
                <wp:posOffset>539750</wp:posOffset>
              </wp:positionH>
              <wp:positionV relativeFrom="page">
                <wp:posOffset>449581</wp:posOffset>
              </wp:positionV>
              <wp:extent cx="5191125" cy="594360"/>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94360"/>
                      </a:xfrm>
                      <a:prstGeom prst="rect">
                        <a:avLst/>
                      </a:prstGeom>
                      <a:noFill/>
                      <a:ln w="6350">
                        <a:noFill/>
                      </a:ln>
                      <a:effectLst/>
                    </wps:spPr>
                    <wps:txbx>
                      <w:txbxContent>
                        <w:p w:rsidR="00DD2CC7" w:rsidRPr="003B5D29" w:rsidRDefault="00DD2CC7" w:rsidP="00DD2CC7">
                          <w:pPr>
                            <w:spacing w:line="360" w:lineRule="auto"/>
                            <w:rPr>
                              <w:rFonts w:ascii="Arial" w:hAnsi="Arial" w:cs="Arial"/>
                              <w:b/>
                              <w:sz w:val="22"/>
                              <w:szCs w:val="22"/>
                            </w:rPr>
                          </w:pPr>
                          <w:r w:rsidRPr="003B5D29">
                            <w:rPr>
                              <w:rFonts w:ascii="Arial" w:hAnsi="Arial" w:cs="Arial"/>
                              <w:b/>
                              <w:sz w:val="22"/>
                              <w:szCs w:val="22"/>
                            </w:rPr>
                            <w:t>AUTORITATEA NA</w:t>
                          </w:r>
                          <w:r w:rsidR="00497360">
                            <w:rPr>
                              <w:rFonts w:ascii="Arial" w:hAnsi="Arial" w:cs="Arial"/>
                              <w:b/>
                              <w:sz w:val="22"/>
                              <w:szCs w:val="22"/>
                            </w:rPr>
                            <w:t>Ț</w:t>
                          </w:r>
                          <w:r w:rsidRPr="003B5D29">
                            <w:rPr>
                              <w:rFonts w:ascii="Arial" w:hAnsi="Arial" w:cs="Arial"/>
                              <w:b/>
                              <w:sz w:val="22"/>
                              <w:szCs w:val="22"/>
                            </w:rPr>
                            <w:t>IONALĂ DE REGLEMENTARE ÎN DOMENIUL ENERGIEI</w:t>
                          </w:r>
                        </w:p>
                        <w:p w:rsidR="00DD2CC7" w:rsidRPr="004B1447" w:rsidRDefault="00DD2CC7" w:rsidP="00E01D0C">
                          <w:pPr>
                            <w:rPr>
                              <w:rFonts w:ascii="Arial" w:hAnsi="Arial" w:cs="Arial"/>
                              <w:sz w:val="20"/>
                            </w:rPr>
                          </w:pPr>
                        </w:p>
                        <w:p w:rsidR="00DD2CC7" w:rsidRDefault="00DD2CC7" w:rsidP="00E01D0C">
                          <w:pPr>
                            <w:rPr>
                              <w:rFonts w:ascii="Arial" w:hAnsi="Arial" w:cs="Arial"/>
                              <w:sz w:val="20"/>
                            </w:rPr>
                          </w:pPr>
                        </w:p>
                        <w:p w:rsidR="00DD2CC7" w:rsidRDefault="00DD2CC7" w:rsidP="00DD2CC7">
                          <w:pPr>
                            <w:jc w:val="center"/>
                            <w:rPr>
                              <w:rFonts w:ascii="Arial" w:hAnsi="Arial" w:cs="Arial"/>
                              <w:sz w:val="20"/>
                            </w:rPr>
                          </w:pPr>
                        </w:p>
                        <w:p w:rsidR="00DD2CC7" w:rsidRDefault="00DD2CC7" w:rsidP="00DD2CC7">
                          <w:pPr>
                            <w:jc w:val="center"/>
                            <w:rPr>
                              <w:rFonts w:ascii="Arial" w:hAnsi="Arial" w:cs="Arial"/>
                              <w:sz w:val="20"/>
                            </w:rPr>
                          </w:pPr>
                        </w:p>
                        <w:p w:rsidR="00DD2CC7" w:rsidRDefault="00DD2CC7" w:rsidP="00DD2CC7">
                          <w:pPr>
                            <w:jc w:val="center"/>
                            <w:rPr>
                              <w:rFonts w:ascii="Arial" w:hAnsi="Arial" w:cs="Arial"/>
                              <w:sz w:val="20"/>
                            </w:rPr>
                          </w:pPr>
                          <w:r>
                            <w:rPr>
                              <w:rFonts w:ascii="Arial" w:hAnsi="Arial" w:cs="Arial"/>
                              <w:sz w:val="20"/>
                            </w:rPr>
                            <w:t>………..</w:t>
                          </w:r>
                        </w:p>
                        <w:p w:rsidR="00DD2CC7" w:rsidRDefault="00DD2CC7" w:rsidP="00DD2CC7">
                          <w:pPr>
                            <w:jc w:val="center"/>
                            <w:rPr>
                              <w:rFonts w:ascii="Arial" w:hAnsi="Arial" w:cs="Arial"/>
                              <w:sz w:val="20"/>
                            </w:rPr>
                          </w:pPr>
                        </w:p>
                        <w:p w:rsidR="00DD2CC7" w:rsidRDefault="00DD2CC7" w:rsidP="00DD2CC7">
                          <w:pPr>
                            <w:jc w:val="center"/>
                            <w:rPr>
                              <w:rFonts w:ascii="Arial" w:hAnsi="Arial" w:cs="Arial"/>
                              <w:sz w:val="20"/>
                            </w:rPr>
                          </w:pPr>
                        </w:p>
                        <w:p w:rsidR="00DD2CC7" w:rsidRPr="004B1447" w:rsidRDefault="00DD2CC7" w:rsidP="00DD2CC7">
                          <w:pPr>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2495A2" id="_x0000_t202" coordsize="21600,21600" o:spt="202" path="m,l,21600r21600,l21600,xe">
              <v:stroke joinstyle="miter"/>
              <v:path gradientshapeok="t" o:connecttype="rect"/>
            </v:shapetype>
            <v:shape id="Text Box 1" o:spid="_x0000_s1026" type="#_x0000_t202" style="position:absolute;margin-left:42.5pt;margin-top:35.4pt;width:408.75pt;height:46.8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" filled="f" stroked="f" strokeweight=".5pt">
              <v:textbox>
                <w:txbxContent>
                  <w:p w:rsidR="00DD2CC7" w:rsidRPr="003B5D29" w:rsidRDefault="00DD2CC7" w:rsidP="00DD2CC7">
                    <w:pPr>
                      <w:spacing w:line="360" w:lineRule="auto"/>
                      <w:rPr>
                        <w:rFonts w:ascii="Arial" w:hAnsi="Arial" w:cs="Arial"/>
                        <w:b/>
                        <w:sz w:val="22"/>
                        <w:szCs w:val="22"/>
                      </w:rPr>
                    </w:pPr>
                    <w:r w:rsidRPr="003B5D29">
                      <w:rPr>
                        <w:rFonts w:ascii="Arial" w:hAnsi="Arial" w:cs="Arial"/>
                        <w:b/>
                        <w:sz w:val="22"/>
                        <w:szCs w:val="22"/>
                      </w:rPr>
                      <w:t>AUTORITATEA NA</w:t>
                    </w:r>
                    <w:r w:rsidR="00497360">
                      <w:rPr>
                        <w:rFonts w:ascii="Arial" w:hAnsi="Arial" w:cs="Arial"/>
                        <w:b/>
                        <w:sz w:val="22"/>
                        <w:szCs w:val="22"/>
                      </w:rPr>
                      <w:t>Ț</w:t>
                    </w:r>
                    <w:r w:rsidRPr="003B5D29">
                      <w:rPr>
                        <w:rFonts w:ascii="Arial" w:hAnsi="Arial" w:cs="Arial"/>
                        <w:b/>
                        <w:sz w:val="22"/>
                        <w:szCs w:val="22"/>
                      </w:rPr>
                      <w:t>IONALĂ DE REGLEMENTARE ÎN DOMENIUL ENERGIEI</w:t>
                    </w:r>
                  </w:p>
                  <w:p w:rsidR="00DD2CC7" w:rsidRPr="004B1447" w:rsidRDefault="00DD2CC7" w:rsidP="00E01D0C">
                    <w:pPr>
                      <w:rPr>
                        <w:rFonts w:ascii="Arial" w:hAnsi="Arial" w:cs="Arial"/>
                        <w:sz w:val="20"/>
                      </w:rPr>
                    </w:pPr>
                  </w:p>
                  <w:p w:rsidR="00DD2CC7" w:rsidRDefault="00DD2CC7" w:rsidP="00E01D0C">
                    <w:pPr>
                      <w:rPr>
                        <w:rFonts w:ascii="Arial" w:hAnsi="Arial" w:cs="Arial"/>
                        <w:sz w:val="20"/>
                      </w:rPr>
                    </w:pPr>
                  </w:p>
                  <w:p w:rsidR="00DD2CC7" w:rsidRDefault="00DD2CC7" w:rsidP="00DD2CC7">
                    <w:pPr>
                      <w:jc w:val="center"/>
                      <w:rPr>
                        <w:rFonts w:ascii="Arial" w:hAnsi="Arial" w:cs="Arial"/>
                        <w:sz w:val="20"/>
                      </w:rPr>
                    </w:pPr>
                  </w:p>
                  <w:p w:rsidR="00DD2CC7" w:rsidRDefault="00DD2CC7" w:rsidP="00DD2CC7">
                    <w:pPr>
                      <w:jc w:val="center"/>
                      <w:rPr>
                        <w:rFonts w:ascii="Arial" w:hAnsi="Arial" w:cs="Arial"/>
                        <w:sz w:val="20"/>
                      </w:rPr>
                    </w:pPr>
                  </w:p>
                  <w:p w:rsidR="00DD2CC7" w:rsidRDefault="00DD2CC7" w:rsidP="00DD2CC7">
                    <w:pPr>
                      <w:jc w:val="center"/>
                      <w:rPr>
                        <w:rFonts w:ascii="Arial" w:hAnsi="Arial" w:cs="Arial"/>
                        <w:sz w:val="20"/>
                      </w:rPr>
                    </w:pPr>
                    <w:r>
                      <w:rPr>
                        <w:rFonts w:ascii="Arial" w:hAnsi="Arial" w:cs="Arial"/>
                        <w:sz w:val="20"/>
                      </w:rPr>
                      <w:t>………..</w:t>
                    </w:r>
                  </w:p>
                  <w:p w:rsidR="00DD2CC7" w:rsidRDefault="00DD2CC7" w:rsidP="00DD2CC7">
                    <w:pPr>
                      <w:jc w:val="center"/>
                      <w:rPr>
                        <w:rFonts w:ascii="Arial" w:hAnsi="Arial" w:cs="Arial"/>
                        <w:sz w:val="20"/>
                      </w:rPr>
                    </w:pPr>
                  </w:p>
                  <w:p w:rsidR="00DD2CC7" w:rsidRDefault="00DD2CC7" w:rsidP="00DD2CC7">
                    <w:pPr>
                      <w:jc w:val="center"/>
                      <w:rPr>
                        <w:rFonts w:ascii="Arial" w:hAnsi="Arial" w:cs="Arial"/>
                        <w:sz w:val="20"/>
                      </w:rPr>
                    </w:pPr>
                  </w:p>
                  <w:p w:rsidR="00DD2CC7" w:rsidRPr="004B1447" w:rsidRDefault="00DD2CC7" w:rsidP="00DD2CC7">
                    <w:pPr>
                      <w:jc w:val="center"/>
                      <w:rPr>
                        <w:rFonts w:ascii="Arial" w:hAnsi="Arial" w:cs="Arial"/>
                        <w:sz w:val="20"/>
                      </w:rPr>
                    </w:pPr>
                  </w:p>
                </w:txbxContent>
              </v:textbox>
              <w10:wrap anchorx="margin" anchory="page"/>
            </v:shape>
          </w:pict>
        </mc:Fallback>
      </mc:AlternateContent>
    </w:r>
    <w:r w:rsidR="005C58ED">
      <w:rPr>
        <w:noProof/>
        <w:lang w:val="en-GB" w:eastAsia="en-GB"/>
      </w:rPr>
      <w:drawing>
        <wp:anchor distT="0" distB="0" distL="114300" distR="114300" simplePos="0" relativeHeight="251661312" behindDoc="1" locked="0" layoutInCell="1" allowOverlap="1" wp14:anchorId="5F4A1817" wp14:editId="388B2098">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sidR="003B4C37" w:rsidRPr="006521DE">
      <w:rPr>
        <w:noProof/>
        <w:lang w:val="en-GB" w:eastAsia="en-GB"/>
      </w:rPr>
      <w:t xml:space="preserve"> </w:t>
    </w:r>
    <w:r w:rsidR="003B4C37">
      <w:t xml:space="preserve">                   </w:t>
    </w:r>
    <w:r w:rsidR="002E7BAE">
      <w:t xml:space="preserve">                   </w:t>
    </w:r>
    <w:r w:rsidR="003B4C37">
      <w:t xml:space="preserve">                      </w:t>
    </w:r>
    <w:r w:rsidR="00B25C27">
      <w:t xml:space="preserve">                                          </w:t>
    </w:r>
    <w:r w:rsidR="003B4C37">
      <w:t xml:space="preserve">  </w:t>
    </w:r>
    <w:r w:rsidR="00B25C27">
      <w:t xml:space="preserve"> </w:t>
    </w:r>
    <w:r w:rsidR="003B4C37">
      <w:t xml:space="preserve">                                            </w:t>
    </w:r>
    <w:r w:rsidR="005C58ED">
      <w:t xml:space="preserve">      </w:t>
    </w:r>
    <w:r w:rsidR="007C2B85">
      <w:t xml:space="preserve">      </w:t>
    </w:r>
    <w:r w:rsidR="005C58ED">
      <w:t xml:space="preserve">      </w:t>
    </w:r>
    <w:r w:rsidR="003B4C37">
      <w:t xml:space="preserve">                                                                     </w:t>
    </w:r>
  </w:p>
  <w:p w:rsidR="003B4C37" w:rsidRDefault="0027738A" w:rsidP="003927D9">
    <w:pPr>
      <w:pStyle w:val="Header"/>
      <w:tabs>
        <w:tab w:val="clear" w:pos="9026"/>
        <w:tab w:val="right" w:pos="7349"/>
      </w:tabs>
    </w:pPr>
    <w:r>
      <w:rPr>
        <w:noProof/>
        <w:lang w:val="en-GB" w:eastAsia="en-GB"/>
      </w:rPr>
      <mc:AlternateContent>
        <mc:Choice Requires="wps">
          <w:drawing>
            <wp:anchor distT="0" distB="0" distL="114300" distR="114300" simplePos="0" relativeHeight="251660288" behindDoc="0" locked="0" layoutInCell="1" allowOverlap="1" wp14:anchorId="4C6E32D2" wp14:editId="3AA086B2">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080BE18"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257E89"/>
    <w:multiLevelType w:val="hybridMultilevel"/>
    <w:tmpl w:val="3F04E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DEB77FF"/>
    <w:multiLevelType w:val="hybridMultilevel"/>
    <w:tmpl w:val="CF1E3E5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27A057E8"/>
    <w:multiLevelType w:val="hybridMultilevel"/>
    <w:tmpl w:val="3656E4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6102BD"/>
    <w:multiLevelType w:val="hybridMultilevel"/>
    <w:tmpl w:val="99D4DE06"/>
    <w:lvl w:ilvl="0" w:tplc="82380F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6EE5BC0"/>
    <w:multiLevelType w:val="multilevel"/>
    <w:tmpl w:val="B1B4DEC4"/>
    <w:lvl w:ilvl="0">
      <w:start w:val="1"/>
      <w:numFmt w:val="decimal"/>
      <w:lvlText w:val="Art. %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ABF4288"/>
    <w:multiLevelType w:val="hybridMultilevel"/>
    <w:tmpl w:val="183AF0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C535E9B"/>
    <w:multiLevelType w:val="hybridMultilevel"/>
    <w:tmpl w:val="42AE72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6"/>
  </w:num>
  <w:num w:numId="5">
    <w:abstractNumId w:val="4"/>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gutterAtTop/>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17CC0"/>
    <w:rsid w:val="00022DA3"/>
    <w:rsid w:val="00033D06"/>
    <w:rsid w:val="00043D04"/>
    <w:rsid w:val="00063D7D"/>
    <w:rsid w:val="00074640"/>
    <w:rsid w:val="00081BBD"/>
    <w:rsid w:val="00096493"/>
    <w:rsid w:val="000D42BC"/>
    <w:rsid w:val="000D4689"/>
    <w:rsid w:val="000F1139"/>
    <w:rsid w:val="000F4624"/>
    <w:rsid w:val="001054CF"/>
    <w:rsid w:val="00105822"/>
    <w:rsid w:val="00110360"/>
    <w:rsid w:val="00123A54"/>
    <w:rsid w:val="00126E6D"/>
    <w:rsid w:val="00130459"/>
    <w:rsid w:val="0013274F"/>
    <w:rsid w:val="00160D1D"/>
    <w:rsid w:val="00172D21"/>
    <w:rsid w:val="00191BE7"/>
    <w:rsid w:val="001930DD"/>
    <w:rsid w:val="001C49FC"/>
    <w:rsid w:val="001D243D"/>
    <w:rsid w:val="001D58E9"/>
    <w:rsid w:val="001D7EE6"/>
    <w:rsid w:val="001E15AA"/>
    <w:rsid w:val="001E3042"/>
    <w:rsid w:val="001E779F"/>
    <w:rsid w:val="001F2981"/>
    <w:rsid w:val="001F6855"/>
    <w:rsid w:val="00214C4B"/>
    <w:rsid w:val="002223F9"/>
    <w:rsid w:val="0023214C"/>
    <w:rsid w:val="00237E8A"/>
    <w:rsid w:val="00245B02"/>
    <w:rsid w:val="0024715F"/>
    <w:rsid w:val="002508E4"/>
    <w:rsid w:val="00262CA7"/>
    <w:rsid w:val="0026642A"/>
    <w:rsid w:val="0027738A"/>
    <w:rsid w:val="002A36ED"/>
    <w:rsid w:val="002B3467"/>
    <w:rsid w:val="002E53E1"/>
    <w:rsid w:val="002E7BAE"/>
    <w:rsid w:val="002F7A63"/>
    <w:rsid w:val="00301D0A"/>
    <w:rsid w:val="00314052"/>
    <w:rsid w:val="00314B19"/>
    <w:rsid w:val="00315655"/>
    <w:rsid w:val="003205AF"/>
    <w:rsid w:val="00331B49"/>
    <w:rsid w:val="00344031"/>
    <w:rsid w:val="00367E61"/>
    <w:rsid w:val="0037242D"/>
    <w:rsid w:val="00373BDF"/>
    <w:rsid w:val="00374FFC"/>
    <w:rsid w:val="003842D0"/>
    <w:rsid w:val="003850FE"/>
    <w:rsid w:val="003927D9"/>
    <w:rsid w:val="00395D85"/>
    <w:rsid w:val="003A2AD1"/>
    <w:rsid w:val="003B0D9B"/>
    <w:rsid w:val="003B0ECB"/>
    <w:rsid w:val="003B4C37"/>
    <w:rsid w:val="003B5D29"/>
    <w:rsid w:val="003C6BA2"/>
    <w:rsid w:val="003D501B"/>
    <w:rsid w:val="003D5B17"/>
    <w:rsid w:val="00403D8C"/>
    <w:rsid w:val="004058ED"/>
    <w:rsid w:val="00411450"/>
    <w:rsid w:val="00424E20"/>
    <w:rsid w:val="004278A4"/>
    <w:rsid w:val="00437C42"/>
    <w:rsid w:val="00444064"/>
    <w:rsid w:val="00444CFC"/>
    <w:rsid w:val="00455455"/>
    <w:rsid w:val="0047208B"/>
    <w:rsid w:val="00485BF1"/>
    <w:rsid w:val="00490D37"/>
    <w:rsid w:val="00494A49"/>
    <w:rsid w:val="00497360"/>
    <w:rsid w:val="004A3296"/>
    <w:rsid w:val="004A4323"/>
    <w:rsid w:val="004B45CB"/>
    <w:rsid w:val="004C0B86"/>
    <w:rsid w:val="004C3873"/>
    <w:rsid w:val="004C5E0A"/>
    <w:rsid w:val="004D2EAD"/>
    <w:rsid w:val="004F3090"/>
    <w:rsid w:val="0051189D"/>
    <w:rsid w:val="005203BF"/>
    <w:rsid w:val="00541005"/>
    <w:rsid w:val="00541B45"/>
    <w:rsid w:val="00545324"/>
    <w:rsid w:val="00561D6D"/>
    <w:rsid w:val="0056480B"/>
    <w:rsid w:val="005760A8"/>
    <w:rsid w:val="005844C1"/>
    <w:rsid w:val="00585969"/>
    <w:rsid w:val="005A334B"/>
    <w:rsid w:val="005A480A"/>
    <w:rsid w:val="005A4903"/>
    <w:rsid w:val="005A7E37"/>
    <w:rsid w:val="005B104E"/>
    <w:rsid w:val="005B444C"/>
    <w:rsid w:val="005B6169"/>
    <w:rsid w:val="005C58ED"/>
    <w:rsid w:val="005C6D67"/>
    <w:rsid w:val="005D116E"/>
    <w:rsid w:val="005D443F"/>
    <w:rsid w:val="005D7F2C"/>
    <w:rsid w:val="005E003D"/>
    <w:rsid w:val="005E0741"/>
    <w:rsid w:val="005F010B"/>
    <w:rsid w:val="005F2DBC"/>
    <w:rsid w:val="005F3D43"/>
    <w:rsid w:val="005F567E"/>
    <w:rsid w:val="006134E4"/>
    <w:rsid w:val="00620875"/>
    <w:rsid w:val="00624CB3"/>
    <w:rsid w:val="00625677"/>
    <w:rsid w:val="0062611A"/>
    <w:rsid w:val="00682A2E"/>
    <w:rsid w:val="00691AF7"/>
    <w:rsid w:val="00697EA6"/>
    <w:rsid w:val="006A2FB3"/>
    <w:rsid w:val="006B2107"/>
    <w:rsid w:val="006B2756"/>
    <w:rsid w:val="006D32EA"/>
    <w:rsid w:val="006D5F04"/>
    <w:rsid w:val="006E0DF7"/>
    <w:rsid w:val="006E0F78"/>
    <w:rsid w:val="00710579"/>
    <w:rsid w:val="00720C12"/>
    <w:rsid w:val="00731A4D"/>
    <w:rsid w:val="00735048"/>
    <w:rsid w:val="00787E01"/>
    <w:rsid w:val="007A183A"/>
    <w:rsid w:val="007B0C32"/>
    <w:rsid w:val="007B3DCB"/>
    <w:rsid w:val="007C07D1"/>
    <w:rsid w:val="007C0BC0"/>
    <w:rsid w:val="007C2B85"/>
    <w:rsid w:val="007E06C0"/>
    <w:rsid w:val="007E5B56"/>
    <w:rsid w:val="008220EA"/>
    <w:rsid w:val="00827CDE"/>
    <w:rsid w:val="00842446"/>
    <w:rsid w:val="00845749"/>
    <w:rsid w:val="008615E1"/>
    <w:rsid w:val="008627B3"/>
    <w:rsid w:val="00877AEF"/>
    <w:rsid w:val="00894771"/>
    <w:rsid w:val="00894B9D"/>
    <w:rsid w:val="00895766"/>
    <w:rsid w:val="008B315E"/>
    <w:rsid w:val="008B531F"/>
    <w:rsid w:val="008B5C27"/>
    <w:rsid w:val="008B6F8C"/>
    <w:rsid w:val="008C4C93"/>
    <w:rsid w:val="008D7198"/>
    <w:rsid w:val="008D7A6B"/>
    <w:rsid w:val="008E41FD"/>
    <w:rsid w:val="008E4593"/>
    <w:rsid w:val="008E5419"/>
    <w:rsid w:val="008F401E"/>
    <w:rsid w:val="00903E9B"/>
    <w:rsid w:val="00905335"/>
    <w:rsid w:val="00923D34"/>
    <w:rsid w:val="00926936"/>
    <w:rsid w:val="00937716"/>
    <w:rsid w:val="009458F5"/>
    <w:rsid w:val="00966807"/>
    <w:rsid w:val="00972732"/>
    <w:rsid w:val="00972CF9"/>
    <w:rsid w:val="00984997"/>
    <w:rsid w:val="009A35D8"/>
    <w:rsid w:val="009A4CB5"/>
    <w:rsid w:val="009A6B70"/>
    <w:rsid w:val="009B5A8E"/>
    <w:rsid w:val="009C01B6"/>
    <w:rsid w:val="009C3866"/>
    <w:rsid w:val="009C7A34"/>
    <w:rsid w:val="009E7178"/>
    <w:rsid w:val="00A06EE0"/>
    <w:rsid w:val="00A14658"/>
    <w:rsid w:val="00A23A48"/>
    <w:rsid w:val="00A260FE"/>
    <w:rsid w:val="00A30587"/>
    <w:rsid w:val="00A33C8B"/>
    <w:rsid w:val="00A35B62"/>
    <w:rsid w:val="00A41B3A"/>
    <w:rsid w:val="00A43E22"/>
    <w:rsid w:val="00A51753"/>
    <w:rsid w:val="00A642B5"/>
    <w:rsid w:val="00A735AD"/>
    <w:rsid w:val="00A75ADD"/>
    <w:rsid w:val="00A82DFB"/>
    <w:rsid w:val="00A946CF"/>
    <w:rsid w:val="00AC68ED"/>
    <w:rsid w:val="00AE065E"/>
    <w:rsid w:val="00AF589A"/>
    <w:rsid w:val="00B111CE"/>
    <w:rsid w:val="00B1590B"/>
    <w:rsid w:val="00B17B44"/>
    <w:rsid w:val="00B21FF5"/>
    <w:rsid w:val="00B25C27"/>
    <w:rsid w:val="00B26D3F"/>
    <w:rsid w:val="00B31376"/>
    <w:rsid w:val="00B45E89"/>
    <w:rsid w:val="00B473DF"/>
    <w:rsid w:val="00B51623"/>
    <w:rsid w:val="00B5370D"/>
    <w:rsid w:val="00B56190"/>
    <w:rsid w:val="00B57578"/>
    <w:rsid w:val="00B81C1F"/>
    <w:rsid w:val="00B8283E"/>
    <w:rsid w:val="00B92426"/>
    <w:rsid w:val="00BA0D74"/>
    <w:rsid w:val="00BA16A5"/>
    <w:rsid w:val="00BA4E67"/>
    <w:rsid w:val="00BB09B3"/>
    <w:rsid w:val="00BB1C85"/>
    <w:rsid w:val="00BD2AD7"/>
    <w:rsid w:val="00BE3B1E"/>
    <w:rsid w:val="00BE5DFF"/>
    <w:rsid w:val="00C04EC2"/>
    <w:rsid w:val="00C3208E"/>
    <w:rsid w:val="00C36461"/>
    <w:rsid w:val="00C409F7"/>
    <w:rsid w:val="00C410BE"/>
    <w:rsid w:val="00C42DF0"/>
    <w:rsid w:val="00C45609"/>
    <w:rsid w:val="00C473AD"/>
    <w:rsid w:val="00C677E7"/>
    <w:rsid w:val="00C70586"/>
    <w:rsid w:val="00C73C28"/>
    <w:rsid w:val="00C76612"/>
    <w:rsid w:val="00C87E7C"/>
    <w:rsid w:val="00C92BEB"/>
    <w:rsid w:val="00C97D9C"/>
    <w:rsid w:val="00CA135A"/>
    <w:rsid w:val="00CA5684"/>
    <w:rsid w:val="00CB1A92"/>
    <w:rsid w:val="00CD542F"/>
    <w:rsid w:val="00CE14AF"/>
    <w:rsid w:val="00CE16FC"/>
    <w:rsid w:val="00CE5D1E"/>
    <w:rsid w:val="00CE6E60"/>
    <w:rsid w:val="00CF0068"/>
    <w:rsid w:val="00D03785"/>
    <w:rsid w:val="00D077C2"/>
    <w:rsid w:val="00D17572"/>
    <w:rsid w:val="00D17C7B"/>
    <w:rsid w:val="00D31CB2"/>
    <w:rsid w:val="00D47766"/>
    <w:rsid w:val="00D6553D"/>
    <w:rsid w:val="00D66765"/>
    <w:rsid w:val="00D86A98"/>
    <w:rsid w:val="00DA4233"/>
    <w:rsid w:val="00DA6ECF"/>
    <w:rsid w:val="00DB728E"/>
    <w:rsid w:val="00DD2CC7"/>
    <w:rsid w:val="00DD3A98"/>
    <w:rsid w:val="00DD6090"/>
    <w:rsid w:val="00DF3F6F"/>
    <w:rsid w:val="00E01D0C"/>
    <w:rsid w:val="00E26E8F"/>
    <w:rsid w:val="00E51E39"/>
    <w:rsid w:val="00E548AC"/>
    <w:rsid w:val="00E63643"/>
    <w:rsid w:val="00E7620D"/>
    <w:rsid w:val="00EA2F0B"/>
    <w:rsid w:val="00EB190A"/>
    <w:rsid w:val="00EB6084"/>
    <w:rsid w:val="00EC0795"/>
    <w:rsid w:val="00EC6AF3"/>
    <w:rsid w:val="00ED0002"/>
    <w:rsid w:val="00ED665F"/>
    <w:rsid w:val="00ED7A24"/>
    <w:rsid w:val="00EE2157"/>
    <w:rsid w:val="00EE57AF"/>
    <w:rsid w:val="00F02C15"/>
    <w:rsid w:val="00F2063E"/>
    <w:rsid w:val="00F21B60"/>
    <w:rsid w:val="00F5501E"/>
    <w:rsid w:val="00F73FB1"/>
    <w:rsid w:val="00F755F3"/>
    <w:rsid w:val="00F80B77"/>
    <w:rsid w:val="00F856A3"/>
    <w:rsid w:val="00F85EBA"/>
    <w:rsid w:val="00F90F91"/>
    <w:rsid w:val="00F93844"/>
    <w:rsid w:val="00FA5BB2"/>
    <w:rsid w:val="00FA6EBA"/>
    <w:rsid w:val="00FB694A"/>
    <w:rsid w:val="00FC3D2D"/>
    <w:rsid w:val="00FE1416"/>
    <w:rsid w:val="00FF3C96"/>
    <w:rsid w:val="00FF74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4E27FC5"/>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3D8C"/>
    <w:pPr>
      <w:spacing w:after="0" w:line="240" w:lineRule="auto"/>
    </w:pPr>
    <w:rPr>
      <w:rFonts w:ascii="Times New Roman" w:hAnsi="Times New Roman" w:cs="Times New Roman"/>
      <w:sz w:val="24"/>
      <w:szCs w:val="24"/>
      <w:lang w:val="ro-RO" w:eastAsia="ro-RO"/>
    </w:rPr>
  </w:style>
  <w:style w:type="paragraph" w:styleId="Heading1">
    <w:name w:val="heading 1"/>
    <w:basedOn w:val="Normal"/>
    <w:next w:val="Normal"/>
    <w:link w:val="Heading1Char"/>
    <w:uiPriority w:val="9"/>
    <w:qFormat/>
    <w:rsid w:val="00A14658"/>
    <w:pPr>
      <w:keepNext/>
      <w:keepLines/>
      <w:spacing w:before="240" w:line="259" w:lineRule="auto"/>
      <w:outlineLvl w:val="0"/>
    </w:pPr>
    <w:rPr>
      <w:rFonts w:asciiTheme="majorHAnsi" w:eastAsiaTheme="majorEastAsia" w:hAnsiTheme="majorHAnsi" w:cstheme="majorBidi"/>
      <w:color w:val="2E74B5"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pPr>
    <w:rPr>
      <w:rFonts w:asciiTheme="minorHAnsi" w:hAnsiTheme="minorHAnsi" w:cstheme="minorBidi"/>
      <w:sz w:val="22"/>
      <w:szCs w:val="22"/>
      <w:lang w:eastAsia="en-US"/>
    </w:r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nhideWhenUsed/>
    <w:rsid w:val="003B4C37"/>
    <w:pPr>
      <w:tabs>
        <w:tab w:val="center" w:pos="4513"/>
        <w:tab w:val="right" w:pos="9026"/>
      </w:tabs>
    </w:pPr>
    <w:rPr>
      <w:rFonts w:asciiTheme="minorHAnsi" w:hAnsiTheme="minorHAnsi" w:cstheme="minorBidi"/>
      <w:sz w:val="22"/>
      <w:szCs w:val="22"/>
      <w:lang w:eastAsia="en-US"/>
    </w:r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paragraph" w:customStyle="1" w:styleId="CharCharCharChar">
    <w:name w:val="Char Char Char Char"/>
    <w:basedOn w:val="Normal"/>
    <w:rsid w:val="005F3D43"/>
    <w:rPr>
      <w:rFonts w:eastAsia="Times New Roman"/>
      <w:lang w:val="pl-PL" w:eastAsia="pl-PL"/>
    </w:rPr>
  </w:style>
  <w:style w:type="paragraph" w:customStyle="1" w:styleId="CharCharCharChar0">
    <w:name w:val="Char Char Char Char"/>
    <w:basedOn w:val="Normal"/>
    <w:rsid w:val="003850FE"/>
    <w:rPr>
      <w:rFonts w:eastAsia="Times New Roman"/>
      <w:lang w:val="pl-PL" w:eastAsia="pl-PL"/>
    </w:rPr>
  </w:style>
  <w:style w:type="table" w:styleId="TableGrid">
    <w:name w:val="Table Grid"/>
    <w:basedOn w:val="TableNormal"/>
    <w:uiPriority w:val="39"/>
    <w:rsid w:val="007A1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14658"/>
    <w:rPr>
      <w:rFonts w:asciiTheme="majorHAnsi" w:eastAsiaTheme="majorEastAsia" w:hAnsiTheme="majorHAnsi" w:cstheme="majorBidi"/>
      <w:color w:val="2E74B5" w:themeColor="accent1" w:themeShade="BF"/>
      <w:sz w:val="32"/>
      <w:szCs w:val="32"/>
      <w:lang w:val="ro-RO"/>
    </w:rPr>
  </w:style>
  <w:style w:type="character" w:styleId="Emphasis">
    <w:name w:val="Emphasis"/>
    <w:basedOn w:val="DefaultParagraphFont"/>
    <w:uiPriority w:val="20"/>
    <w:qFormat/>
    <w:rsid w:val="00CA135A"/>
    <w:rPr>
      <w:i/>
      <w:iCs/>
    </w:rPr>
  </w:style>
  <w:style w:type="paragraph" w:styleId="ListParagraph">
    <w:name w:val="List Paragraph"/>
    <w:aliases w:val="References,Numbered List Paragraph,Numbered Paragraph,Main numbered paragraph,Normal bullet 2,Outlines a.b.c.,Akapit z listą BS,List_Paragraph,Multilevel para_II,List Paragraph (numbered (a)),Numbered list,List Paragraph 1,List Paragraph2"/>
    <w:basedOn w:val="Normal"/>
    <w:link w:val="ListParagraphChar"/>
    <w:uiPriority w:val="34"/>
    <w:qFormat/>
    <w:rsid w:val="001D243D"/>
    <w:pPr>
      <w:spacing w:after="160" w:line="259" w:lineRule="auto"/>
      <w:ind w:left="720"/>
      <w:contextualSpacing/>
    </w:pPr>
    <w:rPr>
      <w:rFonts w:asciiTheme="minorHAnsi" w:hAnsiTheme="minorHAnsi" w:cstheme="minorBidi"/>
      <w:sz w:val="22"/>
      <w:szCs w:val="22"/>
      <w:lang w:eastAsia="en-US"/>
    </w:rPr>
  </w:style>
  <w:style w:type="paragraph" w:customStyle="1" w:styleId="Default">
    <w:name w:val="Default"/>
    <w:rsid w:val="00403D8C"/>
    <w:pPr>
      <w:autoSpaceDE w:val="0"/>
      <w:autoSpaceDN w:val="0"/>
      <w:adjustRightInd w:val="0"/>
      <w:spacing w:after="0" w:line="240" w:lineRule="auto"/>
    </w:pPr>
    <w:rPr>
      <w:rFonts w:ascii="Times New Roman" w:hAnsi="Times New Roman" w:cs="Times New Roman"/>
      <w:color w:val="000000"/>
      <w:sz w:val="24"/>
      <w:szCs w:val="24"/>
      <w:lang w:val="ro-RO"/>
    </w:rPr>
  </w:style>
  <w:style w:type="paragraph" w:styleId="BodyText3">
    <w:name w:val="Body Text 3"/>
    <w:basedOn w:val="Normal"/>
    <w:link w:val="BodyText3Char"/>
    <w:uiPriority w:val="99"/>
    <w:unhideWhenUsed/>
    <w:rsid w:val="00403D8C"/>
    <w:pPr>
      <w:spacing w:after="120" w:line="259" w:lineRule="auto"/>
    </w:pPr>
    <w:rPr>
      <w:rFonts w:ascii="Calibri" w:eastAsia="Calibri" w:hAnsi="Calibri"/>
      <w:sz w:val="16"/>
      <w:szCs w:val="16"/>
      <w:lang w:eastAsia="en-US"/>
    </w:rPr>
  </w:style>
  <w:style w:type="character" w:customStyle="1" w:styleId="BodyText3Char">
    <w:name w:val="Body Text 3 Char"/>
    <w:basedOn w:val="DefaultParagraphFont"/>
    <w:link w:val="BodyText3"/>
    <w:uiPriority w:val="99"/>
    <w:rsid w:val="00403D8C"/>
    <w:rPr>
      <w:rFonts w:ascii="Calibri" w:eastAsia="Calibri" w:hAnsi="Calibri" w:cs="Times New Roman"/>
      <w:sz w:val="16"/>
      <w:szCs w:val="16"/>
      <w:lang w:val="ro-RO"/>
    </w:rPr>
  </w:style>
  <w:style w:type="character" w:styleId="CommentReference">
    <w:name w:val="annotation reference"/>
    <w:basedOn w:val="DefaultParagraphFont"/>
    <w:uiPriority w:val="99"/>
    <w:semiHidden/>
    <w:unhideWhenUsed/>
    <w:rsid w:val="004C3873"/>
    <w:rPr>
      <w:sz w:val="16"/>
      <w:szCs w:val="16"/>
    </w:rPr>
  </w:style>
  <w:style w:type="paragraph" w:styleId="CommentText">
    <w:name w:val="annotation text"/>
    <w:basedOn w:val="Normal"/>
    <w:link w:val="CommentTextChar"/>
    <w:uiPriority w:val="99"/>
    <w:semiHidden/>
    <w:unhideWhenUsed/>
    <w:rsid w:val="004C3873"/>
    <w:rPr>
      <w:sz w:val="20"/>
      <w:szCs w:val="20"/>
    </w:rPr>
  </w:style>
  <w:style w:type="character" w:customStyle="1" w:styleId="CommentTextChar">
    <w:name w:val="Comment Text Char"/>
    <w:basedOn w:val="DefaultParagraphFont"/>
    <w:link w:val="CommentText"/>
    <w:uiPriority w:val="99"/>
    <w:semiHidden/>
    <w:rsid w:val="004C3873"/>
    <w:rPr>
      <w:rFonts w:ascii="Times New Roman" w:hAnsi="Times New Roman" w:cs="Times New Roman"/>
      <w:sz w:val="20"/>
      <w:szCs w:val="20"/>
      <w:lang w:val="ro-RO" w:eastAsia="ro-RO"/>
    </w:rPr>
  </w:style>
  <w:style w:type="paragraph" w:styleId="CommentSubject">
    <w:name w:val="annotation subject"/>
    <w:basedOn w:val="CommentText"/>
    <w:next w:val="CommentText"/>
    <w:link w:val="CommentSubjectChar"/>
    <w:uiPriority w:val="99"/>
    <w:semiHidden/>
    <w:unhideWhenUsed/>
    <w:rsid w:val="004C3873"/>
    <w:rPr>
      <w:b/>
      <w:bCs/>
    </w:rPr>
  </w:style>
  <w:style w:type="character" w:customStyle="1" w:styleId="CommentSubjectChar">
    <w:name w:val="Comment Subject Char"/>
    <w:basedOn w:val="CommentTextChar"/>
    <w:link w:val="CommentSubject"/>
    <w:uiPriority w:val="99"/>
    <w:semiHidden/>
    <w:rsid w:val="004C3873"/>
    <w:rPr>
      <w:rFonts w:ascii="Times New Roman" w:hAnsi="Times New Roman" w:cs="Times New Roman"/>
      <w:b/>
      <w:bCs/>
      <w:sz w:val="20"/>
      <w:szCs w:val="20"/>
      <w:lang w:val="ro-RO" w:eastAsia="ro-RO"/>
    </w:rPr>
  </w:style>
  <w:style w:type="character" w:styleId="Hyperlink">
    <w:name w:val="Hyperlink"/>
    <w:basedOn w:val="DefaultParagraphFont"/>
    <w:uiPriority w:val="99"/>
    <w:unhideWhenUsed/>
    <w:rsid w:val="0051189D"/>
    <w:rPr>
      <w:color w:val="0563C1" w:themeColor="hyperlink"/>
      <w:u w:val="single"/>
    </w:rPr>
  </w:style>
  <w:style w:type="paragraph" w:customStyle="1" w:styleId="sden">
    <w:name w:val="s_den"/>
    <w:basedOn w:val="Normal"/>
    <w:rsid w:val="005D443F"/>
    <w:pPr>
      <w:spacing w:before="100" w:beforeAutospacing="1" w:after="100" w:afterAutospacing="1"/>
    </w:pPr>
    <w:rPr>
      <w:rFonts w:eastAsia="Times New Roman"/>
    </w:rPr>
  </w:style>
  <w:style w:type="paragraph" w:customStyle="1" w:styleId="shdr">
    <w:name w:val="s_hdr"/>
    <w:basedOn w:val="Normal"/>
    <w:rsid w:val="005D443F"/>
    <w:pPr>
      <w:spacing w:before="100" w:beforeAutospacing="1" w:after="100" w:afterAutospacing="1"/>
    </w:pPr>
    <w:rPr>
      <w:rFonts w:eastAsia="Times New Roman"/>
    </w:rPr>
  </w:style>
  <w:style w:type="character" w:customStyle="1" w:styleId="UnresolvedMention1">
    <w:name w:val="Unresolved Mention1"/>
    <w:basedOn w:val="DefaultParagraphFont"/>
    <w:uiPriority w:val="99"/>
    <w:semiHidden/>
    <w:unhideWhenUsed/>
    <w:rsid w:val="009C7A34"/>
    <w:rPr>
      <w:color w:val="605E5C"/>
      <w:shd w:val="clear" w:color="auto" w:fill="E1DFDD"/>
    </w:rPr>
  </w:style>
  <w:style w:type="character" w:customStyle="1" w:styleId="ListParagraphChar">
    <w:name w:val="List Paragraph Char"/>
    <w:aliases w:val="References Char,Numbered List Paragraph Char,Numbered Paragraph Char,Main numbered paragraph Char,Normal bullet 2 Char,Outlines a.b.c. Char,Akapit z listą BS Char,List_Paragraph Char,Multilevel para_II Char,Numbered list Char"/>
    <w:link w:val="ListParagraph"/>
    <w:uiPriority w:val="34"/>
    <w:qFormat/>
    <w:locked/>
    <w:rsid w:val="003A2AD1"/>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17918">
      <w:bodyDiv w:val="1"/>
      <w:marLeft w:val="0"/>
      <w:marRight w:val="0"/>
      <w:marTop w:val="0"/>
      <w:marBottom w:val="0"/>
      <w:divBdr>
        <w:top w:val="none" w:sz="0" w:space="0" w:color="auto"/>
        <w:left w:val="none" w:sz="0" w:space="0" w:color="auto"/>
        <w:bottom w:val="none" w:sz="0" w:space="0" w:color="auto"/>
        <w:right w:val="none" w:sz="0" w:space="0" w:color="auto"/>
      </w:divBdr>
      <w:divsChild>
        <w:div w:id="169681609">
          <w:marLeft w:val="0"/>
          <w:marRight w:val="0"/>
          <w:marTop w:val="0"/>
          <w:marBottom w:val="0"/>
          <w:divBdr>
            <w:top w:val="none" w:sz="0" w:space="0" w:color="auto"/>
            <w:left w:val="none" w:sz="0" w:space="0" w:color="auto"/>
            <w:bottom w:val="none" w:sz="0" w:space="0" w:color="auto"/>
            <w:right w:val="none" w:sz="0" w:space="0" w:color="auto"/>
          </w:divBdr>
          <w:divsChild>
            <w:div w:id="1131558294">
              <w:marLeft w:val="0"/>
              <w:marRight w:val="0"/>
              <w:marTop w:val="0"/>
              <w:marBottom w:val="0"/>
              <w:divBdr>
                <w:top w:val="none" w:sz="0" w:space="0" w:color="auto"/>
                <w:left w:val="none" w:sz="0" w:space="0" w:color="auto"/>
                <w:bottom w:val="none" w:sz="0" w:space="0" w:color="auto"/>
                <w:right w:val="none" w:sz="0" w:space="0" w:color="auto"/>
              </w:divBdr>
            </w:div>
            <w:div w:id="1380520716">
              <w:marLeft w:val="0"/>
              <w:marRight w:val="0"/>
              <w:marTop w:val="0"/>
              <w:marBottom w:val="0"/>
              <w:divBdr>
                <w:top w:val="none" w:sz="0" w:space="0" w:color="auto"/>
                <w:left w:val="none" w:sz="0" w:space="0" w:color="auto"/>
                <w:bottom w:val="none" w:sz="0" w:space="0" w:color="auto"/>
                <w:right w:val="none" w:sz="0" w:space="0" w:color="auto"/>
              </w:divBdr>
            </w:div>
            <w:div w:id="1271626538">
              <w:marLeft w:val="0"/>
              <w:marRight w:val="0"/>
              <w:marTop w:val="0"/>
              <w:marBottom w:val="0"/>
              <w:divBdr>
                <w:top w:val="none" w:sz="0" w:space="0" w:color="auto"/>
                <w:left w:val="none" w:sz="0" w:space="0" w:color="auto"/>
                <w:bottom w:val="none" w:sz="0" w:space="0" w:color="auto"/>
                <w:right w:val="none" w:sz="0" w:space="0" w:color="auto"/>
              </w:divBdr>
            </w:div>
            <w:div w:id="440302771">
              <w:marLeft w:val="0"/>
              <w:marRight w:val="0"/>
              <w:marTop w:val="0"/>
              <w:marBottom w:val="0"/>
              <w:divBdr>
                <w:top w:val="none" w:sz="0" w:space="0" w:color="auto"/>
                <w:left w:val="none" w:sz="0" w:space="0" w:color="auto"/>
                <w:bottom w:val="none" w:sz="0" w:space="0" w:color="auto"/>
                <w:right w:val="none" w:sz="0" w:space="0" w:color="auto"/>
              </w:divBdr>
            </w:div>
            <w:div w:id="6849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516176">
      <w:bodyDiv w:val="1"/>
      <w:marLeft w:val="0"/>
      <w:marRight w:val="0"/>
      <w:marTop w:val="0"/>
      <w:marBottom w:val="0"/>
      <w:divBdr>
        <w:top w:val="none" w:sz="0" w:space="0" w:color="auto"/>
        <w:left w:val="none" w:sz="0" w:space="0" w:color="auto"/>
        <w:bottom w:val="none" w:sz="0" w:space="0" w:color="auto"/>
        <w:right w:val="none" w:sz="0" w:space="0" w:color="auto"/>
      </w:divBdr>
    </w:div>
    <w:div w:id="697048373">
      <w:bodyDiv w:val="1"/>
      <w:marLeft w:val="0"/>
      <w:marRight w:val="0"/>
      <w:marTop w:val="0"/>
      <w:marBottom w:val="0"/>
      <w:divBdr>
        <w:top w:val="none" w:sz="0" w:space="0" w:color="auto"/>
        <w:left w:val="none" w:sz="0" w:space="0" w:color="auto"/>
        <w:bottom w:val="none" w:sz="0" w:space="0" w:color="auto"/>
        <w:right w:val="none" w:sz="0" w:space="0" w:color="auto"/>
      </w:divBdr>
    </w:div>
    <w:div w:id="1160194144">
      <w:bodyDiv w:val="1"/>
      <w:marLeft w:val="0"/>
      <w:marRight w:val="0"/>
      <w:marTop w:val="0"/>
      <w:marBottom w:val="0"/>
      <w:divBdr>
        <w:top w:val="none" w:sz="0" w:space="0" w:color="auto"/>
        <w:left w:val="none" w:sz="0" w:space="0" w:color="auto"/>
        <w:bottom w:val="none" w:sz="0" w:space="0" w:color="auto"/>
        <w:right w:val="none" w:sz="0" w:space="0" w:color="auto"/>
      </w:divBdr>
    </w:div>
    <w:div w:id="1165629097">
      <w:bodyDiv w:val="1"/>
      <w:marLeft w:val="0"/>
      <w:marRight w:val="0"/>
      <w:marTop w:val="0"/>
      <w:marBottom w:val="0"/>
      <w:divBdr>
        <w:top w:val="none" w:sz="0" w:space="0" w:color="auto"/>
        <w:left w:val="none" w:sz="0" w:space="0" w:color="auto"/>
        <w:bottom w:val="none" w:sz="0" w:space="0" w:color="auto"/>
        <w:right w:val="none" w:sz="0" w:space="0" w:color="auto"/>
      </w:divBdr>
    </w:div>
    <w:div w:id="1166362528">
      <w:bodyDiv w:val="1"/>
      <w:marLeft w:val="0"/>
      <w:marRight w:val="0"/>
      <w:marTop w:val="0"/>
      <w:marBottom w:val="0"/>
      <w:divBdr>
        <w:top w:val="none" w:sz="0" w:space="0" w:color="auto"/>
        <w:left w:val="none" w:sz="0" w:space="0" w:color="auto"/>
        <w:bottom w:val="none" w:sz="0" w:space="0" w:color="auto"/>
        <w:right w:val="none" w:sz="0" w:space="0" w:color="auto"/>
      </w:divBdr>
    </w:div>
    <w:div w:id="1168712634">
      <w:bodyDiv w:val="1"/>
      <w:marLeft w:val="0"/>
      <w:marRight w:val="0"/>
      <w:marTop w:val="0"/>
      <w:marBottom w:val="0"/>
      <w:divBdr>
        <w:top w:val="none" w:sz="0" w:space="0" w:color="auto"/>
        <w:left w:val="none" w:sz="0" w:space="0" w:color="auto"/>
        <w:bottom w:val="none" w:sz="0" w:space="0" w:color="auto"/>
        <w:right w:val="none" w:sz="0" w:space="0" w:color="auto"/>
      </w:divBdr>
      <w:divsChild>
        <w:div w:id="407725632">
          <w:marLeft w:val="0"/>
          <w:marRight w:val="0"/>
          <w:marTop w:val="0"/>
          <w:marBottom w:val="0"/>
          <w:divBdr>
            <w:top w:val="none" w:sz="0" w:space="0" w:color="auto"/>
            <w:left w:val="none" w:sz="0" w:space="0" w:color="auto"/>
            <w:bottom w:val="none" w:sz="0" w:space="0" w:color="auto"/>
            <w:right w:val="none" w:sz="0" w:space="0" w:color="auto"/>
          </w:divBdr>
          <w:divsChild>
            <w:div w:id="1457793647">
              <w:marLeft w:val="0"/>
              <w:marRight w:val="0"/>
              <w:marTop w:val="0"/>
              <w:marBottom w:val="0"/>
              <w:divBdr>
                <w:top w:val="none" w:sz="0" w:space="0" w:color="auto"/>
                <w:left w:val="none" w:sz="0" w:space="0" w:color="auto"/>
                <w:bottom w:val="none" w:sz="0" w:space="0" w:color="auto"/>
                <w:right w:val="none" w:sz="0" w:space="0" w:color="auto"/>
              </w:divBdr>
            </w:div>
            <w:div w:id="10068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881328">
      <w:bodyDiv w:val="1"/>
      <w:marLeft w:val="0"/>
      <w:marRight w:val="0"/>
      <w:marTop w:val="0"/>
      <w:marBottom w:val="0"/>
      <w:divBdr>
        <w:top w:val="none" w:sz="0" w:space="0" w:color="auto"/>
        <w:left w:val="none" w:sz="0" w:space="0" w:color="auto"/>
        <w:bottom w:val="none" w:sz="0" w:space="0" w:color="auto"/>
        <w:right w:val="none" w:sz="0" w:space="0" w:color="auto"/>
      </w:divBdr>
    </w:div>
    <w:div w:id="1291324196">
      <w:bodyDiv w:val="1"/>
      <w:marLeft w:val="0"/>
      <w:marRight w:val="0"/>
      <w:marTop w:val="0"/>
      <w:marBottom w:val="0"/>
      <w:divBdr>
        <w:top w:val="none" w:sz="0" w:space="0" w:color="auto"/>
        <w:left w:val="none" w:sz="0" w:space="0" w:color="auto"/>
        <w:bottom w:val="none" w:sz="0" w:space="0" w:color="auto"/>
        <w:right w:val="none" w:sz="0" w:space="0" w:color="auto"/>
      </w:divBdr>
    </w:div>
    <w:div w:id="1447114034">
      <w:bodyDiv w:val="1"/>
      <w:marLeft w:val="0"/>
      <w:marRight w:val="0"/>
      <w:marTop w:val="0"/>
      <w:marBottom w:val="0"/>
      <w:divBdr>
        <w:top w:val="none" w:sz="0" w:space="0" w:color="auto"/>
        <w:left w:val="none" w:sz="0" w:space="0" w:color="auto"/>
        <w:bottom w:val="none" w:sz="0" w:space="0" w:color="auto"/>
        <w:right w:val="none" w:sz="0" w:space="0" w:color="auto"/>
      </w:divBdr>
    </w:div>
    <w:div w:id="1476486053">
      <w:bodyDiv w:val="1"/>
      <w:marLeft w:val="0"/>
      <w:marRight w:val="0"/>
      <w:marTop w:val="0"/>
      <w:marBottom w:val="0"/>
      <w:divBdr>
        <w:top w:val="none" w:sz="0" w:space="0" w:color="auto"/>
        <w:left w:val="none" w:sz="0" w:space="0" w:color="auto"/>
        <w:bottom w:val="none" w:sz="0" w:space="0" w:color="auto"/>
        <w:right w:val="none" w:sz="0" w:space="0" w:color="auto"/>
      </w:divBdr>
    </w:div>
    <w:div w:id="2062362573">
      <w:bodyDiv w:val="1"/>
      <w:marLeft w:val="0"/>
      <w:marRight w:val="0"/>
      <w:marTop w:val="0"/>
      <w:marBottom w:val="0"/>
      <w:divBdr>
        <w:top w:val="none" w:sz="0" w:space="0" w:color="auto"/>
        <w:left w:val="none" w:sz="0" w:space="0" w:color="auto"/>
        <w:bottom w:val="none" w:sz="0" w:space="0" w:color="auto"/>
        <w:right w:val="none" w:sz="0" w:space="0" w:color="auto"/>
      </w:divBdr>
      <w:divsChild>
        <w:div w:id="1749376737">
          <w:marLeft w:val="0"/>
          <w:marRight w:val="0"/>
          <w:marTop w:val="0"/>
          <w:marBottom w:val="0"/>
          <w:divBdr>
            <w:top w:val="none" w:sz="0" w:space="0" w:color="auto"/>
            <w:left w:val="none" w:sz="0" w:space="0" w:color="auto"/>
            <w:bottom w:val="none" w:sz="0" w:space="0" w:color="auto"/>
            <w:right w:val="none" w:sz="0" w:space="0" w:color="auto"/>
          </w:divBdr>
        </w:div>
      </w:divsChild>
    </w:div>
    <w:div w:id="2119568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FC082-1648-4A13-A9CF-044C87B4A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1127</Words>
  <Characters>6428</Characters>
  <DocSecurity>0</DocSecurity>
  <Lines>53</Lines>
  <Paragraphs>15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LinksUpToDate>false</LinksUpToDate>
  <CharactersWithSpaces>7540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2020-12-10T09:25:00Z</cp:lastPrinted>
  <dcterms:created xsi:type="dcterms:W3CDTF">2022-03-24T12:41:00Z</dcterms:created>
  <dcterms:modified xsi:type="dcterms:W3CDTF">2022-03-24T12:43:00Z</dcterms:modified>
</cp:coreProperties>
</file>