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D63FB2" w14:textId="77777777" w:rsidR="004F245D" w:rsidRPr="00364111" w:rsidRDefault="004F245D" w:rsidP="009D4C97">
      <w:pPr>
        <w:pStyle w:val="textregular"/>
      </w:pPr>
      <w:bookmarkStart w:id="0" w:name="_Toc378091729"/>
      <w:bookmarkStart w:id="1" w:name="_GoBack"/>
      <w:bookmarkEnd w:id="1"/>
    </w:p>
    <w:tbl>
      <w:tblPr>
        <w:tblStyle w:val="TableGrid1"/>
        <w:tblpPr w:leftFromText="142" w:rightFromText="142" w:topFromText="5528" w:vertAnchor="page" w:horzAnchor="margin" w:tblpY="4384"/>
        <w:tblW w:w="9781" w:type="dxa"/>
        <w:tblBorders>
          <w:top w:val="single" w:sz="8" w:space="0" w:color="23236E"/>
          <w:left w:val="none" w:sz="0" w:space="0" w:color="auto"/>
          <w:bottom w:val="single" w:sz="8" w:space="0" w:color="auto"/>
          <w:right w:val="none" w:sz="0" w:space="0" w:color="auto"/>
          <w:insideH w:val="none" w:sz="0" w:space="0" w:color="auto"/>
          <w:insideV w:val="none" w:sz="0" w:space="0" w:color="auto"/>
        </w:tblBorders>
        <w:tblLayout w:type="fixed"/>
        <w:tblCellMar>
          <w:left w:w="0" w:type="dxa"/>
          <w:right w:w="0" w:type="dxa"/>
        </w:tblCellMar>
        <w:tblLook w:val="06A0" w:firstRow="1" w:lastRow="0" w:firstColumn="1" w:lastColumn="0" w:noHBand="1" w:noVBand="1"/>
      </w:tblPr>
      <w:tblGrid>
        <w:gridCol w:w="9781"/>
      </w:tblGrid>
      <w:tr w:rsidR="004F245D" w:rsidRPr="00364111" w14:paraId="30D63FB4" w14:textId="77777777" w:rsidTr="00B15166">
        <w:trPr>
          <w:trHeight w:val="3912"/>
        </w:trPr>
        <w:tc>
          <w:tcPr>
            <w:tcW w:w="9781" w:type="dxa"/>
            <w:tcBorders>
              <w:bottom w:val="single" w:sz="4" w:space="0" w:color="auto"/>
            </w:tcBorders>
            <w:tcMar>
              <w:top w:w="198" w:type="dxa"/>
            </w:tcMar>
          </w:tcPr>
          <w:p w14:paraId="30D63FB3" w14:textId="70506945" w:rsidR="004F245D" w:rsidRPr="00364111" w:rsidRDefault="00594FA5" w:rsidP="001C0A28">
            <w:pPr>
              <w:spacing w:after="280" w:line="600" w:lineRule="exact"/>
              <w:jc w:val="center"/>
              <w:rPr>
                <w:rFonts w:cs="Arial"/>
                <w:b/>
                <w:color w:val="23236E"/>
                <w:sz w:val="32"/>
                <w:szCs w:val="44"/>
              </w:rPr>
            </w:pPr>
            <w:r>
              <w:rPr>
                <w:rFonts w:asciiTheme="majorHAnsi" w:eastAsiaTheme="minorHAnsi" w:hAnsiTheme="majorHAnsi" w:cstheme="majorHAnsi"/>
                <w:b/>
                <w:color w:val="23236E" w:themeColor="text2"/>
                <w:sz w:val="32"/>
                <w:szCs w:val="40"/>
                <w:lang w:eastAsia="en-US"/>
              </w:rPr>
              <w:t xml:space="preserve">All TSOs’ proposal </w:t>
            </w:r>
            <w:r w:rsidR="0012612E" w:rsidRPr="0012612E">
              <w:rPr>
                <w:rFonts w:asciiTheme="majorHAnsi" w:eastAsiaTheme="minorHAnsi" w:hAnsiTheme="majorHAnsi" w:cstheme="majorHAnsi"/>
                <w:b/>
                <w:color w:val="23236E" w:themeColor="text2"/>
                <w:sz w:val="32"/>
                <w:szCs w:val="40"/>
                <w:lang w:eastAsia="en-US"/>
              </w:rPr>
              <w:t xml:space="preserve">for common settlement rules applicable to all intended exchanges of energy as a result of </w:t>
            </w:r>
            <w:r w:rsidR="0012612E">
              <w:rPr>
                <w:rFonts w:asciiTheme="majorHAnsi" w:eastAsiaTheme="minorHAnsi" w:hAnsiTheme="majorHAnsi" w:cstheme="majorHAnsi"/>
                <w:b/>
                <w:color w:val="23236E" w:themeColor="text2"/>
                <w:sz w:val="32"/>
                <w:szCs w:val="40"/>
                <w:lang w:eastAsia="en-US"/>
              </w:rPr>
              <w:t xml:space="preserve">the reserve replacement process, frequency restoration process with manual and automatic activation and the </w:t>
            </w:r>
            <w:r>
              <w:rPr>
                <w:rFonts w:asciiTheme="majorHAnsi" w:eastAsiaTheme="minorHAnsi" w:hAnsiTheme="majorHAnsi" w:cstheme="majorHAnsi"/>
                <w:b/>
                <w:color w:val="23236E" w:themeColor="text2"/>
                <w:sz w:val="32"/>
                <w:szCs w:val="40"/>
                <w:lang w:eastAsia="en-US"/>
              </w:rPr>
              <w:t xml:space="preserve">imbalance netting process pursuant </w:t>
            </w:r>
            <w:r w:rsidR="00A77B27">
              <w:rPr>
                <w:rFonts w:asciiTheme="majorHAnsi" w:eastAsiaTheme="minorHAnsi" w:hAnsiTheme="majorHAnsi" w:cstheme="majorHAnsi"/>
                <w:b/>
                <w:color w:val="23236E" w:themeColor="text2"/>
                <w:sz w:val="32"/>
                <w:szCs w:val="40"/>
                <w:lang w:eastAsia="en-US"/>
              </w:rPr>
              <w:t xml:space="preserve">to Article </w:t>
            </w:r>
            <w:r w:rsidR="0012612E">
              <w:rPr>
                <w:rFonts w:asciiTheme="majorHAnsi" w:eastAsiaTheme="minorHAnsi" w:hAnsiTheme="majorHAnsi" w:cstheme="majorHAnsi"/>
                <w:b/>
                <w:color w:val="23236E" w:themeColor="text2"/>
                <w:sz w:val="32"/>
                <w:szCs w:val="40"/>
                <w:lang w:eastAsia="en-US"/>
              </w:rPr>
              <w:t>5</w:t>
            </w:r>
            <w:r w:rsidR="00A77B27">
              <w:rPr>
                <w:rFonts w:asciiTheme="majorHAnsi" w:eastAsiaTheme="minorHAnsi" w:hAnsiTheme="majorHAnsi" w:cstheme="majorHAnsi"/>
                <w:b/>
                <w:color w:val="23236E" w:themeColor="text2"/>
                <w:sz w:val="32"/>
                <w:szCs w:val="40"/>
                <w:lang w:eastAsia="en-US"/>
              </w:rPr>
              <w:t xml:space="preserve">0(1) </w:t>
            </w:r>
            <w:r>
              <w:rPr>
                <w:rFonts w:asciiTheme="majorHAnsi" w:eastAsiaTheme="minorHAnsi" w:hAnsiTheme="majorHAnsi" w:cstheme="majorHAnsi"/>
                <w:b/>
                <w:color w:val="23236E" w:themeColor="text2"/>
                <w:sz w:val="32"/>
                <w:szCs w:val="40"/>
                <w:lang w:eastAsia="en-US"/>
              </w:rPr>
              <w:t>of</w:t>
            </w:r>
            <w:r>
              <w:rPr>
                <w:rFonts w:asciiTheme="majorHAnsi" w:eastAsiaTheme="minorHAnsi" w:hAnsiTheme="majorHAnsi" w:cstheme="majorHAnsi"/>
                <w:b/>
                <w:color w:val="23236E" w:themeColor="text2"/>
                <w:sz w:val="32"/>
                <w:szCs w:val="40"/>
                <w:lang w:eastAsia="en-US"/>
              </w:rPr>
              <w:br/>
              <w:t>Commission Regulati</w:t>
            </w:r>
            <w:r w:rsidR="001D1928">
              <w:rPr>
                <w:rFonts w:asciiTheme="majorHAnsi" w:eastAsiaTheme="minorHAnsi" w:hAnsiTheme="majorHAnsi" w:cstheme="majorHAnsi"/>
                <w:b/>
                <w:color w:val="23236E" w:themeColor="text2"/>
                <w:sz w:val="32"/>
                <w:szCs w:val="40"/>
                <w:lang w:eastAsia="en-US"/>
              </w:rPr>
              <w:t>on</w:t>
            </w:r>
            <w:r w:rsidR="00C76F99">
              <w:rPr>
                <w:rFonts w:asciiTheme="majorHAnsi" w:eastAsiaTheme="minorHAnsi" w:hAnsiTheme="majorHAnsi" w:cstheme="majorHAnsi"/>
                <w:b/>
                <w:color w:val="23236E" w:themeColor="text2"/>
                <w:sz w:val="32"/>
                <w:szCs w:val="40"/>
                <w:lang w:eastAsia="en-US"/>
              </w:rPr>
              <w:t xml:space="preserve"> </w:t>
            </w:r>
            <w:r w:rsidR="00C76F99" w:rsidRPr="00582E52">
              <w:rPr>
                <w:rFonts w:asciiTheme="majorHAnsi" w:eastAsiaTheme="minorHAnsi" w:hAnsiTheme="majorHAnsi" w:cstheme="majorHAnsi"/>
                <w:b/>
                <w:color w:val="23236E" w:themeColor="text2"/>
                <w:sz w:val="32"/>
                <w:szCs w:val="40"/>
                <w:lang w:eastAsia="en-US"/>
              </w:rPr>
              <w:t>(EU) 2017/2195</w:t>
            </w:r>
            <w:r w:rsidR="009F7746">
              <w:rPr>
                <w:rFonts w:asciiTheme="majorHAnsi" w:eastAsiaTheme="minorHAnsi" w:hAnsiTheme="majorHAnsi" w:cstheme="majorHAnsi"/>
                <w:b/>
                <w:color w:val="23236E" w:themeColor="text2"/>
                <w:sz w:val="32"/>
                <w:szCs w:val="40"/>
                <w:lang w:eastAsia="en-US"/>
              </w:rPr>
              <w:t xml:space="preserve"> </w:t>
            </w:r>
            <w:r w:rsidR="009F7746" w:rsidRPr="009F7746">
              <w:rPr>
                <w:rFonts w:asciiTheme="majorHAnsi" w:eastAsiaTheme="minorHAnsi" w:hAnsiTheme="majorHAnsi" w:cstheme="majorHAnsi"/>
                <w:b/>
                <w:color w:val="23236E" w:themeColor="text2"/>
                <w:sz w:val="32"/>
                <w:szCs w:val="40"/>
                <w:lang w:eastAsia="en-US"/>
              </w:rPr>
              <w:t>of 23 November 2017</w:t>
            </w:r>
            <w:r w:rsidR="00DD4FD6">
              <w:rPr>
                <w:rFonts w:asciiTheme="majorHAnsi" w:eastAsiaTheme="minorHAnsi" w:hAnsiTheme="majorHAnsi" w:cstheme="majorHAnsi"/>
                <w:b/>
                <w:color w:val="23236E" w:themeColor="text2"/>
                <w:sz w:val="32"/>
                <w:szCs w:val="40"/>
                <w:lang w:eastAsia="en-US"/>
              </w:rPr>
              <w:t xml:space="preserve"> </w:t>
            </w:r>
            <w:r w:rsidR="009F7746" w:rsidRPr="009F7746">
              <w:rPr>
                <w:rFonts w:asciiTheme="majorHAnsi" w:eastAsiaTheme="minorHAnsi" w:hAnsiTheme="majorHAnsi" w:cstheme="majorHAnsi"/>
                <w:b/>
                <w:color w:val="23236E" w:themeColor="text2"/>
                <w:sz w:val="32"/>
                <w:szCs w:val="40"/>
                <w:lang w:eastAsia="en-US"/>
              </w:rPr>
              <w:t>establishing a guideline on electricity balancing</w:t>
            </w:r>
          </w:p>
        </w:tc>
      </w:tr>
      <w:tr w:rsidR="004F245D" w:rsidRPr="00364111" w14:paraId="30D63FB6" w14:textId="77777777" w:rsidTr="00B15166">
        <w:trPr>
          <w:trHeight w:val="424"/>
        </w:trPr>
        <w:tc>
          <w:tcPr>
            <w:tcW w:w="9781" w:type="dxa"/>
            <w:tcBorders>
              <w:top w:val="single" w:sz="4" w:space="0" w:color="auto"/>
              <w:bottom w:val="single" w:sz="8" w:space="0" w:color="auto"/>
            </w:tcBorders>
            <w:tcMar>
              <w:bottom w:w="142" w:type="dxa"/>
            </w:tcMar>
          </w:tcPr>
          <w:p w14:paraId="30D63FB5" w14:textId="63E456E7" w:rsidR="004F245D" w:rsidRPr="00364111" w:rsidRDefault="004D7777" w:rsidP="007A5C3F">
            <w:pPr>
              <w:spacing w:line="320" w:lineRule="exact"/>
              <w:jc w:val="center"/>
              <w:rPr>
                <w:rFonts w:cs="Arial"/>
                <w:sz w:val="29"/>
                <w:szCs w:val="29"/>
              </w:rPr>
            </w:pPr>
            <w:r w:rsidRPr="00DF6F53">
              <w:rPr>
                <w:rFonts w:cs="Arial"/>
                <w:b/>
                <w:sz w:val="29"/>
                <w:szCs w:val="29"/>
              </w:rPr>
              <w:lastRenderedPageBreak/>
              <w:t>18 December 2018</w:t>
            </w:r>
          </w:p>
        </w:tc>
      </w:tr>
    </w:tbl>
    <w:p w14:paraId="13024BF3" w14:textId="77777777" w:rsidR="002310F1" w:rsidRPr="00364111" w:rsidRDefault="002310F1" w:rsidP="004F245D">
      <w:pPr>
        <w:rPr>
          <w:rFonts w:ascii="Times New Roman" w:hAnsi="Times New Roman"/>
          <w:szCs w:val="22"/>
          <w:lang w:eastAsia="en-US"/>
        </w:rPr>
      </w:pPr>
    </w:p>
    <w:p w14:paraId="48ABC732" w14:textId="32E0C2AA" w:rsidR="002310F1" w:rsidRPr="00364111" w:rsidRDefault="002310F1" w:rsidP="004F245D">
      <w:pPr>
        <w:rPr>
          <w:rFonts w:ascii="Times New Roman" w:hAnsi="Times New Roman"/>
          <w:szCs w:val="22"/>
          <w:lang w:eastAsia="en-US"/>
        </w:rPr>
      </w:pPr>
    </w:p>
    <w:p w14:paraId="30D63FB9" w14:textId="665D1702" w:rsidR="004F245D" w:rsidRPr="00364111" w:rsidRDefault="004F245D" w:rsidP="004F245D">
      <w:pPr>
        <w:rPr>
          <w:rFonts w:ascii="Times New Roman" w:hAnsi="Times New Roman"/>
          <w:szCs w:val="22"/>
          <w:lang w:eastAsia="en-US"/>
        </w:rPr>
      </w:pPr>
      <w:r w:rsidRPr="00364111">
        <w:rPr>
          <w:rFonts w:ascii="Times New Roman" w:hAnsi="Times New Roman"/>
          <w:szCs w:val="22"/>
          <w:lang w:eastAsia="en-US"/>
        </w:rPr>
        <w:br w:type="page"/>
      </w:r>
    </w:p>
    <w:sdt>
      <w:sdtPr>
        <w:rPr>
          <w:rFonts w:asciiTheme="minorHAnsi" w:eastAsia="Times New Roman" w:hAnsiTheme="minorHAnsi" w:cstheme="minorHAnsi"/>
          <w:b w:val="0"/>
          <w:bCs w:val="0"/>
          <w:color w:val="auto"/>
          <w:sz w:val="24"/>
          <w:szCs w:val="24"/>
        </w:rPr>
        <w:id w:val="-2118130768"/>
        <w:docPartObj>
          <w:docPartGallery w:val="Table of Contents"/>
          <w:docPartUnique/>
        </w:docPartObj>
      </w:sdtPr>
      <w:sdtEndPr>
        <w:rPr>
          <w:noProof/>
          <w:sz w:val="22"/>
        </w:rPr>
      </w:sdtEndPr>
      <w:sdtContent>
        <w:p w14:paraId="070755AA" w14:textId="77777777" w:rsidR="0003170B" w:rsidRPr="008500D2" w:rsidRDefault="0003170B" w:rsidP="0003170B">
          <w:pPr>
            <w:pStyle w:val="TOCHeading"/>
            <w:rPr>
              <w:rFonts w:asciiTheme="minorHAnsi" w:hAnsiTheme="minorHAnsi" w:cstheme="minorHAnsi"/>
              <w:sz w:val="24"/>
              <w:szCs w:val="22"/>
            </w:rPr>
          </w:pPr>
          <w:r w:rsidRPr="008500D2">
            <w:rPr>
              <w:rFonts w:asciiTheme="minorHAnsi" w:hAnsiTheme="minorHAnsi" w:cstheme="minorHAnsi"/>
              <w:sz w:val="24"/>
              <w:szCs w:val="22"/>
            </w:rPr>
            <w:t>Content</w:t>
          </w:r>
        </w:p>
        <w:p w14:paraId="0EB4CF2C" w14:textId="4A385804" w:rsidR="00645A76" w:rsidRDefault="0003170B">
          <w:pPr>
            <w:pStyle w:val="TOC1"/>
            <w:tabs>
              <w:tab w:val="right" w:leader="dot" w:pos="9514"/>
            </w:tabs>
            <w:rPr>
              <w:rFonts w:asciiTheme="minorHAnsi" w:eastAsiaTheme="minorEastAsia" w:hAnsiTheme="minorHAnsi" w:cstheme="minorBidi"/>
              <w:noProof/>
              <w:szCs w:val="22"/>
              <w:lang w:eastAsia="en-GB"/>
            </w:rPr>
          </w:pPr>
          <w:r w:rsidRPr="008D3553">
            <w:rPr>
              <w:rFonts w:asciiTheme="minorHAnsi" w:hAnsiTheme="minorHAnsi" w:cstheme="minorHAnsi"/>
              <w:szCs w:val="22"/>
            </w:rPr>
            <w:fldChar w:fldCharType="begin"/>
          </w:r>
          <w:r w:rsidRPr="008D3553">
            <w:rPr>
              <w:rFonts w:asciiTheme="minorHAnsi" w:hAnsiTheme="minorHAnsi" w:cstheme="minorHAnsi"/>
              <w:szCs w:val="22"/>
            </w:rPr>
            <w:instrText xml:space="preserve"> TOC \o "1-3" \h \z \u </w:instrText>
          </w:r>
          <w:r w:rsidRPr="008D3553">
            <w:rPr>
              <w:rFonts w:asciiTheme="minorHAnsi" w:hAnsiTheme="minorHAnsi" w:cstheme="minorHAnsi"/>
              <w:szCs w:val="22"/>
            </w:rPr>
            <w:fldChar w:fldCharType="separate"/>
          </w:r>
          <w:hyperlink w:anchor="_Toc531788443" w:history="1">
            <w:r w:rsidR="00645A76" w:rsidRPr="00190CD7">
              <w:rPr>
                <w:rStyle w:val="Hyperlink"/>
                <w:rFonts w:ascii="Times New Roman" w:hAnsi="Times New Roman" w:cs="Arial"/>
                <w:b/>
                <w:noProof/>
                <w:lang w:eastAsia="en-US"/>
              </w:rPr>
              <w:t>Whereas</w:t>
            </w:r>
            <w:r w:rsidR="00645A76">
              <w:rPr>
                <w:noProof/>
                <w:webHidden/>
              </w:rPr>
              <w:tab/>
            </w:r>
            <w:r w:rsidR="00645A76">
              <w:rPr>
                <w:noProof/>
                <w:webHidden/>
              </w:rPr>
              <w:fldChar w:fldCharType="begin"/>
            </w:r>
            <w:r w:rsidR="00645A76">
              <w:rPr>
                <w:noProof/>
                <w:webHidden/>
              </w:rPr>
              <w:instrText xml:space="preserve"> PAGEREF _Toc531788443 \h </w:instrText>
            </w:r>
            <w:r w:rsidR="00645A76">
              <w:rPr>
                <w:noProof/>
                <w:webHidden/>
              </w:rPr>
            </w:r>
            <w:r w:rsidR="00645A76">
              <w:rPr>
                <w:noProof/>
                <w:webHidden/>
              </w:rPr>
              <w:fldChar w:fldCharType="separate"/>
            </w:r>
            <w:r w:rsidR="00645A76">
              <w:rPr>
                <w:noProof/>
                <w:webHidden/>
              </w:rPr>
              <w:t>3</w:t>
            </w:r>
            <w:r w:rsidR="00645A76">
              <w:rPr>
                <w:noProof/>
                <w:webHidden/>
              </w:rPr>
              <w:fldChar w:fldCharType="end"/>
            </w:r>
          </w:hyperlink>
        </w:p>
        <w:p w14:paraId="497C9131" w14:textId="6322AFB1" w:rsidR="00645A76" w:rsidRDefault="00592A05">
          <w:pPr>
            <w:pStyle w:val="TOC1"/>
            <w:tabs>
              <w:tab w:val="right" w:leader="dot" w:pos="9514"/>
            </w:tabs>
            <w:rPr>
              <w:rFonts w:asciiTheme="minorHAnsi" w:eastAsiaTheme="minorEastAsia" w:hAnsiTheme="minorHAnsi" w:cstheme="minorBidi"/>
              <w:noProof/>
              <w:szCs w:val="22"/>
              <w:lang w:eastAsia="en-GB"/>
            </w:rPr>
          </w:pPr>
          <w:hyperlink w:anchor="_Toc531788444" w:history="1">
            <w:r w:rsidR="00645A76" w:rsidRPr="00190CD7">
              <w:rPr>
                <w:rStyle w:val="Hyperlink"/>
                <w:rFonts w:eastAsiaTheme="majorEastAsia" w:cstheme="minorHAnsi"/>
                <w:noProof/>
                <w:lang w:val="en-US"/>
              </w:rPr>
              <w:t>Abbreviations</w:t>
            </w:r>
            <w:r w:rsidR="00645A76">
              <w:rPr>
                <w:noProof/>
                <w:webHidden/>
              </w:rPr>
              <w:tab/>
            </w:r>
            <w:r w:rsidR="00645A76">
              <w:rPr>
                <w:noProof/>
                <w:webHidden/>
              </w:rPr>
              <w:fldChar w:fldCharType="begin"/>
            </w:r>
            <w:r w:rsidR="00645A76">
              <w:rPr>
                <w:noProof/>
                <w:webHidden/>
              </w:rPr>
              <w:instrText xml:space="preserve"> PAGEREF _Toc531788444 \h </w:instrText>
            </w:r>
            <w:r w:rsidR="00645A76">
              <w:rPr>
                <w:noProof/>
                <w:webHidden/>
              </w:rPr>
            </w:r>
            <w:r w:rsidR="00645A76">
              <w:rPr>
                <w:noProof/>
                <w:webHidden/>
              </w:rPr>
              <w:fldChar w:fldCharType="separate"/>
            </w:r>
            <w:r w:rsidR="00645A76">
              <w:rPr>
                <w:noProof/>
                <w:webHidden/>
              </w:rPr>
              <w:t>5</w:t>
            </w:r>
            <w:r w:rsidR="00645A76">
              <w:rPr>
                <w:noProof/>
                <w:webHidden/>
              </w:rPr>
              <w:fldChar w:fldCharType="end"/>
            </w:r>
          </w:hyperlink>
        </w:p>
        <w:p w14:paraId="4ADAE635" w14:textId="23F40A47" w:rsidR="00645A76" w:rsidRDefault="00592A05">
          <w:pPr>
            <w:pStyle w:val="TOC2"/>
            <w:tabs>
              <w:tab w:val="right" w:leader="dot" w:pos="9514"/>
            </w:tabs>
            <w:rPr>
              <w:rFonts w:asciiTheme="minorHAnsi" w:eastAsiaTheme="minorEastAsia" w:hAnsiTheme="minorHAnsi" w:cstheme="minorBidi"/>
              <w:noProof/>
              <w:szCs w:val="22"/>
              <w:lang w:eastAsia="en-GB"/>
            </w:rPr>
          </w:pPr>
          <w:hyperlink w:anchor="_Toc531788445" w:history="1">
            <w:r w:rsidR="00645A76" w:rsidRPr="00190CD7">
              <w:rPr>
                <w:rStyle w:val="Hyperlink"/>
                <w:rFonts w:ascii="Times New Roman" w:eastAsiaTheme="majorEastAsia" w:hAnsi="Times New Roman" w:cs="Arial"/>
                <w:b/>
                <w:noProof/>
                <w:lang w:eastAsia="en-US"/>
              </w:rPr>
              <w:t>Article 1 Subject Matter and Scope</w:t>
            </w:r>
            <w:r w:rsidR="00645A76">
              <w:rPr>
                <w:noProof/>
                <w:webHidden/>
              </w:rPr>
              <w:tab/>
            </w:r>
            <w:r w:rsidR="00645A76">
              <w:rPr>
                <w:noProof/>
                <w:webHidden/>
              </w:rPr>
              <w:fldChar w:fldCharType="begin"/>
            </w:r>
            <w:r w:rsidR="00645A76">
              <w:rPr>
                <w:noProof/>
                <w:webHidden/>
              </w:rPr>
              <w:instrText xml:space="preserve"> PAGEREF _Toc531788445 \h </w:instrText>
            </w:r>
            <w:r w:rsidR="00645A76">
              <w:rPr>
                <w:noProof/>
                <w:webHidden/>
              </w:rPr>
            </w:r>
            <w:r w:rsidR="00645A76">
              <w:rPr>
                <w:noProof/>
                <w:webHidden/>
              </w:rPr>
              <w:fldChar w:fldCharType="separate"/>
            </w:r>
            <w:r w:rsidR="00645A76">
              <w:rPr>
                <w:noProof/>
                <w:webHidden/>
              </w:rPr>
              <w:t>6</w:t>
            </w:r>
            <w:r w:rsidR="00645A76">
              <w:rPr>
                <w:noProof/>
                <w:webHidden/>
              </w:rPr>
              <w:fldChar w:fldCharType="end"/>
            </w:r>
          </w:hyperlink>
        </w:p>
        <w:p w14:paraId="4ABE5E30" w14:textId="5E96CD58" w:rsidR="00645A76" w:rsidRDefault="00592A05">
          <w:pPr>
            <w:pStyle w:val="TOC2"/>
            <w:tabs>
              <w:tab w:val="right" w:leader="dot" w:pos="9514"/>
            </w:tabs>
            <w:rPr>
              <w:rFonts w:asciiTheme="minorHAnsi" w:eastAsiaTheme="minorEastAsia" w:hAnsiTheme="minorHAnsi" w:cstheme="minorBidi"/>
              <w:noProof/>
              <w:szCs w:val="22"/>
              <w:lang w:eastAsia="en-GB"/>
            </w:rPr>
          </w:pPr>
          <w:hyperlink w:anchor="_Toc531788446" w:history="1">
            <w:r w:rsidR="00645A76" w:rsidRPr="00190CD7">
              <w:rPr>
                <w:rStyle w:val="Hyperlink"/>
                <w:rFonts w:ascii="Times New Roman" w:eastAsiaTheme="majorEastAsia" w:hAnsi="Times New Roman" w:cs="Arial"/>
                <w:b/>
                <w:noProof/>
                <w:lang w:eastAsia="en-US"/>
              </w:rPr>
              <w:t>Article 2 Definitions and Interpretation</w:t>
            </w:r>
            <w:r w:rsidR="00645A76">
              <w:rPr>
                <w:noProof/>
                <w:webHidden/>
              </w:rPr>
              <w:tab/>
            </w:r>
            <w:r w:rsidR="00645A76">
              <w:rPr>
                <w:noProof/>
                <w:webHidden/>
              </w:rPr>
              <w:fldChar w:fldCharType="begin"/>
            </w:r>
            <w:r w:rsidR="00645A76">
              <w:rPr>
                <w:noProof/>
                <w:webHidden/>
              </w:rPr>
              <w:instrText xml:space="preserve"> PAGEREF _Toc531788446 \h </w:instrText>
            </w:r>
            <w:r w:rsidR="00645A76">
              <w:rPr>
                <w:noProof/>
                <w:webHidden/>
              </w:rPr>
            </w:r>
            <w:r w:rsidR="00645A76">
              <w:rPr>
                <w:noProof/>
                <w:webHidden/>
              </w:rPr>
              <w:fldChar w:fldCharType="separate"/>
            </w:r>
            <w:r w:rsidR="00645A76">
              <w:rPr>
                <w:noProof/>
                <w:webHidden/>
              </w:rPr>
              <w:t>6</w:t>
            </w:r>
            <w:r w:rsidR="00645A76">
              <w:rPr>
                <w:noProof/>
                <w:webHidden/>
              </w:rPr>
              <w:fldChar w:fldCharType="end"/>
            </w:r>
          </w:hyperlink>
        </w:p>
        <w:p w14:paraId="0430369A" w14:textId="2628C06B" w:rsidR="00645A76" w:rsidRDefault="00592A05">
          <w:pPr>
            <w:pStyle w:val="TOC2"/>
            <w:tabs>
              <w:tab w:val="right" w:leader="dot" w:pos="9514"/>
            </w:tabs>
            <w:rPr>
              <w:rFonts w:asciiTheme="minorHAnsi" w:eastAsiaTheme="minorEastAsia" w:hAnsiTheme="minorHAnsi" w:cstheme="minorBidi"/>
              <w:noProof/>
              <w:szCs w:val="22"/>
              <w:lang w:eastAsia="en-GB"/>
            </w:rPr>
          </w:pPr>
          <w:hyperlink w:anchor="_Toc531788447" w:history="1">
            <w:r w:rsidR="00645A76" w:rsidRPr="00190CD7">
              <w:rPr>
                <w:rStyle w:val="Hyperlink"/>
                <w:rFonts w:ascii="Times New Roman" w:eastAsiaTheme="majorEastAsia" w:hAnsi="Times New Roman" w:cs="Arial"/>
                <w:b/>
                <w:noProof/>
                <w:lang w:eastAsia="en-US"/>
              </w:rPr>
              <w:t>Article 3 Settlement amounts due to the intended exchange of balancing energy</w:t>
            </w:r>
            <w:r w:rsidR="00645A76">
              <w:rPr>
                <w:noProof/>
                <w:webHidden/>
              </w:rPr>
              <w:tab/>
            </w:r>
            <w:r w:rsidR="00645A76">
              <w:rPr>
                <w:noProof/>
                <w:webHidden/>
              </w:rPr>
              <w:fldChar w:fldCharType="begin"/>
            </w:r>
            <w:r w:rsidR="00645A76">
              <w:rPr>
                <w:noProof/>
                <w:webHidden/>
              </w:rPr>
              <w:instrText xml:space="preserve"> PAGEREF _Toc531788447 \h </w:instrText>
            </w:r>
            <w:r w:rsidR="00645A76">
              <w:rPr>
                <w:noProof/>
                <w:webHidden/>
              </w:rPr>
            </w:r>
            <w:r w:rsidR="00645A76">
              <w:rPr>
                <w:noProof/>
                <w:webHidden/>
              </w:rPr>
              <w:fldChar w:fldCharType="separate"/>
            </w:r>
            <w:r w:rsidR="00645A76">
              <w:rPr>
                <w:noProof/>
                <w:webHidden/>
              </w:rPr>
              <w:t>8</w:t>
            </w:r>
            <w:r w:rsidR="00645A76">
              <w:rPr>
                <w:noProof/>
                <w:webHidden/>
              </w:rPr>
              <w:fldChar w:fldCharType="end"/>
            </w:r>
          </w:hyperlink>
        </w:p>
        <w:p w14:paraId="48AB5948" w14:textId="48C49F9A" w:rsidR="00645A76" w:rsidRDefault="00592A05">
          <w:pPr>
            <w:pStyle w:val="TOC2"/>
            <w:tabs>
              <w:tab w:val="right" w:leader="dot" w:pos="9514"/>
            </w:tabs>
            <w:rPr>
              <w:rFonts w:asciiTheme="minorHAnsi" w:eastAsiaTheme="minorEastAsia" w:hAnsiTheme="minorHAnsi" w:cstheme="minorBidi"/>
              <w:noProof/>
              <w:szCs w:val="22"/>
              <w:lang w:eastAsia="en-GB"/>
            </w:rPr>
          </w:pPr>
          <w:hyperlink w:anchor="_Toc531788448" w:history="1">
            <w:r w:rsidR="00645A76" w:rsidRPr="00190CD7">
              <w:rPr>
                <w:rStyle w:val="Hyperlink"/>
                <w:rFonts w:ascii="Times New Roman" w:eastAsiaTheme="majorEastAsia" w:hAnsi="Times New Roman" w:cs="Arial"/>
                <w:b/>
                <w:noProof/>
                <w:lang w:eastAsia="en-US"/>
              </w:rPr>
              <w:t>Article 4 Volumes of intended exchanges of balancing energy</w:t>
            </w:r>
            <w:r w:rsidR="00645A76">
              <w:rPr>
                <w:noProof/>
                <w:webHidden/>
              </w:rPr>
              <w:tab/>
            </w:r>
            <w:r w:rsidR="00645A76">
              <w:rPr>
                <w:noProof/>
                <w:webHidden/>
              </w:rPr>
              <w:fldChar w:fldCharType="begin"/>
            </w:r>
            <w:r w:rsidR="00645A76">
              <w:rPr>
                <w:noProof/>
                <w:webHidden/>
              </w:rPr>
              <w:instrText xml:space="preserve"> PAGEREF _Toc531788448 \h </w:instrText>
            </w:r>
            <w:r w:rsidR="00645A76">
              <w:rPr>
                <w:noProof/>
                <w:webHidden/>
              </w:rPr>
            </w:r>
            <w:r w:rsidR="00645A76">
              <w:rPr>
                <w:noProof/>
                <w:webHidden/>
              </w:rPr>
              <w:fldChar w:fldCharType="separate"/>
            </w:r>
            <w:r w:rsidR="00645A76">
              <w:rPr>
                <w:noProof/>
                <w:webHidden/>
              </w:rPr>
              <w:t>8</w:t>
            </w:r>
            <w:r w:rsidR="00645A76">
              <w:rPr>
                <w:noProof/>
                <w:webHidden/>
              </w:rPr>
              <w:fldChar w:fldCharType="end"/>
            </w:r>
          </w:hyperlink>
        </w:p>
        <w:p w14:paraId="708D06DB" w14:textId="4449AAFF" w:rsidR="00645A76" w:rsidRDefault="00592A05">
          <w:pPr>
            <w:pStyle w:val="TOC2"/>
            <w:tabs>
              <w:tab w:val="right" w:leader="dot" w:pos="9514"/>
            </w:tabs>
            <w:rPr>
              <w:rFonts w:asciiTheme="minorHAnsi" w:eastAsiaTheme="minorEastAsia" w:hAnsiTheme="minorHAnsi" w:cstheme="minorBidi"/>
              <w:noProof/>
              <w:szCs w:val="22"/>
              <w:lang w:eastAsia="en-GB"/>
            </w:rPr>
          </w:pPr>
          <w:hyperlink w:anchor="_Toc531788449" w:history="1">
            <w:r w:rsidR="00645A76" w:rsidRPr="00190CD7">
              <w:rPr>
                <w:rStyle w:val="Hyperlink"/>
                <w:rFonts w:eastAsiaTheme="majorEastAsia" w:cs="Arial"/>
                <w:b/>
                <w:noProof/>
                <w:lang w:eastAsia="en-US"/>
              </w:rPr>
              <w:t xml:space="preserve">Article 5 </w:t>
            </w:r>
            <w:r w:rsidR="00645A76" w:rsidRPr="00190CD7">
              <w:rPr>
                <w:rStyle w:val="Hyperlink"/>
                <w:rFonts w:cs="Arial"/>
                <w:b/>
                <w:noProof/>
                <w:lang w:eastAsia="en-US"/>
              </w:rPr>
              <w:t>Settlement price and of the intended exchange of balancing energy</w:t>
            </w:r>
            <w:r w:rsidR="00645A76">
              <w:rPr>
                <w:noProof/>
                <w:webHidden/>
              </w:rPr>
              <w:tab/>
            </w:r>
            <w:r w:rsidR="00645A76">
              <w:rPr>
                <w:noProof/>
                <w:webHidden/>
              </w:rPr>
              <w:fldChar w:fldCharType="begin"/>
            </w:r>
            <w:r w:rsidR="00645A76">
              <w:rPr>
                <w:noProof/>
                <w:webHidden/>
              </w:rPr>
              <w:instrText xml:space="preserve"> PAGEREF _Toc531788449 \h </w:instrText>
            </w:r>
            <w:r w:rsidR="00645A76">
              <w:rPr>
                <w:noProof/>
                <w:webHidden/>
              </w:rPr>
            </w:r>
            <w:r w:rsidR="00645A76">
              <w:rPr>
                <w:noProof/>
                <w:webHidden/>
              </w:rPr>
              <w:fldChar w:fldCharType="separate"/>
            </w:r>
            <w:r w:rsidR="00645A76">
              <w:rPr>
                <w:noProof/>
                <w:webHidden/>
              </w:rPr>
              <w:t>8</w:t>
            </w:r>
            <w:r w:rsidR="00645A76">
              <w:rPr>
                <w:noProof/>
                <w:webHidden/>
              </w:rPr>
              <w:fldChar w:fldCharType="end"/>
            </w:r>
          </w:hyperlink>
        </w:p>
        <w:p w14:paraId="6D4CE861" w14:textId="41871927" w:rsidR="00645A76" w:rsidRDefault="00592A05">
          <w:pPr>
            <w:pStyle w:val="TOC2"/>
            <w:tabs>
              <w:tab w:val="right" w:leader="dot" w:pos="9514"/>
            </w:tabs>
            <w:rPr>
              <w:rFonts w:asciiTheme="minorHAnsi" w:eastAsiaTheme="minorEastAsia" w:hAnsiTheme="minorHAnsi" w:cstheme="minorBidi"/>
              <w:noProof/>
              <w:szCs w:val="22"/>
              <w:lang w:eastAsia="en-GB"/>
            </w:rPr>
          </w:pPr>
          <w:hyperlink w:anchor="_Toc531788450" w:history="1">
            <w:r w:rsidR="00645A76" w:rsidRPr="00190CD7">
              <w:rPr>
                <w:rStyle w:val="Hyperlink"/>
                <w:rFonts w:ascii="Times New Roman" w:eastAsiaTheme="majorEastAsia" w:hAnsi="Times New Roman" w:cs="Arial"/>
                <w:b/>
                <w:noProof/>
                <w:lang w:eastAsia="en-US"/>
              </w:rPr>
              <w:t>Article 6 Settlement of the intended balancing energy activated for system constraints purposes</w:t>
            </w:r>
            <w:r w:rsidR="00645A76">
              <w:rPr>
                <w:noProof/>
                <w:webHidden/>
              </w:rPr>
              <w:tab/>
            </w:r>
            <w:r w:rsidR="00645A76">
              <w:rPr>
                <w:noProof/>
                <w:webHidden/>
              </w:rPr>
              <w:fldChar w:fldCharType="begin"/>
            </w:r>
            <w:r w:rsidR="00645A76">
              <w:rPr>
                <w:noProof/>
                <w:webHidden/>
              </w:rPr>
              <w:instrText xml:space="preserve"> PAGEREF _Toc531788450 \h </w:instrText>
            </w:r>
            <w:r w:rsidR="00645A76">
              <w:rPr>
                <w:noProof/>
                <w:webHidden/>
              </w:rPr>
            </w:r>
            <w:r w:rsidR="00645A76">
              <w:rPr>
                <w:noProof/>
                <w:webHidden/>
              </w:rPr>
              <w:fldChar w:fldCharType="separate"/>
            </w:r>
            <w:r w:rsidR="00645A76">
              <w:rPr>
                <w:noProof/>
                <w:webHidden/>
              </w:rPr>
              <w:t>9</w:t>
            </w:r>
            <w:r w:rsidR="00645A76">
              <w:rPr>
                <w:noProof/>
                <w:webHidden/>
              </w:rPr>
              <w:fldChar w:fldCharType="end"/>
            </w:r>
          </w:hyperlink>
        </w:p>
        <w:p w14:paraId="3A7BD5F0" w14:textId="68C22C89" w:rsidR="00645A76" w:rsidRDefault="00592A05">
          <w:pPr>
            <w:pStyle w:val="TOC2"/>
            <w:tabs>
              <w:tab w:val="right" w:leader="dot" w:pos="9514"/>
            </w:tabs>
            <w:rPr>
              <w:rFonts w:asciiTheme="minorHAnsi" w:eastAsiaTheme="minorEastAsia" w:hAnsiTheme="minorHAnsi" w:cstheme="minorBidi"/>
              <w:noProof/>
              <w:szCs w:val="22"/>
              <w:lang w:eastAsia="en-GB"/>
            </w:rPr>
          </w:pPr>
          <w:hyperlink w:anchor="_Toc531788451" w:history="1">
            <w:r w:rsidR="00645A76" w:rsidRPr="00190CD7">
              <w:rPr>
                <w:rStyle w:val="Hyperlink"/>
                <w:rFonts w:ascii="Times New Roman" w:eastAsiaTheme="majorEastAsia" w:hAnsi="Times New Roman" w:cs="Arial"/>
                <w:b/>
                <w:noProof/>
                <w:lang w:eastAsia="en-US"/>
              </w:rPr>
              <w:t>Article 7 Process and calculation of balancing congestion income</w:t>
            </w:r>
            <w:r w:rsidR="00645A76">
              <w:rPr>
                <w:noProof/>
                <w:webHidden/>
              </w:rPr>
              <w:tab/>
            </w:r>
            <w:r w:rsidR="00645A76">
              <w:rPr>
                <w:noProof/>
                <w:webHidden/>
              </w:rPr>
              <w:fldChar w:fldCharType="begin"/>
            </w:r>
            <w:r w:rsidR="00645A76">
              <w:rPr>
                <w:noProof/>
                <w:webHidden/>
              </w:rPr>
              <w:instrText xml:space="preserve"> PAGEREF _Toc531788451 \h </w:instrText>
            </w:r>
            <w:r w:rsidR="00645A76">
              <w:rPr>
                <w:noProof/>
                <w:webHidden/>
              </w:rPr>
            </w:r>
            <w:r w:rsidR="00645A76">
              <w:rPr>
                <w:noProof/>
                <w:webHidden/>
              </w:rPr>
              <w:fldChar w:fldCharType="separate"/>
            </w:r>
            <w:r w:rsidR="00645A76">
              <w:rPr>
                <w:noProof/>
                <w:webHidden/>
              </w:rPr>
              <w:t>9</w:t>
            </w:r>
            <w:r w:rsidR="00645A76">
              <w:rPr>
                <w:noProof/>
                <w:webHidden/>
              </w:rPr>
              <w:fldChar w:fldCharType="end"/>
            </w:r>
          </w:hyperlink>
        </w:p>
        <w:p w14:paraId="3BCB260A" w14:textId="1DD78F82" w:rsidR="00645A76" w:rsidRDefault="00592A05">
          <w:pPr>
            <w:pStyle w:val="TOC2"/>
            <w:tabs>
              <w:tab w:val="right" w:leader="dot" w:pos="9514"/>
            </w:tabs>
            <w:rPr>
              <w:rFonts w:asciiTheme="minorHAnsi" w:eastAsiaTheme="minorEastAsia" w:hAnsiTheme="minorHAnsi" w:cstheme="minorBidi"/>
              <w:noProof/>
              <w:szCs w:val="22"/>
              <w:lang w:eastAsia="en-GB"/>
            </w:rPr>
          </w:pPr>
          <w:hyperlink w:anchor="_Toc531788452" w:history="1">
            <w:r w:rsidR="00645A76" w:rsidRPr="00190CD7">
              <w:rPr>
                <w:rStyle w:val="Hyperlink"/>
                <w:rFonts w:ascii="Times New Roman" w:eastAsiaTheme="majorEastAsia" w:hAnsi="Times New Roman" w:cs="Arial"/>
                <w:b/>
                <w:noProof/>
                <w:lang w:eastAsia="en-US"/>
              </w:rPr>
              <w:t>Article 8 Sharing keys for balancing congestion income distribution on the border</w:t>
            </w:r>
            <w:r w:rsidR="00645A76">
              <w:rPr>
                <w:noProof/>
                <w:webHidden/>
              </w:rPr>
              <w:tab/>
            </w:r>
            <w:r w:rsidR="00645A76">
              <w:rPr>
                <w:noProof/>
                <w:webHidden/>
              </w:rPr>
              <w:fldChar w:fldCharType="begin"/>
            </w:r>
            <w:r w:rsidR="00645A76">
              <w:rPr>
                <w:noProof/>
                <w:webHidden/>
              </w:rPr>
              <w:instrText xml:space="preserve"> PAGEREF _Toc531788452 \h </w:instrText>
            </w:r>
            <w:r w:rsidR="00645A76">
              <w:rPr>
                <w:noProof/>
                <w:webHidden/>
              </w:rPr>
            </w:r>
            <w:r w:rsidR="00645A76">
              <w:rPr>
                <w:noProof/>
                <w:webHidden/>
              </w:rPr>
              <w:fldChar w:fldCharType="separate"/>
            </w:r>
            <w:r w:rsidR="00645A76">
              <w:rPr>
                <w:noProof/>
                <w:webHidden/>
              </w:rPr>
              <w:t>10</w:t>
            </w:r>
            <w:r w:rsidR="00645A76">
              <w:rPr>
                <w:noProof/>
                <w:webHidden/>
              </w:rPr>
              <w:fldChar w:fldCharType="end"/>
            </w:r>
          </w:hyperlink>
        </w:p>
        <w:p w14:paraId="7B7F1CE7" w14:textId="2A154F95" w:rsidR="00645A76" w:rsidRDefault="00592A05">
          <w:pPr>
            <w:pStyle w:val="TOC2"/>
            <w:tabs>
              <w:tab w:val="right" w:leader="dot" w:pos="9514"/>
            </w:tabs>
            <w:rPr>
              <w:rFonts w:asciiTheme="minorHAnsi" w:eastAsiaTheme="minorEastAsia" w:hAnsiTheme="minorHAnsi" w:cstheme="minorBidi"/>
              <w:noProof/>
              <w:szCs w:val="22"/>
              <w:lang w:eastAsia="en-GB"/>
            </w:rPr>
          </w:pPr>
          <w:hyperlink w:anchor="_Toc531788453" w:history="1">
            <w:r w:rsidR="00645A76" w:rsidRPr="00190CD7">
              <w:rPr>
                <w:rStyle w:val="Hyperlink"/>
                <w:rFonts w:ascii="Times New Roman" w:eastAsiaTheme="majorEastAsia" w:hAnsi="Times New Roman" w:cs="Arial"/>
                <w:b/>
                <w:noProof/>
                <w:lang w:eastAsia="en-US"/>
              </w:rPr>
              <w:t>Article 9 Settlement related to price differences in an uncongested area</w:t>
            </w:r>
            <w:r w:rsidR="00645A76">
              <w:rPr>
                <w:noProof/>
                <w:webHidden/>
              </w:rPr>
              <w:tab/>
            </w:r>
            <w:r w:rsidR="00645A76">
              <w:rPr>
                <w:noProof/>
                <w:webHidden/>
              </w:rPr>
              <w:fldChar w:fldCharType="begin"/>
            </w:r>
            <w:r w:rsidR="00645A76">
              <w:rPr>
                <w:noProof/>
                <w:webHidden/>
              </w:rPr>
              <w:instrText xml:space="preserve"> PAGEREF _Toc531788453 \h </w:instrText>
            </w:r>
            <w:r w:rsidR="00645A76">
              <w:rPr>
                <w:noProof/>
                <w:webHidden/>
              </w:rPr>
            </w:r>
            <w:r w:rsidR="00645A76">
              <w:rPr>
                <w:noProof/>
                <w:webHidden/>
              </w:rPr>
              <w:fldChar w:fldCharType="separate"/>
            </w:r>
            <w:r w:rsidR="00645A76">
              <w:rPr>
                <w:noProof/>
                <w:webHidden/>
              </w:rPr>
              <w:t>10</w:t>
            </w:r>
            <w:r w:rsidR="00645A76">
              <w:rPr>
                <w:noProof/>
                <w:webHidden/>
              </w:rPr>
              <w:fldChar w:fldCharType="end"/>
            </w:r>
          </w:hyperlink>
        </w:p>
        <w:p w14:paraId="5684D0DD" w14:textId="5F09418E" w:rsidR="00645A76" w:rsidRDefault="00592A05">
          <w:pPr>
            <w:pStyle w:val="TOC2"/>
            <w:tabs>
              <w:tab w:val="right" w:leader="dot" w:pos="9514"/>
            </w:tabs>
            <w:rPr>
              <w:rFonts w:asciiTheme="minorHAnsi" w:eastAsiaTheme="minorEastAsia" w:hAnsiTheme="minorHAnsi" w:cstheme="minorBidi"/>
              <w:noProof/>
              <w:szCs w:val="22"/>
              <w:lang w:eastAsia="en-GB"/>
            </w:rPr>
          </w:pPr>
          <w:hyperlink w:anchor="_Toc531788454" w:history="1">
            <w:r w:rsidR="00645A76" w:rsidRPr="00190CD7">
              <w:rPr>
                <w:rStyle w:val="Hyperlink"/>
                <w:rFonts w:ascii="Times New Roman" w:eastAsiaTheme="majorEastAsia" w:hAnsi="Times New Roman" w:cs="Arial"/>
                <w:b/>
                <w:noProof/>
                <w:lang w:eastAsia="en-US"/>
              </w:rPr>
              <w:t>Article 10 Settlement of the intended energy exchanges as the result of the INP</w:t>
            </w:r>
            <w:r w:rsidR="00645A76">
              <w:rPr>
                <w:noProof/>
                <w:webHidden/>
              </w:rPr>
              <w:tab/>
            </w:r>
            <w:r w:rsidR="00645A76">
              <w:rPr>
                <w:noProof/>
                <w:webHidden/>
              </w:rPr>
              <w:fldChar w:fldCharType="begin"/>
            </w:r>
            <w:r w:rsidR="00645A76">
              <w:rPr>
                <w:noProof/>
                <w:webHidden/>
              </w:rPr>
              <w:instrText xml:space="preserve"> PAGEREF _Toc531788454 \h </w:instrText>
            </w:r>
            <w:r w:rsidR="00645A76">
              <w:rPr>
                <w:noProof/>
                <w:webHidden/>
              </w:rPr>
            </w:r>
            <w:r w:rsidR="00645A76">
              <w:rPr>
                <w:noProof/>
                <w:webHidden/>
              </w:rPr>
              <w:fldChar w:fldCharType="separate"/>
            </w:r>
            <w:r w:rsidR="00645A76">
              <w:rPr>
                <w:noProof/>
                <w:webHidden/>
              </w:rPr>
              <w:t>10</w:t>
            </w:r>
            <w:r w:rsidR="00645A76">
              <w:rPr>
                <w:noProof/>
                <w:webHidden/>
              </w:rPr>
              <w:fldChar w:fldCharType="end"/>
            </w:r>
          </w:hyperlink>
        </w:p>
        <w:p w14:paraId="404D8D5F" w14:textId="32F74E87" w:rsidR="00645A76" w:rsidRDefault="00592A05">
          <w:pPr>
            <w:pStyle w:val="TOC2"/>
            <w:tabs>
              <w:tab w:val="right" w:leader="dot" w:pos="9514"/>
            </w:tabs>
            <w:rPr>
              <w:rFonts w:asciiTheme="minorHAnsi" w:eastAsiaTheme="minorEastAsia" w:hAnsiTheme="minorHAnsi" w:cstheme="minorBidi"/>
              <w:noProof/>
              <w:szCs w:val="22"/>
              <w:lang w:eastAsia="en-GB"/>
            </w:rPr>
          </w:pPr>
          <w:hyperlink w:anchor="_Toc531788455" w:history="1">
            <w:r w:rsidR="00645A76" w:rsidRPr="00190CD7">
              <w:rPr>
                <w:rStyle w:val="Hyperlink"/>
                <w:rFonts w:ascii="Times New Roman" w:eastAsiaTheme="majorEastAsia" w:hAnsi="Times New Roman" w:cs="Arial"/>
                <w:b/>
                <w:noProof/>
                <w:lang w:eastAsia="en-US"/>
              </w:rPr>
              <w:t>Article 11 Implementation Timeline</w:t>
            </w:r>
            <w:r w:rsidR="00645A76">
              <w:rPr>
                <w:noProof/>
                <w:webHidden/>
              </w:rPr>
              <w:tab/>
            </w:r>
            <w:r w:rsidR="00645A76">
              <w:rPr>
                <w:noProof/>
                <w:webHidden/>
              </w:rPr>
              <w:fldChar w:fldCharType="begin"/>
            </w:r>
            <w:r w:rsidR="00645A76">
              <w:rPr>
                <w:noProof/>
                <w:webHidden/>
              </w:rPr>
              <w:instrText xml:space="preserve"> PAGEREF _Toc531788455 \h </w:instrText>
            </w:r>
            <w:r w:rsidR="00645A76">
              <w:rPr>
                <w:noProof/>
                <w:webHidden/>
              </w:rPr>
            </w:r>
            <w:r w:rsidR="00645A76">
              <w:rPr>
                <w:noProof/>
                <w:webHidden/>
              </w:rPr>
              <w:fldChar w:fldCharType="separate"/>
            </w:r>
            <w:r w:rsidR="00645A76">
              <w:rPr>
                <w:noProof/>
                <w:webHidden/>
              </w:rPr>
              <w:t>12</w:t>
            </w:r>
            <w:r w:rsidR="00645A76">
              <w:rPr>
                <w:noProof/>
                <w:webHidden/>
              </w:rPr>
              <w:fldChar w:fldCharType="end"/>
            </w:r>
          </w:hyperlink>
        </w:p>
        <w:p w14:paraId="7A353C3E" w14:textId="27588730" w:rsidR="00645A76" w:rsidRDefault="00592A05">
          <w:pPr>
            <w:pStyle w:val="TOC2"/>
            <w:tabs>
              <w:tab w:val="right" w:leader="dot" w:pos="9514"/>
            </w:tabs>
            <w:rPr>
              <w:rFonts w:asciiTheme="minorHAnsi" w:eastAsiaTheme="minorEastAsia" w:hAnsiTheme="minorHAnsi" w:cstheme="minorBidi"/>
              <w:noProof/>
              <w:szCs w:val="22"/>
              <w:lang w:eastAsia="en-GB"/>
            </w:rPr>
          </w:pPr>
          <w:hyperlink w:anchor="_Toc531788456" w:history="1">
            <w:r w:rsidR="00645A76" w:rsidRPr="00190CD7">
              <w:rPr>
                <w:rStyle w:val="Hyperlink"/>
                <w:rFonts w:ascii="Times New Roman" w:eastAsiaTheme="majorEastAsia" w:hAnsi="Times New Roman" w:cs="Arial"/>
                <w:b/>
                <w:noProof/>
                <w:lang w:eastAsia="en-US"/>
              </w:rPr>
              <w:t>Article 12 Publication of the SP</w:t>
            </w:r>
            <w:r w:rsidR="00645A76">
              <w:rPr>
                <w:noProof/>
                <w:webHidden/>
              </w:rPr>
              <w:tab/>
            </w:r>
            <w:r w:rsidR="00645A76">
              <w:rPr>
                <w:noProof/>
                <w:webHidden/>
              </w:rPr>
              <w:fldChar w:fldCharType="begin"/>
            </w:r>
            <w:r w:rsidR="00645A76">
              <w:rPr>
                <w:noProof/>
                <w:webHidden/>
              </w:rPr>
              <w:instrText xml:space="preserve"> PAGEREF _Toc531788456 \h </w:instrText>
            </w:r>
            <w:r w:rsidR="00645A76">
              <w:rPr>
                <w:noProof/>
                <w:webHidden/>
              </w:rPr>
            </w:r>
            <w:r w:rsidR="00645A76">
              <w:rPr>
                <w:noProof/>
                <w:webHidden/>
              </w:rPr>
              <w:fldChar w:fldCharType="separate"/>
            </w:r>
            <w:r w:rsidR="00645A76">
              <w:rPr>
                <w:noProof/>
                <w:webHidden/>
              </w:rPr>
              <w:t>12</w:t>
            </w:r>
            <w:r w:rsidR="00645A76">
              <w:rPr>
                <w:noProof/>
                <w:webHidden/>
              </w:rPr>
              <w:fldChar w:fldCharType="end"/>
            </w:r>
          </w:hyperlink>
        </w:p>
        <w:p w14:paraId="67550258" w14:textId="16BA5AF7" w:rsidR="00645A76" w:rsidRDefault="00592A05">
          <w:pPr>
            <w:pStyle w:val="TOC2"/>
            <w:tabs>
              <w:tab w:val="right" w:leader="dot" w:pos="9514"/>
            </w:tabs>
            <w:rPr>
              <w:rFonts w:asciiTheme="minorHAnsi" w:eastAsiaTheme="minorEastAsia" w:hAnsiTheme="minorHAnsi" w:cstheme="minorBidi"/>
              <w:noProof/>
              <w:szCs w:val="22"/>
              <w:lang w:eastAsia="en-GB"/>
            </w:rPr>
          </w:pPr>
          <w:hyperlink w:anchor="_Toc531788457" w:history="1">
            <w:r w:rsidR="00645A76" w:rsidRPr="00190CD7">
              <w:rPr>
                <w:rStyle w:val="Hyperlink"/>
                <w:rFonts w:ascii="Times New Roman" w:eastAsiaTheme="majorEastAsia" w:hAnsi="Times New Roman" w:cs="Arial"/>
                <w:b/>
                <w:noProof/>
                <w:lang w:eastAsia="en-US"/>
              </w:rPr>
              <w:t>Article 13 Language</w:t>
            </w:r>
            <w:r w:rsidR="00645A76">
              <w:rPr>
                <w:noProof/>
                <w:webHidden/>
              </w:rPr>
              <w:tab/>
            </w:r>
            <w:r w:rsidR="00645A76">
              <w:rPr>
                <w:noProof/>
                <w:webHidden/>
              </w:rPr>
              <w:fldChar w:fldCharType="begin"/>
            </w:r>
            <w:r w:rsidR="00645A76">
              <w:rPr>
                <w:noProof/>
                <w:webHidden/>
              </w:rPr>
              <w:instrText xml:space="preserve"> PAGEREF _Toc531788457 \h </w:instrText>
            </w:r>
            <w:r w:rsidR="00645A76">
              <w:rPr>
                <w:noProof/>
                <w:webHidden/>
              </w:rPr>
            </w:r>
            <w:r w:rsidR="00645A76">
              <w:rPr>
                <w:noProof/>
                <w:webHidden/>
              </w:rPr>
              <w:fldChar w:fldCharType="separate"/>
            </w:r>
            <w:r w:rsidR="00645A76">
              <w:rPr>
                <w:noProof/>
                <w:webHidden/>
              </w:rPr>
              <w:t>12</w:t>
            </w:r>
            <w:r w:rsidR="00645A76">
              <w:rPr>
                <w:noProof/>
                <w:webHidden/>
              </w:rPr>
              <w:fldChar w:fldCharType="end"/>
            </w:r>
          </w:hyperlink>
        </w:p>
        <w:p w14:paraId="4AD31FD8" w14:textId="592C2C85" w:rsidR="0003170B" w:rsidRPr="008D3553" w:rsidRDefault="0003170B" w:rsidP="008D3553">
          <w:pPr>
            <w:spacing w:before="240" w:after="160"/>
            <w:rPr>
              <w:rFonts w:asciiTheme="minorHAnsi" w:hAnsiTheme="minorHAnsi" w:cstheme="minorHAnsi"/>
              <w:noProof/>
            </w:rPr>
          </w:pPr>
          <w:r w:rsidRPr="008D3553">
            <w:rPr>
              <w:rFonts w:asciiTheme="minorHAnsi" w:hAnsiTheme="minorHAnsi" w:cstheme="minorHAnsi"/>
              <w:bCs/>
              <w:noProof/>
              <w:szCs w:val="22"/>
            </w:rPr>
            <w:fldChar w:fldCharType="end"/>
          </w:r>
        </w:p>
      </w:sdtContent>
    </w:sdt>
    <w:p w14:paraId="207971CB" w14:textId="77777777" w:rsidR="0003170B" w:rsidRPr="0080608B" w:rsidRDefault="0003170B" w:rsidP="0003170B">
      <w:pPr>
        <w:rPr>
          <w:rFonts w:ascii="Times New Roman" w:hAnsi="Times New Roman"/>
          <w:szCs w:val="22"/>
          <w:lang w:eastAsia="en-US"/>
        </w:rPr>
      </w:pPr>
      <w:r w:rsidRPr="0080608B">
        <w:rPr>
          <w:rFonts w:ascii="Times New Roman" w:hAnsi="Times New Roman"/>
          <w:szCs w:val="22"/>
          <w:lang w:eastAsia="en-US"/>
        </w:rPr>
        <w:br w:type="page"/>
      </w:r>
    </w:p>
    <w:p w14:paraId="30D63FBA" w14:textId="73934284" w:rsidR="004F245D" w:rsidRPr="00364111" w:rsidRDefault="004F245D" w:rsidP="004F245D">
      <w:pPr>
        <w:ind w:hanging="426"/>
        <w:rPr>
          <w:rFonts w:ascii="Times New Roman" w:hAnsi="Times New Roman"/>
          <w:szCs w:val="22"/>
          <w:lang w:eastAsia="en-US"/>
        </w:rPr>
      </w:pPr>
      <w:r w:rsidRPr="00364111">
        <w:rPr>
          <w:rFonts w:ascii="Times New Roman" w:hAnsi="Times New Roman"/>
          <w:szCs w:val="22"/>
          <w:lang w:eastAsia="en-US"/>
        </w:rPr>
        <w:lastRenderedPageBreak/>
        <w:t>All TSOs, taking into account the following:</w:t>
      </w:r>
    </w:p>
    <w:p w14:paraId="30D63FBB" w14:textId="77777777" w:rsidR="004F245D" w:rsidRPr="00364111" w:rsidRDefault="004F245D" w:rsidP="004F245D">
      <w:pPr>
        <w:spacing w:before="400" w:after="120" w:line="340" w:lineRule="exact"/>
        <w:jc w:val="center"/>
        <w:outlineLvl w:val="0"/>
        <w:rPr>
          <w:rFonts w:ascii="Times New Roman" w:hAnsi="Times New Roman" w:cs="Arial"/>
          <w:b/>
          <w:color w:val="23236E"/>
          <w:sz w:val="24"/>
          <w:szCs w:val="28"/>
          <w:lang w:eastAsia="en-US"/>
        </w:rPr>
      </w:pPr>
      <w:bookmarkStart w:id="2" w:name="_Toc432586767"/>
      <w:bookmarkStart w:id="3" w:name="_Toc432586787"/>
      <w:bookmarkStart w:id="4" w:name="_Toc445298912"/>
      <w:bookmarkStart w:id="5" w:name="_Toc445299174"/>
      <w:bookmarkStart w:id="6" w:name="_Toc445825430"/>
      <w:bookmarkStart w:id="7" w:name="_Toc509328967"/>
      <w:bookmarkStart w:id="8" w:name="_Toc531788443"/>
      <w:r w:rsidRPr="00364111">
        <w:rPr>
          <w:rFonts w:ascii="Times New Roman" w:hAnsi="Times New Roman" w:cs="Arial"/>
          <w:b/>
          <w:color w:val="23236E"/>
          <w:sz w:val="24"/>
          <w:szCs w:val="28"/>
          <w:lang w:eastAsia="en-US"/>
        </w:rPr>
        <w:t>Whereas</w:t>
      </w:r>
      <w:bookmarkEnd w:id="2"/>
      <w:bookmarkEnd w:id="3"/>
      <w:bookmarkEnd w:id="4"/>
      <w:bookmarkEnd w:id="5"/>
      <w:bookmarkEnd w:id="6"/>
      <w:bookmarkEnd w:id="7"/>
      <w:bookmarkEnd w:id="8"/>
    </w:p>
    <w:p w14:paraId="0E44426E" w14:textId="24629FCC" w:rsidR="006278DD" w:rsidRPr="00364111" w:rsidRDefault="004F245D" w:rsidP="004E0AE8">
      <w:pPr>
        <w:numPr>
          <w:ilvl w:val="0"/>
          <w:numId w:val="5"/>
        </w:numPr>
        <w:spacing w:after="120" w:line="259" w:lineRule="auto"/>
        <w:ind w:left="993" w:hanging="633"/>
        <w:jc w:val="both"/>
        <w:rPr>
          <w:rFonts w:ascii="Times New Roman" w:hAnsi="Times New Roman"/>
          <w:szCs w:val="22"/>
          <w:lang w:eastAsia="en-US"/>
        </w:rPr>
      </w:pPr>
      <w:r w:rsidRPr="00364111">
        <w:rPr>
          <w:rFonts w:ascii="Times New Roman" w:hAnsi="Times New Roman"/>
          <w:szCs w:val="22"/>
          <w:lang w:eastAsia="en-US"/>
        </w:rPr>
        <w:t xml:space="preserve">This document is a common proposal </w:t>
      </w:r>
      <w:r w:rsidR="00FB67E9" w:rsidRPr="00364111">
        <w:rPr>
          <w:rFonts w:ascii="Times New Roman" w:hAnsi="Times New Roman"/>
          <w:szCs w:val="22"/>
          <w:lang w:eastAsia="en-US"/>
        </w:rPr>
        <w:t>developed by all Transmission System Operators (hereafter referred to as “</w:t>
      </w:r>
      <w:r w:rsidR="00FB67E9" w:rsidRPr="00364111">
        <w:rPr>
          <w:rFonts w:ascii="Times New Roman" w:hAnsi="Times New Roman"/>
          <w:b/>
          <w:szCs w:val="22"/>
          <w:lang w:eastAsia="en-US"/>
        </w:rPr>
        <w:t>TSOs</w:t>
      </w:r>
      <w:r w:rsidR="00FB67E9" w:rsidRPr="00364111">
        <w:rPr>
          <w:rFonts w:ascii="Times New Roman" w:hAnsi="Times New Roman"/>
          <w:szCs w:val="22"/>
          <w:lang w:eastAsia="en-US"/>
        </w:rPr>
        <w:t>”) regarding</w:t>
      </w:r>
      <w:r w:rsidR="00361657" w:rsidRPr="00364111">
        <w:rPr>
          <w:rFonts w:ascii="Times New Roman" w:hAnsi="Times New Roman"/>
          <w:szCs w:val="22"/>
          <w:lang w:eastAsia="en-US"/>
        </w:rPr>
        <w:t xml:space="preserve"> the </w:t>
      </w:r>
      <w:r w:rsidR="00452365" w:rsidRPr="00364111">
        <w:rPr>
          <w:rFonts w:ascii="Times New Roman" w:hAnsi="Times New Roman"/>
          <w:szCs w:val="22"/>
          <w:lang w:eastAsia="en-US"/>
        </w:rPr>
        <w:t xml:space="preserve">methodologies for </w:t>
      </w:r>
      <w:r w:rsidR="00834824">
        <w:rPr>
          <w:rFonts w:ascii="Times New Roman" w:hAnsi="Times New Roman"/>
          <w:szCs w:val="22"/>
          <w:lang w:eastAsia="en-US"/>
        </w:rPr>
        <w:t xml:space="preserve">the </w:t>
      </w:r>
      <w:r w:rsidR="00BC5896">
        <w:rPr>
          <w:rFonts w:ascii="Times New Roman" w:hAnsi="Times New Roman"/>
          <w:szCs w:val="22"/>
          <w:lang w:eastAsia="en-US"/>
        </w:rPr>
        <w:t xml:space="preserve">TSO-TSO </w:t>
      </w:r>
      <w:r w:rsidR="00834824">
        <w:rPr>
          <w:rFonts w:ascii="Times New Roman" w:hAnsi="Times New Roman"/>
          <w:szCs w:val="22"/>
          <w:lang w:eastAsia="en-US"/>
        </w:rPr>
        <w:t xml:space="preserve">settlement of </w:t>
      </w:r>
      <w:r w:rsidR="00BC5896">
        <w:rPr>
          <w:rFonts w:ascii="Times New Roman" w:hAnsi="Times New Roman"/>
          <w:szCs w:val="22"/>
          <w:lang w:eastAsia="en-US"/>
        </w:rPr>
        <w:t>the intended exchanges</w:t>
      </w:r>
      <w:r w:rsidR="00A26D8C">
        <w:rPr>
          <w:rFonts w:ascii="Times New Roman" w:hAnsi="Times New Roman"/>
          <w:szCs w:val="22"/>
          <w:lang w:eastAsia="en-US"/>
        </w:rPr>
        <w:t xml:space="preserve"> of energy</w:t>
      </w:r>
      <w:r w:rsidR="00BC5896">
        <w:rPr>
          <w:rFonts w:ascii="Times New Roman" w:hAnsi="Times New Roman"/>
          <w:szCs w:val="22"/>
          <w:lang w:eastAsia="en-US"/>
        </w:rPr>
        <w:t xml:space="preserve"> as the result </w:t>
      </w:r>
      <w:r w:rsidR="00EB6BF6">
        <w:rPr>
          <w:rFonts w:ascii="Times New Roman" w:hAnsi="Times New Roman"/>
          <w:szCs w:val="22"/>
          <w:lang w:eastAsia="en-US"/>
        </w:rPr>
        <w:t xml:space="preserve">of </w:t>
      </w:r>
      <w:r w:rsidR="00BC5896">
        <w:rPr>
          <w:rFonts w:ascii="Times New Roman" w:hAnsi="Times New Roman"/>
          <w:szCs w:val="22"/>
          <w:lang w:eastAsia="en-US"/>
        </w:rPr>
        <w:t>the reserve replacement process, frequency restoration process with manual and automatic activation and imbalance netting process in accordance with</w:t>
      </w:r>
      <w:r w:rsidR="00452365" w:rsidRPr="00364111">
        <w:rPr>
          <w:rFonts w:ascii="Times New Roman" w:hAnsi="Times New Roman"/>
          <w:szCs w:val="22"/>
          <w:lang w:eastAsia="en-US"/>
        </w:rPr>
        <w:t xml:space="preserve"> Article </w:t>
      </w:r>
      <w:r w:rsidR="00B15166">
        <w:rPr>
          <w:rFonts w:ascii="Times New Roman" w:hAnsi="Times New Roman"/>
          <w:szCs w:val="22"/>
          <w:lang w:eastAsia="en-US"/>
        </w:rPr>
        <w:t>5</w:t>
      </w:r>
      <w:r w:rsidR="00452365" w:rsidRPr="00364111">
        <w:rPr>
          <w:rFonts w:ascii="Times New Roman" w:hAnsi="Times New Roman"/>
          <w:szCs w:val="22"/>
          <w:lang w:eastAsia="en-US"/>
        </w:rPr>
        <w:t>0(1)</w:t>
      </w:r>
      <w:r w:rsidR="003C300B">
        <w:rPr>
          <w:rFonts w:ascii="Times New Roman" w:hAnsi="Times New Roman"/>
          <w:szCs w:val="22"/>
          <w:lang w:eastAsia="en-US"/>
        </w:rPr>
        <w:t xml:space="preserve"> of the </w:t>
      </w:r>
      <w:r w:rsidR="003C300B" w:rsidRPr="00364111">
        <w:rPr>
          <w:rFonts w:ascii="Times New Roman" w:hAnsi="Times New Roman"/>
          <w:szCs w:val="22"/>
          <w:lang w:eastAsia="en-US"/>
        </w:rPr>
        <w:t>Regulation (EC) 2017/2195 establishing a guideline on electricity balancing (hereafter referred to as the “</w:t>
      </w:r>
      <w:r w:rsidR="003C300B" w:rsidRPr="00364111">
        <w:rPr>
          <w:rFonts w:ascii="Times New Roman" w:hAnsi="Times New Roman"/>
          <w:b/>
          <w:szCs w:val="22"/>
          <w:lang w:eastAsia="en-US"/>
        </w:rPr>
        <w:t>EBGL</w:t>
      </w:r>
      <w:r w:rsidR="003C300B" w:rsidRPr="00364111">
        <w:rPr>
          <w:rFonts w:ascii="Times New Roman" w:hAnsi="Times New Roman"/>
          <w:szCs w:val="22"/>
          <w:lang w:eastAsia="en-US"/>
        </w:rPr>
        <w:t>”)</w:t>
      </w:r>
      <w:r w:rsidR="00361657" w:rsidRPr="00364111">
        <w:rPr>
          <w:rFonts w:ascii="Times New Roman" w:hAnsi="Times New Roman"/>
          <w:szCs w:val="22"/>
          <w:lang w:eastAsia="en-US"/>
        </w:rPr>
        <w:t>. This proposal is hereafter referred to as the “</w:t>
      </w:r>
      <w:r w:rsidR="00BC5896">
        <w:rPr>
          <w:rFonts w:ascii="Times New Roman" w:hAnsi="Times New Roman"/>
          <w:b/>
          <w:szCs w:val="22"/>
          <w:lang w:eastAsia="en-US"/>
        </w:rPr>
        <w:t>S</w:t>
      </w:r>
      <w:r w:rsidR="00BC5896" w:rsidRPr="00364111">
        <w:rPr>
          <w:rFonts w:ascii="Times New Roman" w:hAnsi="Times New Roman"/>
          <w:b/>
          <w:szCs w:val="22"/>
          <w:lang w:eastAsia="en-US"/>
        </w:rPr>
        <w:t>P</w:t>
      </w:r>
      <w:r w:rsidR="00361657" w:rsidRPr="00364111">
        <w:rPr>
          <w:rFonts w:ascii="Times New Roman" w:hAnsi="Times New Roman"/>
          <w:szCs w:val="22"/>
          <w:lang w:eastAsia="en-US"/>
        </w:rPr>
        <w:t>”.</w:t>
      </w:r>
    </w:p>
    <w:p w14:paraId="578D44B9" w14:textId="6D453C97" w:rsidR="00D05609" w:rsidRPr="001D5484" w:rsidRDefault="00A452EE" w:rsidP="00490AD1">
      <w:pPr>
        <w:numPr>
          <w:ilvl w:val="0"/>
          <w:numId w:val="5"/>
        </w:numPr>
        <w:spacing w:after="120" w:line="259" w:lineRule="auto"/>
        <w:ind w:left="993" w:hanging="633"/>
        <w:jc w:val="both"/>
        <w:rPr>
          <w:rFonts w:asciiTheme="minorHAnsi" w:hAnsiTheme="minorHAnsi" w:cstheme="minorHAnsi"/>
          <w:szCs w:val="22"/>
          <w:lang w:eastAsia="en-US"/>
        </w:rPr>
      </w:pPr>
      <w:r w:rsidRPr="001D5484">
        <w:rPr>
          <w:rFonts w:asciiTheme="minorHAnsi" w:hAnsiTheme="minorHAnsi" w:cstheme="minorHAnsi"/>
          <w:szCs w:val="22"/>
          <w:lang w:eastAsia="en-US"/>
        </w:rPr>
        <w:t xml:space="preserve">The </w:t>
      </w:r>
      <w:r w:rsidR="00BC5896" w:rsidRPr="001D5484">
        <w:rPr>
          <w:rFonts w:asciiTheme="minorHAnsi" w:hAnsiTheme="minorHAnsi" w:cstheme="minorHAnsi"/>
          <w:szCs w:val="22"/>
          <w:lang w:eastAsia="en-US"/>
        </w:rPr>
        <w:t xml:space="preserve">SP </w:t>
      </w:r>
      <w:r w:rsidR="004F245D" w:rsidRPr="001D5484">
        <w:rPr>
          <w:rFonts w:asciiTheme="minorHAnsi" w:hAnsiTheme="minorHAnsi" w:cstheme="minorHAnsi"/>
          <w:szCs w:val="22"/>
          <w:lang w:eastAsia="en-US"/>
        </w:rPr>
        <w:t xml:space="preserve">takes into account the general principles and goals set in </w:t>
      </w:r>
      <w:r w:rsidR="008049AE" w:rsidRPr="001D5484">
        <w:rPr>
          <w:rFonts w:asciiTheme="minorHAnsi" w:hAnsiTheme="minorHAnsi" w:cstheme="minorHAnsi"/>
          <w:szCs w:val="22"/>
          <w:lang w:eastAsia="en-US"/>
        </w:rPr>
        <w:t xml:space="preserve">the </w:t>
      </w:r>
      <w:r w:rsidR="002B693C" w:rsidRPr="001D5484">
        <w:rPr>
          <w:rFonts w:asciiTheme="minorHAnsi" w:hAnsiTheme="minorHAnsi" w:cstheme="minorHAnsi"/>
          <w:szCs w:val="22"/>
          <w:lang w:eastAsia="en-US"/>
        </w:rPr>
        <w:t>EBGL</w:t>
      </w:r>
      <w:r w:rsidR="00CB52C9" w:rsidRPr="001D5484">
        <w:rPr>
          <w:rFonts w:asciiTheme="minorHAnsi" w:hAnsiTheme="minorHAnsi" w:cstheme="minorHAnsi"/>
          <w:szCs w:val="22"/>
          <w:lang w:eastAsia="en-US"/>
        </w:rPr>
        <w:t>,</w:t>
      </w:r>
      <w:r w:rsidR="008049AE" w:rsidRPr="001D5484">
        <w:rPr>
          <w:rFonts w:asciiTheme="minorHAnsi" w:hAnsiTheme="minorHAnsi" w:cstheme="minorHAnsi"/>
          <w:szCs w:val="22"/>
          <w:lang w:eastAsia="en-US"/>
        </w:rPr>
        <w:t xml:space="preserve"> the</w:t>
      </w:r>
      <w:r w:rsidR="00CB52C9" w:rsidRPr="001D5484">
        <w:rPr>
          <w:rFonts w:asciiTheme="minorHAnsi" w:hAnsiTheme="minorHAnsi" w:cstheme="minorHAnsi"/>
          <w:szCs w:val="22"/>
          <w:lang w:eastAsia="en-US"/>
        </w:rPr>
        <w:t xml:space="preserve"> Regulation (EC) 2017/</w:t>
      </w:r>
      <w:r w:rsidR="000C0FB7" w:rsidRPr="001D5484">
        <w:rPr>
          <w:rFonts w:asciiTheme="minorHAnsi" w:hAnsiTheme="minorHAnsi" w:cstheme="minorHAnsi"/>
          <w:szCs w:val="22"/>
          <w:lang w:eastAsia="en-US"/>
        </w:rPr>
        <w:t>1485</w:t>
      </w:r>
      <w:r w:rsidR="00A222FB" w:rsidRPr="001D5484">
        <w:rPr>
          <w:rFonts w:asciiTheme="minorHAnsi" w:hAnsiTheme="minorHAnsi" w:cstheme="minorHAnsi"/>
          <w:szCs w:val="22"/>
          <w:lang w:eastAsia="en-US"/>
        </w:rPr>
        <w:t xml:space="preserve"> </w:t>
      </w:r>
      <w:r w:rsidR="00CB52C9" w:rsidRPr="001D5484">
        <w:rPr>
          <w:rFonts w:asciiTheme="minorHAnsi" w:hAnsiTheme="minorHAnsi" w:cstheme="minorHAnsi"/>
          <w:szCs w:val="22"/>
          <w:lang w:eastAsia="en-US"/>
        </w:rPr>
        <w:t>establishing a guideline on electricity transmission system operation (hereafter referred to as the “</w:t>
      </w:r>
      <w:r w:rsidR="002B693C" w:rsidRPr="001D5484">
        <w:rPr>
          <w:rFonts w:asciiTheme="minorHAnsi" w:hAnsiTheme="minorHAnsi" w:cstheme="minorHAnsi"/>
          <w:b/>
          <w:szCs w:val="22"/>
          <w:lang w:eastAsia="en-US"/>
        </w:rPr>
        <w:t>SOGL</w:t>
      </w:r>
      <w:r w:rsidR="00CB52C9" w:rsidRPr="001D5484">
        <w:rPr>
          <w:rFonts w:asciiTheme="minorHAnsi" w:hAnsiTheme="minorHAnsi" w:cstheme="minorHAnsi"/>
          <w:szCs w:val="22"/>
          <w:lang w:eastAsia="en-US"/>
        </w:rPr>
        <w:t>”)</w:t>
      </w:r>
      <w:r w:rsidR="001D5484" w:rsidRPr="001D5484">
        <w:rPr>
          <w:rFonts w:asciiTheme="minorHAnsi" w:hAnsiTheme="minorHAnsi" w:cstheme="minorHAnsi"/>
          <w:szCs w:val="22"/>
          <w:lang w:eastAsia="en-US"/>
        </w:rPr>
        <w:t>,</w:t>
      </w:r>
      <w:r w:rsidR="001D5484" w:rsidRPr="001D5484">
        <w:rPr>
          <w:rFonts w:asciiTheme="minorHAnsi" w:hAnsiTheme="minorHAnsi" w:cstheme="minorHAnsi"/>
          <w:color w:val="444444"/>
          <w:szCs w:val="22"/>
          <w:lang w:val="en"/>
        </w:rPr>
        <w:t xml:space="preserve"> Commission Regulation (EU) 2015/1222 of 24 July 2015 establishing a guideline on capacity allocation and congestion management </w:t>
      </w:r>
      <w:r w:rsidR="001D5484" w:rsidRPr="001D5484">
        <w:rPr>
          <w:rFonts w:asciiTheme="minorHAnsi" w:hAnsiTheme="minorHAnsi" w:cstheme="minorHAnsi"/>
          <w:szCs w:val="22"/>
          <w:lang w:eastAsia="en-US"/>
        </w:rPr>
        <w:t>(hereafter referred to as the “</w:t>
      </w:r>
      <w:r w:rsidR="001D5484" w:rsidRPr="001D5484">
        <w:rPr>
          <w:rFonts w:asciiTheme="minorHAnsi" w:hAnsiTheme="minorHAnsi" w:cstheme="minorHAnsi"/>
          <w:b/>
          <w:szCs w:val="22"/>
          <w:lang w:eastAsia="en-US"/>
        </w:rPr>
        <w:t>CACM</w:t>
      </w:r>
      <w:r w:rsidR="001D5484" w:rsidRPr="001D5484">
        <w:rPr>
          <w:rFonts w:asciiTheme="minorHAnsi" w:hAnsiTheme="minorHAnsi" w:cstheme="minorHAnsi"/>
          <w:szCs w:val="22"/>
          <w:lang w:eastAsia="en-US"/>
        </w:rPr>
        <w:t>”)</w:t>
      </w:r>
      <w:r w:rsidR="00CB52C9" w:rsidRPr="001D5484">
        <w:rPr>
          <w:rFonts w:asciiTheme="minorHAnsi" w:hAnsiTheme="minorHAnsi" w:cstheme="minorHAnsi"/>
          <w:szCs w:val="22"/>
          <w:lang w:eastAsia="en-US"/>
        </w:rPr>
        <w:t xml:space="preserve"> </w:t>
      </w:r>
      <w:r w:rsidR="004F245D" w:rsidRPr="001D5484">
        <w:rPr>
          <w:rFonts w:asciiTheme="minorHAnsi" w:hAnsiTheme="minorHAnsi" w:cstheme="minorHAnsi"/>
          <w:szCs w:val="22"/>
          <w:lang w:eastAsia="en-US"/>
        </w:rPr>
        <w:t>as well as Regulation (EC) No 714/2009 of the European Parliament of the Council of 13 July 2009 on conditions for access to the network for cross-border exchanges in electricity</w:t>
      </w:r>
      <w:r w:rsidR="00164AC9" w:rsidRPr="001D5484">
        <w:rPr>
          <w:rFonts w:asciiTheme="minorHAnsi" w:hAnsiTheme="minorHAnsi" w:cstheme="minorHAnsi"/>
          <w:szCs w:val="22"/>
          <w:lang w:eastAsia="en-US"/>
        </w:rPr>
        <w:t xml:space="preserve"> (hereafter referred to as the “</w:t>
      </w:r>
      <w:r w:rsidR="00164AC9" w:rsidRPr="001D5484">
        <w:rPr>
          <w:rFonts w:asciiTheme="minorHAnsi" w:hAnsiTheme="minorHAnsi" w:cstheme="minorHAnsi"/>
          <w:b/>
          <w:szCs w:val="22"/>
          <w:lang w:eastAsia="en-US"/>
        </w:rPr>
        <w:t>Electricity Regulation</w:t>
      </w:r>
      <w:r w:rsidR="00164AC9" w:rsidRPr="001D5484">
        <w:rPr>
          <w:rFonts w:asciiTheme="minorHAnsi" w:hAnsiTheme="minorHAnsi" w:cstheme="minorHAnsi"/>
          <w:szCs w:val="22"/>
          <w:lang w:eastAsia="en-US"/>
        </w:rPr>
        <w:t>”)</w:t>
      </w:r>
      <w:r w:rsidR="00432F03" w:rsidRPr="001D5484">
        <w:rPr>
          <w:rFonts w:asciiTheme="minorHAnsi" w:hAnsiTheme="minorHAnsi" w:cstheme="minorHAnsi"/>
          <w:szCs w:val="22"/>
          <w:lang w:eastAsia="en-US"/>
        </w:rPr>
        <w:t>.</w:t>
      </w:r>
      <w:r w:rsidR="004F245D" w:rsidRPr="001D5484">
        <w:rPr>
          <w:rFonts w:asciiTheme="minorHAnsi" w:hAnsiTheme="minorHAnsi" w:cstheme="minorHAnsi"/>
          <w:szCs w:val="22"/>
          <w:lang w:eastAsia="en-US"/>
        </w:rPr>
        <w:t xml:space="preserve"> </w:t>
      </w:r>
    </w:p>
    <w:p w14:paraId="40F7C4A0" w14:textId="61350300" w:rsidR="002D3DCB" w:rsidRPr="00364111" w:rsidRDefault="004F245D" w:rsidP="00C54DF7">
      <w:pPr>
        <w:numPr>
          <w:ilvl w:val="0"/>
          <w:numId w:val="5"/>
        </w:numPr>
        <w:spacing w:after="120" w:line="259" w:lineRule="auto"/>
        <w:ind w:left="993" w:hanging="633"/>
        <w:jc w:val="both"/>
        <w:rPr>
          <w:rFonts w:ascii="Times New Roman" w:hAnsi="Times New Roman"/>
          <w:szCs w:val="22"/>
          <w:lang w:eastAsia="en-US"/>
        </w:rPr>
      </w:pPr>
      <w:r w:rsidRPr="00364111">
        <w:rPr>
          <w:rFonts w:ascii="Times New Roman" w:hAnsi="Times New Roman"/>
          <w:szCs w:val="22"/>
          <w:lang w:eastAsia="en-US"/>
        </w:rPr>
        <w:t xml:space="preserve">The goal </w:t>
      </w:r>
      <w:r w:rsidR="00893A66" w:rsidRPr="00364111">
        <w:rPr>
          <w:rFonts w:ascii="Times New Roman" w:hAnsi="Times New Roman"/>
          <w:szCs w:val="22"/>
          <w:lang w:eastAsia="en-US"/>
        </w:rPr>
        <w:t xml:space="preserve">of </w:t>
      </w:r>
      <w:r w:rsidR="000C6F6D">
        <w:rPr>
          <w:rFonts w:ascii="Times New Roman" w:hAnsi="Times New Roman"/>
          <w:szCs w:val="22"/>
          <w:lang w:eastAsia="en-US"/>
        </w:rPr>
        <w:t xml:space="preserve">the </w:t>
      </w:r>
      <w:r w:rsidR="002B693C" w:rsidRPr="00364111">
        <w:rPr>
          <w:rFonts w:ascii="Times New Roman" w:hAnsi="Times New Roman"/>
          <w:szCs w:val="22"/>
          <w:lang w:eastAsia="en-US"/>
        </w:rPr>
        <w:t>EBGL</w:t>
      </w:r>
      <w:r w:rsidRPr="00364111">
        <w:rPr>
          <w:rFonts w:ascii="Times New Roman" w:hAnsi="Times New Roman"/>
          <w:szCs w:val="22"/>
          <w:lang w:eastAsia="en-US"/>
        </w:rPr>
        <w:t xml:space="preserve"> is the </w:t>
      </w:r>
      <w:r w:rsidR="007136F0" w:rsidRPr="00364111">
        <w:rPr>
          <w:rFonts w:ascii="Times New Roman" w:hAnsi="Times New Roman"/>
          <w:szCs w:val="22"/>
          <w:lang w:eastAsia="en-US"/>
        </w:rPr>
        <w:t>integration of balancing markets</w:t>
      </w:r>
      <w:r w:rsidR="00C66426">
        <w:rPr>
          <w:rFonts w:ascii="Times New Roman" w:hAnsi="Times New Roman"/>
          <w:szCs w:val="22"/>
          <w:lang w:eastAsia="en-US"/>
        </w:rPr>
        <w:t xml:space="preserve"> while contributing to operational security</w:t>
      </w:r>
      <w:r w:rsidRPr="00364111">
        <w:rPr>
          <w:rFonts w:ascii="Times New Roman" w:hAnsi="Times New Roman"/>
          <w:szCs w:val="22"/>
          <w:lang w:eastAsia="en-US"/>
        </w:rPr>
        <w:t xml:space="preserve">. To facilitate </w:t>
      </w:r>
      <w:r w:rsidR="00790E4B" w:rsidRPr="00364111">
        <w:rPr>
          <w:rFonts w:ascii="Times New Roman" w:hAnsi="Times New Roman"/>
          <w:szCs w:val="22"/>
          <w:lang w:eastAsia="en-US"/>
        </w:rPr>
        <w:t>this goal</w:t>
      </w:r>
      <w:r w:rsidRPr="00364111">
        <w:rPr>
          <w:rFonts w:ascii="Times New Roman" w:hAnsi="Times New Roman"/>
          <w:szCs w:val="22"/>
          <w:lang w:eastAsia="en-US"/>
        </w:rPr>
        <w:t xml:space="preserve">, it is necessary to </w:t>
      </w:r>
      <w:r w:rsidR="00790E4B" w:rsidRPr="00364111">
        <w:rPr>
          <w:rFonts w:ascii="Times New Roman" w:hAnsi="Times New Roman"/>
          <w:szCs w:val="22"/>
          <w:lang w:eastAsia="en-US"/>
        </w:rPr>
        <w:t xml:space="preserve">develop implementation frameworks for </w:t>
      </w:r>
      <w:r w:rsidR="000B3B3B" w:rsidRPr="00364111">
        <w:rPr>
          <w:rFonts w:ascii="Times New Roman" w:hAnsi="Times New Roman"/>
          <w:szCs w:val="22"/>
          <w:lang w:eastAsia="en-US"/>
        </w:rPr>
        <w:t xml:space="preserve">European platforms </w:t>
      </w:r>
      <w:r w:rsidR="00BA7AF3" w:rsidRPr="00364111">
        <w:rPr>
          <w:rFonts w:ascii="Times New Roman" w:hAnsi="Times New Roman"/>
          <w:szCs w:val="22"/>
          <w:lang w:eastAsia="en-US"/>
        </w:rPr>
        <w:t>for</w:t>
      </w:r>
      <w:r w:rsidR="000B3B3B" w:rsidRPr="00364111">
        <w:rPr>
          <w:rFonts w:ascii="Times New Roman" w:hAnsi="Times New Roman"/>
          <w:szCs w:val="22"/>
          <w:lang w:eastAsia="en-US"/>
        </w:rPr>
        <w:t xml:space="preserve"> </w:t>
      </w:r>
      <w:r w:rsidR="00A26D8C">
        <w:rPr>
          <w:rFonts w:ascii="Times New Roman" w:hAnsi="Times New Roman"/>
          <w:szCs w:val="22"/>
          <w:lang w:eastAsia="en-US"/>
        </w:rPr>
        <w:t xml:space="preserve">the </w:t>
      </w:r>
      <w:r w:rsidR="00A26D8C" w:rsidRPr="00364111">
        <w:rPr>
          <w:rFonts w:ascii="Times New Roman" w:hAnsi="Times New Roman"/>
          <w:szCs w:val="22"/>
          <w:lang w:eastAsia="en-US"/>
        </w:rPr>
        <w:t xml:space="preserve">exchange </w:t>
      </w:r>
      <w:r w:rsidR="00A26D8C">
        <w:rPr>
          <w:rFonts w:ascii="Times New Roman" w:hAnsi="Times New Roman"/>
          <w:szCs w:val="22"/>
          <w:lang w:eastAsia="en-US"/>
        </w:rPr>
        <w:t xml:space="preserve">of </w:t>
      </w:r>
      <w:r w:rsidR="000B3B3B" w:rsidRPr="00364111">
        <w:rPr>
          <w:rFonts w:ascii="Times New Roman" w:hAnsi="Times New Roman"/>
          <w:szCs w:val="22"/>
          <w:lang w:eastAsia="en-US"/>
        </w:rPr>
        <w:t>balancing energy</w:t>
      </w:r>
      <w:r w:rsidR="00BA7AF3" w:rsidRPr="00364111">
        <w:rPr>
          <w:rFonts w:ascii="Times New Roman" w:hAnsi="Times New Roman"/>
          <w:szCs w:val="22"/>
          <w:lang w:eastAsia="en-US"/>
        </w:rPr>
        <w:t xml:space="preserve"> </w:t>
      </w:r>
      <w:r w:rsidR="000B3B3B" w:rsidRPr="00364111">
        <w:rPr>
          <w:rFonts w:ascii="Times New Roman" w:hAnsi="Times New Roman"/>
          <w:szCs w:val="22"/>
          <w:lang w:eastAsia="en-US"/>
        </w:rPr>
        <w:t>from frequency restoration reserves with manual and automatic activation, replacement</w:t>
      </w:r>
      <w:r w:rsidR="007938EE" w:rsidRPr="00364111">
        <w:rPr>
          <w:rFonts w:ascii="Times New Roman" w:hAnsi="Times New Roman"/>
          <w:szCs w:val="22"/>
          <w:lang w:eastAsia="en-US"/>
        </w:rPr>
        <w:t xml:space="preserve"> reserves and </w:t>
      </w:r>
      <w:r w:rsidR="00A26D8C">
        <w:rPr>
          <w:rFonts w:ascii="Times New Roman" w:hAnsi="Times New Roman"/>
          <w:szCs w:val="22"/>
          <w:lang w:eastAsia="en-US"/>
        </w:rPr>
        <w:t xml:space="preserve">the </w:t>
      </w:r>
      <w:r w:rsidR="007938EE" w:rsidRPr="00364111">
        <w:rPr>
          <w:rFonts w:ascii="Times New Roman" w:hAnsi="Times New Roman"/>
          <w:szCs w:val="22"/>
          <w:lang w:eastAsia="en-US"/>
        </w:rPr>
        <w:t>imbalance netting</w:t>
      </w:r>
      <w:r w:rsidR="00B25666" w:rsidRPr="00364111">
        <w:rPr>
          <w:rFonts w:ascii="Times New Roman" w:hAnsi="Times New Roman"/>
          <w:szCs w:val="22"/>
          <w:lang w:eastAsia="en-US"/>
        </w:rPr>
        <w:t xml:space="preserve"> process</w:t>
      </w:r>
      <w:r w:rsidR="00594FA5">
        <w:rPr>
          <w:rFonts w:ascii="Times New Roman" w:hAnsi="Times New Roman"/>
          <w:szCs w:val="22"/>
          <w:lang w:eastAsia="en-US"/>
        </w:rPr>
        <w:t xml:space="preserve"> pursuant to Article 19 to 22 of </w:t>
      </w:r>
      <w:r w:rsidR="000C6F6D">
        <w:rPr>
          <w:rFonts w:ascii="Times New Roman" w:hAnsi="Times New Roman"/>
          <w:szCs w:val="22"/>
          <w:lang w:eastAsia="en-US"/>
        </w:rPr>
        <w:t xml:space="preserve">the </w:t>
      </w:r>
      <w:r w:rsidR="00594FA5">
        <w:rPr>
          <w:rFonts w:ascii="Times New Roman" w:hAnsi="Times New Roman"/>
          <w:szCs w:val="22"/>
          <w:lang w:eastAsia="en-US"/>
        </w:rPr>
        <w:t>EBGL</w:t>
      </w:r>
      <w:r w:rsidR="007938EE" w:rsidRPr="00364111">
        <w:rPr>
          <w:rFonts w:ascii="Times New Roman" w:hAnsi="Times New Roman"/>
          <w:szCs w:val="22"/>
          <w:lang w:eastAsia="en-US"/>
        </w:rPr>
        <w:t>.</w:t>
      </w:r>
      <w:r w:rsidR="002D3DCB" w:rsidRPr="00364111">
        <w:rPr>
          <w:rFonts w:ascii="Times New Roman" w:hAnsi="Times New Roman"/>
          <w:szCs w:val="22"/>
          <w:lang w:eastAsia="en-US"/>
        </w:rPr>
        <w:t xml:space="preserve"> </w:t>
      </w:r>
      <w:r w:rsidR="00594FA5">
        <w:rPr>
          <w:rFonts w:ascii="Times New Roman" w:hAnsi="Times New Roman"/>
          <w:szCs w:val="22"/>
          <w:lang w:eastAsia="en-US"/>
        </w:rPr>
        <w:t xml:space="preserve">Additionally, </w:t>
      </w:r>
      <w:r w:rsidR="00D54429" w:rsidRPr="00364111">
        <w:rPr>
          <w:rFonts w:ascii="Times New Roman" w:hAnsi="Times New Roman"/>
          <w:szCs w:val="22"/>
          <w:lang w:eastAsia="en-US"/>
        </w:rPr>
        <w:t xml:space="preserve">Article </w:t>
      </w:r>
      <w:r w:rsidR="00A452EE" w:rsidRPr="00364111">
        <w:rPr>
          <w:rFonts w:ascii="Times New Roman" w:hAnsi="Times New Roman"/>
          <w:szCs w:val="22"/>
          <w:lang w:eastAsia="en-US"/>
        </w:rPr>
        <w:t>30</w:t>
      </w:r>
      <w:r w:rsidR="00D54429" w:rsidRPr="00364111">
        <w:rPr>
          <w:rFonts w:ascii="Times New Roman" w:hAnsi="Times New Roman"/>
          <w:szCs w:val="22"/>
          <w:lang w:eastAsia="en-US"/>
        </w:rPr>
        <w:t xml:space="preserve"> </w:t>
      </w:r>
      <w:r w:rsidR="00893A66" w:rsidRPr="00364111">
        <w:rPr>
          <w:rFonts w:ascii="Times New Roman" w:hAnsi="Times New Roman"/>
          <w:szCs w:val="22"/>
          <w:lang w:eastAsia="en-US"/>
        </w:rPr>
        <w:t xml:space="preserve">of </w:t>
      </w:r>
      <w:r w:rsidR="000C6F6D">
        <w:rPr>
          <w:rFonts w:ascii="Times New Roman" w:hAnsi="Times New Roman"/>
          <w:szCs w:val="22"/>
          <w:lang w:eastAsia="en-US"/>
        </w:rPr>
        <w:t xml:space="preserve">the </w:t>
      </w:r>
      <w:r w:rsidR="002B693C" w:rsidRPr="00364111">
        <w:rPr>
          <w:rFonts w:ascii="Times New Roman" w:hAnsi="Times New Roman"/>
          <w:szCs w:val="22"/>
          <w:lang w:eastAsia="en-US"/>
        </w:rPr>
        <w:t>EBGL</w:t>
      </w:r>
      <w:r w:rsidR="00D54429" w:rsidRPr="00364111">
        <w:rPr>
          <w:rFonts w:ascii="Times New Roman" w:hAnsi="Times New Roman"/>
          <w:szCs w:val="22"/>
          <w:lang w:eastAsia="en-US"/>
        </w:rPr>
        <w:t xml:space="preserve"> </w:t>
      </w:r>
      <w:r w:rsidR="00E05619" w:rsidRPr="00364111">
        <w:rPr>
          <w:rFonts w:ascii="Times New Roman" w:hAnsi="Times New Roman"/>
          <w:szCs w:val="22"/>
          <w:lang w:eastAsia="en-US"/>
        </w:rPr>
        <w:t xml:space="preserve">formulates the requirements regarding the </w:t>
      </w:r>
      <w:r w:rsidR="000A40E6" w:rsidRPr="00364111">
        <w:rPr>
          <w:rFonts w:ascii="Times New Roman" w:hAnsi="Times New Roman"/>
          <w:szCs w:val="22"/>
          <w:lang w:eastAsia="en-US"/>
        </w:rPr>
        <w:t xml:space="preserve">pricing of balancing energy and cross-zonal </w:t>
      </w:r>
      <w:r w:rsidR="000A40E6" w:rsidRPr="00DA08C0">
        <w:rPr>
          <w:rFonts w:ascii="Times New Roman" w:hAnsi="Times New Roman"/>
          <w:szCs w:val="22"/>
          <w:lang w:eastAsia="en-US"/>
        </w:rPr>
        <w:t>capacity</w:t>
      </w:r>
      <w:r w:rsidR="00DA08C0" w:rsidRPr="00DA08C0">
        <w:rPr>
          <w:rFonts w:ascii="Times New Roman" w:hAnsi="Times New Roman"/>
          <w:szCs w:val="22"/>
          <w:lang w:eastAsia="en-US"/>
        </w:rPr>
        <w:t xml:space="preserve"> used for the </w:t>
      </w:r>
      <w:r w:rsidR="00DA08C0">
        <w:rPr>
          <w:rFonts w:ascii="Times New Roman" w:hAnsi="Times New Roman"/>
          <w:szCs w:val="22"/>
          <w:lang w:eastAsia="en-US"/>
        </w:rPr>
        <w:t>exchange of balancing energy</w:t>
      </w:r>
      <w:r w:rsidR="00E05619" w:rsidRPr="00364111">
        <w:rPr>
          <w:rFonts w:ascii="Times New Roman" w:hAnsi="Times New Roman"/>
          <w:szCs w:val="22"/>
          <w:lang w:eastAsia="en-US"/>
        </w:rPr>
        <w:t xml:space="preserve"> </w:t>
      </w:r>
    </w:p>
    <w:p w14:paraId="368072EE" w14:textId="08A6F8EB" w:rsidR="006D6704" w:rsidRPr="00364111" w:rsidRDefault="000F6D17" w:rsidP="00490AD1">
      <w:pPr>
        <w:numPr>
          <w:ilvl w:val="0"/>
          <w:numId w:val="5"/>
        </w:numPr>
        <w:spacing w:after="120" w:line="259" w:lineRule="auto"/>
        <w:ind w:left="993" w:hanging="633"/>
        <w:jc w:val="both"/>
        <w:rPr>
          <w:rFonts w:ascii="Times New Roman" w:hAnsi="Times New Roman"/>
          <w:szCs w:val="22"/>
          <w:lang w:eastAsia="en-US"/>
        </w:rPr>
      </w:pPr>
      <w:r w:rsidRPr="00364111">
        <w:rPr>
          <w:rFonts w:ascii="Times New Roman" w:hAnsi="Times New Roman"/>
          <w:szCs w:val="22"/>
          <w:lang w:eastAsia="en-US"/>
        </w:rPr>
        <w:t xml:space="preserve">Article </w:t>
      </w:r>
      <w:r w:rsidR="000B0054">
        <w:rPr>
          <w:rFonts w:ascii="Times New Roman" w:hAnsi="Times New Roman"/>
          <w:szCs w:val="22"/>
          <w:lang w:eastAsia="en-US"/>
        </w:rPr>
        <w:t>5</w:t>
      </w:r>
      <w:r w:rsidR="000B0054" w:rsidRPr="00364111">
        <w:rPr>
          <w:rFonts w:ascii="Times New Roman" w:hAnsi="Times New Roman"/>
          <w:szCs w:val="22"/>
          <w:lang w:eastAsia="en-US"/>
        </w:rPr>
        <w:t xml:space="preserve">0 </w:t>
      </w:r>
      <w:r w:rsidR="000C0FB7" w:rsidRPr="00364111">
        <w:rPr>
          <w:rFonts w:ascii="Times New Roman" w:hAnsi="Times New Roman"/>
          <w:szCs w:val="22"/>
          <w:lang w:eastAsia="en-US"/>
        </w:rPr>
        <w:t xml:space="preserve">of </w:t>
      </w:r>
      <w:r w:rsidR="000C6F6D">
        <w:rPr>
          <w:rFonts w:ascii="Times New Roman" w:hAnsi="Times New Roman"/>
          <w:szCs w:val="22"/>
          <w:lang w:eastAsia="en-US"/>
        </w:rPr>
        <w:t xml:space="preserve">the </w:t>
      </w:r>
      <w:r w:rsidR="002B693C" w:rsidRPr="00364111">
        <w:rPr>
          <w:rFonts w:ascii="Times New Roman" w:hAnsi="Times New Roman"/>
          <w:szCs w:val="22"/>
          <w:lang w:eastAsia="en-US"/>
        </w:rPr>
        <w:t>EBGL</w:t>
      </w:r>
      <w:r w:rsidR="006D6704" w:rsidRPr="00364111">
        <w:rPr>
          <w:rFonts w:ascii="Times New Roman" w:hAnsi="Times New Roman"/>
          <w:szCs w:val="22"/>
          <w:lang w:eastAsia="en-US"/>
        </w:rPr>
        <w:t xml:space="preserve"> </w:t>
      </w:r>
      <w:r w:rsidRPr="00364111">
        <w:rPr>
          <w:rFonts w:ascii="Times New Roman" w:hAnsi="Times New Roman"/>
          <w:szCs w:val="22"/>
          <w:lang w:eastAsia="en-US"/>
        </w:rPr>
        <w:t>constitutes the legal basis for this proposal:</w:t>
      </w:r>
    </w:p>
    <w:p w14:paraId="385F2600" w14:textId="6AC1C086" w:rsidR="00524BB0" w:rsidRPr="00524BB0" w:rsidRDefault="002D3DCB" w:rsidP="00524BB0">
      <w:pPr>
        <w:spacing w:after="120" w:line="259" w:lineRule="auto"/>
        <w:ind w:left="993"/>
        <w:jc w:val="both"/>
        <w:rPr>
          <w:rFonts w:asciiTheme="minorHAnsi" w:hAnsiTheme="minorHAnsi" w:cstheme="minorHAnsi"/>
          <w:i/>
          <w:szCs w:val="22"/>
          <w:lang w:eastAsia="en-US"/>
        </w:rPr>
      </w:pPr>
      <w:r w:rsidRPr="00364111">
        <w:rPr>
          <w:rFonts w:asciiTheme="minorHAnsi" w:hAnsiTheme="minorHAnsi" w:cstheme="minorHAnsi"/>
          <w:i/>
          <w:szCs w:val="22"/>
          <w:lang w:eastAsia="en-US"/>
        </w:rPr>
        <w:t>“1.</w:t>
      </w:r>
      <w:r w:rsidR="00524BB0" w:rsidRPr="00364111" w:rsidDel="00E21A97">
        <w:rPr>
          <w:rFonts w:asciiTheme="minorHAnsi" w:hAnsiTheme="minorHAnsi" w:cstheme="minorHAnsi"/>
          <w:i/>
          <w:szCs w:val="22"/>
          <w:lang w:eastAsia="en-US"/>
        </w:rPr>
        <w:t xml:space="preserve"> </w:t>
      </w:r>
      <w:r w:rsidR="00524BB0" w:rsidRPr="00524BB0">
        <w:rPr>
          <w:rFonts w:asciiTheme="minorHAnsi" w:hAnsiTheme="minorHAnsi" w:cstheme="minorHAnsi"/>
          <w:i/>
          <w:szCs w:val="22"/>
          <w:lang w:eastAsia="en-US"/>
        </w:rPr>
        <w:t>By one year after the entry into force of this Regulation, all TSOs shall develop a proposal for common settlement rules applicable to all intended exchanges of energy as a result of one or more of the following processes pursuant to Articles 146, 147 and 148 of Commission Regulation (EU) 2017/</w:t>
      </w:r>
      <w:r w:rsidR="008C6782">
        <w:rPr>
          <w:rFonts w:asciiTheme="minorHAnsi" w:hAnsiTheme="minorHAnsi" w:cstheme="minorHAnsi"/>
          <w:i/>
          <w:szCs w:val="22"/>
          <w:lang w:eastAsia="en-US"/>
        </w:rPr>
        <w:t>1485</w:t>
      </w:r>
      <w:r w:rsidR="00524BB0" w:rsidRPr="00524BB0">
        <w:rPr>
          <w:rFonts w:asciiTheme="minorHAnsi" w:hAnsiTheme="minorHAnsi" w:cstheme="minorHAnsi"/>
          <w:i/>
          <w:szCs w:val="22"/>
          <w:lang w:eastAsia="en-US"/>
        </w:rPr>
        <w:t xml:space="preserve"> [SO], for each of the following:</w:t>
      </w:r>
    </w:p>
    <w:p w14:paraId="3541A930" w14:textId="77777777" w:rsidR="00524BB0" w:rsidRPr="00524BB0" w:rsidRDefault="00524BB0" w:rsidP="00524BB0">
      <w:pPr>
        <w:spacing w:after="120" w:line="259" w:lineRule="auto"/>
        <w:ind w:left="993"/>
        <w:jc w:val="both"/>
        <w:rPr>
          <w:rFonts w:asciiTheme="minorHAnsi" w:hAnsiTheme="minorHAnsi" w:cstheme="minorHAnsi"/>
          <w:i/>
          <w:szCs w:val="22"/>
          <w:lang w:eastAsia="en-US"/>
        </w:rPr>
      </w:pPr>
      <w:r w:rsidRPr="00524BB0">
        <w:rPr>
          <w:rFonts w:asciiTheme="minorHAnsi" w:hAnsiTheme="minorHAnsi" w:cstheme="minorHAnsi"/>
          <w:i/>
          <w:szCs w:val="22"/>
          <w:lang w:eastAsia="en-US"/>
        </w:rPr>
        <w:t>(a)</w:t>
      </w:r>
      <w:r w:rsidRPr="00524BB0">
        <w:rPr>
          <w:rFonts w:asciiTheme="minorHAnsi" w:hAnsiTheme="minorHAnsi" w:cstheme="minorHAnsi"/>
          <w:i/>
          <w:szCs w:val="22"/>
          <w:lang w:eastAsia="en-US"/>
        </w:rPr>
        <w:tab/>
        <w:t>the reserve replacement process;</w:t>
      </w:r>
    </w:p>
    <w:p w14:paraId="33047273" w14:textId="77777777" w:rsidR="00524BB0" w:rsidRPr="00524BB0" w:rsidRDefault="00524BB0" w:rsidP="00524BB0">
      <w:pPr>
        <w:spacing w:after="120" w:line="259" w:lineRule="auto"/>
        <w:ind w:left="993"/>
        <w:jc w:val="both"/>
        <w:rPr>
          <w:rFonts w:asciiTheme="minorHAnsi" w:hAnsiTheme="minorHAnsi" w:cstheme="minorHAnsi"/>
          <w:i/>
          <w:szCs w:val="22"/>
          <w:lang w:eastAsia="en-US"/>
        </w:rPr>
      </w:pPr>
      <w:r w:rsidRPr="00524BB0">
        <w:rPr>
          <w:rFonts w:asciiTheme="minorHAnsi" w:hAnsiTheme="minorHAnsi" w:cstheme="minorHAnsi"/>
          <w:i/>
          <w:szCs w:val="22"/>
          <w:lang w:eastAsia="en-US"/>
        </w:rPr>
        <w:t>(b)</w:t>
      </w:r>
      <w:r w:rsidRPr="00524BB0">
        <w:rPr>
          <w:rFonts w:asciiTheme="minorHAnsi" w:hAnsiTheme="minorHAnsi" w:cstheme="minorHAnsi"/>
          <w:i/>
          <w:szCs w:val="22"/>
          <w:lang w:eastAsia="en-US"/>
        </w:rPr>
        <w:tab/>
        <w:t>the frequency restoration process with manual activation;</w:t>
      </w:r>
    </w:p>
    <w:p w14:paraId="4CA781B7" w14:textId="77777777" w:rsidR="00524BB0" w:rsidRPr="00524BB0" w:rsidRDefault="00524BB0" w:rsidP="00524BB0">
      <w:pPr>
        <w:spacing w:after="120" w:line="259" w:lineRule="auto"/>
        <w:ind w:left="993"/>
        <w:jc w:val="both"/>
        <w:rPr>
          <w:rFonts w:asciiTheme="minorHAnsi" w:hAnsiTheme="minorHAnsi" w:cstheme="minorHAnsi"/>
          <w:i/>
          <w:szCs w:val="22"/>
          <w:lang w:eastAsia="en-US"/>
        </w:rPr>
      </w:pPr>
      <w:r w:rsidRPr="00524BB0">
        <w:rPr>
          <w:rFonts w:asciiTheme="minorHAnsi" w:hAnsiTheme="minorHAnsi" w:cstheme="minorHAnsi"/>
          <w:i/>
          <w:szCs w:val="22"/>
          <w:lang w:eastAsia="en-US"/>
        </w:rPr>
        <w:t>(c)</w:t>
      </w:r>
      <w:r w:rsidRPr="00524BB0">
        <w:rPr>
          <w:rFonts w:asciiTheme="minorHAnsi" w:hAnsiTheme="minorHAnsi" w:cstheme="minorHAnsi"/>
          <w:i/>
          <w:szCs w:val="22"/>
          <w:lang w:eastAsia="en-US"/>
        </w:rPr>
        <w:tab/>
        <w:t>the frequency restoration process with automatic activation;</w:t>
      </w:r>
    </w:p>
    <w:p w14:paraId="51281E73" w14:textId="6CB5F353" w:rsidR="00524BB0" w:rsidRDefault="00524BB0" w:rsidP="00524BB0">
      <w:pPr>
        <w:spacing w:after="120" w:line="259" w:lineRule="auto"/>
        <w:ind w:left="993"/>
        <w:jc w:val="both"/>
        <w:rPr>
          <w:rFonts w:asciiTheme="minorHAnsi" w:hAnsiTheme="minorHAnsi" w:cstheme="minorHAnsi"/>
          <w:i/>
          <w:szCs w:val="22"/>
          <w:lang w:eastAsia="en-US"/>
        </w:rPr>
      </w:pPr>
      <w:r w:rsidRPr="00524BB0">
        <w:rPr>
          <w:rFonts w:asciiTheme="minorHAnsi" w:hAnsiTheme="minorHAnsi" w:cstheme="minorHAnsi"/>
          <w:i/>
          <w:szCs w:val="22"/>
          <w:lang w:eastAsia="en-US"/>
        </w:rPr>
        <w:t>(d)</w:t>
      </w:r>
      <w:r w:rsidRPr="00524BB0">
        <w:rPr>
          <w:rFonts w:asciiTheme="minorHAnsi" w:hAnsiTheme="minorHAnsi" w:cstheme="minorHAnsi"/>
          <w:i/>
          <w:szCs w:val="22"/>
          <w:lang w:eastAsia="en-US"/>
        </w:rPr>
        <w:tab/>
        <w:t>the imbalance netting process.</w:t>
      </w:r>
    </w:p>
    <w:p w14:paraId="03EC4F2A" w14:textId="71C57D77" w:rsidR="001556AA" w:rsidRDefault="00524BB0" w:rsidP="00524BB0">
      <w:pPr>
        <w:spacing w:after="120" w:line="259" w:lineRule="auto"/>
        <w:ind w:left="993"/>
        <w:jc w:val="both"/>
        <w:rPr>
          <w:rFonts w:asciiTheme="minorHAnsi" w:hAnsiTheme="minorHAnsi" w:cstheme="minorHAnsi"/>
          <w:i/>
          <w:szCs w:val="22"/>
          <w:lang w:eastAsia="en-US"/>
        </w:rPr>
      </w:pPr>
      <w:r w:rsidRPr="00524BB0">
        <w:rPr>
          <w:rFonts w:asciiTheme="minorHAnsi" w:hAnsiTheme="minorHAnsi" w:cstheme="minorHAnsi"/>
          <w:i/>
          <w:szCs w:val="22"/>
          <w:lang w:eastAsia="en-US"/>
        </w:rPr>
        <w:t>2.</w:t>
      </w:r>
      <w:r w:rsidRPr="00524BB0">
        <w:rPr>
          <w:rFonts w:asciiTheme="minorHAnsi" w:hAnsiTheme="minorHAnsi" w:cstheme="minorHAnsi"/>
          <w:i/>
          <w:szCs w:val="22"/>
          <w:lang w:eastAsia="en-US"/>
        </w:rPr>
        <w:tab/>
        <w:t>Each TSO-TSO settlement function shall perform the settlement in accordance with the settlement rules pursuant to paragraph 1</w:t>
      </w:r>
      <w:r w:rsidR="001556AA">
        <w:rPr>
          <w:rFonts w:asciiTheme="minorHAnsi" w:hAnsiTheme="minorHAnsi" w:cstheme="minorHAnsi"/>
          <w:i/>
          <w:szCs w:val="22"/>
          <w:lang w:eastAsia="en-US"/>
        </w:rPr>
        <w:t>.</w:t>
      </w:r>
    </w:p>
    <w:p w14:paraId="406B30A5" w14:textId="2F25FB5D" w:rsidR="001556AA" w:rsidRPr="00294433" w:rsidRDefault="001556AA" w:rsidP="00524BB0">
      <w:pPr>
        <w:spacing w:after="120" w:line="259" w:lineRule="auto"/>
        <w:ind w:left="993"/>
        <w:jc w:val="both"/>
        <w:rPr>
          <w:rFonts w:asciiTheme="minorHAnsi" w:hAnsiTheme="minorHAnsi" w:cstheme="minorHAnsi"/>
          <w:szCs w:val="22"/>
          <w:lang w:eastAsia="en-US"/>
        </w:rPr>
      </w:pPr>
      <w:r w:rsidRPr="00294433">
        <w:rPr>
          <w:rFonts w:asciiTheme="minorHAnsi" w:hAnsiTheme="minorHAnsi" w:cstheme="minorHAnsi"/>
          <w:szCs w:val="22"/>
          <w:lang w:eastAsia="en-US"/>
        </w:rPr>
        <w:t>[…]</w:t>
      </w:r>
    </w:p>
    <w:p w14:paraId="27DF42A5" w14:textId="31EF960F" w:rsidR="001556AA" w:rsidRPr="001556AA" w:rsidRDefault="001556AA" w:rsidP="001556AA">
      <w:pPr>
        <w:spacing w:after="120" w:line="259" w:lineRule="auto"/>
        <w:ind w:left="993"/>
        <w:jc w:val="both"/>
        <w:rPr>
          <w:rFonts w:asciiTheme="minorHAnsi" w:hAnsiTheme="minorHAnsi" w:cstheme="minorHAnsi"/>
          <w:i/>
          <w:szCs w:val="22"/>
          <w:lang w:eastAsia="en-US"/>
        </w:rPr>
      </w:pPr>
      <w:r>
        <w:rPr>
          <w:rFonts w:asciiTheme="minorHAnsi" w:hAnsiTheme="minorHAnsi" w:cstheme="minorHAnsi"/>
          <w:i/>
          <w:szCs w:val="22"/>
          <w:lang w:eastAsia="en-US"/>
        </w:rPr>
        <w:t xml:space="preserve">5. </w:t>
      </w:r>
      <w:r w:rsidRPr="001556AA">
        <w:rPr>
          <w:rFonts w:asciiTheme="minorHAnsi" w:hAnsiTheme="minorHAnsi" w:cstheme="minorHAnsi"/>
          <w:i/>
          <w:szCs w:val="22"/>
          <w:lang w:eastAsia="en-US"/>
        </w:rPr>
        <w:t>The common settlement rules in accordance with paragraph 1 shall at least contain the provisions that the intended exchange of energy is calculated on the basis of the following criteria:</w:t>
      </w:r>
    </w:p>
    <w:p w14:paraId="3B0C73B5" w14:textId="77777777" w:rsidR="001556AA" w:rsidRPr="001556AA" w:rsidRDefault="001556AA" w:rsidP="001556AA">
      <w:pPr>
        <w:spacing w:after="120" w:line="259" w:lineRule="auto"/>
        <w:ind w:left="993"/>
        <w:jc w:val="both"/>
        <w:rPr>
          <w:rFonts w:asciiTheme="minorHAnsi" w:hAnsiTheme="minorHAnsi" w:cstheme="minorHAnsi"/>
          <w:i/>
          <w:szCs w:val="22"/>
          <w:lang w:eastAsia="en-US"/>
        </w:rPr>
      </w:pPr>
      <w:r w:rsidRPr="001556AA">
        <w:rPr>
          <w:rFonts w:asciiTheme="minorHAnsi" w:hAnsiTheme="minorHAnsi" w:cstheme="minorHAnsi"/>
          <w:i/>
          <w:szCs w:val="22"/>
          <w:lang w:eastAsia="en-US"/>
        </w:rPr>
        <w:t>(a)</w:t>
      </w:r>
      <w:r w:rsidRPr="001556AA">
        <w:rPr>
          <w:rFonts w:asciiTheme="minorHAnsi" w:hAnsiTheme="minorHAnsi" w:cstheme="minorHAnsi"/>
          <w:i/>
          <w:szCs w:val="22"/>
          <w:lang w:eastAsia="en-US"/>
        </w:rPr>
        <w:tab/>
        <w:t>over periods agreed among relevant TSOs;</w:t>
      </w:r>
    </w:p>
    <w:p w14:paraId="67BFB055" w14:textId="77777777" w:rsidR="001556AA" w:rsidRPr="001556AA" w:rsidRDefault="001556AA" w:rsidP="001556AA">
      <w:pPr>
        <w:spacing w:after="120" w:line="259" w:lineRule="auto"/>
        <w:ind w:left="993"/>
        <w:jc w:val="both"/>
        <w:rPr>
          <w:rFonts w:asciiTheme="minorHAnsi" w:hAnsiTheme="minorHAnsi" w:cstheme="minorHAnsi"/>
          <w:i/>
          <w:szCs w:val="22"/>
          <w:lang w:eastAsia="en-US"/>
        </w:rPr>
      </w:pPr>
      <w:r w:rsidRPr="001556AA">
        <w:rPr>
          <w:rFonts w:asciiTheme="minorHAnsi" w:hAnsiTheme="minorHAnsi" w:cstheme="minorHAnsi"/>
          <w:i/>
          <w:szCs w:val="22"/>
          <w:lang w:eastAsia="en-US"/>
        </w:rPr>
        <w:t>(b)</w:t>
      </w:r>
      <w:r w:rsidRPr="001556AA">
        <w:rPr>
          <w:rFonts w:asciiTheme="minorHAnsi" w:hAnsiTheme="minorHAnsi" w:cstheme="minorHAnsi"/>
          <w:i/>
          <w:szCs w:val="22"/>
          <w:lang w:eastAsia="en-US"/>
        </w:rPr>
        <w:tab/>
        <w:t>per direction;</w:t>
      </w:r>
    </w:p>
    <w:p w14:paraId="3FDC94F4" w14:textId="77777777" w:rsidR="001556AA" w:rsidRPr="001556AA" w:rsidRDefault="001556AA" w:rsidP="001556AA">
      <w:pPr>
        <w:spacing w:after="120" w:line="259" w:lineRule="auto"/>
        <w:ind w:left="993"/>
        <w:jc w:val="both"/>
        <w:rPr>
          <w:rFonts w:asciiTheme="minorHAnsi" w:hAnsiTheme="minorHAnsi" w:cstheme="minorHAnsi"/>
          <w:i/>
          <w:szCs w:val="22"/>
          <w:lang w:eastAsia="en-US"/>
        </w:rPr>
      </w:pPr>
      <w:r w:rsidRPr="001556AA">
        <w:rPr>
          <w:rFonts w:asciiTheme="minorHAnsi" w:hAnsiTheme="minorHAnsi" w:cstheme="minorHAnsi"/>
          <w:i/>
          <w:szCs w:val="22"/>
          <w:lang w:eastAsia="en-US"/>
        </w:rPr>
        <w:lastRenderedPageBreak/>
        <w:t>(c)</w:t>
      </w:r>
      <w:r w:rsidRPr="001556AA">
        <w:rPr>
          <w:rFonts w:asciiTheme="minorHAnsi" w:hAnsiTheme="minorHAnsi" w:cstheme="minorHAnsi"/>
          <w:i/>
          <w:szCs w:val="22"/>
          <w:lang w:eastAsia="en-US"/>
        </w:rPr>
        <w:tab/>
        <w:t>as the integral of the calculated power interchange over the periods pursuant to paragraph 5‎(a).</w:t>
      </w:r>
    </w:p>
    <w:p w14:paraId="0C4B39F2" w14:textId="11682DB3" w:rsidR="001556AA" w:rsidRPr="001556AA" w:rsidRDefault="001556AA" w:rsidP="001556AA">
      <w:pPr>
        <w:spacing w:after="120" w:line="259" w:lineRule="auto"/>
        <w:ind w:left="993"/>
        <w:jc w:val="both"/>
        <w:rPr>
          <w:rFonts w:asciiTheme="minorHAnsi" w:hAnsiTheme="minorHAnsi" w:cstheme="minorHAnsi"/>
          <w:i/>
          <w:szCs w:val="22"/>
          <w:lang w:eastAsia="en-US"/>
        </w:rPr>
      </w:pPr>
      <w:r w:rsidRPr="001556AA">
        <w:rPr>
          <w:rFonts w:asciiTheme="minorHAnsi" w:hAnsiTheme="minorHAnsi" w:cstheme="minorHAnsi"/>
          <w:i/>
          <w:szCs w:val="22"/>
          <w:lang w:eastAsia="en-US"/>
        </w:rPr>
        <w:t>.</w:t>
      </w:r>
    </w:p>
    <w:p w14:paraId="3CFAC292" w14:textId="7C8821A6" w:rsidR="001556AA" w:rsidRPr="001556AA" w:rsidRDefault="001556AA" w:rsidP="001556AA">
      <w:pPr>
        <w:spacing w:after="120" w:line="259" w:lineRule="auto"/>
        <w:ind w:left="993"/>
        <w:jc w:val="both"/>
        <w:rPr>
          <w:rFonts w:asciiTheme="minorHAnsi" w:hAnsiTheme="minorHAnsi" w:cstheme="minorHAnsi"/>
          <w:i/>
          <w:szCs w:val="22"/>
          <w:lang w:eastAsia="en-US"/>
        </w:rPr>
      </w:pPr>
      <w:r w:rsidRPr="001556AA">
        <w:rPr>
          <w:rFonts w:asciiTheme="minorHAnsi" w:hAnsiTheme="minorHAnsi" w:cstheme="minorHAnsi"/>
          <w:i/>
          <w:szCs w:val="22"/>
          <w:lang w:eastAsia="en-US"/>
        </w:rPr>
        <w:t>6.</w:t>
      </w:r>
      <w:r w:rsidRPr="001556AA">
        <w:rPr>
          <w:rFonts w:asciiTheme="minorHAnsi" w:hAnsiTheme="minorHAnsi" w:cstheme="minorHAnsi"/>
          <w:i/>
          <w:szCs w:val="22"/>
          <w:lang w:eastAsia="en-US"/>
        </w:rPr>
        <w:tab/>
        <w:t>The common settlement rules of intended exchanges of energy in accordance with paragraphs 1(a), 1(b) and 1(c) shall take into account:</w:t>
      </w:r>
    </w:p>
    <w:p w14:paraId="7B0723B7" w14:textId="77777777" w:rsidR="001556AA" w:rsidRPr="001556AA" w:rsidRDefault="001556AA" w:rsidP="001556AA">
      <w:pPr>
        <w:spacing w:after="120" w:line="259" w:lineRule="auto"/>
        <w:ind w:left="993"/>
        <w:jc w:val="both"/>
        <w:rPr>
          <w:rFonts w:asciiTheme="minorHAnsi" w:hAnsiTheme="minorHAnsi" w:cstheme="minorHAnsi"/>
          <w:i/>
          <w:szCs w:val="22"/>
          <w:lang w:eastAsia="en-US"/>
        </w:rPr>
      </w:pPr>
      <w:r w:rsidRPr="001556AA">
        <w:rPr>
          <w:rFonts w:asciiTheme="minorHAnsi" w:hAnsiTheme="minorHAnsi" w:cstheme="minorHAnsi"/>
          <w:i/>
          <w:szCs w:val="22"/>
          <w:lang w:eastAsia="en-US"/>
        </w:rPr>
        <w:t>(a)</w:t>
      </w:r>
      <w:r w:rsidRPr="001556AA">
        <w:rPr>
          <w:rFonts w:asciiTheme="minorHAnsi" w:hAnsiTheme="minorHAnsi" w:cstheme="minorHAnsi"/>
          <w:i/>
          <w:szCs w:val="22"/>
          <w:lang w:eastAsia="en-US"/>
        </w:rPr>
        <w:tab/>
        <w:t>all balancing energy prices established pursuant Article 30(1);</w:t>
      </w:r>
    </w:p>
    <w:p w14:paraId="5BF22B06" w14:textId="77777777" w:rsidR="001556AA" w:rsidRPr="001556AA" w:rsidRDefault="001556AA" w:rsidP="001556AA">
      <w:pPr>
        <w:spacing w:after="120" w:line="259" w:lineRule="auto"/>
        <w:ind w:left="993"/>
        <w:jc w:val="both"/>
        <w:rPr>
          <w:rFonts w:asciiTheme="minorHAnsi" w:hAnsiTheme="minorHAnsi" w:cstheme="minorHAnsi"/>
          <w:i/>
          <w:szCs w:val="22"/>
          <w:lang w:eastAsia="en-US"/>
        </w:rPr>
      </w:pPr>
      <w:r w:rsidRPr="001556AA">
        <w:rPr>
          <w:rFonts w:asciiTheme="minorHAnsi" w:hAnsiTheme="minorHAnsi" w:cstheme="minorHAnsi"/>
          <w:i/>
          <w:szCs w:val="22"/>
          <w:lang w:eastAsia="en-US"/>
        </w:rPr>
        <w:t>(b)</w:t>
      </w:r>
      <w:r w:rsidRPr="001556AA">
        <w:rPr>
          <w:rFonts w:asciiTheme="minorHAnsi" w:hAnsiTheme="minorHAnsi" w:cstheme="minorHAnsi"/>
          <w:i/>
          <w:szCs w:val="22"/>
          <w:lang w:eastAsia="en-US"/>
        </w:rPr>
        <w:tab/>
        <w:t>the methodology for pricing of cross-zonal capacity used for the exchange of balancing energy pursuant Article 30(3).</w:t>
      </w:r>
    </w:p>
    <w:p w14:paraId="2CD88172" w14:textId="227457AB" w:rsidR="000A5803" w:rsidRPr="00970A6E" w:rsidRDefault="001556AA" w:rsidP="00D81176">
      <w:pPr>
        <w:spacing w:after="120" w:line="259" w:lineRule="auto"/>
        <w:ind w:left="993"/>
        <w:jc w:val="both"/>
        <w:rPr>
          <w:rFonts w:asciiTheme="minorHAnsi" w:hAnsiTheme="minorHAnsi" w:cstheme="minorHAnsi"/>
          <w:i/>
          <w:szCs w:val="22"/>
          <w:lang w:eastAsia="en-US"/>
        </w:rPr>
      </w:pPr>
      <w:r w:rsidRPr="001556AA">
        <w:rPr>
          <w:rFonts w:asciiTheme="minorHAnsi" w:hAnsiTheme="minorHAnsi" w:cstheme="minorHAnsi"/>
          <w:i/>
          <w:szCs w:val="22"/>
          <w:lang w:eastAsia="en-US"/>
        </w:rPr>
        <w:t>7.</w:t>
      </w:r>
      <w:r w:rsidRPr="001556AA">
        <w:rPr>
          <w:rFonts w:asciiTheme="minorHAnsi" w:hAnsiTheme="minorHAnsi" w:cstheme="minorHAnsi"/>
          <w:i/>
          <w:szCs w:val="22"/>
          <w:lang w:eastAsia="en-US"/>
        </w:rPr>
        <w:tab/>
        <w:t>The common settlement rules of intended exchanges of energy in accordance with paragraph 1(d) shall take into account the methodology for pricing of cross-zonal capacity used for operating the imbalance netting process pursuant Article 30(3).</w:t>
      </w:r>
      <w:r w:rsidR="004A22AF">
        <w:rPr>
          <w:rFonts w:asciiTheme="minorHAnsi" w:hAnsiTheme="minorHAnsi" w:cstheme="minorHAnsi"/>
          <w:i/>
          <w:szCs w:val="22"/>
          <w:lang w:eastAsia="en-US"/>
        </w:rPr>
        <w:t>”</w:t>
      </w:r>
    </w:p>
    <w:p w14:paraId="7CD40E8F" w14:textId="33323382" w:rsidR="002A01B7" w:rsidRDefault="002A01B7">
      <w:pPr>
        <w:numPr>
          <w:ilvl w:val="0"/>
          <w:numId w:val="5"/>
        </w:numPr>
        <w:spacing w:after="120" w:line="259" w:lineRule="auto"/>
        <w:ind w:left="992" w:hanging="635"/>
        <w:jc w:val="both"/>
        <w:rPr>
          <w:rFonts w:asciiTheme="minorHAnsi" w:hAnsiTheme="minorHAnsi" w:cstheme="minorHAnsi"/>
        </w:rPr>
      </w:pPr>
      <w:r>
        <w:rPr>
          <w:rFonts w:asciiTheme="minorHAnsi" w:hAnsiTheme="minorHAnsi" w:cstheme="minorHAnsi"/>
        </w:rPr>
        <w:t>The SP fulfils the objective stated in Article 3 of the EBGL as follows:</w:t>
      </w:r>
    </w:p>
    <w:p w14:paraId="27EED4B9" w14:textId="1CE8F844" w:rsidR="002A01B7" w:rsidRDefault="002A01B7" w:rsidP="000842BA">
      <w:pPr>
        <w:numPr>
          <w:ilvl w:val="1"/>
          <w:numId w:val="5"/>
        </w:numPr>
        <w:spacing w:after="120" w:line="259" w:lineRule="auto"/>
        <w:jc w:val="both"/>
        <w:rPr>
          <w:rFonts w:asciiTheme="minorHAnsi" w:hAnsiTheme="minorHAnsi" w:cstheme="minorHAnsi"/>
        </w:rPr>
      </w:pPr>
      <w:r>
        <w:rPr>
          <w:rFonts w:asciiTheme="minorHAnsi" w:hAnsiTheme="minorHAnsi" w:cstheme="minorHAnsi"/>
        </w:rPr>
        <w:t>The SP fulfils the requirements of Article 50(1)</w:t>
      </w:r>
      <w:r w:rsidR="000842BA">
        <w:rPr>
          <w:rFonts w:asciiTheme="minorHAnsi" w:hAnsiTheme="minorHAnsi" w:cstheme="minorHAnsi"/>
        </w:rPr>
        <w:t>:</w:t>
      </w:r>
    </w:p>
    <w:p w14:paraId="65F7DCD1" w14:textId="35822177" w:rsidR="008A7963" w:rsidRDefault="00012FF2" w:rsidP="000842BA">
      <w:pPr>
        <w:numPr>
          <w:ilvl w:val="1"/>
          <w:numId w:val="5"/>
        </w:numPr>
        <w:spacing w:after="120" w:line="259" w:lineRule="auto"/>
        <w:jc w:val="both"/>
        <w:rPr>
          <w:rFonts w:asciiTheme="minorHAnsi" w:hAnsiTheme="minorHAnsi" w:cstheme="minorHAnsi"/>
        </w:rPr>
      </w:pPr>
      <w:r>
        <w:rPr>
          <w:rFonts w:asciiTheme="minorHAnsi" w:hAnsiTheme="minorHAnsi" w:cstheme="minorHAnsi"/>
        </w:rPr>
        <w:t xml:space="preserve">The </w:t>
      </w:r>
      <w:r w:rsidR="000B0054">
        <w:rPr>
          <w:rFonts w:asciiTheme="minorHAnsi" w:hAnsiTheme="minorHAnsi" w:cstheme="minorHAnsi"/>
        </w:rPr>
        <w:t xml:space="preserve">SP </w:t>
      </w:r>
      <w:r w:rsidR="008A7963">
        <w:rPr>
          <w:rFonts w:asciiTheme="minorHAnsi" w:hAnsiTheme="minorHAnsi" w:cstheme="minorHAnsi"/>
        </w:rPr>
        <w:t xml:space="preserve">contributes to the objective </w:t>
      </w:r>
      <w:r w:rsidR="00835F44">
        <w:rPr>
          <w:rFonts w:asciiTheme="minorHAnsi" w:hAnsiTheme="minorHAnsi" w:cstheme="minorHAnsi"/>
        </w:rPr>
        <w:t xml:space="preserve">of consistent functioning of day-ahead, intraday and balancing markets as </w:t>
      </w:r>
      <w:r w:rsidR="008A7963">
        <w:rPr>
          <w:rFonts w:asciiTheme="minorHAnsi" w:hAnsiTheme="minorHAnsi" w:cstheme="minorHAnsi"/>
        </w:rPr>
        <w:t>stated in Article 3</w:t>
      </w:r>
      <w:r w:rsidR="00835F44">
        <w:rPr>
          <w:rFonts w:asciiTheme="minorHAnsi" w:hAnsiTheme="minorHAnsi" w:cstheme="minorHAnsi"/>
        </w:rPr>
        <w:t>(1)</w:t>
      </w:r>
      <w:r w:rsidR="008A7963">
        <w:rPr>
          <w:rFonts w:asciiTheme="minorHAnsi" w:hAnsiTheme="minorHAnsi" w:cstheme="minorHAnsi"/>
        </w:rPr>
        <w:t xml:space="preserve">(d) of </w:t>
      </w:r>
      <w:r w:rsidR="000C6F6D">
        <w:rPr>
          <w:rFonts w:asciiTheme="minorHAnsi" w:hAnsiTheme="minorHAnsi" w:cstheme="minorHAnsi"/>
        </w:rPr>
        <w:t xml:space="preserve">the </w:t>
      </w:r>
      <w:r w:rsidR="008A7963">
        <w:rPr>
          <w:rFonts w:asciiTheme="minorHAnsi" w:hAnsiTheme="minorHAnsi" w:cstheme="minorHAnsi"/>
        </w:rPr>
        <w:t xml:space="preserve">EBGL since the proposed methodology is consistent with the day-ahead </w:t>
      </w:r>
      <w:r w:rsidR="000B0054">
        <w:rPr>
          <w:rFonts w:asciiTheme="minorHAnsi" w:hAnsiTheme="minorHAnsi" w:cstheme="minorHAnsi"/>
        </w:rPr>
        <w:t>congestion income distribution proposal</w:t>
      </w:r>
      <w:r w:rsidR="00E81A6A">
        <w:rPr>
          <w:rFonts w:asciiTheme="minorHAnsi" w:hAnsiTheme="minorHAnsi" w:cstheme="minorHAnsi"/>
        </w:rPr>
        <w:t>.</w:t>
      </w:r>
    </w:p>
    <w:p w14:paraId="5E254534" w14:textId="44561576" w:rsidR="007E44E0" w:rsidRDefault="00012FF2" w:rsidP="000842BA">
      <w:pPr>
        <w:numPr>
          <w:ilvl w:val="1"/>
          <w:numId w:val="5"/>
        </w:numPr>
        <w:spacing w:after="120" w:line="259" w:lineRule="auto"/>
        <w:jc w:val="both"/>
        <w:rPr>
          <w:rFonts w:asciiTheme="minorHAnsi" w:hAnsiTheme="minorHAnsi" w:cstheme="minorHAnsi"/>
        </w:rPr>
      </w:pPr>
      <w:r>
        <w:rPr>
          <w:rFonts w:asciiTheme="minorHAnsi" w:hAnsiTheme="minorHAnsi" w:cstheme="minorHAnsi"/>
        </w:rPr>
        <w:t xml:space="preserve">The </w:t>
      </w:r>
      <w:r w:rsidR="000B0054">
        <w:rPr>
          <w:rFonts w:asciiTheme="minorHAnsi" w:hAnsiTheme="minorHAnsi" w:cstheme="minorHAnsi"/>
        </w:rPr>
        <w:t xml:space="preserve">SP </w:t>
      </w:r>
      <w:r w:rsidR="007E44E0">
        <w:rPr>
          <w:rFonts w:asciiTheme="minorHAnsi" w:hAnsiTheme="minorHAnsi" w:cstheme="minorHAnsi"/>
        </w:rPr>
        <w:t>contributes to the objectives stated in Article 3</w:t>
      </w:r>
      <w:r w:rsidR="00835F44">
        <w:rPr>
          <w:rFonts w:asciiTheme="minorHAnsi" w:hAnsiTheme="minorHAnsi" w:cstheme="minorHAnsi"/>
        </w:rPr>
        <w:t>(1)</w:t>
      </w:r>
      <w:r w:rsidR="007E44E0">
        <w:rPr>
          <w:rFonts w:asciiTheme="minorHAnsi" w:hAnsiTheme="minorHAnsi" w:cstheme="minorHAnsi"/>
        </w:rPr>
        <w:t>(e) of</w:t>
      </w:r>
      <w:r w:rsidR="000C6F6D">
        <w:rPr>
          <w:rFonts w:asciiTheme="minorHAnsi" w:hAnsiTheme="minorHAnsi" w:cstheme="minorHAnsi"/>
        </w:rPr>
        <w:t xml:space="preserve"> the</w:t>
      </w:r>
      <w:r w:rsidR="007E44E0">
        <w:rPr>
          <w:rFonts w:asciiTheme="minorHAnsi" w:hAnsiTheme="minorHAnsi" w:cstheme="minorHAnsi"/>
        </w:rPr>
        <w:t xml:space="preserve"> EBGL since the </w:t>
      </w:r>
      <w:r w:rsidR="000B0054">
        <w:rPr>
          <w:rFonts w:asciiTheme="minorHAnsi" w:hAnsiTheme="minorHAnsi" w:cstheme="minorHAnsi"/>
        </w:rPr>
        <w:t xml:space="preserve">settlement </w:t>
      </w:r>
      <w:r w:rsidR="007E44E0">
        <w:rPr>
          <w:rFonts w:asciiTheme="minorHAnsi" w:hAnsiTheme="minorHAnsi" w:cstheme="minorHAnsi"/>
        </w:rPr>
        <w:t>methodology is non-discriminatory</w:t>
      </w:r>
      <w:r w:rsidR="00835F44">
        <w:rPr>
          <w:rFonts w:asciiTheme="minorHAnsi" w:hAnsiTheme="minorHAnsi" w:cstheme="minorHAnsi"/>
        </w:rPr>
        <w:t xml:space="preserve"> </w:t>
      </w:r>
      <w:r w:rsidR="00A26D8C">
        <w:rPr>
          <w:rFonts w:asciiTheme="minorHAnsi" w:hAnsiTheme="minorHAnsi" w:cstheme="minorHAnsi"/>
        </w:rPr>
        <w:t>as</w:t>
      </w:r>
      <w:r w:rsidR="00835F44">
        <w:rPr>
          <w:rFonts w:asciiTheme="minorHAnsi" w:hAnsiTheme="minorHAnsi" w:cstheme="minorHAnsi"/>
        </w:rPr>
        <w:t xml:space="preserve"> it does not favour a specific technology to provide balancing energy</w:t>
      </w:r>
      <w:r w:rsidR="007E44E0">
        <w:rPr>
          <w:rFonts w:asciiTheme="minorHAnsi" w:hAnsiTheme="minorHAnsi" w:cstheme="minorHAnsi"/>
        </w:rPr>
        <w:t>.</w:t>
      </w:r>
    </w:p>
    <w:p w14:paraId="0D847E44" w14:textId="4DE323A3" w:rsidR="00B71C50" w:rsidRDefault="00012FF2" w:rsidP="000842BA">
      <w:pPr>
        <w:numPr>
          <w:ilvl w:val="1"/>
          <w:numId w:val="5"/>
        </w:numPr>
        <w:spacing w:after="120" w:line="259" w:lineRule="auto"/>
        <w:jc w:val="both"/>
        <w:rPr>
          <w:rFonts w:asciiTheme="minorHAnsi" w:hAnsiTheme="minorHAnsi" w:cstheme="minorHAnsi"/>
        </w:rPr>
      </w:pPr>
      <w:r>
        <w:rPr>
          <w:rFonts w:asciiTheme="minorHAnsi" w:hAnsiTheme="minorHAnsi" w:cstheme="minorHAnsi"/>
        </w:rPr>
        <w:t xml:space="preserve">The </w:t>
      </w:r>
      <w:r w:rsidR="00E21A97">
        <w:rPr>
          <w:rFonts w:asciiTheme="minorHAnsi" w:hAnsiTheme="minorHAnsi" w:cstheme="minorHAnsi"/>
        </w:rPr>
        <w:t xml:space="preserve">SP </w:t>
      </w:r>
      <w:r w:rsidR="003B4973">
        <w:rPr>
          <w:rFonts w:asciiTheme="minorHAnsi" w:hAnsiTheme="minorHAnsi" w:cstheme="minorHAnsi"/>
        </w:rPr>
        <w:t>contributes to the objectives stated in Article 3</w:t>
      </w:r>
      <w:r w:rsidR="003314CD">
        <w:rPr>
          <w:rFonts w:asciiTheme="minorHAnsi" w:hAnsiTheme="minorHAnsi" w:cstheme="minorHAnsi"/>
        </w:rPr>
        <w:t>(1)</w:t>
      </w:r>
      <w:r w:rsidR="003B4973">
        <w:rPr>
          <w:rFonts w:asciiTheme="minorHAnsi" w:hAnsiTheme="minorHAnsi" w:cstheme="minorHAnsi"/>
        </w:rPr>
        <w:t xml:space="preserve">(f) of </w:t>
      </w:r>
      <w:r w:rsidR="000C6F6D">
        <w:rPr>
          <w:rFonts w:asciiTheme="minorHAnsi" w:hAnsiTheme="minorHAnsi" w:cstheme="minorHAnsi"/>
        </w:rPr>
        <w:t xml:space="preserve">the </w:t>
      </w:r>
      <w:r w:rsidR="003B4973">
        <w:rPr>
          <w:rFonts w:asciiTheme="minorHAnsi" w:hAnsiTheme="minorHAnsi" w:cstheme="minorHAnsi"/>
        </w:rPr>
        <w:t>EBGL and Article 3</w:t>
      </w:r>
      <w:r w:rsidR="00835F44">
        <w:rPr>
          <w:rFonts w:asciiTheme="minorHAnsi" w:hAnsiTheme="minorHAnsi" w:cstheme="minorHAnsi"/>
        </w:rPr>
        <w:t>(1)</w:t>
      </w:r>
      <w:r w:rsidR="003B4973">
        <w:rPr>
          <w:rFonts w:asciiTheme="minorHAnsi" w:hAnsiTheme="minorHAnsi" w:cstheme="minorHAnsi"/>
        </w:rPr>
        <w:t>(g) of E</w:t>
      </w:r>
      <w:r w:rsidR="003E75E1">
        <w:rPr>
          <w:rFonts w:asciiTheme="minorHAnsi" w:hAnsiTheme="minorHAnsi" w:cstheme="minorHAnsi"/>
        </w:rPr>
        <w:t xml:space="preserve">BGL since </w:t>
      </w:r>
      <w:r w:rsidR="005343C5">
        <w:rPr>
          <w:rFonts w:asciiTheme="minorHAnsi" w:hAnsiTheme="minorHAnsi" w:cstheme="minorHAnsi"/>
        </w:rPr>
        <w:t>the integrated balancing energy market combined with lowered entry barriers facilitate the participation of</w:t>
      </w:r>
      <w:r w:rsidR="003E75E1">
        <w:rPr>
          <w:rFonts w:asciiTheme="minorHAnsi" w:hAnsiTheme="minorHAnsi" w:cstheme="minorHAnsi"/>
        </w:rPr>
        <w:t xml:space="preserve"> demand response, energy storage </w:t>
      </w:r>
      <w:r w:rsidR="00561948">
        <w:rPr>
          <w:rFonts w:asciiTheme="minorHAnsi" w:hAnsiTheme="minorHAnsi" w:cstheme="minorHAnsi"/>
        </w:rPr>
        <w:t>and</w:t>
      </w:r>
      <w:r w:rsidR="003E75E1">
        <w:rPr>
          <w:rFonts w:asciiTheme="minorHAnsi" w:hAnsiTheme="minorHAnsi" w:cstheme="minorHAnsi"/>
        </w:rPr>
        <w:t xml:space="preserve"> renewable energy sources</w:t>
      </w:r>
      <w:r w:rsidR="00F11A4B">
        <w:rPr>
          <w:rFonts w:asciiTheme="minorHAnsi" w:hAnsiTheme="minorHAnsi" w:cstheme="minorHAnsi"/>
        </w:rPr>
        <w:t>.</w:t>
      </w:r>
    </w:p>
    <w:p w14:paraId="1DDB0CD1" w14:textId="684C4F53" w:rsidR="00E81A6A" w:rsidRDefault="00E81A6A" w:rsidP="000842BA">
      <w:pPr>
        <w:numPr>
          <w:ilvl w:val="1"/>
          <w:numId w:val="5"/>
        </w:numPr>
        <w:spacing w:after="120" w:line="259" w:lineRule="auto"/>
        <w:jc w:val="both"/>
        <w:rPr>
          <w:rFonts w:asciiTheme="minorHAnsi" w:hAnsiTheme="minorHAnsi" w:cstheme="minorHAnsi"/>
        </w:rPr>
      </w:pPr>
      <w:r w:rsidRPr="00770F22">
        <w:rPr>
          <w:rFonts w:asciiTheme="minorHAnsi" w:hAnsiTheme="minorHAnsi" w:cstheme="minorHAnsi"/>
        </w:rPr>
        <w:t>The SP contributes to the objective set out in Article 3(2)(h) since this methodology takes into consideration all the European balancing process and the technical specifications that emanate from them.</w:t>
      </w:r>
    </w:p>
    <w:p w14:paraId="528C229B" w14:textId="4CE89812" w:rsidR="00E81A6A" w:rsidRDefault="00E81A6A" w:rsidP="000842BA">
      <w:pPr>
        <w:numPr>
          <w:ilvl w:val="1"/>
          <w:numId w:val="5"/>
        </w:numPr>
        <w:spacing w:after="120" w:line="259" w:lineRule="auto"/>
        <w:jc w:val="both"/>
        <w:rPr>
          <w:rFonts w:asciiTheme="minorHAnsi" w:hAnsiTheme="minorHAnsi" w:cstheme="minorHAnsi"/>
        </w:rPr>
      </w:pPr>
      <w:r w:rsidRPr="00770F22">
        <w:rPr>
          <w:rFonts w:asciiTheme="minorHAnsi" w:hAnsiTheme="minorHAnsi" w:cstheme="minorHAnsi"/>
        </w:rPr>
        <w:t>The SP contributes to the objective stated in Article 3(2)(a) since this methodology applies the principles of proportionality and non-discrimination through the definition of specific settlement rules for different process.</w:t>
      </w:r>
    </w:p>
    <w:p w14:paraId="012CC3EF" w14:textId="7B60F244" w:rsidR="005343C5" w:rsidRPr="00364111" w:rsidRDefault="00561948" w:rsidP="000842BA">
      <w:pPr>
        <w:numPr>
          <w:ilvl w:val="1"/>
          <w:numId w:val="5"/>
        </w:numPr>
        <w:spacing w:after="120" w:line="259" w:lineRule="auto"/>
        <w:jc w:val="both"/>
        <w:rPr>
          <w:rFonts w:asciiTheme="minorHAnsi" w:hAnsiTheme="minorHAnsi" w:cstheme="minorHAnsi"/>
        </w:rPr>
      </w:pPr>
      <w:r>
        <w:rPr>
          <w:rFonts w:asciiTheme="minorHAnsi" w:hAnsiTheme="minorHAnsi" w:cstheme="minorHAnsi"/>
        </w:rPr>
        <w:t xml:space="preserve">In conclusion, </w:t>
      </w:r>
      <w:r w:rsidR="00012FF2">
        <w:rPr>
          <w:rFonts w:asciiTheme="minorHAnsi" w:hAnsiTheme="minorHAnsi" w:cstheme="minorHAnsi"/>
        </w:rPr>
        <w:t xml:space="preserve">the </w:t>
      </w:r>
      <w:r w:rsidR="00E21A97">
        <w:rPr>
          <w:rFonts w:asciiTheme="minorHAnsi" w:hAnsiTheme="minorHAnsi" w:cstheme="minorHAnsi"/>
        </w:rPr>
        <w:t xml:space="preserve">SP </w:t>
      </w:r>
      <w:r>
        <w:rPr>
          <w:rFonts w:asciiTheme="minorHAnsi" w:hAnsiTheme="minorHAnsi" w:cstheme="minorHAnsi"/>
        </w:rPr>
        <w:t xml:space="preserve">meets the objectives of </w:t>
      </w:r>
      <w:r w:rsidR="000C6F6D">
        <w:rPr>
          <w:rFonts w:asciiTheme="minorHAnsi" w:hAnsiTheme="minorHAnsi" w:cstheme="minorHAnsi"/>
        </w:rPr>
        <w:t xml:space="preserve">the </w:t>
      </w:r>
      <w:r>
        <w:rPr>
          <w:rFonts w:asciiTheme="minorHAnsi" w:hAnsiTheme="minorHAnsi" w:cstheme="minorHAnsi"/>
        </w:rPr>
        <w:t>EBGL.</w:t>
      </w:r>
    </w:p>
    <w:p w14:paraId="57A93644" w14:textId="77777777" w:rsidR="005C0A5E" w:rsidRPr="00364111" w:rsidRDefault="005C0A5E" w:rsidP="005C0A5E">
      <w:pPr>
        <w:spacing w:after="120" w:line="259" w:lineRule="auto"/>
        <w:ind w:left="993"/>
        <w:contextualSpacing/>
        <w:jc w:val="both"/>
        <w:rPr>
          <w:rFonts w:ascii="Times New Roman" w:hAnsi="Times New Roman"/>
          <w:szCs w:val="22"/>
          <w:lang w:eastAsia="en-US"/>
        </w:rPr>
      </w:pPr>
    </w:p>
    <w:p w14:paraId="4A3903F6" w14:textId="511BEE08" w:rsidR="004F245D" w:rsidRPr="00364111" w:rsidRDefault="004F245D" w:rsidP="00BE0240">
      <w:pPr>
        <w:spacing w:after="120"/>
        <w:jc w:val="center"/>
        <w:rPr>
          <w:rFonts w:ascii="Times New Roman" w:hAnsi="Times New Roman"/>
          <w:b/>
          <w:szCs w:val="22"/>
          <w:lang w:eastAsia="en-US"/>
        </w:rPr>
      </w:pPr>
      <w:r w:rsidRPr="00364111">
        <w:rPr>
          <w:rFonts w:ascii="Times New Roman" w:hAnsi="Times New Roman"/>
          <w:b/>
          <w:szCs w:val="22"/>
          <w:lang w:eastAsia="en-US"/>
        </w:rPr>
        <w:t xml:space="preserve">SUBMIT THE FOLLOWING </w:t>
      </w:r>
      <w:r w:rsidR="00774C56">
        <w:rPr>
          <w:rFonts w:ascii="Times New Roman" w:hAnsi="Times New Roman"/>
          <w:b/>
          <w:szCs w:val="22"/>
          <w:lang w:eastAsia="en-US"/>
        </w:rPr>
        <w:t>S</w:t>
      </w:r>
      <w:r w:rsidR="00774C56" w:rsidRPr="00364111">
        <w:rPr>
          <w:rFonts w:ascii="Times New Roman" w:hAnsi="Times New Roman"/>
          <w:b/>
          <w:szCs w:val="22"/>
          <w:lang w:eastAsia="en-US"/>
        </w:rPr>
        <w:t xml:space="preserve">P </w:t>
      </w:r>
      <w:r w:rsidRPr="00364111">
        <w:rPr>
          <w:rFonts w:ascii="Times New Roman" w:hAnsi="Times New Roman"/>
          <w:b/>
          <w:szCs w:val="22"/>
          <w:lang w:eastAsia="en-US"/>
        </w:rPr>
        <w:t>TO ALL REGULATORY AUTHORITIES:</w:t>
      </w:r>
    </w:p>
    <w:p w14:paraId="1774C595" w14:textId="77777777" w:rsidR="00F00F47" w:rsidRDefault="00F00F47">
      <w:pPr>
        <w:rPr>
          <w:rFonts w:ascii="Times New Roman" w:hAnsi="Times New Roman" w:cs="Arial"/>
          <w:b/>
          <w:color w:val="23236E"/>
          <w:sz w:val="24"/>
          <w:lang w:eastAsia="en-US"/>
        </w:rPr>
      </w:pPr>
      <w:bookmarkStart w:id="9" w:name="_Toc432586769"/>
      <w:bookmarkStart w:id="10" w:name="_Toc432586789"/>
      <w:bookmarkStart w:id="11" w:name="_Toc445298913"/>
      <w:bookmarkStart w:id="12" w:name="_Toc445299175"/>
      <w:bookmarkStart w:id="13" w:name="_Toc445825431"/>
      <w:bookmarkStart w:id="14" w:name="_Toc509328968"/>
      <w:r>
        <w:rPr>
          <w:rFonts w:ascii="Times New Roman" w:hAnsi="Times New Roman" w:cs="Arial"/>
          <w:b/>
          <w:color w:val="23236E"/>
          <w:sz w:val="24"/>
          <w:lang w:eastAsia="en-US"/>
        </w:rPr>
        <w:br w:type="page"/>
      </w:r>
    </w:p>
    <w:p w14:paraId="3FA53804" w14:textId="77777777" w:rsidR="0003170B" w:rsidRPr="00C06CB8" w:rsidRDefault="0003170B" w:rsidP="0003170B">
      <w:pPr>
        <w:pStyle w:val="headline1"/>
        <w:numPr>
          <w:ilvl w:val="0"/>
          <w:numId w:val="0"/>
        </w:numPr>
        <w:ind w:left="284"/>
        <w:jc w:val="center"/>
        <w:rPr>
          <w:rStyle w:val="Heading2Char"/>
          <w:rFonts w:asciiTheme="minorHAnsi" w:hAnsiTheme="minorHAnsi" w:cstheme="minorHAnsi"/>
          <w:sz w:val="22"/>
          <w:szCs w:val="22"/>
          <w:lang w:val="en-US"/>
        </w:rPr>
      </w:pPr>
      <w:bookmarkStart w:id="15" w:name="_Toc524958944"/>
      <w:bookmarkStart w:id="16" w:name="_Toc514772682"/>
      <w:bookmarkStart w:id="17" w:name="_Toc531122440"/>
      <w:bookmarkStart w:id="18" w:name="_Toc531123794"/>
      <w:bookmarkStart w:id="19" w:name="_Toc531124470"/>
      <w:bookmarkStart w:id="20" w:name="_Toc531788444"/>
      <w:r w:rsidRPr="00C06CB8">
        <w:rPr>
          <w:rStyle w:val="Heading2Char"/>
          <w:rFonts w:asciiTheme="minorHAnsi" w:hAnsiTheme="minorHAnsi" w:cstheme="minorHAnsi"/>
          <w:sz w:val="22"/>
          <w:szCs w:val="22"/>
          <w:lang w:val="en-US"/>
        </w:rPr>
        <w:lastRenderedPageBreak/>
        <w:t>Abbreviations</w:t>
      </w:r>
      <w:bookmarkEnd w:id="15"/>
      <w:bookmarkEnd w:id="16"/>
      <w:bookmarkEnd w:id="17"/>
      <w:bookmarkEnd w:id="18"/>
      <w:bookmarkEnd w:id="19"/>
      <w:bookmarkEnd w:id="20"/>
    </w:p>
    <w:p w14:paraId="4062BB68" w14:textId="7C83CB82" w:rsidR="0003170B" w:rsidRDefault="0003170B" w:rsidP="0003170B">
      <w:pPr>
        <w:rPr>
          <w:rFonts w:asciiTheme="minorHAnsi" w:hAnsiTheme="minorHAnsi" w:cstheme="minorHAnsi"/>
          <w:szCs w:val="22"/>
          <w:lang w:eastAsia="en-US"/>
        </w:rPr>
      </w:pPr>
      <w:bookmarkStart w:id="21" w:name="_Toc521595391"/>
      <w:r w:rsidRPr="00082877">
        <w:rPr>
          <w:rFonts w:asciiTheme="minorHAnsi" w:hAnsiTheme="minorHAnsi" w:cstheme="minorHAnsi"/>
          <w:szCs w:val="22"/>
          <w:lang w:eastAsia="en-US"/>
        </w:rPr>
        <w:t>The list of ab</w:t>
      </w:r>
      <w:r>
        <w:rPr>
          <w:rFonts w:asciiTheme="minorHAnsi" w:hAnsiTheme="minorHAnsi" w:cstheme="minorHAnsi"/>
          <w:szCs w:val="22"/>
          <w:lang w:eastAsia="en-US"/>
        </w:rPr>
        <w:t>breviations used in this SP</w:t>
      </w:r>
      <w:r w:rsidRPr="00082877">
        <w:rPr>
          <w:rFonts w:asciiTheme="minorHAnsi" w:hAnsiTheme="minorHAnsi" w:cstheme="minorHAnsi"/>
          <w:szCs w:val="22"/>
          <w:lang w:eastAsia="en-US"/>
        </w:rPr>
        <w:t xml:space="preserve"> is following:</w:t>
      </w:r>
      <w:bookmarkEnd w:id="21"/>
    </w:p>
    <w:p w14:paraId="6723284B" w14:textId="1499FD69" w:rsidR="0003170B" w:rsidRDefault="0003170B" w:rsidP="0003170B">
      <w:pPr>
        <w:rPr>
          <w:rFonts w:asciiTheme="minorHAnsi" w:hAnsiTheme="minorHAnsi" w:cstheme="minorHAnsi"/>
          <w:szCs w:val="22"/>
          <w:lang w:eastAsia="en-US"/>
        </w:rPr>
      </w:pPr>
    </w:p>
    <w:p w14:paraId="280A0C44" w14:textId="0CA01FAC" w:rsidR="008153AF" w:rsidRDefault="008153AF" w:rsidP="00820421">
      <w:pPr>
        <w:pStyle w:val="ListParagraph"/>
        <w:numPr>
          <w:ilvl w:val="0"/>
          <w:numId w:val="117"/>
        </w:numPr>
        <w:rPr>
          <w:szCs w:val="22"/>
          <w:lang w:val="en-US"/>
        </w:rPr>
      </w:pPr>
      <w:r>
        <w:rPr>
          <w:szCs w:val="22"/>
          <w:lang w:val="en-US"/>
        </w:rPr>
        <w:t>aFRR:</w:t>
      </w:r>
      <w:r w:rsidR="00820421" w:rsidRPr="00820421">
        <w:t xml:space="preserve"> </w:t>
      </w:r>
      <w:r w:rsidR="00820421" w:rsidRPr="00820421">
        <w:rPr>
          <w:szCs w:val="22"/>
          <w:lang w:val="en-US"/>
        </w:rPr>
        <w:t>frequency restoration reserves with automatic activation</w:t>
      </w:r>
    </w:p>
    <w:p w14:paraId="204D2BD8" w14:textId="2C22E08A" w:rsidR="008153AF" w:rsidRDefault="008153AF" w:rsidP="0003170B">
      <w:pPr>
        <w:pStyle w:val="ListParagraph"/>
        <w:numPr>
          <w:ilvl w:val="0"/>
          <w:numId w:val="117"/>
        </w:numPr>
        <w:rPr>
          <w:szCs w:val="22"/>
          <w:lang w:val="en-US"/>
        </w:rPr>
      </w:pPr>
      <w:r>
        <w:rPr>
          <w:szCs w:val="22"/>
          <w:lang w:val="en-US"/>
        </w:rPr>
        <w:t>aFRP</w:t>
      </w:r>
      <w:r w:rsidR="0002051E">
        <w:rPr>
          <w:szCs w:val="22"/>
          <w:lang w:val="en-US"/>
        </w:rPr>
        <w:t>:</w:t>
      </w:r>
      <w:r w:rsidR="0002051E" w:rsidRPr="0002051E">
        <w:t xml:space="preserve"> </w:t>
      </w:r>
      <w:r w:rsidR="0002051E">
        <w:t>automatic</w:t>
      </w:r>
      <w:r w:rsidR="0002051E" w:rsidRPr="00820421">
        <w:t xml:space="preserve"> frequency restoration process</w:t>
      </w:r>
    </w:p>
    <w:p w14:paraId="48AF0759" w14:textId="0E263852" w:rsidR="003A587D" w:rsidRDefault="003A587D" w:rsidP="0003170B">
      <w:pPr>
        <w:pStyle w:val="ListParagraph"/>
        <w:numPr>
          <w:ilvl w:val="0"/>
          <w:numId w:val="117"/>
        </w:numPr>
        <w:rPr>
          <w:szCs w:val="22"/>
          <w:lang w:val="en-US"/>
        </w:rPr>
      </w:pPr>
      <w:r>
        <w:rPr>
          <w:szCs w:val="22"/>
          <w:lang w:val="en-US"/>
        </w:rPr>
        <w:t>BEPP:</w:t>
      </w:r>
      <w:r w:rsidR="0002051E">
        <w:rPr>
          <w:szCs w:val="22"/>
          <w:lang w:val="en-US"/>
        </w:rPr>
        <w:t xml:space="preserve"> balancing energy pricing period</w:t>
      </w:r>
    </w:p>
    <w:p w14:paraId="2F7B4324" w14:textId="723F0D4B" w:rsidR="003A587D" w:rsidRDefault="003A587D" w:rsidP="0003170B">
      <w:pPr>
        <w:pStyle w:val="ListParagraph"/>
        <w:numPr>
          <w:ilvl w:val="0"/>
          <w:numId w:val="117"/>
        </w:numPr>
        <w:rPr>
          <w:szCs w:val="22"/>
          <w:lang w:val="en-US"/>
        </w:rPr>
      </w:pPr>
      <w:r>
        <w:rPr>
          <w:szCs w:val="22"/>
          <w:lang w:val="en-US"/>
        </w:rPr>
        <w:t>CBMP:</w:t>
      </w:r>
      <w:r w:rsidR="0002051E">
        <w:rPr>
          <w:szCs w:val="22"/>
          <w:lang w:val="en-US"/>
        </w:rPr>
        <w:t xml:space="preserve"> cross</w:t>
      </w:r>
      <w:r w:rsidR="00A26D8C">
        <w:rPr>
          <w:szCs w:val="22"/>
          <w:lang w:val="en-US"/>
        </w:rPr>
        <w:t>-</w:t>
      </w:r>
      <w:r w:rsidR="0002051E">
        <w:rPr>
          <w:szCs w:val="22"/>
          <w:lang w:val="en-US"/>
        </w:rPr>
        <w:t>border marginal price</w:t>
      </w:r>
    </w:p>
    <w:p w14:paraId="70CD1E3B" w14:textId="21E34CE7" w:rsidR="0003170B" w:rsidRPr="00082877" w:rsidRDefault="0003170B" w:rsidP="0003170B">
      <w:pPr>
        <w:pStyle w:val="ListParagraph"/>
        <w:numPr>
          <w:ilvl w:val="0"/>
          <w:numId w:val="117"/>
        </w:numPr>
        <w:rPr>
          <w:szCs w:val="22"/>
          <w:lang w:val="en-US"/>
        </w:rPr>
      </w:pPr>
      <w:r w:rsidRPr="00082877">
        <w:rPr>
          <w:szCs w:val="22"/>
          <w:lang w:val="en-US"/>
        </w:rPr>
        <w:t>CZC: cross-zonal capacity</w:t>
      </w:r>
    </w:p>
    <w:p w14:paraId="080DB878" w14:textId="59A4AEA7" w:rsidR="0003170B" w:rsidRDefault="0003170B" w:rsidP="0003170B">
      <w:pPr>
        <w:pStyle w:val="ListParagraph"/>
        <w:numPr>
          <w:ilvl w:val="0"/>
          <w:numId w:val="117"/>
        </w:numPr>
        <w:rPr>
          <w:szCs w:val="22"/>
          <w:lang w:val="en-US"/>
        </w:rPr>
      </w:pPr>
      <w:bookmarkStart w:id="22" w:name="_Toc521595394"/>
      <w:r w:rsidRPr="00082877">
        <w:rPr>
          <w:szCs w:val="22"/>
          <w:lang w:val="en-US"/>
        </w:rPr>
        <w:t>EBGL: guideline on electricity balancing</w:t>
      </w:r>
      <w:bookmarkEnd w:id="22"/>
    </w:p>
    <w:p w14:paraId="1DCD2738" w14:textId="0EC5BBF0" w:rsidR="003A587D" w:rsidRDefault="003A587D" w:rsidP="00D51110">
      <w:pPr>
        <w:pStyle w:val="ListParagraph"/>
        <w:numPr>
          <w:ilvl w:val="0"/>
          <w:numId w:val="117"/>
        </w:numPr>
        <w:rPr>
          <w:szCs w:val="22"/>
          <w:lang w:val="en-US"/>
        </w:rPr>
      </w:pPr>
      <w:r>
        <w:rPr>
          <w:szCs w:val="22"/>
          <w:lang w:val="en-US"/>
        </w:rPr>
        <w:t>IN:</w:t>
      </w:r>
      <w:r w:rsidR="00D51110" w:rsidRPr="00D51110">
        <w:t xml:space="preserve"> </w:t>
      </w:r>
      <w:r w:rsidR="00D51110" w:rsidRPr="00D51110">
        <w:rPr>
          <w:szCs w:val="22"/>
          <w:lang w:val="en-US"/>
        </w:rPr>
        <w:t>imbalance netting</w:t>
      </w:r>
    </w:p>
    <w:p w14:paraId="7152BED9" w14:textId="574B33C5" w:rsidR="00A045A9" w:rsidRDefault="00A045A9" w:rsidP="0064036B">
      <w:pPr>
        <w:pStyle w:val="ListParagraph"/>
        <w:numPr>
          <w:ilvl w:val="0"/>
          <w:numId w:val="117"/>
        </w:numPr>
        <w:rPr>
          <w:szCs w:val="22"/>
          <w:lang w:val="en-US"/>
        </w:rPr>
      </w:pPr>
      <w:r>
        <w:rPr>
          <w:szCs w:val="22"/>
          <w:lang w:val="en-US"/>
        </w:rPr>
        <w:t>INP:</w:t>
      </w:r>
      <w:r w:rsidR="0064036B">
        <w:rPr>
          <w:szCs w:val="22"/>
          <w:lang w:val="en-US"/>
        </w:rPr>
        <w:t xml:space="preserve"> i</w:t>
      </w:r>
      <w:r w:rsidR="0064036B" w:rsidRPr="0064036B">
        <w:rPr>
          <w:szCs w:val="22"/>
          <w:lang w:val="en-US"/>
        </w:rPr>
        <w:t>mbalance netting process</w:t>
      </w:r>
    </w:p>
    <w:p w14:paraId="54230C04" w14:textId="71830E16" w:rsidR="0003170B" w:rsidRDefault="0003170B" w:rsidP="0003170B">
      <w:pPr>
        <w:pStyle w:val="ListParagraph"/>
        <w:numPr>
          <w:ilvl w:val="0"/>
          <w:numId w:val="117"/>
        </w:numPr>
        <w:rPr>
          <w:szCs w:val="22"/>
        </w:rPr>
      </w:pPr>
      <w:bookmarkStart w:id="23" w:name="_Toc521595395"/>
      <w:r w:rsidRPr="00492EB0">
        <w:rPr>
          <w:szCs w:val="22"/>
        </w:rPr>
        <w:t>LFC: load-frequency control</w:t>
      </w:r>
      <w:bookmarkEnd w:id="23"/>
    </w:p>
    <w:p w14:paraId="4BC0486B" w14:textId="2FA5DFBD" w:rsidR="008153AF" w:rsidRPr="008153AF" w:rsidRDefault="008153AF" w:rsidP="00820421">
      <w:pPr>
        <w:pStyle w:val="ListParagraph"/>
        <w:numPr>
          <w:ilvl w:val="0"/>
          <w:numId w:val="117"/>
        </w:numPr>
        <w:rPr>
          <w:szCs w:val="22"/>
        </w:rPr>
      </w:pPr>
      <w:r w:rsidRPr="00364111">
        <w:t>mFRR</w:t>
      </w:r>
      <w:r>
        <w:t>:</w:t>
      </w:r>
      <w:r w:rsidR="00820421" w:rsidRPr="00820421">
        <w:t xml:space="preserve">  frequency restoration reserves with </w:t>
      </w:r>
      <w:r w:rsidR="00820421">
        <w:t>manual</w:t>
      </w:r>
      <w:r w:rsidR="00820421" w:rsidRPr="00820421">
        <w:t xml:space="preserve"> activation</w:t>
      </w:r>
    </w:p>
    <w:p w14:paraId="53D5B824" w14:textId="3AB7FACD" w:rsidR="008153AF" w:rsidRPr="007A5C3F" w:rsidRDefault="008153AF" w:rsidP="00820421">
      <w:pPr>
        <w:pStyle w:val="ListParagraph"/>
        <w:numPr>
          <w:ilvl w:val="0"/>
          <w:numId w:val="117"/>
        </w:numPr>
        <w:rPr>
          <w:szCs w:val="22"/>
        </w:rPr>
      </w:pPr>
      <w:r>
        <w:t>mFRP</w:t>
      </w:r>
      <w:r w:rsidR="003A587D">
        <w:t>:</w:t>
      </w:r>
      <w:r w:rsidR="00820421" w:rsidRPr="00820421">
        <w:t xml:space="preserve"> manual frequency restoration process</w:t>
      </w:r>
    </w:p>
    <w:p w14:paraId="66F6D4DC" w14:textId="4A9EB42C" w:rsidR="0003170B" w:rsidRDefault="0003170B" w:rsidP="0003170B">
      <w:pPr>
        <w:pStyle w:val="ListParagraph"/>
        <w:numPr>
          <w:ilvl w:val="0"/>
          <w:numId w:val="117"/>
        </w:numPr>
        <w:rPr>
          <w:szCs w:val="22"/>
        </w:rPr>
      </w:pPr>
      <w:r w:rsidRPr="00082877">
        <w:rPr>
          <w:szCs w:val="22"/>
        </w:rPr>
        <w:t>MWh: megawatt hour</w:t>
      </w:r>
    </w:p>
    <w:p w14:paraId="4572D00E" w14:textId="77549BCE" w:rsidR="00AC3C96" w:rsidRDefault="00AC3C96" w:rsidP="0003170B">
      <w:pPr>
        <w:pStyle w:val="ListParagraph"/>
        <w:numPr>
          <w:ilvl w:val="0"/>
          <w:numId w:val="117"/>
        </w:numPr>
        <w:rPr>
          <w:szCs w:val="22"/>
        </w:rPr>
      </w:pPr>
      <w:r>
        <w:rPr>
          <w:szCs w:val="22"/>
        </w:rPr>
        <w:t xml:space="preserve">NRA: </w:t>
      </w:r>
      <w:r>
        <w:rPr>
          <w:rFonts w:eastAsiaTheme="minorHAnsi"/>
          <w:color w:val="000000"/>
          <w:szCs w:val="22"/>
          <w:lang w:eastAsia="en-US"/>
        </w:rPr>
        <w:t>n</w:t>
      </w:r>
      <w:r w:rsidRPr="008432CC">
        <w:rPr>
          <w:rFonts w:eastAsiaTheme="minorHAnsi"/>
          <w:color w:val="000000"/>
          <w:szCs w:val="22"/>
          <w:lang w:eastAsia="en-US"/>
        </w:rPr>
        <w:t xml:space="preserve">ational </w:t>
      </w:r>
      <w:r>
        <w:rPr>
          <w:rFonts w:eastAsiaTheme="minorHAnsi"/>
          <w:color w:val="000000"/>
          <w:szCs w:val="22"/>
          <w:lang w:eastAsia="en-US"/>
        </w:rPr>
        <w:t>r</w:t>
      </w:r>
      <w:r w:rsidRPr="008432CC">
        <w:rPr>
          <w:rFonts w:eastAsiaTheme="minorHAnsi"/>
          <w:color w:val="000000"/>
          <w:szCs w:val="22"/>
          <w:lang w:eastAsia="en-US"/>
        </w:rPr>
        <w:t xml:space="preserve">egulatory </w:t>
      </w:r>
      <w:r>
        <w:rPr>
          <w:rFonts w:eastAsiaTheme="minorHAnsi"/>
          <w:color w:val="000000"/>
          <w:szCs w:val="22"/>
          <w:lang w:eastAsia="en-US"/>
        </w:rPr>
        <w:t>authority</w:t>
      </w:r>
    </w:p>
    <w:p w14:paraId="72A7C6F1" w14:textId="2728F012" w:rsidR="008153AF" w:rsidRDefault="008153AF" w:rsidP="0003170B">
      <w:pPr>
        <w:pStyle w:val="ListParagraph"/>
        <w:numPr>
          <w:ilvl w:val="0"/>
          <w:numId w:val="117"/>
        </w:numPr>
        <w:rPr>
          <w:szCs w:val="22"/>
        </w:rPr>
      </w:pPr>
      <w:r>
        <w:rPr>
          <w:szCs w:val="22"/>
        </w:rPr>
        <w:t>RR</w:t>
      </w:r>
      <w:r w:rsidR="003A587D">
        <w:rPr>
          <w:szCs w:val="22"/>
        </w:rPr>
        <w:t>: replacement reserve</w:t>
      </w:r>
    </w:p>
    <w:p w14:paraId="051CC256" w14:textId="765E0D59" w:rsidR="008153AF" w:rsidRDefault="008153AF" w:rsidP="0003170B">
      <w:pPr>
        <w:pStyle w:val="ListParagraph"/>
        <w:numPr>
          <w:ilvl w:val="0"/>
          <w:numId w:val="117"/>
        </w:numPr>
        <w:rPr>
          <w:szCs w:val="22"/>
        </w:rPr>
      </w:pPr>
      <w:r>
        <w:rPr>
          <w:szCs w:val="22"/>
        </w:rPr>
        <w:t>RRP:</w:t>
      </w:r>
      <w:r w:rsidR="003A587D">
        <w:rPr>
          <w:szCs w:val="22"/>
        </w:rPr>
        <w:t xml:space="preserve"> reserve replacement process</w:t>
      </w:r>
    </w:p>
    <w:p w14:paraId="69F11F50" w14:textId="7E5F4783" w:rsidR="0003170B" w:rsidRDefault="0003170B" w:rsidP="0003170B">
      <w:pPr>
        <w:pStyle w:val="ListParagraph"/>
        <w:numPr>
          <w:ilvl w:val="0"/>
          <w:numId w:val="117"/>
        </w:numPr>
        <w:rPr>
          <w:szCs w:val="22"/>
          <w:lang w:val="en-US"/>
        </w:rPr>
      </w:pPr>
      <w:bookmarkStart w:id="24" w:name="_Toc521595396"/>
      <w:r w:rsidRPr="00082877">
        <w:rPr>
          <w:szCs w:val="22"/>
          <w:lang w:val="en-US"/>
        </w:rPr>
        <w:t>SOGL: guideline on electricity transmission system operation</w:t>
      </w:r>
      <w:bookmarkEnd w:id="24"/>
    </w:p>
    <w:p w14:paraId="28476C58" w14:textId="44BD51BF" w:rsidR="003A587D" w:rsidRPr="007A5C3F" w:rsidRDefault="00CA34CE" w:rsidP="0003170B">
      <w:pPr>
        <w:pStyle w:val="ListParagraph"/>
        <w:numPr>
          <w:ilvl w:val="0"/>
          <w:numId w:val="117"/>
        </w:numPr>
        <w:rPr>
          <w:szCs w:val="22"/>
          <w:lang w:val="en-US"/>
        </w:rPr>
      </w:pPr>
      <w:r>
        <w:rPr>
          <w:szCs w:val="22"/>
          <w:lang w:val="en-US"/>
        </w:rPr>
        <w:t>SP: settlement p</w:t>
      </w:r>
      <w:r w:rsidR="003A587D">
        <w:rPr>
          <w:szCs w:val="22"/>
          <w:lang w:val="en-US"/>
        </w:rPr>
        <w:t>roposal</w:t>
      </w:r>
    </w:p>
    <w:p w14:paraId="665F4B00" w14:textId="72F34B31" w:rsidR="0003170B" w:rsidRPr="0003170B" w:rsidRDefault="0003170B" w:rsidP="0003170B">
      <w:pPr>
        <w:pStyle w:val="ListParagraph"/>
        <w:numPr>
          <w:ilvl w:val="0"/>
          <w:numId w:val="117"/>
        </w:numPr>
        <w:rPr>
          <w:szCs w:val="22"/>
          <w:lang w:val="en-US"/>
        </w:rPr>
      </w:pPr>
      <w:bookmarkStart w:id="25" w:name="_Toc521595397"/>
      <w:r w:rsidRPr="00082877">
        <w:rPr>
          <w:szCs w:val="22"/>
          <w:lang w:val="en-US"/>
        </w:rPr>
        <w:t>TSO: transmission system operator</w:t>
      </w:r>
      <w:bookmarkEnd w:id="25"/>
    </w:p>
    <w:p w14:paraId="729B6CD9" w14:textId="77777777" w:rsidR="0003170B" w:rsidRDefault="0003170B" w:rsidP="0003170B">
      <w:pPr>
        <w:rPr>
          <w:rFonts w:asciiTheme="minorHAnsi" w:hAnsiTheme="minorHAnsi" w:cstheme="minorHAnsi"/>
          <w:szCs w:val="22"/>
          <w:lang w:eastAsia="en-US"/>
        </w:rPr>
      </w:pPr>
    </w:p>
    <w:p w14:paraId="32ED33A8" w14:textId="77777777" w:rsidR="0003170B" w:rsidRDefault="0003170B">
      <w:pPr>
        <w:rPr>
          <w:rFonts w:ascii="Times New Roman" w:eastAsiaTheme="majorEastAsia" w:hAnsi="Times New Roman" w:cs="Arial"/>
          <w:b/>
          <w:color w:val="23236E"/>
          <w:sz w:val="24"/>
          <w:szCs w:val="28"/>
          <w:lang w:eastAsia="en-US"/>
        </w:rPr>
      </w:pPr>
      <w:r>
        <w:rPr>
          <w:rFonts w:ascii="Times New Roman" w:eastAsiaTheme="majorEastAsia" w:hAnsi="Times New Roman" w:cs="Arial"/>
          <w:b/>
          <w:color w:val="23236E"/>
          <w:sz w:val="24"/>
          <w:szCs w:val="28"/>
          <w:lang w:eastAsia="en-US"/>
        </w:rPr>
        <w:br w:type="page"/>
      </w:r>
    </w:p>
    <w:p w14:paraId="30D63FF6" w14:textId="33B49CB9" w:rsidR="004F245D" w:rsidRPr="007A5C3F" w:rsidRDefault="004F245D" w:rsidP="007A5C3F">
      <w:pPr>
        <w:spacing w:before="240" w:after="120" w:line="260" w:lineRule="exact"/>
        <w:jc w:val="center"/>
        <w:outlineLvl w:val="1"/>
        <w:rPr>
          <w:rFonts w:ascii="Times New Roman" w:eastAsiaTheme="majorEastAsia" w:hAnsi="Times New Roman" w:cs="Arial"/>
          <w:b/>
          <w:color w:val="23236E"/>
          <w:sz w:val="24"/>
          <w:szCs w:val="28"/>
          <w:lang w:eastAsia="en-US"/>
        </w:rPr>
      </w:pPr>
      <w:bookmarkStart w:id="26" w:name="_Toc531788445"/>
      <w:r w:rsidRPr="007A5C3F">
        <w:rPr>
          <w:rFonts w:ascii="Times New Roman" w:eastAsiaTheme="majorEastAsia" w:hAnsi="Times New Roman" w:cs="Arial"/>
          <w:b/>
          <w:color w:val="23236E"/>
          <w:sz w:val="24"/>
          <w:szCs w:val="28"/>
          <w:lang w:eastAsia="en-US"/>
        </w:rPr>
        <w:lastRenderedPageBreak/>
        <w:t>Article 1</w:t>
      </w:r>
      <w:r w:rsidRPr="007A5C3F">
        <w:rPr>
          <w:rFonts w:ascii="Times New Roman" w:eastAsiaTheme="majorEastAsia" w:hAnsi="Times New Roman" w:cs="Arial"/>
          <w:b/>
          <w:color w:val="23236E"/>
          <w:sz w:val="24"/>
          <w:szCs w:val="28"/>
          <w:lang w:eastAsia="en-US"/>
        </w:rPr>
        <w:br/>
        <w:t xml:space="preserve">Subject </w:t>
      </w:r>
      <w:r w:rsidR="007F49D6" w:rsidRPr="007A5C3F">
        <w:rPr>
          <w:rFonts w:ascii="Times New Roman" w:eastAsiaTheme="majorEastAsia" w:hAnsi="Times New Roman" w:cs="Arial"/>
          <w:b/>
          <w:color w:val="23236E"/>
          <w:sz w:val="24"/>
          <w:szCs w:val="28"/>
          <w:lang w:eastAsia="en-US"/>
        </w:rPr>
        <w:t xml:space="preserve">Matter </w:t>
      </w:r>
      <w:r w:rsidRPr="007A5C3F">
        <w:rPr>
          <w:rFonts w:ascii="Times New Roman" w:eastAsiaTheme="majorEastAsia" w:hAnsi="Times New Roman" w:cs="Arial"/>
          <w:b/>
          <w:color w:val="23236E"/>
          <w:sz w:val="24"/>
          <w:szCs w:val="28"/>
          <w:lang w:eastAsia="en-US"/>
        </w:rPr>
        <w:t xml:space="preserve">and </w:t>
      </w:r>
      <w:bookmarkEnd w:id="9"/>
      <w:bookmarkEnd w:id="10"/>
      <w:bookmarkEnd w:id="11"/>
      <w:bookmarkEnd w:id="12"/>
      <w:bookmarkEnd w:id="13"/>
      <w:bookmarkEnd w:id="14"/>
      <w:r w:rsidR="007F49D6" w:rsidRPr="007A5C3F">
        <w:rPr>
          <w:rFonts w:ascii="Times New Roman" w:eastAsiaTheme="majorEastAsia" w:hAnsi="Times New Roman" w:cs="Arial"/>
          <w:b/>
          <w:color w:val="23236E"/>
          <w:sz w:val="24"/>
          <w:szCs w:val="28"/>
          <w:lang w:eastAsia="en-US"/>
        </w:rPr>
        <w:t>Scope</w:t>
      </w:r>
      <w:bookmarkEnd w:id="26"/>
    </w:p>
    <w:p w14:paraId="46CF1B90" w14:textId="4D8B24A7" w:rsidR="00E9327B" w:rsidRDefault="004F245D" w:rsidP="002534B3">
      <w:pPr>
        <w:pStyle w:val="textenumeration"/>
        <w:numPr>
          <w:ilvl w:val="0"/>
          <w:numId w:val="14"/>
        </w:numPr>
        <w:rPr>
          <w:lang w:eastAsia="en-US"/>
        </w:rPr>
      </w:pPr>
      <w:r w:rsidRPr="00364111">
        <w:rPr>
          <w:lang w:eastAsia="en-US"/>
        </w:rPr>
        <w:t xml:space="preserve">The </w:t>
      </w:r>
      <w:r w:rsidR="00C810D4">
        <w:rPr>
          <w:lang w:eastAsia="en-US"/>
        </w:rPr>
        <w:t>S</w:t>
      </w:r>
      <w:r w:rsidR="00336D1F" w:rsidRPr="00364111">
        <w:rPr>
          <w:lang w:eastAsia="en-US"/>
        </w:rPr>
        <w:t>P</w:t>
      </w:r>
      <w:r w:rsidRPr="00364111">
        <w:rPr>
          <w:lang w:eastAsia="en-US"/>
        </w:rPr>
        <w:t xml:space="preserve"> is the common proposal of all TSOs in accordance with Article </w:t>
      </w:r>
      <w:r w:rsidR="00B15166">
        <w:rPr>
          <w:lang w:eastAsia="en-US"/>
        </w:rPr>
        <w:t>5</w:t>
      </w:r>
      <w:r w:rsidR="00020DB7" w:rsidRPr="00364111">
        <w:rPr>
          <w:lang w:eastAsia="en-US"/>
        </w:rPr>
        <w:t>0</w:t>
      </w:r>
      <w:r w:rsidR="00336D1F" w:rsidRPr="00364111">
        <w:rPr>
          <w:lang w:eastAsia="en-US"/>
        </w:rPr>
        <w:t>(</w:t>
      </w:r>
      <w:r w:rsidR="006F2B4C">
        <w:rPr>
          <w:lang w:eastAsia="en-US"/>
        </w:rPr>
        <w:t>1</w:t>
      </w:r>
      <w:r w:rsidR="00336D1F" w:rsidRPr="00364111">
        <w:rPr>
          <w:lang w:eastAsia="en-US"/>
        </w:rPr>
        <w:t>)</w:t>
      </w:r>
      <w:r w:rsidR="00B56E7C">
        <w:rPr>
          <w:lang w:eastAsia="en-US"/>
        </w:rPr>
        <w:t xml:space="preserve"> </w:t>
      </w:r>
      <w:r w:rsidRPr="00364111">
        <w:rPr>
          <w:lang w:eastAsia="en-US"/>
        </w:rPr>
        <w:t xml:space="preserve">of </w:t>
      </w:r>
      <w:r w:rsidR="000C6F6D">
        <w:rPr>
          <w:lang w:eastAsia="en-US"/>
        </w:rPr>
        <w:t xml:space="preserve">the </w:t>
      </w:r>
      <w:r w:rsidR="002B693C" w:rsidRPr="00364111">
        <w:rPr>
          <w:lang w:eastAsia="en-US"/>
        </w:rPr>
        <w:t>EBGL</w:t>
      </w:r>
      <w:r w:rsidRPr="00364111">
        <w:rPr>
          <w:lang w:eastAsia="en-US"/>
        </w:rPr>
        <w:t>.</w:t>
      </w:r>
      <w:r w:rsidR="00C52163">
        <w:rPr>
          <w:lang w:eastAsia="en-US"/>
        </w:rPr>
        <w:t xml:space="preserve"> </w:t>
      </w:r>
      <w:r w:rsidR="00C52163" w:rsidRPr="00C52163">
        <w:rPr>
          <w:lang w:eastAsia="en-US"/>
        </w:rPr>
        <w:t>Where an LFC area consists of more than one monitoring area, only the TSO appointed in the LFC area operational agreement as responsible for the imple</w:t>
      </w:r>
      <w:r w:rsidR="00C52163">
        <w:rPr>
          <w:lang w:eastAsia="en-US"/>
        </w:rPr>
        <w:t xml:space="preserve">mentation and operation of the </w:t>
      </w:r>
      <w:r w:rsidR="00C52163" w:rsidRPr="00C52163">
        <w:rPr>
          <w:lang w:eastAsia="en-US"/>
        </w:rPr>
        <w:t xml:space="preserve">European platforms pursuant Articles 19, 20, 21 and 22 of the EBGL shall apply the </w:t>
      </w:r>
      <w:r w:rsidR="003C1AA5">
        <w:rPr>
          <w:lang w:eastAsia="en-US"/>
        </w:rPr>
        <w:t>SP</w:t>
      </w:r>
      <w:r w:rsidR="00C52163" w:rsidRPr="00C52163">
        <w:rPr>
          <w:lang w:eastAsia="en-US"/>
        </w:rPr>
        <w:t>.</w:t>
      </w:r>
    </w:p>
    <w:p w14:paraId="30D63FF7" w14:textId="7204B747" w:rsidR="004F245D" w:rsidRPr="0065178E" w:rsidRDefault="00012FF2" w:rsidP="002534B3">
      <w:pPr>
        <w:pStyle w:val="textenumeration"/>
        <w:numPr>
          <w:ilvl w:val="0"/>
          <w:numId w:val="14"/>
        </w:numPr>
        <w:rPr>
          <w:lang w:eastAsia="en-US"/>
        </w:rPr>
      </w:pPr>
      <w:r>
        <w:rPr>
          <w:lang w:eastAsia="en-US"/>
        </w:rPr>
        <w:t>T</w:t>
      </w:r>
      <w:r w:rsidR="00D83984" w:rsidRPr="00364111">
        <w:rPr>
          <w:lang w:eastAsia="en-US"/>
        </w:rPr>
        <w:t xml:space="preserve">he </w:t>
      </w:r>
      <w:r w:rsidR="00C810D4">
        <w:rPr>
          <w:lang w:eastAsia="en-US"/>
        </w:rPr>
        <w:t>S</w:t>
      </w:r>
      <w:r w:rsidR="00D83984" w:rsidRPr="00364111">
        <w:rPr>
          <w:lang w:eastAsia="en-US"/>
        </w:rPr>
        <w:t xml:space="preserve">P defines </w:t>
      </w:r>
      <w:r w:rsidR="009D1222">
        <w:rPr>
          <w:lang w:eastAsia="en-US"/>
        </w:rPr>
        <w:t>the</w:t>
      </w:r>
      <w:r w:rsidR="004A22AF" w:rsidRPr="002534B3">
        <w:rPr>
          <w:lang w:eastAsia="en-US"/>
        </w:rPr>
        <w:t xml:space="preserve"> methodology to determine </w:t>
      </w:r>
      <w:r w:rsidR="00604704" w:rsidRPr="002534B3">
        <w:rPr>
          <w:lang w:eastAsia="en-US"/>
        </w:rPr>
        <w:t xml:space="preserve">settlement </w:t>
      </w:r>
      <w:r w:rsidR="009064CC" w:rsidRPr="002534B3">
        <w:rPr>
          <w:lang w:eastAsia="en-US"/>
        </w:rPr>
        <w:t>amounts</w:t>
      </w:r>
      <w:r w:rsidR="00604704" w:rsidRPr="002534B3">
        <w:rPr>
          <w:lang w:eastAsia="en-US"/>
        </w:rPr>
        <w:t xml:space="preserve"> </w:t>
      </w:r>
      <w:r w:rsidR="004A22AF" w:rsidRPr="002534B3">
        <w:rPr>
          <w:lang w:eastAsia="en-US"/>
        </w:rPr>
        <w:t xml:space="preserve">of </w:t>
      </w:r>
      <w:r w:rsidR="00C810D4" w:rsidRPr="001B5860">
        <w:rPr>
          <w:lang w:eastAsia="en-US"/>
        </w:rPr>
        <w:t>all intended exchanges of energy as a result of</w:t>
      </w:r>
      <w:r w:rsidR="00C810D4" w:rsidRPr="002534B3">
        <w:rPr>
          <w:lang w:eastAsia="en-US"/>
        </w:rPr>
        <w:t xml:space="preserve"> </w:t>
      </w:r>
      <w:r w:rsidR="00273CC7" w:rsidRPr="002534B3">
        <w:rPr>
          <w:lang w:eastAsia="en-US"/>
        </w:rPr>
        <w:t>reserve replacement process</w:t>
      </w:r>
      <w:r w:rsidR="007F3AD9" w:rsidRPr="002534B3">
        <w:rPr>
          <w:lang w:eastAsia="en-US"/>
        </w:rPr>
        <w:t xml:space="preserve"> pursuant to Article 144(1) of the SOGL</w:t>
      </w:r>
      <w:r w:rsidR="00273CC7" w:rsidRPr="002534B3" w:rsidDel="00273CC7">
        <w:rPr>
          <w:lang w:eastAsia="en-US"/>
        </w:rPr>
        <w:t xml:space="preserve"> </w:t>
      </w:r>
      <w:r w:rsidR="00C810D4" w:rsidRPr="0096744B">
        <w:rPr>
          <w:lang w:eastAsia="en-US"/>
        </w:rPr>
        <w:t>(</w:t>
      </w:r>
      <w:r w:rsidR="00C810D4" w:rsidRPr="002534B3">
        <w:rPr>
          <w:lang w:eastAsia="en-US"/>
        </w:rPr>
        <w:t>hereafter referred to as</w:t>
      </w:r>
      <w:r w:rsidR="00C810D4" w:rsidRPr="0096744B">
        <w:rPr>
          <w:lang w:eastAsia="en-US"/>
        </w:rPr>
        <w:t xml:space="preserve"> “</w:t>
      </w:r>
      <w:r w:rsidR="00C810D4">
        <w:rPr>
          <w:lang w:eastAsia="en-US"/>
        </w:rPr>
        <w:t>RRP</w:t>
      </w:r>
      <w:r w:rsidR="00C810D4" w:rsidRPr="0096744B">
        <w:rPr>
          <w:lang w:eastAsia="en-US"/>
        </w:rPr>
        <w:t>”)</w:t>
      </w:r>
      <w:r w:rsidR="00C810D4" w:rsidRPr="002534B3">
        <w:rPr>
          <w:lang w:eastAsia="en-US"/>
        </w:rPr>
        <w:t xml:space="preserve">, </w:t>
      </w:r>
      <w:r w:rsidR="00C810D4">
        <w:rPr>
          <w:lang w:eastAsia="en-US"/>
        </w:rPr>
        <w:t>imbalance netting process</w:t>
      </w:r>
      <w:r w:rsidR="00A25D88">
        <w:rPr>
          <w:lang w:eastAsia="en-US"/>
        </w:rPr>
        <w:t xml:space="preserve"> </w:t>
      </w:r>
      <w:r w:rsidR="00A25D88" w:rsidRPr="002534B3">
        <w:rPr>
          <w:lang w:eastAsia="en-US"/>
        </w:rPr>
        <w:t>pursuant to Article 146(1) of the SOGL</w:t>
      </w:r>
      <w:r w:rsidR="00A25C55" w:rsidRPr="0096744B">
        <w:rPr>
          <w:lang w:eastAsia="en-US"/>
        </w:rPr>
        <w:t xml:space="preserve"> </w:t>
      </w:r>
      <w:r w:rsidR="00A25C55">
        <w:rPr>
          <w:lang w:eastAsia="en-US"/>
        </w:rPr>
        <w:t>(hereafter referred to as “</w:t>
      </w:r>
      <w:r w:rsidR="00C810D4">
        <w:rPr>
          <w:lang w:eastAsia="en-US"/>
        </w:rPr>
        <w:t>INP</w:t>
      </w:r>
      <w:r w:rsidR="00A25C55">
        <w:rPr>
          <w:lang w:eastAsia="en-US"/>
        </w:rPr>
        <w:t>”)</w:t>
      </w:r>
      <w:r w:rsidR="00F4578B">
        <w:rPr>
          <w:lang w:eastAsia="en-US"/>
        </w:rPr>
        <w:t>,</w:t>
      </w:r>
      <w:r w:rsidR="00A25D88">
        <w:rPr>
          <w:lang w:eastAsia="en-US"/>
        </w:rPr>
        <w:t xml:space="preserve"> </w:t>
      </w:r>
      <w:r w:rsidR="00A25D88" w:rsidRPr="00D57FE6">
        <w:rPr>
          <w:lang w:eastAsia="en-US"/>
        </w:rPr>
        <w:t>automatic frequency restoration process</w:t>
      </w:r>
      <w:r w:rsidR="00A25D88" w:rsidRPr="00D57FE6" w:rsidDel="00D57FE6">
        <w:rPr>
          <w:lang w:eastAsia="en-US"/>
        </w:rPr>
        <w:t xml:space="preserve"> </w:t>
      </w:r>
      <w:r w:rsidR="00A25D88" w:rsidRPr="0096744B">
        <w:rPr>
          <w:lang w:eastAsia="en-US"/>
        </w:rPr>
        <w:t>(</w:t>
      </w:r>
      <w:r w:rsidR="00A25D88" w:rsidRPr="002534B3">
        <w:rPr>
          <w:lang w:eastAsia="en-US"/>
        </w:rPr>
        <w:t>hereafter referred to as</w:t>
      </w:r>
      <w:r w:rsidR="00A25D88" w:rsidRPr="0096744B">
        <w:rPr>
          <w:lang w:eastAsia="en-US"/>
        </w:rPr>
        <w:t xml:space="preserve"> “aFR</w:t>
      </w:r>
      <w:r w:rsidR="00A25D88">
        <w:rPr>
          <w:lang w:eastAsia="en-US"/>
        </w:rPr>
        <w:t>P</w:t>
      </w:r>
      <w:r w:rsidR="00A25D88" w:rsidRPr="0096744B">
        <w:rPr>
          <w:lang w:eastAsia="en-US"/>
        </w:rPr>
        <w:t xml:space="preserve">”) </w:t>
      </w:r>
      <w:r w:rsidR="00F4578B">
        <w:rPr>
          <w:lang w:eastAsia="en-US"/>
        </w:rPr>
        <w:t xml:space="preserve">and </w:t>
      </w:r>
      <w:r w:rsidR="00A25D88" w:rsidRPr="00D57FE6">
        <w:rPr>
          <w:lang w:eastAsia="en-US"/>
        </w:rPr>
        <w:t>manual frequency restoration process</w:t>
      </w:r>
      <w:r w:rsidR="00A25D88" w:rsidRPr="0096744B">
        <w:rPr>
          <w:lang w:eastAsia="en-US"/>
        </w:rPr>
        <w:t xml:space="preserve"> (</w:t>
      </w:r>
      <w:r w:rsidR="00A25D88" w:rsidRPr="002534B3">
        <w:rPr>
          <w:lang w:eastAsia="en-US"/>
        </w:rPr>
        <w:t>hereafter referred to as</w:t>
      </w:r>
      <w:r w:rsidR="00A25D88" w:rsidRPr="0096744B">
        <w:rPr>
          <w:lang w:eastAsia="en-US"/>
        </w:rPr>
        <w:t xml:space="preserve"> “mFR</w:t>
      </w:r>
      <w:r w:rsidR="00A25D88">
        <w:rPr>
          <w:lang w:eastAsia="en-US"/>
        </w:rPr>
        <w:t>P</w:t>
      </w:r>
      <w:r w:rsidR="00A25D88" w:rsidRPr="0096744B">
        <w:rPr>
          <w:lang w:eastAsia="en-US"/>
        </w:rPr>
        <w:t>”)</w:t>
      </w:r>
      <w:r w:rsidR="00A25D88">
        <w:rPr>
          <w:lang w:eastAsia="en-US"/>
        </w:rPr>
        <w:t xml:space="preserve"> </w:t>
      </w:r>
      <w:r w:rsidR="00A25D88" w:rsidRPr="002534B3">
        <w:rPr>
          <w:lang w:eastAsia="en-US"/>
        </w:rPr>
        <w:t>pursuant to Article 145(1) of the SOGL</w:t>
      </w:r>
      <w:r w:rsidR="00E61D02" w:rsidRPr="002534B3">
        <w:rPr>
          <w:lang w:eastAsia="en-US"/>
        </w:rPr>
        <w:t xml:space="preserve">. </w:t>
      </w:r>
      <w:r w:rsidR="00C15819" w:rsidRPr="002534B3">
        <w:rPr>
          <w:lang w:eastAsia="en-US"/>
        </w:rPr>
        <w:t>Only the TSOs obliged to implement and to use the European platforms for the exchange of balancing energy in accordance with Articles 19, 20,</w:t>
      </w:r>
      <w:r w:rsidR="007828A4" w:rsidRPr="002534B3">
        <w:rPr>
          <w:lang w:eastAsia="en-US"/>
        </w:rPr>
        <w:t xml:space="preserve"> </w:t>
      </w:r>
      <w:r w:rsidR="00C15819" w:rsidRPr="002534B3">
        <w:rPr>
          <w:lang w:eastAsia="en-US"/>
        </w:rPr>
        <w:t>21 and 22 of</w:t>
      </w:r>
      <w:r w:rsidR="000C6F6D" w:rsidRPr="002534B3">
        <w:rPr>
          <w:lang w:eastAsia="en-US"/>
        </w:rPr>
        <w:t xml:space="preserve"> the</w:t>
      </w:r>
      <w:r w:rsidR="00C15819" w:rsidRPr="002534B3">
        <w:rPr>
          <w:lang w:eastAsia="en-US"/>
        </w:rPr>
        <w:t xml:space="preserve"> EBGL are required to comply with the requirements set forth by this SP for the settlement of the resulting intended exchange of balancing energy</w:t>
      </w:r>
      <w:r w:rsidR="009E2B76" w:rsidRPr="002534B3">
        <w:rPr>
          <w:lang w:eastAsia="en-US"/>
        </w:rPr>
        <w:t>.</w:t>
      </w:r>
    </w:p>
    <w:p w14:paraId="51D6A8D8" w14:textId="15293818" w:rsidR="0065178E" w:rsidRPr="00364111" w:rsidRDefault="0065178E" w:rsidP="002534B3">
      <w:pPr>
        <w:pStyle w:val="textenumeration"/>
        <w:numPr>
          <w:ilvl w:val="0"/>
          <w:numId w:val="14"/>
        </w:numPr>
        <w:rPr>
          <w:lang w:eastAsia="en-US"/>
        </w:rPr>
      </w:pPr>
      <w:r>
        <w:rPr>
          <w:lang w:eastAsia="en-US"/>
        </w:rPr>
        <w:t>The SP defines how the settlement amounts</w:t>
      </w:r>
      <w:r w:rsidR="002534B3">
        <w:rPr>
          <w:lang w:eastAsia="en-US"/>
        </w:rPr>
        <w:t xml:space="preserve"> determined</w:t>
      </w:r>
      <w:r>
        <w:rPr>
          <w:lang w:eastAsia="en-US"/>
        </w:rPr>
        <w:t xml:space="preserve"> are settled between TSOs and how the </w:t>
      </w:r>
      <w:r w:rsidR="004B4419">
        <w:rPr>
          <w:lang w:eastAsia="en-US"/>
        </w:rPr>
        <w:t xml:space="preserve">balancing </w:t>
      </w:r>
      <w:r>
        <w:rPr>
          <w:lang w:eastAsia="en-US"/>
        </w:rPr>
        <w:t>congestion income is calculated and distributed among TSOs.</w:t>
      </w:r>
    </w:p>
    <w:p w14:paraId="32278C85" w14:textId="795907CE" w:rsidR="00D446B6" w:rsidRPr="007A5C3F" w:rsidRDefault="004F245D" w:rsidP="007A5C3F">
      <w:pPr>
        <w:spacing w:before="240" w:after="120" w:line="260" w:lineRule="exact"/>
        <w:jc w:val="center"/>
        <w:outlineLvl w:val="1"/>
        <w:rPr>
          <w:rFonts w:ascii="Times New Roman" w:eastAsiaTheme="majorEastAsia" w:hAnsi="Times New Roman" w:cs="Arial"/>
          <w:b/>
          <w:color w:val="23236E"/>
          <w:sz w:val="24"/>
          <w:szCs w:val="28"/>
          <w:lang w:eastAsia="en-US"/>
        </w:rPr>
      </w:pPr>
      <w:bookmarkStart w:id="27" w:name="_Toc432586770"/>
      <w:bookmarkStart w:id="28" w:name="_Toc432586790"/>
      <w:bookmarkStart w:id="29" w:name="_Toc445298914"/>
      <w:bookmarkStart w:id="30" w:name="_Toc445299176"/>
      <w:bookmarkStart w:id="31" w:name="_Toc445825432"/>
      <w:bookmarkStart w:id="32" w:name="_Toc509328969"/>
      <w:bookmarkStart w:id="33" w:name="_Toc531788446"/>
      <w:r w:rsidRPr="007A5C3F">
        <w:rPr>
          <w:rFonts w:ascii="Times New Roman" w:eastAsiaTheme="majorEastAsia" w:hAnsi="Times New Roman" w:cs="Arial"/>
          <w:b/>
          <w:color w:val="23236E"/>
          <w:sz w:val="24"/>
          <w:szCs w:val="28"/>
          <w:lang w:eastAsia="en-US"/>
        </w:rPr>
        <w:t>Article 2</w:t>
      </w:r>
      <w:r w:rsidRPr="007A5C3F">
        <w:rPr>
          <w:rFonts w:ascii="Times New Roman" w:eastAsiaTheme="majorEastAsia" w:hAnsi="Times New Roman" w:cs="Arial"/>
          <w:b/>
          <w:color w:val="23236E"/>
          <w:sz w:val="24"/>
          <w:szCs w:val="28"/>
          <w:lang w:eastAsia="en-US"/>
        </w:rPr>
        <w:br/>
        <w:t xml:space="preserve">Definitions and </w:t>
      </w:r>
      <w:r w:rsidR="008C1FEA" w:rsidRPr="007A5C3F">
        <w:rPr>
          <w:rFonts w:ascii="Times New Roman" w:eastAsiaTheme="majorEastAsia" w:hAnsi="Times New Roman" w:cs="Arial"/>
          <w:b/>
          <w:color w:val="23236E"/>
          <w:sz w:val="24"/>
          <w:szCs w:val="28"/>
          <w:lang w:eastAsia="en-US"/>
        </w:rPr>
        <w:t>I</w:t>
      </w:r>
      <w:r w:rsidRPr="007A5C3F">
        <w:rPr>
          <w:rFonts w:ascii="Times New Roman" w:eastAsiaTheme="majorEastAsia" w:hAnsi="Times New Roman" w:cs="Arial"/>
          <w:b/>
          <w:color w:val="23236E"/>
          <w:sz w:val="24"/>
          <w:szCs w:val="28"/>
          <w:lang w:eastAsia="en-US"/>
        </w:rPr>
        <w:t>nterpretation</w:t>
      </w:r>
      <w:bookmarkEnd w:id="27"/>
      <w:bookmarkEnd w:id="28"/>
      <w:bookmarkEnd w:id="29"/>
      <w:bookmarkEnd w:id="30"/>
      <w:bookmarkEnd w:id="31"/>
      <w:bookmarkEnd w:id="32"/>
      <w:bookmarkEnd w:id="33"/>
    </w:p>
    <w:p w14:paraId="314B50FB" w14:textId="1E558C61" w:rsidR="00D446B6" w:rsidRPr="00364111" w:rsidRDefault="004F245D" w:rsidP="002534B3">
      <w:pPr>
        <w:pStyle w:val="textenumeration"/>
        <w:numPr>
          <w:ilvl w:val="0"/>
          <w:numId w:val="159"/>
        </w:numPr>
        <w:rPr>
          <w:lang w:eastAsia="en-US"/>
        </w:rPr>
      </w:pPr>
      <w:r w:rsidRPr="00364111">
        <w:rPr>
          <w:lang w:eastAsia="en-US"/>
        </w:rPr>
        <w:t xml:space="preserve">For the purposes </w:t>
      </w:r>
      <w:r w:rsidR="00E46443" w:rsidRPr="00364111">
        <w:rPr>
          <w:lang w:eastAsia="en-US"/>
        </w:rPr>
        <w:t xml:space="preserve">of </w:t>
      </w:r>
      <w:r w:rsidR="003C3BE6">
        <w:rPr>
          <w:lang w:eastAsia="en-US"/>
        </w:rPr>
        <w:t xml:space="preserve">the </w:t>
      </w:r>
      <w:r w:rsidR="00D63FBF">
        <w:rPr>
          <w:lang w:eastAsia="en-US"/>
        </w:rPr>
        <w:t>S</w:t>
      </w:r>
      <w:r w:rsidR="00994507" w:rsidRPr="00364111">
        <w:rPr>
          <w:lang w:eastAsia="en-US"/>
        </w:rPr>
        <w:t>P</w:t>
      </w:r>
      <w:r w:rsidRPr="00364111">
        <w:rPr>
          <w:lang w:eastAsia="en-US"/>
        </w:rPr>
        <w:t xml:space="preserve">, the terms used shall have the meaning </w:t>
      </w:r>
      <w:r w:rsidR="003A6E90" w:rsidRPr="00364111">
        <w:rPr>
          <w:lang w:eastAsia="en-US"/>
        </w:rPr>
        <w:t>given to them in Article 2 of</w:t>
      </w:r>
      <w:r w:rsidR="003C6E7E">
        <w:rPr>
          <w:lang w:eastAsia="en-US"/>
        </w:rPr>
        <w:t xml:space="preserve"> </w:t>
      </w:r>
      <w:r w:rsidR="00FE07F5">
        <w:rPr>
          <w:lang w:eastAsia="en-US"/>
        </w:rPr>
        <w:t xml:space="preserve">the </w:t>
      </w:r>
      <w:r w:rsidR="003C6E7E" w:rsidRPr="003C6E7E">
        <w:rPr>
          <w:lang w:eastAsia="en-US"/>
        </w:rPr>
        <w:t>Electricity Regulation</w:t>
      </w:r>
      <w:r w:rsidR="003A6E90" w:rsidRPr="00364111">
        <w:rPr>
          <w:lang w:eastAsia="en-US"/>
        </w:rPr>
        <w:t xml:space="preserve">, Article </w:t>
      </w:r>
      <w:r w:rsidR="000D52BB" w:rsidRPr="00364111">
        <w:rPr>
          <w:lang w:eastAsia="en-US"/>
        </w:rPr>
        <w:t>3</w:t>
      </w:r>
      <w:r w:rsidR="003A6E90" w:rsidRPr="00364111">
        <w:rPr>
          <w:lang w:eastAsia="en-US"/>
        </w:rPr>
        <w:t xml:space="preserve"> of</w:t>
      </w:r>
      <w:r w:rsidR="00E06F48" w:rsidRPr="00364111">
        <w:rPr>
          <w:lang w:eastAsia="en-US"/>
        </w:rPr>
        <w:t xml:space="preserve"> </w:t>
      </w:r>
      <w:r w:rsidR="002B693C" w:rsidRPr="00364111">
        <w:rPr>
          <w:lang w:eastAsia="en-US"/>
        </w:rPr>
        <w:t>SOGL</w:t>
      </w:r>
      <w:r w:rsidR="00AC6BB7" w:rsidRPr="00364111">
        <w:rPr>
          <w:lang w:eastAsia="en-US"/>
        </w:rPr>
        <w:t xml:space="preserve"> and </w:t>
      </w:r>
      <w:r w:rsidR="003A6E90" w:rsidRPr="00364111">
        <w:rPr>
          <w:lang w:eastAsia="en-US"/>
        </w:rPr>
        <w:t>Article 2 of</w:t>
      </w:r>
      <w:r w:rsidR="003730CE" w:rsidRPr="00364111">
        <w:rPr>
          <w:lang w:eastAsia="en-US"/>
        </w:rPr>
        <w:t xml:space="preserve"> </w:t>
      </w:r>
      <w:r w:rsidR="000C6F6D">
        <w:rPr>
          <w:lang w:eastAsia="en-US"/>
        </w:rPr>
        <w:t xml:space="preserve">the </w:t>
      </w:r>
      <w:r w:rsidR="002B693C" w:rsidRPr="00364111">
        <w:rPr>
          <w:lang w:eastAsia="en-US"/>
        </w:rPr>
        <w:t>EBGL</w:t>
      </w:r>
      <w:r w:rsidR="003A6E90" w:rsidRPr="00364111">
        <w:rPr>
          <w:lang w:eastAsia="en-US"/>
        </w:rPr>
        <w:t>.</w:t>
      </w:r>
    </w:p>
    <w:p w14:paraId="05477A1F" w14:textId="7B38D969" w:rsidR="006C43C6" w:rsidRPr="00364111" w:rsidRDefault="006C43C6" w:rsidP="005717F0">
      <w:pPr>
        <w:pStyle w:val="textenumeration"/>
        <w:rPr>
          <w:lang w:eastAsia="en-US"/>
        </w:rPr>
      </w:pPr>
      <w:r w:rsidRPr="00364111">
        <w:rPr>
          <w:lang w:eastAsia="en-US"/>
        </w:rPr>
        <w:t xml:space="preserve">In addition, in </w:t>
      </w:r>
      <w:r w:rsidR="003C3BE6">
        <w:rPr>
          <w:lang w:eastAsia="en-US"/>
        </w:rPr>
        <w:t xml:space="preserve">the </w:t>
      </w:r>
      <w:r w:rsidR="00D63FBF">
        <w:rPr>
          <w:lang w:eastAsia="en-US"/>
        </w:rPr>
        <w:t>S</w:t>
      </w:r>
      <w:r w:rsidR="006278DD" w:rsidRPr="00364111">
        <w:rPr>
          <w:lang w:eastAsia="en-US"/>
        </w:rPr>
        <w:t>P</w:t>
      </w:r>
      <w:r w:rsidRPr="00364111">
        <w:rPr>
          <w:lang w:eastAsia="en-US"/>
        </w:rPr>
        <w:t xml:space="preserve"> the following terms shall apply: </w:t>
      </w:r>
    </w:p>
    <w:p w14:paraId="1ABE2305" w14:textId="353D838E" w:rsidR="00A71C01" w:rsidRDefault="00A71C01" w:rsidP="000D42DA">
      <w:pPr>
        <w:pStyle w:val="ListParagraph"/>
        <w:numPr>
          <w:ilvl w:val="0"/>
          <w:numId w:val="10"/>
        </w:numPr>
      </w:pPr>
      <w:r w:rsidRPr="00364111">
        <w:t>‘aFRR-Platform’</w:t>
      </w:r>
      <w:r w:rsidR="00F16662" w:rsidRPr="00364111">
        <w:t xml:space="preserve"> means European platform for the exchange of balancing energy from frequency restoration reserves with automatic activation;</w:t>
      </w:r>
    </w:p>
    <w:p w14:paraId="187AF7F0" w14:textId="50547F55" w:rsidR="00645A76" w:rsidRDefault="00645A76" w:rsidP="00645A76">
      <w:pPr>
        <w:pStyle w:val="ListParagraph"/>
        <w:numPr>
          <w:ilvl w:val="0"/>
          <w:numId w:val="10"/>
        </w:numPr>
      </w:pPr>
      <w:r>
        <w:t xml:space="preserve">‘aFRR balancing border’ </w:t>
      </w:r>
      <w:r w:rsidRPr="003C6C09">
        <w:t>means a set of physical transmission lines linking adjacent LFC areas</w:t>
      </w:r>
      <w:r>
        <w:t xml:space="preserve"> </w:t>
      </w:r>
      <w:r w:rsidRPr="00800BEA">
        <w:t>of participating TSOs</w:t>
      </w:r>
      <w:r w:rsidRPr="003C6C09">
        <w:t xml:space="preserve">. The optimisation algorithm calculates the </w:t>
      </w:r>
      <w:r w:rsidRPr="003C6C09">
        <w:rPr>
          <w:lang w:eastAsia="en-US"/>
        </w:rPr>
        <w:t xml:space="preserve">automatic </w:t>
      </w:r>
      <w:r w:rsidRPr="003C6C09">
        <w:rPr>
          <w:lang w:val="en-US"/>
        </w:rPr>
        <w:t xml:space="preserve">frequency restoration power interchange </w:t>
      </w:r>
      <w:r w:rsidRPr="003C6C09">
        <w:t xml:space="preserve">for each aFRR balancing border. For the purposes of the optimisation, each aFRR balancing border has a mathematically defined negative and positive direction for the </w:t>
      </w:r>
      <w:r w:rsidRPr="003C6C09">
        <w:rPr>
          <w:lang w:eastAsia="en-US"/>
        </w:rPr>
        <w:t>automatic frequency restoration power exchange</w:t>
      </w:r>
      <w:r>
        <w:t>.</w:t>
      </w:r>
    </w:p>
    <w:p w14:paraId="54A5B5D2" w14:textId="5285E5A2" w:rsidR="00645A76" w:rsidRDefault="00645A76" w:rsidP="00645A76">
      <w:pPr>
        <w:pStyle w:val="ListParagraph"/>
        <w:numPr>
          <w:ilvl w:val="0"/>
          <w:numId w:val="10"/>
        </w:numPr>
      </w:pPr>
      <w:r>
        <w:t>‘balancing border’ means an RR, mFRR or aFRR balancing border.</w:t>
      </w:r>
    </w:p>
    <w:p w14:paraId="14D28220" w14:textId="075EB7BF" w:rsidR="00645A76" w:rsidRDefault="00645A76" w:rsidP="00645A76">
      <w:pPr>
        <w:pStyle w:val="ListParagraph"/>
        <w:numPr>
          <w:ilvl w:val="0"/>
          <w:numId w:val="10"/>
        </w:numPr>
      </w:pPr>
      <w:r>
        <w:t xml:space="preserve">‘balancing congestion income’ means an income generated by the exchange of balancing energy between different uncongested areas and the resulting different CBMPs.  </w:t>
      </w:r>
    </w:p>
    <w:p w14:paraId="57BBE025" w14:textId="1C02F864" w:rsidR="00215103" w:rsidRDefault="00215103" w:rsidP="00215103">
      <w:pPr>
        <w:pStyle w:val="ListParagraph"/>
        <w:numPr>
          <w:ilvl w:val="0"/>
          <w:numId w:val="10"/>
        </w:numPr>
      </w:pPr>
      <w:r w:rsidRPr="00364111">
        <w:t>‘balancing energy pricing period’ (</w:t>
      </w:r>
      <w:r w:rsidRPr="0096744B">
        <w:rPr>
          <w:szCs w:val="22"/>
          <w:lang w:eastAsia="en-US"/>
        </w:rPr>
        <w:t>hereafter referred to as</w:t>
      </w:r>
      <w:r w:rsidRPr="0096744B">
        <w:rPr>
          <w:lang w:eastAsia="en-US"/>
        </w:rPr>
        <w:t xml:space="preserve"> </w:t>
      </w:r>
      <w:r>
        <w:rPr>
          <w:lang w:eastAsia="en-US"/>
        </w:rPr>
        <w:t>“</w:t>
      </w:r>
      <w:r w:rsidRPr="00364111">
        <w:t>BEPP</w:t>
      </w:r>
      <w:r>
        <w:t>”</w:t>
      </w:r>
      <w:r w:rsidRPr="00364111">
        <w:t>) means</w:t>
      </w:r>
      <w:r>
        <w:t xml:space="preserve"> a time interval for which cross-border marginal prices (hereafter referred to as </w:t>
      </w:r>
      <w:r>
        <w:rPr>
          <w:lang w:eastAsia="en-US"/>
        </w:rPr>
        <w:t>“</w:t>
      </w:r>
      <w:r>
        <w:t>CBMP”) are calculated.</w:t>
      </w:r>
    </w:p>
    <w:p w14:paraId="53DFECFA" w14:textId="77777777" w:rsidR="00EF7E50" w:rsidRDefault="00EF7E50" w:rsidP="00EF7E50">
      <w:pPr>
        <w:pStyle w:val="ListParagraph"/>
        <w:numPr>
          <w:ilvl w:val="0"/>
          <w:numId w:val="10"/>
        </w:numPr>
      </w:pPr>
      <w:r>
        <w:t>‘CBMP’ means the cross-border marginal price calculated in accordance with the pricing proposal.</w:t>
      </w:r>
    </w:p>
    <w:p w14:paraId="6C450ED0" w14:textId="4FF9B62D" w:rsidR="00645A76" w:rsidRDefault="00645A76" w:rsidP="00645A76">
      <w:pPr>
        <w:pStyle w:val="ListParagraph"/>
        <w:numPr>
          <w:ilvl w:val="0"/>
          <w:numId w:val="10"/>
        </w:numPr>
      </w:pPr>
      <w:r w:rsidRPr="00364111">
        <w:t>‘</w:t>
      </w:r>
      <w:r>
        <w:t>cross-border capacity limits</w:t>
      </w:r>
      <w:r w:rsidRPr="00364111">
        <w:t xml:space="preserve">’ </w:t>
      </w:r>
      <w:r>
        <w:t xml:space="preserve">means the limits determined in accordance with the implementation frameworks </w:t>
      </w:r>
      <w:r w:rsidRPr="001B5860">
        <w:t xml:space="preserve">for the exchange of balancing energy from </w:t>
      </w:r>
      <w:r>
        <w:t xml:space="preserve">replacement reserves, from </w:t>
      </w:r>
      <w:r w:rsidRPr="001B5860">
        <w:t xml:space="preserve">frequency restoration reserves with manual </w:t>
      </w:r>
      <w:r>
        <w:t xml:space="preserve">and automatic </w:t>
      </w:r>
      <w:r w:rsidRPr="001B5860">
        <w:t>activation</w:t>
      </w:r>
      <w:r>
        <w:t xml:space="preserve"> as well as for the imbalance netting process.</w:t>
      </w:r>
    </w:p>
    <w:p w14:paraId="39CEBE21" w14:textId="35834F61" w:rsidR="006C45A4" w:rsidRDefault="006C45A4" w:rsidP="006C45A4">
      <w:pPr>
        <w:pStyle w:val="ListParagraph"/>
        <w:numPr>
          <w:ilvl w:val="0"/>
          <w:numId w:val="10"/>
        </w:numPr>
      </w:pPr>
      <w:r w:rsidRPr="006C45A4">
        <w:t>‘demand’ means a TSO demand for activation of any balancing standard product bids</w:t>
      </w:r>
    </w:p>
    <w:p w14:paraId="74C41CD0" w14:textId="5D712822" w:rsidR="00E246EF" w:rsidRPr="00364111" w:rsidRDefault="00E246EF" w:rsidP="00E246EF">
      <w:pPr>
        <w:pStyle w:val="ListParagraph"/>
        <w:numPr>
          <w:ilvl w:val="0"/>
          <w:numId w:val="10"/>
        </w:numPr>
      </w:pPr>
      <w:r w:rsidRPr="00E246EF">
        <w:t>‘direct activation’</w:t>
      </w:r>
      <w:r>
        <w:t xml:space="preserve"> </w:t>
      </w:r>
      <w:r w:rsidRPr="00E246EF">
        <w:t>means a mFRR-Platform process that can occur at any point in time to resolve large imbalances within the Time To Restore Frequency</w:t>
      </w:r>
    </w:p>
    <w:p w14:paraId="2C71C745" w14:textId="0251C1E4" w:rsidR="004F5FBE" w:rsidRDefault="004F5FBE">
      <w:pPr>
        <w:pStyle w:val="ListParagraph"/>
        <w:numPr>
          <w:ilvl w:val="0"/>
          <w:numId w:val="10"/>
        </w:numPr>
      </w:pPr>
      <w:r>
        <w:lastRenderedPageBreak/>
        <w:t xml:space="preserve">'intended exchange of balancing energy’ means </w:t>
      </w:r>
      <w:r w:rsidR="00C15084" w:rsidRPr="001B5860">
        <w:t>intended exchanges of energy as a result of</w:t>
      </w:r>
      <w:r w:rsidR="00C15084">
        <w:t xml:space="preserve"> </w:t>
      </w:r>
      <w:r w:rsidR="00C15084" w:rsidRPr="001B5860">
        <w:t>the reserve replacement process</w:t>
      </w:r>
      <w:r w:rsidR="00C15084">
        <w:t xml:space="preserve">, </w:t>
      </w:r>
      <w:r w:rsidR="00C15084" w:rsidRPr="001B5860">
        <w:t>the frequency restoration process with manual activation</w:t>
      </w:r>
      <w:r w:rsidR="00C15084">
        <w:t xml:space="preserve">, </w:t>
      </w:r>
      <w:r w:rsidR="00C15084" w:rsidRPr="001B5860">
        <w:t xml:space="preserve">the frequency restoration process with </w:t>
      </w:r>
      <w:r w:rsidR="00C15084">
        <w:t>automatic</w:t>
      </w:r>
      <w:r w:rsidR="00C15084" w:rsidRPr="001B5860">
        <w:t xml:space="preserve"> activation</w:t>
      </w:r>
      <w:r w:rsidR="00C15084">
        <w:t xml:space="preserve"> or </w:t>
      </w:r>
      <w:r w:rsidR="00C15084" w:rsidRPr="001B5860">
        <w:t xml:space="preserve">the </w:t>
      </w:r>
      <w:r w:rsidR="00C15084">
        <w:t>imbalance netting process.</w:t>
      </w:r>
    </w:p>
    <w:p w14:paraId="1587F3F7" w14:textId="795D38E3" w:rsidR="00645A76" w:rsidRDefault="00645A76" w:rsidP="00645A76">
      <w:pPr>
        <w:pStyle w:val="ListParagraph"/>
        <w:numPr>
          <w:ilvl w:val="0"/>
          <w:numId w:val="10"/>
        </w:numPr>
      </w:pPr>
      <w:r>
        <w:t>‘</w:t>
      </w:r>
      <w:r w:rsidRPr="004F5FBE">
        <w:t>IN-Platform’ means the European platform for the imbalance netting process;</w:t>
      </w:r>
    </w:p>
    <w:p w14:paraId="085C496A" w14:textId="6234FDEC" w:rsidR="003C61F4" w:rsidRPr="00790380" w:rsidRDefault="003C61F4" w:rsidP="003C61F4">
      <w:pPr>
        <w:pStyle w:val="ListParagraph"/>
        <w:numPr>
          <w:ilvl w:val="0"/>
          <w:numId w:val="10"/>
        </w:numPr>
      </w:pPr>
      <w:r w:rsidRPr="003C61F4">
        <w:t>‘implementation framework’</w:t>
      </w:r>
      <w:r>
        <w:t xml:space="preserve"> </w:t>
      </w:r>
      <w:r w:rsidRPr="003C61F4">
        <w:t>means the proposal for the European platforms pursuant to Article 19, 20, 21 and 22 of the EBGL</w:t>
      </w:r>
    </w:p>
    <w:p w14:paraId="07B9594D" w14:textId="13CD3DC3" w:rsidR="000805BF" w:rsidRDefault="000805BF" w:rsidP="00CE1A4D">
      <w:pPr>
        <w:pStyle w:val="ListParagraph"/>
        <w:numPr>
          <w:ilvl w:val="0"/>
          <w:numId w:val="10"/>
        </w:numPr>
      </w:pPr>
      <w:r>
        <w:t>‘net border balancing income’ means the balancing congestion income allocated per balancing border as defined in Article 7 of this proposal.</w:t>
      </w:r>
    </w:p>
    <w:p w14:paraId="574A65D4" w14:textId="77777777" w:rsidR="00645A76" w:rsidRPr="00364111" w:rsidRDefault="00645A76" w:rsidP="00645A76">
      <w:pPr>
        <w:pStyle w:val="ListParagraph"/>
        <w:numPr>
          <w:ilvl w:val="0"/>
          <w:numId w:val="10"/>
        </w:numPr>
      </w:pPr>
      <w:r w:rsidRPr="00364111">
        <w:t>‘mFRR-Platform’ means European platform for the exchange of balancing energy from frequency restoration reserves with manual activation;</w:t>
      </w:r>
    </w:p>
    <w:p w14:paraId="5C314C7B" w14:textId="43C730E4" w:rsidR="00645A76" w:rsidRDefault="00645A76" w:rsidP="00645A76">
      <w:pPr>
        <w:pStyle w:val="ListParagraph"/>
        <w:numPr>
          <w:ilvl w:val="0"/>
          <w:numId w:val="10"/>
        </w:numPr>
      </w:pPr>
      <w:r>
        <w:t xml:space="preserve">‘mFRR balancing border’ means </w:t>
      </w:r>
      <w:r w:rsidRPr="00AB72A2">
        <w:t>a set of physical transmission lines linking adjacent bidding zones, where an LFC area consists of more than one bidding zone, or LFC areas</w:t>
      </w:r>
      <w:r>
        <w:t xml:space="preserve"> of participating TSOs</w:t>
      </w:r>
      <w:r w:rsidRPr="00AB72A2">
        <w:t xml:space="preserve">. The optimisation algorithm calculates the cross-border manual frequency restoration power exchange for each mFRR balancing border. For the purposes of the optimisation, each mFRR balancing border has a mathematically defined negative and positive direction for the manual frequency restoration power </w:t>
      </w:r>
      <w:r>
        <w:t>interchange.</w:t>
      </w:r>
    </w:p>
    <w:p w14:paraId="09884E3D" w14:textId="77777777" w:rsidR="008C334C" w:rsidRDefault="008C334C" w:rsidP="008C334C">
      <w:pPr>
        <w:pStyle w:val="ListParagraph"/>
        <w:numPr>
          <w:ilvl w:val="0"/>
          <w:numId w:val="10"/>
        </w:numPr>
      </w:pPr>
      <w:r>
        <w:t>‘pricing proposal’ (</w:t>
      </w:r>
      <w:r w:rsidRPr="0096744B">
        <w:rPr>
          <w:szCs w:val="22"/>
          <w:lang w:eastAsia="en-US"/>
        </w:rPr>
        <w:t>hereafter referred to as</w:t>
      </w:r>
      <w:r w:rsidRPr="0096744B">
        <w:rPr>
          <w:lang w:eastAsia="en-US"/>
        </w:rPr>
        <w:t xml:space="preserve"> </w:t>
      </w:r>
      <w:r>
        <w:rPr>
          <w:lang w:eastAsia="en-US"/>
        </w:rPr>
        <w:t>“</w:t>
      </w:r>
      <w:r>
        <w:t>PP”</w:t>
      </w:r>
      <w:r w:rsidRPr="00364111">
        <w:t xml:space="preserve">) </w:t>
      </w:r>
      <w:r>
        <w:t>means the proposal for the methodology to determine prices for balancing energy activated for different activation purposes and cross-zonal capacity in accordance with Article 30(1) and Article 29(3) of the EBGL.</w:t>
      </w:r>
    </w:p>
    <w:p w14:paraId="4D2E38CD" w14:textId="77777777" w:rsidR="008C334C" w:rsidRDefault="008C334C" w:rsidP="008C334C">
      <w:pPr>
        <w:pStyle w:val="ListParagraph"/>
        <w:numPr>
          <w:ilvl w:val="0"/>
          <w:numId w:val="10"/>
        </w:numPr>
      </w:pPr>
      <w:r>
        <w:t>‘participating TSO’</w:t>
      </w:r>
      <w:r w:rsidRPr="00A26D8C">
        <w:t xml:space="preserve"> means any TSO using one of more of the European platforms to exchange RR, mFRR, aFRR and/or for the INP.</w:t>
      </w:r>
    </w:p>
    <w:p w14:paraId="67F4F101" w14:textId="77777777" w:rsidR="00645A76" w:rsidRDefault="00645A76" w:rsidP="00645A76">
      <w:pPr>
        <w:pStyle w:val="ListParagraph"/>
        <w:numPr>
          <w:ilvl w:val="0"/>
          <w:numId w:val="10"/>
        </w:numPr>
      </w:pPr>
      <w:r w:rsidRPr="00790380">
        <w:t>‘price</w:t>
      </w:r>
      <w:r>
        <w:t xml:space="preserve"> </w:t>
      </w:r>
      <w:r w:rsidRPr="00790380">
        <w:t xml:space="preserve">indeterminacy’ means </w:t>
      </w:r>
      <w:r>
        <w:t>that there is no unambiguous intersection point between the consumer and supply curves.</w:t>
      </w:r>
    </w:p>
    <w:p w14:paraId="1179F3E5" w14:textId="2A9DC9C1" w:rsidR="00645A76" w:rsidRDefault="00645A76" w:rsidP="00645A76">
      <w:pPr>
        <w:pStyle w:val="ListParagraph"/>
        <w:numPr>
          <w:ilvl w:val="0"/>
          <w:numId w:val="10"/>
        </w:numPr>
      </w:pPr>
      <w:r w:rsidRPr="00364111">
        <w:t>‘RR-Platform’ means European platform for the exchange of balancing energy from replacement reserves;</w:t>
      </w:r>
    </w:p>
    <w:p w14:paraId="01E035BB" w14:textId="78476EBA" w:rsidR="00645A76" w:rsidRDefault="00645A76" w:rsidP="00645A76">
      <w:pPr>
        <w:pStyle w:val="ListParagraph"/>
        <w:numPr>
          <w:ilvl w:val="0"/>
          <w:numId w:val="10"/>
        </w:numPr>
      </w:pPr>
      <w:r>
        <w:t xml:space="preserve">‘RR balancing border’ means </w:t>
      </w:r>
      <w:r w:rsidRPr="00AB72A2">
        <w:t xml:space="preserve">a set of physical transmission lines linking adjacent bidding zones, </w:t>
      </w:r>
      <w:r>
        <w:t>of participating TSOs</w:t>
      </w:r>
      <w:r w:rsidRPr="00AB72A2">
        <w:t xml:space="preserve">. The optimisation algorithm calculates the cross-border </w:t>
      </w:r>
      <w:r>
        <w:t>reserve replacement</w:t>
      </w:r>
      <w:r w:rsidRPr="00AB72A2">
        <w:t xml:space="preserve"> power exchange for each RR balancing border. For the purposes of the optimisation, each RR balancing border has a mathematically defined negative and positive direction for the manual frequency restoration power </w:t>
      </w:r>
      <w:r>
        <w:t>interchange.</w:t>
      </w:r>
    </w:p>
    <w:p w14:paraId="7A0B64D9" w14:textId="77777777" w:rsidR="00645A76" w:rsidRPr="00364111" w:rsidRDefault="00645A76" w:rsidP="00645A76">
      <w:pPr>
        <w:pStyle w:val="ListParagraph"/>
        <w:numPr>
          <w:ilvl w:val="0"/>
          <w:numId w:val="10"/>
        </w:numPr>
      </w:pPr>
      <w:r w:rsidRPr="00364111">
        <w:t>‘standard aFRR balancing energy product’ means the standard product for balancing energy from frequency restoration reserves with automatic activation;</w:t>
      </w:r>
      <w:r>
        <w:tab/>
      </w:r>
    </w:p>
    <w:p w14:paraId="2228D178" w14:textId="77777777" w:rsidR="00645A76" w:rsidRPr="00364111" w:rsidRDefault="00645A76" w:rsidP="00645A76">
      <w:pPr>
        <w:pStyle w:val="ListParagraph"/>
        <w:numPr>
          <w:ilvl w:val="0"/>
          <w:numId w:val="10"/>
        </w:numPr>
      </w:pPr>
      <w:r w:rsidRPr="00364111">
        <w:t>‘standard mFRR balancing energy product’ means the standard product for balancing energy from frequency restoration reserves with manual activation;</w:t>
      </w:r>
    </w:p>
    <w:p w14:paraId="678F2856" w14:textId="0B38E27B" w:rsidR="00645A76" w:rsidRDefault="00645A76" w:rsidP="00645A76">
      <w:pPr>
        <w:pStyle w:val="ListParagraph"/>
        <w:numPr>
          <w:ilvl w:val="0"/>
          <w:numId w:val="10"/>
        </w:numPr>
      </w:pPr>
      <w:r w:rsidRPr="00364111">
        <w:t>‘standard RR balancing energy product’ means the standard product for balancing energy from replacement reserves;</w:t>
      </w:r>
    </w:p>
    <w:p w14:paraId="01EBD752" w14:textId="77777777" w:rsidR="00645A76" w:rsidRPr="00364111" w:rsidRDefault="00645A76" w:rsidP="00645A76">
      <w:pPr>
        <w:pStyle w:val="ListParagraph"/>
        <w:numPr>
          <w:ilvl w:val="0"/>
          <w:numId w:val="10"/>
        </w:numPr>
      </w:pPr>
      <w:r w:rsidRPr="00364111">
        <w:t xml:space="preserve">‘uncongested area’ </w:t>
      </w:r>
      <w:r w:rsidRPr="0093519B">
        <w:t xml:space="preserve">means the </w:t>
      </w:r>
      <w:r>
        <w:t xml:space="preserve">widest </w:t>
      </w:r>
      <w:r w:rsidRPr="0093519B">
        <w:t xml:space="preserve">area, constituted by bidding zones and/or LFC areas, where the exchange of </w:t>
      </w:r>
      <w:r>
        <w:t>balancing energy</w:t>
      </w:r>
      <w:r w:rsidRPr="0093519B">
        <w:t xml:space="preserve"> and the netting of demands is not restricted by the </w:t>
      </w:r>
      <w:r>
        <w:t xml:space="preserve">cross-border capacity limits calculated in accordance with the implementation frameworks </w:t>
      </w:r>
      <w:r w:rsidRPr="001B5860">
        <w:t xml:space="preserve">for the exchange of balancing energy from </w:t>
      </w:r>
      <w:r>
        <w:t xml:space="preserve">replacement reserves, from </w:t>
      </w:r>
      <w:r w:rsidRPr="001B5860">
        <w:t xml:space="preserve">frequency restoration reserves with manual </w:t>
      </w:r>
      <w:r>
        <w:t xml:space="preserve">and automatic </w:t>
      </w:r>
      <w:r w:rsidRPr="001B5860">
        <w:t>activation</w:t>
      </w:r>
      <w:r>
        <w:t xml:space="preserve"> as well as for the imbalance netting process.</w:t>
      </w:r>
      <w:r w:rsidRPr="0093519B" w:rsidDel="000C46B6">
        <w:t xml:space="preserve"> </w:t>
      </w:r>
    </w:p>
    <w:p w14:paraId="30D63FFC" w14:textId="0125337C" w:rsidR="004F245D" w:rsidRPr="00364111" w:rsidRDefault="004F245D" w:rsidP="00F01A31">
      <w:pPr>
        <w:pStyle w:val="textenumeration"/>
        <w:spacing w:before="240"/>
        <w:rPr>
          <w:lang w:eastAsia="en-US"/>
        </w:rPr>
      </w:pPr>
      <w:r w:rsidRPr="00364111">
        <w:rPr>
          <w:lang w:eastAsia="en-US"/>
        </w:rPr>
        <w:t xml:space="preserve">In </w:t>
      </w:r>
      <w:r w:rsidR="00EE5F3E" w:rsidRPr="00364111">
        <w:rPr>
          <w:lang w:eastAsia="en-US"/>
        </w:rPr>
        <w:t xml:space="preserve">the </w:t>
      </w:r>
      <w:r w:rsidR="00D63FBF">
        <w:rPr>
          <w:lang w:eastAsia="en-US"/>
        </w:rPr>
        <w:t>S</w:t>
      </w:r>
      <w:r w:rsidR="007C0C09" w:rsidRPr="00364111">
        <w:rPr>
          <w:lang w:eastAsia="en-US"/>
        </w:rPr>
        <w:t>P</w:t>
      </w:r>
      <w:r w:rsidRPr="00364111">
        <w:rPr>
          <w:lang w:eastAsia="en-US"/>
        </w:rPr>
        <w:t xml:space="preserve">, unless the context requires otherwise: </w:t>
      </w:r>
    </w:p>
    <w:p w14:paraId="30D63FFD" w14:textId="77777777" w:rsidR="004F245D" w:rsidRPr="00364111" w:rsidRDefault="004F245D" w:rsidP="00CB44D7">
      <w:pPr>
        <w:pStyle w:val="ListParagraph"/>
        <w:numPr>
          <w:ilvl w:val="0"/>
          <w:numId w:val="42"/>
        </w:numPr>
      </w:pPr>
      <w:r w:rsidRPr="00364111">
        <w:lastRenderedPageBreak/>
        <w:t xml:space="preserve">the singular indicates the plural and vice versa; </w:t>
      </w:r>
    </w:p>
    <w:p w14:paraId="30D63FFE" w14:textId="5CF4B680" w:rsidR="004F245D" w:rsidRPr="00364111" w:rsidRDefault="004F245D" w:rsidP="00CB44D7">
      <w:pPr>
        <w:pStyle w:val="ListParagraph"/>
        <w:numPr>
          <w:ilvl w:val="0"/>
          <w:numId w:val="42"/>
        </w:numPr>
      </w:pPr>
      <w:r w:rsidRPr="00364111">
        <w:t xml:space="preserve">headings are inserted for convenience only and do not affect the interpretation of </w:t>
      </w:r>
      <w:r w:rsidR="0044290A" w:rsidRPr="00364111">
        <w:t xml:space="preserve">the </w:t>
      </w:r>
      <w:r w:rsidR="00476D6A">
        <w:t>S</w:t>
      </w:r>
      <w:r w:rsidR="00383D75" w:rsidRPr="00364111">
        <w:t>P</w:t>
      </w:r>
      <w:r w:rsidRPr="00364111">
        <w:t>; and</w:t>
      </w:r>
    </w:p>
    <w:p w14:paraId="30D64000" w14:textId="61037CFC" w:rsidR="004F245D" w:rsidRPr="00F52D41" w:rsidRDefault="00D446B6" w:rsidP="00CB44D7">
      <w:pPr>
        <w:pStyle w:val="ListParagraph"/>
        <w:numPr>
          <w:ilvl w:val="0"/>
          <w:numId w:val="42"/>
        </w:numPr>
        <w:rPr>
          <w:rFonts w:ascii="Times New Roman" w:hAnsi="Times New Roman"/>
          <w:szCs w:val="22"/>
          <w:lang w:eastAsia="en-US"/>
        </w:rPr>
      </w:pPr>
      <w:r w:rsidRPr="00364111">
        <w:t xml:space="preserve">any </w:t>
      </w:r>
      <w:r w:rsidR="004F245D" w:rsidRPr="00364111">
        <w:t xml:space="preserve">reference to legislation, regulations, directives, orders, </w:t>
      </w:r>
      <w:r w:rsidR="00F82BE8" w:rsidRPr="00364111">
        <w:t xml:space="preserve">instruments, codes or any other </w:t>
      </w:r>
      <w:r w:rsidR="004F245D" w:rsidRPr="00364111">
        <w:t>enactment shall include any modification, extension or re-enactment of it when in force.</w:t>
      </w:r>
    </w:p>
    <w:p w14:paraId="5DDEBFCA" w14:textId="354556D7" w:rsidR="00ED4D3D" w:rsidRPr="004F5FBE" w:rsidRDefault="00ED4D3D" w:rsidP="00F52D41">
      <w:pPr>
        <w:pStyle w:val="NormalWeb"/>
        <w:numPr>
          <w:ilvl w:val="0"/>
          <w:numId w:val="42"/>
        </w:numPr>
        <w:rPr>
          <w:sz w:val="22"/>
          <w:lang w:val="en-US" w:eastAsia="en-GB"/>
        </w:rPr>
      </w:pPr>
      <w:r w:rsidRPr="00F52D41">
        <w:rPr>
          <w:sz w:val="22"/>
          <w:lang w:val="en-GB"/>
        </w:rPr>
        <w:t xml:space="preserve">any reference to an Article without an indication of the document shall mean a reference to the SP. </w:t>
      </w:r>
    </w:p>
    <w:p w14:paraId="30D64004" w14:textId="0300D058" w:rsidR="004F245D" w:rsidRPr="00F52D41" w:rsidRDefault="004F245D" w:rsidP="00F52D41">
      <w:pPr>
        <w:spacing w:before="240" w:after="120" w:line="260" w:lineRule="exact"/>
        <w:jc w:val="center"/>
        <w:outlineLvl w:val="1"/>
        <w:rPr>
          <w:rFonts w:ascii="Times New Roman" w:hAnsi="Times New Roman" w:cs="Arial"/>
          <w:b/>
          <w:color w:val="23236E"/>
          <w:sz w:val="24"/>
          <w:lang w:eastAsia="en-US"/>
        </w:rPr>
      </w:pPr>
      <w:bookmarkStart w:id="34" w:name="_Toc432586772"/>
      <w:bookmarkStart w:id="35" w:name="_Toc432586792"/>
      <w:bookmarkStart w:id="36" w:name="_Toc445298916"/>
      <w:bookmarkStart w:id="37" w:name="_Toc445299178"/>
      <w:bookmarkStart w:id="38" w:name="_Toc445825434"/>
      <w:bookmarkStart w:id="39" w:name="_Toc509328970"/>
      <w:bookmarkStart w:id="40" w:name="_Toc531788447"/>
      <w:r w:rsidRPr="00F52D41">
        <w:rPr>
          <w:rFonts w:ascii="Times New Roman" w:eastAsiaTheme="majorEastAsia" w:hAnsi="Times New Roman" w:cs="Arial"/>
          <w:b/>
          <w:color w:val="23236E"/>
          <w:sz w:val="24"/>
          <w:szCs w:val="28"/>
          <w:lang w:eastAsia="en-US"/>
        </w:rPr>
        <w:t xml:space="preserve">Article </w:t>
      </w:r>
      <w:r w:rsidR="005C4B15" w:rsidRPr="00F52D41">
        <w:rPr>
          <w:rFonts w:ascii="Times New Roman" w:eastAsiaTheme="majorEastAsia" w:hAnsi="Times New Roman" w:cs="Arial"/>
          <w:b/>
          <w:color w:val="23236E"/>
          <w:sz w:val="24"/>
          <w:szCs w:val="28"/>
          <w:lang w:eastAsia="en-US"/>
        </w:rPr>
        <w:t>3</w:t>
      </w:r>
      <w:r w:rsidRPr="00F52D41">
        <w:rPr>
          <w:rFonts w:ascii="Times New Roman" w:eastAsiaTheme="majorEastAsia" w:hAnsi="Times New Roman" w:cs="Arial"/>
          <w:b/>
          <w:color w:val="23236E"/>
          <w:sz w:val="24"/>
          <w:szCs w:val="28"/>
          <w:lang w:eastAsia="en-US"/>
        </w:rPr>
        <w:br/>
      </w:r>
      <w:bookmarkEnd w:id="34"/>
      <w:bookmarkEnd w:id="35"/>
      <w:bookmarkEnd w:id="36"/>
      <w:bookmarkEnd w:id="37"/>
      <w:bookmarkEnd w:id="38"/>
      <w:bookmarkEnd w:id="39"/>
      <w:r w:rsidR="00D63FBF" w:rsidRPr="00F52D41">
        <w:rPr>
          <w:rFonts w:ascii="Times New Roman" w:eastAsiaTheme="majorEastAsia" w:hAnsi="Times New Roman" w:cs="Arial"/>
          <w:b/>
          <w:color w:val="23236E"/>
          <w:sz w:val="24"/>
          <w:szCs w:val="28"/>
          <w:lang w:eastAsia="en-US"/>
        </w:rPr>
        <w:t xml:space="preserve">Settlement </w:t>
      </w:r>
      <w:r w:rsidR="008D735C" w:rsidRPr="00F52D41">
        <w:rPr>
          <w:rFonts w:ascii="Times New Roman" w:eastAsiaTheme="majorEastAsia" w:hAnsi="Times New Roman" w:cs="Arial"/>
          <w:b/>
          <w:color w:val="23236E"/>
          <w:sz w:val="24"/>
          <w:szCs w:val="28"/>
          <w:lang w:eastAsia="en-US"/>
        </w:rPr>
        <w:t>a</w:t>
      </w:r>
      <w:r w:rsidR="002A269E" w:rsidRPr="00F52D41">
        <w:rPr>
          <w:rFonts w:ascii="Times New Roman" w:eastAsiaTheme="majorEastAsia" w:hAnsi="Times New Roman" w:cs="Arial"/>
          <w:b/>
          <w:color w:val="23236E"/>
          <w:sz w:val="24"/>
          <w:szCs w:val="28"/>
          <w:lang w:eastAsia="en-US"/>
        </w:rPr>
        <w:t>mounts due to</w:t>
      </w:r>
      <w:r w:rsidR="00D63FBF" w:rsidRPr="00F52D41">
        <w:rPr>
          <w:rFonts w:ascii="Times New Roman" w:eastAsiaTheme="majorEastAsia" w:hAnsi="Times New Roman" w:cs="Arial"/>
          <w:b/>
          <w:color w:val="23236E"/>
          <w:sz w:val="24"/>
          <w:szCs w:val="28"/>
          <w:lang w:eastAsia="en-US"/>
        </w:rPr>
        <w:t xml:space="preserve"> </w:t>
      </w:r>
      <w:r w:rsidR="00AC3FE2">
        <w:rPr>
          <w:rFonts w:ascii="Times New Roman" w:eastAsiaTheme="majorEastAsia" w:hAnsi="Times New Roman" w:cs="Arial"/>
          <w:b/>
          <w:color w:val="23236E"/>
          <w:sz w:val="24"/>
          <w:szCs w:val="28"/>
          <w:lang w:eastAsia="en-US"/>
        </w:rPr>
        <w:t>the</w:t>
      </w:r>
      <w:r w:rsidR="00F105F8">
        <w:rPr>
          <w:rFonts w:ascii="Times New Roman" w:eastAsiaTheme="majorEastAsia" w:hAnsi="Times New Roman" w:cs="Arial"/>
          <w:b/>
          <w:color w:val="23236E"/>
          <w:sz w:val="24"/>
          <w:szCs w:val="28"/>
          <w:lang w:eastAsia="en-US"/>
        </w:rPr>
        <w:t xml:space="preserve"> intended</w:t>
      </w:r>
      <w:r w:rsidR="00AC3FE2">
        <w:rPr>
          <w:rFonts w:ascii="Times New Roman" w:eastAsiaTheme="majorEastAsia" w:hAnsi="Times New Roman" w:cs="Arial"/>
          <w:b/>
          <w:color w:val="23236E"/>
          <w:sz w:val="24"/>
          <w:szCs w:val="28"/>
          <w:lang w:eastAsia="en-US"/>
        </w:rPr>
        <w:t xml:space="preserve"> exchange of </w:t>
      </w:r>
      <w:r w:rsidR="008D735C" w:rsidRPr="00F52D41">
        <w:rPr>
          <w:rFonts w:ascii="Times New Roman" w:eastAsiaTheme="majorEastAsia" w:hAnsi="Times New Roman" w:cs="Arial"/>
          <w:b/>
          <w:color w:val="23236E"/>
          <w:sz w:val="24"/>
          <w:szCs w:val="28"/>
          <w:lang w:eastAsia="en-US"/>
        </w:rPr>
        <w:t>b</w:t>
      </w:r>
      <w:r w:rsidR="002A5795" w:rsidRPr="00F52D41">
        <w:rPr>
          <w:rFonts w:ascii="Times New Roman" w:eastAsiaTheme="majorEastAsia" w:hAnsi="Times New Roman" w:cs="Arial"/>
          <w:b/>
          <w:color w:val="23236E"/>
          <w:sz w:val="24"/>
          <w:szCs w:val="28"/>
          <w:lang w:eastAsia="en-US"/>
        </w:rPr>
        <w:t xml:space="preserve">alancing </w:t>
      </w:r>
      <w:r w:rsidR="008D735C" w:rsidRPr="00F52D41">
        <w:rPr>
          <w:rFonts w:ascii="Times New Roman" w:eastAsiaTheme="majorEastAsia" w:hAnsi="Times New Roman" w:cs="Arial"/>
          <w:b/>
          <w:color w:val="23236E"/>
          <w:sz w:val="24"/>
          <w:szCs w:val="28"/>
          <w:lang w:eastAsia="en-US"/>
        </w:rPr>
        <w:t>e</w:t>
      </w:r>
      <w:r w:rsidR="00D63FBF" w:rsidRPr="00F52D41">
        <w:rPr>
          <w:rFonts w:ascii="Times New Roman" w:eastAsiaTheme="majorEastAsia" w:hAnsi="Times New Roman" w:cs="Arial"/>
          <w:b/>
          <w:color w:val="23236E"/>
          <w:sz w:val="24"/>
          <w:szCs w:val="28"/>
          <w:lang w:eastAsia="en-US"/>
        </w:rPr>
        <w:t>nergy</w:t>
      </w:r>
      <w:bookmarkEnd w:id="40"/>
      <w:r w:rsidR="00D63FBF" w:rsidRPr="00F52D41">
        <w:rPr>
          <w:rFonts w:ascii="Times New Roman" w:eastAsiaTheme="majorEastAsia" w:hAnsi="Times New Roman" w:cs="Arial"/>
          <w:b/>
          <w:color w:val="23236E"/>
          <w:sz w:val="24"/>
          <w:szCs w:val="28"/>
          <w:lang w:eastAsia="en-US"/>
        </w:rPr>
        <w:t xml:space="preserve"> </w:t>
      </w:r>
    </w:p>
    <w:p w14:paraId="05EF3302" w14:textId="1A42AC4A" w:rsidR="00FE4E44" w:rsidRDefault="00FE4E44" w:rsidP="00294433">
      <w:pPr>
        <w:pStyle w:val="textenumeration"/>
        <w:ind w:left="0" w:firstLine="0"/>
        <w:rPr>
          <w:lang w:eastAsia="en-US"/>
        </w:rPr>
      </w:pPr>
      <w:r>
        <w:rPr>
          <w:lang w:eastAsia="en-US"/>
        </w:rPr>
        <w:t>The settlement amount of each</w:t>
      </w:r>
      <w:r w:rsidR="00404157">
        <w:rPr>
          <w:lang w:eastAsia="en-US"/>
        </w:rPr>
        <w:t xml:space="preserve"> participating</w:t>
      </w:r>
      <w:r>
        <w:rPr>
          <w:lang w:eastAsia="en-US"/>
        </w:rPr>
        <w:t xml:space="preserve"> TSO </w:t>
      </w:r>
      <w:r w:rsidR="00521C8E">
        <w:t>resulting from the exchange of balancing energy from RR, mFRR, aFRR</w:t>
      </w:r>
      <w:r w:rsidR="004B22A0">
        <w:t xml:space="preserve"> and INP</w:t>
      </w:r>
      <w:r w:rsidR="00521C8E">
        <w:t xml:space="preserve"> </w:t>
      </w:r>
      <w:r>
        <w:rPr>
          <w:lang w:eastAsia="en-US"/>
        </w:rPr>
        <w:t>is equal to the sum of the following components:</w:t>
      </w:r>
    </w:p>
    <w:p w14:paraId="1BC4DC19" w14:textId="56859960" w:rsidR="00FE4E44" w:rsidRDefault="00FE4E44" w:rsidP="00294433">
      <w:pPr>
        <w:pStyle w:val="ListParagraph"/>
        <w:numPr>
          <w:ilvl w:val="0"/>
          <w:numId w:val="91"/>
        </w:numPr>
      </w:pPr>
      <w:r>
        <w:t xml:space="preserve">the product of </w:t>
      </w:r>
      <w:r w:rsidR="00164940">
        <w:t xml:space="preserve">the exchanged volumes </w:t>
      </w:r>
      <w:r w:rsidR="00E81051">
        <w:t xml:space="preserve">determined in accordance with </w:t>
      </w:r>
      <w:r w:rsidR="00DF05A2" w:rsidRPr="00294433">
        <w:t xml:space="preserve">Article </w:t>
      </w:r>
      <w:r w:rsidR="0050326D">
        <w:t>4</w:t>
      </w:r>
      <w:r w:rsidR="000C5A7D">
        <w:t xml:space="preserve"> </w:t>
      </w:r>
      <w:r w:rsidR="0050326D">
        <w:t xml:space="preserve">of this SP </w:t>
      </w:r>
      <w:r w:rsidR="000C5A7D">
        <w:t>as the result of the exchange of balancing energy from RR, mFRR with scheduled activation, mFRR with direct activation and aFRR</w:t>
      </w:r>
      <w:r w:rsidR="0050326D">
        <w:t xml:space="preserve"> and the settlement prices determined in accordance with Article 5 of this SP and</w:t>
      </w:r>
      <w:r w:rsidR="00F30F2C">
        <w:t>;</w:t>
      </w:r>
    </w:p>
    <w:p w14:paraId="77F2D760" w14:textId="34253A52" w:rsidR="009144DC" w:rsidRDefault="005D196F" w:rsidP="009356C5">
      <w:pPr>
        <w:pStyle w:val="ListParagraph"/>
        <w:numPr>
          <w:ilvl w:val="0"/>
          <w:numId w:val="91"/>
        </w:numPr>
      </w:pPr>
      <w:r>
        <w:t xml:space="preserve">the settlement amounts </w:t>
      </w:r>
      <w:r w:rsidR="00B36D24">
        <w:t>as the result of the</w:t>
      </w:r>
      <w:r>
        <w:t xml:space="preserve"> activation of standard RR and mFRR balancing energy product bids for </w:t>
      </w:r>
      <w:r w:rsidR="00CE30D4">
        <w:t>system constraint</w:t>
      </w:r>
      <w:r>
        <w:t xml:space="preserve"> activation purpose</w:t>
      </w:r>
      <w:r w:rsidR="00CE30D4">
        <w:t>s</w:t>
      </w:r>
      <w:r>
        <w:t xml:space="preserve"> </w:t>
      </w:r>
      <w:r w:rsidR="00CE30D4">
        <w:t xml:space="preserve">defined </w:t>
      </w:r>
      <w:r>
        <w:t xml:space="preserve">in accordance with </w:t>
      </w:r>
      <w:r w:rsidR="00CE30D4">
        <w:t xml:space="preserve">Article 29(3) of </w:t>
      </w:r>
      <w:r w:rsidR="000C6F6D">
        <w:t xml:space="preserve">the </w:t>
      </w:r>
      <w:r w:rsidR="00CE30D4">
        <w:t>EBGL</w:t>
      </w:r>
      <w:r w:rsidR="00B36D24">
        <w:t xml:space="preserve"> and determined in accordance with Article </w:t>
      </w:r>
      <w:r w:rsidR="00E249D8">
        <w:t>6</w:t>
      </w:r>
      <w:r w:rsidR="0050326D" w:rsidRPr="0050326D">
        <w:t xml:space="preserve"> </w:t>
      </w:r>
      <w:r w:rsidR="0050326D">
        <w:t>of this SP</w:t>
      </w:r>
      <w:r w:rsidR="009356C5">
        <w:t>;</w:t>
      </w:r>
    </w:p>
    <w:p w14:paraId="6EFE6513" w14:textId="6B0CB1BE" w:rsidR="00B36D24" w:rsidRDefault="00B36D24" w:rsidP="009356C5">
      <w:pPr>
        <w:pStyle w:val="ListParagraph"/>
        <w:numPr>
          <w:ilvl w:val="0"/>
          <w:numId w:val="91"/>
        </w:numPr>
      </w:pPr>
      <w:r>
        <w:t xml:space="preserve">the settlement amounts as the result of </w:t>
      </w:r>
      <w:r w:rsidR="00DA34A0">
        <w:t xml:space="preserve">balancing </w:t>
      </w:r>
      <w:r>
        <w:t xml:space="preserve">congestion </w:t>
      </w:r>
      <w:r w:rsidR="00DA34A0">
        <w:t xml:space="preserve">income </w:t>
      </w:r>
      <w:r>
        <w:t xml:space="preserve">determined in accordance with Article </w:t>
      </w:r>
      <w:r w:rsidR="00E249D8">
        <w:t>7</w:t>
      </w:r>
      <w:r w:rsidR="0050326D">
        <w:t xml:space="preserve"> and Article 8 of this SP</w:t>
      </w:r>
      <w:r>
        <w:t>;</w:t>
      </w:r>
    </w:p>
    <w:p w14:paraId="2E765E37" w14:textId="691A34A8" w:rsidR="00EA1EDE" w:rsidRDefault="00B36D24" w:rsidP="009356C5">
      <w:pPr>
        <w:pStyle w:val="ListParagraph"/>
        <w:numPr>
          <w:ilvl w:val="0"/>
          <w:numId w:val="91"/>
        </w:numPr>
      </w:pPr>
      <w:r>
        <w:t>the settlement amoun</w:t>
      </w:r>
      <w:r w:rsidR="00E249D8">
        <w:t xml:space="preserve">ts as the result of </w:t>
      </w:r>
      <w:r w:rsidR="0050326D">
        <w:t>different prices in one uncongested area in accordance with Article </w:t>
      </w:r>
      <w:r w:rsidR="00AE27BC">
        <w:t>9</w:t>
      </w:r>
      <w:r w:rsidR="0050326D" w:rsidRPr="0050326D">
        <w:t xml:space="preserve"> </w:t>
      </w:r>
      <w:r w:rsidR="0050326D">
        <w:t>of this SP</w:t>
      </w:r>
      <w:r w:rsidR="00E249D8">
        <w:t>.</w:t>
      </w:r>
    </w:p>
    <w:p w14:paraId="5728E9C5" w14:textId="797B0F6E" w:rsidR="0050326D" w:rsidRDefault="0050326D" w:rsidP="00AE27BC">
      <w:pPr>
        <w:pStyle w:val="ListParagraph"/>
        <w:numPr>
          <w:ilvl w:val="0"/>
          <w:numId w:val="91"/>
        </w:numPr>
      </w:pPr>
      <w:r>
        <w:t>the product of the settlement prices and the exchanged volumes as the result of the exchange of balancing energy from the imbalance netting process determined in accordance with Article 10</w:t>
      </w:r>
      <w:r w:rsidRPr="0050326D">
        <w:t xml:space="preserve"> </w:t>
      </w:r>
      <w:r>
        <w:t>of this SP</w:t>
      </w:r>
      <w:r w:rsidR="00AE27BC">
        <w:t>.</w:t>
      </w:r>
    </w:p>
    <w:p w14:paraId="49A50483" w14:textId="3DF2E6AA" w:rsidR="000E6CF9" w:rsidRPr="0036244D" w:rsidRDefault="000E6CF9" w:rsidP="0036244D">
      <w:pPr>
        <w:spacing w:before="240" w:after="120" w:line="260" w:lineRule="exact"/>
        <w:jc w:val="center"/>
        <w:outlineLvl w:val="1"/>
        <w:rPr>
          <w:rFonts w:ascii="Times New Roman" w:eastAsiaTheme="majorEastAsia" w:hAnsi="Times New Roman" w:cs="Arial"/>
          <w:b/>
          <w:color w:val="23236E"/>
          <w:sz w:val="24"/>
          <w:szCs w:val="28"/>
          <w:lang w:eastAsia="en-US"/>
        </w:rPr>
      </w:pPr>
      <w:bookmarkStart w:id="41" w:name="_Toc531788448"/>
      <w:bookmarkStart w:id="42" w:name="_Hlk529296325"/>
      <w:r w:rsidRPr="0003170B">
        <w:rPr>
          <w:rFonts w:ascii="Times New Roman" w:eastAsiaTheme="majorEastAsia" w:hAnsi="Times New Roman" w:cs="Arial"/>
          <w:b/>
          <w:color w:val="23236E"/>
          <w:sz w:val="24"/>
          <w:szCs w:val="28"/>
          <w:lang w:eastAsia="en-US"/>
        </w:rPr>
        <w:t>Article 4</w:t>
      </w:r>
      <w:r w:rsidR="00A97923">
        <w:rPr>
          <w:rFonts w:ascii="Times New Roman" w:eastAsiaTheme="majorEastAsia" w:hAnsi="Times New Roman" w:cs="Arial"/>
          <w:b/>
          <w:color w:val="23236E"/>
          <w:sz w:val="24"/>
          <w:szCs w:val="28"/>
          <w:lang w:eastAsia="en-US"/>
        </w:rPr>
        <w:br/>
      </w:r>
      <w:r w:rsidR="0036244D" w:rsidRPr="0036244D">
        <w:rPr>
          <w:rFonts w:ascii="Times New Roman" w:eastAsiaTheme="majorEastAsia" w:hAnsi="Times New Roman" w:cs="Arial"/>
          <w:b/>
          <w:color w:val="23236E"/>
          <w:sz w:val="24"/>
          <w:szCs w:val="28"/>
          <w:lang w:eastAsia="en-US"/>
        </w:rPr>
        <w:t xml:space="preserve">Volumes of intended exchanges of </w:t>
      </w:r>
      <w:r w:rsidR="00E10E13">
        <w:rPr>
          <w:rFonts w:ascii="Times New Roman" w:eastAsiaTheme="majorEastAsia" w:hAnsi="Times New Roman" w:cs="Arial"/>
          <w:b/>
          <w:color w:val="23236E"/>
          <w:sz w:val="24"/>
          <w:szCs w:val="28"/>
          <w:lang w:eastAsia="en-US"/>
        </w:rPr>
        <w:t xml:space="preserve">balancing </w:t>
      </w:r>
      <w:r w:rsidR="0036244D" w:rsidRPr="0036244D">
        <w:rPr>
          <w:rFonts w:ascii="Times New Roman" w:eastAsiaTheme="majorEastAsia" w:hAnsi="Times New Roman" w:cs="Arial"/>
          <w:b/>
          <w:color w:val="23236E"/>
          <w:sz w:val="24"/>
          <w:szCs w:val="28"/>
          <w:lang w:eastAsia="en-US"/>
        </w:rPr>
        <w:t>energy</w:t>
      </w:r>
      <w:bookmarkEnd w:id="41"/>
      <w:r w:rsidR="001A42D6" w:rsidRPr="0003170B" w:rsidDel="001A42D6">
        <w:rPr>
          <w:rFonts w:ascii="Times New Roman" w:eastAsiaTheme="majorEastAsia" w:hAnsi="Times New Roman" w:cs="Arial"/>
          <w:b/>
          <w:color w:val="23236E"/>
          <w:sz w:val="24"/>
          <w:szCs w:val="28"/>
          <w:lang w:eastAsia="en-US"/>
        </w:rPr>
        <w:t xml:space="preserve"> </w:t>
      </w:r>
    </w:p>
    <w:bookmarkEnd w:id="42"/>
    <w:p w14:paraId="3A6EFAEA" w14:textId="23DDD01B" w:rsidR="00810917" w:rsidRDefault="00810917" w:rsidP="000E6CF9">
      <w:pPr>
        <w:pStyle w:val="textenumeration"/>
        <w:numPr>
          <w:ilvl w:val="0"/>
          <w:numId w:val="103"/>
        </w:numPr>
        <w:rPr>
          <w:lang w:eastAsia="en-US"/>
        </w:rPr>
      </w:pPr>
      <w:r>
        <w:rPr>
          <w:lang w:eastAsia="en-US"/>
        </w:rPr>
        <w:t xml:space="preserve">The activation optimisation function of the RR-Platform shall calculate the intended exchange of balancing energy from </w:t>
      </w:r>
      <w:r w:rsidR="00A1289B">
        <w:rPr>
          <w:lang w:eastAsia="en-US"/>
        </w:rPr>
        <w:t>RR</w:t>
      </w:r>
      <w:r>
        <w:rPr>
          <w:lang w:eastAsia="en-US"/>
        </w:rPr>
        <w:t xml:space="preserve">P for each BEPP </w:t>
      </w:r>
      <w:r w:rsidR="00A95FF0">
        <w:rPr>
          <w:lang w:eastAsia="en-US"/>
        </w:rPr>
        <w:t xml:space="preserve">and for each </w:t>
      </w:r>
      <w:r w:rsidR="00C074B8">
        <w:rPr>
          <w:lang w:eastAsia="en-US"/>
        </w:rPr>
        <w:t>RR balancing border</w:t>
      </w:r>
      <w:r w:rsidR="00A95FF0">
        <w:rPr>
          <w:lang w:eastAsia="en-US"/>
        </w:rPr>
        <w:t xml:space="preserve"> </w:t>
      </w:r>
      <w:r w:rsidR="00CC65E1">
        <w:rPr>
          <w:lang w:eastAsia="en-US"/>
        </w:rPr>
        <w:t>as</w:t>
      </w:r>
      <w:r>
        <w:rPr>
          <w:lang w:eastAsia="en-US"/>
        </w:rPr>
        <w:t xml:space="preserve"> </w:t>
      </w:r>
      <w:r w:rsidR="009C416F">
        <w:rPr>
          <w:lang w:eastAsia="en-US"/>
        </w:rPr>
        <w:t>the product of the replacement reserve power interchange value and the respective BEPP</w:t>
      </w:r>
      <w:r>
        <w:rPr>
          <w:lang w:eastAsia="en-US"/>
        </w:rPr>
        <w:t>.</w:t>
      </w:r>
    </w:p>
    <w:p w14:paraId="3EED647C" w14:textId="711317AF" w:rsidR="00865766" w:rsidRDefault="00865766" w:rsidP="000E6CF9">
      <w:pPr>
        <w:pStyle w:val="textenumeration"/>
        <w:numPr>
          <w:ilvl w:val="0"/>
          <w:numId w:val="103"/>
        </w:numPr>
        <w:rPr>
          <w:lang w:eastAsia="en-US"/>
        </w:rPr>
      </w:pPr>
      <w:r>
        <w:rPr>
          <w:lang w:eastAsia="en-US"/>
        </w:rPr>
        <w:t xml:space="preserve">The activation optimisation function of the mFRR-Platform shall calculate the intended exchange of balancing energy from mFRP with scheduled activation type for each BEPP </w:t>
      </w:r>
      <w:r w:rsidR="00A95FF0">
        <w:rPr>
          <w:lang w:eastAsia="en-US"/>
        </w:rPr>
        <w:t>and for each</w:t>
      </w:r>
      <w:r w:rsidR="00C074B8">
        <w:rPr>
          <w:lang w:eastAsia="en-US"/>
        </w:rPr>
        <w:t xml:space="preserve"> mFRR balancing border</w:t>
      </w:r>
      <w:r w:rsidR="009C416F">
        <w:rPr>
          <w:lang w:eastAsia="en-US"/>
        </w:rPr>
        <w:t xml:space="preserve"> </w:t>
      </w:r>
      <w:r w:rsidR="00CC65E1">
        <w:rPr>
          <w:lang w:eastAsia="en-US"/>
        </w:rPr>
        <w:t xml:space="preserve">as </w:t>
      </w:r>
      <w:r w:rsidR="00B16307">
        <w:rPr>
          <w:lang w:eastAsia="en-US"/>
        </w:rPr>
        <w:t xml:space="preserve">the product of the manual frequency restoration power interchange value and </w:t>
      </w:r>
      <w:r w:rsidR="009C416F">
        <w:rPr>
          <w:lang w:eastAsia="en-US"/>
        </w:rPr>
        <w:t xml:space="preserve">the respective </w:t>
      </w:r>
      <w:r w:rsidR="00B16307">
        <w:rPr>
          <w:lang w:eastAsia="en-US"/>
        </w:rPr>
        <w:t>BEPP</w:t>
      </w:r>
      <w:r w:rsidR="001D1C39">
        <w:rPr>
          <w:lang w:eastAsia="en-US"/>
        </w:rPr>
        <w:t>.</w:t>
      </w:r>
    </w:p>
    <w:p w14:paraId="05A942B8" w14:textId="3106F14F" w:rsidR="003D4D75" w:rsidRDefault="003D4D75" w:rsidP="003D4D75">
      <w:pPr>
        <w:pStyle w:val="textenumeration"/>
        <w:numPr>
          <w:ilvl w:val="0"/>
          <w:numId w:val="86"/>
        </w:numPr>
        <w:rPr>
          <w:lang w:eastAsia="en-US"/>
        </w:rPr>
      </w:pPr>
      <w:r w:rsidRPr="003D4D75">
        <w:rPr>
          <w:lang w:eastAsia="en-US"/>
        </w:rPr>
        <w:t xml:space="preserve">The activation optimisation function of the mFRR-Platform shall calculate the intended exchange of balancing energy from mFRR with direct activation type for each </w:t>
      </w:r>
      <w:r w:rsidR="000C16FD" w:rsidRPr="003D4D75">
        <w:rPr>
          <w:lang w:eastAsia="en-US"/>
        </w:rPr>
        <w:t>mFRR balancing</w:t>
      </w:r>
      <w:r w:rsidRPr="003D4D75">
        <w:rPr>
          <w:lang w:eastAsia="en-US"/>
        </w:rPr>
        <w:t xml:space="preserve"> border. </w:t>
      </w:r>
      <w:r w:rsidR="00EB4B98">
        <w:rPr>
          <w:lang w:eastAsia="en-US"/>
        </w:rPr>
        <w:t>T</w:t>
      </w:r>
      <w:r w:rsidRPr="003D4D75">
        <w:rPr>
          <w:lang w:eastAsia="en-US"/>
        </w:rPr>
        <w:t xml:space="preserve">he </w:t>
      </w:r>
      <w:r w:rsidR="00EB4B98">
        <w:rPr>
          <w:lang w:eastAsia="en-US"/>
        </w:rPr>
        <w:t xml:space="preserve">balancing </w:t>
      </w:r>
      <w:r w:rsidRPr="003D4D75">
        <w:rPr>
          <w:lang w:eastAsia="en-US"/>
        </w:rPr>
        <w:t xml:space="preserve">energy volume of a direct activation to be settled between TSOs, </w:t>
      </w:r>
      <w:r w:rsidR="00EB4B98">
        <w:rPr>
          <w:lang w:eastAsia="en-US"/>
        </w:rPr>
        <w:t>in accordance with</w:t>
      </w:r>
      <w:r w:rsidRPr="003D4D75">
        <w:rPr>
          <w:lang w:eastAsia="en-US"/>
        </w:rPr>
        <w:t xml:space="preserve"> the specified standard exchange profile </w:t>
      </w:r>
      <w:r w:rsidR="00EB4B98">
        <w:rPr>
          <w:lang w:eastAsia="en-US"/>
        </w:rPr>
        <w:t>defined in accordance with</w:t>
      </w:r>
      <w:r w:rsidRPr="003D4D75">
        <w:rPr>
          <w:lang w:eastAsia="en-US"/>
        </w:rPr>
        <w:t xml:space="preserve"> mFRRIF is distributed over two BEPPs. For the subsequent</w:t>
      </w:r>
      <w:r w:rsidR="00997DE9">
        <w:rPr>
          <w:lang w:eastAsia="en-US"/>
        </w:rPr>
        <w:t xml:space="preserve"> </w:t>
      </w:r>
      <w:r w:rsidRPr="003D4D75">
        <w:rPr>
          <w:lang w:eastAsia="en-US"/>
        </w:rPr>
        <w:t xml:space="preserve">BEPP the assigned amount equals </w:t>
      </w:r>
      <w:r w:rsidR="00100849">
        <w:rPr>
          <w:lang w:eastAsia="en-US"/>
        </w:rPr>
        <w:t>15 minutes</w:t>
      </w:r>
      <w:r w:rsidRPr="003D4D75">
        <w:rPr>
          <w:lang w:eastAsia="en-US"/>
        </w:rPr>
        <w:t xml:space="preserve"> multiplied by the </w:t>
      </w:r>
      <w:r w:rsidR="006E5059">
        <w:rPr>
          <w:lang w:eastAsia="en-US"/>
        </w:rPr>
        <w:t>manual frequency restoration power interchange value</w:t>
      </w:r>
      <w:r w:rsidRPr="003D4D75">
        <w:rPr>
          <w:lang w:eastAsia="en-US"/>
        </w:rPr>
        <w:t xml:space="preserve">. The remaining volume is attributed to the first </w:t>
      </w:r>
      <w:r w:rsidR="00997DE9">
        <w:rPr>
          <w:lang w:eastAsia="en-US"/>
        </w:rPr>
        <w:t>BEPP.</w:t>
      </w:r>
    </w:p>
    <w:p w14:paraId="0A58B526" w14:textId="3AA5CCA9" w:rsidR="007B0710" w:rsidRDefault="00CD4751" w:rsidP="000E6CF9">
      <w:pPr>
        <w:pStyle w:val="textenumeration"/>
        <w:numPr>
          <w:ilvl w:val="0"/>
          <w:numId w:val="86"/>
        </w:numPr>
        <w:rPr>
          <w:lang w:eastAsia="en-US"/>
        </w:rPr>
      </w:pPr>
      <w:r>
        <w:rPr>
          <w:lang w:eastAsia="en-US"/>
        </w:rPr>
        <w:t xml:space="preserve">The activation optimisation function of the aFRR-Platform </w:t>
      </w:r>
      <w:r w:rsidR="000E6CF9" w:rsidRPr="00294433">
        <w:rPr>
          <w:lang w:eastAsia="en-US"/>
        </w:rPr>
        <w:t xml:space="preserve">shall </w:t>
      </w:r>
      <w:r>
        <w:rPr>
          <w:lang w:eastAsia="en-US"/>
        </w:rPr>
        <w:t xml:space="preserve">calculate the intended exchange of balancing energy from aFRP for each BEPP </w:t>
      </w:r>
      <w:r w:rsidR="00A95FF0">
        <w:rPr>
          <w:lang w:eastAsia="en-US"/>
        </w:rPr>
        <w:t xml:space="preserve">and </w:t>
      </w:r>
      <w:r w:rsidR="00C074B8">
        <w:rPr>
          <w:lang w:eastAsia="en-US"/>
        </w:rPr>
        <w:t>aFRR balancing border</w:t>
      </w:r>
      <w:r w:rsidR="00F14ACF">
        <w:rPr>
          <w:lang w:eastAsia="en-US"/>
        </w:rPr>
        <w:t xml:space="preserve"> as the product of the automatic frequency restoration power interchange value and the respective BEPP.</w:t>
      </w:r>
    </w:p>
    <w:p w14:paraId="2066BBDF" w14:textId="049B75AF" w:rsidR="000E6CF9" w:rsidRDefault="007B0710" w:rsidP="000E6CF9">
      <w:pPr>
        <w:pStyle w:val="textenumeration"/>
        <w:numPr>
          <w:ilvl w:val="0"/>
          <w:numId w:val="86"/>
        </w:numPr>
        <w:rPr>
          <w:lang w:eastAsia="en-US"/>
        </w:rPr>
      </w:pPr>
      <w:r>
        <w:rPr>
          <w:lang w:eastAsia="en-US"/>
        </w:rPr>
        <w:lastRenderedPageBreak/>
        <w:t xml:space="preserve">The activation optimisation function of the IN-Platform </w:t>
      </w:r>
      <w:r w:rsidRPr="00294433">
        <w:rPr>
          <w:lang w:eastAsia="en-US"/>
        </w:rPr>
        <w:t xml:space="preserve">shall </w:t>
      </w:r>
      <w:r>
        <w:rPr>
          <w:lang w:eastAsia="en-US"/>
        </w:rPr>
        <w:t xml:space="preserve">calculate the intended exchange of balancing energy from INP </w:t>
      </w:r>
      <w:r w:rsidR="00C43E57" w:rsidRPr="002534B3">
        <w:rPr>
          <w:lang w:eastAsia="en-US"/>
        </w:rPr>
        <w:t>the</w:t>
      </w:r>
      <w:r w:rsidR="00C43E57">
        <w:rPr>
          <w:lang w:eastAsia="en-US"/>
        </w:rPr>
        <w:t xml:space="preserve"> time period defined in accordance with Article 10(</w:t>
      </w:r>
      <w:r w:rsidR="00B3177D">
        <w:rPr>
          <w:lang w:eastAsia="en-US"/>
        </w:rPr>
        <w:t>2)</w:t>
      </w:r>
      <w:r w:rsidRPr="002534B3">
        <w:rPr>
          <w:lang w:eastAsia="en-US"/>
        </w:rPr>
        <w:t xml:space="preserve"> </w:t>
      </w:r>
      <w:r w:rsidRPr="000C16FD">
        <w:rPr>
          <w:lang w:eastAsia="en-US"/>
        </w:rPr>
        <w:t>a</w:t>
      </w:r>
      <w:r>
        <w:rPr>
          <w:lang w:eastAsia="en-US"/>
        </w:rPr>
        <w:t xml:space="preserve">nd </w:t>
      </w:r>
      <w:r w:rsidR="00505861">
        <w:rPr>
          <w:lang w:eastAsia="en-US"/>
        </w:rPr>
        <w:t xml:space="preserve">per IN border </w:t>
      </w:r>
      <w:r>
        <w:rPr>
          <w:lang w:eastAsia="en-US"/>
        </w:rPr>
        <w:t xml:space="preserve">as the integral of the imbalance netting </w:t>
      </w:r>
      <w:r>
        <w:rPr>
          <w:lang w:val="en-US"/>
        </w:rPr>
        <w:t>power interchange in accordance with Article 146 of SOGL for this BEPP</w:t>
      </w:r>
      <w:r w:rsidRPr="00294433">
        <w:rPr>
          <w:lang w:eastAsia="en-US"/>
        </w:rPr>
        <w:t>.</w:t>
      </w:r>
    </w:p>
    <w:p w14:paraId="267D7477" w14:textId="1E82FF5A" w:rsidR="009A0419" w:rsidRPr="009C7EB4" w:rsidRDefault="00E249D8" w:rsidP="00F14ACF">
      <w:pPr>
        <w:pStyle w:val="textenumeration"/>
        <w:keepNext/>
        <w:spacing w:before="240" w:line="260" w:lineRule="exact"/>
        <w:ind w:left="0" w:firstLine="0"/>
        <w:jc w:val="center"/>
        <w:outlineLvl w:val="1"/>
        <w:rPr>
          <w:rFonts w:eastAsiaTheme="majorEastAsia" w:cs="Arial"/>
          <w:b/>
          <w:color w:val="23236E"/>
          <w:sz w:val="24"/>
          <w:szCs w:val="28"/>
          <w:lang w:eastAsia="en-US"/>
        </w:rPr>
      </w:pPr>
      <w:bookmarkStart w:id="43" w:name="_Toc531788449"/>
      <w:bookmarkStart w:id="44" w:name="_Hlk529296222"/>
      <w:r w:rsidRPr="0003170B">
        <w:rPr>
          <w:rFonts w:eastAsiaTheme="majorEastAsia" w:cs="Arial"/>
          <w:b/>
          <w:color w:val="23236E"/>
          <w:sz w:val="24"/>
          <w:szCs w:val="28"/>
          <w:lang w:eastAsia="en-US"/>
        </w:rPr>
        <w:t xml:space="preserve">Article </w:t>
      </w:r>
      <w:r w:rsidR="007B0710" w:rsidRPr="0003170B">
        <w:rPr>
          <w:rFonts w:eastAsiaTheme="majorEastAsia" w:cs="Arial"/>
          <w:b/>
          <w:color w:val="23236E"/>
          <w:sz w:val="24"/>
          <w:szCs w:val="28"/>
          <w:lang w:eastAsia="en-US"/>
        </w:rPr>
        <w:t>5</w:t>
      </w:r>
      <w:r w:rsidRPr="009C7EB4">
        <w:rPr>
          <w:rFonts w:eastAsiaTheme="majorEastAsia" w:cs="Arial"/>
          <w:b/>
          <w:color w:val="23236E"/>
          <w:sz w:val="24"/>
          <w:szCs w:val="28"/>
          <w:lang w:eastAsia="en-US"/>
        </w:rPr>
        <w:br/>
      </w:r>
      <w:r w:rsidRPr="00F14ACF">
        <w:rPr>
          <w:rFonts w:cs="Arial"/>
          <w:b/>
          <w:color w:val="23236E"/>
          <w:sz w:val="24"/>
          <w:lang w:eastAsia="en-US"/>
        </w:rPr>
        <w:t xml:space="preserve">Settlement </w:t>
      </w:r>
      <w:r w:rsidR="008D735C" w:rsidRPr="00F14ACF">
        <w:rPr>
          <w:rFonts w:cs="Arial"/>
          <w:b/>
          <w:color w:val="23236E"/>
          <w:sz w:val="24"/>
          <w:lang w:eastAsia="en-US"/>
        </w:rPr>
        <w:t>p</w:t>
      </w:r>
      <w:r w:rsidR="0018626C" w:rsidRPr="00F14ACF">
        <w:rPr>
          <w:rFonts w:cs="Arial"/>
          <w:b/>
          <w:color w:val="23236E"/>
          <w:sz w:val="24"/>
          <w:lang w:eastAsia="en-US"/>
        </w:rPr>
        <w:t xml:space="preserve">rice </w:t>
      </w:r>
      <w:r w:rsidR="00400D80">
        <w:rPr>
          <w:rFonts w:cs="Arial"/>
          <w:b/>
          <w:color w:val="23236E"/>
          <w:sz w:val="24"/>
          <w:lang w:eastAsia="en-US"/>
        </w:rPr>
        <w:t xml:space="preserve">and </w:t>
      </w:r>
      <w:r w:rsidRPr="00F14ACF">
        <w:rPr>
          <w:rFonts w:cs="Arial"/>
          <w:b/>
          <w:color w:val="23236E"/>
          <w:sz w:val="24"/>
          <w:lang w:eastAsia="en-US"/>
        </w:rPr>
        <w:t xml:space="preserve">of the </w:t>
      </w:r>
      <w:r w:rsidR="008D735C" w:rsidRPr="00F14ACF">
        <w:rPr>
          <w:rFonts w:cs="Arial"/>
          <w:b/>
          <w:color w:val="23236E"/>
          <w:sz w:val="24"/>
          <w:lang w:eastAsia="en-US"/>
        </w:rPr>
        <w:t>i</w:t>
      </w:r>
      <w:r w:rsidR="0018626C" w:rsidRPr="00F14ACF">
        <w:rPr>
          <w:rFonts w:cs="Arial"/>
          <w:b/>
          <w:color w:val="23236E"/>
          <w:sz w:val="24"/>
          <w:lang w:eastAsia="en-US"/>
        </w:rPr>
        <w:t xml:space="preserve">ntended </w:t>
      </w:r>
      <w:r w:rsidR="008D735C" w:rsidRPr="00F14ACF">
        <w:rPr>
          <w:rFonts w:cs="Arial"/>
          <w:b/>
          <w:color w:val="23236E"/>
          <w:sz w:val="24"/>
          <w:lang w:eastAsia="en-US"/>
        </w:rPr>
        <w:t>e</w:t>
      </w:r>
      <w:r w:rsidR="0018626C" w:rsidRPr="00F14ACF">
        <w:rPr>
          <w:rFonts w:cs="Arial"/>
          <w:b/>
          <w:color w:val="23236E"/>
          <w:sz w:val="24"/>
          <w:lang w:eastAsia="en-US"/>
        </w:rPr>
        <w:t xml:space="preserve">xchange of </w:t>
      </w:r>
      <w:r w:rsidR="008D735C" w:rsidRPr="00F14ACF">
        <w:rPr>
          <w:rFonts w:cs="Arial"/>
          <w:b/>
          <w:color w:val="23236E"/>
          <w:sz w:val="24"/>
          <w:lang w:eastAsia="en-US"/>
        </w:rPr>
        <w:t>b</w:t>
      </w:r>
      <w:r w:rsidR="0018626C" w:rsidRPr="00F14ACF">
        <w:rPr>
          <w:rFonts w:cs="Arial"/>
          <w:b/>
          <w:color w:val="23236E"/>
          <w:sz w:val="24"/>
          <w:lang w:eastAsia="en-US"/>
        </w:rPr>
        <w:t xml:space="preserve">alancing </w:t>
      </w:r>
      <w:r w:rsidR="008D735C" w:rsidRPr="00F14ACF">
        <w:rPr>
          <w:rFonts w:cs="Arial"/>
          <w:b/>
          <w:color w:val="23236E"/>
          <w:sz w:val="24"/>
          <w:lang w:eastAsia="en-US"/>
        </w:rPr>
        <w:t>e</w:t>
      </w:r>
      <w:r w:rsidR="0018626C" w:rsidRPr="00F14ACF">
        <w:rPr>
          <w:rFonts w:cs="Arial"/>
          <w:b/>
          <w:color w:val="23236E"/>
          <w:sz w:val="24"/>
          <w:lang w:eastAsia="en-US"/>
        </w:rPr>
        <w:t>nergy</w:t>
      </w:r>
      <w:bookmarkEnd w:id="43"/>
      <w:r w:rsidRPr="00F14ACF">
        <w:rPr>
          <w:rFonts w:cs="Arial"/>
          <w:b/>
          <w:color w:val="23236E"/>
          <w:sz w:val="24"/>
          <w:lang w:eastAsia="en-US"/>
        </w:rPr>
        <w:t xml:space="preserve"> </w:t>
      </w:r>
    </w:p>
    <w:bookmarkEnd w:id="44"/>
    <w:p w14:paraId="5E928AAB" w14:textId="28D9F5B2" w:rsidR="00B44CA6" w:rsidRPr="009C7EB4" w:rsidRDefault="00EA1EDE" w:rsidP="009C7EB4">
      <w:pPr>
        <w:jc w:val="both"/>
        <w:rPr>
          <w:rFonts w:asciiTheme="minorHAnsi" w:hAnsiTheme="minorHAnsi" w:cstheme="minorHAnsi"/>
        </w:rPr>
      </w:pPr>
      <w:r w:rsidRPr="009C7EB4">
        <w:rPr>
          <w:rFonts w:asciiTheme="minorHAnsi" w:hAnsiTheme="minorHAnsi" w:cstheme="minorHAnsi"/>
        </w:rPr>
        <w:t xml:space="preserve">The </w:t>
      </w:r>
      <w:r w:rsidR="00F95D0B" w:rsidRPr="009C7EB4">
        <w:rPr>
          <w:rFonts w:asciiTheme="minorHAnsi" w:hAnsiTheme="minorHAnsi" w:cstheme="minorHAnsi"/>
        </w:rPr>
        <w:t>settlement price</w:t>
      </w:r>
      <w:r w:rsidR="009356C5" w:rsidRPr="009C7EB4">
        <w:rPr>
          <w:rFonts w:asciiTheme="minorHAnsi" w:hAnsiTheme="minorHAnsi" w:cstheme="minorHAnsi"/>
        </w:rPr>
        <w:t xml:space="preserve"> for</w:t>
      </w:r>
      <w:r w:rsidR="00F95D0B" w:rsidRPr="009C7EB4">
        <w:rPr>
          <w:rFonts w:asciiTheme="minorHAnsi" w:hAnsiTheme="minorHAnsi" w:cstheme="minorHAnsi"/>
        </w:rPr>
        <w:t xml:space="preserve"> </w:t>
      </w:r>
      <w:r w:rsidR="009356C5" w:rsidRPr="009C7EB4">
        <w:rPr>
          <w:rFonts w:asciiTheme="minorHAnsi" w:hAnsiTheme="minorHAnsi" w:cstheme="minorHAnsi"/>
        </w:rPr>
        <w:t>the intended exchange of energy as result from RRP, mFRP with scheduled activation and direct activation</w:t>
      </w:r>
      <w:r w:rsidR="0018626C" w:rsidRPr="009C7EB4">
        <w:rPr>
          <w:rFonts w:asciiTheme="minorHAnsi" w:hAnsiTheme="minorHAnsi" w:cstheme="minorHAnsi"/>
        </w:rPr>
        <w:t xml:space="preserve"> and</w:t>
      </w:r>
      <w:r w:rsidR="009356C5" w:rsidRPr="009C7EB4">
        <w:rPr>
          <w:rFonts w:asciiTheme="minorHAnsi" w:hAnsiTheme="minorHAnsi" w:cstheme="minorHAnsi"/>
        </w:rPr>
        <w:t xml:space="preserve"> aFR</w:t>
      </w:r>
      <w:r w:rsidR="0018626C" w:rsidRPr="009C7EB4">
        <w:rPr>
          <w:rFonts w:asciiTheme="minorHAnsi" w:hAnsiTheme="minorHAnsi" w:cstheme="minorHAnsi"/>
        </w:rPr>
        <w:t>P</w:t>
      </w:r>
      <w:r w:rsidR="009356C5" w:rsidRPr="009C7EB4">
        <w:rPr>
          <w:rFonts w:asciiTheme="minorHAnsi" w:hAnsiTheme="minorHAnsi" w:cstheme="minorHAnsi"/>
        </w:rPr>
        <w:t xml:space="preserve"> </w:t>
      </w:r>
      <w:r w:rsidR="0018626C" w:rsidRPr="009C7EB4">
        <w:rPr>
          <w:rFonts w:asciiTheme="minorHAnsi" w:hAnsiTheme="minorHAnsi" w:cstheme="minorHAnsi"/>
        </w:rPr>
        <w:t>including</w:t>
      </w:r>
      <w:r w:rsidR="009356C5" w:rsidRPr="009C7EB4">
        <w:rPr>
          <w:rFonts w:asciiTheme="minorHAnsi" w:hAnsiTheme="minorHAnsi" w:cstheme="minorHAnsi"/>
        </w:rPr>
        <w:t xml:space="preserve"> implicit netting </w:t>
      </w:r>
      <w:r w:rsidR="00F95D0B" w:rsidRPr="009C7EB4">
        <w:rPr>
          <w:rFonts w:asciiTheme="minorHAnsi" w:hAnsiTheme="minorHAnsi" w:cstheme="minorHAnsi"/>
        </w:rPr>
        <w:t xml:space="preserve">for each </w:t>
      </w:r>
      <w:r w:rsidR="002A5110" w:rsidRPr="009C7EB4">
        <w:rPr>
          <w:rFonts w:asciiTheme="minorHAnsi" w:hAnsiTheme="minorHAnsi" w:cstheme="minorHAnsi"/>
        </w:rPr>
        <w:t>participating TSO</w:t>
      </w:r>
      <w:r w:rsidR="0042038F" w:rsidRPr="009C7EB4">
        <w:rPr>
          <w:rFonts w:asciiTheme="minorHAnsi" w:hAnsiTheme="minorHAnsi" w:cstheme="minorHAnsi"/>
        </w:rPr>
        <w:t xml:space="preserve"> </w:t>
      </w:r>
      <w:r w:rsidR="00294A52" w:rsidRPr="009C7EB4">
        <w:rPr>
          <w:rFonts w:asciiTheme="minorHAnsi" w:hAnsiTheme="minorHAnsi" w:cstheme="minorHAnsi"/>
        </w:rPr>
        <w:t>and for each BEPP</w:t>
      </w:r>
      <w:r w:rsidR="0018626C" w:rsidRPr="009C7EB4">
        <w:rPr>
          <w:rFonts w:asciiTheme="minorHAnsi" w:hAnsiTheme="minorHAnsi" w:cstheme="minorHAnsi"/>
        </w:rPr>
        <w:t xml:space="preserve"> shall be equal to </w:t>
      </w:r>
      <w:r w:rsidR="009E4410" w:rsidRPr="009C7EB4">
        <w:rPr>
          <w:rFonts w:asciiTheme="minorHAnsi" w:hAnsiTheme="minorHAnsi" w:cstheme="minorHAnsi"/>
        </w:rPr>
        <w:t xml:space="preserve">the </w:t>
      </w:r>
      <w:r w:rsidR="007B0710" w:rsidRPr="009C7EB4">
        <w:rPr>
          <w:rFonts w:asciiTheme="minorHAnsi" w:hAnsiTheme="minorHAnsi" w:cstheme="minorHAnsi"/>
        </w:rPr>
        <w:t>C</w:t>
      </w:r>
      <w:r w:rsidR="009E4410" w:rsidRPr="009C7EB4">
        <w:rPr>
          <w:rFonts w:asciiTheme="minorHAnsi" w:hAnsiTheme="minorHAnsi" w:cstheme="minorHAnsi"/>
        </w:rPr>
        <w:t>BMP</w:t>
      </w:r>
      <w:r w:rsidR="008D735C" w:rsidRPr="009C7EB4">
        <w:rPr>
          <w:rFonts w:asciiTheme="minorHAnsi" w:hAnsiTheme="minorHAnsi" w:cstheme="minorHAnsi"/>
        </w:rPr>
        <w:t xml:space="preserve"> of the corresponding standard balancing energy product</w:t>
      </w:r>
      <w:r w:rsidR="009E4410" w:rsidRPr="009C7EB4">
        <w:rPr>
          <w:rFonts w:asciiTheme="minorHAnsi" w:hAnsiTheme="minorHAnsi" w:cstheme="minorHAnsi"/>
        </w:rPr>
        <w:t xml:space="preserve"> </w:t>
      </w:r>
      <w:r w:rsidR="008D735C" w:rsidRPr="009C7EB4">
        <w:rPr>
          <w:rFonts w:asciiTheme="minorHAnsi" w:hAnsiTheme="minorHAnsi" w:cstheme="minorHAnsi"/>
        </w:rPr>
        <w:t xml:space="preserve">bids </w:t>
      </w:r>
      <w:r w:rsidR="009E4410" w:rsidRPr="009C7EB4">
        <w:rPr>
          <w:rFonts w:asciiTheme="minorHAnsi" w:hAnsiTheme="minorHAnsi" w:cstheme="minorHAnsi"/>
        </w:rPr>
        <w:t xml:space="preserve">of the corresponding </w:t>
      </w:r>
      <w:r w:rsidR="009500BE" w:rsidRPr="009C7EB4">
        <w:rPr>
          <w:rFonts w:asciiTheme="minorHAnsi" w:hAnsiTheme="minorHAnsi" w:cstheme="minorHAnsi"/>
        </w:rPr>
        <w:t>bidding zone or LFC area</w:t>
      </w:r>
      <w:r w:rsidR="000E6CF9" w:rsidRPr="009C7EB4">
        <w:rPr>
          <w:rFonts w:asciiTheme="minorHAnsi" w:hAnsiTheme="minorHAnsi" w:cstheme="minorHAnsi"/>
        </w:rPr>
        <w:t>.</w:t>
      </w:r>
    </w:p>
    <w:p w14:paraId="43417ED4" w14:textId="373EEF2C" w:rsidR="008D735C" w:rsidRPr="009C7EB4" w:rsidRDefault="008D735C" w:rsidP="008D735C">
      <w:pPr>
        <w:spacing w:before="240" w:after="120" w:line="260" w:lineRule="exact"/>
        <w:jc w:val="center"/>
        <w:outlineLvl w:val="1"/>
        <w:rPr>
          <w:rFonts w:ascii="Times New Roman" w:eastAsiaTheme="majorEastAsia" w:hAnsi="Times New Roman" w:cs="Arial"/>
          <w:b/>
          <w:color w:val="23236E"/>
          <w:sz w:val="24"/>
          <w:szCs w:val="28"/>
          <w:lang w:eastAsia="en-US"/>
        </w:rPr>
      </w:pPr>
      <w:bookmarkStart w:id="45" w:name="_Toc531788450"/>
      <w:bookmarkStart w:id="46" w:name="_Hlk529296272"/>
      <w:r w:rsidRPr="007D2F23">
        <w:rPr>
          <w:rFonts w:ascii="Times New Roman" w:eastAsiaTheme="majorEastAsia" w:hAnsi="Times New Roman" w:cs="Arial"/>
          <w:b/>
          <w:color w:val="23236E"/>
          <w:sz w:val="24"/>
          <w:szCs w:val="28"/>
          <w:lang w:eastAsia="en-US"/>
        </w:rPr>
        <w:t xml:space="preserve">Article </w:t>
      </w:r>
      <w:r w:rsidRPr="005C38E1">
        <w:rPr>
          <w:rFonts w:ascii="Times New Roman" w:eastAsiaTheme="majorEastAsia" w:hAnsi="Times New Roman" w:cs="Arial"/>
          <w:b/>
          <w:color w:val="23236E"/>
          <w:sz w:val="24"/>
          <w:szCs w:val="28"/>
          <w:lang w:eastAsia="en-US"/>
        </w:rPr>
        <w:t>6</w:t>
      </w:r>
      <w:r w:rsidRPr="009C7EB4">
        <w:rPr>
          <w:rFonts w:ascii="Times New Roman" w:eastAsiaTheme="majorEastAsia" w:hAnsi="Times New Roman" w:cs="Arial"/>
          <w:b/>
          <w:color w:val="23236E"/>
          <w:sz w:val="24"/>
          <w:szCs w:val="28"/>
          <w:lang w:eastAsia="en-US"/>
        </w:rPr>
        <w:br/>
      </w:r>
      <w:bookmarkStart w:id="47" w:name="_Hlk529296240"/>
      <w:r w:rsidRPr="009C7EB4">
        <w:rPr>
          <w:rFonts w:ascii="Times New Roman" w:eastAsiaTheme="majorEastAsia" w:hAnsi="Times New Roman" w:cs="Arial"/>
          <w:b/>
          <w:color w:val="23236E"/>
          <w:sz w:val="24"/>
          <w:szCs w:val="28"/>
          <w:lang w:eastAsia="en-US"/>
        </w:rPr>
        <w:t xml:space="preserve">Settlement of the intended balancing energy </w:t>
      </w:r>
      <w:r w:rsidR="005F71EF" w:rsidRPr="009C7EB4">
        <w:rPr>
          <w:rFonts w:ascii="Times New Roman" w:eastAsiaTheme="majorEastAsia" w:hAnsi="Times New Roman" w:cs="Arial"/>
          <w:b/>
          <w:color w:val="23236E"/>
          <w:sz w:val="24"/>
          <w:szCs w:val="28"/>
          <w:lang w:eastAsia="en-US"/>
        </w:rPr>
        <w:t>activated for</w:t>
      </w:r>
      <w:r w:rsidRPr="009C7EB4">
        <w:rPr>
          <w:rFonts w:ascii="Times New Roman" w:eastAsiaTheme="majorEastAsia" w:hAnsi="Times New Roman" w:cs="Arial"/>
          <w:b/>
          <w:color w:val="23236E"/>
          <w:sz w:val="24"/>
          <w:szCs w:val="28"/>
          <w:lang w:eastAsia="en-US"/>
        </w:rPr>
        <w:t xml:space="preserve"> system constraints purpose</w:t>
      </w:r>
      <w:r w:rsidR="005F71EF" w:rsidRPr="009C7EB4">
        <w:rPr>
          <w:rFonts w:ascii="Times New Roman" w:eastAsiaTheme="majorEastAsia" w:hAnsi="Times New Roman" w:cs="Arial"/>
          <w:b/>
          <w:color w:val="23236E"/>
          <w:sz w:val="24"/>
          <w:szCs w:val="28"/>
          <w:lang w:eastAsia="en-US"/>
        </w:rPr>
        <w:t>s</w:t>
      </w:r>
      <w:bookmarkEnd w:id="45"/>
      <w:r w:rsidRPr="009C7EB4">
        <w:rPr>
          <w:rFonts w:ascii="Times New Roman" w:eastAsiaTheme="majorEastAsia" w:hAnsi="Times New Roman" w:cs="Arial"/>
          <w:b/>
          <w:color w:val="23236E"/>
          <w:sz w:val="24"/>
          <w:szCs w:val="28"/>
          <w:lang w:eastAsia="en-US"/>
        </w:rPr>
        <w:t xml:space="preserve"> </w:t>
      </w:r>
      <w:bookmarkEnd w:id="47"/>
    </w:p>
    <w:bookmarkEnd w:id="46"/>
    <w:p w14:paraId="42AB72DE" w14:textId="625F48E6" w:rsidR="008D735C" w:rsidRDefault="008D735C" w:rsidP="008D735C">
      <w:pPr>
        <w:pStyle w:val="textenumeration"/>
        <w:numPr>
          <w:ilvl w:val="0"/>
          <w:numId w:val="145"/>
        </w:numPr>
        <w:rPr>
          <w:lang w:eastAsia="en-US"/>
        </w:rPr>
      </w:pPr>
      <w:r>
        <w:rPr>
          <w:lang w:eastAsia="en-US"/>
        </w:rPr>
        <w:t>The total settlement amount</w:t>
      </w:r>
      <w:r w:rsidR="00D25B84">
        <w:rPr>
          <w:lang w:eastAsia="en-US"/>
        </w:rPr>
        <w:t xml:space="preserve"> of the intended </w:t>
      </w:r>
      <w:r w:rsidR="00AB3F59">
        <w:rPr>
          <w:lang w:eastAsia="en-US"/>
        </w:rPr>
        <w:t xml:space="preserve">exchange of </w:t>
      </w:r>
      <w:r w:rsidR="009C7EB4">
        <w:rPr>
          <w:lang w:eastAsia="en-US"/>
        </w:rPr>
        <w:t xml:space="preserve">balancing </w:t>
      </w:r>
      <w:r w:rsidR="00D25B84">
        <w:rPr>
          <w:lang w:eastAsia="en-US"/>
        </w:rPr>
        <w:t xml:space="preserve">energy </w:t>
      </w:r>
      <w:r>
        <w:rPr>
          <w:lang w:eastAsia="en-US"/>
        </w:rPr>
        <w:t xml:space="preserve">resulting from the activation of standard RR and mFRR balancing energy product bids for system constraints activation purpose for each BEPP </w:t>
      </w:r>
      <w:r w:rsidR="004E5ECC">
        <w:rPr>
          <w:lang w:eastAsia="en-US"/>
        </w:rPr>
        <w:t xml:space="preserve">shall be determined per platform and </w:t>
      </w:r>
      <w:r>
        <w:rPr>
          <w:lang w:eastAsia="en-US"/>
        </w:rPr>
        <w:t>is equal to the sum of the following components:</w:t>
      </w:r>
    </w:p>
    <w:p w14:paraId="46627F0C" w14:textId="3E4B1FD8" w:rsidR="008D735C" w:rsidRDefault="008D735C" w:rsidP="008D735C">
      <w:pPr>
        <w:pStyle w:val="ListParagraph"/>
        <w:numPr>
          <w:ilvl w:val="0"/>
          <w:numId w:val="99"/>
        </w:numPr>
      </w:pPr>
      <w:r>
        <w:t>the product of</w:t>
      </w:r>
      <w:r w:rsidR="00805E23">
        <w:t>:</w:t>
      </w:r>
    </w:p>
    <w:p w14:paraId="4BB0C560" w14:textId="1AE265BF" w:rsidR="008D735C" w:rsidRDefault="008D735C" w:rsidP="008D735C">
      <w:pPr>
        <w:pStyle w:val="ListParagraph"/>
        <w:numPr>
          <w:ilvl w:val="1"/>
          <w:numId w:val="99"/>
        </w:numPr>
      </w:pPr>
      <w:r>
        <w:t xml:space="preserve">the </w:t>
      </w:r>
      <w:r w:rsidR="00442872">
        <w:t>volume</w:t>
      </w:r>
      <w:r w:rsidR="00F779F5">
        <w:t xml:space="preserve"> </w:t>
      </w:r>
      <w:r w:rsidR="00442872">
        <w:rPr>
          <w:lang w:eastAsia="en-US"/>
        </w:rPr>
        <w:t xml:space="preserve">of the </w:t>
      </w:r>
      <w:r w:rsidR="005F71EF">
        <w:rPr>
          <w:lang w:eastAsia="en-US"/>
        </w:rPr>
        <w:t xml:space="preserve">standard </w:t>
      </w:r>
      <w:r>
        <w:t xml:space="preserve">balancing energy </w:t>
      </w:r>
      <w:r w:rsidR="005F71EF">
        <w:t>product</w:t>
      </w:r>
      <w:r>
        <w:t xml:space="preserve"> bids selected </w:t>
      </w:r>
      <w:r w:rsidR="003862A8">
        <w:t>and</w:t>
      </w:r>
      <w:r w:rsidR="00132EB5">
        <w:t>/or</w:t>
      </w:r>
      <w:r w:rsidR="003862A8">
        <w:t xml:space="preserve"> </w:t>
      </w:r>
      <w:r w:rsidR="00132EB5">
        <w:t>satisfied</w:t>
      </w:r>
      <w:r w:rsidR="003862A8">
        <w:t xml:space="preserve"> </w:t>
      </w:r>
      <w:r w:rsidR="00132EB5">
        <w:t xml:space="preserve">elastic </w:t>
      </w:r>
      <w:r w:rsidR="003862A8">
        <w:t>demand</w:t>
      </w:r>
      <w:r w:rsidR="00132EB5">
        <w:t>s</w:t>
      </w:r>
      <w:r w:rsidR="003862A8">
        <w:t xml:space="preserve"> </w:t>
      </w:r>
      <w:r>
        <w:t>for system constraints activation purpose</w:t>
      </w:r>
      <w:r w:rsidR="00805E23">
        <w:t xml:space="preserve"> defined in accordance with Article 29(3) of the EBGL</w:t>
      </w:r>
      <w:r w:rsidR="00442872">
        <w:t xml:space="preserve"> and attributed to this BEPP</w:t>
      </w:r>
      <w:r>
        <w:t>;</w:t>
      </w:r>
    </w:p>
    <w:p w14:paraId="5790E1CB" w14:textId="27379AFA" w:rsidR="008D735C" w:rsidRDefault="008D735C" w:rsidP="008D735C">
      <w:pPr>
        <w:pStyle w:val="ListParagraph"/>
        <w:numPr>
          <w:ilvl w:val="1"/>
          <w:numId w:val="99"/>
        </w:numPr>
      </w:pPr>
      <w:r>
        <w:t xml:space="preserve">and </w:t>
      </w:r>
      <w:r w:rsidR="000C75A9">
        <w:t>the</w:t>
      </w:r>
      <w:r>
        <w:t xml:space="preserve"> difference between the balancing energy price</w:t>
      </w:r>
      <w:r w:rsidR="004248E8">
        <w:t xml:space="preserve"> </w:t>
      </w:r>
      <w:r>
        <w:t xml:space="preserve">with which the bid will be remunerated as defined by the pricing methodology in accordance with Article 30(1)(b) of </w:t>
      </w:r>
      <w:r w:rsidR="000C6F6D">
        <w:t xml:space="preserve">the </w:t>
      </w:r>
      <w:r>
        <w:t xml:space="preserve">EBGL </w:t>
      </w:r>
      <w:r w:rsidR="004248E8">
        <w:t xml:space="preserve">or the price of the elastic demand </w:t>
      </w:r>
      <w:r>
        <w:t xml:space="preserve">and the </w:t>
      </w:r>
      <w:r w:rsidR="005F71EF">
        <w:t>C</w:t>
      </w:r>
      <w:r>
        <w:t xml:space="preserve">BMP of the bidding zone or LFC area </w:t>
      </w:r>
      <w:r w:rsidR="00915442">
        <w:t>of the standard balancing energy product bids selected</w:t>
      </w:r>
      <w:r w:rsidR="00132EB5">
        <w:t xml:space="preserve"> and/or satisfied elastic demands</w:t>
      </w:r>
      <w:r w:rsidR="00915442">
        <w:t xml:space="preserve"> for system constraint purposes </w:t>
      </w:r>
      <w:r w:rsidR="00387EE3">
        <w:t>defined by</w:t>
      </w:r>
      <w:r w:rsidR="00915442">
        <w:t xml:space="preserve"> the proposal</w:t>
      </w:r>
      <w:r w:rsidR="00387EE3">
        <w:t xml:space="preserve"> </w:t>
      </w:r>
      <w:r w:rsidR="00A35505">
        <w:t>in</w:t>
      </w:r>
      <w:r w:rsidR="00387EE3">
        <w:t xml:space="preserve"> accordance with Article 30 of </w:t>
      </w:r>
      <w:r w:rsidR="004248E8">
        <w:t xml:space="preserve">the </w:t>
      </w:r>
      <w:r w:rsidR="00387EE3">
        <w:t>EBGL</w:t>
      </w:r>
      <w:r>
        <w:t>.</w:t>
      </w:r>
      <w:r w:rsidR="004444F8">
        <w:t xml:space="preserve"> </w:t>
      </w:r>
    </w:p>
    <w:p w14:paraId="72076281" w14:textId="59C20030" w:rsidR="00C749E3" w:rsidRDefault="008D735C" w:rsidP="00C749E3">
      <w:pPr>
        <w:pStyle w:val="ListParagraph"/>
        <w:numPr>
          <w:ilvl w:val="0"/>
          <w:numId w:val="99"/>
        </w:numPr>
      </w:pPr>
      <w:r>
        <w:t xml:space="preserve">costs resulting from the non-intuitive balancing energy flows on the borders due to </w:t>
      </w:r>
      <w:r w:rsidR="00C749E3">
        <w:t>selection</w:t>
      </w:r>
      <w:r>
        <w:t xml:space="preserve"> of bids for system constraints</w:t>
      </w:r>
      <w:r w:rsidR="00C749E3">
        <w:t xml:space="preserve"> purpose</w:t>
      </w:r>
      <w:r>
        <w:t>.</w:t>
      </w:r>
    </w:p>
    <w:p w14:paraId="0CE6A59F" w14:textId="6230F24F" w:rsidR="00F1303D" w:rsidRDefault="007B6658" w:rsidP="00F1303D">
      <w:pPr>
        <w:pStyle w:val="textenumeration"/>
        <w:numPr>
          <w:ilvl w:val="0"/>
          <w:numId w:val="145"/>
        </w:numPr>
        <w:rPr>
          <w:lang w:eastAsia="en-US"/>
        </w:rPr>
      </w:pPr>
      <w:r>
        <w:rPr>
          <w:lang w:eastAsia="en-US"/>
        </w:rPr>
        <w:t xml:space="preserve">Without prejudice to </w:t>
      </w:r>
      <w:r w:rsidR="00D27B13">
        <w:rPr>
          <w:lang w:eastAsia="en-US"/>
        </w:rPr>
        <w:t xml:space="preserve">the methodology developed in accordance with </w:t>
      </w:r>
      <w:r>
        <w:rPr>
          <w:lang w:eastAsia="en-US"/>
        </w:rPr>
        <w:t>Article 74</w:t>
      </w:r>
      <w:r w:rsidR="00D27B13">
        <w:rPr>
          <w:lang w:eastAsia="en-US"/>
        </w:rPr>
        <w:t>(1)</w:t>
      </w:r>
      <w:r>
        <w:rPr>
          <w:lang w:eastAsia="en-US"/>
        </w:rPr>
        <w:t xml:space="preserve"> of CACM</w:t>
      </w:r>
      <w:r w:rsidR="0026726D">
        <w:rPr>
          <w:lang w:eastAsia="en-US"/>
        </w:rPr>
        <w:t xml:space="preserve"> or Article 76 of SOGL</w:t>
      </w:r>
      <w:r>
        <w:rPr>
          <w:lang w:eastAsia="en-US"/>
        </w:rPr>
        <w:t>, t</w:t>
      </w:r>
      <w:r w:rsidR="00F1303D" w:rsidRPr="00F1303D">
        <w:rPr>
          <w:lang w:eastAsia="en-US"/>
        </w:rPr>
        <w:t xml:space="preserve">he total settlement amount determined in accordance with </w:t>
      </w:r>
      <w:r w:rsidR="00F1303D">
        <w:rPr>
          <w:lang w:eastAsia="en-US"/>
        </w:rPr>
        <w:t>paragraph 1</w:t>
      </w:r>
      <w:r w:rsidR="00F1303D" w:rsidRPr="00F1303D">
        <w:rPr>
          <w:lang w:eastAsia="en-US"/>
        </w:rPr>
        <w:t xml:space="preserve"> shall be divided among the TSOs that have requested the activation of bids for system constraints activation purpose proportionally to the impact of the requested activation of bids for system constraints on the balancing energy exchange on the concerned border or set of borders</w:t>
      </w:r>
      <w:r w:rsidR="004444F8">
        <w:rPr>
          <w:lang w:eastAsia="en-US"/>
        </w:rPr>
        <w:t xml:space="preserve"> The additional cost resulting from the change of the selected standard balancing energy product bid volume due to activation of system constraints purposes shall not </w:t>
      </w:r>
      <w:r w:rsidR="002912A4">
        <w:rPr>
          <w:lang w:eastAsia="en-US"/>
        </w:rPr>
        <w:t>increase the settlement amount of all TSOs that have not requested the activation for this system constraints purpose.</w:t>
      </w:r>
    </w:p>
    <w:p w14:paraId="39969B4D" w14:textId="5A88D0AD" w:rsidR="00787333" w:rsidRDefault="00787333" w:rsidP="00F1303D">
      <w:pPr>
        <w:pStyle w:val="textenumeration"/>
        <w:numPr>
          <w:ilvl w:val="0"/>
          <w:numId w:val="145"/>
        </w:numPr>
        <w:rPr>
          <w:lang w:eastAsia="en-US"/>
        </w:rPr>
      </w:pPr>
      <w:r>
        <w:rPr>
          <w:lang w:eastAsia="en-US"/>
        </w:rPr>
        <w:t xml:space="preserve">In case of the TSO submitting elastic positive demand, this TSO should not pay more than the price of each elastic demand </w:t>
      </w:r>
    </w:p>
    <w:p w14:paraId="7D706532" w14:textId="44D28B02" w:rsidR="00787333" w:rsidRPr="00F1303D" w:rsidRDefault="00787333" w:rsidP="00787333">
      <w:pPr>
        <w:pStyle w:val="textenumeration"/>
        <w:numPr>
          <w:ilvl w:val="0"/>
          <w:numId w:val="145"/>
        </w:numPr>
        <w:rPr>
          <w:lang w:eastAsia="en-US"/>
        </w:rPr>
      </w:pPr>
      <w:r>
        <w:rPr>
          <w:lang w:eastAsia="en-US"/>
        </w:rPr>
        <w:t xml:space="preserve">In case of the TSO submitting elastic negative demand, this TSO should </w:t>
      </w:r>
      <w:r w:rsidRPr="00494FE9">
        <w:rPr>
          <w:lang w:eastAsia="en-US"/>
        </w:rPr>
        <w:t xml:space="preserve">not </w:t>
      </w:r>
      <w:r w:rsidR="00D43770" w:rsidRPr="00494FE9">
        <w:rPr>
          <w:lang w:eastAsia="en-US"/>
        </w:rPr>
        <w:t>receive</w:t>
      </w:r>
      <w:r>
        <w:rPr>
          <w:lang w:eastAsia="en-US"/>
        </w:rPr>
        <w:t xml:space="preserve"> less than the price of each elastic demand </w:t>
      </w:r>
    </w:p>
    <w:p w14:paraId="213ABFF8" w14:textId="7B5015C7" w:rsidR="008D78FF" w:rsidRPr="00494FE9" w:rsidRDefault="008D78FF" w:rsidP="00494FE9">
      <w:pPr>
        <w:keepNext/>
        <w:spacing w:before="240" w:after="120" w:line="260" w:lineRule="exact"/>
        <w:jc w:val="center"/>
        <w:outlineLvl w:val="1"/>
        <w:rPr>
          <w:rFonts w:ascii="Times New Roman" w:eastAsiaTheme="majorEastAsia" w:hAnsi="Times New Roman" w:cs="Arial"/>
          <w:b/>
          <w:color w:val="23236E"/>
          <w:sz w:val="24"/>
          <w:szCs w:val="28"/>
          <w:lang w:eastAsia="en-US"/>
        </w:rPr>
      </w:pPr>
      <w:bookmarkStart w:id="48" w:name="_Toc531788451"/>
      <w:bookmarkStart w:id="49" w:name="_Hlk529296251"/>
      <w:bookmarkStart w:id="50" w:name="_Toc510981210"/>
      <w:bookmarkStart w:id="51" w:name="_Toc445298921"/>
      <w:bookmarkStart w:id="52" w:name="_Toc445299183"/>
      <w:bookmarkStart w:id="53" w:name="_Toc445825439"/>
      <w:bookmarkStart w:id="54" w:name="_Toc509328984"/>
      <w:bookmarkEnd w:id="0"/>
      <w:r w:rsidRPr="0003170B">
        <w:rPr>
          <w:rFonts w:ascii="Times New Roman" w:eastAsiaTheme="majorEastAsia" w:hAnsi="Times New Roman" w:cs="Arial"/>
          <w:b/>
          <w:color w:val="23236E"/>
          <w:sz w:val="24"/>
          <w:szCs w:val="28"/>
          <w:lang w:eastAsia="en-US"/>
        </w:rPr>
        <w:lastRenderedPageBreak/>
        <w:t xml:space="preserve">Article </w:t>
      </w:r>
      <w:r w:rsidR="001F4942" w:rsidRPr="0003170B">
        <w:rPr>
          <w:rFonts w:ascii="Times New Roman" w:eastAsiaTheme="majorEastAsia" w:hAnsi="Times New Roman" w:cs="Arial"/>
          <w:b/>
          <w:color w:val="23236E"/>
          <w:sz w:val="24"/>
          <w:szCs w:val="28"/>
          <w:lang w:eastAsia="en-US"/>
        </w:rPr>
        <w:t>7</w:t>
      </w:r>
      <w:r w:rsidR="00F1303D">
        <w:rPr>
          <w:rFonts w:ascii="Times New Roman" w:eastAsiaTheme="majorEastAsia" w:hAnsi="Times New Roman" w:cs="Arial"/>
          <w:b/>
          <w:color w:val="23236E"/>
          <w:sz w:val="24"/>
          <w:szCs w:val="28"/>
          <w:lang w:eastAsia="en-US"/>
        </w:rPr>
        <w:br/>
      </w:r>
      <w:r w:rsidR="00457A0F" w:rsidRPr="00494FE9">
        <w:rPr>
          <w:rFonts w:ascii="Times New Roman" w:eastAsiaTheme="majorEastAsia" w:hAnsi="Times New Roman" w:cs="Arial"/>
          <w:b/>
          <w:color w:val="23236E"/>
          <w:sz w:val="24"/>
          <w:szCs w:val="28"/>
          <w:lang w:eastAsia="en-US"/>
        </w:rPr>
        <w:t>Process and calculation of balancing congestion income</w:t>
      </w:r>
      <w:bookmarkEnd w:id="48"/>
    </w:p>
    <w:bookmarkEnd w:id="49"/>
    <w:p w14:paraId="618A2D26" w14:textId="4DB151DF" w:rsidR="00457A0F" w:rsidRPr="00457A0F" w:rsidRDefault="00457A0F" w:rsidP="00C31BE2">
      <w:pPr>
        <w:pStyle w:val="textenumeration"/>
        <w:numPr>
          <w:ilvl w:val="0"/>
          <w:numId w:val="133"/>
        </w:numPr>
        <w:rPr>
          <w:lang w:eastAsia="en-US"/>
        </w:rPr>
      </w:pPr>
      <w:r w:rsidRPr="008432CC">
        <w:rPr>
          <w:lang w:eastAsia="en-US"/>
        </w:rPr>
        <w:t xml:space="preserve">Each platform shall calculate </w:t>
      </w:r>
      <w:r w:rsidR="000805BF">
        <w:rPr>
          <w:lang w:eastAsia="en-US"/>
        </w:rPr>
        <w:t xml:space="preserve">and collect </w:t>
      </w:r>
      <w:r w:rsidRPr="008432CC">
        <w:rPr>
          <w:lang w:eastAsia="en-US"/>
        </w:rPr>
        <w:t>the balancing congestion income</w:t>
      </w:r>
      <w:r w:rsidR="001D16F7">
        <w:rPr>
          <w:lang w:eastAsia="en-US"/>
        </w:rPr>
        <w:t xml:space="preserve"> </w:t>
      </w:r>
      <w:r w:rsidR="007B7096">
        <w:rPr>
          <w:lang w:eastAsia="en-US"/>
        </w:rPr>
        <w:t xml:space="preserve">per balancing </w:t>
      </w:r>
      <w:r w:rsidR="00E45F7B">
        <w:rPr>
          <w:lang w:eastAsia="en-US"/>
        </w:rPr>
        <w:t>border</w:t>
      </w:r>
      <w:r w:rsidR="007B7096">
        <w:rPr>
          <w:lang w:eastAsia="en-US"/>
        </w:rPr>
        <w:t xml:space="preserve"> </w:t>
      </w:r>
      <w:r w:rsidRPr="008432CC">
        <w:rPr>
          <w:lang w:eastAsia="en-US"/>
        </w:rPr>
        <w:t xml:space="preserve">generated by the exchange of balancing energy </w:t>
      </w:r>
      <w:r w:rsidR="003833AD">
        <w:rPr>
          <w:lang w:eastAsia="en-US"/>
        </w:rPr>
        <w:t xml:space="preserve">product bids </w:t>
      </w:r>
      <w:r w:rsidRPr="008432CC">
        <w:rPr>
          <w:lang w:eastAsia="en-US"/>
        </w:rPr>
        <w:t>from RR, mFRR and aFRR</w:t>
      </w:r>
      <w:r w:rsidR="002676B2">
        <w:rPr>
          <w:lang w:eastAsia="en-US"/>
        </w:rPr>
        <w:t xml:space="preserve"> respectively</w:t>
      </w:r>
      <w:r w:rsidR="004A184A">
        <w:rPr>
          <w:lang w:eastAsia="en-US"/>
        </w:rPr>
        <w:t>.</w:t>
      </w:r>
      <w:r w:rsidR="000805BF">
        <w:rPr>
          <w:lang w:eastAsia="en-US"/>
        </w:rPr>
        <w:t xml:space="preserve"> Each platform shall ensure that collected balancing congestion income is transferred to the TSOs or entities appointed by TSOs no later than two weeks after the date of the settlement. In the distribution of the balancing congestion income to the relevant TSOs or entities appointed by TSOs the rules set forth in Article 8 of this proposal shall be respected.</w:t>
      </w:r>
    </w:p>
    <w:p w14:paraId="237AC0CC" w14:textId="6E24A7B6" w:rsidR="00FA4861" w:rsidRDefault="00457A0F" w:rsidP="00CD0FB9">
      <w:pPr>
        <w:pStyle w:val="textenumeration"/>
        <w:numPr>
          <w:ilvl w:val="0"/>
          <w:numId w:val="86"/>
        </w:numPr>
        <w:rPr>
          <w:lang w:eastAsia="en-US"/>
        </w:rPr>
      </w:pPr>
      <w:r>
        <w:rPr>
          <w:lang w:eastAsia="en-US"/>
        </w:rPr>
        <w:t xml:space="preserve">For each BEPP the balancing congestion income generated on </w:t>
      </w:r>
      <w:r w:rsidR="002676B2">
        <w:rPr>
          <w:lang w:eastAsia="en-US"/>
        </w:rPr>
        <w:t xml:space="preserve">each </w:t>
      </w:r>
      <w:r w:rsidR="007B7096">
        <w:rPr>
          <w:lang w:eastAsia="en-US"/>
        </w:rPr>
        <w:t xml:space="preserve">balancing </w:t>
      </w:r>
      <w:r w:rsidR="004D5788">
        <w:rPr>
          <w:lang w:eastAsia="en-US"/>
        </w:rPr>
        <w:t>border</w:t>
      </w:r>
      <w:r>
        <w:rPr>
          <w:lang w:eastAsia="en-US"/>
        </w:rPr>
        <w:t xml:space="preserve">, </w:t>
      </w:r>
      <w:r w:rsidR="004A184A">
        <w:rPr>
          <w:lang w:eastAsia="en-US"/>
        </w:rPr>
        <w:t xml:space="preserve">in </w:t>
      </w:r>
      <w:r>
        <w:rPr>
          <w:lang w:eastAsia="en-US"/>
        </w:rPr>
        <w:t>each direction</w:t>
      </w:r>
      <w:r w:rsidR="00B21DA0">
        <w:rPr>
          <w:lang w:eastAsia="en-US"/>
        </w:rPr>
        <w:t xml:space="preserve"> of the balancing energy flow</w:t>
      </w:r>
      <w:r w:rsidR="004D5788">
        <w:rPr>
          <w:lang w:eastAsia="en-US"/>
        </w:rPr>
        <w:t xml:space="preserve"> and for each platform </w:t>
      </w:r>
      <w:r w:rsidR="002A155D">
        <w:rPr>
          <w:lang w:eastAsia="en-US"/>
        </w:rPr>
        <w:t xml:space="preserve">shall be equal to </w:t>
      </w:r>
      <w:r w:rsidR="00C32CDF">
        <w:rPr>
          <w:lang w:eastAsia="en-US"/>
        </w:rPr>
        <w:t xml:space="preserve">the </w:t>
      </w:r>
      <w:r w:rsidR="00FA4861">
        <w:rPr>
          <w:lang w:eastAsia="en-US"/>
        </w:rPr>
        <w:t>difference between:</w:t>
      </w:r>
    </w:p>
    <w:p w14:paraId="5CC99F2F" w14:textId="050CDA2F" w:rsidR="00FA4861" w:rsidRDefault="00FA4861" w:rsidP="00C36FF6">
      <w:pPr>
        <w:pStyle w:val="ListParagraph"/>
        <w:numPr>
          <w:ilvl w:val="0"/>
          <w:numId w:val="154"/>
        </w:numPr>
      </w:pPr>
      <w:r>
        <w:t xml:space="preserve">the </w:t>
      </w:r>
      <w:r w:rsidR="004D5788">
        <w:t xml:space="preserve">balancing energy </w:t>
      </w:r>
      <w:r w:rsidR="007B1421">
        <w:t>volume</w:t>
      </w:r>
      <w:r w:rsidR="004D5788">
        <w:t xml:space="preserve"> </w:t>
      </w:r>
      <w:r>
        <w:t>imported</w:t>
      </w:r>
      <w:r w:rsidR="007B7096">
        <w:t xml:space="preserve"> on the balancing border </w:t>
      </w:r>
      <w:r w:rsidR="002A155D">
        <w:t xml:space="preserve">multiplied </w:t>
      </w:r>
      <w:r w:rsidR="00C32CDF">
        <w:t xml:space="preserve">with the </w:t>
      </w:r>
      <w:r>
        <w:t>CBMP determined for the importing area, and</w:t>
      </w:r>
    </w:p>
    <w:p w14:paraId="235684DA" w14:textId="7B1AB0EA" w:rsidR="00FA4861" w:rsidRDefault="00FA4861" w:rsidP="00C36FF6">
      <w:pPr>
        <w:pStyle w:val="ListParagraph"/>
        <w:numPr>
          <w:ilvl w:val="0"/>
          <w:numId w:val="154"/>
        </w:numPr>
      </w:pPr>
      <w:r>
        <w:t>the balancing energy volume exported on the balancing border</w:t>
      </w:r>
      <w:r w:rsidR="00C32CDF">
        <w:t xml:space="preserve"> </w:t>
      </w:r>
      <w:r>
        <w:t>multiplied with the CBMP determined for the exporting area</w:t>
      </w:r>
      <w:r w:rsidR="00C32CDF">
        <w:t>.</w:t>
      </w:r>
      <w:r w:rsidR="000416F8">
        <w:t xml:space="preserve"> </w:t>
      </w:r>
    </w:p>
    <w:p w14:paraId="3F564E09" w14:textId="4C407517" w:rsidR="002A155D" w:rsidRPr="00C02BE3" w:rsidRDefault="002A155D" w:rsidP="00C02BE3">
      <w:pPr>
        <w:spacing w:before="240" w:after="120" w:line="260" w:lineRule="exact"/>
        <w:jc w:val="center"/>
        <w:outlineLvl w:val="1"/>
        <w:rPr>
          <w:rFonts w:ascii="Times New Roman" w:eastAsiaTheme="majorEastAsia" w:hAnsi="Times New Roman" w:cs="Arial"/>
          <w:b/>
          <w:color w:val="23236E"/>
          <w:sz w:val="24"/>
          <w:szCs w:val="28"/>
          <w:lang w:eastAsia="en-US"/>
        </w:rPr>
      </w:pPr>
      <w:bookmarkStart w:id="55" w:name="_Toc531788452"/>
      <w:bookmarkStart w:id="56" w:name="_Hlk529296309"/>
      <w:r w:rsidRPr="0003170B">
        <w:rPr>
          <w:rFonts w:ascii="Times New Roman" w:eastAsiaTheme="majorEastAsia" w:hAnsi="Times New Roman" w:cs="Arial"/>
          <w:b/>
          <w:color w:val="23236E"/>
          <w:sz w:val="24"/>
          <w:szCs w:val="28"/>
          <w:lang w:eastAsia="en-US"/>
        </w:rPr>
        <w:t>Article 8</w:t>
      </w:r>
      <w:r w:rsidR="00B23153">
        <w:rPr>
          <w:rFonts w:ascii="Times New Roman" w:eastAsiaTheme="majorEastAsia" w:hAnsi="Times New Roman" w:cs="Arial"/>
          <w:b/>
          <w:color w:val="23236E"/>
          <w:sz w:val="24"/>
          <w:szCs w:val="28"/>
          <w:lang w:eastAsia="en-US"/>
        </w:rPr>
        <w:br/>
      </w:r>
      <w:r w:rsidRPr="00C02BE3">
        <w:rPr>
          <w:rFonts w:ascii="Times New Roman" w:eastAsiaTheme="majorEastAsia" w:hAnsi="Times New Roman" w:cs="Arial"/>
          <w:b/>
          <w:color w:val="23236E"/>
          <w:sz w:val="24"/>
          <w:szCs w:val="28"/>
          <w:lang w:eastAsia="en-US"/>
        </w:rPr>
        <w:t>Sharing keys for balancing congestion income distribution on the border</w:t>
      </w:r>
      <w:bookmarkEnd w:id="55"/>
    </w:p>
    <w:bookmarkEnd w:id="56"/>
    <w:p w14:paraId="03E206DA" w14:textId="67A09217" w:rsidR="000805BF" w:rsidRPr="00095C7C" w:rsidRDefault="000805BF" w:rsidP="00E45F7B">
      <w:pPr>
        <w:pStyle w:val="textenumeration"/>
        <w:numPr>
          <w:ilvl w:val="0"/>
          <w:numId w:val="155"/>
        </w:numPr>
        <w:autoSpaceDE w:val="0"/>
        <w:autoSpaceDN w:val="0"/>
        <w:adjustRightInd w:val="0"/>
        <w:rPr>
          <w:rFonts w:eastAsiaTheme="minorHAnsi"/>
          <w:szCs w:val="22"/>
          <w:lang w:eastAsia="en-US"/>
        </w:rPr>
      </w:pPr>
      <w:r w:rsidRPr="00095C7C">
        <w:rPr>
          <w:rFonts w:eastAsiaTheme="minorHAnsi"/>
          <w:color w:val="000000"/>
          <w:szCs w:val="22"/>
          <w:lang w:eastAsia="en-US"/>
        </w:rPr>
        <w:t xml:space="preserve">For the </w:t>
      </w:r>
      <w:r w:rsidR="00172531" w:rsidRPr="00095C7C">
        <w:rPr>
          <w:rFonts w:eastAsiaTheme="minorHAnsi"/>
          <w:color w:val="000000"/>
          <w:szCs w:val="22"/>
          <w:lang w:eastAsia="en-US"/>
        </w:rPr>
        <w:t>balancing</w:t>
      </w:r>
      <w:r w:rsidRPr="00095C7C">
        <w:rPr>
          <w:rFonts w:eastAsiaTheme="minorHAnsi"/>
          <w:color w:val="000000"/>
          <w:szCs w:val="22"/>
          <w:lang w:eastAsia="en-US"/>
        </w:rPr>
        <w:t xml:space="preserve"> borders where balancing congestion income was calculated in accordance with the calculation of balancing congestion income set forth in Article 7 of this proposal, the TSOs on each side of the </w:t>
      </w:r>
      <w:r w:rsidR="00172531" w:rsidRPr="00095C7C">
        <w:rPr>
          <w:rFonts w:eastAsiaTheme="minorHAnsi"/>
          <w:color w:val="000000"/>
          <w:szCs w:val="22"/>
          <w:lang w:eastAsia="en-US"/>
        </w:rPr>
        <w:t>balancing border</w:t>
      </w:r>
      <w:r w:rsidRPr="00095C7C">
        <w:rPr>
          <w:rFonts w:eastAsiaTheme="minorHAnsi"/>
          <w:color w:val="000000"/>
          <w:szCs w:val="22"/>
          <w:lang w:eastAsia="en-US"/>
        </w:rPr>
        <w:t xml:space="preserve"> shall receive their share of net border balancing income</w:t>
      </w:r>
      <w:r w:rsidRPr="00095C7C">
        <w:rPr>
          <w:rFonts w:eastAsiaTheme="minorHAnsi"/>
          <w:szCs w:val="22"/>
          <w:lang w:eastAsia="en-US"/>
        </w:rPr>
        <w:t xml:space="preserve"> based on a 50%-50% sharing key. In specific cases the concerned TSOs may also use a sharing key different from 50%-50%. Such cases may involve, but are not limited to, different ownership shares or different investment costs. The percentages for these specific cases, as well as the underlying reasons are defined in Annex 1 to this proposal.</w:t>
      </w:r>
    </w:p>
    <w:p w14:paraId="1C7768C7" w14:textId="0EEB0FA3" w:rsidR="000805BF" w:rsidRPr="00095C7C" w:rsidRDefault="000805BF" w:rsidP="000805BF">
      <w:pPr>
        <w:pStyle w:val="textenumeration"/>
        <w:numPr>
          <w:ilvl w:val="0"/>
          <w:numId w:val="95"/>
        </w:numPr>
        <w:autoSpaceDE w:val="0"/>
        <w:autoSpaceDN w:val="0"/>
        <w:adjustRightInd w:val="0"/>
        <w:rPr>
          <w:rFonts w:eastAsiaTheme="minorHAnsi"/>
          <w:szCs w:val="22"/>
          <w:lang w:eastAsia="en-US"/>
        </w:rPr>
      </w:pPr>
      <w:r w:rsidRPr="00095C7C">
        <w:rPr>
          <w:rFonts w:eastAsiaTheme="minorHAnsi"/>
          <w:szCs w:val="22"/>
          <w:lang w:eastAsia="en-US"/>
        </w:rPr>
        <w:t xml:space="preserve">In case the </w:t>
      </w:r>
      <w:r w:rsidR="00172531" w:rsidRPr="00095C7C">
        <w:rPr>
          <w:rFonts w:eastAsiaTheme="minorHAnsi"/>
          <w:szCs w:val="22"/>
          <w:lang w:eastAsia="en-US"/>
        </w:rPr>
        <w:t>balancing border</w:t>
      </w:r>
      <w:r w:rsidRPr="00095C7C">
        <w:rPr>
          <w:rFonts w:eastAsiaTheme="minorHAnsi"/>
          <w:szCs w:val="22"/>
          <w:lang w:eastAsia="en-US"/>
        </w:rPr>
        <w:t xml:space="preserve"> consists of several interconnectors with different sharing keys, on which are owned by different TSOs, the net border balancing income shall be assigned first to the respective interconnectors on that </w:t>
      </w:r>
      <w:r w:rsidR="00172531" w:rsidRPr="00095C7C">
        <w:rPr>
          <w:rFonts w:eastAsiaTheme="minorHAnsi"/>
          <w:szCs w:val="22"/>
          <w:lang w:eastAsia="en-US"/>
        </w:rPr>
        <w:t>balancing border</w:t>
      </w:r>
      <w:r w:rsidRPr="00095C7C">
        <w:rPr>
          <w:rFonts w:eastAsiaTheme="minorHAnsi"/>
          <w:szCs w:val="22"/>
          <w:lang w:eastAsia="en-US"/>
        </w:rPr>
        <w:t xml:space="preserve"> based on each interconnector’s contribution to the allocated capacity. The parameters defining the contribution of each interconnector will be agreed by the TSOs on the </w:t>
      </w:r>
      <w:r w:rsidR="00172531" w:rsidRPr="00095C7C">
        <w:rPr>
          <w:rFonts w:eastAsiaTheme="minorHAnsi"/>
          <w:szCs w:val="22"/>
          <w:lang w:eastAsia="en-US"/>
        </w:rPr>
        <w:t>balancing border</w:t>
      </w:r>
      <w:r w:rsidRPr="00095C7C">
        <w:rPr>
          <w:rFonts w:eastAsiaTheme="minorHAnsi"/>
          <w:szCs w:val="22"/>
          <w:lang w:eastAsia="en-US"/>
        </w:rPr>
        <w:t>. They shall be published in a common document by ENTSO-E on its web page. The balancing congestion income assigned to each interconnector shall subsequently be shared between the TSOs on each side of the interconnector using the principles described in paragraph 1 of this article whereas the exemptions for specific interconnectors are also defined in Annex 1 to this proposal.</w:t>
      </w:r>
    </w:p>
    <w:p w14:paraId="2BFB624D" w14:textId="77777777" w:rsidR="000805BF" w:rsidRPr="00095C7C" w:rsidRDefault="000805BF" w:rsidP="000805BF">
      <w:pPr>
        <w:pStyle w:val="textenumeration"/>
        <w:numPr>
          <w:ilvl w:val="0"/>
          <w:numId w:val="95"/>
        </w:numPr>
        <w:autoSpaceDE w:val="0"/>
        <w:autoSpaceDN w:val="0"/>
        <w:adjustRightInd w:val="0"/>
        <w:rPr>
          <w:rFonts w:eastAsiaTheme="minorHAnsi"/>
          <w:szCs w:val="22"/>
          <w:lang w:eastAsia="en-US"/>
        </w:rPr>
      </w:pPr>
      <w:r w:rsidRPr="00095C7C">
        <w:rPr>
          <w:rFonts w:eastAsiaTheme="minorHAnsi"/>
          <w:szCs w:val="22"/>
          <w:lang w:eastAsia="en-US"/>
        </w:rPr>
        <w:t xml:space="preserve">The final balancing congestion income attributed to each TSO shall consist of balancing congestion income calculated pursuant to paragraph 1 to 3 of this article. </w:t>
      </w:r>
    </w:p>
    <w:p w14:paraId="44D7AA96" w14:textId="327B7F15" w:rsidR="000805BF" w:rsidRPr="00E45F7B" w:rsidRDefault="000805BF" w:rsidP="000805BF">
      <w:pPr>
        <w:pStyle w:val="textenumeration"/>
        <w:numPr>
          <w:ilvl w:val="0"/>
          <w:numId w:val="95"/>
        </w:numPr>
        <w:autoSpaceDE w:val="0"/>
        <w:autoSpaceDN w:val="0"/>
        <w:adjustRightInd w:val="0"/>
        <w:rPr>
          <w:rFonts w:eastAsiaTheme="minorHAnsi"/>
          <w:sz w:val="21"/>
          <w:szCs w:val="21"/>
          <w:lang w:eastAsia="en-US"/>
        </w:rPr>
      </w:pPr>
      <w:r w:rsidRPr="00095C7C">
        <w:rPr>
          <w:rFonts w:eastAsiaTheme="minorHAnsi"/>
          <w:szCs w:val="22"/>
          <w:lang w:eastAsia="en-US"/>
        </w:rPr>
        <w:t>In case specific interconnectors are owned by entities other than TSOs, the reference to TSOs in this article shall be understood as referring to those entities</w:t>
      </w:r>
      <w:r w:rsidRPr="00E45F7B">
        <w:rPr>
          <w:rFonts w:eastAsiaTheme="minorHAnsi"/>
          <w:sz w:val="21"/>
          <w:szCs w:val="21"/>
          <w:lang w:eastAsia="en-US"/>
        </w:rPr>
        <w:t>.</w:t>
      </w:r>
    </w:p>
    <w:p w14:paraId="53D721F6" w14:textId="356D7DE9" w:rsidR="00A94BDE" w:rsidRPr="00A97923" w:rsidRDefault="00A94BDE" w:rsidP="00A97923">
      <w:pPr>
        <w:spacing w:before="240" w:after="120" w:line="260" w:lineRule="exact"/>
        <w:jc w:val="center"/>
        <w:outlineLvl w:val="1"/>
        <w:rPr>
          <w:rFonts w:eastAsiaTheme="majorEastAsia" w:cs="Arial"/>
          <w:b/>
          <w:color w:val="23236E"/>
          <w:sz w:val="24"/>
          <w:szCs w:val="28"/>
          <w:lang w:eastAsia="en-US"/>
        </w:rPr>
      </w:pPr>
      <w:bookmarkStart w:id="57" w:name="_Toc531788453"/>
      <w:bookmarkStart w:id="58" w:name="_Hlk529296280"/>
      <w:bookmarkStart w:id="59" w:name="_Toc445298917"/>
      <w:bookmarkStart w:id="60" w:name="_Toc445299179"/>
      <w:bookmarkStart w:id="61" w:name="_Toc445825435"/>
      <w:bookmarkStart w:id="62" w:name="_Toc509328971"/>
      <w:r w:rsidRPr="0003170B">
        <w:rPr>
          <w:rFonts w:ascii="Times New Roman" w:eastAsiaTheme="majorEastAsia" w:hAnsi="Times New Roman" w:cs="Arial"/>
          <w:b/>
          <w:color w:val="23236E"/>
          <w:sz w:val="24"/>
          <w:szCs w:val="28"/>
          <w:lang w:eastAsia="en-US"/>
        </w:rPr>
        <w:t xml:space="preserve">Article </w:t>
      </w:r>
      <w:r w:rsidR="00460D94" w:rsidRPr="0003170B">
        <w:rPr>
          <w:rFonts w:ascii="Times New Roman" w:eastAsiaTheme="majorEastAsia" w:hAnsi="Times New Roman" w:cs="Arial"/>
          <w:b/>
          <w:color w:val="23236E"/>
          <w:sz w:val="24"/>
          <w:szCs w:val="28"/>
          <w:lang w:eastAsia="en-US"/>
        </w:rPr>
        <w:t>9</w:t>
      </w:r>
      <w:r w:rsidRPr="00A97923">
        <w:rPr>
          <w:rFonts w:ascii="Times New Roman" w:eastAsiaTheme="majorEastAsia" w:hAnsi="Times New Roman" w:cs="Arial"/>
          <w:b/>
          <w:color w:val="23236E"/>
          <w:sz w:val="24"/>
          <w:szCs w:val="28"/>
          <w:lang w:eastAsia="en-US"/>
        </w:rPr>
        <w:br/>
      </w:r>
      <w:bookmarkStart w:id="63" w:name="_Hlk529296233"/>
      <w:r w:rsidRPr="00A97923">
        <w:rPr>
          <w:rFonts w:ascii="Times New Roman" w:eastAsiaTheme="majorEastAsia" w:hAnsi="Times New Roman" w:cs="Arial"/>
          <w:b/>
          <w:color w:val="23236E"/>
          <w:sz w:val="24"/>
          <w:szCs w:val="28"/>
          <w:lang w:eastAsia="en-US"/>
        </w:rPr>
        <w:t xml:space="preserve">Settlement </w:t>
      </w:r>
      <w:r w:rsidR="000469CA" w:rsidRPr="00A97923">
        <w:rPr>
          <w:rFonts w:ascii="Times New Roman" w:eastAsiaTheme="majorEastAsia" w:hAnsi="Times New Roman" w:cs="Arial"/>
          <w:b/>
          <w:color w:val="23236E"/>
          <w:sz w:val="24"/>
          <w:szCs w:val="28"/>
          <w:lang w:eastAsia="en-US"/>
        </w:rPr>
        <w:t>related to price differences in an uncongested area</w:t>
      </w:r>
      <w:bookmarkEnd w:id="57"/>
      <w:bookmarkEnd w:id="63"/>
    </w:p>
    <w:bookmarkEnd w:id="58"/>
    <w:bookmarkEnd w:id="59"/>
    <w:bookmarkEnd w:id="60"/>
    <w:bookmarkEnd w:id="61"/>
    <w:bookmarkEnd w:id="62"/>
    <w:p w14:paraId="0195795F" w14:textId="04C604E8" w:rsidR="00605574" w:rsidRPr="000469CA" w:rsidRDefault="005A1EC8" w:rsidP="009824E2">
      <w:pPr>
        <w:jc w:val="both"/>
        <w:rPr>
          <w:rFonts w:eastAsiaTheme="minorHAnsi"/>
          <w:lang w:eastAsia="en-US"/>
        </w:rPr>
      </w:pPr>
      <w:r>
        <w:rPr>
          <w:rFonts w:asciiTheme="minorHAnsi" w:hAnsiTheme="minorHAnsi" w:cstheme="minorHAnsi"/>
          <w:lang w:eastAsia="en-US"/>
        </w:rPr>
        <w:t xml:space="preserve">In mFRR-Platform or RR-Platform, where </w:t>
      </w:r>
      <w:r w:rsidR="000469CA">
        <w:rPr>
          <w:rFonts w:asciiTheme="minorHAnsi" w:hAnsiTheme="minorHAnsi" w:cstheme="minorHAnsi"/>
          <w:lang w:eastAsia="en-US"/>
        </w:rPr>
        <w:t>d</w:t>
      </w:r>
      <w:r w:rsidR="000469CA" w:rsidRPr="000469CA">
        <w:rPr>
          <w:rFonts w:asciiTheme="minorHAnsi" w:hAnsiTheme="minorHAnsi" w:cstheme="minorHAnsi"/>
          <w:lang w:eastAsia="en-US"/>
        </w:rPr>
        <w:t xml:space="preserve">ifferent prices in one uncongested area occur </w:t>
      </w:r>
      <w:r>
        <w:rPr>
          <w:rFonts w:asciiTheme="minorHAnsi" w:hAnsiTheme="minorHAnsi" w:cstheme="minorHAnsi"/>
          <w:lang w:eastAsia="en-US"/>
        </w:rPr>
        <w:t>because the optimisation algorithm of the AOF</w:t>
      </w:r>
      <w:r w:rsidR="00AB1697" w:rsidRPr="000469CA">
        <w:rPr>
          <w:rFonts w:asciiTheme="minorHAnsi" w:hAnsiTheme="minorHAnsi" w:cstheme="minorHAnsi"/>
          <w:lang w:eastAsia="en-US"/>
        </w:rPr>
        <w:t xml:space="preserve"> </w:t>
      </w:r>
      <w:r w:rsidR="00AB1697" w:rsidRPr="006130F9">
        <w:rPr>
          <w:rFonts w:asciiTheme="minorHAnsi" w:hAnsiTheme="minorHAnsi" w:cstheme="minorHAnsi"/>
          <w:iCs/>
          <w:szCs w:val="22"/>
        </w:rPr>
        <w:t>combines optimisation priorities which may lead to conflict for determining the CBMP</w:t>
      </w:r>
      <w:r w:rsidR="00AB1697" w:rsidRPr="000469CA" w:rsidDel="00AB1697">
        <w:rPr>
          <w:rFonts w:asciiTheme="minorHAnsi" w:hAnsiTheme="minorHAnsi" w:cstheme="minorHAnsi"/>
          <w:lang w:eastAsia="en-US"/>
        </w:rPr>
        <w:t xml:space="preserve"> </w:t>
      </w:r>
      <w:r w:rsidR="009824E2">
        <w:rPr>
          <w:rFonts w:asciiTheme="minorHAnsi" w:hAnsiTheme="minorHAnsi" w:cstheme="minorHAnsi"/>
          <w:lang w:eastAsia="en-US"/>
        </w:rPr>
        <w:t xml:space="preserve">, the respective platform shall calculate the resulting rent as the product of the exchanged volume on the concerned border and the difference of the CBMPs. The resulting rent </w:t>
      </w:r>
      <w:r w:rsidR="003B5DED">
        <w:rPr>
          <w:rFonts w:asciiTheme="minorHAnsi" w:hAnsiTheme="minorHAnsi" w:cstheme="minorHAnsi"/>
          <w:lang w:eastAsia="en-US"/>
        </w:rPr>
        <w:t xml:space="preserve">for each platform </w:t>
      </w:r>
      <w:r w:rsidR="009824E2">
        <w:rPr>
          <w:rFonts w:asciiTheme="minorHAnsi" w:hAnsiTheme="minorHAnsi" w:cstheme="minorHAnsi"/>
          <w:lang w:eastAsia="en-US"/>
        </w:rPr>
        <w:t>shall be equally distributed between the participating TSOs.</w:t>
      </w:r>
      <w:bookmarkStart w:id="64" w:name="_Hlk529296315"/>
      <w:bookmarkEnd w:id="64"/>
    </w:p>
    <w:p w14:paraId="450139DC" w14:textId="3D566DE1" w:rsidR="00F54423" w:rsidRPr="00A06136" w:rsidRDefault="00F54423" w:rsidP="00703405">
      <w:pPr>
        <w:keepNext/>
        <w:spacing w:before="240" w:after="120" w:line="260" w:lineRule="exact"/>
        <w:jc w:val="center"/>
        <w:outlineLvl w:val="1"/>
        <w:rPr>
          <w:rFonts w:ascii="Times New Roman" w:eastAsiaTheme="majorEastAsia" w:hAnsi="Times New Roman" w:cs="Arial"/>
          <w:b/>
          <w:color w:val="23236E"/>
          <w:sz w:val="24"/>
          <w:szCs w:val="28"/>
          <w:lang w:eastAsia="en-US"/>
        </w:rPr>
      </w:pPr>
      <w:bookmarkStart w:id="65" w:name="_Toc531788454"/>
      <w:bookmarkStart w:id="66" w:name="_Hlk529296336"/>
      <w:r w:rsidRPr="0003170B">
        <w:rPr>
          <w:rFonts w:ascii="Times New Roman" w:eastAsiaTheme="majorEastAsia" w:hAnsi="Times New Roman" w:cs="Arial"/>
          <w:b/>
          <w:color w:val="23236E"/>
          <w:sz w:val="24"/>
          <w:szCs w:val="28"/>
          <w:lang w:eastAsia="en-US"/>
        </w:rPr>
        <w:lastRenderedPageBreak/>
        <w:t xml:space="preserve">Article </w:t>
      </w:r>
      <w:r w:rsidR="002676B2" w:rsidRPr="0003170B">
        <w:rPr>
          <w:rFonts w:ascii="Times New Roman" w:eastAsiaTheme="majorEastAsia" w:hAnsi="Times New Roman" w:cs="Arial"/>
          <w:b/>
          <w:color w:val="23236E"/>
          <w:sz w:val="24"/>
          <w:szCs w:val="28"/>
          <w:lang w:eastAsia="en-US"/>
        </w:rPr>
        <w:t>1</w:t>
      </w:r>
      <w:r w:rsidR="00460D94" w:rsidRPr="0003170B">
        <w:rPr>
          <w:rFonts w:ascii="Times New Roman" w:eastAsiaTheme="majorEastAsia" w:hAnsi="Times New Roman" w:cs="Arial"/>
          <w:b/>
          <w:color w:val="23236E"/>
          <w:sz w:val="24"/>
          <w:szCs w:val="28"/>
          <w:lang w:eastAsia="en-US"/>
        </w:rPr>
        <w:t>0</w:t>
      </w:r>
      <w:r w:rsidRPr="00A06136">
        <w:rPr>
          <w:rFonts w:ascii="Times New Roman" w:eastAsiaTheme="majorEastAsia" w:hAnsi="Times New Roman" w:cs="Arial"/>
          <w:b/>
          <w:color w:val="23236E"/>
          <w:sz w:val="24"/>
          <w:szCs w:val="28"/>
          <w:lang w:eastAsia="en-US"/>
        </w:rPr>
        <w:br/>
        <w:t xml:space="preserve">Settlement of the </w:t>
      </w:r>
      <w:r w:rsidR="00460D94" w:rsidRPr="00A06136">
        <w:rPr>
          <w:rFonts w:ascii="Times New Roman" w:eastAsiaTheme="majorEastAsia" w:hAnsi="Times New Roman" w:cs="Arial"/>
          <w:b/>
          <w:color w:val="23236E"/>
          <w:sz w:val="24"/>
          <w:szCs w:val="28"/>
          <w:lang w:eastAsia="en-US"/>
        </w:rPr>
        <w:t>i</w:t>
      </w:r>
      <w:r w:rsidRPr="00A06136">
        <w:rPr>
          <w:rFonts w:ascii="Times New Roman" w:eastAsiaTheme="majorEastAsia" w:hAnsi="Times New Roman" w:cs="Arial"/>
          <w:b/>
          <w:color w:val="23236E"/>
          <w:sz w:val="24"/>
          <w:szCs w:val="28"/>
          <w:lang w:eastAsia="en-US"/>
        </w:rPr>
        <w:t xml:space="preserve">ntended </w:t>
      </w:r>
      <w:r w:rsidR="00460D94" w:rsidRPr="00A06136">
        <w:rPr>
          <w:rFonts w:ascii="Times New Roman" w:eastAsiaTheme="majorEastAsia" w:hAnsi="Times New Roman" w:cs="Arial"/>
          <w:b/>
          <w:color w:val="23236E"/>
          <w:sz w:val="24"/>
          <w:szCs w:val="28"/>
          <w:lang w:eastAsia="en-US"/>
        </w:rPr>
        <w:t>e</w:t>
      </w:r>
      <w:r w:rsidRPr="00A06136">
        <w:rPr>
          <w:rFonts w:ascii="Times New Roman" w:eastAsiaTheme="majorEastAsia" w:hAnsi="Times New Roman" w:cs="Arial"/>
          <w:b/>
          <w:color w:val="23236E"/>
          <w:sz w:val="24"/>
          <w:szCs w:val="28"/>
          <w:lang w:eastAsia="en-US"/>
        </w:rPr>
        <w:t xml:space="preserve">nergy </w:t>
      </w:r>
      <w:r w:rsidR="00460D94" w:rsidRPr="00A06136">
        <w:rPr>
          <w:rFonts w:ascii="Times New Roman" w:eastAsiaTheme="majorEastAsia" w:hAnsi="Times New Roman" w:cs="Arial"/>
          <w:b/>
          <w:color w:val="23236E"/>
          <w:sz w:val="24"/>
          <w:szCs w:val="28"/>
          <w:lang w:eastAsia="en-US"/>
        </w:rPr>
        <w:t>e</w:t>
      </w:r>
      <w:r w:rsidRPr="00A06136">
        <w:rPr>
          <w:rFonts w:ascii="Times New Roman" w:eastAsiaTheme="majorEastAsia" w:hAnsi="Times New Roman" w:cs="Arial"/>
          <w:b/>
          <w:color w:val="23236E"/>
          <w:sz w:val="24"/>
          <w:szCs w:val="28"/>
          <w:lang w:eastAsia="en-US"/>
        </w:rPr>
        <w:t xml:space="preserve">xchanges as the </w:t>
      </w:r>
      <w:r w:rsidR="00460D94" w:rsidRPr="00A06136">
        <w:rPr>
          <w:rFonts w:ascii="Times New Roman" w:eastAsiaTheme="majorEastAsia" w:hAnsi="Times New Roman" w:cs="Arial"/>
          <w:b/>
          <w:color w:val="23236E"/>
          <w:sz w:val="24"/>
          <w:szCs w:val="28"/>
          <w:lang w:eastAsia="en-US"/>
        </w:rPr>
        <w:t>r</w:t>
      </w:r>
      <w:r w:rsidRPr="00A06136">
        <w:rPr>
          <w:rFonts w:ascii="Times New Roman" w:eastAsiaTheme="majorEastAsia" w:hAnsi="Times New Roman" w:cs="Arial"/>
          <w:b/>
          <w:color w:val="23236E"/>
          <w:sz w:val="24"/>
          <w:szCs w:val="28"/>
          <w:lang w:eastAsia="en-US"/>
        </w:rPr>
        <w:t>esult of the INP</w:t>
      </w:r>
      <w:bookmarkEnd w:id="65"/>
      <w:r w:rsidRPr="00A06136">
        <w:rPr>
          <w:rFonts w:ascii="Times New Roman" w:eastAsiaTheme="majorEastAsia" w:hAnsi="Times New Roman" w:cs="Arial"/>
          <w:b/>
          <w:color w:val="23236E"/>
          <w:sz w:val="24"/>
          <w:szCs w:val="28"/>
          <w:lang w:eastAsia="en-US"/>
        </w:rPr>
        <w:t xml:space="preserve"> </w:t>
      </w:r>
    </w:p>
    <w:bookmarkEnd w:id="66"/>
    <w:p w14:paraId="25AAA9F9" w14:textId="34045017" w:rsidR="00644349" w:rsidRDefault="00E0212E" w:rsidP="00F54423">
      <w:pPr>
        <w:pStyle w:val="textenumeration"/>
        <w:numPr>
          <w:ilvl w:val="0"/>
          <w:numId w:val="109"/>
        </w:numPr>
        <w:rPr>
          <w:lang w:eastAsia="en-US"/>
        </w:rPr>
      </w:pPr>
      <w:r>
        <w:rPr>
          <w:lang w:eastAsia="en-US"/>
        </w:rPr>
        <w:t>T</w:t>
      </w:r>
      <w:r w:rsidR="00644349">
        <w:rPr>
          <w:lang w:eastAsia="en-US"/>
        </w:rPr>
        <w:t xml:space="preserve">his article applies </w:t>
      </w:r>
      <w:r w:rsidR="004403ED">
        <w:rPr>
          <w:lang w:eastAsia="en-US"/>
        </w:rPr>
        <w:t xml:space="preserve">only </w:t>
      </w:r>
      <w:r w:rsidR="00644349">
        <w:rPr>
          <w:lang w:eastAsia="en-US"/>
        </w:rPr>
        <w:t xml:space="preserve">to the intended energy exchanges as the result of explicit netting in the framework of the imbalance netting platform established in accordance with Article 22 of the EBGL. </w:t>
      </w:r>
    </w:p>
    <w:p w14:paraId="5B157D78" w14:textId="5CC37CE8" w:rsidR="00F54423" w:rsidRPr="00106CE1" w:rsidRDefault="00F54423" w:rsidP="00FC6F23">
      <w:pPr>
        <w:pStyle w:val="textenumeration"/>
        <w:numPr>
          <w:ilvl w:val="0"/>
          <w:numId w:val="109"/>
        </w:numPr>
        <w:rPr>
          <w:lang w:eastAsia="en-US"/>
        </w:rPr>
      </w:pPr>
      <w:r w:rsidRPr="00106CE1">
        <w:rPr>
          <w:lang w:eastAsia="en-US"/>
        </w:rPr>
        <w:t xml:space="preserve">The </w:t>
      </w:r>
      <w:r w:rsidR="00B3177D">
        <w:rPr>
          <w:lang w:eastAsia="en-US"/>
        </w:rPr>
        <w:t xml:space="preserve">time </w:t>
      </w:r>
      <w:r w:rsidR="00466013">
        <w:rPr>
          <w:lang w:eastAsia="en-US"/>
        </w:rPr>
        <w:t xml:space="preserve">period for the calculation of </w:t>
      </w:r>
      <w:r w:rsidRPr="00106CE1">
        <w:rPr>
          <w:lang w:eastAsia="en-US"/>
        </w:rPr>
        <w:t xml:space="preserve">settlement </w:t>
      </w:r>
      <w:r w:rsidR="00466013">
        <w:rPr>
          <w:lang w:eastAsia="en-US"/>
        </w:rPr>
        <w:t>volumes and prices</w:t>
      </w:r>
      <w:r w:rsidRPr="00106CE1">
        <w:rPr>
          <w:lang w:eastAsia="en-US"/>
        </w:rPr>
        <w:t xml:space="preserve"> shall be 15 minutes starting </w:t>
      </w:r>
      <w:r w:rsidR="00741984">
        <w:rPr>
          <w:lang w:eastAsia="en-US"/>
        </w:rPr>
        <w:t>right after</w:t>
      </w:r>
      <w:r w:rsidR="00741984" w:rsidRPr="00106CE1">
        <w:rPr>
          <w:lang w:eastAsia="en-US"/>
        </w:rPr>
        <w:t xml:space="preserve"> </w:t>
      </w:r>
      <w:r w:rsidRPr="00106CE1">
        <w:rPr>
          <w:lang w:eastAsia="en-US"/>
        </w:rPr>
        <w:t>00:00 am.</w:t>
      </w:r>
      <w:r w:rsidR="0069441F">
        <w:rPr>
          <w:lang w:eastAsia="en-US"/>
        </w:rPr>
        <w:t xml:space="preserve"> The period for the calculation of settlement volumes and prices shall be equal to the BEPP of</w:t>
      </w:r>
      <w:r w:rsidR="0094155B">
        <w:rPr>
          <w:lang w:eastAsia="en-US"/>
        </w:rPr>
        <w:t xml:space="preserve"> the</w:t>
      </w:r>
      <w:r w:rsidR="0069441F">
        <w:rPr>
          <w:lang w:eastAsia="en-US"/>
        </w:rPr>
        <w:t xml:space="preserve"> aFRR</w:t>
      </w:r>
      <w:r w:rsidR="0094155B">
        <w:rPr>
          <w:lang w:eastAsia="en-US"/>
        </w:rPr>
        <w:t>-Platform</w:t>
      </w:r>
      <w:r w:rsidR="0069441F">
        <w:rPr>
          <w:lang w:eastAsia="en-US"/>
        </w:rPr>
        <w:t xml:space="preserve"> after </w:t>
      </w:r>
      <w:r w:rsidR="000B6C8D">
        <w:rPr>
          <w:lang w:eastAsia="en-US"/>
        </w:rPr>
        <w:t>all</w:t>
      </w:r>
      <w:r w:rsidR="0069441F">
        <w:rPr>
          <w:lang w:eastAsia="en-US"/>
        </w:rPr>
        <w:t xml:space="preserve"> TSOs that have to make the aFRR-Platform and the IN-Platform operational </w:t>
      </w:r>
      <w:r w:rsidR="000B6C8D">
        <w:rPr>
          <w:lang w:eastAsia="en-US"/>
        </w:rPr>
        <w:t xml:space="preserve">are participating TSOs of the aFRR-Platform but not later than </w:t>
      </w:r>
      <w:r w:rsidR="006B4625">
        <w:rPr>
          <w:lang w:eastAsia="en-US"/>
        </w:rPr>
        <w:t xml:space="preserve">by </w:t>
      </w:r>
      <w:r w:rsidR="00D81D6F">
        <w:rPr>
          <w:lang w:eastAsia="en-US"/>
        </w:rPr>
        <w:t>1st January</w:t>
      </w:r>
      <w:r w:rsidR="006B4625">
        <w:rPr>
          <w:lang w:eastAsia="en-US"/>
        </w:rPr>
        <w:t xml:space="preserve"> </w:t>
      </w:r>
      <w:r w:rsidR="000B6C8D">
        <w:rPr>
          <w:lang w:eastAsia="en-US"/>
        </w:rPr>
        <w:t>202</w:t>
      </w:r>
      <w:r w:rsidR="00D81D6F">
        <w:rPr>
          <w:lang w:eastAsia="en-US"/>
        </w:rPr>
        <w:t>4</w:t>
      </w:r>
      <w:r w:rsidR="0069441F">
        <w:rPr>
          <w:lang w:eastAsia="en-US"/>
        </w:rPr>
        <w:t>.</w:t>
      </w:r>
    </w:p>
    <w:p w14:paraId="627B488C" w14:textId="6A76354F" w:rsidR="00F54423" w:rsidRPr="00106CE1" w:rsidRDefault="00F54423" w:rsidP="006A6409">
      <w:pPr>
        <w:pStyle w:val="textenumeration"/>
        <w:numPr>
          <w:ilvl w:val="0"/>
          <w:numId w:val="109"/>
        </w:numPr>
        <w:rPr>
          <w:lang w:eastAsia="en-US"/>
        </w:rPr>
      </w:pPr>
      <w:r w:rsidRPr="00106CE1">
        <w:rPr>
          <w:lang w:eastAsia="en-US"/>
        </w:rPr>
        <w:t>The INP import and export netting volumes to be settled with each</w:t>
      </w:r>
      <w:r w:rsidR="00404157">
        <w:rPr>
          <w:lang w:eastAsia="en-US"/>
        </w:rPr>
        <w:t xml:space="preserve"> participating</w:t>
      </w:r>
      <w:r w:rsidRPr="00106CE1">
        <w:rPr>
          <w:lang w:eastAsia="en-US"/>
        </w:rPr>
        <w:t xml:space="preserve"> TSO will be determined for each settlement period by integrating (adding up) for each settlement period the import and export real time correction values sent by imbalance netting process function.</w:t>
      </w:r>
    </w:p>
    <w:p w14:paraId="2E9B088A" w14:textId="4991160E" w:rsidR="00F54423" w:rsidRPr="00106CE1" w:rsidRDefault="00BE79D4" w:rsidP="006A6409">
      <w:pPr>
        <w:pStyle w:val="textenumeration"/>
        <w:numPr>
          <w:ilvl w:val="0"/>
          <w:numId w:val="109"/>
        </w:numPr>
        <w:rPr>
          <w:lang w:eastAsia="en-US"/>
        </w:rPr>
      </w:pPr>
      <w:r>
        <w:rPr>
          <w:lang w:eastAsia="en-US"/>
        </w:rPr>
        <w:t xml:space="preserve">The </w:t>
      </w:r>
      <w:r w:rsidR="00F54423" w:rsidRPr="00106CE1">
        <w:rPr>
          <w:lang w:eastAsia="en-US"/>
        </w:rPr>
        <w:t xml:space="preserve">IN settlement price shall be determined per participating TSO per MWh for the netted volumes within </w:t>
      </w:r>
      <w:r w:rsidR="00337534">
        <w:rPr>
          <w:lang w:eastAsia="en-US"/>
        </w:rPr>
        <w:t xml:space="preserve">the </w:t>
      </w:r>
      <w:r w:rsidR="00F54423" w:rsidRPr="00106CE1">
        <w:rPr>
          <w:lang w:eastAsia="en-US"/>
        </w:rPr>
        <w:t>IN</w:t>
      </w:r>
      <w:r w:rsidR="00337534">
        <w:rPr>
          <w:lang w:eastAsia="en-US"/>
        </w:rPr>
        <w:t>P</w:t>
      </w:r>
      <w:r w:rsidR="00F54423" w:rsidRPr="00106CE1">
        <w:rPr>
          <w:lang w:eastAsia="en-US"/>
        </w:rPr>
        <w:t xml:space="preserve">, per settlement period. </w:t>
      </w:r>
    </w:p>
    <w:p w14:paraId="0CA35C45" w14:textId="77777777" w:rsidR="00F54423" w:rsidRPr="00106CE1" w:rsidRDefault="00F54423" w:rsidP="006A6409">
      <w:pPr>
        <w:pStyle w:val="textenumeration"/>
        <w:numPr>
          <w:ilvl w:val="0"/>
          <w:numId w:val="109"/>
        </w:numPr>
        <w:rPr>
          <w:lang w:eastAsia="en-US"/>
        </w:rPr>
      </w:pPr>
      <w:r w:rsidRPr="00106CE1">
        <w:rPr>
          <w:lang w:eastAsia="en-US"/>
        </w:rPr>
        <w:t>The IN settlement prices of one settlement period shall be calculated according to the following principles:</w:t>
      </w:r>
    </w:p>
    <w:p w14:paraId="5BC0CF10" w14:textId="37E695B0" w:rsidR="00337534" w:rsidRPr="00106CE1" w:rsidRDefault="00337534" w:rsidP="00C27F61">
      <w:pPr>
        <w:pStyle w:val="ListParagraph"/>
        <w:numPr>
          <w:ilvl w:val="0"/>
          <w:numId w:val="110"/>
        </w:numPr>
        <w:ind w:left="709"/>
      </w:pPr>
      <w:r w:rsidRPr="00106CE1">
        <w:t>The value</w:t>
      </w:r>
      <w:r w:rsidR="006C48C5">
        <w:t>s</w:t>
      </w:r>
      <w:r w:rsidRPr="00106CE1">
        <w:t xml:space="preserve"> of avoided upward </w:t>
      </w:r>
      <w:r w:rsidR="006C48C5">
        <w:t xml:space="preserve">and downward </w:t>
      </w:r>
      <w:r w:rsidRPr="00106CE1">
        <w:t>aFRR activation</w:t>
      </w:r>
      <w:r w:rsidR="006C48C5">
        <w:t>s</w:t>
      </w:r>
      <w:r w:rsidRPr="00106CE1">
        <w:t xml:space="preserve"> reflect the </w:t>
      </w:r>
      <w:r w:rsidR="00876A88">
        <w:t>price</w:t>
      </w:r>
      <w:r w:rsidR="006C48C5">
        <w:t>s</w:t>
      </w:r>
      <w:r w:rsidR="00876A88">
        <w:t xml:space="preserve"> of the </w:t>
      </w:r>
      <w:r w:rsidR="005A054E">
        <w:t xml:space="preserve">balancing energy from aFRR which would have been activated by each participating TSO without the INP. The prices for balancing energy from aFRR </w:t>
      </w:r>
      <w:r>
        <w:t xml:space="preserve">are considered as reliable proxy for the </w:t>
      </w:r>
      <w:r w:rsidRPr="00106CE1">
        <w:t>value of avoided aFRR activation</w:t>
      </w:r>
      <w:r>
        <w:t xml:space="preserve">. </w:t>
      </w:r>
      <w:r w:rsidRPr="00106CE1">
        <w:t>The value of avoided aFRR activation</w:t>
      </w:r>
      <w:r w:rsidRPr="00106CE1" w:rsidDel="001C5B1F">
        <w:t xml:space="preserve"> </w:t>
      </w:r>
      <w:r w:rsidRPr="00106CE1">
        <w:t>shall be calculated ex-post by each participating TSO for import and export separately.</w:t>
      </w:r>
      <w:r>
        <w:t xml:space="preserve"> </w:t>
      </w:r>
    </w:p>
    <w:p w14:paraId="09428323" w14:textId="32722302" w:rsidR="00F54423" w:rsidRPr="00106CE1" w:rsidRDefault="00F54423" w:rsidP="00C27F61">
      <w:pPr>
        <w:pStyle w:val="ListParagraph"/>
        <w:numPr>
          <w:ilvl w:val="0"/>
          <w:numId w:val="110"/>
        </w:numPr>
      </w:pPr>
      <w:r w:rsidRPr="00106CE1">
        <w:t>The initial IN settlement price is the weighted average of all values (both upward and downward) of avoided aFRR Activation</w:t>
      </w:r>
      <w:r w:rsidRPr="00106CE1" w:rsidDel="001C5B1F">
        <w:t xml:space="preserve"> </w:t>
      </w:r>
      <w:r w:rsidRPr="00106CE1">
        <w:t xml:space="preserve">of all Participating TSOs, weighted with the imported and exported </w:t>
      </w:r>
      <w:r w:rsidR="006255AB" w:rsidRPr="006255AB">
        <w:t>intended energy exchanges as the result of the INP</w:t>
      </w:r>
      <w:r w:rsidR="006255AB">
        <w:t xml:space="preserve">. </w:t>
      </w:r>
      <w:r w:rsidRPr="00106CE1">
        <w:t>The initial</w:t>
      </w:r>
      <w:r w:rsidR="00D00DDF">
        <w:t xml:space="preserve"> </w:t>
      </w:r>
      <w:r w:rsidRPr="00106CE1">
        <w:t xml:space="preserve">IN settlement price is used to determine an initial settlement amount of each participating TSO defined as the </w:t>
      </w:r>
      <w:r w:rsidR="005A0F13">
        <w:t xml:space="preserve">initial </w:t>
      </w:r>
      <w:r w:rsidRPr="00106CE1">
        <w:t xml:space="preserve">IN settlement price multiplied by the difference between amounts of imported and exported volumes of the respective </w:t>
      </w:r>
      <w:r w:rsidR="006A6409">
        <w:t>p</w:t>
      </w:r>
      <w:r w:rsidR="006255AB">
        <w:t xml:space="preserve">articipating TSO. </w:t>
      </w:r>
      <w:r w:rsidRPr="00106CE1">
        <w:t xml:space="preserve">The initial settlement amount of each </w:t>
      </w:r>
      <w:r w:rsidR="006A6409">
        <w:t>p</w:t>
      </w:r>
      <w:r w:rsidRPr="00106CE1">
        <w:t xml:space="preserve">articipating TSO shall be used to determine an initial financial rent of each </w:t>
      </w:r>
      <w:r w:rsidR="006A6409">
        <w:t>p</w:t>
      </w:r>
      <w:r w:rsidRPr="00106CE1">
        <w:t xml:space="preserve">articipating TSO. </w:t>
      </w:r>
    </w:p>
    <w:p w14:paraId="57AD8E49" w14:textId="5C5BA272" w:rsidR="00F54423" w:rsidRPr="00106CE1" w:rsidRDefault="00F54423" w:rsidP="00F54423">
      <w:pPr>
        <w:pStyle w:val="ListParagraph"/>
        <w:numPr>
          <w:ilvl w:val="0"/>
          <w:numId w:val="110"/>
        </w:numPr>
        <w:ind w:left="709"/>
      </w:pPr>
      <w:r w:rsidRPr="00106CE1">
        <w:t xml:space="preserve">Opportunity cost of one </w:t>
      </w:r>
      <w:r w:rsidR="00AE27BC">
        <w:t>p</w:t>
      </w:r>
      <w:r w:rsidRPr="00106CE1">
        <w:t xml:space="preserve">articipating TSO are defined for one settlement period as the import </w:t>
      </w:r>
      <w:r w:rsidR="0064380C">
        <w:t>v</w:t>
      </w:r>
      <w:r w:rsidRPr="00106CE1">
        <w:t>alue of avoided aFRR Activation</w:t>
      </w:r>
      <w:r w:rsidRPr="00106CE1" w:rsidDel="001C5B1F">
        <w:t xml:space="preserve"> </w:t>
      </w:r>
      <w:r w:rsidRPr="00106CE1">
        <w:t xml:space="preserve">multiplied by imported volume minus the export </w:t>
      </w:r>
      <w:r w:rsidR="0064380C">
        <w:t>v</w:t>
      </w:r>
      <w:r w:rsidRPr="00106CE1">
        <w:t xml:space="preserve">alue of avoided aFRR </w:t>
      </w:r>
      <w:r w:rsidR="0064380C">
        <w:t>a</w:t>
      </w:r>
      <w:r w:rsidRPr="00106CE1">
        <w:t>ctivation</w:t>
      </w:r>
      <w:r w:rsidRPr="00106CE1" w:rsidDel="001C5B1F">
        <w:t xml:space="preserve"> </w:t>
      </w:r>
      <w:r w:rsidRPr="00106CE1">
        <w:t xml:space="preserve">multiplied by exported volume of the respective </w:t>
      </w:r>
      <w:r w:rsidR="0064380C">
        <w:t>p</w:t>
      </w:r>
      <w:r w:rsidRPr="00106CE1">
        <w:t>articipating TSO and respective settlement period.</w:t>
      </w:r>
    </w:p>
    <w:p w14:paraId="383865AE" w14:textId="5678E760" w:rsidR="00F54423" w:rsidRPr="00106CE1" w:rsidRDefault="00F54423" w:rsidP="00F54423">
      <w:pPr>
        <w:pStyle w:val="ListParagraph"/>
        <w:numPr>
          <w:ilvl w:val="0"/>
          <w:numId w:val="110"/>
        </w:numPr>
        <w:ind w:left="709"/>
      </w:pPr>
      <w:r w:rsidRPr="00106CE1">
        <w:t xml:space="preserve">The initial rent of each </w:t>
      </w:r>
      <w:r w:rsidR="0064380C">
        <w:t>p</w:t>
      </w:r>
      <w:r w:rsidRPr="00106CE1">
        <w:t xml:space="preserve">articipating TSO is defined as a difference between: </w:t>
      </w:r>
    </w:p>
    <w:p w14:paraId="66A191E9" w14:textId="7A7863E7" w:rsidR="00F54423" w:rsidRPr="000805F7" w:rsidRDefault="00F54423" w:rsidP="00F54423">
      <w:pPr>
        <w:pStyle w:val="textregular"/>
        <w:numPr>
          <w:ilvl w:val="1"/>
          <w:numId w:val="106"/>
        </w:numPr>
        <w:jc w:val="both"/>
        <w:rPr>
          <w:rFonts w:asciiTheme="minorHAnsi" w:hAnsiTheme="minorHAnsi" w:cstheme="minorHAnsi"/>
          <w:szCs w:val="22"/>
          <w:lang w:eastAsia="en-US"/>
        </w:rPr>
      </w:pPr>
      <w:r>
        <w:rPr>
          <w:rFonts w:asciiTheme="minorHAnsi" w:hAnsiTheme="minorHAnsi" w:cstheme="minorHAnsi"/>
          <w:szCs w:val="22"/>
          <w:lang w:eastAsia="en-US"/>
        </w:rPr>
        <w:t xml:space="preserve">Opportunity cost of each </w:t>
      </w:r>
      <w:r w:rsidR="0064380C">
        <w:rPr>
          <w:rFonts w:asciiTheme="minorHAnsi" w:hAnsiTheme="minorHAnsi" w:cstheme="minorHAnsi"/>
          <w:szCs w:val="22"/>
          <w:lang w:eastAsia="en-US"/>
        </w:rPr>
        <w:t>p</w:t>
      </w:r>
      <w:r>
        <w:rPr>
          <w:rFonts w:asciiTheme="minorHAnsi" w:hAnsiTheme="minorHAnsi" w:cstheme="minorHAnsi"/>
          <w:szCs w:val="22"/>
          <w:lang w:eastAsia="en-US"/>
        </w:rPr>
        <w:t>articipating TSO</w:t>
      </w:r>
      <w:r w:rsidRPr="000805F7">
        <w:rPr>
          <w:rFonts w:asciiTheme="minorHAnsi" w:hAnsiTheme="minorHAnsi" w:cstheme="minorHAnsi"/>
          <w:szCs w:val="22"/>
          <w:lang w:eastAsia="en-US"/>
        </w:rPr>
        <w:t xml:space="preserve">, and </w:t>
      </w:r>
    </w:p>
    <w:p w14:paraId="5F677F58" w14:textId="21F53E5B" w:rsidR="00F54423" w:rsidRPr="000805F7" w:rsidRDefault="00F54423" w:rsidP="00F54423">
      <w:pPr>
        <w:pStyle w:val="textregular"/>
        <w:numPr>
          <w:ilvl w:val="1"/>
          <w:numId w:val="106"/>
        </w:numPr>
        <w:jc w:val="both"/>
        <w:rPr>
          <w:rFonts w:asciiTheme="minorHAnsi" w:hAnsiTheme="minorHAnsi" w:cstheme="minorHAnsi"/>
          <w:szCs w:val="22"/>
          <w:lang w:eastAsia="en-US"/>
        </w:rPr>
      </w:pPr>
      <w:r>
        <w:rPr>
          <w:rFonts w:asciiTheme="minorHAnsi" w:hAnsiTheme="minorHAnsi" w:cstheme="minorHAnsi"/>
          <w:szCs w:val="22"/>
          <w:lang w:eastAsia="en-US"/>
        </w:rPr>
        <w:t>T</w:t>
      </w:r>
      <w:r w:rsidRPr="000805F7">
        <w:rPr>
          <w:rFonts w:asciiTheme="minorHAnsi" w:hAnsiTheme="minorHAnsi" w:cstheme="minorHAnsi"/>
          <w:szCs w:val="22"/>
          <w:lang w:eastAsia="en-US"/>
        </w:rPr>
        <w:t xml:space="preserve">he </w:t>
      </w:r>
      <w:r>
        <w:rPr>
          <w:rFonts w:asciiTheme="minorHAnsi" w:hAnsiTheme="minorHAnsi" w:cstheme="minorHAnsi"/>
          <w:szCs w:val="22"/>
          <w:lang w:eastAsia="en-US"/>
        </w:rPr>
        <w:t xml:space="preserve">initial </w:t>
      </w:r>
      <w:r w:rsidRPr="000805F7">
        <w:rPr>
          <w:rFonts w:asciiTheme="minorHAnsi" w:hAnsiTheme="minorHAnsi" w:cstheme="minorHAnsi"/>
          <w:szCs w:val="22"/>
          <w:lang w:eastAsia="en-US"/>
        </w:rPr>
        <w:t xml:space="preserve">settlement amount of each </w:t>
      </w:r>
      <w:r w:rsidR="0064380C">
        <w:rPr>
          <w:rFonts w:asciiTheme="minorHAnsi" w:hAnsiTheme="minorHAnsi" w:cstheme="minorHAnsi"/>
          <w:szCs w:val="22"/>
          <w:lang w:eastAsia="en-US"/>
        </w:rPr>
        <w:t>p</w:t>
      </w:r>
      <w:r>
        <w:rPr>
          <w:rFonts w:asciiTheme="minorHAnsi" w:hAnsiTheme="minorHAnsi" w:cstheme="minorHAnsi"/>
          <w:szCs w:val="22"/>
          <w:lang w:eastAsia="en-US"/>
        </w:rPr>
        <w:t>articipating TSO</w:t>
      </w:r>
      <w:r w:rsidRPr="000805F7">
        <w:rPr>
          <w:rFonts w:asciiTheme="minorHAnsi" w:hAnsiTheme="minorHAnsi" w:cstheme="minorHAnsi"/>
          <w:szCs w:val="22"/>
          <w:lang w:eastAsia="en-US"/>
        </w:rPr>
        <w:t>.</w:t>
      </w:r>
    </w:p>
    <w:p w14:paraId="208D3BCC" w14:textId="432CC3FC" w:rsidR="00F54423" w:rsidRPr="00106CE1" w:rsidRDefault="00F54423" w:rsidP="006A6409">
      <w:pPr>
        <w:pStyle w:val="textenumeration"/>
        <w:numPr>
          <w:ilvl w:val="0"/>
          <w:numId w:val="109"/>
        </w:numPr>
        <w:rPr>
          <w:lang w:eastAsia="en-US"/>
        </w:rPr>
      </w:pPr>
      <w:r w:rsidRPr="00106CE1">
        <w:rPr>
          <w:lang w:eastAsia="en-US"/>
        </w:rPr>
        <w:t>In case of a negative initial rent of at least one participating TSO and the sum of all initial rents being positive in one settlement period, the settlement prices</w:t>
      </w:r>
      <w:r w:rsidR="00BF664B">
        <w:rPr>
          <w:lang w:eastAsia="en-US"/>
        </w:rPr>
        <w:t xml:space="preserve"> </w:t>
      </w:r>
      <w:r w:rsidRPr="00106CE1">
        <w:rPr>
          <w:lang w:eastAsia="en-US"/>
        </w:rPr>
        <w:t xml:space="preserve">are subject to an adjustment. Negative rents of the affected TSOs are shifted to zero. Meanwhile, positive rents are reduced proportionally while preserving the IN overall rent. Participating TSOs with equal IN import and export in a given settlement period are excluded from this adjustment. The adjustment results in the following adjustment process in the affected settlement periods for </w:t>
      </w:r>
      <w:r w:rsidR="0081139C">
        <w:rPr>
          <w:lang w:eastAsia="en-US"/>
        </w:rPr>
        <w:t>p</w:t>
      </w:r>
      <w:r w:rsidRPr="00106CE1">
        <w:rPr>
          <w:lang w:eastAsia="en-US"/>
        </w:rPr>
        <w:t>articipating TSOs:</w:t>
      </w:r>
    </w:p>
    <w:p w14:paraId="653BB901" w14:textId="276775A9" w:rsidR="00F54423" w:rsidRPr="00106CE1" w:rsidRDefault="00F54423" w:rsidP="00F72627">
      <w:pPr>
        <w:pStyle w:val="ListParagraph"/>
        <w:numPr>
          <w:ilvl w:val="0"/>
          <w:numId w:val="112"/>
        </w:numPr>
        <w:ind w:left="709" w:hanging="349"/>
      </w:pPr>
      <w:r w:rsidRPr="00106CE1">
        <w:t xml:space="preserve">The final IN settlement price of participating TSOs with a negative initial rent are calculated by dividing its opportunity cost by the difference between import and export volume of the respective </w:t>
      </w:r>
      <w:r w:rsidR="0081139C">
        <w:t>p</w:t>
      </w:r>
      <w:r w:rsidRPr="00106CE1">
        <w:t>articipating TSO and settlement period.</w:t>
      </w:r>
    </w:p>
    <w:p w14:paraId="3F354889" w14:textId="77777777" w:rsidR="00F54423" w:rsidRPr="00106CE1" w:rsidRDefault="00F54423" w:rsidP="00F72627">
      <w:pPr>
        <w:pStyle w:val="ListParagraph"/>
        <w:numPr>
          <w:ilvl w:val="0"/>
          <w:numId w:val="112"/>
        </w:numPr>
        <w:ind w:left="709" w:hanging="349"/>
      </w:pPr>
      <w:r w:rsidRPr="00106CE1">
        <w:lastRenderedPageBreak/>
        <w:t>The share of positive initial rent is equal to the initial rent</w:t>
      </w:r>
      <w:r w:rsidRPr="00106CE1" w:rsidDel="00E96162">
        <w:t xml:space="preserve"> </w:t>
      </w:r>
      <w:r w:rsidRPr="00106CE1">
        <w:t>of each a participating TSO with a positive initial rent</w:t>
      </w:r>
      <w:r w:rsidRPr="00106CE1" w:rsidDel="00E96162">
        <w:t xml:space="preserve"> </w:t>
      </w:r>
      <w:r w:rsidRPr="00106CE1">
        <w:t>divided by the sum of all positive initial rents, of each considered settlement period.</w:t>
      </w:r>
    </w:p>
    <w:p w14:paraId="7A2C7C31" w14:textId="495D4C40" w:rsidR="00F54423" w:rsidRPr="00106CE1" w:rsidRDefault="00F54423" w:rsidP="00F72627">
      <w:pPr>
        <w:pStyle w:val="ListParagraph"/>
        <w:numPr>
          <w:ilvl w:val="0"/>
          <w:numId w:val="112"/>
        </w:numPr>
        <w:ind w:left="709" w:hanging="349"/>
      </w:pPr>
      <w:r w:rsidRPr="00106CE1">
        <w:t>The final settlement amount of participating TSOs with a positive initial rent</w:t>
      </w:r>
      <w:r w:rsidRPr="00106CE1" w:rsidDel="00E96162">
        <w:t xml:space="preserve"> </w:t>
      </w:r>
      <w:r w:rsidRPr="00106CE1">
        <w:t>is the initial settlement amount minus the sum of all negative initial rents times the share of positive initial rent</w:t>
      </w:r>
      <w:r w:rsidRPr="00106CE1" w:rsidDel="00E96162">
        <w:t xml:space="preserve"> </w:t>
      </w:r>
      <w:r w:rsidRPr="00106CE1">
        <w:t xml:space="preserve">of the respective </w:t>
      </w:r>
      <w:r w:rsidR="0064380C">
        <w:t>p</w:t>
      </w:r>
      <w:r w:rsidRPr="00106CE1">
        <w:t>articipating TSO</w:t>
      </w:r>
    </w:p>
    <w:p w14:paraId="17A56E7F" w14:textId="719B1C72" w:rsidR="00F54423" w:rsidRDefault="00F54423" w:rsidP="00244FAC">
      <w:pPr>
        <w:pStyle w:val="ListParagraph"/>
        <w:numPr>
          <w:ilvl w:val="0"/>
          <w:numId w:val="112"/>
        </w:numPr>
        <w:rPr>
          <w:lang w:eastAsia="en-US"/>
        </w:rPr>
      </w:pPr>
      <w:r w:rsidRPr="00106CE1">
        <w:t xml:space="preserve">The final IN settlement price of </w:t>
      </w:r>
      <w:r w:rsidR="0064380C">
        <w:t>p</w:t>
      </w:r>
      <w:r w:rsidRPr="00106CE1">
        <w:t xml:space="preserve">articipating TSOs with a positive initial rent is the final settlement amount divided by the difference between import and export volume of the respective </w:t>
      </w:r>
      <w:r w:rsidR="0064380C">
        <w:t>p</w:t>
      </w:r>
      <w:r w:rsidRPr="00106CE1">
        <w:t>articipating TSO</w:t>
      </w:r>
    </w:p>
    <w:p w14:paraId="0AB8971F" w14:textId="0FD6851A" w:rsidR="00DC0790" w:rsidRPr="00106CE1" w:rsidRDefault="00DC0790" w:rsidP="00DC0790">
      <w:pPr>
        <w:pStyle w:val="textenumeration"/>
        <w:numPr>
          <w:ilvl w:val="0"/>
          <w:numId w:val="109"/>
        </w:numPr>
        <w:rPr>
          <w:lang w:eastAsia="en-US"/>
        </w:rPr>
      </w:pPr>
      <w:r w:rsidRPr="00106CE1">
        <w:rPr>
          <w:lang w:eastAsia="en-US"/>
        </w:rPr>
        <w:t xml:space="preserve">In case of a </w:t>
      </w:r>
      <w:r>
        <w:rPr>
          <w:lang w:eastAsia="en-US"/>
        </w:rPr>
        <w:t>positive</w:t>
      </w:r>
      <w:r w:rsidRPr="00106CE1">
        <w:rPr>
          <w:lang w:eastAsia="en-US"/>
        </w:rPr>
        <w:t xml:space="preserve"> initial rent of at least one participating TSO and the sum of all initial rents being </w:t>
      </w:r>
      <w:r>
        <w:rPr>
          <w:lang w:eastAsia="en-US"/>
        </w:rPr>
        <w:t>negative</w:t>
      </w:r>
      <w:r w:rsidRPr="00106CE1">
        <w:rPr>
          <w:lang w:eastAsia="en-US"/>
        </w:rPr>
        <w:t xml:space="preserve"> in one settlement period, the settlement prices</w:t>
      </w:r>
      <w:r>
        <w:rPr>
          <w:lang w:eastAsia="en-US"/>
        </w:rPr>
        <w:t xml:space="preserve"> </w:t>
      </w:r>
      <w:r w:rsidRPr="00106CE1">
        <w:rPr>
          <w:lang w:eastAsia="en-US"/>
        </w:rPr>
        <w:t xml:space="preserve">are subject to an adjustment. </w:t>
      </w:r>
      <w:r>
        <w:rPr>
          <w:lang w:eastAsia="en-US"/>
        </w:rPr>
        <w:t>Positive</w:t>
      </w:r>
      <w:r w:rsidRPr="00106CE1">
        <w:rPr>
          <w:lang w:eastAsia="en-US"/>
        </w:rPr>
        <w:t xml:space="preserve"> rents of the affected TSOs are shifted to zero. Meanwhile, </w:t>
      </w:r>
      <w:r>
        <w:rPr>
          <w:lang w:eastAsia="en-US"/>
        </w:rPr>
        <w:t>negative</w:t>
      </w:r>
      <w:r w:rsidRPr="00106CE1">
        <w:rPr>
          <w:lang w:eastAsia="en-US"/>
        </w:rPr>
        <w:t xml:space="preserve"> rents are reduced proportionally while preserving the IN overall rent. Participating TSOs with equal IN import and export in a given settlement period are excluded from this adjustment. The adjustment results in the following adjustment process in the affected settlement periods for </w:t>
      </w:r>
      <w:r w:rsidR="0081139C">
        <w:rPr>
          <w:lang w:eastAsia="en-US"/>
        </w:rPr>
        <w:t>p</w:t>
      </w:r>
      <w:r w:rsidRPr="00106CE1">
        <w:rPr>
          <w:lang w:eastAsia="en-US"/>
        </w:rPr>
        <w:t>articipating TSOs:</w:t>
      </w:r>
    </w:p>
    <w:p w14:paraId="668A2D4B" w14:textId="698F61B7" w:rsidR="00DC0790" w:rsidRPr="00106CE1" w:rsidRDefault="00DC0790" w:rsidP="00DC0790">
      <w:pPr>
        <w:pStyle w:val="ListParagraph"/>
        <w:numPr>
          <w:ilvl w:val="0"/>
          <w:numId w:val="150"/>
        </w:numPr>
      </w:pPr>
      <w:r w:rsidRPr="00106CE1">
        <w:t xml:space="preserve">The final IN settlement price of participating TSOs with a </w:t>
      </w:r>
      <w:r>
        <w:t>positive</w:t>
      </w:r>
      <w:r w:rsidRPr="00106CE1">
        <w:t xml:space="preserve"> initial rent are calculated by dividing its opportunity cost by the difference between import and export volume of the respective </w:t>
      </w:r>
      <w:r w:rsidR="0081139C">
        <w:t>p</w:t>
      </w:r>
      <w:r w:rsidRPr="00106CE1">
        <w:t>articipating TSO and settlement period.</w:t>
      </w:r>
    </w:p>
    <w:p w14:paraId="5DF87674" w14:textId="241BFACB" w:rsidR="00DC0790" w:rsidRPr="00106CE1" w:rsidRDefault="00DC0790" w:rsidP="00DC0790">
      <w:pPr>
        <w:pStyle w:val="ListParagraph"/>
        <w:numPr>
          <w:ilvl w:val="0"/>
          <w:numId w:val="150"/>
        </w:numPr>
        <w:ind w:left="709" w:hanging="349"/>
      </w:pPr>
      <w:r w:rsidRPr="00106CE1">
        <w:t xml:space="preserve">The share of </w:t>
      </w:r>
      <w:r>
        <w:t>negative</w:t>
      </w:r>
      <w:r w:rsidRPr="00106CE1">
        <w:t xml:space="preserve"> initial rent is equal to the initial rent</w:t>
      </w:r>
      <w:r w:rsidRPr="00106CE1" w:rsidDel="00E96162">
        <w:t xml:space="preserve"> </w:t>
      </w:r>
      <w:r w:rsidRPr="00106CE1">
        <w:t xml:space="preserve">of each a participating TSO with a </w:t>
      </w:r>
      <w:r>
        <w:t>negative</w:t>
      </w:r>
      <w:r w:rsidRPr="00106CE1">
        <w:t xml:space="preserve"> initial rent</w:t>
      </w:r>
      <w:r w:rsidRPr="00106CE1" w:rsidDel="00E96162">
        <w:t xml:space="preserve"> </w:t>
      </w:r>
      <w:r w:rsidRPr="00106CE1">
        <w:t xml:space="preserve">divided by the sum of all </w:t>
      </w:r>
      <w:r>
        <w:t>negative</w:t>
      </w:r>
      <w:r w:rsidRPr="00106CE1">
        <w:t xml:space="preserve"> initial rents, of each considered settlement period.</w:t>
      </w:r>
    </w:p>
    <w:p w14:paraId="1FE522AC" w14:textId="2C6CDA9E" w:rsidR="00DC0790" w:rsidRPr="00106CE1" w:rsidRDefault="00DC0790" w:rsidP="00DC0790">
      <w:pPr>
        <w:pStyle w:val="ListParagraph"/>
        <w:numPr>
          <w:ilvl w:val="0"/>
          <w:numId w:val="150"/>
        </w:numPr>
        <w:ind w:left="709" w:hanging="349"/>
      </w:pPr>
      <w:r w:rsidRPr="00106CE1">
        <w:t xml:space="preserve">The final settlement amount of participating TSOs with a </w:t>
      </w:r>
      <w:r>
        <w:t>negative</w:t>
      </w:r>
      <w:r w:rsidRPr="00106CE1">
        <w:t xml:space="preserve"> initial rent</w:t>
      </w:r>
      <w:r w:rsidRPr="00106CE1" w:rsidDel="00E96162">
        <w:t xml:space="preserve"> </w:t>
      </w:r>
      <w:r w:rsidRPr="00106CE1">
        <w:t xml:space="preserve">is the initial settlement amount </w:t>
      </w:r>
      <w:r>
        <w:t>plus</w:t>
      </w:r>
      <w:r w:rsidRPr="00106CE1">
        <w:t xml:space="preserve"> the sum of all </w:t>
      </w:r>
      <w:r>
        <w:t>positive</w:t>
      </w:r>
      <w:r w:rsidRPr="00106CE1">
        <w:t xml:space="preserve"> initial rents times the share of </w:t>
      </w:r>
      <w:r>
        <w:t>negative</w:t>
      </w:r>
      <w:r w:rsidRPr="00106CE1">
        <w:t xml:space="preserve"> initial rent</w:t>
      </w:r>
      <w:r w:rsidRPr="00106CE1" w:rsidDel="00E96162">
        <w:t xml:space="preserve"> </w:t>
      </w:r>
      <w:r w:rsidRPr="00106CE1">
        <w:t xml:space="preserve">of the respective </w:t>
      </w:r>
      <w:r>
        <w:t>p</w:t>
      </w:r>
      <w:r w:rsidRPr="00106CE1">
        <w:t>articipating TSO</w:t>
      </w:r>
      <w:r w:rsidR="00AA2284">
        <w:t>.</w:t>
      </w:r>
    </w:p>
    <w:p w14:paraId="346FF4DB" w14:textId="5E3D054A" w:rsidR="00DC0790" w:rsidRDefault="00DC0790" w:rsidP="00DC0790">
      <w:pPr>
        <w:pStyle w:val="ListParagraph"/>
        <w:numPr>
          <w:ilvl w:val="0"/>
          <w:numId w:val="150"/>
        </w:numPr>
        <w:rPr>
          <w:lang w:eastAsia="en-US"/>
        </w:rPr>
      </w:pPr>
      <w:r w:rsidRPr="00106CE1">
        <w:t xml:space="preserve">The final IN settlement price of </w:t>
      </w:r>
      <w:r>
        <w:t>p</w:t>
      </w:r>
      <w:r w:rsidRPr="00106CE1">
        <w:t xml:space="preserve">articipating TSOs with a </w:t>
      </w:r>
      <w:r>
        <w:t>negative</w:t>
      </w:r>
      <w:r w:rsidRPr="00106CE1">
        <w:t xml:space="preserve"> initial rent is the final settlement amount divided by the difference between import and export volume of the respective </w:t>
      </w:r>
      <w:r>
        <w:t>p</w:t>
      </w:r>
      <w:r w:rsidRPr="00106CE1">
        <w:t>articipating TSO</w:t>
      </w:r>
    </w:p>
    <w:p w14:paraId="6600D67A" w14:textId="4D1022E2" w:rsidR="00AA2284" w:rsidRDefault="00AA2284">
      <w:pPr>
        <w:pStyle w:val="textenumeration"/>
        <w:numPr>
          <w:ilvl w:val="0"/>
          <w:numId w:val="109"/>
        </w:numPr>
        <w:rPr>
          <w:lang w:eastAsia="en-US"/>
        </w:rPr>
      </w:pPr>
      <w:r>
        <w:rPr>
          <w:lang w:eastAsia="en-US"/>
        </w:rPr>
        <w:t>In case of the sum of all initial rents equal</w:t>
      </w:r>
      <w:r w:rsidR="00480303">
        <w:rPr>
          <w:lang w:eastAsia="en-US"/>
        </w:rPr>
        <w:t>s</w:t>
      </w:r>
      <w:r>
        <w:rPr>
          <w:lang w:eastAsia="en-US"/>
        </w:rPr>
        <w:t xml:space="preserve"> zero all individual rents TSOs are shifted to zero. </w:t>
      </w:r>
      <w:r w:rsidRPr="00106CE1">
        <w:t xml:space="preserve">The final IN settlement price of participating TSOs are calculated by dividing its opportunity cost by the difference between import and export volume of the respective </w:t>
      </w:r>
      <w:r>
        <w:t>p</w:t>
      </w:r>
      <w:r w:rsidRPr="00106CE1">
        <w:t>articipating TSO and settlement period.</w:t>
      </w:r>
    </w:p>
    <w:p w14:paraId="68E84FD7" w14:textId="7C245B82" w:rsidR="00F54423" w:rsidRDefault="00F54423" w:rsidP="006A6409">
      <w:pPr>
        <w:pStyle w:val="textenumeration"/>
        <w:numPr>
          <w:ilvl w:val="0"/>
          <w:numId w:val="109"/>
        </w:numPr>
        <w:rPr>
          <w:lang w:eastAsia="en-US"/>
        </w:rPr>
      </w:pPr>
      <w:r w:rsidRPr="00294433">
        <w:rPr>
          <w:lang w:eastAsia="en-US"/>
        </w:rPr>
        <w:t xml:space="preserve">Final IN settlement price of </w:t>
      </w:r>
      <w:r w:rsidR="0064380C">
        <w:rPr>
          <w:lang w:eastAsia="en-US"/>
        </w:rPr>
        <w:t>p</w:t>
      </w:r>
      <w:r w:rsidRPr="00294433">
        <w:rPr>
          <w:lang w:eastAsia="en-US"/>
        </w:rPr>
        <w:t>articipating TSOs excluded from this procedure</w:t>
      </w:r>
      <w:r w:rsidR="00015B06">
        <w:rPr>
          <w:lang w:eastAsia="en-US"/>
        </w:rPr>
        <w:t xml:space="preserve"> </w:t>
      </w:r>
      <w:r w:rsidRPr="00294433">
        <w:rPr>
          <w:lang w:eastAsia="en-US"/>
        </w:rPr>
        <w:t>is equal to the initial IN settlement price.</w:t>
      </w:r>
    </w:p>
    <w:p w14:paraId="19D78171" w14:textId="4E16BAE0" w:rsidR="00D35CA5" w:rsidRDefault="00D35CA5" w:rsidP="006A6409">
      <w:pPr>
        <w:pStyle w:val="textenumeration"/>
        <w:numPr>
          <w:ilvl w:val="0"/>
          <w:numId w:val="109"/>
        </w:numPr>
        <w:rPr>
          <w:lang w:eastAsia="en-US"/>
        </w:rPr>
      </w:pPr>
      <w:r>
        <w:rPr>
          <w:lang w:eastAsia="en-US"/>
        </w:rPr>
        <w:t xml:space="preserve">Where participating TSOs in IN form an optimisation region for aFRR, the settlement amounts resulting from INP </w:t>
      </w:r>
      <w:r w:rsidR="00BC3401">
        <w:rPr>
          <w:lang w:eastAsia="en-US"/>
        </w:rPr>
        <w:t xml:space="preserve">shall be distributed based on the aFRR demand and the intended </w:t>
      </w:r>
      <w:r w:rsidR="00FB796C">
        <w:rPr>
          <w:lang w:eastAsia="en-US"/>
        </w:rPr>
        <w:t xml:space="preserve">balancing </w:t>
      </w:r>
      <w:r w:rsidR="00BC3401">
        <w:rPr>
          <w:lang w:eastAsia="en-US"/>
        </w:rPr>
        <w:t>energy exchange resulting from the aFRP.</w:t>
      </w:r>
    </w:p>
    <w:p w14:paraId="19F85B8E" w14:textId="77777777" w:rsidR="007E33A5" w:rsidRPr="00C914AC" w:rsidRDefault="007E33A5" w:rsidP="00C914AC">
      <w:pPr>
        <w:spacing w:before="240" w:after="120" w:line="260" w:lineRule="exact"/>
        <w:jc w:val="center"/>
        <w:outlineLvl w:val="1"/>
        <w:rPr>
          <w:rFonts w:ascii="Times New Roman" w:eastAsiaTheme="majorEastAsia" w:hAnsi="Times New Roman" w:cs="Arial"/>
          <w:b/>
          <w:color w:val="23236E"/>
          <w:sz w:val="24"/>
          <w:szCs w:val="28"/>
          <w:lang w:eastAsia="en-US"/>
        </w:rPr>
      </w:pPr>
      <w:bookmarkStart w:id="67" w:name="_Toc531788455"/>
      <w:r w:rsidRPr="00C914AC">
        <w:rPr>
          <w:rFonts w:ascii="Times New Roman" w:eastAsiaTheme="majorEastAsia" w:hAnsi="Times New Roman" w:cs="Arial"/>
          <w:b/>
          <w:color w:val="23236E"/>
          <w:sz w:val="24"/>
          <w:szCs w:val="28"/>
          <w:lang w:eastAsia="en-US"/>
        </w:rPr>
        <w:t>Article 11</w:t>
      </w:r>
      <w:r w:rsidRPr="00C914AC">
        <w:rPr>
          <w:rFonts w:ascii="Times New Roman" w:eastAsiaTheme="majorEastAsia" w:hAnsi="Times New Roman" w:cs="Arial"/>
          <w:b/>
          <w:color w:val="23236E"/>
          <w:sz w:val="24"/>
          <w:szCs w:val="28"/>
          <w:lang w:eastAsia="en-US"/>
        </w:rPr>
        <w:br/>
        <w:t>Implementation Timeline</w:t>
      </w:r>
      <w:bookmarkEnd w:id="67"/>
    </w:p>
    <w:p w14:paraId="3E364F04" w14:textId="58782587" w:rsidR="007E33A5" w:rsidRPr="007E33A5" w:rsidRDefault="00165362" w:rsidP="007E33A5">
      <w:pPr>
        <w:pStyle w:val="textenumeration"/>
        <w:ind w:left="0" w:firstLine="0"/>
        <w:rPr>
          <w:rFonts w:asciiTheme="minorHAnsi" w:hAnsiTheme="minorHAnsi" w:cstheme="minorHAnsi"/>
        </w:rPr>
      </w:pPr>
      <w:r w:rsidRPr="00FB1B15">
        <w:t xml:space="preserve">Each TSO shall apply this </w:t>
      </w:r>
      <w:r>
        <w:t>SP</w:t>
      </w:r>
      <w:r w:rsidRPr="00FB1B15">
        <w:t xml:space="preserve"> once the TSO is connected to the respective European balancing platform for the exchange of balancing energy in acco</w:t>
      </w:r>
      <w:r>
        <w:t xml:space="preserve">rdance with the Articles 19, 20, </w:t>
      </w:r>
      <w:r w:rsidRPr="00FB1B15">
        <w:t xml:space="preserve">21 </w:t>
      </w:r>
      <w:r>
        <w:t xml:space="preserve">or 22 </w:t>
      </w:r>
      <w:r w:rsidRPr="00FB1B15">
        <w:t>of the EBGL</w:t>
      </w:r>
      <w:r w:rsidR="00173EC4">
        <w:t>.</w:t>
      </w:r>
    </w:p>
    <w:p w14:paraId="024D4EA1" w14:textId="3B2C72F5" w:rsidR="006278DD" w:rsidRPr="00F306CB" w:rsidRDefault="006278DD" w:rsidP="00F306CB">
      <w:pPr>
        <w:spacing w:before="240" w:after="120" w:line="260" w:lineRule="exact"/>
        <w:jc w:val="center"/>
        <w:outlineLvl w:val="1"/>
        <w:rPr>
          <w:rFonts w:ascii="Times New Roman" w:eastAsiaTheme="majorEastAsia" w:hAnsi="Times New Roman" w:cs="Arial"/>
          <w:b/>
          <w:color w:val="23236E"/>
          <w:sz w:val="24"/>
          <w:szCs w:val="28"/>
          <w:lang w:eastAsia="en-US"/>
        </w:rPr>
      </w:pPr>
      <w:bookmarkStart w:id="68" w:name="_Toc531788456"/>
      <w:r w:rsidRPr="00F306CB">
        <w:rPr>
          <w:rFonts w:ascii="Times New Roman" w:eastAsiaTheme="majorEastAsia" w:hAnsi="Times New Roman" w:cs="Arial"/>
          <w:b/>
          <w:color w:val="23236E"/>
          <w:sz w:val="24"/>
          <w:szCs w:val="28"/>
          <w:lang w:eastAsia="en-US"/>
        </w:rPr>
        <w:t xml:space="preserve">Article </w:t>
      </w:r>
      <w:r w:rsidR="0003170B" w:rsidRPr="00F306CB">
        <w:rPr>
          <w:rFonts w:ascii="Times New Roman" w:eastAsiaTheme="majorEastAsia" w:hAnsi="Times New Roman" w:cs="Arial"/>
          <w:b/>
          <w:color w:val="23236E"/>
          <w:sz w:val="24"/>
          <w:szCs w:val="28"/>
          <w:lang w:eastAsia="en-US"/>
        </w:rPr>
        <w:t>1</w:t>
      </w:r>
      <w:r w:rsidR="00053FC3" w:rsidRPr="00F306CB">
        <w:rPr>
          <w:rFonts w:ascii="Times New Roman" w:eastAsiaTheme="majorEastAsia" w:hAnsi="Times New Roman" w:cs="Arial"/>
          <w:b/>
          <w:color w:val="23236E"/>
          <w:sz w:val="24"/>
          <w:szCs w:val="28"/>
          <w:lang w:eastAsia="en-US"/>
        </w:rPr>
        <w:t>2</w:t>
      </w:r>
      <w:r w:rsidRPr="00F306CB">
        <w:rPr>
          <w:rFonts w:ascii="Times New Roman" w:eastAsiaTheme="majorEastAsia" w:hAnsi="Times New Roman" w:cs="Arial"/>
          <w:b/>
          <w:color w:val="23236E"/>
          <w:sz w:val="24"/>
          <w:szCs w:val="28"/>
          <w:lang w:eastAsia="en-US"/>
        </w:rPr>
        <w:br/>
        <w:t xml:space="preserve">Publication of the </w:t>
      </w:r>
      <w:bookmarkEnd w:id="50"/>
      <w:r w:rsidR="00294A52" w:rsidRPr="00F306CB">
        <w:rPr>
          <w:rFonts w:ascii="Times New Roman" w:eastAsiaTheme="majorEastAsia" w:hAnsi="Times New Roman" w:cs="Arial"/>
          <w:b/>
          <w:color w:val="23236E"/>
          <w:sz w:val="24"/>
          <w:szCs w:val="28"/>
          <w:lang w:eastAsia="en-US"/>
        </w:rPr>
        <w:t>S</w:t>
      </w:r>
      <w:r w:rsidR="00F03B40" w:rsidRPr="00F306CB">
        <w:rPr>
          <w:rFonts w:ascii="Times New Roman" w:eastAsiaTheme="majorEastAsia" w:hAnsi="Times New Roman" w:cs="Arial"/>
          <w:b/>
          <w:color w:val="23236E"/>
          <w:sz w:val="24"/>
          <w:szCs w:val="28"/>
          <w:lang w:eastAsia="en-US"/>
        </w:rPr>
        <w:t>P</w:t>
      </w:r>
      <w:bookmarkEnd w:id="68"/>
    </w:p>
    <w:p w14:paraId="6ACE38F3" w14:textId="1E632D47" w:rsidR="006278DD" w:rsidRPr="00364111" w:rsidRDefault="006278DD" w:rsidP="007E33A5">
      <w:pPr>
        <w:pStyle w:val="textenumeration"/>
        <w:ind w:left="0" w:firstLine="0"/>
      </w:pPr>
      <w:r w:rsidRPr="00364111">
        <w:lastRenderedPageBreak/>
        <w:t xml:space="preserve">The TSOs shall publish the </w:t>
      </w:r>
      <w:r w:rsidR="00774C56">
        <w:t>S</w:t>
      </w:r>
      <w:r w:rsidR="00774C56" w:rsidRPr="00364111">
        <w:t xml:space="preserve">P </w:t>
      </w:r>
      <w:r w:rsidRPr="00364111">
        <w:t xml:space="preserve">without undue delay after all NRAs have approved the </w:t>
      </w:r>
      <w:r w:rsidR="00FE4383" w:rsidRPr="00364111">
        <w:t>proposal</w:t>
      </w:r>
      <w:r w:rsidRPr="00364111">
        <w:t xml:space="preserve"> or a decision has been taken by the Agency for the Cooperation of Energy Regulators in accordance with Article 5(7), Article 6(1) and Article 6(2) of</w:t>
      </w:r>
      <w:r w:rsidR="000C6F6D">
        <w:t xml:space="preserve"> the</w:t>
      </w:r>
      <w:r w:rsidRPr="00364111">
        <w:t xml:space="preserve"> EBGL. </w:t>
      </w:r>
    </w:p>
    <w:p w14:paraId="0AAA46F5" w14:textId="3342E7F6" w:rsidR="00F74960" w:rsidRPr="00F306CB" w:rsidRDefault="006278DD" w:rsidP="00F306CB">
      <w:pPr>
        <w:spacing w:before="240" w:after="120" w:line="260" w:lineRule="exact"/>
        <w:jc w:val="center"/>
        <w:outlineLvl w:val="1"/>
        <w:rPr>
          <w:rFonts w:ascii="Times New Roman" w:eastAsiaTheme="majorEastAsia" w:hAnsi="Times New Roman" w:cs="Arial"/>
          <w:b/>
          <w:color w:val="23236E"/>
          <w:sz w:val="24"/>
          <w:szCs w:val="28"/>
          <w:lang w:eastAsia="en-US"/>
        </w:rPr>
      </w:pPr>
      <w:bookmarkStart w:id="69" w:name="_Toc531788457"/>
      <w:r w:rsidRPr="00F306CB">
        <w:rPr>
          <w:rFonts w:ascii="Times New Roman" w:eastAsiaTheme="majorEastAsia" w:hAnsi="Times New Roman" w:cs="Arial"/>
          <w:b/>
          <w:color w:val="23236E"/>
          <w:sz w:val="24"/>
          <w:szCs w:val="28"/>
          <w:lang w:eastAsia="en-US"/>
        </w:rPr>
        <w:t xml:space="preserve">Article </w:t>
      </w:r>
      <w:r w:rsidR="0003170B" w:rsidRPr="00F306CB">
        <w:rPr>
          <w:rFonts w:ascii="Times New Roman" w:eastAsiaTheme="majorEastAsia" w:hAnsi="Times New Roman" w:cs="Arial"/>
          <w:b/>
          <w:color w:val="23236E"/>
          <w:sz w:val="24"/>
          <w:szCs w:val="28"/>
          <w:lang w:eastAsia="en-US"/>
        </w:rPr>
        <w:t>1</w:t>
      </w:r>
      <w:r w:rsidR="00053FC3" w:rsidRPr="00F306CB">
        <w:rPr>
          <w:rFonts w:ascii="Times New Roman" w:eastAsiaTheme="majorEastAsia" w:hAnsi="Times New Roman" w:cs="Arial"/>
          <w:b/>
          <w:color w:val="23236E"/>
          <w:sz w:val="24"/>
          <w:szCs w:val="28"/>
          <w:lang w:eastAsia="en-US"/>
        </w:rPr>
        <w:t>3</w:t>
      </w:r>
      <w:r w:rsidR="00053FC3" w:rsidRPr="00F306CB">
        <w:rPr>
          <w:rFonts w:ascii="Times New Roman" w:eastAsiaTheme="majorEastAsia" w:hAnsi="Times New Roman" w:cs="Arial"/>
          <w:b/>
          <w:color w:val="23236E"/>
          <w:sz w:val="24"/>
          <w:szCs w:val="28"/>
          <w:lang w:eastAsia="en-US"/>
        </w:rPr>
        <w:br/>
      </w:r>
      <w:r w:rsidR="00F74960" w:rsidRPr="00F306CB">
        <w:rPr>
          <w:rFonts w:ascii="Times New Roman" w:eastAsiaTheme="majorEastAsia" w:hAnsi="Times New Roman" w:cs="Arial"/>
          <w:b/>
          <w:color w:val="23236E"/>
          <w:sz w:val="24"/>
          <w:szCs w:val="28"/>
          <w:lang w:eastAsia="en-US"/>
        </w:rPr>
        <w:t>Language</w:t>
      </w:r>
      <w:bookmarkEnd w:id="51"/>
      <w:bookmarkEnd w:id="52"/>
      <w:bookmarkEnd w:id="53"/>
      <w:bookmarkEnd w:id="54"/>
      <w:bookmarkEnd w:id="69"/>
    </w:p>
    <w:p w14:paraId="5ACFEC69" w14:textId="55D71633" w:rsidR="00BB4705" w:rsidRDefault="00F74960" w:rsidP="007C3E56">
      <w:pPr>
        <w:pStyle w:val="textenumeration"/>
        <w:ind w:left="0" w:firstLine="0"/>
        <w:rPr>
          <w:szCs w:val="22"/>
          <w:lang w:eastAsia="en-US"/>
        </w:rPr>
      </w:pPr>
      <w:r w:rsidRPr="00364111">
        <w:rPr>
          <w:szCs w:val="22"/>
          <w:lang w:eastAsia="en-US"/>
        </w:rPr>
        <w:t xml:space="preserve">The reference language for </w:t>
      </w:r>
      <w:r w:rsidR="00F3114E" w:rsidRPr="00364111">
        <w:rPr>
          <w:szCs w:val="22"/>
          <w:lang w:eastAsia="en-US"/>
        </w:rPr>
        <w:t xml:space="preserve">the </w:t>
      </w:r>
      <w:r w:rsidR="00774C56">
        <w:rPr>
          <w:szCs w:val="22"/>
          <w:lang w:eastAsia="en-US"/>
        </w:rPr>
        <w:t>S</w:t>
      </w:r>
      <w:r w:rsidR="00774C56" w:rsidRPr="00364111">
        <w:rPr>
          <w:szCs w:val="22"/>
          <w:lang w:eastAsia="en-US"/>
        </w:rPr>
        <w:t xml:space="preserve">P </w:t>
      </w:r>
      <w:r w:rsidRPr="00364111">
        <w:rPr>
          <w:szCs w:val="22"/>
          <w:lang w:eastAsia="en-US"/>
        </w:rPr>
        <w:t xml:space="preserve">shall be English. For the avoidance of doubt, where TSOs need to translate </w:t>
      </w:r>
      <w:r w:rsidR="00EE5F3E" w:rsidRPr="00364111">
        <w:rPr>
          <w:szCs w:val="22"/>
          <w:lang w:eastAsia="en-US"/>
        </w:rPr>
        <w:t xml:space="preserve">the </w:t>
      </w:r>
      <w:r w:rsidR="00774C56">
        <w:rPr>
          <w:szCs w:val="22"/>
          <w:lang w:eastAsia="en-US"/>
        </w:rPr>
        <w:t>S</w:t>
      </w:r>
      <w:r w:rsidR="00774C56" w:rsidRPr="00364111">
        <w:rPr>
          <w:szCs w:val="22"/>
          <w:lang w:eastAsia="en-US"/>
        </w:rPr>
        <w:t xml:space="preserve">P </w:t>
      </w:r>
      <w:r w:rsidRPr="00364111">
        <w:rPr>
          <w:szCs w:val="22"/>
          <w:lang w:eastAsia="en-US"/>
        </w:rPr>
        <w:t xml:space="preserve">into their national language(s), in the event of inconsistencies between the English version published by TSOs in accordance with Article </w:t>
      </w:r>
      <w:r w:rsidR="001172F7">
        <w:rPr>
          <w:szCs w:val="22"/>
          <w:lang w:eastAsia="en-US"/>
        </w:rPr>
        <w:t>5</w:t>
      </w:r>
      <w:r w:rsidR="00A22069" w:rsidRPr="00364111">
        <w:rPr>
          <w:szCs w:val="22"/>
          <w:lang w:eastAsia="en-US"/>
        </w:rPr>
        <w:t>0</w:t>
      </w:r>
      <w:r w:rsidRPr="00364111">
        <w:rPr>
          <w:szCs w:val="22"/>
          <w:lang w:eastAsia="en-US"/>
        </w:rPr>
        <w:t xml:space="preserve"> of</w:t>
      </w:r>
      <w:r w:rsidR="000C6F6D">
        <w:rPr>
          <w:szCs w:val="22"/>
          <w:lang w:eastAsia="en-US"/>
        </w:rPr>
        <w:t xml:space="preserve"> the</w:t>
      </w:r>
      <w:r w:rsidRPr="00364111">
        <w:rPr>
          <w:szCs w:val="22"/>
          <w:lang w:eastAsia="en-US"/>
        </w:rPr>
        <w:t xml:space="preserve"> EB</w:t>
      </w:r>
      <w:r w:rsidR="00F3114E" w:rsidRPr="00364111">
        <w:rPr>
          <w:szCs w:val="22"/>
          <w:lang w:eastAsia="en-US"/>
        </w:rPr>
        <w:t>GL</w:t>
      </w:r>
      <w:r w:rsidRPr="00364111">
        <w:rPr>
          <w:szCs w:val="22"/>
          <w:lang w:eastAsia="en-US"/>
        </w:rPr>
        <w:t xml:space="preserve"> and any version in another language, the relevant TSOs shall be obliged to dispel any inconsistencies by providing a revised translation </w:t>
      </w:r>
      <w:r w:rsidR="00E46443" w:rsidRPr="00364111">
        <w:rPr>
          <w:szCs w:val="22"/>
          <w:lang w:eastAsia="en-US"/>
        </w:rPr>
        <w:t xml:space="preserve">of </w:t>
      </w:r>
      <w:r w:rsidR="00F3114E" w:rsidRPr="00364111">
        <w:rPr>
          <w:szCs w:val="22"/>
          <w:lang w:eastAsia="en-US"/>
        </w:rPr>
        <w:t xml:space="preserve">the </w:t>
      </w:r>
      <w:r w:rsidR="00774C56">
        <w:rPr>
          <w:szCs w:val="22"/>
          <w:lang w:eastAsia="en-US"/>
        </w:rPr>
        <w:t>S</w:t>
      </w:r>
      <w:r w:rsidR="00774C56" w:rsidRPr="00364111">
        <w:rPr>
          <w:szCs w:val="22"/>
          <w:lang w:eastAsia="en-US"/>
        </w:rPr>
        <w:t xml:space="preserve">P </w:t>
      </w:r>
      <w:r w:rsidRPr="00364111">
        <w:rPr>
          <w:szCs w:val="22"/>
          <w:lang w:eastAsia="en-US"/>
        </w:rPr>
        <w:t>to their relevant national regulatory authorities.</w:t>
      </w:r>
    </w:p>
    <w:p w14:paraId="377B7879" w14:textId="77777777" w:rsidR="00BB4705" w:rsidRDefault="00BB4705">
      <w:pPr>
        <w:rPr>
          <w:rFonts w:ascii="Times New Roman" w:hAnsi="Times New Roman"/>
          <w:szCs w:val="22"/>
          <w:lang w:eastAsia="en-US"/>
        </w:rPr>
      </w:pPr>
      <w:r>
        <w:rPr>
          <w:szCs w:val="22"/>
          <w:lang w:eastAsia="en-US"/>
        </w:rPr>
        <w:br w:type="page"/>
      </w:r>
    </w:p>
    <w:p w14:paraId="498121F3" w14:textId="77777777" w:rsidR="00BB4705" w:rsidRDefault="00BB4705" w:rsidP="00BB4705">
      <w:pPr>
        <w:jc w:val="center"/>
        <w:rPr>
          <w:b/>
          <w:u w:val="single"/>
        </w:rPr>
        <w:sectPr w:rsidR="00BB4705" w:rsidSect="00E457FB">
          <w:headerReference w:type="even" r:id="rId13"/>
          <w:headerReference w:type="default" r:id="rId14"/>
          <w:footerReference w:type="default" r:id="rId15"/>
          <w:headerReference w:type="first" r:id="rId16"/>
          <w:footerReference w:type="first" r:id="rId17"/>
          <w:pgSz w:w="11906" w:h="16838"/>
          <w:pgMar w:top="1928" w:right="1021" w:bottom="1701" w:left="1361" w:header="709" w:footer="170" w:gutter="0"/>
          <w:cols w:space="708"/>
          <w:titlePg/>
          <w:docGrid w:linePitch="360"/>
        </w:sectPr>
      </w:pPr>
    </w:p>
    <w:p w14:paraId="2EDEB6DF" w14:textId="77777777" w:rsidR="00BB4705" w:rsidRDefault="00BB4705" w:rsidP="00BB4705">
      <w:pPr>
        <w:jc w:val="center"/>
        <w:rPr>
          <w:b/>
          <w:u w:val="single"/>
        </w:rPr>
      </w:pPr>
    </w:p>
    <w:p w14:paraId="60DD352C" w14:textId="77777777" w:rsidR="00BB4705" w:rsidRPr="000B4DEB" w:rsidRDefault="00BB4705" w:rsidP="00BB4705">
      <w:pPr>
        <w:jc w:val="center"/>
        <w:rPr>
          <w:rFonts w:asciiTheme="minorHAnsi" w:hAnsiTheme="minorHAnsi" w:cstheme="minorHAnsi"/>
          <w:b/>
          <w:u w:val="single"/>
        </w:rPr>
      </w:pPr>
      <w:r w:rsidRPr="000B4DEB">
        <w:rPr>
          <w:rFonts w:asciiTheme="minorHAnsi" w:hAnsiTheme="minorHAnsi" w:cstheme="minorHAnsi"/>
          <w:b/>
          <w:u w:val="single"/>
        </w:rPr>
        <w:t>Annex 1 to balancing congestion income distribution</w:t>
      </w:r>
    </w:p>
    <w:p w14:paraId="7E3D572E" w14:textId="2DCE5D47" w:rsidR="00BB4705" w:rsidRPr="000B4DEB" w:rsidRDefault="00BB4705" w:rsidP="00BB4705">
      <w:pPr>
        <w:jc w:val="center"/>
        <w:rPr>
          <w:rFonts w:asciiTheme="minorHAnsi" w:hAnsiTheme="minorHAnsi" w:cstheme="minorHAnsi"/>
          <w:b/>
          <w:u w:val="single"/>
        </w:rPr>
      </w:pPr>
      <w:r w:rsidRPr="000B4DEB">
        <w:rPr>
          <w:rFonts w:asciiTheme="minorHAnsi" w:hAnsiTheme="minorHAnsi" w:cstheme="minorHAnsi"/>
          <w:b/>
          <w:u w:val="single"/>
        </w:rPr>
        <w:t xml:space="preserve"> </w:t>
      </w:r>
    </w:p>
    <w:p w14:paraId="3F030C42" w14:textId="7174C055" w:rsidR="00BB4705" w:rsidRPr="000B4DEB" w:rsidRDefault="00BB4705" w:rsidP="00BB4705">
      <w:pPr>
        <w:jc w:val="both"/>
        <w:rPr>
          <w:rFonts w:asciiTheme="minorHAnsi" w:hAnsiTheme="minorHAnsi" w:cstheme="minorHAnsi"/>
        </w:rPr>
      </w:pPr>
      <w:r w:rsidRPr="000B4DEB">
        <w:rPr>
          <w:rFonts w:asciiTheme="minorHAnsi" w:hAnsiTheme="minorHAnsi" w:cstheme="minorHAnsi"/>
        </w:rPr>
        <w:t xml:space="preserve">Pursuant to Article 8 of this proposal, this annex outlines the specific sharing keys applied for sharing balancing congestion income among TSOs on the </w:t>
      </w:r>
      <w:r w:rsidR="00172531">
        <w:rPr>
          <w:rFonts w:asciiTheme="minorHAnsi" w:hAnsiTheme="minorHAnsi" w:cstheme="minorHAnsi"/>
        </w:rPr>
        <w:t>balancing border</w:t>
      </w:r>
      <w:r w:rsidRPr="000B4DEB">
        <w:rPr>
          <w:rFonts w:asciiTheme="minorHAnsi" w:hAnsiTheme="minorHAnsi" w:cstheme="minorHAnsi"/>
        </w:rPr>
        <w:t>. Two types of specific keys are defined:</w:t>
      </w:r>
    </w:p>
    <w:p w14:paraId="0F71E040" w14:textId="0887EC79" w:rsidR="00BB4705" w:rsidRDefault="00BB4705" w:rsidP="000B4DEB">
      <w:pPr>
        <w:pStyle w:val="ListParagraph"/>
        <w:numPr>
          <w:ilvl w:val="0"/>
          <w:numId w:val="156"/>
        </w:numPr>
      </w:pPr>
      <w:r>
        <w:t xml:space="preserve">Specific sharing keys pursuant to Article 8 (1) of this proposal describing a specific sharing key for the whole </w:t>
      </w:r>
      <w:r w:rsidR="00172531">
        <w:t>balancing border</w:t>
      </w:r>
      <w:r>
        <w:t xml:space="preserve"> (which applies to all interconnectors on that border); and</w:t>
      </w:r>
    </w:p>
    <w:p w14:paraId="7048460E" w14:textId="449A79FB" w:rsidR="00BB4705" w:rsidRDefault="00BB4705" w:rsidP="000B4DEB">
      <w:pPr>
        <w:pStyle w:val="ListParagraph"/>
        <w:numPr>
          <w:ilvl w:val="0"/>
          <w:numId w:val="156"/>
        </w:numPr>
      </w:pPr>
      <w:r>
        <w:t xml:space="preserve">Specific sharing keys pursuant to Article 8 (3) of this proposal describing a specific sharing key for specific interconnectors of a </w:t>
      </w:r>
      <w:r w:rsidR="00172531">
        <w:t>balancing border</w:t>
      </w:r>
      <w:r>
        <w:t>.</w:t>
      </w:r>
    </w:p>
    <w:p w14:paraId="4A706FDA" w14:textId="66522446" w:rsidR="00BB4705" w:rsidRPr="000B4DEB" w:rsidRDefault="00BB4705" w:rsidP="000B4DEB">
      <w:pPr>
        <w:rPr>
          <w:rFonts w:asciiTheme="minorHAnsi" w:hAnsiTheme="minorHAnsi" w:cstheme="minorHAnsi"/>
        </w:rPr>
      </w:pPr>
      <w:r w:rsidRPr="000B4DEB">
        <w:rPr>
          <w:rFonts w:asciiTheme="minorHAnsi" w:hAnsiTheme="minorHAnsi" w:cstheme="minorHAnsi"/>
        </w:rPr>
        <w:t xml:space="preserve">The involved TSOs and entities may differ from those specified in the definition of capacity calculation regions for specific </w:t>
      </w:r>
      <w:r w:rsidR="00172531">
        <w:rPr>
          <w:rFonts w:asciiTheme="minorHAnsi" w:hAnsiTheme="minorHAnsi" w:cstheme="minorHAnsi"/>
        </w:rPr>
        <w:t>balancing border</w:t>
      </w:r>
      <w:r w:rsidRPr="000B4DEB">
        <w:rPr>
          <w:rFonts w:asciiTheme="minorHAnsi" w:hAnsiTheme="minorHAnsi" w:cstheme="minorHAnsi"/>
        </w:rPr>
        <w:t xml:space="preserve"> when entities other than TSOs are present in the border.</w:t>
      </w:r>
    </w:p>
    <w:p w14:paraId="375AF219" w14:textId="510719AE" w:rsidR="00BB4705" w:rsidRDefault="00BB4705" w:rsidP="00BB4705">
      <w:pPr>
        <w:jc w:val="both"/>
      </w:pPr>
    </w:p>
    <w:tbl>
      <w:tblPr>
        <w:tblStyle w:val="TableGrid"/>
        <w:tblW w:w="14620" w:type="dxa"/>
        <w:tblLook w:val="04A0" w:firstRow="1" w:lastRow="0" w:firstColumn="1" w:lastColumn="0" w:noHBand="0" w:noVBand="1"/>
      </w:tblPr>
      <w:tblGrid>
        <w:gridCol w:w="1271"/>
        <w:gridCol w:w="2410"/>
        <w:gridCol w:w="3118"/>
        <w:gridCol w:w="4678"/>
        <w:gridCol w:w="3143"/>
      </w:tblGrid>
      <w:tr w:rsidR="00F85687" w:rsidRPr="00B27064" w14:paraId="6CF4C9C8" w14:textId="2002B8AF" w:rsidTr="000B4DEB">
        <w:trPr>
          <w:trHeight w:val="260"/>
        </w:trPr>
        <w:tc>
          <w:tcPr>
            <w:tcW w:w="1271" w:type="dxa"/>
          </w:tcPr>
          <w:p w14:paraId="37067CDA" w14:textId="6EBBFBD2" w:rsidR="00F85687" w:rsidRPr="000B4DEB" w:rsidRDefault="00172531" w:rsidP="00AC3FE2">
            <w:pPr>
              <w:rPr>
                <w:rFonts w:asciiTheme="minorHAnsi" w:hAnsiTheme="minorHAnsi" w:cstheme="minorHAnsi"/>
                <w:b/>
              </w:rPr>
            </w:pPr>
            <w:r>
              <w:rPr>
                <w:rFonts w:asciiTheme="minorHAnsi" w:hAnsiTheme="minorHAnsi" w:cstheme="minorHAnsi"/>
                <w:b/>
              </w:rPr>
              <w:t>Balancing border</w:t>
            </w:r>
          </w:p>
        </w:tc>
        <w:tc>
          <w:tcPr>
            <w:tcW w:w="2410" w:type="dxa"/>
          </w:tcPr>
          <w:p w14:paraId="6AEB009B" w14:textId="7E8633C8" w:rsidR="00F85687" w:rsidRPr="000B4DEB" w:rsidRDefault="00F85687" w:rsidP="00AC3FE2">
            <w:pPr>
              <w:rPr>
                <w:rFonts w:asciiTheme="minorHAnsi" w:hAnsiTheme="minorHAnsi" w:cstheme="minorHAnsi"/>
                <w:b/>
              </w:rPr>
            </w:pPr>
            <w:r w:rsidRPr="000B4DEB">
              <w:rPr>
                <w:rFonts w:asciiTheme="minorHAnsi" w:hAnsiTheme="minorHAnsi" w:cstheme="minorHAnsi"/>
                <w:b/>
              </w:rPr>
              <w:t>Interconnector</w:t>
            </w:r>
          </w:p>
        </w:tc>
        <w:tc>
          <w:tcPr>
            <w:tcW w:w="3118" w:type="dxa"/>
          </w:tcPr>
          <w:p w14:paraId="0EF093E3" w14:textId="3895EE7D" w:rsidR="00F85687" w:rsidRPr="000B4DEB" w:rsidRDefault="00F85687" w:rsidP="00AC3FE2">
            <w:pPr>
              <w:rPr>
                <w:rFonts w:asciiTheme="minorHAnsi" w:hAnsiTheme="minorHAnsi" w:cstheme="minorHAnsi"/>
                <w:b/>
              </w:rPr>
            </w:pPr>
            <w:r w:rsidRPr="000B4DEB">
              <w:rPr>
                <w:rFonts w:asciiTheme="minorHAnsi" w:hAnsiTheme="minorHAnsi" w:cstheme="minorHAnsi"/>
                <w:b/>
              </w:rPr>
              <w:t>Involved TSOs/ Parties</w:t>
            </w:r>
          </w:p>
        </w:tc>
        <w:tc>
          <w:tcPr>
            <w:tcW w:w="4678" w:type="dxa"/>
          </w:tcPr>
          <w:p w14:paraId="3E661307" w14:textId="77777777" w:rsidR="00F85687" w:rsidRPr="000B4DEB" w:rsidRDefault="00F85687" w:rsidP="00AC3FE2">
            <w:pPr>
              <w:jc w:val="both"/>
              <w:rPr>
                <w:rFonts w:asciiTheme="minorHAnsi" w:hAnsiTheme="minorHAnsi" w:cstheme="minorHAnsi"/>
                <w:b/>
              </w:rPr>
            </w:pPr>
            <w:r w:rsidRPr="000B4DEB">
              <w:rPr>
                <w:rFonts w:asciiTheme="minorHAnsi" w:hAnsiTheme="minorHAnsi" w:cstheme="minorHAnsi"/>
                <w:b/>
              </w:rPr>
              <w:t xml:space="preserve">Sharing key applied </w:t>
            </w:r>
          </w:p>
        </w:tc>
        <w:tc>
          <w:tcPr>
            <w:tcW w:w="3143" w:type="dxa"/>
          </w:tcPr>
          <w:p w14:paraId="2373D1CA" w14:textId="60C66D91" w:rsidR="00F85687" w:rsidRPr="000B4DEB" w:rsidRDefault="00F85687" w:rsidP="00AC3FE2">
            <w:pPr>
              <w:jc w:val="both"/>
              <w:rPr>
                <w:rFonts w:asciiTheme="minorHAnsi" w:hAnsiTheme="minorHAnsi" w:cstheme="minorHAnsi"/>
                <w:b/>
              </w:rPr>
            </w:pPr>
            <w:r w:rsidRPr="000B4DEB">
              <w:rPr>
                <w:rFonts w:asciiTheme="minorHAnsi" w:hAnsiTheme="minorHAnsi" w:cstheme="minorHAnsi"/>
                <w:b/>
              </w:rPr>
              <w:t>Reason</w:t>
            </w:r>
          </w:p>
        </w:tc>
      </w:tr>
      <w:tr w:rsidR="00F85687" w:rsidRPr="00B27064" w14:paraId="3E76DBC7" w14:textId="2D43FF69" w:rsidTr="000B4DEB">
        <w:trPr>
          <w:trHeight w:val="244"/>
        </w:trPr>
        <w:tc>
          <w:tcPr>
            <w:tcW w:w="1271" w:type="dxa"/>
          </w:tcPr>
          <w:p w14:paraId="05EE007C" w14:textId="0F0A9373" w:rsidR="00F85687" w:rsidRPr="000B4DEB" w:rsidRDefault="00F85687" w:rsidP="00AC3FE2">
            <w:pPr>
              <w:rPr>
                <w:rFonts w:asciiTheme="minorHAnsi" w:hAnsiTheme="minorHAnsi" w:cstheme="minorHAnsi"/>
              </w:rPr>
            </w:pPr>
            <w:r w:rsidRPr="000B4DEB">
              <w:rPr>
                <w:rFonts w:asciiTheme="minorHAnsi" w:hAnsiTheme="minorHAnsi" w:cstheme="minorHAnsi"/>
              </w:rPr>
              <w:t>DK2 – DE/LU</w:t>
            </w:r>
          </w:p>
        </w:tc>
        <w:tc>
          <w:tcPr>
            <w:tcW w:w="2410" w:type="dxa"/>
          </w:tcPr>
          <w:p w14:paraId="495FE5A6" w14:textId="21714789" w:rsidR="00F85687" w:rsidRPr="000B4DEB" w:rsidRDefault="00F85687" w:rsidP="00AC3FE2">
            <w:pPr>
              <w:rPr>
                <w:rFonts w:asciiTheme="minorHAnsi" w:hAnsiTheme="minorHAnsi" w:cstheme="minorHAnsi"/>
                <w:lang w:val="de-CH"/>
              </w:rPr>
            </w:pPr>
            <w:r w:rsidRPr="000B4DEB">
              <w:rPr>
                <w:rFonts w:asciiTheme="minorHAnsi" w:hAnsiTheme="minorHAnsi" w:cstheme="minorHAnsi"/>
                <w:lang w:val="de-CH"/>
              </w:rPr>
              <w:t>All</w:t>
            </w:r>
          </w:p>
        </w:tc>
        <w:tc>
          <w:tcPr>
            <w:tcW w:w="3118" w:type="dxa"/>
          </w:tcPr>
          <w:p w14:paraId="16954E38" w14:textId="54833A49" w:rsidR="00F85687" w:rsidRPr="000B4DEB" w:rsidRDefault="00F85687" w:rsidP="00AC3FE2">
            <w:pPr>
              <w:rPr>
                <w:rFonts w:asciiTheme="minorHAnsi" w:hAnsiTheme="minorHAnsi" w:cstheme="minorHAnsi"/>
                <w:lang w:val="de-CH"/>
              </w:rPr>
            </w:pPr>
            <w:r w:rsidRPr="000B4DEB">
              <w:rPr>
                <w:rFonts w:asciiTheme="minorHAnsi" w:hAnsiTheme="minorHAnsi" w:cstheme="minorHAnsi"/>
                <w:lang w:val="de-CH"/>
              </w:rPr>
              <w:t>Energinet.dk, 50Hertz, Vattenfall AB</w:t>
            </w:r>
          </w:p>
        </w:tc>
        <w:tc>
          <w:tcPr>
            <w:tcW w:w="4678" w:type="dxa"/>
          </w:tcPr>
          <w:p w14:paraId="78E68485" w14:textId="0FDBD49A" w:rsidR="00F85687" w:rsidRPr="000B4DEB" w:rsidRDefault="00F85687" w:rsidP="00AC3FE2">
            <w:pPr>
              <w:rPr>
                <w:rFonts w:asciiTheme="minorHAnsi" w:hAnsiTheme="minorHAnsi" w:cstheme="minorHAnsi"/>
                <w:color w:val="000000"/>
              </w:rPr>
            </w:pPr>
            <w:r w:rsidRPr="000B4DEB">
              <w:rPr>
                <w:rFonts w:asciiTheme="minorHAnsi" w:hAnsiTheme="minorHAnsi" w:cstheme="minorHAnsi"/>
                <w:color w:val="000000"/>
              </w:rPr>
              <w:t xml:space="preserve">Hours with congestion from DE/LU to DK2: </w:t>
            </w:r>
            <w:r w:rsidRPr="000B4DEB">
              <w:rPr>
                <w:rFonts w:asciiTheme="minorHAnsi" w:hAnsiTheme="minorHAnsi" w:cstheme="minorHAnsi"/>
                <w:color w:val="000000"/>
              </w:rPr>
              <w:br/>
              <w:t>Energinet.dk: 1/3</w:t>
            </w:r>
            <w:r w:rsidRPr="000B4DEB">
              <w:rPr>
                <w:rFonts w:asciiTheme="minorHAnsi" w:hAnsiTheme="minorHAnsi" w:cstheme="minorHAnsi"/>
                <w:color w:val="000000"/>
              </w:rPr>
              <w:br/>
              <w:t>Vattenfall: 1/3</w:t>
            </w:r>
            <w:r w:rsidRPr="000B4DEB">
              <w:rPr>
                <w:rFonts w:asciiTheme="minorHAnsi" w:hAnsiTheme="minorHAnsi" w:cstheme="minorHAnsi"/>
                <w:color w:val="000000"/>
              </w:rPr>
              <w:br/>
              <w:t>50 Hertz: 1/3</w:t>
            </w:r>
            <w:r w:rsidRPr="000B4DEB">
              <w:rPr>
                <w:rFonts w:asciiTheme="minorHAnsi" w:hAnsiTheme="minorHAnsi" w:cstheme="minorHAnsi"/>
                <w:color w:val="000000"/>
              </w:rPr>
              <w:br/>
            </w:r>
            <w:r w:rsidRPr="000B4DEB">
              <w:rPr>
                <w:rFonts w:asciiTheme="minorHAnsi" w:hAnsiTheme="minorHAnsi" w:cstheme="minorHAnsi"/>
                <w:color w:val="000000"/>
              </w:rPr>
              <w:br/>
              <w:t>Hours with congestion from DK2 to DE:</w:t>
            </w:r>
            <w:r w:rsidRPr="000B4DEB">
              <w:rPr>
                <w:rFonts w:asciiTheme="minorHAnsi" w:hAnsiTheme="minorHAnsi" w:cstheme="minorHAnsi"/>
                <w:color w:val="000000"/>
              </w:rPr>
              <w:br/>
              <w:t>Energinet.dk: 190/585</w:t>
            </w:r>
            <w:r w:rsidRPr="000B4DEB">
              <w:rPr>
                <w:rFonts w:asciiTheme="minorHAnsi" w:hAnsiTheme="minorHAnsi" w:cstheme="minorHAnsi"/>
                <w:color w:val="000000"/>
              </w:rPr>
              <w:br/>
              <w:t>Vattenfall: 200/585</w:t>
            </w:r>
            <w:r w:rsidRPr="000B4DEB">
              <w:rPr>
                <w:rFonts w:asciiTheme="minorHAnsi" w:hAnsiTheme="minorHAnsi" w:cstheme="minorHAnsi"/>
                <w:color w:val="000000"/>
              </w:rPr>
              <w:br/>
              <w:t xml:space="preserve">50 Hertz: 195/585 </w:t>
            </w:r>
          </w:p>
        </w:tc>
        <w:tc>
          <w:tcPr>
            <w:tcW w:w="3143" w:type="dxa"/>
          </w:tcPr>
          <w:p w14:paraId="24AA2E7F" w14:textId="132C8EE0" w:rsidR="00F85687" w:rsidRPr="000B4DEB" w:rsidRDefault="00F85687" w:rsidP="00AC3FE2">
            <w:pPr>
              <w:rPr>
                <w:rFonts w:asciiTheme="minorHAnsi" w:hAnsiTheme="minorHAnsi" w:cstheme="minorHAnsi"/>
                <w:color w:val="000000"/>
              </w:rPr>
            </w:pPr>
            <w:r w:rsidRPr="000B4DEB">
              <w:rPr>
                <w:rFonts w:asciiTheme="minorHAnsi" w:hAnsiTheme="minorHAnsi" w:cstheme="minorHAnsi"/>
                <w:color w:val="000000"/>
              </w:rPr>
              <w:t>Ownership shares</w:t>
            </w:r>
          </w:p>
        </w:tc>
      </w:tr>
      <w:tr w:rsidR="00F85687" w:rsidRPr="00B27064" w14:paraId="10ED652A" w14:textId="77777777" w:rsidTr="00F85687">
        <w:trPr>
          <w:trHeight w:val="244"/>
        </w:trPr>
        <w:tc>
          <w:tcPr>
            <w:tcW w:w="1271" w:type="dxa"/>
          </w:tcPr>
          <w:p w14:paraId="6BDF63BB" w14:textId="1D213AA0" w:rsidR="00F85687" w:rsidRPr="000B4DEB" w:rsidRDefault="00F85687" w:rsidP="00F85687">
            <w:pPr>
              <w:rPr>
                <w:rFonts w:asciiTheme="minorHAnsi" w:hAnsiTheme="minorHAnsi" w:cstheme="minorHAnsi"/>
              </w:rPr>
            </w:pPr>
            <w:r w:rsidRPr="000B4DEB">
              <w:rPr>
                <w:rFonts w:asciiTheme="minorHAnsi" w:hAnsiTheme="minorHAnsi" w:cstheme="minorHAnsi"/>
              </w:rPr>
              <w:t>GB-NL</w:t>
            </w:r>
          </w:p>
        </w:tc>
        <w:tc>
          <w:tcPr>
            <w:tcW w:w="2410" w:type="dxa"/>
          </w:tcPr>
          <w:p w14:paraId="7401F018" w14:textId="6275F3E5" w:rsidR="00F85687" w:rsidRPr="000B4DEB" w:rsidRDefault="00F85687" w:rsidP="00F85687">
            <w:pPr>
              <w:rPr>
                <w:rFonts w:asciiTheme="minorHAnsi" w:hAnsiTheme="minorHAnsi" w:cstheme="minorHAnsi"/>
              </w:rPr>
            </w:pPr>
            <w:r w:rsidRPr="000B4DEB">
              <w:rPr>
                <w:rFonts w:asciiTheme="minorHAnsi" w:hAnsiTheme="minorHAnsi" w:cstheme="minorHAnsi"/>
              </w:rPr>
              <w:t>BritNed</w:t>
            </w:r>
          </w:p>
        </w:tc>
        <w:tc>
          <w:tcPr>
            <w:tcW w:w="3118" w:type="dxa"/>
          </w:tcPr>
          <w:p w14:paraId="0964CFF8" w14:textId="0E89A940" w:rsidR="00F85687" w:rsidRPr="00AB5D77" w:rsidRDefault="00F85687" w:rsidP="00F85687">
            <w:pPr>
              <w:rPr>
                <w:rFonts w:asciiTheme="minorHAnsi" w:hAnsiTheme="minorHAnsi" w:cstheme="minorHAnsi"/>
                <w:lang w:val="nb-NO"/>
              </w:rPr>
            </w:pPr>
            <w:r w:rsidRPr="00AB5D77">
              <w:rPr>
                <w:rFonts w:asciiTheme="minorHAnsi" w:hAnsiTheme="minorHAnsi" w:cstheme="minorHAnsi"/>
                <w:lang w:val="nb-NO"/>
              </w:rPr>
              <w:t>BritNed, TenneT TSO B.V. NGET</w:t>
            </w:r>
          </w:p>
        </w:tc>
        <w:tc>
          <w:tcPr>
            <w:tcW w:w="4678" w:type="dxa"/>
          </w:tcPr>
          <w:p w14:paraId="1801721E" w14:textId="77777777" w:rsidR="00F85687" w:rsidRPr="00AB5D77" w:rsidRDefault="00F85687" w:rsidP="00F85687">
            <w:pPr>
              <w:rPr>
                <w:rFonts w:asciiTheme="minorHAnsi" w:hAnsiTheme="minorHAnsi" w:cstheme="minorHAnsi"/>
                <w:lang w:val="nb-NO"/>
              </w:rPr>
            </w:pPr>
            <w:r w:rsidRPr="00AB5D77">
              <w:rPr>
                <w:rFonts w:asciiTheme="minorHAnsi" w:hAnsiTheme="minorHAnsi" w:cstheme="minorHAnsi"/>
                <w:lang w:val="nb-NO"/>
              </w:rPr>
              <w:t>BritNed: 100%;</w:t>
            </w:r>
          </w:p>
          <w:p w14:paraId="0A83A7C4" w14:textId="77777777" w:rsidR="00F85687" w:rsidRPr="00AB5D77" w:rsidRDefault="00F85687" w:rsidP="00F85687">
            <w:pPr>
              <w:rPr>
                <w:rFonts w:asciiTheme="minorHAnsi" w:hAnsiTheme="minorHAnsi" w:cstheme="minorHAnsi"/>
                <w:lang w:val="nb-NO"/>
              </w:rPr>
            </w:pPr>
            <w:r w:rsidRPr="00AB5D77">
              <w:rPr>
                <w:rFonts w:asciiTheme="minorHAnsi" w:hAnsiTheme="minorHAnsi" w:cstheme="minorHAnsi"/>
                <w:lang w:val="nb-NO"/>
              </w:rPr>
              <w:t xml:space="preserve">TenneT TSO B.V.: 0%; </w:t>
            </w:r>
          </w:p>
          <w:p w14:paraId="7B8B0B52" w14:textId="77C7CCE3" w:rsidR="00F85687" w:rsidRPr="000B4DEB" w:rsidRDefault="00F85687" w:rsidP="00F85687">
            <w:pPr>
              <w:rPr>
                <w:rFonts w:asciiTheme="minorHAnsi" w:hAnsiTheme="minorHAnsi" w:cstheme="minorHAnsi"/>
                <w:color w:val="000000"/>
              </w:rPr>
            </w:pPr>
            <w:r w:rsidRPr="000B4DEB">
              <w:rPr>
                <w:rFonts w:asciiTheme="minorHAnsi" w:hAnsiTheme="minorHAnsi" w:cstheme="minorHAnsi"/>
              </w:rPr>
              <w:t>NGET 0%</w:t>
            </w:r>
          </w:p>
        </w:tc>
        <w:tc>
          <w:tcPr>
            <w:tcW w:w="3143" w:type="dxa"/>
          </w:tcPr>
          <w:p w14:paraId="203E4BC4" w14:textId="713A48A5" w:rsidR="00F85687" w:rsidRPr="000B4DEB" w:rsidRDefault="00F85687" w:rsidP="00F85687">
            <w:pPr>
              <w:rPr>
                <w:rFonts w:asciiTheme="minorHAnsi" w:hAnsiTheme="minorHAnsi" w:cstheme="minorHAnsi"/>
                <w:color w:val="000000"/>
              </w:rPr>
            </w:pPr>
            <w:r w:rsidRPr="000B4DEB">
              <w:rPr>
                <w:rFonts w:asciiTheme="minorHAnsi" w:hAnsiTheme="minorHAnsi" w:cstheme="minorHAnsi"/>
                <w:color w:val="000000"/>
              </w:rPr>
              <w:t>Ownership shares</w:t>
            </w:r>
          </w:p>
        </w:tc>
      </w:tr>
      <w:tr w:rsidR="00F85687" w:rsidRPr="00B27064" w14:paraId="4D1B7D43" w14:textId="77777777" w:rsidTr="00F85687">
        <w:trPr>
          <w:trHeight w:val="244"/>
        </w:trPr>
        <w:tc>
          <w:tcPr>
            <w:tcW w:w="1271" w:type="dxa"/>
          </w:tcPr>
          <w:p w14:paraId="3A925F4C" w14:textId="4F7642C9" w:rsidR="00F85687" w:rsidRPr="000B4DEB" w:rsidRDefault="00F85687" w:rsidP="00F85687">
            <w:pPr>
              <w:rPr>
                <w:rFonts w:asciiTheme="minorHAnsi" w:hAnsiTheme="minorHAnsi" w:cstheme="minorHAnsi"/>
              </w:rPr>
            </w:pPr>
            <w:r w:rsidRPr="000B4DEB">
              <w:rPr>
                <w:rFonts w:asciiTheme="minorHAnsi" w:hAnsiTheme="minorHAnsi" w:cstheme="minorHAnsi"/>
              </w:rPr>
              <w:t>GB-BE</w:t>
            </w:r>
          </w:p>
        </w:tc>
        <w:tc>
          <w:tcPr>
            <w:tcW w:w="2410" w:type="dxa"/>
          </w:tcPr>
          <w:p w14:paraId="1C5EC2D9" w14:textId="48AB003C" w:rsidR="00F85687" w:rsidRPr="000B4DEB" w:rsidRDefault="00F85687" w:rsidP="00F85687">
            <w:pPr>
              <w:rPr>
                <w:rFonts w:asciiTheme="minorHAnsi" w:hAnsiTheme="minorHAnsi" w:cstheme="minorHAnsi"/>
              </w:rPr>
            </w:pPr>
            <w:r w:rsidRPr="000B4DEB">
              <w:rPr>
                <w:rFonts w:asciiTheme="minorHAnsi" w:hAnsiTheme="minorHAnsi" w:cstheme="minorHAnsi"/>
              </w:rPr>
              <w:t>Nemo Link</w:t>
            </w:r>
            <w:r w:rsidR="00B27064" w:rsidRPr="000B4DEB">
              <w:rPr>
                <w:rStyle w:val="FootnoteReference"/>
                <w:rFonts w:asciiTheme="minorHAnsi" w:hAnsiTheme="minorHAnsi" w:cstheme="minorHAnsi"/>
              </w:rPr>
              <w:footnoteReference w:id="2"/>
            </w:r>
          </w:p>
        </w:tc>
        <w:tc>
          <w:tcPr>
            <w:tcW w:w="3118" w:type="dxa"/>
          </w:tcPr>
          <w:p w14:paraId="7A65C94F" w14:textId="06ECEF44" w:rsidR="00F85687" w:rsidRPr="000B4DEB" w:rsidRDefault="00F85687" w:rsidP="00F85687">
            <w:pPr>
              <w:rPr>
                <w:rFonts w:asciiTheme="minorHAnsi" w:hAnsiTheme="minorHAnsi" w:cstheme="minorHAnsi"/>
              </w:rPr>
            </w:pPr>
            <w:r w:rsidRPr="000B4DEB">
              <w:rPr>
                <w:rFonts w:asciiTheme="minorHAnsi" w:hAnsiTheme="minorHAnsi" w:cstheme="minorHAnsi"/>
              </w:rPr>
              <w:t>Elia,</w:t>
            </w:r>
            <w:r w:rsidRPr="000B4DEB">
              <w:rPr>
                <w:rFonts w:asciiTheme="minorHAnsi" w:hAnsiTheme="minorHAnsi" w:cstheme="minorHAnsi"/>
              </w:rPr>
              <w:br/>
              <w:t>Nemo Link Limited,</w:t>
            </w:r>
            <w:r w:rsidRPr="000B4DEB">
              <w:rPr>
                <w:rFonts w:asciiTheme="minorHAnsi" w:hAnsiTheme="minorHAnsi" w:cstheme="minorHAnsi"/>
              </w:rPr>
              <w:br/>
              <w:t>NGET</w:t>
            </w:r>
          </w:p>
        </w:tc>
        <w:tc>
          <w:tcPr>
            <w:tcW w:w="4678" w:type="dxa"/>
          </w:tcPr>
          <w:p w14:paraId="66E622FC" w14:textId="77777777" w:rsidR="00F85687" w:rsidRPr="000B4DEB" w:rsidRDefault="00F85687" w:rsidP="00F85687">
            <w:pPr>
              <w:rPr>
                <w:rFonts w:asciiTheme="minorHAnsi" w:hAnsiTheme="minorHAnsi" w:cstheme="minorHAnsi"/>
              </w:rPr>
            </w:pPr>
            <w:r w:rsidRPr="000B4DEB">
              <w:rPr>
                <w:rFonts w:asciiTheme="minorHAnsi" w:hAnsiTheme="minorHAnsi" w:cstheme="minorHAnsi"/>
              </w:rPr>
              <w:t>Elia: 0%;</w:t>
            </w:r>
          </w:p>
          <w:p w14:paraId="25D91AD4" w14:textId="7E293AF9" w:rsidR="00F85687" w:rsidRPr="000B4DEB" w:rsidRDefault="00F85687" w:rsidP="00F85687">
            <w:pPr>
              <w:rPr>
                <w:rFonts w:asciiTheme="minorHAnsi" w:hAnsiTheme="minorHAnsi" w:cstheme="minorHAnsi"/>
              </w:rPr>
            </w:pPr>
            <w:r w:rsidRPr="000B4DEB">
              <w:rPr>
                <w:rFonts w:asciiTheme="minorHAnsi" w:hAnsiTheme="minorHAnsi" w:cstheme="minorHAnsi"/>
              </w:rPr>
              <w:t>Nemo Link Limited:  100%;</w:t>
            </w:r>
          </w:p>
          <w:p w14:paraId="2DE8CAAB" w14:textId="14E70578" w:rsidR="00F85687" w:rsidRPr="000B4DEB" w:rsidRDefault="00F85687" w:rsidP="00F85687">
            <w:pPr>
              <w:rPr>
                <w:rFonts w:asciiTheme="minorHAnsi" w:hAnsiTheme="minorHAnsi" w:cstheme="minorHAnsi"/>
              </w:rPr>
            </w:pPr>
            <w:r w:rsidRPr="000B4DEB">
              <w:rPr>
                <w:rFonts w:asciiTheme="minorHAnsi" w:hAnsiTheme="minorHAnsi" w:cstheme="minorHAnsi"/>
              </w:rPr>
              <w:t>NGET: 0%</w:t>
            </w:r>
          </w:p>
        </w:tc>
        <w:tc>
          <w:tcPr>
            <w:tcW w:w="3143" w:type="dxa"/>
          </w:tcPr>
          <w:p w14:paraId="56B3DC69" w14:textId="1ADC7FA9" w:rsidR="00F85687" w:rsidRPr="000B4DEB" w:rsidRDefault="00F85687" w:rsidP="00F85687">
            <w:pPr>
              <w:rPr>
                <w:rFonts w:asciiTheme="minorHAnsi" w:hAnsiTheme="minorHAnsi" w:cstheme="minorHAnsi"/>
                <w:color w:val="000000"/>
              </w:rPr>
            </w:pPr>
            <w:r w:rsidRPr="000B4DEB">
              <w:rPr>
                <w:rFonts w:asciiTheme="minorHAnsi" w:hAnsiTheme="minorHAnsi" w:cstheme="minorHAnsi"/>
                <w:color w:val="000000"/>
              </w:rPr>
              <w:t>Ownership shares</w:t>
            </w:r>
          </w:p>
        </w:tc>
      </w:tr>
      <w:tr w:rsidR="00F85687" w:rsidRPr="00B27064" w14:paraId="3EAB5383" w14:textId="77777777" w:rsidTr="00F85687">
        <w:trPr>
          <w:trHeight w:val="244"/>
        </w:trPr>
        <w:tc>
          <w:tcPr>
            <w:tcW w:w="1271" w:type="dxa"/>
          </w:tcPr>
          <w:p w14:paraId="45E9C99E" w14:textId="7921B640" w:rsidR="00F85687" w:rsidRPr="000B4DEB" w:rsidRDefault="00F85687" w:rsidP="00F85687">
            <w:pPr>
              <w:rPr>
                <w:rFonts w:asciiTheme="minorHAnsi" w:hAnsiTheme="minorHAnsi" w:cstheme="minorHAnsi"/>
                <w:lang w:val="es-ES"/>
              </w:rPr>
            </w:pPr>
            <w:r w:rsidRPr="000B4DEB">
              <w:rPr>
                <w:rFonts w:asciiTheme="minorHAnsi" w:hAnsiTheme="minorHAnsi" w:cstheme="minorHAnsi"/>
                <w:lang w:val="es-ES"/>
              </w:rPr>
              <w:t>SEM-GB</w:t>
            </w:r>
          </w:p>
        </w:tc>
        <w:tc>
          <w:tcPr>
            <w:tcW w:w="2410" w:type="dxa"/>
          </w:tcPr>
          <w:p w14:paraId="34E88DA9" w14:textId="7C84C5A6" w:rsidR="00F85687" w:rsidRPr="000B4DEB" w:rsidRDefault="00F85687" w:rsidP="00F85687">
            <w:pPr>
              <w:rPr>
                <w:rFonts w:asciiTheme="minorHAnsi" w:hAnsiTheme="minorHAnsi" w:cstheme="minorHAnsi"/>
                <w:lang w:val="de-AT"/>
              </w:rPr>
            </w:pPr>
            <w:r w:rsidRPr="000B4DEB">
              <w:rPr>
                <w:rFonts w:asciiTheme="minorHAnsi" w:hAnsiTheme="minorHAnsi" w:cstheme="minorHAnsi"/>
                <w:lang w:val="de-AT"/>
              </w:rPr>
              <w:t>Interconnector IE-GB</w:t>
            </w:r>
          </w:p>
        </w:tc>
        <w:tc>
          <w:tcPr>
            <w:tcW w:w="3118" w:type="dxa"/>
          </w:tcPr>
          <w:p w14:paraId="7B7BFC53" w14:textId="77777777" w:rsidR="00F85687" w:rsidRPr="000B4DEB" w:rsidRDefault="00F85687" w:rsidP="00F85687">
            <w:pPr>
              <w:rPr>
                <w:rFonts w:asciiTheme="minorHAnsi" w:hAnsiTheme="minorHAnsi" w:cstheme="minorHAnsi"/>
                <w:color w:val="000000"/>
              </w:rPr>
            </w:pPr>
            <w:r w:rsidRPr="000B4DEB">
              <w:rPr>
                <w:rFonts w:asciiTheme="minorHAnsi" w:hAnsiTheme="minorHAnsi" w:cstheme="minorHAnsi"/>
                <w:color w:val="000000"/>
              </w:rPr>
              <w:t>EirGrid PLC,</w:t>
            </w:r>
          </w:p>
          <w:p w14:paraId="588F6F60" w14:textId="533CA68E" w:rsidR="00F85687" w:rsidRPr="000B4DEB" w:rsidRDefault="00F85687" w:rsidP="00F85687">
            <w:pPr>
              <w:rPr>
                <w:rFonts w:asciiTheme="minorHAnsi" w:hAnsiTheme="minorHAnsi" w:cstheme="minorHAnsi"/>
              </w:rPr>
            </w:pPr>
            <w:r w:rsidRPr="000B4DEB">
              <w:rPr>
                <w:rFonts w:asciiTheme="minorHAnsi" w:hAnsiTheme="minorHAnsi" w:cstheme="minorHAnsi"/>
                <w:color w:val="000000"/>
              </w:rPr>
              <w:t>NGET</w:t>
            </w:r>
          </w:p>
        </w:tc>
        <w:tc>
          <w:tcPr>
            <w:tcW w:w="4678" w:type="dxa"/>
          </w:tcPr>
          <w:p w14:paraId="4A2C524A" w14:textId="77777777" w:rsidR="00F85687" w:rsidRPr="000B4DEB" w:rsidRDefault="00F85687" w:rsidP="00F85687">
            <w:pPr>
              <w:rPr>
                <w:rFonts w:asciiTheme="minorHAnsi" w:hAnsiTheme="minorHAnsi" w:cstheme="minorHAnsi"/>
              </w:rPr>
            </w:pPr>
            <w:r w:rsidRPr="000B4DEB">
              <w:rPr>
                <w:rFonts w:asciiTheme="minorHAnsi" w:hAnsiTheme="minorHAnsi" w:cstheme="minorHAnsi"/>
              </w:rPr>
              <w:t>EirGrid: 100%</w:t>
            </w:r>
          </w:p>
          <w:p w14:paraId="11B08DB2" w14:textId="7393D756" w:rsidR="00F85687" w:rsidRPr="000B4DEB" w:rsidRDefault="00F85687" w:rsidP="00F85687">
            <w:pPr>
              <w:rPr>
                <w:rFonts w:asciiTheme="minorHAnsi" w:hAnsiTheme="minorHAnsi" w:cstheme="minorHAnsi"/>
              </w:rPr>
            </w:pPr>
            <w:r w:rsidRPr="000B4DEB">
              <w:rPr>
                <w:rFonts w:asciiTheme="minorHAnsi" w:hAnsiTheme="minorHAnsi" w:cstheme="minorHAnsi"/>
              </w:rPr>
              <w:t>NGET: 0%</w:t>
            </w:r>
          </w:p>
        </w:tc>
        <w:tc>
          <w:tcPr>
            <w:tcW w:w="3143" w:type="dxa"/>
          </w:tcPr>
          <w:p w14:paraId="3D3894A5" w14:textId="6C3B91FA" w:rsidR="00F85687" w:rsidRPr="000B4DEB" w:rsidRDefault="00F85687" w:rsidP="00F85687">
            <w:pPr>
              <w:rPr>
                <w:rFonts w:asciiTheme="minorHAnsi" w:hAnsiTheme="minorHAnsi" w:cstheme="minorHAnsi"/>
                <w:color w:val="000000"/>
              </w:rPr>
            </w:pPr>
            <w:r w:rsidRPr="000B4DEB">
              <w:rPr>
                <w:rFonts w:asciiTheme="minorHAnsi" w:hAnsiTheme="minorHAnsi" w:cstheme="minorHAnsi"/>
                <w:color w:val="000000"/>
              </w:rPr>
              <w:t>Ownership shares</w:t>
            </w:r>
          </w:p>
        </w:tc>
      </w:tr>
      <w:tr w:rsidR="00F85687" w:rsidRPr="00B27064" w14:paraId="7CF69D0F" w14:textId="77777777" w:rsidTr="00F85687">
        <w:trPr>
          <w:trHeight w:val="244"/>
        </w:trPr>
        <w:tc>
          <w:tcPr>
            <w:tcW w:w="1271" w:type="dxa"/>
          </w:tcPr>
          <w:p w14:paraId="3115D7C4" w14:textId="6064A901" w:rsidR="00F85687" w:rsidRPr="000B4DEB" w:rsidRDefault="00F85687" w:rsidP="00F85687">
            <w:pPr>
              <w:rPr>
                <w:rFonts w:asciiTheme="minorHAnsi" w:hAnsiTheme="minorHAnsi" w:cstheme="minorHAnsi"/>
                <w:lang w:val="es-ES"/>
              </w:rPr>
            </w:pPr>
            <w:r w:rsidRPr="000B4DEB">
              <w:rPr>
                <w:rFonts w:asciiTheme="minorHAnsi" w:hAnsiTheme="minorHAnsi" w:cstheme="minorHAnsi"/>
                <w:lang w:val="es-ES"/>
              </w:rPr>
              <w:t>SEM-GB</w:t>
            </w:r>
          </w:p>
        </w:tc>
        <w:tc>
          <w:tcPr>
            <w:tcW w:w="2410" w:type="dxa"/>
          </w:tcPr>
          <w:p w14:paraId="2E034548" w14:textId="525CA1E8" w:rsidR="00F85687" w:rsidRPr="000B4DEB" w:rsidRDefault="00F85687">
            <w:pPr>
              <w:rPr>
                <w:rFonts w:asciiTheme="minorHAnsi" w:hAnsiTheme="minorHAnsi" w:cstheme="minorHAnsi"/>
                <w:lang w:val="de-AT"/>
              </w:rPr>
            </w:pPr>
            <w:r w:rsidRPr="000B4DEB">
              <w:rPr>
                <w:rFonts w:asciiTheme="minorHAnsi" w:hAnsiTheme="minorHAnsi" w:cstheme="minorHAnsi"/>
                <w:lang w:val="de-AT"/>
              </w:rPr>
              <w:t>Interconnector GB-NI</w:t>
            </w:r>
          </w:p>
        </w:tc>
        <w:tc>
          <w:tcPr>
            <w:tcW w:w="3118" w:type="dxa"/>
          </w:tcPr>
          <w:p w14:paraId="3492D11C" w14:textId="77777777" w:rsidR="00F85687" w:rsidRPr="000B4DEB" w:rsidRDefault="00F85687" w:rsidP="00F85687">
            <w:pPr>
              <w:rPr>
                <w:rFonts w:asciiTheme="minorHAnsi" w:hAnsiTheme="minorHAnsi" w:cstheme="minorHAnsi"/>
                <w:color w:val="000000"/>
                <w:lang w:val="fr-FR"/>
              </w:rPr>
            </w:pPr>
            <w:r w:rsidRPr="000B4DEB">
              <w:rPr>
                <w:rFonts w:asciiTheme="minorHAnsi" w:hAnsiTheme="minorHAnsi" w:cstheme="minorHAnsi"/>
                <w:color w:val="000000"/>
                <w:lang w:val="fr-FR"/>
              </w:rPr>
              <w:t>SONI</w:t>
            </w:r>
          </w:p>
          <w:p w14:paraId="79B614D3" w14:textId="77777777" w:rsidR="00F85687" w:rsidRPr="000B4DEB" w:rsidRDefault="00F85687" w:rsidP="00F85687">
            <w:pPr>
              <w:rPr>
                <w:rFonts w:asciiTheme="minorHAnsi" w:hAnsiTheme="minorHAnsi" w:cstheme="minorHAnsi"/>
                <w:color w:val="000000"/>
                <w:lang w:val="fr-FR"/>
              </w:rPr>
            </w:pPr>
            <w:r w:rsidRPr="000B4DEB">
              <w:rPr>
                <w:rFonts w:asciiTheme="minorHAnsi" w:hAnsiTheme="minorHAnsi" w:cstheme="minorHAnsi"/>
                <w:color w:val="000000"/>
                <w:lang w:val="fr-FR"/>
              </w:rPr>
              <w:lastRenderedPageBreak/>
              <w:t>NGET</w:t>
            </w:r>
          </w:p>
          <w:p w14:paraId="4E85B525" w14:textId="1F89E842" w:rsidR="00F85687" w:rsidRPr="000B4DEB" w:rsidRDefault="00F85687" w:rsidP="00F85687">
            <w:pPr>
              <w:rPr>
                <w:rFonts w:asciiTheme="minorHAnsi" w:hAnsiTheme="minorHAnsi" w:cstheme="minorHAnsi"/>
                <w:color w:val="000000"/>
                <w:lang w:val="fr-FR"/>
              </w:rPr>
            </w:pPr>
            <w:r w:rsidRPr="000B4DEB">
              <w:rPr>
                <w:rFonts w:asciiTheme="minorHAnsi" w:hAnsiTheme="minorHAnsi" w:cstheme="minorHAnsi"/>
                <w:color w:val="000000"/>
                <w:lang w:val="fr-FR"/>
              </w:rPr>
              <w:t>Moyle Interconnector Ltd</w:t>
            </w:r>
          </w:p>
        </w:tc>
        <w:tc>
          <w:tcPr>
            <w:tcW w:w="4678" w:type="dxa"/>
          </w:tcPr>
          <w:p w14:paraId="72B85A72" w14:textId="77777777" w:rsidR="00F85687" w:rsidRPr="000B4DEB" w:rsidRDefault="00F85687" w:rsidP="00F85687">
            <w:pPr>
              <w:rPr>
                <w:rFonts w:asciiTheme="minorHAnsi" w:hAnsiTheme="minorHAnsi" w:cstheme="minorHAnsi"/>
              </w:rPr>
            </w:pPr>
            <w:r w:rsidRPr="000B4DEB">
              <w:rPr>
                <w:rFonts w:asciiTheme="minorHAnsi" w:hAnsiTheme="minorHAnsi" w:cstheme="minorHAnsi"/>
              </w:rPr>
              <w:lastRenderedPageBreak/>
              <w:t>Moyle Interconnector Ltd: 100%</w:t>
            </w:r>
          </w:p>
          <w:p w14:paraId="7A832C0C" w14:textId="45D78421" w:rsidR="00F85687" w:rsidRPr="000B4DEB" w:rsidRDefault="00F85687" w:rsidP="00F85687">
            <w:pPr>
              <w:rPr>
                <w:rFonts w:asciiTheme="minorHAnsi" w:hAnsiTheme="minorHAnsi" w:cstheme="minorHAnsi"/>
              </w:rPr>
            </w:pPr>
            <w:r w:rsidRPr="000B4DEB">
              <w:rPr>
                <w:rFonts w:asciiTheme="minorHAnsi" w:hAnsiTheme="minorHAnsi" w:cstheme="minorHAnsi"/>
              </w:rPr>
              <w:lastRenderedPageBreak/>
              <w:t>Other entities: 0%</w:t>
            </w:r>
          </w:p>
        </w:tc>
        <w:tc>
          <w:tcPr>
            <w:tcW w:w="3143" w:type="dxa"/>
          </w:tcPr>
          <w:p w14:paraId="153DBFDF" w14:textId="2D85E308" w:rsidR="00F85687" w:rsidRPr="000B4DEB" w:rsidRDefault="00F85687" w:rsidP="00F85687">
            <w:pPr>
              <w:rPr>
                <w:rFonts w:asciiTheme="minorHAnsi" w:hAnsiTheme="minorHAnsi" w:cstheme="minorHAnsi"/>
                <w:color w:val="000000"/>
              </w:rPr>
            </w:pPr>
            <w:r w:rsidRPr="000B4DEB">
              <w:rPr>
                <w:rFonts w:asciiTheme="minorHAnsi" w:hAnsiTheme="minorHAnsi" w:cstheme="minorHAnsi"/>
                <w:color w:val="000000"/>
              </w:rPr>
              <w:lastRenderedPageBreak/>
              <w:t>Ownership shares</w:t>
            </w:r>
          </w:p>
        </w:tc>
      </w:tr>
      <w:tr w:rsidR="00F85687" w:rsidRPr="00B27064" w14:paraId="53E818D2" w14:textId="77777777" w:rsidTr="00F85687">
        <w:trPr>
          <w:trHeight w:val="244"/>
        </w:trPr>
        <w:tc>
          <w:tcPr>
            <w:tcW w:w="1271" w:type="dxa"/>
          </w:tcPr>
          <w:p w14:paraId="66B8343C" w14:textId="3378730A" w:rsidR="00F85687" w:rsidRPr="000B4DEB" w:rsidRDefault="00F85687" w:rsidP="00F85687">
            <w:pPr>
              <w:rPr>
                <w:rFonts w:asciiTheme="minorHAnsi" w:hAnsiTheme="minorHAnsi" w:cstheme="minorHAnsi"/>
                <w:lang w:val="es-ES"/>
              </w:rPr>
            </w:pPr>
            <w:r w:rsidRPr="000B4DEB">
              <w:rPr>
                <w:rFonts w:asciiTheme="minorHAnsi" w:hAnsiTheme="minorHAnsi" w:cstheme="minorHAnsi"/>
              </w:rPr>
              <w:lastRenderedPageBreak/>
              <w:t>IT-AT</w:t>
            </w:r>
          </w:p>
        </w:tc>
        <w:tc>
          <w:tcPr>
            <w:tcW w:w="2410" w:type="dxa"/>
          </w:tcPr>
          <w:p w14:paraId="43B8CD18" w14:textId="44F8C183" w:rsidR="00F85687" w:rsidRPr="000B4DEB" w:rsidRDefault="00F85687" w:rsidP="00F85687">
            <w:pPr>
              <w:rPr>
                <w:rFonts w:asciiTheme="minorHAnsi" w:hAnsiTheme="minorHAnsi" w:cstheme="minorHAnsi"/>
                <w:lang w:val="de-AT"/>
              </w:rPr>
            </w:pPr>
            <w:r w:rsidRPr="000B4DEB">
              <w:rPr>
                <w:rFonts w:asciiTheme="minorHAnsi" w:hAnsiTheme="minorHAnsi" w:cstheme="minorHAnsi"/>
                <w:lang w:val="de-AT"/>
              </w:rPr>
              <w:t>Interconnector Eneco Valcanale</w:t>
            </w:r>
          </w:p>
        </w:tc>
        <w:tc>
          <w:tcPr>
            <w:tcW w:w="3118" w:type="dxa"/>
          </w:tcPr>
          <w:p w14:paraId="23A0EFC1" w14:textId="2EE21862" w:rsidR="00F85687" w:rsidRPr="000B4DEB" w:rsidRDefault="00F85687" w:rsidP="00F85687">
            <w:pPr>
              <w:rPr>
                <w:rFonts w:asciiTheme="minorHAnsi" w:hAnsiTheme="minorHAnsi" w:cstheme="minorHAnsi"/>
                <w:color w:val="000000"/>
              </w:rPr>
            </w:pPr>
            <w:r w:rsidRPr="000B4DEB">
              <w:rPr>
                <w:rFonts w:asciiTheme="minorHAnsi" w:hAnsiTheme="minorHAnsi" w:cstheme="minorHAnsi"/>
                <w:color w:val="000000"/>
              </w:rPr>
              <w:t>Terna,</w:t>
            </w:r>
            <w:r w:rsidRPr="000B4DEB">
              <w:rPr>
                <w:rFonts w:asciiTheme="minorHAnsi" w:hAnsiTheme="minorHAnsi" w:cstheme="minorHAnsi"/>
                <w:color w:val="000000"/>
              </w:rPr>
              <w:br/>
              <w:t>APG,</w:t>
            </w:r>
            <w:r w:rsidRPr="000B4DEB">
              <w:rPr>
                <w:rFonts w:asciiTheme="minorHAnsi" w:hAnsiTheme="minorHAnsi" w:cstheme="minorHAnsi"/>
                <w:color w:val="000000"/>
              </w:rPr>
              <w:br/>
              <w:t>Eneco Valcanale</w:t>
            </w:r>
          </w:p>
        </w:tc>
        <w:tc>
          <w:tcPr>
            <w:tcW w:w="4678" w:type="dxa"/>
          </w:tcPr>
          <w:p w14:paraId="2CA9FDAF" w14:textId="23811A69" w:rsidR="00F85687" w:rsidRPr="000B4DEB" w:rsidRDefault="00F85687" w:rsidP="00F85687">
            <w:pPr>
              <w:rPr>
                <w:rFonts w:asciiTheme="minorHAnsi" w:hAnsiTheme="minorHAnsi" w:cstheme="minorHAnsi"/>
              </w:rPr>
            </w:pPr>
            <w:r w:rsidRPr="000B4DEB">
              <w:rPr>
                <w:rFonts w:asciiTheme="minorHAnsi" w:hAnsiTheme="minorHAnsi" w:cstheme="minorHAnsi"/>
              </w:rPr>
              <w:t>Eneco Valcanale: 100%</w:t>
            </w:r>
          </w:p>
          <w:p w14:paraId="701A9760" w14:textId="1075F9CB" w:rsidR="00F85687" w:rsidRPr="000B4DEB" w:rsidRDefault="00F85687" w:rsidP="00F85687">
            <w:pPr>
              <w:rPr>
                <w:rFonts w:asciiTheme="minorHAnsi" w:hAnsiTheme="minorHAnsi" w:cstheme="minorHAnsi"/>
              </w:rPr>
            </w:pPr>
            <w:r w:rsidRPr="000B4DEB">
              <w:rPr>
                <w:rFonts w:asciiTheme="minorHAnsi" w:hAnsiTheme="minorHAnsi" w:cstheme="minorHAnsi"/>
              </w:rPr>
              <w:t>Other entities: 0%</w:t>
            </w:r>
          </w:p>
        </w:tc>
        <w:tc>
          <w:tcPr>
            <w:tcW w:w="3143" w:type="dxa"/>
          </w:tcPr>
          <w:p w14:paraId="472E3D07" w14:textId="18FCA4B5" w:rsidR="00F85687" w:rsidRPr="000B4DEB" w:rsidRDefault="00F85687" w:rsidP="00F85687">
            <w:pPr>
              <w:rPr>
                <w:rFonts w:asciiTheme="minorHAnsi" w:hAnsiTheme="minorHAnsi" w:cstheme="minorHAnsi"/>
                <w:color w:val="000000"/>
              </w:rPr>
            </w:pPr>
            <w:r w:rsidRPr="000B4DEB">
              <w:rPr>
                <w:rFonts w:asciiTheme="minorHAnsi" w:hAnsiTheme="minorHAnsi" w:cstheme="minorHAnsi"/>
                <w:color w:val="000000"/>
              </w:rPr>
              <w:t>Ownership shares</w:t>
            </w:r>
          </w:p>
        </w:tc>
      </w:tr>
      <w:tr w:rsidR="00F85687" w:rsidRPr="00B27064" w14:paraId="10B20366" w14:textId="77777777" w:rsidTr="00F85687">
        <w:trPr>
          <w:trHeight w:val="244"/>
        </w:trPr>
        <w:tc>
          <w:tcPr>
            <w:tcW w:w="1271" w:type="dxa"/>
          </w:tcPr>
          <w:p w14:paraId="2C0D1699" w14:textId="42B95F91" w:rsidR="00F85687" w:rsidRPr="000B4DEB" w:rsidRDefault="00F85687">
            <w:pPr>
              <w:rPr>
                <w:rFonts w:asciiTheme="minorHAnsi" w:hAnsiTheme="minorHAnsi" w:cstheme="minorHAnsi"/>
              </w:rPr>
            </w:pPr>
            <w:r w:rsidRPr="000B4DEB">
              <w:rPr>
                <w:rFonts w:asciiTheme="minorHAnsi" w:hAnsiTheme="minorHAnsi" w:cstheme="minorHAnsi"/>
              </w:rPr>
              <w:t xml:space="preserve">FR-GB </w:t>
            </w:r>
          </w:p>
        </w:tc>
        <w:tc>
          <w:tcPr>
            <w:tcW w:w="2410" w:type="dxa"/>
          </w:tcPr>
          <w:p w14:paraId="0D28B4DE" w14:textId="04B03FFF" w:rsidR="00F85687" w:rsidRPr="000B4DEB" w:rsidRDefault="00F85687" w:rsidP="00F85687">
            <w:pPr>
              <w:rPr>
                <w:rFonts w:asciiTheme="minorHAnsi" w:hAnsiTheme="minorHAnsi" w:cstheme="minorHAnsi"/>
                <w:lang w:val="de-AT"/>
              </w:rPr>
            </w:pPr>
            <w:r w:rsidRPr="000B4DEB">
              <w:rPr>
                <w:rFonts w:asciiTheme="minorHAnsi" w:hAnsiTheme="minorHAnsi" w:cstheme="minorHAnsi"/>
                <w:lang w:val="de-AT"/>
              </w:rPr>
              <w:t>Interconnector IFA</w:t>
            </w:r>
          </w:p>
        </w:tc>
        <w:tc>
          <w:tcPr>
            <w:tcW w:w="3118" w:type="dxa"/>
          </w:tcPr>
          <w:p w14:paraId="6DAF4E7C" w14:textId="7C357818" w:rsidR="00F85687" w:rsidRPr="000B4DEB" w:rsidRDefault="00F85687" w:rsidP="00F85687">
            <w:pPr>
              <w:rPr>
                <w:rFonts w:asciiTheme="minorHAnsi" w:hAnsiTheme="minorHAnsi" w:cstheme="minorHAnsi"/>
                <w:color w:val="000000"/>
              </w:rPr>
            </w:pPr>
            <w:r w:rsidRPr="000B4DEB">
              <w:rPr>
                <w:rFonts w:asciiTheme="minorHAnsi" w:hAnsiTheme="minorHAnsi" w:cstheme="minorHAnsi"/>
                <w:color w:val="000000"/>
                <w:lang w:val="fr-BE"/>
              </w:rPr>
              <w:t>RTE,</w:t>
            </w:r>
            <w:r w:rsidRPr="000B4DEB">
              <w:rPr>
                <w:rFonts w:asciiTheme="minorHAnsi" w:hAnsiTheme="minorHAnsi" w:cstheme="minorHAnsi"/>
                <w:color w:val="000000"/>
                <w:lang w:val="fr-BE"/>
              </w:rPr>
              <w:br/>
              <w:t xml:space="preserve">NGIC, </w:t>
            </w:r>
            <w:r w:rsidRPr="000B4DEB">
              <w:rPr>
                <w:rFonts w:asciiTheme="minorHAnsi" w:hAnsiTheme="minorHAnsi" w:cstheme="minorHAnsi"/>
                <w:color w:val="000000"/>
                <w:lang w:val="fr-BE"/>
              </w:rPr>
              <w:br/>
              <w:t>NGET</w:t>
            </w:r>
          </w:p>
        </w:tc>
        <w:tc>
          <w:tcPr>
            <w:tcW w:w="4678" w:type="dxa"/>
          </w:tcPr>
          <w:p w14:paraId="2A4D1FC4" w14:textId="77777777" w:rsidR="00F85687" w:rsidRPr="000B4DEB" w:rsidRDefault="00F85687" w:rsidP="00F85687">
            <w:pPr>
              <w:rPr>
                <w:rFonts w:asciiTheme="minorHAnsi" w:hAnsiTheme="minorHAnsi" w:cstheme="minorHAnsi"/>
              </w:rPr>
            </w:pPr>
            <w:r w:rsidRPr="000B4DEB">
              <w:rPr>
                <w:rFonts w:asciiTheme="minorHAnsi" w:hAnsiTheme="minorHAnsi" w:cstheme="minorHAnsi"/>
              </w:rPr>
              <w:t>RTE: 50%;</w:t>
            </w:r>
          </w:p>
          <w:p w14:paraId="6BC85D2B" w14:textId="77777777" w:rsidR="00F85687" w:rsidRPr="000B4DEB" w:rsidRDefault="00F85687" w:rsidP="00F85687">
            <w:pPr>
              <w:rPr>
                <w:rFonts w:asciiTheme="minorHAnsi" w:hAnsiTheme="minorHAnsi" w:cstheme="minorHAnsi"/>
              </w:rPr>
            </w:pPr>
            <w:r w:rsidRPr="000B4DEB">
              <w:rPr>
                <w:rFonts w:asciiTheme="minorHAnsi" w:hAnsiTheme="minorHAnsi" w:cstheme="minorHAnsi"/>
              </w:rPr>
              <w:t>NGIC: 50%;</w:t>
            </w:r>
          </w:p>
          <w:p w14:paraId="7962E0D5" w14:textId="00AB38F4" w:rsidR="00F85687" w:rsidRPr="000B4DEB" w:rsidRDefault="00F85687" w:rsidP="00F85687">
            <w:pPr>
              <w:rPr>
                <w:rFonts w:asciiTheme="minorHAnsi" w:hAnsiTheme="minorHAnsi" w:cstheme="minorHAnsi"/>
              </w:rPr>
            </w:pPr>
            <w:r w:rsidRPr="000B4DEB">
              <w:rPr>
                <w:rFonts w:asciiTheme="minorHAnsi" w:hAnsiTheme="minorHAnsi" w:cstheme="minorHAnsi"/>
              </w:rPr>
              <w:t>NGET: 0%</w:t>
            </w:r>
          </w:p>
        </w:tc>
        <w:tc>
          <w:tcPr>
            <w:tcW w:w="3143" w:type="dxa"/>
          </w:tcPr>
          <w:p w14:paraId="615839E5" w14:textId="1D556157" w:rsidR="00F85687" w:rsidRPr="000B4DEB" w:rsidRDefault="00F85687" w:rsidP="00F85687">
            <w:pPr>
              <w:rPr>
                <w:rFonts w:asciiTheme="minorHAnsi" w:hAnsiTheme="minorHAnsi" w:cstheme="minorHAnsi"/>
                <w:color w:val="000000"/>
              </w:rPr>
            </w:pPr>
            <w:r w:rsidRPr="000B4DEB">
              <w:rPr>
                <w:rFonts w:asciiTheme="minorHAnsi" w:hAnsiTheme="minorHAnsi" w:cstheme="minorHAnsi"/>
                <w:color w:val="000000"/>
              </w:rPr>
              <w:t>Ownership shares</w:t>
            </w:r>
          </w:p>
        </w:tc>
      </w:tr>
      <w:tr w:rsidR="00F85687" w:rsidRPr="00B27064" w14:paraId="7EAA2FD6" w14:textId="77777777" w:rsidTr="00F85687">
        <w:trPr>
          <w:trHeight w:val="244"/>
        </w:trPr>
        <w:tc>
          <w:tcPr>
            <w:tcW w:w="1271" w:type="dxa"/>
          </w:tcPr>
          <w:p w14:paraId="5A065561" w14:textId="47F3C887" w:rsidR="00F85687" w:rsidRPr="000B4DEB" w:rsidRDefault="00F85687">
            <w:pPr>
              <w:rPr>
                <w:rFonts w:asciiTheme="minorHAnsi" w:hAnsiTheme="minorHAnsi" w:cstheme="minorHAnsi"/>
              </w:rPr>
            </w:pPr>
            <w:r w:rsidRPr="000B4DEB">
              <w:rPr>
                <w:rFonts w:asciiTheme="minorHAnsi" w:hAnsiTheme="minorHAnsi" w:cstheme="minorHAnsi"/>
              </w:rPr>
              <w:t xml:space="preserve">FR-GB </w:t>
            </w:r>
          </w:p>
        </w:tc>
        <w:tc>
          <w:tcPr>
            <w:tcW w:w="2410" w:type="dxa"/>
          </w:tcPr>
          <w:p w14:paraId="4006402E" w14:textId="7EDEB427" w:rsidR="00F85687" w:rsidRPr="000B4DEB" w:rsidRDefault="00F85687" w:rsidP="00F85687">
            <w:pPr>
              <w:rPr>
                <w:rFonts w:asciiTheme="minorHAnsi" w:hAnsiTheme="minorHAnsi" w:cstheme="minorHAnsi"/>
                <w:lang w:val="de-AT"/>
              </w:rPr>
            </w:pPr>
            <w:r w:rsidRPr="000B4DEB">
              <w:rPr>
                <w:rFonts w:asciiTheme="minorHAnsi" w:hAnsiTheme="minorHAnsi" w:cstheme="minorHAnsi"/>
                <w:lang w:val="de-AT"/>
              </w:rPr>
              <w:t>Interconnector IFA 2</w:t>
            </w:r>
          </w:p>
        </w:tc>
        <w:tc>
          <w:tcPr>
            <w:tcW w:w="3118" w:type="dxa"/>
          </w:tcPr>
          <w:p w14:paraId="4AD90BA9" w14:textId="093DF607" w:rsidR="00F85687" w:rsidRPr="000B4DEB" w:rsidRDefault="00F85687">
            <w:pPr>
              <w:rPr>
                <w:rFonts w:asciiTheme="minorHAnsi" w:hAnsiTheme="minorHAnsi" w:cstheme="minorHAnsi"/>
                <w:color w:val="000000"/>
                <w:lang w:val="en-US"/>
              </w:rPr>
            </w:pPr>
            <w:r w:rsidRPr="000B4DEB">
              <w:rPr>
                <w:rFonts w:asciiTheme="minorHAnsi" w:hAnsiTheme="minorHAnsi" w:cstheme="minorHAnsi"/>
                <w:color w:val="000000"/>
                <w:lang w:val="en-US"/>
              </w:rPr>
              <w:t>RTE,</w:t>
            </w:r>
            <w:r w:rsidRPr="000B4DEB">
              <w:rPr>
                <w:rFonts w:asciiTheme="minorHAnsi" w:hAnsiTheme="minorHAnsi" w:cstheme="minorHAnsi"/>
                <w:color w:val="000000"/>
                <w:lang w:val="en-US"/>
              </w:rPr>
              <w:br/>
              <w:t xml:space="preserve">NG IFA2 Limited </w:t>
            </w:r>
            <w:r w:rsidRPr="000B4DEB">
              <w:rPr>
                <w:rFonts w:asciiTheme="minorHAnsi" w:hAnsiTheme="minorHAnsi" w:cstheme="minorHAnsi"/>
                <w:color w:val="000000"/>
                <w:lang w:val="en-US"/>
              </w:rPr>
              <w:br/>
              <w:t>NGET</w:t>
            </w:r>
          </w:p>
        </w:tc>
        <w:tc>
          <w:tcPr>
            <w:tcW w:w="4678" w:type="dxa"/>
          </w:tcPr>
          <w:p w14:paraId="463FCA6B" w14:textId="77777777" w:rsidR="00F85687" w:rsidRPr="000B4DEB" w:rsidRDefault="00F85687" w:rsidP="00F85687">
            <w:pPr>
              <w:rPr>
                <w:rFonts w:asciiTheme="minorHAnsi" w:hAnsiTheme="minorHAnsi" w:cstheme="minorHAnsi"/>
              </w:rPr>
            </w:pPr>
            <w:r w:rsidRPr="000B4DEB">
              <w:rPr>
                <w:rFonts w:asciiTheme="minorHAnsi" w:hAnsiTheme="minorHAnsi" w:cstheme="minorHAnsi"/>
              </w:rPr>
              <w:t>RTE: 50%;</w:t>
            </w:r>
          </w:p>
          <w:p w14:paraId="18454CCE" w14:textId="5D7D5D91" w:rsidR="00F85687" w:rsidRPr="000B4DEB" w:rsidRDefault="00F85687" w:rsidP="00F85687">
            <w:pPr>
              <w:rPr>
                <w:rFonts w:asciiTheme="minorHAnsi" w:hAnsiTheme="minorHAnsi" w:cstheme="minorHAnsi"/>
              </w:rPr>
            </w:pPr>
            <w:r w:rsidRPr="000B4DEB">
              <w:rPr>
                <w:rFonts w:asciiTheme="minorHAnsi" w:hAnsiTheme="minorHAnsi" w:cstheme="minorHAnsi"/>
                <w:color w:val="000000"/>
                <w:lang w:val="en-US"/>
              </w:rPr>
              <w:t>NG IFA2 Limited</w:t>
            </w:r>
            <w:r w:rsidRPr="000B4DEB">
              <w:rPr>
                <w:rFonts w:asciiTheme="minorHAnsi" w:hAnsiTheme="minorHAnsi" w:cstheme="minorHAnsi"/>
              </w:rPr>
              <w:t>: 50%;</w:t>
            </w:r>
          </w:p>
          <w:p w14:paraId="03A14244" w14:textId="35A03DD3" w:rsidR="00F85687" w:rsidRPr="000B4DEB" w:rsidRDefault="00F85687" w:rsidP="00F85687">
            <w:pPr>
              <w:rPr>
                <w:rFonts w:asciiTheme="minorHAnsi" w:hAnsiTheme="minorHAnsi" w:cstheme="minorHAnsi"/>
              </w:rPr>
            </w:pPr>
            <w:r w:rsidRPr="000B4DEB">
              <w:rPr>
                <w:rFonts w:asciiTheme="minorHAnsi" w:hAnsiTheme="minorHAnsi" w:cstheme="minorHAnsi"/>
              </w:rPr>
              <w:t>NGET: 0%</w:t>
            </w:r>
          </w:p>
        </w:tc>
        <w:tc>
          <w:tcPr>
            <w:tcW w:w="3143" w:type="dxa"/>
          </w:tcPr>
          <w:p w14:paraId="5C77E572" w14:textId="5F7089F6" w:rsidR="00F85687" w:rsidRPr="000B4DEB" w:rsidRDefault="00F85687" w:rsidP="00F85687">
            <w:pPr>
              <w:rPr>
                <w:rFonts w:asciiTheme="minorHAnsi" w:hAnsiTheme="minorHAnsi" w:cstheme="minorHAnsi"/>
                <w:color w:val="000000"/>
              </w:rPr>
            </w:pPr>
            <w:r w:rsidRPr="000B4DEB">
              <w:rPr>
                <w:rFonts w:asciiTheme="minorHAnsi" w:hAnsiTheme="minorHAnsi" w:cstheme="minorHAnsi"/>
                <w:color w:val="000000"/>
              </w:rPr>
              <w:t>Ownership shares</w:t>
            </w:r>
          </w:p>
        </w:tc>
      </w:tr>
      <w:tr w:rsidR="00F85687" w:rsidRPr="00B27064" w14:paraId="21252803" w14:textId="77777777" w:rsidTr="00F85687">
        <w:trPr>
          <w:trHeight w:val="244"/>
        </w:trPr>
        <w:tc>
          <w:tcPr>
            <w:tcW w:w="1271" w:type="dxa"/>
          </w:tcPr>
          <w:p w14:paraId="2EF247EC" w14:textId="167039C4" w:rsidR="00F85687" w:rsidRPr="000B4DEB" w:rsidRDefault="00F85687" w:rsidP="00F85687">
            <w:pPr>
              <w:rPr>
                <w:rFonts w:asciiTheme="minorHAnsi" w:hAnsiTheme="minorHAnsi" w:cstheme="minorHAnsi"/>
              </w:rPr>
            </w:pPr>
            <w:r w:rsidRPr="000B4DEB">
              <w:rPr>
                <w:rFonts w:asciiTheme="minorHAnsi" w:hAnsiTheme="minorHAnsi" w:cstheme="minorHAnsi"/>
              </w:rPr>
              <w:t xml:space="preserve">FR-GB </w:t>
            </w:r>
          </w:p>
        </w:tc>
        <w:tc>
          <w:tcPr>
            <w:tcW w:w="2410" w:type="dxa"/>
          </w:tcPr>
          <w:p w14:paraId="1FBE0067" w14:textId="3C98A7F5" w:rsidR="00F85687" w:rsidRPr="000B4DEB" w:rsidRDefault="00F85687">
            <w:pPr>
              <w:rPr>
                <w:rFonts w:asciiTheme="minorHAnsi" w:hAnsiTheme="minorHAnsi" w:cstheme="minorHAnsi"/>
                <w:lang w:val="de-AT"/>
              </w:rPr>
            </w:pPr>
            <w:r w:rsidRPr="000B4DEB">
              <w:rPr>
                <w:rFonts w:asciiTheme="minorHAnsi" w:hAnsiTheme="minorHAnsi" w:cstheme="minorHAnsi"/>
                <w:lang w:val="de-AT"/>
              </w:rPr>
              <w:t>Interconnector Eleclink</w:t>
            </w:r>
          </w:p>
        </w:tc>
        <w:tc>
          <w:tcPr>
            <w:tcW w:w="3118" w:type="dxa"/>
          </w:tcPr>
          <w:p w14:paraId="572236D3" w14:textId="0A6B56A6" w:rsidR="00F85687" w:rsidRPr="000B4DEB" w:rsidRDefault="00F85687">
            <w:pPr>
              <w:rPr>
                <w:rFonts w:asciiTheme="minorHAnsi" w:hAnsiTheme="minorHAnsi" w:cstheme="minorHAnsi"/>
                <w:color w:val="000000"/>
                <w:lang w:val="fr-BE"/>
              </w:rPr>
            </w:pPr>
            <w:r w:rsidRPr="000B4DEB">
              <w:rPr>
                <w:rFonts w:asciiTheme="minorHAnsi" w:hAnsiTheme="minorHAnsi" w:cstheme="minorHAnsi"/>
                <w:color w:val="000000"/>
                <w:lang w:val="fr-BE"/>
              </w:rPr>
              <w:t>RTE,</w:t>
            </w:r>
            <w:r w:rsidRPr="000B4DEB">
              <w:rPr>
                <w:rFonts w:asciiTheme="minorHAnsi" w:hAnsiTheme="minorHAnsi" w:cstheme="minorHAnsi"/>
                <w:color w:val="000000"/>
                <w:lang w:val="fr-BE"/>
              </w:rPr>
              <w:br/>
              <w:t xml:space="preserve">Eleclink Limited </w:t>
            </w:r>
            <w:r w:rsidRPr="000B4DEB">
              <w:rPr>
                <w:rFonts w:asciiTheme="minorHAnsi" w:hAnsiTheme="minorHAnsi" w:cstheme="minorHAnsi"/>
                <w:color w:val="000000"/>
                <w:lang w:val="fr-BE"/>
              </w:rPr>
              <w:br/>
              <w:t>NGET</w:t>
            </w:r>
          </w:p>
        </w:tc>
        <w:tc>
          <w:tcPr>
            <w:tcW w:w="4678" w:type="dxa"/>
          </w:tcPr>
          <w:p w14:paraId="3AB4278F" w14:textId="2C30E449" w:rsidR="00F85687" w:rsidRPr="000B4DEB" w:rsidRDefault="00F85687" w:rsidP="00F85687">
            <w:pPr>
              <w:rPr>
                <w:rFonts w:asciiTheme="minorHAnsi" w:hAnsiTheme="minorHAnsi" w:cstheme="minorHAnsi"/>
              </w:rPr>
            </w:pPr>
            <w:r w:rsidRPr="000B4DEB">
              <w:rPr>
                <w:rFonts w:asciiTheme="minorHAnsi" w:hAnsiTheme="minorHAnsi" w:cstheme="minorHAnsi"/>
              </w:rPr>
              <w:t>RTE: 0%;</w:t>
            </w:r>
          </w:p>
          <w:p w14:paraId="39E7E416" w14:textId="3FE261B6" w:rsidR="00F85687" w:rsidRPr="000B4DEB" w:rsidRDefault="00F85687" w:rsidP="00F85687">
            <w:pPr>
              <w:rPr>
                <w:rFonts w:asciiTheme="minorHAnsi" w:hAnsiTheme="minorHAnsi" w:cstheme="minorHAnsi"/>
                <w:color w:val="000000"/>
                <w:lang w:val="fr-BE"/>
              </w:rPr>
            </w:pPr>
            <w:r w:rsidRPr="000B4DEB">
              <w:rPr>
                <w:rFonts w:asciiTheme="minorHAnsi" w:hAnsiTheme="minorHAnsi" w:cstheme="minorHAnsi"/>
                <w:color w:val="000000"/>
                <w:lang w:val="fr-BE"/>
              </w:rPr>
              <w:t xml:space="preserve">Eleclink Limited : 100% </w:t>
            </w:r>
          </w:p>
          <w:p w14:paraId="569E1A76" w14:textId="015F23AA" w:rsidR="00F85687" w:rsidRPr="000B4DEB" w:rsidRDefault="00F85687" w:rsidP="00F85687">
            <w:pPr>
              <w:rPr>
                <w:rFonts w:asciiTheme="minorHAnsi" w:hAnsiTheme="minorHAnsi" w:cstheme="minorHAnsi"/>
              </w:rPr>
            </w:pPr>
            <w:r w:rsidRPr="000B4DEB">
              <w:rPr>
                <w:rFonts w:asciiTheme="minorHAnsi" w:hAnsiTheme="minorHAnsi" w:cstheme="minorHAnsi"/>
              </w:rPr>
              <w:t>NGET: 0%</w:t>
            </w:r>
          </w:p>
        </w:tc>
        <w:tc>
          <w:tcPr>
            <w:tcW w:w="3143" w:type="dxa"/>
          </w:tcPr>
          <w:p w14:paraId="0A6A0A98" w14:textId="0D82BBBD" w:rsidR="00F85687" w:rsidRPr="000B4DEB" w:rsidRDefault="00F85687" w:rsidP="00F85687">
            <w:pPr>
              <w:rPr>
                <w:rFonts w:asciiTheme="minorHAnsi" w:hAnsiTheme="minorHAnsi" w:cstheme="minorHAnsi"/>
                <w:color w:val="000000"/>
              </w:rPr>
            </w:pPr>
            <w:r w:rsidRPr="000B4DEB">
              <w:rPr>
                <w:rFonts w:asciiTheme="minorHAnsi" w:hAnsiTheme="minorHAnsi" w:cstheme="minorHAnsi"/>
                <w:color w:val="000000"/>
              </w:rPr>
              <w:t>Ownership shares</w:t>
            </w:r>
          </w:p>
        </w:tc>
      </w:tr>
      <w:tr w:rsidR="00B27064" w:rsidRPr="00B27064" w14:paraId="154B67E5" w14:textId="77777777" w:rsidTr="00F85687">
        <w:trPr>
          <w:trHeight w:val="244"/>
        </w:trPr>
        <w:tc>
          <w:tcPr>
            <w:tcW w:w="1271" w:type="dxa"/>
          </w:tcPr>
          <w:p w14:paraId="1F9477F9" w14:textId="42733973" w:rsidR="00B27064" w:rsidRPr="000B4DEB" w:rsidRDefault="00B27064" w:rsidP="00B27064">
            <w:pPr>
              <w:rPr>
                <w:rFonts w:asciiTheme="minorHAnsi" w:hAnsiTheme="minorHAnsi" w:cstheme="minorHAnsi"/>
              </w:rPr>
            </w:pPr>
            <w:r w:rsidRPr="000B4DEB">
              <w:rPr>
                <w:rFonts w:asciiTheme="minorHAnsi" w:hAnsiTheme="minorHAnsi" w:cstheme="minorHAnsi"/>
              </w:rPr>
              <w:t>SE4-DE/LU</w:t>
            </w:r>
          </w:p>
        </w:tc>
        <w:tc>
          <w:tcPr>
            <w:tcW w:w="2410" w:type="dxa"/>
          </w:tcPr>
          <w:p w14:paraId="1DCB4F32" w14:textId="15A29DB5" w:rsidR="00B27064" w:rsidRPr="000B4DEB" w:rsidRDefault="00B27064" w:rsidP="00B27064">
            <w:pPr>
              <w:rPr>
                <w:rFonts w:asciiTheme="minorHAnsi" w:hAnsiTheme="minorHAnsi" w:cstheme="minorHAnsi"/>
                <w:lang w:val="de-AT"/>
              </w:rPr>
            </w:pPr>
            <w:r w:rsidRPr="000B4DEB">
              <w:rPr>
                <w:rFonts w:asciiTheme="minorHAnsi" w:hAnsiTheme="minorHAnsi" w:cstheme="minorHAnsi"/>
                <w:lang w:val="de-AT"/>
              </w:rPr>
              <w:t>Balatic Cable</w:t>
            </w:r>
            <w:r w:rsidRPr="000B4DEB">
              <w:rPr>
                <w:rStyle w:val="FootnoteReference"/>
                <w:rFonts w:asciiTheme="minorHAnsi" w:hAnsiTheme="minorHAnsi" w:cstheme="minorHAnsi"/>
                <w:lang w:val="de-AT"/>
              </w:rPr>
              <w:footnoteReference w:id="3"/>
            </w:r>
          </w:p>
        </w:tc>
        <w:tc>
          <w:tcPr>
            <w:tcW w:w="3118" w:type="dxa"/>
          </w:tcPr>
          <w:p w14:paraId="225FF5C5" w14:textId="77777777" w:rsidR="00B27064" w:rsidRPr="00AB5D77" w:rsidRDefault="00B27064" w:rsidP="00B27064">
            <w:pPr>
              <w:rPr>
                <w:rFonts w:asciiTheme="minorHAnsi" w:hAnsiTheme="minorHAnsi" w:cstheme="minorHAnsi"/>
                <w:color w:val="000000"/>
                <w:lang w:val="de-DE"/>
              </w:rPr>
            </w:pPr>
            <w:r w:rsidRPr="00AB5D77">
              <w:rPr>
                <w:rFonts w:asciiTheme="minorHAnsi" w:hAnsiTheme="minorHAnsi" w:cstheme="minorHAnsi"/>
                <w:color w:val="000000"/>
                <w:lang w:val="de-DE"/>
              </w:rPr>
              <w:t>Baltic Cbale AB,</w:t>
            </w:r>
          </w:p>
          <w:p w14:paraId="69ABBE21" w14:textId="77777777" w:rsidR="00B27064" w:rsidRPr="00AB5D77" w:rsidRDefault="00B27064" w:rsidP="00B27064">
            <w:pPr>
              <w:rPr>
                <w:rFonts w:asciiTheme="minorHAnsi" w:hAnsiTheme="minorHAnsi" w:cstheme="minorHAnsi"/>
                <w:color w:val="000000"/>
                <w:lang w:val="de-DE"/>
              </w:rPr>
            </w:pPr>
            <w:r w:rsidRPr="00AB5D77">
              <w:rPr>
                <w:rFonts w:asciiTheme="minorHAnsi" w:hAnsiTheme="minorHAnsi" w:cstheme="minorHAnsi"/>
                <w:color w:val="000000"/>
                <w:lang w:val="de-DE"/>
              </w:rPr>
              <w:t>Svenska kraftnät,</w:t>
            </w:r>
          </w:p>
          <w:p w14:paraId="1BA9EC6F" w14:textId="6F29D81F" w:rsidR="00B27064" w:rsidRPr="000B4DEB" w:rsidRDefault="00B27064" w:rsidP="00B27064">
            <w:pPr>
              <w:rPr>
                <w:rFonts w:asciiTheme="minorHAnsi" w:hAnsiTheme="minorHAnsi" w:cstheme="minorHAnsi"/>
                <w:color w:val="000000"/>
                <w:lang w:val="fr-BE"/>
              </w:rPr>
            </w:pPr>
            <w:r w:rsidRPr="000B4DEB">
              <w:rPr>
                <w:rFonts w:asciiTheme="minorHAnsi" w:hAnsiTheme="minorHAnsi" w:cstheme="minorHAnsi"/>
                <w:color w:val="000000"/>
                <w:lang w:val="fr-BE"/>
              </w:rPr>
              <w:t>TenneT TSO GmbH</w:t>
            </w:r>
          </w:p>
        </w:tc>
        <w:tc>
          <w:tcPr>
            <w:tcW w:w="4678" w:type="dxa"/>
          </w:tcPr>
          <w:p w14:paraId="00765BAA" w14:textId="0AB61BC6" w:rsidR="00B27064" w:rsidRPr="00AB5D77" w:rsidRDefault="00B27064" w:rsidP="00B27064">
            <w:pPr>
              <w:rPr>
                <w:rFonts w:asciiTheme="minorHAnsi" w:hAnsiTheme="minorHAnsi" w:cstheme="minorHAnsi"/>
                <w:color w:val="000000"/>
                <w:lang w:val="de-DE"/>
              </w:rPr>
            </w:pPr>
            <w:r w:rsidRPr="00AB5D77">
              <w:rPr>
                <w:rFonts w:asciiTheme="minorHAnsi" w:hAnsiTheme="minorHAnsi" w:cstheme="minorHAnsi"/>
                <w:color w:val="000000"/>
                <w:lang w:val="de-DE"/>
              </w:rPr>
              <w:t>Baltic Cbale AB : 100%</w:t>
            </w:r>
          </w:p>
          <w:p w14:paraId="57A72E39" w14:textId="53347FF5" w:rsidR="00B27064" w:rsidRPr="00AB5D77" w:rsidRDefault="00B27064" w:rsidP="00B27064">
            <w:pPr>
              <w:rPr>
                <w:rFonts w:asciiTheme="minorHAnsi" w:hAnsiTheme="minorHAnsi" w:cstheme="minorHAnsi"/>
                <w:color w:val="000000"/>
                <w:lang w:val="de-DE"/>
              </w:rPr>
            </w:pPr>
            <w:r w:rsidRPr="00AB5D77">
              <w:rPr>
                <w:rFonts w:asciiTheme="minorHAnsi" w:hAnsiTheme="minorHAnsi" w:cstheme="minorHAnsi"/>
                <w:color w:val="000000"/>
                <w:lang w:val="de-DE"/>
              </w:rPr>
              <w:t>Svenska kraftnät : 0%</w:t>
            </w:r>
          </w:p>
          <w:p w14:paraId="60E02BCC" w14:textId="1839261B" w:rsidR="00B27064" w:rsidRPr="000B4DEB" w:rsidRDefault="00B27064" w:rsidP="00B27064">
            <w:pPr>
              <w:rPr>
                <w:rFonts w:asciiTheme="minorHAnsi" w:hAnsiTheme="minorHAnsi" w:cstheme="minorHAnsi"/>
                <w:lang w:val="de-AT"/>
              </w:rPr>
            </w:pPr>
            <w:r w:rsidRPr="000B4DEB">
              <w:rPr>
                <w:rFonts w:asciiTheme="minorHAnsi" w:hAnsiTheme="minorHAnsi" w:cstheme="minorHAnsi"/>
                <w:color w:val="000000"/>
                <w:lang w:val="fr-BE"/>
              </w:rPr>
              <w:t>TenneT TSO GmbH : 0%</w:t>
            </w:r>
          </w:p>
        </w:tc>
        <w:tc>
          <w:tcPr>
            <w:tcW w:w="3143" w:type="dxa"/>
          </w:tcPr>
          <w:p w14:paraId="12FD2A46" w14:textId="6E8B39C2" w:rsidR="00B27064" w:rsidRPr="000B4DEB" w:rsidRDefault="00B27064" w:rsidP="00B27064">
            <w:pPr>
              <w:rPr>
                <w:rFonts w:asciiTheme="minorHAnsi" w:hAnsiTheme="minorHAnsi" w:cstheme="minorHAnsi"/>
                <w:color w:val="000000"/>
                <w:lang w:val="de-AT"/>
              </w:rPr>
            </w:pPr>
            <w:r w:rsidRPr="000B4DEB">
              <w:rPr>
                <w:rFonts w:asciiTheme="minorHAnsi" w:hAnsiTheme="minorHAnsi" w:cstheme="minorHAnsi"/>
                <w:color w:val="000000"/>
              </w:rPr>
              <w:t>Ownership shares</w:t>
            </w:r>
          </w:p>
        </w:tc>
      </w:tr>
    </w:tbl>
    <w:p w14:paraId="6BAFE452" w14:textId="738D77B4" w:rsidR="005F4B78" w:rsidRPr="000B4DEB" w:rsidRDefault="005F4B78" w:rsidP="000B4DEB">
      <w:pPr>
        <w:rPr>
          <w:lang w:val="de-AT"/>
        </w:rPr>
      </w:pPr>
    </w:p>
    <w:sectPr w:rsidR="005F4B78" w:rsidRPr="000B4DEB" w:rsidSect="000B4DEB">
      <w:pgSz w:w="16838" w:h="11906" w:orient="landscape"/>
      <w:pgMar w:top="1361" w:right="1928" w:bottom="1021" w:left="1701" w:header="709" w:footer="17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A1773B" w14:textId="77777777" w:rsidR="00592A05" w:rsidRDefault="00592A05">
      <w:r>
        <w:separator/>
      </w:r>
    </w:p>
  </w:endnote>
  <w:endnote w:type="continuationSeparator" w:id="0">
    <w:p w14:paraId="1C57C0B0" w14:textId="77777777" w:rsidR="00592A05" w:rsidRDefault="00592A05">
      <w:r>
        <w:continuationSeparator/>
      </w:r>
    </w:p>
  </w:endnote>
  <w:endnote w:type="continuationNotice" w:id="1">
    <w:p w14:paraId="107867A8" w14:textId="77777777" w:rsidR="00592A05" w:rsidRDefault="00592A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onsolas">
    <w:panose1 w:val="020B0609020204030204"/>
    <w:charset w:val="EE"/>
    <w:family w:val="modern"/>
    <w:pitch w:val="fixed"/>
    <w:sig w:usb0="E00006FF" w:usb1="0000FCFF" w:usb2="00000001" w:usb3="00000000" w:csb0="0000019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venir Next LT Com Demi">
    <w:altName w:val="Times New Roman"/>
    <w:panose1 w:val="00000000000000000000"/>
    <w:charset w:val="00"/>
    <w:family w:val="roman"/>
    <w:notTrueType/>
    <w:pitch w:val="default"/>
    <w:sig w:usb0="00000003" w:usb1="00000000" w:usb2="00000000" w:usb3="00000000" w:csb0="00000001" w:csb1="00000000"/>
  </w:font>
  <w:font w:name="AvenirNext LT Com Regular">
    <w:altName w:val="Arial"/>
    <w:charset w:val="00"/>
    <w:family w:val="swiss"/>
    <w:pitch w:val="variable"/>
    <w:sig w:usb0="00000001" w:usb1="5000204A" w:usb2="00000000" w:usb3="00000000" w:csb0="0000009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42" w:rightFromText="142" w:vertAnchor="page" w:horzAnchor="page" w:tblpX="1362" w:tblpY="161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23"/>
    </w:tblGrid>
    <w:tr w:rsidR="002534B3" w:rsidRPr="00645A76" w14:paraId="30D64025" w14:textId="77777777" w:rsidTr="003D0965">
      <w:trPr>
        <w:trHeight w:hRule="exact" w:val="284"/>
      </w:trPr>
      <w:tc>
        <w:tcPr>
          <w:tcW w:w="9923" w:type="dxa"/>
          <w:vAlign w:val="center"/>
        </w:tcPr>
        <w:p w14:paraId="30D64024" w14:textId="77777777" w:rsidR="002534B3" w:rsidRPr="009105ED" w:rsidRDefault="002534B3" w:rsidP="00CD009F">
          <w:pPr>
            <w:pStyle w:val="Footer"/>
            <w:rPr>
              <w:rFonts w:asciiTheme="majorHAnsi" w:hAnsiTheme="majorHAnsi" w:cstheme="majorHAnsi"/>
              <w:sz w:val="14"/>
              <w:szCs w:val="14"/>
              <w:lang w:val="fr-BE"/>
            </w:rPr>
          </w:pPr>
          <w:r w:rsidRPr="009105ED">
            <w:rPr>
              <w:rFonts w:asciiTheme="majorHAnsi" w:hAnsiTheme="majorHAnsi" w:cstheme="majorHAnsi"/>
              <w:sz w:val="14"/>
              <w:szCs w:val="14"/>
              <w:lang w:val="fr-BE"/>
            </w:rPr>
            <w:t xml:space="preserve">ENTSO-E </w:t>
          </w:r>
          <w:r w:rsidRPr="009105ED">
            <w:rPr>
              <w:rFonts w:asciiTheme="majorHAnsi" w:hAnsiTheme="majorHAnsi" w:cstheme="majorHAnsi"/>
              <w:sz w:val="10"/>
              <w:szCs w:val="14"/>
              <w:lang w:val="fr-BE"/>
            </w:rPr>
            <w:t>AISBL</w:t>
          </w:r>
          <w:r w:rsidRPr="009105ED">
            <w:rPr>
              <w:rFonts w:asciiTheme="majorHAnsi" w:hAnsiTheme="majorHAnsi" w:cstheme="majorHAnsi"/>
              <w:sz w:val="14"/>
              <w:szCs w:val="14"/>
              <w:lang w:val="fr-BE"/>
            </w:rPr>
            <w:t xml:space="preserve"> • Avenue de Cortenbergh 100 • 1000 Brussels • Belgium • Tel + 32 2 741 09 50 • Fax + 32 2 741 09 51 • info@entsoe.eu • www. entsoe.eu</w:t>
          </w:r>
        </w:p>
      </w:tc>
    </w:tr>
  </w:tbl>
  <w:tbl>
    <w:tblPr>
      <w:tblStyle w:val="TableGrid"/>
      <w:tblpPr w:leftFromText="142" w:rightFromText="142" w:vertAnchor="page" w:horzAnchor="page" w:tblpX="10661" w:tblpY="1570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24"/>
    </w:tblGrid>
    <w:tr w:rsidR="002534B3" w14:paraId="30D64027" w14:textId="77777777" w:rsidTr="003D0965">
      <w:trPr>
        <w:trHeight w:hRule="exact" w:val="284"/>
      </w:trPr>
      <w:tc>
        <w:tcPr>
          <w:tcW w:w="624" w:type="dxa"/>
        </w:tcPr>
        <w:p w14:paraId="30D64026" w14:textId="4A4B641B" w:rsidR="002534B3" w:rsidRDefault="002534B3" w:rsidP="00F80655">
          <w:pPr>
            <w:pStyle w:val="Footer"/>
            <w:jc w:val="right"/>
          </w:pPr>
          <w:r>
            <w:fldChar w:fldCharType="begin"/>
          </w:r>
          <w:r>
            <w:instrText xml:space="preserve"> PAGE   \* MERGEFORMAT </w:instrText>
          </w:r>
          <w:r>
            <w:fldChar w:fldCharType="separate"/>
          </w:r>
          <w:r w:rsidR="00335F99">
            <w:rPr>
              <w:noProof/>
            </w:rPr>
            <w:t>2</w:t>
          </w:r>
          <w:r>
            <w:rPr>
              <w:noProof/>
            </w:rPr>
            <w:fldChar w:fldCharType="end"/>
          </w:r>
        </w:p>
      </w:tc>
    </w:tr>
  </w:tbl>
  <w:p w14:paraId="30D64028" w14:textId="01105683" w:rsidR="002534B3" w:rsidRPr="003D0965" w:rsidRDefault="002534B3" w:rsidP="003D0965">
    <w:pPr>
      <w:pStyle w:val="Footer"/>
    </w:pPr>
    <w:r w:rsidRPr="008C038C">
      <w:rPr>
        <w:noProof/>
        <w:lang w:val="en-US" w:eastAsia="en-US"/>
      </w:rPr>
      <w:drawing>
        <wp:anchor distT="0" distB="0" distL="114300" distR="114300" simplePos="0" relativeHeight="251658248" behindDoc="1" locked="1" layoutInCell="1" allowOverlap="1" wp14:anchorId="30D64039" wp14:editId="03AC8678">
          <wp:simplePos x="0" y="0"/>
          <wp:positionH relativeFrom="page">
            <wp:posOffset>0</wp:posOffset>
          </wp:positionH>
          <wp:positionV relativeFrom="page">
            <wp:posOffset>9721215</wp:posOffset>
          </wp:positionV>
          <wp:extent cx="7596000" cy="426325"/>
          <wp:effectExtent l="19050" t="0" r="4950" b="0"/>
          <wp:wrapNone/>
          <wp:docPr id="21" name="Grafik 3" descr="Footer.wm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Footer.wmf"/>
                  <pic:cNvPicPr/>
                </pic:nvPicPr>
                <pic:blipFill>
                  <a:blip r:embed="rId1"/>
                  <a:stretch>
                    <a:fillRect/>
                  </a:stretch>
                </pic:blipFill>
                <pic:spPr>
                  <a:xfrm>
                    <a:off x="0" y="0"/>
                    <a:ext cx="7596000" cy="426325"/>
                  </a:xfrm>
                  <a:prstGeom prst="rect">
                    <a:avLst/>
                  </a:prstGeom>
                </pic:spPr>
              </pic:pic>
            </a:graphicData>
          </a:graphic>
        </wp:anchor>
      </w:drawing>
    </w:r>
    <w:r w:rsidRPr="008C038C">
      <w:rPr>
        <w:noProof/>
        <w:lang w:val="en-US" w:eastAsia="en-US"/>
      </w:rPr>
      <w:drawing>
        <wp:anchor distT="0" distB="0" distL="114300" distR="114300" simplePos="0" relativeHeight="251658242" behindDoc="1" locked="1" layoutInCell="1" allowOverlap="1" wp14:anchorId="23E17878" wp14:editId="0CAF68FD">
          <wp:simplePos x="0" y="0"/>
          <wp:positionH relativeFrom="page">
            <wp:posOffset>0</wp:posOffset>
          </wp:positionH>
          <wp:positionV relativeFrom="page">
            <wp:posOffset>9721215</wp:posOffset>
          </wp:positionV>
          <wp:extent cx="7596000" cy="426325"/>
          <wp:effectExtent l="19050" t="0" r="4950" b="0"/>
          <wp:wrapNone/>
          <wp:docPr id="22" name="Grafik 3" descr="Footer.wm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Footer.wmf"/>
                  <pic:cNvPicPr/>
                </pic:nvPicPr>
                <pic:blipFill>
                  <a:blip r:embed="rId1"/>
                  <a:stretch>
                    <a:fillRect/>
                  </a:stretch>
                </pic:blipFill>
                <pic:spPr>
                  <a:xfrm>
                    <a:off x="0" y="0"/>
                    <a:ext cx="7596000" cy="426325"/>
                  </a:xfrm>
                  <a:prstGeom prst="rect">
                    <a:avLst/>
                  </a:prstGeom>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42" w:rightFromText="142" w:vertAnchor="page" w:horzAnchor="page" w:tblpX="1362" w:tblpY="161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23"/>
    </w:tblGrid>
    <w:tr w:rsidR="002534B3" w:rsidRPr="00645A76" w14:paraId="30D64033" w14:textId="77777777" w:rsidTr="003D0965">
      <w:trPr>
        <w:trHeight w:hRule="exact" w:val="284"/>
      </w:trPr>
      <w:tc>
        <w:tcPr>
          <w:tcW w:w="9923" w:type="dxa"/>
          <w:vAlign w:val="center"/>
        </w:tcPr>
        <w:p w14:paraId="30D64032" w14:textId="77777777" w:rsidR="002534B3" w:rsidRPr="004432C3" w:rsidRDefault="002534B3" w:rsidP="003D0965">
          <w:pPr>
            <w:pStyle w:val="Footer"/>
            <w:rPr>
              <w:rFonts w:asciiTheme="majorHAnsi" w:hAnsiTheme="majorHAnsi" w:cstheme="majorHAnsi"/>
              <w:sz w:val="14"/>
              <w:szCs w:val="14"/>
              <w:lang w:val="fr-BE"/>
            </w:rPr>
          </w:pPr>
          <w:r w:rsidRPr="004432C3">
            <w:rPr>
              <w:rFonts w:asciiTheme="majorHAnsi" w:hAnsiTheme="majorHAnsi" w:cstheme="majorHAnsi"/>
              <w:sz w:val="14"/>
              <w:szCs w:val="14"/>
              <w:lang w:val="fr-BE"/>
            </w:rPr>
            <w:t xml:space="preserve">ENTSO-E </w:t>
          </w:r>
          <w:r w:rsidRPr="004432C3">
            <w:rPr>
              <w:rFonts w:asciiTheme="majorHAnsi" w:hAnsiTheme="majorHAnsi" w:cstheme="majorHAnsi"/>
              <w:sz w:val="10"/>
              <w:szCs w:val="14"/>
              <w:lang w:val="fr-BE"/>
            </w:rPr>
            <w:t>AISBL</w:t>
          </w:r>
          <w:r w:rsidRPr="004432C3">
            <w:rPr>
              <w:rFonts w:asciiTheme="majorHAnsi" w:hAnsiTheme="majorHAnsi" w:cstheme="majorHAnsi"/>
              <w:sz w:val="14"/>
              <w:szCs w:val="14"/>
              <w:lang w:val="fr-BE"/>
            </w:rPr>
            <w:t xml:space="preserve"> • Avenue de Cortenbergh 100 • 1000 Brussels • Belgium • Tel + 32 2 741 09 50 • Fax + 32 2 741 09 51 • info@entsoe.eu • www. entsoe.eu</w:t>
          </w:r>
        </w:p>
      </w:tc>
    </w:tr>
  </w:tbl>
  <w:p w14:paraId="30D64034" w14:textId="03283BF1" w:rsidR="002534B3" w:rsidRDefault="002534B3">
    <w:pPr>
      <w:pStyle w:val="Footer"/>
    </w:pPr>
    <w:r>
      <w:rPr>
        <w:noProof/>
        <w:lang w:val="en-US" w:eastAsia="en-US"/>
      </w:rPr>
      <mc:AlternateContent>
        <mc:Choice Requires="wps">
          <w:drawing>
            <wp:anchor distT="0" distB="0" distL="114300" distR="114300" simplePos="0" relativeHeight="251658247" behindDoc="1" locked="0" layoutInCell="1" allowOverlap="1" wp14:anchorId="30D6403D" wp14:editId="748CCA42">
              <wp:simplePos x="0" y="0"/>
              <wp:positionH relativeFrom="column">
                <wp:posOffset>-864235</wp:posOffset>
              </wp:positionH>
              <wp:positionV relativeFrom="paragraph">
                <wp:posOffset>-299085</wp:posOffset>
              </wp:positionV>
              <wp:extent cx="7578090" cy="638175"/>
              <wp:effectExtent l="2540" t="0" r="1270" b="3810"/>
              <wp:wrapNone/>
              <wp:docPr id="1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78090" cy="638175"/>
                      </a:xfrm>
                      <a:prstGeom prst="rect">
                        <a:avLst/>
                      </a:prstGeom>
                      <a:solidFill>
                        <a:schemeClr val="bg1">
                          <a:lumMod val="100000"/>
                          <a:lumOff val="0"/>
                        </a:schemeClr>
                      </a:solidFill>
                      <a:ln>
                        <a:noFill/>
                      </a:ln>
                      <a:extLst>
                        <a:ext uri="{91240B29-F687-4F45-9708-019B960494DF}">
                          <a14:hiddenLine xmlns:a14="http://schemas.microsoft.com/office/drawing/2010/main" w="9525">
                            <a:solidFill>
                              <a:schemeClr val="accent3">
                                <a:lumMod val="100000"/>
                                <a:lumOff val="0"/>
                              </a:schemeClr>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05CFF68B" id="Rectangle 6" o:spid="_x0000_s1026" style="position:absolute;margin-left:-68.05pt;margin-top:-23.55pt;width:596.7pt;height:50.25pt;z-index:-2516582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" fillcolor="white [3212]" stroked="f" strokecolor="#7f5a9b [3206]"/>
          </w:pict>
        </mc:Fallback>
      </mc:AlternateContent>
    </w:r>
    <w:r>
      <w:rPr>
        <w:noProof/>
        <w:lang w:val="en-US" w:eastAsia="en-US"/>
      </w:rPr>
      <mc:AlternateContent>
        <mc:Choice Requires="wps">
          <w:drawing>
            <wp:anchor distT="0" distB="0" distL="114300" distR="114300" simplePos="0" relativeHeight="251658245" behindDoc="1" locked="0" layoutInCell="1" allowOverlap="1" wp14:anchorId="471C1488" wp14:editId="58384654">
              <wp:simplePos x="0" y="0"/>
              <wp:positionH relativeFrom="column">
                <wp:posOffset>-864235</wp:posOffset>
              </wp:positionH>
              <wp:positionV relativeFrom="paragraph">
                <wp:posOffset>-299085</wp:posOffset>
              </wp:positionV>
              <wp:extent cx="7578090" cy="638175"/>
              <wp:effectExtent l="2540" t="0" r="1270" b="3810"/>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78090" cy="638175"/>
                      </a:xfrm>
                      <a:prstGeom prst="rect">
                        <a:avLst/>
                      </a:prstGeom>
                      <a:solidFill>
                        <a:schemeClr val="bg1">
                          <a:lumMod val="100000"/>
                          <a:lumOff val="0"/>
                        </a:schemeClr>
                      </a:solidFill>
                      <a:ln>
                        <a:noFill/>
                      </a:ln>
                      <a:extLst>
                        <a:ext uri="{91240B29-F687-4F45-9708-019B960494DF}">
                          <a14:hiddenLine xmlns:a14="http://schemas.microsoft.com/office/drawing/2010/main" w="9525">
                            <a:solidFill>
                              <a:schemeClr val="accent3">
                                <a:lumMod val="100000"/>
                                <a:lumOff val="0"/>
                              </a:schemeClr>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4F5B33A9" id="Rectangle 6" o:spid="_x0000_s1026" style="position:absolute;margin-left:-68.05pt;margin-top:-23.55pt;width:596.7pt;height:50.25pt;z-index:-2516582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" fillcolor="white [3212]" stroked="f" strokecolor="#7f5a9b [3206]"/>
          </w:pict>
        </mc:Fallback>
      </mc:AlternateContent>
    </w:r>
    <w:r>
      <w:rPr>
        <w:noProof/>
        <w:lang w:val="en-US" w:eastAsia="en-US"/>
      </w:rPr>
      <mc:AlternateContent>
        <mc:Choice Requires="wps">
          <w:drawing>
            <wp:anchor distT="0" distB="0" distL="114300" distR="114300" simplePos="0" relativeHeight="251658243" behindDoc="1" locked="1" layoutInCell="1" allowOverlap="1" wp14:anchorId="30D6403F" wp14:editId="01EEE434">
              <wp:simplePos x="0" y="0"/>
              <wp:positionH relativeFrom="page">
                <wp:posOffset>0</wp:posOffset>
              </wp:positionH>
              <wp:positionV relativeFrom="page">
                <wp:posOffset>6642735</wp:posOffset>
              </wp:positionV>
              <wp:extent cx="7578090" cy="3834130"/>
              <wp:effectExtent l="0" t="3810" r="3810" b="635"/>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78090" cy="3834130"/>
                      </a:xfrm>
                      <a:prstGeom prst="rect">
                        <a:avLst/>
                      </a:prstGeom>
                      <a:gradFill rotWithShape="1">
                        <a:gsLst>
                          <a:gs pos="0">
                            <a:srgbClr val="FFFFFF">
                              <a:alpha val="25000"/>
                            </a:srgbClr>
                          </a:gs>
                          <a:gs pos="100000">
                            <a:srgbClr val="DCDCDC"/>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05D05261" id="Rectangle 5" o:spid="_x0000_s1026" style="position:absolute;margin-left:0;margin-top:523.05pt;width:596.7pt;height:301.9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" stroked="f">
              <v:fill opacity=".25" color2="#dcdcdc" rotate="t" focus="100%" type="gradient"/>
              <w10:wrap anchorx="page" anchory="page"/>
              <w10:anchorlock/>
            </v:rect>
          </w:pict>
        </mc:Fallback>
      </mc:AlternateContent>
    </w:r>
    <w:r>
      <w:rPr>
        <w:noProof/>
        <w:lang w:val="en-US" w:eastAsia="en-US"/>
      </w:rPr>
      <w:drawing>
        <wp:anchor distT="0" distB="0" distL="114300" distR="114300" simplePos="0" relativeHeight="251658244" behindDoc="1" locked="1" layoutInCell="1" allowOverlap="1" wp14:anchorId="30D64041" wp14:editId="44B550A5">
          <wp:simplePos x="0" y="0"/>
          <wp:positionH relativeFrom="page">
            <wp:posOffset>0</wp:posOffset>
          </wp:positionH>
          <wp:positionV relativeFrom="page">
            <wp:posOffset>9721215</wp:posOffset>
          </wp:positionV>
          <wp:extent cx="7596000" cy="426325"/>
          <wp:effectExtent l="19050" t="0" r="4950" b="0"/>
          <wp:wrapNone/>
          <wp:docPr id="25" name="Grafik 3" descr="Footer.wm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Footer.wmf"/>
                  <pic:cNvPicPr/>
                </pic:nvPicPr>
                <pic:blipFill>
                  <a:blip r:embed="rId1"/>
                  <a:stretch>
                    <a:fillRect/>
                  </a:stretch>
                </pic:blipFill>
                <pic:spPr>
                  <a:xfrm>
                    <a:off x="0" y="0"/>
                    <a:ext cx="7596000" cy="42632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9D3F45" w14:textId="77777777" w:rsidR="00592A05" w:rsidRDefault="00592A05">
      <w:r>
        <w:separator/>
      </w:r>
    </w:p>
  </w:footnote>
  <w:footnote w:type="continuationSeparator" w:id="0">
    <w:p w14:paraId="39CCA76E" w14:textId="77777777" w:rsidR="00592A05" w:rsidRDefault="00592A05">
      <w:r>
        <w:continuationSeparator/>
      </w:r>
    </w:p>
  </w:footnote>
  <w:footnote w:type="continuationNotice" w:id="1">
    <w:p w14:paraId="5FA27EB5" w14:textId="77777777" w:rsidR="00592A05" w:rsidRDefault="00592A05"/>
  </w:footnote>
  <w:footnote w:id="2">
    <w:p w14:paraId="6334D383" w14:textId="79199BD8" w:rsidR="002534B3" w:rsidRPr="00B27064" w:rsidRDefault="002534B3">
      <w:pPr>
        <w:pStyle w:val="FootnoteText"/>
      </w:pPr>
      <w:r>
        <w:rPr>
          <w:rStyle w:val="FootnoteReference"/>
        </w:rPr>
        <w:footnoteRef/>
      </w:r>
      <w:r>
        <w:t xml:space="preserve"> </w:t>
      </w:r>
      <w:r w:rsidRPr="00F373F8">
        <w:t>In accordance with Schedule 3 of the Tariffs methodology (Z)</w:t>
      </w:r>
      <w:r>
        <w:t xml:space="preserve"> </w:t>
      </w:r>
      <w:r w:rsidRPr="00F373F8">
        <w:t>141218-CDC-1109/7, issued by CREG, and dated 18 December 2014, as amended from time to time.</w:t>
      </w:r>
    </w:p>
  </w:footnote>
  <w:footnote w:id="3">
    <w:p w14:paraId="1A88E560" w14:textId="6090EC5C" w:rsidR="002534B3" w:rsidRPr="00B27064" w:rsidRDefault="002534B3">
      <w:pPr>
        <w:pStyle w:val="FootnoteText"/>
      </w:pPr>
      <w:r>
        <w:rPr>
          <w:rStyle w:val="FootnoteReference"/>
        </w:rPr>
        <w:footnoteRef/>
      </w:r>
      <w:r>
        <w:t xml:space="preserve"> The Baltic Cable AB is not yet certified as a TSO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345B62" w14:textId="77777777" w:rsidR="002534B3" w:rsidRDefault="002534B3">
    <w:pPr>
      <w:pStyle w:val="Header"/>
    </w:pPr>
  </w:p>
  <w:p w14:paraId="25C4E5CD" w14:textId="77777777" w:rsidR="002534B3" w:rsidRDefault="002534B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72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231"/>
    </w:tblGrid>
    <w:tr w:rsidR="002534B3" w:rsidRPr="00C83880" w14:paraId="30D64022" w14:textId="77777777" w:rsidTr="00C77638">
      <w:trPr>
        <w:trHeight w:hRule="exact" w:val="856"/>
      </w:trPr>
      <w:tc>
        <w:tcPr>
          <w:tcW w:w="7231" w:type="dxa"/>
        </w:tcPr>
        <w:p w14:paraId="30D64021" w14:textId="08789481" w:rsidR="002534B3" w:rsidRPr="00EB66F9" w:rsidRDefault="002534B3" w:rsidP="001C0A28">
          <w:pPr>
            <w:rPr>
              <w:sz w:val="18"/>
              <w:szCs w:val="20"/>
            </w:rPr>
          </w:pPr>
          <w:r w:rsidRPr="00C83880">
            <w:rPr>
              <w:sz w:val="18"/>
              <w:szCs w:val="20"/>
            </w:rPr>
            <w:t>All TSOs’ proposal for common settlement rules applicable to all intended exchanges of energy as a result of the reserve replacement process, frequency restoration process with manual and automatic activation and the imbalance netting process pursuant to Article 50(1) of</w:t>
          </w:r>
          <w:r w:rsidRPr="00EB66F9">
            <w:rPr>
              <w:sz w:val="18"/>
              <w:szCs w:val="20"/>
            </w:rPr>
            <w:t xml:space="preserve"> </w:t>
          </w:r>
          <w:r w:rsidRPr="00C83880">
            <w:rPr>
              <w:sz w:val="18"/>
              <w:szCs w:val="20"/>
            </w:rPr>
            <w:t>Commission Regulation (EU) 2017/2195 of 23 November 2017 establishing a guideline on electricity balancing</w:t>
          </w:r>
        </w:p>
      </w:tc>
    </w:tr>
  </w:tbl>
  <w:p w14:paraId="30D64023" w14:textId="20D0D242" w:rsidR="002534B3" w:rsidRDefault="002534B3" w:rsidP="003D0965">
    <w:pPr>
      <w:pStyle w:val="Footer"/>
    </w:pPr>
    <w:r>
      <w:rPr>
        <w:noProof/>
        <w:lang w:val="en-US" w:eastAsia="en-US"/>
      </w:rPr>
      <w:drawing>
        <wp:anchor distT="0" distB="0" distL="114300" distR="114300" simplePos="0" relativeHeight="251658241" behindDoc="0" locked="1" layoutInCell="1" allowOverlap="1" wp14:anchorId="30D64037" wp14:editId="4D2188A9">
          <wp:simplePos x="0" y="0"/>
          <wp:positionH relativeFrom="page">
            <wp:posOffset>5483225</wp:posOffset>
          </wp:positionH>
          <wp:positionV relativeFrom="page">
            <wp:posOffset>360045</wp:posOffset>
          </wp:positionV>
          <wp:extent cx="1514475" cy="381000"/>
          <wp:effectExtent l="0" t="0" r="9525" b="0"/>
          <wp:wrapNone/>
          <wp:docPr id="19" name="Grafik 5" descr="Logo.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wmf"/>
                  <pic:cNvPicPr/>
                </pic:nvPicPr>
                <pic:blipFill>
                  <a:blip r:embed="rId1"/>
                  <a:srcRect l="48293"/>
                  <a:stretch>
                    <a:fillRect/>
                  </a:stretch>
                </pic:blipFill>
                <pic:spPr>
                  <a:xfrm>
                    <a:off x="0" y="0"/>
                    <a:ext cx="1514475" cy="381000"/>
                  </a:xfrm>
                  <a:prstGeom prst="rect">
                    <a:avLst/>
                  </a:prstGeom>
                </pic:spPr>
              </pic:pic>
            </a:graphicData>
          </a:graphic>
        </wp:anchor>
      </w:drawing>
    </w:r>
    <w:r>
      <w:rPr>
        <w:noProof/>
        <w:lang w:val="en-US" w:eastAsia="en-US"/>
      </w:rPr>
      <mc:AlternateContent>
        <mc:Choice Requires="wps">
          <w:drawing>
            <wp:anchor distT="0" distB="0" distL="114300" distR="114300" simplePos="0" relativeHeight="251658240" behindDoc="0" locked="1" layoutInCell="1" allowOverlap="1" wp14:anchorId="279CE937" wp14:editId="1A84A99E">
              <wp:simplePos x="0" y="0"/>
              <wp:positionH relativeFrom="page">
                <wp:posOffset>864235</wp:posOffset>
              </wp:positionH>
              <wp:positionV relativeFrom="page">
                <wp:posOffset>1062355</wp:posOffset>
              </wp:positionV>
              <wp:extent cx="6047740" cy="0"/>
              <wp:effectExtent l="6985" t="14605" r="12700" b="13970"/>
              <wp:wrapNone/>
              <wp:docPr id="3"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47740" cy="0"/>
                      </a:xfrm>
                      <a:prstGeom prst="straightConnector1">
                        <a:avLst/>
                      </a:prstGeom>
                      <a:noFill/>
                      <a:ln w="12700">
                        <a:solidFill>
                          <a:schemeClr val="tx2">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43E4DA85" id="_x0000_t32" coordsize="21600,21600" o:spt="32" o:oned="t" path="m,l21600,21600e" filled="f">
              <v:path arrowok="t" fillok="f" o:connecttype="none"/>
              <o:lock v:ext="edit" shapetype="t"/>
            </v:shapetype>
            <v:shape id="AutoShape 8" o:spid="_x0000_s1026" type="#_x0000_t32" style="position:absolute;margin-left:68.05pt;margin-top:83.65pt;width:476.2pt;height:0;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" strokecolor="#23236e [3215]" strokeweight="1pt">
              <w10:wrap anchorx="page" anchory="page"/>
              <w10:anchorlock/>
            </v:shape>
          </w:pict>
        </mc:Fallback>
      </mc:AlternateContent>
    </w:r>
    <w:r>
      <w:rPr>
        <w:noProof/>
        <w:lang w:val="en-US" w:eastAsia="en-US"/>
      </w:rPr>
      <w:drawing>
        <wp:anchor distT="0" distB="0" distL="114300" distR="114300" simplePos="0" relativeHeight="251658249" behindDoc="0" locked="1" layoutInCell="1" allowOverlap="1" wp14:anchorId="126F329A" wp14:editId="6E6BCD4A">
          <wp:simplePos x="0" y="0"/>
          <wp:positionH relativeFrom="page">
            <wp:posOffset>5483225</wp:posOffset>
          </wp:positionH>
          <wp:positionV relativeFrom="page">
            <wp:posOffset>360045</wp:posOffset>
          </wp:positionV>
          <wp:extent cx="1514475" cy="381000"/>
          <wp:effectExtent l="0" t="0" r="9525" b="0"/>
          <wp:wrapNone/>
          <wp:docPr id="20" name="Grafik 5" descr="Logo.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wmf"/>
                  <pic:cNvPicPr/>
                </pic:nvPicPr>
                <pic:blipFill>
                  <a:blip r:embed="rId1"/>
                  <a:srcRect l="48293"/>
                  <a:stretch>
                    <a:fillRect/>
                  </a:stretch>
                </pic:blipFill>
                <pic:spPr>
                  <a:xfrm>
                    <a:off x="0" y="0"/>
                    <a:ext cx="1514475" cy="381000"/>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D64031" w14:textId="62D1CEE8" w:rsidR="002534B3" w:rsidRDefault="002534B3">
    <w:pPr>
      <w:pStyle w:val="Header"/>
    </w:pPr>
    <w:r>
      <w:rPr>
        <w:noProof/>
        <w:lang w:val="en-US" w:eastAsia="en-US"/>
      </w:rPr>
      <w:drawing>
        <wp:anchor distT="0" distB="0" distL="114300" distR="114300" simplePos="0" relativeHeight="251658246" behindDoc="0" locked="1" layoutInCell="1" allowOverlap="1" wp14:anchorId="30D6403B" wp14:editId="232081BF">
          <wp:simplePos x="0" y="0"/>
          <wp:positionH relativeFrom="page">
            <wp:posOffset>4053205</wp:posOffset>
          </wp:positionH>
          <wp:positionV relativeFrom="page">
            <wp:posOffset>72390</wp:posOffset>
          </wp:positionV>
          <wp:extent cx="2929890" cy="382905"/>
          <wp:effectExtent l="0" t="0" r="0" b="0"/>
          <wp:wrapNone/>
          <wp:docPr id="23" name="Grafik 5" descr="Logo.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wmf"/>
                  <pic:cNvPicPr/>
                </pic:nvPicPr>
                <pic:blipFill>
                  <a:blip r:embed="rId1"/>
                  <a:stretch>
                    <a:fillRect/>
                  </a:stretch>
                </pic:blipFill>
                <pic:spPr>
                  <a:xfrm>
                    <a:off x="0" y="0"/>
                    <a:ext cx="2929890" cy="38290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230F4"/>
    <w:multiLevelType w:val="hybridMultilevel"/>
    <w:tmpl w:val="7C72C22E"/>
    <w:lvl w:ilvl="0" w:tplc="4FB2C9E4">
      <w:start w:val="1"/>
      <w:numFmt w:val="lowerLetter"/>
      <w:lvlText w:val="(%1)"/>
      <w:lvlJc w:val="left"/>
      <w:pPr>
        <w:ind w:left="717" w:hanging="360"/>
      </w:pPr>
      <w:rPr>
        <w:rFonts w:hint="default"/>
        <w:b w:val="0"/>
      </w:rPr>
    </w:lvl>
    <w:lvl w:ilvl="1" w:tplc="D3281D72">
      <w:start w:val="1"/>
      <w:numFmt w:val="lowerRoman"/>
      <w:lvlText w:val="%2."/>
      <w:lvlJc w:val="right"/>
      <w:pPr>
        <w:ind w:left="1437" w:hanging="360"/>
      </w:pPr>
      <w:rPr>
        <w:rFonts w:hint="default"/>
        <w:b w:val="0"/>
      </w:rPr>
    </w:lvl>
    <w:lvl w:ilvl="2" w:tplc="F60AA660">
      <w:start w:val="1"/>
      <w:numFmt w:val="lowerRoman"/>
      <w:lvlText w:val="%3."/>
      <w:lvlJc w:val="right"/>
      <w:pPr>
        <w:ind w:left="2157" w:hanging="180"/>
      </w:pPr>
    </w:lvl>
    <w:lvl w:ilvl="3" w:tplc="040B000F">
      <w:start w:val="1"/>
      <w:numFmt w:val="decimal"/>
      <w:lvlText w:val="%4."/>
      <w:lvlJc w:val="left"/>
      <w:pPr>
        <w:ind w:left="2877" w:hanging="360"/>
      </w:pPr>
    </w:lvl>
    <w:lvl w:ilvl="4" w:tplc="040B0019">
      <w:start w:val="1"/>
      <w:numFmt w:val="lowerLetter"/>
      <w:lvlText w:val="%5."/>
      <w:lvlJc w:val="left"/>
      <w:pPr>
        <w:ind w:left="3597" w:hanging="360"/>
      </w:pPr>
    </w:lvl>
    <w:lvl w:ilvl="5" w:tplc="040B001B">
      <w:start w:val="1"/>
      <w:numFmt w:val="lowerRoman"/>
      <w:lvlText w:val="%6."/>
      <w:lvlJc w:val="right"/>
      <w:pPr>
        <w:ind w:left="4317" w:hanging="180"/>
      </w:pPr>
    </w:lvl>
    <w:lvl w:ilvl="6" w:tplc="040B000F">
      <w:start w:val="1"/>
      <w:numFmt w:val="decimal"/>
      <w:lvlText w:val="%7."/>
      <w:lvlJc w:val="left"/>
      <w:pPr>
        <w:ind w:left="5037" w:hanging="360"/>
      </w:pPr>
    </w:lvl>
    <w:lvl w:ilvl="7" w:tplc="040B0019">
      <w:start w:val="1"/>
      <w:numFmt w:val="lowerLetter"/>
      <w:lvlText w:val="%8."/>
      <w:lvlJc w:val="left"/>
      <w:pPr>
        <w:ind w:left="5757" w:hanging="360"/>
      </w:pPr>
    </w:lvl>
    <w:lvl w:ilvl="8" w:tplc="040B001B">
      <w:start w:val="1"/>
      <w:numFmt w:val="lowerRoman"/>
      <w:lvlText w:val="%9."/>
      <w:lvlJc w:val="right"/>
      <w:pPr>
        <w:ind w:left="6477" w:hanging="180"/>
      </w:pPr>
    </w:lvl>
  </w:abstractNum>
  <w:abstractNum w:abstractNumId="1">
    <w:nsid w:val="0178152E"/>
    <w:multiLevelType w:val="hybridMultilevel"/>
    <w:tmpl w:val="ED067F2E"/>
    <w:lvl w:ilvl="0" w:tplc="4FB2C9E4">
      <w:start w:val="1"/>
      <w:numFmt w:val="lowerLetter"/>
      <w:lvlText w:val="(%1)"/>
      <w:lvlJc w:val="left"/>
      <w:pPr>
        <w:ind w:left="720" w:hanging="360"/>
      </w:pPr>
      <w:rPr>
        <w:rFonts w:hint="default"/>
        <w:b w:val="0"/>
      </w:rPr>
    </w:lvl>
    <w:lvl w:ilvl="1" w:tplc="D3281D72">
      <w:start w:val="1"/>
      <w:numFmt w:val="lowerRoman"/>
      <w:lvlText w:val="%2."/>
      <w:lvlJc w:val="right"/>
      <w:pPr>
        <w:ind w:left="1440" w:hanging="360"/>
      </w:pPr>
      <w:rPr>
        <w:rFonts w:hint="default"/>
        <w:b w:val="0"/>
      </w:rPr>
    </w:lvl>
    <w:lvl w:ilvl="2" w:tplc="F60AA660">
      <w:start w:val="1"/>
      <w:numFmt w:val="lowerRoman"/>
      <w:lvlText w:val="%3."/>
      <w:lvlJc w:val="right"/>
      <w:pPr>
        <w:ind w:left="2160" w:hanging="180"/>
      </w:pPr>
    </w:lvl>
    <w:lvl w:ilvl="3" w:tplc="040B000F">
      <w:start w:val="1"/>
      <w:numFmt w:val="decimal"/>
      <w:lvlText w:val="%4."/>
      <w:lvlJc w:val="left"/>
      <w:pPr>
        <w:ind w:left="2880" w:hanging="360"/>
      </w:pPr>
    </w:lvl>
    <w:lvl w:ilvl="4" w:tplc="040B0019">
      <w:start w:val="1"/>
      <w:numFmt w:val="lowerLetter"/>
      <w:lvlText w:val="%5."/>
      <w:lvlJc w:val="left"/>
      <w:pPr>
        <w:ind w:left="3600" w:hanging="360"/>
      </w:pPr>
    </w:lvl>
    <w:lvl w:ilvl="5" w:tplc="040B001B">
      <w:start w:val="1"/>
      <w:numFmt w:val="lowerRoman"/>
      <w:lvlText w:val="%6."/>
      <w:lvlJc w:val="right"/>
      <w:pPr>
        <w:ind w:left="4320" w:hanging="180"/>
      </w:pPr>
    </w:lvl>
    <w:lvl w:ilvl="6" w:tplc="040B000F">
      <w:start w:val="1"/>
      <w:numFmt w:val="decimal"/>
      <w:lvlText w:val="%7."/>
      <w:lvlJc w:val="left"/>
      <w:pPr>
        <w:ind w:left="5040" w:hanging="360"/>
      </w:pPr>
    </w:lvl>
    <w:lvl w:ilvl="7" w:tplc="040B0019">
      <w:start w:val="1"/>
      <w:numFmt w:val="lowerLetter"/>
      <w:lvlText w:val="%8."/>
      <w:lvlJc w:val="left"/>
      <w:pPr>
        <w:ind w:left="5760" w:hanging="360"/>
      </w:pPr>
    </w:lvl>
    <w:lvl w:ilvl="8" w:tplc="040B001B">
      <w:start w:val="1"/>
      <w:numFmt w:val="lowerRoman"/>
      <w:lvlText w:val="%9."/>
      <w:lvlJc w:val="right"/>
      <w:pPr>
        <w:ind w:left="6480" w:hanging="180"/>
      </w:pPr>
    </w:lvl>
  </w:abstractNum>
  <w:abstractNum w:abstractNumId="2">
    <w:nsid w:val="03934012"/>
    <w:multiLevelType w:val="hybridMultilevel"/>
    <w:tmpl w:val="ED067F2E"/>
    <w:lvl w:ilvl="0" w:tplc="4FB2C9E4">
      <w:start w:val="1"/>
      <w:numFmt w:val="lowerLetter"/>
      <w:lvlText w:val="(%1)"/>
      <w:lvlJc w:val="left"/>
      <w:pPr>
        <w:ind w:left="720" w:hanging="360"/>
      </w:pPr>
      <w:rPr>
        <w:rFonts w:hint="default"/>
        <w:b w:val="0"/>
      </w:rPr>
    </w:lvl>
    <w:lvl w:ilvl="1" w:tplc="D3281D72">
      <w:start w:val="1"/>
      <w:numFmt w:val="lowerRoman"/>
      <w:lvlText w:val="%2."/>
      <w:lvlJc w:val="right"/>
      <w:pPr>
        <w:ind w:left="1440" w:hanging="360"/>
      </w:pPr>
      <w:rPr>
        <w:rFonts w:hint="default"/>
        <w:b w:val="0"/>
      </w:rPr>
    </w:lvl>
    <w:lvl w:ilvl="2" w:tplc="F60AA660">
      <w:start w:val="1"/>
      <w:numFmt w:val="lowerRoman"/>
      <w:lvlText w:val="%3."/>
      <w:lvlJc w:val="right"/>
      <w:pPr>
        <w:ind w:left="2160" w:hanging="180"/>
      </w:pPr>
    </w:lvl>
    <w:lvl w:ilvl="3" w:tplc="040B000F">
      <w:start w:val="1"/>
      <w:numFmt w:val="decimal"/>
      <w:lvlText w:val="%4."/>
      <w:lvlJc w:val="left"/>
      <w:pPr>
        <w:ind w:left="2880" w:hanging="360"/>
      </w:pPr>
    </w:lvl>
    <w:lvl w:ilvl="4" w:tplc="040B0019">
      <w:start w:val="1"/>
      <w:numFmt w:val="lowerLetter"/>
      <w:lvlText w:val="%5."/>
      <w:lvlJc w:val="left"/>
      <w:pPr>
        <w:ind w:left="3600" w:hanging="360"/>
      </w:pPr>
    </w:lvl>
    <w:lvl w:ilvl="5" w:tplc="040B001B">
      <w:start w:val="1"/>
      <w:numFmt w:val="lowerRoman"/>
      <w:lvlText w:val="%6."/>
      <w:lvlJc w:val="right"/>
      <w:pPr>
        <w:ind w:left="4320" w:hanging="180"/>
      </w:pPr>
    </w:lvl>
    <w:lvl w:ilvl="6" w:tplc="040B000F">
      <w:start w:val="1"/>
      <w:numFmt w:val="decimal"/>
      <w:lvlText w:val="%7."/>
      <w:lvlJc w:val="left"/>
      <w:pPr>
        <w:ind w:left="5040" w:hanging="360"/>
      </w:pPr>
    </w:lvl>
    <w:lvl w:ilvl="7" w:tplc="040B0019">
      <w:start w:val="1"/>
      <w:numFmt w:val="lowerLetter"/>
      <w:lvlText w:val="%8."/>
      <w:lvlJc w:val="left"/>
      <w:pPr>
        <w:ind w:left="5760" w:hanging="360"/>
      </w:pPr>
    </w:lvl>
    <w:lvl w:ilvl="8" w:tplc="040B001B">
      <w:start w:val="1"/>
      <w:numFmt w:val="lowerRoman"/>
      <w:lvlText w:val="%9."/>
      <w:lvlJc w:val="right"/>
      <w:pPr>
        <w:ind w:left="6480" w:hanging="180"/>
      </w:pPr>
    </w:lvl>
  </w:abstractNum>
  <w:abstractNum w:abstractNumId="3">
    <w:nsid w:val="0C61233C"/>
    <w:multiLevelType w:val="hybridMultilevel"/>
    <w:tmpl w:val="D5F25F50"/>
    <w:lvl w:ilvl="0" w:tplc="CD76C8B2">
      <w:numFmt w:val="bullet"/>
      <w:lvlText w:val=""/>
      <w:lvlJc w:val="left"/>
      <w:pPr>
        <w:ind w:left="720" w:hanging="360"/>
      </w:pPr>
      <w:rPr>
        <w:rFonts w:ascii="Wingdings" w:eastAsia="Times New Roman" w:hAnsi="Wingding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nsid w:val="0DBB71E4"/>
    <w:multiLevelType w:val="hybridMultilevel"/>
    <w:tmpl w:val="54F6D006"/>
    <w:lvl w:ilvl="0" w:tplc="47422A8A">
      <w:start w:val="4"/>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nsid w:val="102A6098"/>
    <w:multiLevelType w:val="hybridMultilevel"/>
    <w:tmpl w:val="B49C6748"/>
    <w:lvl w:ilvl="0" w:tplc="79EE455A">
      <w:start w:val="1"/>
      <w:numFmt w:val="decimal"/>
      <w:lvlText w:val="(%1)"/>
      <w:lvlJc w:val="left"/>
      <w:pPr>
        <w:ind w:left="720" w:hanging="360"/>
      </w:pPr>
      <w:rPr>
        <w:rFonts w:hint="default"/>
        <w:b w:val="0"/>
      </w:rPr>
    </w:lvl>
    <w:lvl w:ilvl="1" w:tplc="4FB2C9E4">
      <w:start w:val="1"/>
      <w:numFmt w:val="lowerLetter"/>
      <w:lvlText w:val="(%2)"/>
      <w:lvlJc w:val="left"/>
      <w:pPr>
        <w:ind w:left="1440" w:hanging="360"/>
      </w:pPr>
      <w:rPr>
        <w:rFonts w:hint="default"/>
        <w:b w:val="0"/>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2091B69"/>
    <w:multiLevelType w:val="hybridMultilevel"/>
    <w:tmpl w:val="7C72C22E"/>
    <w:lvl w:ilvl="0" w:tplc="4FB2C9E4">
      <w:start w:val="1"/>
      <w:numFmt w:val="lowerLetter"/>
      <w:lvlText w:val="(%1)"/>
      <w:lvlJc w:val="left"/>
      <w:pPr>
        <w:ind w:left="717" w:hanging="360"/>
      </w:pPr>
      <w:rPr>
        <w:rFonts w:hint="default"/>
        <w:b w:val="0"/>
      </w:rPr>
    </w:lvl>
    <w:lvl w:ilvl="1" w:tplc="D3281D72">
      <w:start w:val="1"/>
      <w:numFmt w:val="lowerRoman"/>
      <w:lvlText w:val="%2."/>
      <w:lvlJc w:val="right"/>
      <w:pPr>
        <w:ind w:left="1437" w:hanging="360"/>
      </w:pPr>
      <w:rPr>
        <w:rFonts w:hint="default"/>
        <w:b w:val="0"/>
      </w:rPr>
    </w:lvl>
    <w:lvl w:ilvl="2" w:tplc="F60AA660">
      <w:start w:val="1"/>
      <w:numFmt w:val="lowerRoman"/>
      <w:lvlText w:val="%3."/>
      <w:lvlJc w:val="right"/>
      <w:pPr>
        <w:ind w:left="2157" w:hanging="180"/>
      </w:pPr>
    </w:lvl>
    <w:lvl w:ilvl="3" w:tplc="040B000F">
      <w:start w:val="1"/>
      <w:numFmt w:val="decimal"/>
      <w:lvlText w:val="%4."/>
      <w:lvlJc w:val="left"/>
      <w:pPr>
        <w:ind w:left="2877" w:hanging="360"/>
      </w:pPr>
    </w:lvl>
    <w:lvl w:ilvl="4" w:tplc="040B0019">
      <w:start w:val="1"/>
      <w:numFmt w:val="lowerLetter"/>
      <w:lvlText w:val="%5."/>
      <w:lvlJc w:val="left"/>
      <w:pPr>
        <w:ind w:left="3597" w:hanging="360"/>
      </w:pPr>
    </w:lvl>
    <w:lvl w:ilvl="5" w:tplc="040B001B">
      <w:start w:val="1"/>
      <w:numFmt w:val="lowerRoman"/>
      <w:lvlText w:val="%6."/>
      <w:lvlJc w:val="right"/>
      <w:pPr>
        <w:ind w:left="4317" w:hanging="180"/>
      </w:pPr>
    </w:lvl>
    <w:lvl w:ilvl="6" w:tplc="040B000F">
      <w:start w:val="1"/>
      <w:numFmt w:val="decimal"/>
      <w:lvlText w:val="%7."/>
      <w:lvlJc w:val="left"/>
      <w:pPr>
        <w:ind w:left="5037" w:hanging="360"/>
      </w:pPr>
    </w:lvl>
    <w:lvl w:ilvl="7" w:tplc="040B0019">
      <w:start w:val="1"/>
      <w:numFmt w:val="lowerLetter"/>
      <w:lvlText w:val="%8."/>
      <w:lvlJc w:val="left"/>
      <w:pPr>
        <w:ind w:left="5757" w:hanging="360"/>
      </w:pPr>
    </w:lvl>
    <w:lvl w:ilvl="8" w:tplc="040B001B">
      <w:start w:val="1"/>
      <w:numFmt w:val="lowerRoman"/>
      <w:lvlText w:val="%9."/>
      <w:lvlJc w:val="right"/>
      <w:pPr>
        <w:ind w:left="6477" w:hanging="180"/>
      </w:pPr>
    </w:lvl>
  </w:abstractNum>
  <w:abstractNum w:abstractNumId="7">
    <w:nsid w:val="16770ADD"/>
    <w:multiLevelType w:val="hybridMultilevel"/>
    <w:tmpl w:val="7C72C22E"/>
    <w:lvl w:ilvl="0" w:tplc="4FB2C9E4">
      <w:start w:val="1"/>
      <w:numFmt w:val="lowerLetter"/>
      <w:lvlText w:val="(%1)"/>
      <w:lvlJc w:val="left"/>
      <w:pPr>
        <w:ind w:left="360" w:hanging="360"/>
      </w:pPr>
      <w:rPr>
        <w:rFonts w:hint="default"/>
        <w:b w:val="0"/>
      </w:rPr>
    </w:lvl>
    <w:lvl w:ilvl="1" w:tplc="D3281D72">
      <w:start w:val="1"/>
      <w:numFmt w:val="lowerRoman"/>
      <w:lvlText w:val="%2."/>
      <w:lvlJc w:val="right"/>
      <w:pPr>
        <w:ind w:left="1080" w:hanging="360"/>
      </w:pPr>
      <w:rPr>
        <w:rFonts w:hint="default"/>
        <w:b w:val="0"/>
      </w:rPr>
    </w:lvl>
    <w:lvl w:ilvl="2" w:tplc="F60AA660">
      <w:start w:val="1"/>
      <w:numFmt w:val="lowerRoman"/>
      <w:lvlText w:val="%3."/>
      <w:lvlJc w:val="right"/>
      <w:pPr>
        <w:ind w:left="1800" w:hanging="180"/>
      </w:pPr>
    </w:lvl>
    <w:lvl w:ilvl="3" w:tplc="040B000F">
      <w:start w:val="1"/>
      <w:numFmt w:val="decimal"/>
      <w:lvlText w:val="%4."/>
      <w:lvlJc w:val="left"/>
      <w:pPr>
        <w:ind w:left="2520" w:hanging="360"/>
      </w:pPr>
    </w:lvl>
    <w:lvl w:ilvl="4" w:tplc="040B0019">
      <w:start w:val="1"/>
      <w:numFmt w:val="lowerLetter"/>
      <w:lvlText w:val="%5."/>
      <w:lvlJc w:val="left"/>
      <w:pPr>
        <w:ind w:left="3240" w:hanging="360"/>
      </w:pPr>
    </w:lvl>
    <w:lvl w:ilvl="5" w:tplc="040B001B">
      <w:start w:val="1"/>
      <w:numFmt w:val="lowerRoman"/>
      <w:lvlText w:val="%6."/>
      <w:lvlJc w:val="right"/>
      <w:pPr>
        <w:ind w:left="3960" w:hanging="180"/>
      </w:pPr>
    </w:lvl>
    <w:lvl w:ilvl="6" w:tplc="040B000F">
      <w:start w:val="1"/>
      <w:numFmt w:val="decimal"/>
      <w:lvlText w:val="%7."/>
      <w:lvlJc w:val="left"/>
      <w:pPr>
        <w:ind w:left="4680" w:hanging="360"/>
      </w:pPr>
    </w:lvl>
    <w:lvl w:ilvl="7" w:tplc="040B0019">
      <w:start w:val="1"/>
      <w:numFmt w:val="lowerLetter"/>
      <w:lvlText w:val="%8."/>
      <w:lvlJc w:val="left"/>
      <w:pPr>
        <w:ind w:left="5400" w:hanging="360"/>
      </w:pPr>
    </w:lvl>
    <w:lvl w:ilvl="8" w:tplc="040B001B">
      <w:start w:val="1"/>
      <w:numFmt w:val="lowerRoman"/>
      <w:lvlText w:val="%9."/>
      <w:lvlJc w:val="right"/>
      <w:pPr>
        <w:ind w:left="6120" w:hanging="180"/>
      </w:pPr>
    </w:lvl>
  </w:abstractNum>
  <w:abstractNum w:abstractNumId="8">
    <w:nsid w:val="1AE90500"/>
    <w:multiLevelType w:val="multilevel"/>
    <w:tmpl w:val="BEAA0018"/>
    <w:lvl w:ilvl="0">
      <w:start w:val="1"/>
      <w:numFmt w:val="decimal"/>
      <w:pStyle w:val="Numbering"/>
      <w:lvlText w:val="(%1)"/>
      <w:lvlJc w:val="left"/>
      <w:pPr>
        <w:ind w:left="473" w:hanging="360"/>
      </w:pPr>
      <w:rPr>
        <w:sz w:val="22"/>
      </w:rPr>
    </w:lvl>
    <w:lvl w:ilvl="1">
      <w:start w:val="1"/>
      <w:numFmt w:val="lowerLetter"/>
      <w:lvlText w:val="(%2)"/>
      <w:lvlJc w:val="left"/>
      <w:pPr>
        <w:ind w:left="567" w:hanging="341"/>
      </w:pPr>
      <w:rPr>
        <w:rFonts w:ascii="Times New Roman" w:hAnsi="Times New Roman" w:cs="Times New Roman" w:hint="default"/>
        <w:color w:val="auto"/>
        <w:sz w:val="22"/>
      </w:rPr>
    </w:lvl>
    <w:lvl w:ilvl="2">
      <w:start w:val="1"/>
      <w:numFmt w:val="none"/>
      <w:lvlText w:val=""/>
      <w:lvlJc w:val="left"/>
      <w:pPr>
        <w:ind w:left="113" w:firstLine="0"/>
      </w:pPr>
    </w:lvl>
    <w:lvl w:ilvl="3">
      <w:start w:val="1"/>
      <w:numFmt w:val="none"/>
      <w:lvlText w:val=""/>
      <w:lvlJc w:val="left"/>
      <w:pPr>
        <w:ind w:left="113" w:firstLine="0"/>
      </w:pPr>
    </w:lvl>
    <w:lvl w:ilvl="4">
      <w:start w:val="1"/>
      <w:numFmt w:val="none"/>
      <w:lvlText w:val=""/>
      <w:lvlJc w:val="left"/>
      <w:pPr>
        <w:ind w:left="113" w:firstLine="0"/>
      </w:pPr>
    </w:lvl>
    <w:lvl w:ilvl="5">
      <w:start w:val="1"/>
      <w:numFmt w:val="none"/>
      <w:lvlText w:val=""/>
      <w:lvlJc w:val="left"/>
      <w:pPr>
        <w:ind w:left="113" w:firstLine="0"/>
      </w:pPr>
    </w:lvl>
    <w:lvl w:ilvl="6">
      <w:start w:val="1"/>
      <w:numFmt w:val="none"/>
      <w:lvlText w:val=""/>
      <w:lvlJc w:val="left"/>
      <w:pPr>
        <w:ind w:left="113" w:firstLine="0"/>
      </w:pPr>
    </w:lvl>
    <w:lvl w:ilvl="7">
      <w:start w:val="1"/>
      <w:numFmt w:val="none"/>
      <w:lvlText w:val=""/>
      <w:lvlJc w:val="left"/>
      <w:pPr>
        <w:ind w:left="113" w:firstLine="0"/>
      </w:pPr>
    </w:lvl>
    <w:lvl w:ilvl="8">
      <w:start w:val="1"/>
      <w:numFmt w:val="none"/>
      <w:lvlText w:val=""/>
      <w:lvlJc w:val="left"/>
      <w:pPr>
        <w:ind w:left="113" w:firstLine="0"/>
      </w:pPr>
    </w:lvl>
  </w:abstractNum>
  <w:abstractNum w:abstractNumId="9">
    <w:nsid w:val="1B3C78B8"/>
    <w:multiLevelType w:val="multilevel"/>
    <w:tmpl w:val="2ED4F4D0"/>
    <w:name w:val="4.708505E-02"/>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0">
    <w:nsid w:val="1CD01574"/>
    <w:multiLevelType w:val="hybridMultilevel"/>
    <w:tmpl w:val="7C72C22E"/>
    <w:lvl w:ilvl="0" w:tplc="4FB2C9E4">
      <w:start w:val="1"/>
      <w:numFmt w:val="lowerLetter"/>
      <w:lvlText w:val="(%1)"/>
      <w:lvlJc w:val="left"/>
      <w:pPr>
        <w:ind w:left="717" w:hanging="360"/>
      </w:pPr>
      <w:rPr>
        <w:rFonts w:hint="default"/>
        <w:b w:val="0"/>
      </w:rPr>
    </w:lvl>
    <w:lvl w:ilvl="1" w:tplc="D3281D72">
      <w:start w:val="1"/>
      <w:numFmt w:val="lowerRoman"/>
      <w:lvlText w:val="%2."/>
      <w:lvlJc w:val="right"/>
      <w:pPr>
        <w:ind w:left="1437" w:hanging="360"/>
      </w:pPr>
      <w:rPr>
        <w:rFonts w:hint="default"/>
        <w:b w:val="0"/>
      </w:rPr>
    </w:lvl>
    <w:lvl w:ilvl="2" w:tplc="F60AA660">
      <w:start w:val="1"/>
      <w:numFmt w:val="lowerRoman"/>
      <w:lvlText w:val="%3."/>
      <w:lvlJc w:val="right"/>
      <w:pPr>
        <w:ind w:left="2157" w:hanging="180"/>
      </w:pPr>
    </w:lvl>
    <w:lvl w:ilvl="3" w:tplc="040B000F">
      <w:start w:val="1"/>
      <w:numFmt w:val="decimal"/>
      <w:lvlText w:val="%4."/>
      <w:lvlJc w:val="left"/>
      <w:pPr>
        <w:ind w:left="2877" w:hanging="360"/>
      </w:pPr>
    </w:lvl>
    <w:lvl w:ilvl="4" w:tplc="040B0019">
      <w:start w:val="1"/>
      <w:numFmt w:val="lowerLetter"/>
      <w:lvlText w:val="%5."/>
      <w:lvlJc w:val="left"/>
      <w:pPr>
        <w:ind w:left="3597" w:hanging="360"/>
      </w:pPr>
    </w:lvl>
    <w:lvl w:ilvl="5" w:tplc="040B001B">
      <w:start w:val="1"/>
      <w:numFmt w:val="lowerRoman"/>
      <w:lvlText w:val="%6."/>
      <w:lvlJc w:val="right"/>
      <w:pPr>
        <w:ind w:left="4317" w:hanging="180"/>
      </w:pPr>
    </w:lvl>
    <w:lvl w:ilvl="6" w:tplc="040B000F">
      <w:start w:val="1"/>
      <w:numFmt w:val="decimal"/>
      <w:lvlText w:val="%7."/>
      <w:lvlJc w:val="left"/>
      <w:pPr>
        <w:ind w:left="5037" w:hanging="360"/>
      </w:pPr>
    </w:lvl>
    <w:lvl w:ilvl="7" w:tplc="040B0019">
      <w:start w:val="1"/>
      <w:numFmt w:val="lowerLetter"/>
      <w:lvlText w:val="%8."/>
      <w:lvlJc w:val="left"/>
      <w:pPr>
        <w:ind w:left="5757" w:hanging="360"/>
      </w:pPr>
    </w:lvl>
    <w:lvl w:ilvl="8" w:tplc="040B001B">
      <w:start w:val="1"/>
      <w:numFmt w:val="lowerRoman"/>
      <w:lvlText w:val="%9."/>
      <w:lvlJc w:val="right"/>
      <w:pPr>
        <w:ind w:left="6477" w:hanging="180"/>
      </w:pPr>
    </w:lvl>
  </w:abstractNum>
  <w:abstractNum w:abstractNumId="11">
    <w:nsid w:val="1E9C7EAE"/>
    <w:multiLevelType w:val="hybridMultilevel"/>
    <w:tmpl w:val="DFBCA9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F7923C8"/>
    <w:multiLevelType w:val="multilevel"/>
    <w:tmpl w:val="CD585AF4"/>
    <w:lvl w:ilvl="0">
      <w:start w:val="1"/>
      <w:numFmt w:val="decimal"/>
      <w:lvlText w:val="(%1)"/>
      <w:lvlJc w:val="left"/>
      <w:pPr>
        <w:ind w:left="473" w:hanging="360"/>
      </w:pPr>
      <w:rPr>
        <w:sz w:val="22"/>
      </w:rPr>
    </w:lvl>
    <w:lvl w:ilvl="1">
      <w:start w:val="1"/>
      <w:numFmt w:val="lowerLetter"/>
      <w:pStyle w:val="Numbering2"/>
      <w:lvlText w:val="(%2)"/>
      <w:lvlJc w:val="left"/>
      <w:pPr>
        <w:ind w:left="680" w:hanging="340"/>
      </w:pPr>
      <w:rPr>
        <w:rFonts w:ascii="Times New Roman" w:hAnsi="Times New Roman" w:cs="Times New Roman" w:hint="default"/>
        <w:color w:val="auto"/>
        <w:sz w:val="22"/>
      </w:rPr>
    </w:lvl>
    <w:lvl w:ilvl="2">
      <w:start w:val="1"/>
      <w:numFmt w:val="none"/>
      <w:lvlText w:val=""/>
      <w:lvlJc w:val="left"/>
      <w:pPr>
        <w:ind w:left="113" w:firstLine="0"/>
      </w:pPr>
    </w:lvl>
    <w:lvl w:ilvl="3">
      <w:start w:val="1"/>
      <w:numFmt w:val="none"/>
      <w:lvlText w:val=""/>
      <w:lvlJc w:val="left"/>
      <w:pPr>
        <w:ind w:left="113" w:firstLine="0"/>
      </w:pPr>
    </w:lvl>
    <w:lvl w:ilvl="4">
      <w:start w:val="1"/>
      <w:numFmt w:val="none"/>
      <w:lvlText w:val=""/>
      <w:lvlJc w:val="left"/>
      <w:pPr>
        <w:ind w:left="113" w:firstLine="0"/>
      </w:pPr>
    </w:lvl>
    <w:lvl w:ilvl="5">
      <w:start w:val="1"/>
      <w:numFmt w:val="none"/>
      <w:lvlText w:val=""/>
      <w:lvlJc w:val="left"/>
      <w:pPr>
        <w:ind w:left="113" w:firstLine="0"/>
      </w:pPr>
    </w:lvl>
    <w:lvl w:ilvl="6">
      <w:start w:val="1"/>
      <w:numFmt w:val="none"/>
      <w:lvlText w:val=""/>
      <w:lvlJc w:val="left"/>
      <w:pPr>
        <w:ind w:left="113" w:firstLine="0"/>
      </w:pPr>
    </w:lvl>
    <w:lvl w:ilvl="7">
      <w:start w:val="1"/>
      <w:numFmt w:val="none"/>
      <w:lvlText w:val=""/>
      <w:lvlJc w:val="left"/>
      <w:pPr>
        <w:ind w:left="113" w:firstLine="0"/>
      </w:pPr>
    </w:lvl>
    <w:lvl w:ilvl="8">
      <w:start w:val="1"/>
      <w:numFmt w:val="none"/>
      <w:lvlText w:val=""/>
      <w:lvlJc w:val="left"/>
      <w:pPr>
        <w:ind w:left="113" w:firstLine="0"/>
      </w:pPr>
    </w:lvl>
  </w:abstractNum>
  <w:abstractNum w:abstractNumId="13">
    <w:nsid w:val="20411972"/>
    <w:multiLevelType w:val="hybridMultilevel"/>
    <w:tmpl w:val="7C72C22E"/>
    <w:lvl w:ilvl="0" w:tplc="4FB2C9E4">
      <w:start w:val="1"/>
      <w:numFmt w:val="lowerLetter"/>
      <w:lvlText w:val="(%1)"/>
      <w:lvlJc w:val="left"/>
      <w:pPr>
        <w:ind w:left="717" w:hanging="360"/>
      </w:pPr>
      <w:rPr>
        <w:rFonts w:hint="default"/>
        <w:b w:val="0"/>
      </w:rPr>
    </w:lvl>
    <w:lvl w:ilvl="1" w:tplc="D3281D72">
      <w:start w:val="1"/>
      <w:numFmt w:val="lowerRoman"/>
      <w:lvlText w:val="%2."/>
      <w:lvlJc w:val="right"/>
      <w:pPr>
        <w:ind w:left="1437" w:hanging="360"/>
      </w:pPr>
      <w:rPr>
        <w:rFonts w:hint="default"/>
        <w:b w:val="0"/>
      </w:rPr>
    </w:lvl>
    <w:lvl w:ilvl="2" w:tplc="F60AA660">
      <w:start w:val="1"/>
      <w:numFmt w:val="lowerRoman"/>
      <w:lvlText w:val="%3."/>
      <w:lvlJc w:val="right"/>
      <w:pPr>
        <w:ind w:left="2157" w:hanging="180"/>
      </w:pPr>
    </w:lvl>
    <w:lvl w:ilvl="3" w:tplc="040B000F">
      <w:start w:val="1"/>
      <w:numFmt w:val="decimal"/>
      <w:lvlText w:val="%4."/>
      <w:lvlJc w:val="left"/>
      <w:pPr>
        <w:ind w:left="2877" w:hanging="360"/>
      </w:pPr>
    </w:lvl>
    <w:lvl w:ilvl="4" w:tplc="040B0019">
      <w:start w:val="1"/>
      <w:numFmt w:val="lowerLetter"/>
      <w:lvlText w:val="%5."/>
      <w:lvlJc w:val="left"/>
      <w:pPr>
        <w:ind w:left="3597" w:hanging="360"/>
      </w:pPr>
    </w:lvl>
    <w:lvl w:ilvl="5" w:tplc="040B001B">
      <w:start w:val="1"/>
      <w:numFmt w:val="lowerRoman"/>
      <w:lvlText w:val="%6."/>
      <w:lvlJc w:val="right"/>
      <w:pPr>
        <w:ind w:left="4317" w:hanging="180"/>
      </w:pPr>
    </w:lvl>
    <w:lvl w:ilvl="6" w:tplc="040B000F">
      <w:start w:val="1"/>
      <w:numFmt w:val="decimal"/>
      <w:lvlText w:val="%7."/>
      <w:lvlJc w:val="left"/>
      <w:pPr>
        <w:ind w:left="5037" w:hanging="360"/>
      </w:pPr>
    </w:lvl>
    <w:lvl w:ilvl="7" w:tplc="040B0019">
      <w:start w:val="1"/>
      <w:numFmt w:val="lowerLetter"/>
      <w:lvlText w:val="%8."/>
      <w:lvlJc w:val="left"/>
      <w:pPr>
        <w:ind w:left="5757" w:hanging="360"/>
      </w:pPr>
    </w:lvl>
    <w:lvl w:ilvl="8" w:tplc="040B001B">
      <w:start w:val="1"/>
      <w:numFmt w:val="lowerRoman"/>
      <w:lvlText w:val="%9."/>
      <w:lvlJc w:val="right"/>
      <w:pPr>
        <w:ind w:left="6477" w:hanging="180"/>
      </w:pPr>
    </w:lvl>
  </w:abstractNum>
  <w:abstractNum w:abstractNumId="14">
    <w:nsid w:val="21F43C11"/>
    <w:multiLevelType w:val="hybridMultilevel"/>
    <w:tmpl w:val="535ED19A"/>
    <w:lvl w:ilvl="0" w:tplc="04090017">
      <w:start w:val="1"/>
      <w:numFmt w:val="lowerLetter"/>
      <w:lvlText w:val="%1)"/>
      <w:lvlJc w:val="left"/>
      <w:pPr>
        <w:ind w:left="717" w:hanging="360"/>
      </w:pPr>
    </w:lvl>
    <w:lvl w:ilvl="1" w:tplc="6C0A2FA8">
      <w:start w:val="1"/>
      <w:numFmt w:val="lowerLetter"/>
      <w:lvlText w:val="%2)"/>
      <w:lvlJc w:val="left"/>
      <w:pPr>
        <w:ind w:left="1437" w:hanging="360"/>
      </w:pPr>
    </w:lvl>
    <w:lvl w:ilvl="2" w:tplc="040B001B">
      <w:start w:val="1"/>
      <w:numFmt w:val="lowerRoman"/>
      <w:lvlText w:val="%3."/>
      <w:lvlJc w:val="right"/>
      <w:pPr>
        <w:ind w:left="2157" w:hanging="180"/>
      </w:pPr>
    </w:lvl>
    <w:lvl w:ilvl="3" w:tplc="040B000F">
      <w:start w:val="1"/>
      <w:numFmt w:val="decimal"/>
      <w:lvlText w:val="%4."/>
      <w:lvlJc w:val="left"/>
      <w:pPr>
        <w:ind w:left="2877" w:hanging="360"/>
      </w:pPr>
    </w:lvl>
    <w:lvl w:ilvl="4" w:tplc="040B0019">
      <w:start w:val="1"/>
      <w:numFmt w:val="lowerLetter"/>
      <w:lvlText w:val="%5."/>
      <w:lvlJc w:val="left"/>
      <w:pPr>
        <w:ind w:left="3597" w:hanging="360"/>
      </w:pPr>
    </w:lvl>
    <w:lvl w:ilvl="5" w:tplc="040B001B">
      <w:start w:val="1"/>
      <w:numFmt w:val="lowerRoman"/>
      <w:lvlText w:val="%6."/>
      <w:lvlJc w:val="right"/>
      <w:pPr>
        <w:ind w:left="4317" w:hanging="180"/>
      </w:pPr>
    </w:lvl>
    <w:lvl w:ilvl="6" w:tplc="040B000F">
      <w:start w:val="1"/>
      <w:numFmt w:val="decimal"/>
      <w:lvlText w:val="%7."/>
      <w:lvlJc w:val="left"/>
      <w:pPr>
        <w:ind w:left="5037" w:hanging="360"/>
      </w:pPr>
    </w:lvl>
    <w:lvl w:ilvl="7" w:tplc="040B0019">
      <w:start w:val="1"/>
      <w:numFmt w:val="lowerLetter"/>
      <w:lvlText w:val="%8."/>
      <w:lvlJc w:val="left"/>
      <w:pPr>
        <w:ind w:left="5757" w:hanging="360"/>
      </w:pPr>
    </w:lvl>
    <w:lvl w:ilvl="8" w:tplc="040B001B">
      <w:start w:val="1"/>
      <w:numFmt w:val="lowerRoman"/>
      <w:lvlText w:val="%9."/>
      <w:lvlJc w:val="right"/>
      <w:pPr>
        <w:ind w:left="6477" w:hanging="180"/>
      </w:pPr>
    </w:lvl>
  </w:abstractNum>
  <w:abstractNum w:abstractNumId="15">
    <w:nsid w:val="23650055"/>
    <w:multiLevelType w:val="hybridMultilevel"/>
    <w:tmpl w:val="7C72C22E"/>
    <w:lvl w:ilvl="0" w:tplc="4FB2C9E4">
      <w:start w:val="1"/>
      <w:numFmt w:val="lowerLetter"/>
      <w:lvlText w:val="(%1)"/>
      <w:lvlJc w:val="left"/>
      <w:pPr>
        <w:ind w:left="720" w:hanging="360"/>
      </w:pPr>
      <w:rPr>
        <w:rFonts w:hint="default"/>
        <w:b w:val="0"/>
      </w:rPr>
    </w:lvl>
    <w:lvl w:ilvl="1" w:tplc="D3281D72">
      <w:start w:val="1"/>
      <w:numFmt w:val="lowerRoman"/>
      <w:lvlText w:val="%2."/>
      <w:lvlJc w:val="right"/>
      <w:pPr>
        <w:ind w:left="1440" w:hanging="360"/>
      </w:pPr>
      <w:rPr>
        <w:rFonts w:hint="default"/>
        <w:b w:val="0"/>
      </w:rPr>
    </w:lvl>
    <w:lvl w:ilvl="2" w:tplc="F60AA660">
      <w:start w:val="1"/>
      <w:numFmt w:val="lowerRoman"/>
      <w:lvlText w:val="%3."/>
      <w:lvlJc w:val="right"/>
      <w:pPr>
        <w:ind w:left="2160" w:hanging="180"/>
      </w:pPr>
    </w:lvl>
    <w:lvl w:ilvl="3" w:tplc="040B000F">
      <w:start w:val="1"/>
      <w:numFmt w:val="decimal"/>
      <w:lvlText w:val="%4."/>
      <w:lvlJc w:val="left"/>
      <w:pPr>
        <w:ind w:left="2880" w:hanging="360"/>
      </w:pPr>
    </w:lvl>
    <w:lvl w:ilvl="4" w:tplc="040B0019">
      <w:start w:val="1"/>
      <w:numFmt w:val="lowerLetter"/>
      <w:lvlText w:val="%5."/>
      <w:lvlJc w:val="left"/>
      <w:pPr>
        <w:ind w:left="3600" w:hanging="360"/>
      </w:pPr>
    </w:lvl>
    <w:lvl w:ilvl="5" w:tplc="040B001B">
      <w:start w:val="1"/>
      <w:numFmt w:val="lowerRoman"/>
      <w:lvlText w:val="%6."/>
      <w:lvlJc w:val="right"/>
      <w:pPr>
        <w:ind w:left="4320" w:hanging="180"/>
      </w:pPr>
    </w:lvl>
    <w:lvl w:ilvl="6" w:tplc="040B000F">
      <w:start w:val="1"/>
      <w:numFmt w:val="decimal"/>
      <w:lvlText w:val="%7."/>
      <w:lvlJc w:val="left"/>
      <w:pPr>
        <w:ind w:left="5040" w:hanging="360"/>
      </w:pPr>
    </w:lvl>
    <w:lvl w:ilvl="7" w:tplc="040B0019">
      <w:start w:val="1"/>
      <w:numFmt w:val="lowerLetter"/>
      <w:lvlText w:val="%8."/>
      <w:lvlJc w:val="left"/>
      <w:pPr>
        <w:ind w:left="5760" w:hanging="360"/>
      </w:pPr>
    </w:lvl>
    <w:lvl w:ilvl="8" w:tplc="040B001B">
      <w:start w:val="1"/>
      <w:numFmt w:val="lowerRoman"/>
      <w:lvlText w:val="%9."/>
      <w:lvlJc w:val="right"/>
      <w:pPr>
        <w:ind w:left="6480" w:hanging="180"/>
      </w:pPr>
    </w:lvl>
  </w:abstractNum>
  <w:abstractNum w:abstractNumId="16">
    <w:nsid w:val="23A06610"/>
    <w:multiLevelType w:val="singleLevel"/>
    <w:tmpl w:val="7B8E70E6"/>
    <w:lvl w:ilvl="0">
      <w:start w:val="1"/>
      <w:numFmt w:val="decimal"/>
      <w:pStyle w:val="Code"/>
      <w:lvlText w:val="%1 "/>
      <w:lvlJc w:val="left"/>
      <w:pPr>
        <w:ind w:left="360" w:hanging="360"/>
      </w:pPr>
      <w:rPr>
        <w:rFonts w:ascii="Consolas" w:hAnsi="Consolas" w:cs="Times New Roman" w:hint="default"/>
        <w:b w:val="0"/>
        <w:i w:val="0"/>
        <w:sz w:val="18"/>
        <w:vertAlign w:val="baseline"/>
      </w:rPr>
    </w:lvl>
  </w:abstractNum>
  <w:abstractNum w:abstractNumId="17">
    <w:nsid w:val="23E1321D"/>
    <w:multiLevelType w:val="hybridMultilevel"/>
    <w:tmpl w:val="7C72C22E"/>
    <w:lvl w:ilvl="0" w:tplc="4FB2C9E4">
      <w:start w:val="1"/>
      <w:numFmt w:val="lowerLetter"/>
      <w:lvlText w:val="(%1)"/>
      <w:lvlJc w:val="left"/>
      <w:pPr>
        <w:ind w:left="717" w:hanging="360"/>
      </w:pPr>
      <w:rPr>
        <w:rFonts w:hint="default"/>
        <w:b w:val="0"/>
      </w:rPr>
    </w:lvl>
    <w:lvl w:ilvl="1" w:tplc="D3281D72">
      <w:start w:val="1"/>
      <w:numFmt w:val="lowerRoman"/>
      <w:lvlText w:val="%2."/>
      <w:lvlJc w:val="right"/>
      <w:pPr>
        <w:ind w:left="1437" w:hanging="360"/>
      </w:pPr>
      <w:rPr>
        <w:rFonts w:hint="default"/>
        <w:b w:val="0"/>
      </w:rPr>
    </w:lvl>
    <w:lvl w:ilvl="2" w:tplc="F60AA660">
      <w:start w:val="1"/>
      <w:numFmt w:val="lowerRoman"/>
      <w:lvlText w:val="%3."/>
      <w:lvlJc w:val="right"/>
      <w:pPr>
        <w:ind w:left="2157" w:hanging="180"/>
      </w:pPr>
    </w:lvl>
    <w:lvl w:ilvl="3" w:tplc="040B000F">
      <w:start w:val="1"/>
      <w:numFmt w:val="decimal"/>
      <w:lvlText w:val="%4."/>
      <w:lvlJc w:val="left"/>
      <w:pPr>
        <w:ind w:left="2877" w:hanging="360"/>
      </w:pPr>
    </w:lvl>
    <w:lvl w:ilvl="4" w:tplc="040B0019">
      <w:start w:val="1"/>
      <w:numFmt w:val="lowerLetter"/>
      <w:lvlText w:val="%5."/>
      <w:lvlJc w:val="left"/>
      <w:pPr>
        <w:ind w:left="3597" w:hanging="360"/>
      </w:pPr>
    </w:lvl>
    <w:lvl w:ilvl="5" w:tplc="040B001B">
      <w:start w:val="1"/>
      <w:numFmt w:val="lowerRoman"/>
      <w:lvlText w:val="%6."/>
      <w:lvlJc w:val="right"/>
      <w:pPr>
        <w:ind w:left="4317" w:hanging="180"/>
      </w:pPr>
    </w:lvl>
    <w:lvl w:ilvl="6" w:tplc="040B000F">
      <w:start w:val="1"/>
      <w:numFmt w:val="decimal"/>
      <w:lvlText w:val="%7."/>
      <w:lvlJc w:val="left"/>
      <w:pPr>
        <w:ind w:left="5037" w:hanging="360"/>
      </w:pPr>
    </w:lvl>
    <w:lvl w:ilvl="7" w:tplc="040B0019">
      <w:start w:val="1"/>
      <w:numFmt w:val="lowerLetter"/>
      <w:lvlText w:val="%8."/>
      <w:lvlJc w:val="left"/>
      <w:pPr>
        <w:ind w:left="5757" w:hanging="360"/>
      </w:pPr>
    </w:lvl>
    <w:lvl w:ilvl="8" w:tplc="040B001B">
      <w:start w:val="1"/>
      <w:numFmt w:val="lowerRoman"/>
      <w:lvlText w:val="%9."/>
      <w:lvlJc w:val="right"/>
      <w:pPr>
        <w:ind w:left="6477" w:hanging="180"/>
      </w:pPr>
    </w:lvl>
  </w:abstractNum>
  <w:abstractNum w:abstractNumId="18">
    <w:nsid w:val="267B66E9"/>
    <w:multiLevelType w:val="multilevel"/>
    <w:tmpl w:val="169CC5E8"/>
    <w:styleLink w:val="XXXtextbullets"/>
    <w:lvl w:ilvl="0">
      <w:start w:val="1"/>
      <w:numFmt w:val="bullet"/>
      <w:pStyle w:val="textbullets"/>
      <w:lvlText w:val="‒"/>
      <w:lvlJc w:val="left"/>
      <w:pPr>
        <w:ind w:left="397" w:hanging="397"/>
      </w:pPr>
      <w:rPr>
        <w:rFonts w:ascii="Calibri" w:hAnsi="Calibri" w:hint="default"/>
        <w:color w:val="auto"/>
      </w:rPr>
    </w:lvl>
    <w:lvl w:ilvl="1">
      <w:start w:val="1"/>
      <w:numFmt w:val="bullet"/>
      <w:lvlText w:val="‒"/>
      <w:lvlJc w:val="left"/>
      <w:pPr>
        <w:ind w:left="794" w:hanging="397"/>
      </w:pPr>
      <w:rPr>
        <w:rFonts w:ascii="Calibri" w:hAnsi="Calibri" w:hint="default"/>
        <w:color w:val="auto"/>
      </w:rPr>
    </w:lvl>
    <w:lvl w:ilvl="2">
      <w:start w:val="1"/>
      <w:numFmt w:val="bullet"/>
      <w:lvlText w:val="‒"/>
      <w:lvlJc w:val="left"/>
      <w:pPr>
        <w:ind w:left="1191" w:hanging="397"/>
      </w:pPr>
      <w:rPr>
        <w:rFonts w:ascii="Calibri" w:hAnsi="Calibri" w:hint="default"/>
        <w:color w:val="auto"/>
      </w:rPr>
    </w:lvl>
    <w:lvl w:ilvl="3">
      <w:start w:val="1"/>
      <w:numFmt w:val="bullet"/>
      <w:lvlText w:val="‒"/>
      <w:lvlJc w:val="left"/>
      <w:pPr>
        <w:ind w:left="1588" w:hanging="397"/>
      </w:pPr>
      <w:rPr>
        <w:rFonts w:ascii="Calibri" w:hAnsi="Calibri" w:hint="default"/>
        <w:color w:val="auto"/>
      </w:rPr>
    </w:lvl>
    <w:lvl w:ilvl="4">
      <w:start w:val="1"/>
      <w:numFmt w:val="bullet"/>
      <w:lvlText w:val="‒"/>
      <w:lvlJc w:val="left"/>
      <w:pPr>
        <w:ind w:left="1985" w:hanging="397"/>
      </w:pPr>
      <w:rPr>
        <w:rFonts w:ascii="Calibri" w:hAnsi="Calibri" w:hint="default"/>
        <w:color w:val="auto"/>
      </w:rPr>
    </w:lvl>
    <w:lvl w:ilvl="5">
      <w:start w:val="1"/>
      <w:numFmt w:val="bullet"/>
      <w:lvlText w:val="‒"/>
      <w:lvlJc w:val="left"/>
      <w:pPr>
        <w:ind w:left="2325" w:hanging="340"/>
      </w:pPr>
      <w:rPr>
        <w:rFonts w:ascii="Calibri" w:hAnsi="Calibri" w:hint="default"/>
        <w:color w:val="auto"/>
      </w:rPr>
    </w:lvl>
    <w:lvl w:ilvl="6">
      <w:start w:val="1"/>
      <w:numFmt w:val="bullet"/>
      <w:lvlText w:val="‒"/>
      <w:lvlJc w:val="left"/>
      <w:pPr>
        <w:ind w:left="2722" w:hanging="397"/>
      </w:pPr>
      <w:rPr>
        <w:rFonts w:ascii="Calibri" w:hAnsi="Calibri" w:hint="default"/>
        <w:color w:val="auto"/>
      </w:rPr>
    </w:lvl>
    <w:lvl w:ilvl="7">
      <w:start w:val="1"/>
      <w:numFmt w:val="bullet"/>
      <w:lvlText w:val="‒"/>
      <w:lvlJc w:val="left"/>
      <w:pPr>
        <w:ind w:left="3119" w:hanging="397"/>
      </w:pPr>
      <w:rPr>
        <w:rFonts w:ascii="Calibri" w:hAnsi="Calibri" w:hint="default"/>
        <w:color w:val="auto"/>
      </w:rPr>
    </w:lvl>
    <w:lvl w:ilvl="8">
      <w:start w:val="1"/>
      <w:numFmt w:val="bullet"/>
      <w:lvlText w:val="‒"/>
      <w:lvlJc w:val="left"/>
      <w:pPr>
        <w:ind w:left="3459" w:hanging="340"/>
      </w:pPr>
      <w:rPr>
        <w:rFonts w:ascii="Calibri" w:hAnsi="Calibri" w:hint="default"/>
        <w:color w:val="auto"/>
      </w:rPr>
    </w:lvl>
  </w:abstractNum>
  <w:abstractNum w:abstractNumId="19">
    <w:nsid w:val="2AE960E3"/>
    <w:multiLevelType w:val="hybridMultilevel"/>
    <w:tmpl w:val="7C72C22E"/>
    <w:lvl w:ilvl="0" w:tplc="4FB2C9E4">
      <w:start w:val="1"/>
      <w:numFmt w:val="lowerLetter"/>
      <w:lvlText w:val="(%1)"/>
      <w:lvlJc w:val="left"/>
      <w:pPr>
        <w:ind w:left="717" w:hanging="360"/>
      </w:pPr>
      <w:rPr>
        <w:rFonts w:hint="default"/>
        <w:b w:val="0"/>
      </w:rPr>
    </w:lvl>
    <w:lvl w:ilvl="1" w:tplc="D3281D72">
      <w:start w:val="1"/>
      <w:numFmt w:val="lowerRoman"/>
      <w:lvlText w:val="%2."/>
      <w:lvlJc w:val="right"/>
      <w:pPr>
        <w:ind w:left="1437" w:hanging="360"/>
      </w:pPr>
      <w:rPr>
        <w:rFonts w:hint="default"/>
        <w:b w:val="0"/>
      </w:rPr>
    </w:lvl>
    <w:lvl w:ilvl="2" w:tplc="F60AA660">
      <w:start w:val="1"/>
      <w:numFmt w:val="lowerRoman"/>
      <w:lvlText w:val="%3."/>
      <w:lvlJc w:val="right"/>
      <w:pPr>
        <w:ind w:left="2157" w:hanging="180"/>
      </w:pPr>
    </w:lvl>
    <w:lvl w:ilvl="3" w:tplc="040B000F">
      <w:start w:val="1"/>
      <w:numFmt w:val="decimal"/>
      <w:lvlText w:val="%4."/>
      <w:lvlJc w:val="left"/>
      <w:pPr>
        <w:ind w:left="2877" w:hanging="360"/>
      </w:pPr>
    </w:lvl>
    <w:lvl w:ilvl="4" w:tplc="040B0019">
      <w:start w:val="1"/>
      <w:numFmt w:val="lowerLetter"/>
      <w:lvlText w:val="%5."/>
      <w:lvlJc w:val="left"/>
      <w:pPr>
        <w:ind w:left="3597" w:hanging="360"/>
      </w:pPr>
    </w:lvl>
    <w:lvl w:ilvl="5" w:tplc="040B001B">
      <w:start w:val="1"/>
      <w:numFmt w:val="lowerRoman"/>
      <w:lvlText w:val="%6."/>
      <w:lvlJc w:val="right"/>
      <w:pPr>
        <w:ind w:left="4317" w:hanging="180"/>
      </w:pPr>
    </w:lvl>
    <w:lvl w:ilvl="6" w:tplc="040B000F">
      <w:start w:val="1"/>
      <w:numFmt w:val="decimal"/>
      <w:lvlText w:val="%7."/>
      <w:lvlJc w:val="left"/>
      <w:pPr>
        <w:ind w:left="5037" w:hanging="360"/>
      </w:pPr>
    </w:lvl>
    <w:lvl w:ilvl="7" w:tplc="040B0019">
      <w:start w:val="1"/>
      <w:numFmt w:val="lowerLetter"/>
      <w:lvlText w:val="%8."/>
      <w:lvlJc w:val="left"/>
      <w:pPr>
        <w:ind w:left="5757" w:hanging="360"/>
      </w:pPr>
    </w:lvl>
    <w:lvl w:ilvl="8" w:tplc="040B001B">
      <w:start w:val="1"/>
      <w:numFmt w:val="lowerRoman"/>
      <w:lvlText w:val="%9."/>
      <w:lvlJc w:val="right"/>
      <w:pPr>
        <w:ind w:left="6477" w:hanging="180"/>
      </w:pPr>
    </w:lvl>
  </w:abstractNum>
  <w:abstractNum w:abstractNumId="20">
    <w:nsid w:val="2C893C0B"/>
    <w:multiLevelType w:val="hybridMultilevel"/>
    <w:tmpl w:val="4CBE6254"/>
    <w:lvl w:ilvl="0" w:tplc="4FB2C9E4">
      <w:start w:val="1"/>
      <w:numFmt w:val="lowerLetter"/>
      <w:lvlText w:val="(%1)"/>
      <w:lvlJc w:val="left"/>
      <w:pPr>
        <w:ind w:left="502" w:hanging="360"/>
      </w:pPr>
      <w:rPr>
        <w:rFonts w:hint="default"/>
        <w:b w:val="0"/>
        <w:i w:val="0"/>
      </w:rPr>
    </w:lvl>
    <w:lvl w:ilvl="1" w:tplc="040B001B">
      <w:start w:val="1"/>
      <w:numFmt w:val="lowerRoman"/>
      <w:lvlText w:val="%2."/>
      <w:lvlJc w:val="righ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nsid w:val="2D443F37"/>
    <w:multiLevelType w:val="hybridMultilevel"/>
    <w:tmpl w:val="7C72C22E"/>
    <w:lvl w:ilvl="0" w:tplc="4FB2C9E4">
      <w:start w:val="1"/>
      <w:numFmt w:val="lowerLetter"/>
      <w:lvlText w:val="(%1)"/>
      <w:lvlJc w:val="left"/>
      <w:pPr>
        <w:ind w:left="717" w:hanging="360"/>
      </w:pPr>
      <w:rPr>
        <w:rFonts w:hint="default"/>
        <w:b w:val="0"/>
      </w:rPr>
    </w:lvl>
    <w:lvl w:ilvl="1" w:tplc="D3281D72">
      <w:start w:val="1"/>
      <w:numFmt w:val="lowerRoman"/>
      <w:lvlText w:val="%2."/>
      <w:lvlJc w:val="right"/>
      <w:pPr>
        <w:ind w:left="1437" w:hanging="360"/>
      </w:pPr>
      <w:rPr>
        <w:rFonts w:hint="default"/>
        <w:b w:val="0"/>
      </w:rPr>
    </w:lvl>
    <w:lvl w:ilvl="2" w:tplc="F60AA660">
      <w:start w:val="1"/>
      <w:numFmt w:val="lowerRoman"/>
      <w:lvlText w:val="%3."/>
      <w:lvlJc w:val="right"/>
      <w:pPr>
        <w:ind w:left="2157" w:hanging="180"/>
      </w:pPr>
    </w:lvl>
    <w:lvl w:ilvl="3" w:tplc="040B000F">
      <w:start w:val="1"/>
      <w:numFmt w:val="decimal"/>
      <w:lvlText w:val="%4."/>
      <w:lvlJc w:val="left"/>
      <w:pPr>
        <w:ind w:left="2877" w:hanging="360"/>
      </w:pPr>
    </w:lvl>
    <w:lvl w:ilvl="4" w:tplc="040B0019">
      <w:start w:val="1"/>
      <w:numFmt w:val="lowerLetter"/>
      <w:lvlText w:val="%5."/>
      <w:lvlJc w:val="left"/>
      <w:pPr>
        <w:ind w:left="3597" w:hanging="360"/>
      </w:pPr>
    </w:lvl>
    <w:lvl w:ilvl="5" w:tplc="040B001B">
      <w:start w:val="1"/>
      <w:numFmt w:val="lowerRoman"/>
      <w:lvlText w:val="%6."/>
      <w:lvlJc w:val="right"/>
      <w:pPr>
        <w:ind w:left="4317" w:hanging="180"/>
      </w:pPr>
    </w:lvl>
    <w:lvl w:ilvl="6" w:tplc="040B000F">
      <w:start w:val="1"/>
      <w:numFmt w:val="decimal"/>
      <w:lvlText w:val="%7."/>
      <w:lvlJc w:val="left"/>
      <w:pPr>
        <w:ind w:left="5037" w:hanging="360"/>
      </w:pPr>
    </w:lvl>
    <w:lvl w:ilvl="7" w:tplc="040B0019">
      <w:start w:val="1"/>
      <w:numFmt w:val="lowerLetter"/>
      <w:lvlText w:val="%8."/>
      <w:lvlJc w:val="left"/>
      <w:pPr>
        <w:ind w:left="5757" w:hanging="360"/>
      </w:pPr>
    </w:lvl>
    <w:lvl w:ilvl="8" w:tplc="040B001B">
      <w:start w:val="1"/>
      <w:numFmt w:val="lowerRoman"/>
      <w:lvlText w:val="%9."/>
      <w:lvlJc w:val="right"/>
      <w:pPr>
        <w:ind w:left="6477" w:hanging="180"/>
      </w:pPr>
    </w:lvl>
  </w:abstractNum>
  <w:abstractNum w:abstractNumId="22">
    <w:nsid w:val="2E024479"/>
    <w:multiLevelType w:val="hybridMultilevel"/>
    <w:tmpl w:val="7C72C22E"/>
    <w:lvl w:ilvl="0" w:tplc="4FB2C9E4">
      <w:start w:val="1"/>
      <w:numFmt w:val="lowerLetter"/>
      <w:lvlText w:val="(%1)"/>
      <w:lvlJc w:val="left"/>
      <w:pPr>
        <w:ind w:left="717" w:hanging="360"/>
      </w:pPr>
      <w:rPr>
        <w:rFonts w:hint="default"/>
        <w:b w:val="0"/>
      </w:rPr>
    </w:lvl>
    <w:lvl w:ilvl="1" w:tplc="D3281D72">
      <w:start w:val="1"/>
      <w:numFmt w:val="lowerRoman"/>
      <w:lvlText w:val="%2."/>
      <w:lvlJc w:val="right"/>
      <w:pPr>
        <w:ind w:left="1437" w:hanging="360"/>
      </w:pPr>
      <w:rPr>
        <w:rFonts w:hint="default"/>
        <w:b w:val="0"/>
      </w:rPr>
    </w:lvl>
    <w:lvl w:ilvl="2" w:tplc="F60AA660">
      <w:start w:val="1"/>
      <w:numFmt w:val="lowerRoman"/>
      <w:lvlText w:val="%3."/>
      <w:lvlJc w:val="right"/>
      <w:pPr>
        <w:ind w:left="2157" w:hanging="180"/>
      </w:pPr>
    </w:lvl>
    <w:lvl w:ilvl="3" w:tplc="040B000F">
      <w:start w:val="1"/>
      <w:numFmt w:val="decimal"/>
      <w:lvlText w:val="%4."/>
      <w:lvlJc w:val="left"/>
      <w:pPr>
        <w:ind w:left="2877" w:hanging="360"/>
      </w:pPr>
    </w:lvl>
    <w:lvl w:ilvl="4" w:tplc="040B0019">
      <w:start w:val="1"/>
      <w:numFmt w:val="lowerLetter"/>
      <w:lvlText w:val="%5."/>
      <w:lvlJc w:val="left"/>
      <w:pPr>
        <w:ind w:left="3597" w:hanging="360"/>
      </w:pPr>
    </w:lvl>
    <w:lvl w:ilvl="5" w:tplc="040B001B">
      <w:start w:val="1"/>
      <w:numFmt w:val="lowerRoman"/>
      <w:lvlText w:val="%6."/>
      <w:lvlJc w:val="right"/>
      <w:pPr>
        <w:ind w:left="4317" w:hanging="180"/>
      </w:pPr>
    </w:lvl>
    <w:lvl w:ilvl="6" w:tplc="040B000F">
      <w:start w:val="1"/>
      <w:numFmt w:val="decimal"/>
      <w:lvlText w:val="%7."/>
      <w:lvlJc w:val="left"/>
      <w:pPr>
        <w:ind w:left="5037" w:hanging="360"/>
      </w:pPr>
    </w:lvl>
    <w:lvl w:ilvl="7" w:tplc="040B0019">
      <w:start w:val="1"/>
      <w:numFmt w:val="lowerLetter"/>
      <w:lvlText w:val="%8."/>
      <w:lvlJc w:val="left"/>
      <w:pPr>
        <w:ind w:left="5757" w:hanging="360"/>
      </w:pPr>
    </w:lvl>
    <w:lvl w:ilvl="8" w:tplc="040B001B">
      <w:start w:val="1"/>
      <w:numFmt w:val="lowerRoman"/>
      <w:lvlText w:val="%9."/>
      <w:lvlJc w:val="right"/>
      <w:pPr>
        <w:ind w:left="6477" w:hanging="180"/>
      </w:pPr>
    </w:lvl>
  </w:abstractNum>
  <w:abstractNum w:abstractNumId="23">
    <w:nsid w:val="3062616C"/>
    <w:multiLevelType w:val="hybridMultilevel"/>
    <w:tmpl w:val="28DAB042"/>
    <w:lvl w:ilvl="0" w:tplc="B178E6FE">
      <w:numFmt w:val="bullet"/>
      <w:lvlText w:val=""/>
      <w:lvlJc w:val="left"/>
      <w:pPr>
        <w:ind w:left="720" w:hanging="360"/>
      </w:pPr>
      <w:rPr>
        <w:rFonts w:ascii="Wingdings" w:eastAsia="Calibri" w:hAnsi="Wingdings" w:cs="Times New Roman"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24">
    <w:nsid w:val="31850664"/>
    <w:multiLevelType w:val="hybridMultilevel"/>
    <w:tmpl w:val="909667CC"/>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5">
    <w:nsid w:val="321A3AE7"/>
    <w:multiLevelType w:val="hybridMultilevel"/>
    <w:tmpl w:val="7C72C22E"/>
    <w:lvl w:ilvl="0" w:tplc="4FB2C9E4">
      <w:start w:val="1"/>
      <w:numFmt w:val="lowerLetter"/>
      <w:lvlText w:val="(%1)"/>
      <w:lvlJc w:val="left"/>
      <w:pPr>
        <w:ind w:left="717" w:hanging="360"/>
      </w:pPr>
      <w:rPr>
        <w:rFonts w:hint="default"/>
        <w:b w:val="0"/>
      </w:rPr>
    </w:lvl>
    <w:lvl w:ilvl="1" w:tplc="D3281D72">
      <w:start w:val="1"/>
      <w:numFmt w:val="lowerRoman"/>
      <w:lvlText w:val="%2."/>
      <w:lvlJc w:val="right"/>
      <w:pPr>
        <w:ind w:left="1437" w:hanging="360"/>
      </w:pPr>
      <w:rPr>
        <w:rFonts w:hint="default"/>
        <w:b w:val="0"/>
      </w:rPr>
    </w:lvl>
    <w:lvl w:ilvl="2" w:tplc="F60AA660">
      <w:start w:val="1"/>
      <w:numFmt w:val="lowerRoman"/>
      <w:lvlText w:val="%3."/>
      <w:lvlJc w:val="right"/>
      <w:pPr>
        <w:ind w:left="2157" w:hanging="180"/>
      </w:pPr>
    </w:lvl>
    <w:lvl w:ilvl="3" w:tplc="040B000F">
      <w:start w:val="1"/>
      <w:numFmt w:val="decimal"/>
      <w:lvlText w:val="%4."/>
      <w:lvlJc w:val="left"/>
      <w:pPr>
        <w:ind w:left="2877" w:hanging="360"/>
      </w:pPr>
    </w:lvl>
    <w:lvl w:ilvl="4" w:tplc="040B0019">
      <w:start w:val="1"/>
      <w:numFmt w:val="lowerLetter"/>
      <w:lvlText w:val="%5."/>
      <w:lvlJc w:val="left"/>
      <w:pPr>
        <w:ind w:left="3597" w:hanging="360"/>
      </w:pPr>
    </w:lvl>
    <w:lvl w:ilvl="5" w:tplc="040B001B">
      <w:start w:val="1"/>
      <w:numFmt w:val="lowerRoman"/>
      <w:lvlText w:val="%6."/>
      <w:lvlJc w:val="right"/>
      <w:pPr>
        <w:ind w:left="4317" w:hanging="180"/>
      </w:pPr>
    </w:lvl>
    <w:lvl w:ilvl="6" w:tplc="040B000F">
      <w:start w:val="1"/>
      <w:numFmt w:val="decimal"/>
      <w:lvlText w:val="%7."/>
      <w:lvlJc w:val="left"/>
      <w:pPr>
        <w:ind w:left="5037" w:hanging="360"/>
      </w:pPr>
    </w:lvl>
    <w:lvl w:ilvl="7" w:tplc="040B0019">
      <w:start w:val="1"/>
      <w:numFmt w:val="lowerLetter"/>
      <w:lvlText w:val="%8."/>
      <w:lvlJc w:val="left"/>
      <w:pPr>
        <w:ind w:left="5757" w:hanging="360"/>
      </w:pPr>
    </w:lvl>
    <w:lvl w:ilvl="8" w:tplc="040B001B">
      <w:start w:val="1"/>
      <w:numFmt w:val="lowerRoman"/>
      <w:lvlText w:val="%9."/>
      <w:lvlJc w:val="right"/>
      <w:pPr>
        <w:ind w:left="6477" w:hanging="180"/>
      </w:pPr>
    </w:lvl>
  </w:abstractNum>
  <w:abstractNum w:abstractNumId="26">
    <w:nsid w:val="35775A64"/>
    <w:multiLevelType w:val="hybridMultilevel"/>
    <w:tmpl w:val="535ED19A"/>
    <w:lvl w:ilvl="0" w:tplc="04090017">
      <w:start w:val="1"/>
      <w:numFmt w:val="lowerLetter"/>
      <w:lvlText w:val="%1)"/>
      <w:lvlJc w:val="left"/>
      <w:pPr>
        <w:ind w:left="717" w:hanging="360"/>
      </w:pPr>
    </w:lvl>
    <w:lvl w:ilvl="1" w:tplc="6C0A2FA8">
      <w:start w:val="1"/>
      <w:numFmt w:val="lowerLetter"/>
      <w:lvlText w:val="%2)"/>
      <w:lvlJc w:val="left"/>
      <w:pPr>
        <w:ind w:left="1437" w:hanging="360"/>
      </w:pPr>
    </w:lvl>
    <w:lvl w:ilvl="2" w:tplc="040B001B">
      <w:start w:val="1"/>
      <w:numFmt w:val="lowerRoman"/>
      <w:lvlText w:val="%3."/>
      <w:lvlJc w:val="right"/>
      <w:pPr>
        <w:ind w:left="2157" w:hanging="180"/>
      </w:pPr>
    </w:lvl>
    <w:lvl w:ilvl="3" w:tplc="040B000F">
      <w:start w:val="1"/>
      <w:numFmt w:val="decimal"/>
      <w:lvlText w:val="%4."/>
      <w:lvlJc w:val="left"/>
      <w:pPr>
        <w:ind w:left="2877" w:hanging="360"/>
      </w:pPr>
    </w:lvl>
    <w:lvl w:ilvl="4" w:tplc="040B0019">
      <w:start w:val="1"/>
      <w:numFmt w:val="lowerLetter"/>
      <w:lvlText w:val="%5."/>
      <w:lvlJc w:val="left"/>
      <w:pPr>
        <w:ind w:left="3597" w:hanging="360"/>
      </w:pPr>
    </w:lvl>
    <w:lvl w:ilvl="5" w:tplc="040B001B">
      <w:start w:val="1"/>
      <w:numFmt w:val="lowerRoman"/>
      <w:lvlText w:val="%6."/>
      <w:lvlJc w:val="right"/>
      <w:pPr>
        <w:ind w:left="4317" w:hanging="180"/>
      </w:pPr>
    </w:lvl>
    <w:lvl w:ilvl="6" w:tplc="040B000F">
      <w:start w:val="1"/>
      <w:numFmt w:val="decimal"/>
      <w:lvlText w:val="%7."/>
      <w:lvlJc w:val="left"/>
      <w:pPr>
        <w:ind w:left="5037" w:hanging="360"/>
      </w:pPr>
    </w:lvl>
    <w:lvl w:ilvl="7" w:tplc="040B0019">
      <w:start w:val="1"/>
      <w:numFmt w:val="lowerLetter"/>
      <w:lvlText w:val="%8."/>
      <w:lvlJc w:val="left"/>
      <w:pPr>
        <w:ind w:left="5757" w:hanging="360"/>
      </w:pPr>
    </w:lvl>
    <w:lvl w:ilvl="8" w:tplc="040B001B">
      <w:start w:val="1"/>
      <w:numFmt w:val="lowerRoman"/>
      <w:lvlText w:val="%9."/>
      <w:lvlJc w:val="right"/>
      <w:pPr>
        <w:ind w:left="6477" w:hanging="180"/>
      </w:pPr>
    </w:lvl>
  </w:abstractNum>
  <w:abstractNum w:abstractNumId="27">
    <w:nsid w:val="393D1317"/>
    <w:multiLevelType w:val="hybridMultilevel"/>
    <w:tmpl w:val="7C72C22E"/>
    <w:lvl w:ilvl="0" w:tplc="4FB2C9E4">
      <w:start w:val="1"/>
      <w:numFmt w:val="lowerLetter"/>
      <w:lvlText w:val="(%1)"/>
      <w:lvlJc w:val="left"/>
      <w:pPr>
        <w:ind w:left="717" w:hanging="360"/>
      </w:pPr>
      <w:rPr>
        <w:rFonts w:hint="default"/>
        <w:b w:val="0"/>
      </w:rPr>
    </w:lvl>
    <w:lvl w:ilvl="1" w:tplc="D3281D72">
      <w:start w:val="1"/>
      <w:numFmt w:val="lowerRoman"/>
      <w:lvlText w:val="%2."/>
      <w:lvlJc w:val="right"/>
      <w:pPr>
        <w:ind w:left="1437" w:hanging="360"/>
      </w:pPr>
      <w:rPr>
        <w:rFonts w:hint="default"/>
        <w:b w:val="0"/>
      </w:rPr>
    </w:lvl>
    <w:lvl w:ilvl="2" w:tplc="F60AA660">
      <w:start w:val="1"/>
      <w:numFmt w:val="lowerRoman"/>
      <w:lvlText w:val="%3."/>
      <w:lvlJc w:val="right"/>
      <w:pPr>
        <w:ind w:left="2157" w:hanging="180"/>
      </w:pPr>
    </w:lvl>
    <w:lvl w:ilvl="3" w:tplc="040B000F">
      <w:start w:val="1"/>
      <w:numFmt w:val="decimal"/>
      <w:lvlText w:val="%4."/>
      <w:lvlJc w:val="left"/>
      <w:pPr>
        <w:ind w:left="2877" w:hanging="360"/>
      </w:pPr>
    </w:lvl>
    <w:lvl w:ilvl="4" w:tplc="040B0019">
      <w:start w:val="1"/>
      <w:numFmt w:val="lowerLetter"/>
      <w:lvlText w:val="%5."/>
      <w:lvlJc w:val="left"/>
      <w:pPr>
        <w:ind w:left="3597" w:hanging="360"/>
      </w:pPr>
    </w:lvl>
    <w:lvl w:ilvl="5" w:tplc="040B001B">
      <w:start w:val="1"/>
      <w:numFmt w:val="lowerRoman"/>
      <w:lvlText w:val="%6."/>
      <w:lvlJc w:val="right"/>
      <w:pPr>
        <w:ind w:left="4317" w:hanging="180"/>
      </w:pPr>
    </w:lvl>
    <w:lvl w:ilvl="6" w:tplc="040B000F">
      <w:start w:val="1"/>
      <w:numFmt w:val="decimal"/>
      <w:lvlText w:val="%7."/>
      <w:lvlJc w:val="left"/>
      <w:pPr>
        <w:ind w:left="5037" w:hanging="360"/>
      </w:pPr>
    </w:lvl>
    <w:lvl w:ilvl="7" w:tplc="040B0019">
      <w:start w:val="1"/>
      <w:numFmt w:val="lowerLetter"/>
      <w:lvlText w:val="%8."/>
      <w:lvlJc w:val="left"/>
      <w:pPr>
        <w:ind w:left="5757" w:hanging="360"/>
      </w:pPr>
    </w:lvl>
    <w:lvl w:ilvl="8" w:tplc="040B001B">
      <w:start w:val="1"/>
      <w:numFmt w:val="lowerRoman"/>
      <w:lvlText w:val="%9."/>
      <w:lvlJc w:val="right"/>
      <w:pPr>
        <w:ind w:left="6477" w:hanging="180"/>
      </w:pPr>
    </w:lvl>
  </w:abstractNum>
  <w:abstractNum w:abstractNumId="28">
    <w:nsid w:val="426E3C0D"/>
    <w:multiLevelType w:val="hybridMultilevel"/>
    <w:tmpl w:val="EB8CE352"/>
    <w:lvl w:ilvl="0" w:tplc="D3281D72">
      <w:start w:val="1"/>
      <w:numFmt w:val="lowerRoman"/>
      <w:lvlText w:val="%1."/>
      <w:lvlJc w:val="right"/>
      <w:pPr>
        <w:ind w:left="1437" w:hanging="360"/>
      </w:pPr>
      <w:rPr>
        <w:rFonts w:hint="default"/>
        <w:b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
    <w:nsid w:val="42B02842"/>
    <w:multiLevelType w:val="hybridMultilevel"/>
    <w:tmpl w:val="424A63B2"/>
    <w:lvl w:ilvl="0" w:tplc="4FB2C9E4">
      <w:start w:val="1"/>
      <w:numFmt w:val="lowerLetter"/>
      <w:lvlText w:val="(%1)"/>
      <w:lvlJc w:val="left"/>
      <w:pPr>
        <w:ind w:left="1068" w:hanging="360"/>
      </w:pPr>
      <w:rPr>
        <w:rFonts w:hint="default"/>
        <w:b w:val="0"/>
      </w:rPr>
    </w:lvl>
    <w:lvl w:ilvl="1" w:tplc="0106ACEC">
      <w:start w:val="1"/>
      <w:numFmt w:val="lowerLetter"/>
      <w:lvlText w:val="%2."/>
      <w:lvlJc w:val="left"/>
      <w:pPr>
        <w:ind w:left="1788" w:hanging="360"/>
      </w:pPr>
      <w:rPr>
        <w:b w:val="0"/>
        <w:i w:val="0"/>
      </w:r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0">
    <w:nsid w:val="433E528D"/>
    <w:multiLevelType w:val="hybridMultilevel"/>
    <w:tmpl w:val="48FAFF66"/>
    <w:lvl w:ilvl="0" w:tplc="15D6F776">
      <w:start w:val="2"/>
      <w:numFmt w:val="bullet"/>
      <w:lvlText w:val="-"/>
      <w:lvlJc w:val="left"/>
      <w:pPr>
        <w:ind w:left="720" w:hanging="360"/>
      </w:pPr>
      <w:rPr>
        <w:rFonts w:ascii="Arial" w:eastAsia="Times New Roman"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1">
    <w:nsid w:val="442162EB"/>
    <w:multiLevelType w:val="hybridMultilevel"/>
    <w:tmpl w:val="7C72C22E"/>
    <w:lvl w:ilvl="0" w:tplc="4FB2C9E4">
      <w:start w:val="1"/>
      <w:numFmt w:val="lowerLetter"/>
      <w:lvlText w:val="(%1)"/>
      <w:lvlJc w:val="left"/>
      <w:pPr>
        <w:ind w:left="717" w:hanging="360"/>
      </w:pPr>
      <w:rPr>
        <w:rFonts w:hint="default"/>
        <w:b w:val="0"/>
      </w:rPr>
    </w:lvl>
    <w:lvl w:ilvl="1" w:tplc="D3281D72">
      <w:start w:val="1"/>
      <w:numFmt w:val="lowerRoman"/>
      <w:lvlText w:val="%2."/>
      <w:lvlJc w:val="right"/>
      <w:pPr>
        <w:ind w:left="1437" w:hanging="360"/>
      </w:pPr>
      <w:rPr>
        <w:rFonts w:hint="default"/>
        <w:b w:val="0"/>
      </w:rPr>
    </w:lvl>
    <w:lvl w:ilvl="2" w:tplc="F60AA660">
      <w:start w:val="1"/>
      <w:numFmt w:val="lowerRoman"/>
      <w:lvlText w:val="%3."/>
      <w:lvlJc w:val="right"/>
      <w:pPr>
        <w:ind w:left="2157" w:hanging="180"/>
      </w:pPr>
    </w:lvl>
    <w:lvl w:ilvl="3" w:tplc="040B000F">
      <w:start w:val="1"/>
      <w:numFmt w:val="decimal"/>
      <w:lvlText w:val="%4."/>
      <w:lvlJc w:val="left"/>
      <w:pPr>
        <w:ind w:left="2877" w:hanging="360"/>
      </w:pPr>
    </w:lvl>
    <w:lvl w:ilvl="4" w:tplc="040B0019">
      <w:start w:val="1"/>
      <w:numFmt w:val="lowerLetter"/>
      <w:lvlText w:val="%5."/>
      <w:lvlJc w:val="left"/>
      <w:pPr>
        <w:ind w:left="3597" w:hanging="360"/>
      </w:pPr>
    </w:lvl>
    <w:lvl w:ilvl="5" w:tplc="040B001B">
      <w:start w:val="1"/>
      <w:numFmt w:val="lowerRoman"/>
      <w:lvlText w:val="%6."/>
      <w:lvlJc w:val="right"/>
      <w:pPr>
        <w:ind w:left="4317" w:hanging="180"/>
      </w:pPr>
    </w:lvl>
    <w:lvl w:ilvl="6" w:tplc="040B000F">
      <w:start w:val="1"/>
      <w:numFmt w:val="decimal"/>
      <w:lvlText w:val="%7."/>
      <w:lvlJc w:val="left"/>
      <w:pPr>
        <w:ind w:left="5037" w:hanging="360"/>
      </w:pPr>
    </w:lvl>
    <w:lvl w:ilvl="7" w:tplc="040B0019">
      <w:start w:val="1"/>
      <w:numFmt w:val="lowerLetter"/>
      <w:lvlText w:val="%8."/>
      <w:lvlJc w:val="left"/>
      <w:pPr>
        <w:ind w:left="5757" w:hanging="360"/>
      </w:pPr>
    </w:lvl>
    <w:lvl w:ilvl="8" w:tplc="040B001B">
      <w:start w:val="1"/>
      <w:numFmt w:val="lowerRoman"/>
      <w:lvlText w:val="%9."/>
      <w:lvlJc w:val="right"/>
      <w:pPr>
        <w:ind w:left="6477" w:hanging="180"/>
      </w:pPr>
    </w:lvl>
  </w:abstractNum>
  <w:abstractNum w:abstractNumId="32">
    <w:nsid w:val="4448386D"/>
    <w:multiLevelType w:val="hybridMultilevel"/>
    <w:tmpl w:val="D3842160"/>
    <w:lvl w:ilvl="0" w:tplc="74A8F586">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nsid w:val="45422EC8"/>
    <w:multiLevelType w:val="hybridMultilevel"/>
    <w:tmpl w:val="8B525FD4"/>
    <w:lvl w:ilvl="0" w:tplc="F2426F98">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4">
    <w:nsid w:val="45A336AD"/>
    <w:multiLevelType w:val="hybridMultilevel"/>
    <w:tmpl w:val="7C72C22E"/>
    <w:lvl w:ilvl="0" w:tplc="4FB2C9E4">
      <w:start w:val="1"/>
      <w:numFmt w:val="lowerLetter"/>
      <w:lvlText w:val="(%1)"/>
      <w:lvlJc w:val="left"/>
      <w:pPr>
        <w:ind w:left="717" w:hanging="360"/>
      </w:pPr>
      <w:rPr>
        <w:rFonts w:hint="default"/>
        <w:b w:val="0"/>
      </w:rPr>
    </w:lvl>
    <w:lvl w:ilvl="1" w:tplc="D3281D72">
      <w:start w:val="1"/>
      <w:numFmt w:val="lowerRoman"/>
      <w:lvlText w:val="%2."/>
      <w:lvlJc w:val="right"/>
      <w:pPr>
        <w:ind w:left="1437" w:hanging="360"/>
      </w:pPr>
      <w:rPr>
        <w:rFonts w:hint="default"/>
        <w:b w:val="0"/>
      </w:rPr>
    </w:lvl>
    <w:lvl w:ilvl="2" w:tplc="F60AA660">
      <w:start w:val="1"/>
      <w:numFmt w:val="lowerRoman"/>
      <w:lvlText w:val="%3."/>
      <w:lvlJc w:val="right"/>
      <w:pPr>
        <w:ind w:left="2157" w:hanging="180"/>
      </w:pPr>
    </w:lvl>
    <w:lvl w:ilvl="3" w:tplc="040B000F">
      <w:start w:val="1"/>
      <w:numFmt w:val="decimal"/>
      <w:lvlText w:val="%4."/>
      <w:lvlJc w:val="left"/>
      <w:pPr>
        <w:ind w:left="2877" w:hanging="360"/>
      </w:pPr>
    </w:lvl>
    <w:lvl w:ilvl="4" w:tplc="040B0019">
      <w:start w:val="1"/>
      <w:numFmt w:val="lowerLetter"/>
      <w:lvlText w:val="%5."/>
      <w:lvlJc w:val="left"/>
      <w:pPr>
        <w:ind w:left="3597" w:hanging="360"/>
      </w:pPr>
    </w:lvl>
    <w:lvl w:ilvl="5" w:tplc="040B001B">
      <w:start w:val="1"/>
      <w:numFmt w:val="lowerRoman"/>
      <w:lvlText w:val="%6."/>
      <w:lvlJc w:val="right"/>
      <w:pPr>
        <w:ind w:left="4317" w:hanging="180"/>
      </w:pPr>
    </w:lvl>
    <w:lvl w:ilvl="6" w:tplc="040B000F">
      <w:start w:val="1"/>
      <w:numFmt w:val="decimal"/>
      <w:lvlText w:val="%7."/>
      <w:lvlJc w:val="left"/>
      <w:pPr>
        <w:ind w:left="5037" w:hanging="360"/>
      </w:pPr>
    </w:lvl>
    <w:lvl w:ilvl="7" w:tplc="040B0019">
      <w:start w:val="1"/>
      <w:numFmt w:val="lowerLetter"/>
      <w:lvlText w:val="%8."/>
      <w:lvlJc w:val="left"/>
      <w:pPr>
        <w:ind w:left="5757" w:hanging="360"/>
      </w:pPr>
    </w:lvl>
    <w:lvl w:ilvl="8" w:tplc="040B001B">
      <w:start w:val="1"/>
      <w:numFmt w:val="lowerRoman"/>
      <w:lvlText w:val="%9."/>
      <w:lvlJc w:val="right"/>
      <w:pPr>
        <w:ind w:left="6477" w:hanging="180"/>
      </w:pPr>
    </w:lvl>
  </w:abstractNum>
  <w:abstractNum w:abstractNumId="35">
    <w:nsid w:val="48522936"/>
    <w:multiLevelType w:val="hybridMultilevel"/>
    <w:tmpl w:val="7C72C22E"/>
    <w:lvl w:ilvl="0" w:tplc="4FB2C9E4">
      <w:start w:val="1"/>
      <w:numFmt w:val="lowerLetter"/>
      <w:lvlText w:val="(%1)"/>
      <w:lvlJc w:val="left"/>
      <w:pPr>
        <w:ind w:left="717" w:hanging="360"/>
      </w:pPr>
      <w:rPr>
        <w:rFonts w:hint="default"/>
        <w:b w:val="0"/>
      </w:rPr>
    </w:lvl>
    <w:lvl w:ilvl="1" w:tplc="D3281D72">
      <w:start w:val="1"/>
      <w:numFmt w:val="lowerRoman"/>
      <w:lvlText w:val="%2."/>
      <w:lvlJc w:val="right"/>
      <w:pPr>
        <w:ind w:left="1437" w:hanging="360"/>
      </w:pPr>
      <w:rPr>
        <w:rFonts w:hint="default"/>
        <w:b w:val="0"/>
      </w:rPr>
    </w:lvl>
    <w:lvl w:ilvl="2" w:tplc="F60AA660">
      <w:start w:val="1"/>
      <w:numFmt w:val="lowerRoman"/>
      <w:lvlText w:val="%3."/>
      <w:lvlJc w:val="right"/>
      <w:pPr>
        <w:ind w:left="2157" w:hanging="180"/>
      </w:pPr>
    </w:lvl>
    <w:lvl w:ilvl="3" w:tplc="040B000F">
      <w:start w:val="1"/>
      <w:numFmt w:val="decimal"/>
      <w:lvlText w:val="%4."/>
      <w:lvlJc w:val="left"/>
      <w:pPr>
        <w:ind w:left="2877" w:hanging="360"/>
      </w:pPr>
    </w:lvl>
    <w:lvl w:ilvl="4" w:tplc="040B0019">
      <w:start w:val="1"/>
      <w:numFmt w:val="lowerLetter"/>
      <w:lvlText w:val="%5."/>
      <w:lvlJc w:val="left"/>
      <w:pPr>
        <w:ind w:left="3597" w:hanging="360"/>
      </w:pPr>
    </w:lvl>
    <w:lvl w:ilvl="5" w:tplc="040B001B">
      <w:start w:val="1"/>
      <w:numFmt w:val="lowerRoman"/>
      <w:lvlText w:val="%6."/>
      <w:lvlJc w:val="right"/>
      <w:pPr>
        <w:ind w:left="4317" w:hanging="180"/>
      </w:pPr>
    </w:lvl>
    <w:lvl w:ilvl="6" w:tplc="040B000F">
      <w:start w:val="1"/>
      <w:numFmt w:val="decimal"/>
      <w:lvlText w:val="%7."/>
      <w:lvlJc w:val="left"/>
      <w:pPr>
        <w:ind w:left="5037" w:hanging="360"/>
      </w:pPr>
    </w:lvl>
    <w:lvl w:ilvl="7" w:tplc="040B0019">
      <w:start w:val="1"/>
      <w:numFmt w:val="lowerLetter"/>
      <w:lvlText w:val="%8."/>
      <w:lvlJc w:val="left"/>
      <w:pPr>
        <w:ind w:left="5757" w:hanging="360"/>
      </w:pPr>
    </w:lvl>
    <w:lvl w:ilvl="8" w:tplc="040B001B">
      <w:start w:val="1"/>
      <w:numFmt w:val="lowerRoman"/>
      <w:lvlText w:val="%9."/>
      <w:lvlJc w:val="right"/>
      <w:pPr>
        <w:ind w:left="6477" w:hanging="180"/>
      </w:pPr>
    </w:lvl>
  </w:abstractNum>
  <w:abstractNum w:abstractNumId="36">
    <w:nsid w:val="488732CD"/>
    <w:multiLevelType w:val="hybridMultilevel"/>
    <w:tmpl w:val="7C72C22E"/>
    <w:lvl w:ilvl="0" w:tplc="4FB2C9E4">
      <w:start w:val="1"/>
      <w:numFmt w:val="lowerLetter"/>
      <w:lvlText w:val="(%1)"/>
      <w:lvlJc w:val="left"/>
      <w:pPr>
        <w:ind w:left="717" w:hanging="360"/>
      </w:pPr>
      <w:rPr>
        <w:rFonts w:hint="default"/>
        <w:b w:val="0"/>
      </w:rPr>
    </w:lvl>
    <w:lvl w:ilvl="1" w:tplc="D3281D72">
      <w:start w:val="1"/>
      <w:numFmt w:val="lowerRoman"/>
      <w:lvlText w:val="%2."/>
      <w:lvlJc w:val="right"/>
      <w:pPr>
        <w:ind w:left="1437" w:hanging="360"/>
      </w:pPr>
      <w:rPr>
        <w:rFonts w:hint="default"/>
        <w:b w:val="0"/>
      </w:rPr>
    </w:lvl>
    <w:lvl w:ilvl="2" w:tplc="F60AA660">
      <w:start w:val="1"/>
      <w:numFmt w:val="lowerRoman"/>
      <w:lvlText w:val="%3."/>
      <w:lvlJc w:val="right"/>
      <w:pPr>
        <w:ind w:left="2157" w:hanging="180"/>
      </w:pPr>
    </w:lvl>
    <w:lvl w:ilvl="3" w:tplc="040B000F">
      <w:start w:val="1"/>
      <w:numFmt w:val="decimal"/>
      <w:lvlText w:val="%4."/>
      <w:lvlJc w:val="left"/>
      <w:pPr>
        <w:ind w:left="2877" w:hanging="360"/>
      </w:pPr>
    </w:lvl>
    <w:lvl w:ilvl="4" w:tplc="040B0019">
      <w:start w:val="1"/>
      <w:numFmt w:val="lowerLetter"/>
      <w:lvlText w:val="%5."/>
      <w:lvlJc w:val="left"/>
      <w:pPr>
        <w:ind w:left="3597" w:hanging="360"/>
      </w:pPr>
    </w:lvl>
    <w:lvl w:ilvl="5" w:tplc="040B001B">
      <w:start w:val="1"/>
      <w:numFmt w:val="lowerRoman"/>
      <w:lvlText w:val="%6."/>
      <w:lvlJc w:val="right"/>
      <w:pPr>
        <w:ind w:left="4317" w:hanging="180"/>
      </w:pPr>
    </w:lvl>
    <w:lvl w:ilvl="6" w:tplc="040B000F">
      <w:start w:val="1"/>
      <w:numFmt w:val="decimal"/>
      <w:lvlText w:val="%7."/>
      <w:lvlJc w:val="left"/>
      <w:pPr>
        <w:ind w:left="5037" w:hanging="360"/>
      </w:pPr>
    </w:lvl>
    <w:lvl w:ilvl="7" w:tplc="040B0019">
      <w:start w:val="1"/>
      <w:numFmt w:val="lowerLetter"/>
      <w:lvlText w:val="%8."/>
      <w:lvlJc w:val="left"/>
      <w:pPr>
        <w:ind w:left="5757" w:hanging="360"/>
      </w:pPr>
    </w:lvl>
    <w:lvl w:ilvl="8" w:tplc="040B001B">
      <w:start w:val="1"/>
      <w:numFmt w:val="lowerRoman"/>
      <w:lvlText w:val="%9."/>
      <w:lvlJc w:val="right"/>
      <w:pPr>
        <w:ind w:left="6477" w:hanging="180"/>
      </w:pPr>
    </w:lvl>
  </w:abstractNum>
  <w:abstractNum w:abstractNumId="37">
    <w:nsid w:val="48BD4883"/>
    <w:multiLevelType w:val="hybridMultilevel"/>
    <w:tmpl w:val="6D5CDCAC"/>
    <w:lvl w:ilvl="0" w:tplc="E7368C2E">
      <w:start w:val="4"/>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nsid w:val="4AD45E77"/>
    <w:multiLevelType w:val="hybridMultilevel"/>
    <w:tmpl w:val="6E820C6C"/>
    <w:lvl w:ilvl="0" w:tplc="31923764">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9">
    <w:nsid w:val="4AFB375A"/>
    <w:multiLevelType w:val="hybridMultilevel"/>
    <w:tmpl w:val="7C72C22E"/>
    <w:lvl w:ilvl="0" w:tplc="4FB2C9E4">
      <w:start w:val="1"/>
      <w:numFmt w:val="lowerLetter"/>
      <w:lvlText w:val="(%1)"/>
      <w:lvlJc w:val="left"/>
      <w:pPr>
        <w:ind w:left="717" w:hanging="360"/>
      </w:pPr>
      <w:rPr>
        <w:rFonts w:hint="default"/>
        <w:b w:val="0"/>
      </w:rPr>
    </w:lvl>
    <w:lvl w:ilvl="1" w:tplc="D3281D72">
      <w:start w:val="1"/>
      <w:numFmt w:val="lowerRoman"/>
      <w:lvlText w:val="%2."/>
      <w:lvlJc w:val="right"/>
      <w:pPr>
        <w:ind w:left="1437" w:hanging="360"/>
      </w:pPr>
      <w:rPr>
        <w:rFonts w:hint="default"/>
        <w:b w:val="0"/>
      </w:rPr>
    </w:lvl>
    <w:lvl w:ilvl="2" w:tplc="F60AA660">
      <w:start w:val="1"/>
      <w:numFmt w:val="lowerRoman"/>
      <w:lvlText w:val="%3."/>
      <w:lvlJc w:val="right"/>
      <w:pPr>
        <w:ind w:left="2157" w:hanging="180"/>
      </w:pPr>
    </w:lvl>
    <w:lvl w:ilvl="3" w:tplc="040B000F">
      <w:start w:val="1"/>
      <w:numFmt w:val="decimal"/>
      <w:lvlText w:val="%4."/>
      <w:lvlJc w:val="left"/>
      <w:pPr>
        <w:ind w:left="2877" w:hanging="360"/>
      </w:pPr>
    </w:lvl>
    <w:lvl w:ilvl="4" w:tplc="040B0019">
      <w:start w:val="1"/>
      <w:numFmt w:val="lowerLetter"/>
      <w:lvlText w:val="%5."/>
      <w:lvlJc w:val="left"/>
      <w:pPr>
        <w:ind w:left="3597" w:hanging="360"/>
      </w:pPr>
    </w:lvl>
    <w:lvl w:ilvl="5" w:tplc="040B001B">
      <w:start w:val="1"/>
      <w:numFmt w:val="lowerRoman"/>
      <w:lvlText w:val="%6."/>
      <w:lvlJc w:val="right"/>
      <w:pPr>
        <w:ind w:left="4317" w:hanging="180"/>
      </w:pPr>
    </w:lvl>
    <w:lvl w:ilvl="6" w:tplc="040B000F">
      <w:start w:val="1"/>
      <w:numFmt w:val="decimal"/>
      <w:lvlText w:val="%7."/>
      <w:lvlJc w:val="left"/>
      <w:pPr>
        <w:ind w:left="5037" w:hanging="360"/>
      </w:pPr>
    </w:lvl>
    <w:lvl w:ilvl="7" w:tplc="040B0019">
      <w:start w:val="1"/>
      <w:numFmt w:val="lowerLetter"/>
      <w:lvlText w:val="%8."/>
      <w:lvlJc w:val="left"/>
      <w:pPr>
        <w:ind w:left="5757" w:hanging="360"/>
      </w:pPr>
    </w:lvl>
    <w:lvl w:ilvl="8" w:tplc="040B001B">
      <w:start w:val="1"/>
      <w:numFmt w:val="lowerRoman"/>
      <w:lvlText w:val="%9."/>
      <w:lvlJc w:val="right"/>
      <w:pPr>
        <w:ind w:left="6477" w:hanging="180"/>
      </w:pPr>
    </w:lvl>
  </w:abstractNum>
  <w:abstractNum w:abstractNumId="40">
    <w:nsid w:val="4C1E71AD"/>
    <w:multiLevelType w:val="hybridMultilevel"/>
    <w:tmpl w:val="22160258"/>
    <w:lvl w:ilvl="0" w:tplc="04140015">
      <w:start w:val="1"/>
      <w:numFmt w:val="upp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41">
    <w:nsid w:val="4D5C78EE"/>
    <w:multiLevelType w:val="multilevel"/>
    <w:tmpl w:val="C1FC7574"/>
    <w:styleLink w:val="XXXNummerierung"/>
    <w:lvl w:ilvl="0">
      <w:start w:val="1"/>
      <w:numFmt w:val="decimal"/>
      <w:lvlText w:val="(%1)"/>
      <w:lvlJc w:val="left"/>
      <w:pPr>
        <w:ind w:left="360" w:hanging="360"/>
      </w:pPr>
      <w:rPr>
        <w:rFonts w:hint="default"/>
        <w:sz w:val="22"/>
      </w:rPr>
    </w:lvl>
    <w:lvl w:ilvl="1">
      <w:start w:val="1"/>
      <w:numFmt w:val="lowerLetter"/>
      <w:lvlText w:val="(%2)"/>
      <w:lvlJc w:val="left"/>
      <w:pPr>
        <w:ind w:left="0" w:firstLine="0"/>
      </w:pPr>
      <w:rPr>
        <w:rFonts w:hint="default"/>
        <w:b w:val="0"/>
      </w:rPr>
    </w:lvl>
    <w:lvl w:ilvl="2">
      <w:start w:val="1"/>
      <w:numFmt w:val="lowerLetter"/>
      <w:lvlText w:val="(%3)"/>
      <w:lvlJc w:val="left"/>
      <w:pPr>
        <w:ind w:left="0" w:firstLine="0"/>
      </w:pPr>
      <w:rPr>
        <w:rFonts w:hint="default"/>
        <w:b w:val="0"/>
        <w:i w:val="0"/>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42">
    <w:nsid w:val="4F5663B8"/>
    <w:multiLevelType w:val="hybridMultilevel"/>
    <w:tmpl w:val="63C279BA"/>
    <w:lvl w:ilvl="0" w:tplc="4FB2C9E4">
      <w:start w:val="1"/>
      <w:numFmt w:val="lowerLetter"/>
      <w:lvlText w:val="(%1)"/>
      <w:lvlJc w:val="left"/>
      <w:pPr>
        <w:ind w:left="717" w:hanging="360"/>
      </w:pPr>
      <w:rPr>
        <w:b w:val="0"/>
      </w:rPr>
    </w:lvl>
    <w:lvl w:ilvl="1" w:tplc="D3281D72">
      <w:start w:val="1"/>
      <w:numFmt w:val="lowerRoman"/>
      <w:lvlText w:val="%2."/>
      <w:lvlJc w:val="right"/>
      <w:pPr>
        <w:ind w:left="1437" w:hanging="360"/>
      </w:pPr>
      <w:rPr>
        <w:b w:val="0"/>
      </w:rPr>
    </w:lvl>
    <w:lvl w:ilvl="2" w:tplc="F60AA660">
      <w:start w:val="1"/>
      <w:numFmt w:val="lowerRoman"/>
      <w:lvlText w:val="%3."/>
      <w:lvlJc w:val="right"/>
      <w:pPr>
        <w:ind w:left="2157" w:hanging="180"/>
      </w:pPr>
    </w:lvl>
    <w:lvl w:ilvl="3" w:tplc="040B000F">
      <w:start w:val="1"/>
      <w:numFmt w:val="decimal"/>
      <w:lvlText w:val="%4."/>
      <w:lvlJc w:val="left"/>
      <w:pPr>
        <w:ind w:left="2877" w:hanging="360"/>
      </w:pPr>
    </w:lvl>
    <w:lvl w:ilvl="4" w:tplc="040B0019">
      <w:start w:val="1"/>
      <w:numFmt w:val="lowerLetter"/>
      <w:lvlText w:val="%5."/>
      <w:lvlJc w:val="left"/>
      <w:pPr>
        <w:ind w:left="3597" w:hanging="360"/>
      </w:pPr>
    </w:lvl>
    <w:lvl w:ilvl="5" w:tplc="040B001B">
      <w:start w:val="1"/>
      <w:numFmt w:val="lowerRoman"/>
      <w:lvlText w:val="%6."/>
      <w:lvlJc w:val="right"/>
      <w:pPr>
        <w:ind w:left="4317" w:hanging="180"/>
      </w:pPr>
    </w:lvl>
    <w:lvl w:ilvl="6" w:tplc="040B000F">
      <w:start w:val="1"/>
      <w:numFmt w:val="decimal"/>
      <w:lvlText w:val="%7."/>
      <w:lvlJc w:val="left"/>
      <w:pPr>
        <w:ind w:left="5037" w:hanging="360"/>
      </w:pPr>
    </w:lvl>
    <w:lvl w:ilvl="7" w:tplc="040B0019">
      <w:start w:val="1"/>
      <w:numFmt w:val="lowerLetter"/>
      <w:lvlText w:val="%8."/>
      <w:lvlJc w:val="left"/>
      <w:pPr>
        <w:ind w:left="5757" w:hanging="360"/>
      </w:pPr>
    </w:lvl>
    <w:lvl w:ilvl="8" w:tplc="040B001B">
      <w:start w:val="1"/>
      <w:numFmt w:val="lowerRoman"/>
      <w:lvlText w:val="%9."/>
      <w:lvlJc w:val="right"/>
      <w:pPr>
        <w:ind w:left="6477" w:hanging="180"/>
      </w:pPr>
    </w:lvl>
  </w:abstractNum>
  <w:abstractNum w:abstractNumId="43">
    <w:nsid w:val="50B20B79"/>
    <w:multiLevelType w:val="hybridMultilevel"/>
    <w:tmpl w:val="338AA162"/>
    <w:lvl w:ilvl="0" w:tplc="6EFA0D28">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4">
    <w:nsid w:val="51B37663"/>
    <w:multiLevelType w:val="hybridMultilevel"/>
    <w:tmpl w:val="16180E5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5">
    <w:nsid w:val="53813B6B"/>
    <w:multiLevelType w:val="hybridMultilevel"/>
    <w:tmpl w:val="7C72C22E"/>
    <w:lvl w:ilvl="0" w:tplc="4FB2C9E4">
      <w:start w:val="1"/>
      <w:numFmt w:val="lowerLetter"/>
      <w:lvlText w:val="(%1)"/>
      <w:lvlJc w:val="left"/>
      <w:pPr>
        <w:ind w:left="717" w:hanging="360"/>
      </w:pPr>
      <w:rPr>
        <w:rFonts w:hint="default"/>
        <w:b w:val="0"/>
      </w:rPr>
    </w:lvl>
    <w:lvl w:ilvl="1" w:tplc="D3281D72">
      <w:start w:val="1"/>
      <w:numFmt w:val="lowerRoman"/>
      <w:lvlText w:val="%2."/>
      <w:lvlJc w:val="right"/>
      <w:pPr>
        <w:ind w:left="1437" w:hanging="360"/>
      </w:pPr>
      <w:rPr>
        <w:rFonts w:hint="default"/>
        <w:b w:val="0"/>
      </w:rPr>
    </w:lvl>
    <w:lvl w:ilvl="2" w:tplc="F60AA660">
      <w:start w:val="1"/>
      <w:numFmt w:val="lowerRoman"/>
      <w:lvlText w:val="%3."/>
      <w:lvlJc w:val="right"/>
      <w:pPr>
        <w:ind w:left="2157" w:hanging="180"/>
      </w:pPr>
    </w:lvl>
    <w:lvl w:ilvl="3" w:tplc="040B000F">
      <w:start w:val="1"/>
      <w:numFmt w:val="decimal"/>
      <w:lvlText w:val="%4."/>
      <w:lvlJc w:val="left"/>
      <w:pPr>
        <w:ind w:left="2877" w:hanging="360"/>
      </w:pPr>
    </w:lvl>
    <w:lvl w:ilvl="4" w:tplc="040B0019">
      <w:start w:val="1"/>
      <w:numFmt w:val="lowerLetter"/>
      <w:lvlText w:val="%5."/>
      <w:lvlJc w:val="left"/>
      <w:pPr>
        <w:ind w:left="3597" w:hanging="360"/>
      </w:pPr>
    </w:lvl>
    <w:lvl w:ilvl="5" w:tplc="040B001B">
      <w:start w:val="1"/>
      <w:numFmt w:val="lowerRoman"/>
      <w:lvlText w:val="%6."/>
      <w:lvlJc w:val="right"/>
      <w:pPr>
        <w:ind w:left="4317" w:hanging="180"/>
      </w:pPr>
    </w:lvl>
    <w:lvl w:ilvl="6" w:tplc="040B000F">
      <w:start w:val="1"/>
      <w:numFmt w:val="decimal"/>
      <w:lvlText w:val="%7."/>
      <w:lvlJc w:val="left"/>
      <w:pPr>
        <w:ind w:left="5037" w:hanging="360"/>
      </w:pPr>
    </w:lvl>
    <w:lvl w:ilvl="7" w:tplc="040B0019">
      <w:start w:val="1"/>
      <w:numFmt w:val="lowerLetter"/>
      <w:lvlText w:val="%8."/>
      <w:lvlJc w:val="left"/>
      <w:pPr>
        <w:ind w:left="5757" w:hanging="360"/>
      </w:pPr>
    </w:lvl>
    <w:lvl w:ilvl="8" w:tplc="040B001B">
      <w:start w:val="1"/>
      <w:numFmt w:val="lowerRoman"/>
      <w:lvlText w:val="%9."/>
      <w:lvlJc w:val="right"/>
      <w:pPr>
        <w:ind w:left="6477" w:hanging="180"/>
      </w:pPr>
    </w:lvl>
  </w:abstractNum>
  <w:abstractNum w:abstractNumId="46">
    <w:nsid w:val="556E29AC"/>
    <w:multiLevelType w:val="hybridMultilevel"/>
    <w:tmpl w:val="7C72C22E"/>
    <w:lvl w:ilvl="0" w:tplc="4FB2C9E4">
      <w:start w:val="1"/>
      <w:numFmt w:val="lowerLetter"/>
      <w:lvlText w:val="(%1)"/>
      <w:lvlJc w:val="left"/>
      <w:pPr>
        <w:ind w:left="717" w:hanging="360"/>
      </w:pPr>
      <w:rPr>
        <w:rFonts w:hint="default"/>
        <w:b w:val="0"/>
      </w:rPr>
    </w:lvl>
    <w:lvl w:ilvl="1" w:tplc="D3281D72">
      <w:start w:val="1"/>
      <w:numFmt w:val="lowerRoman"/>
      <w:lvlText w:val="%2."/>
      <w:lvlJc w:val="right"/>
      <w:pPr>
        <w:ind w:left="1437" w:hanging="360"/>
      </w:pPr>
      <w:rPr>
        <w:rFonts w:hint="default"/>
        <w:b w:val="0"/>
      </w:rPr>
    </w:lvl>
    <w:lvl w:ilvl="2" w:tplc="F60AA660">
      <w:start w:val="1"/>
      <w:numFmt w:val="lowerRoman"/>
      <w:lvlText w:val="%3."/>
      <w:lvlJc w:val="right"/>
      <w:pPr>
        <w:ind w:left="2157" w:hanging="180"/>
      </w:pPr>
    </w:lvl>
    <w:lvl w:ilvl="3" w:tplc="040B000F">
      <w:start w:val="1"/>
      <w:numFmt w:val="decimal"/>
      <w:lvlText w:val="%4."/>
      <w:lvlJc w:val="left"/>
      <w:pPr>
        <w:ind w:left="2877" w:hanging="360"/>
      </w:pPr>
    </w:lvl>
    <w:lvl w:ilvl="4" w:tplc="040B0019">
      <w:start w:val="1"/>
      <w:numFmt w:val="lowerLetter"/>
      <w:lvlText w:val="%5."/>
      <w:lvlJc w:val="left"/>
      <w:pPr>
        <w:ind w:left="3597" w:hanging="360"/>
      </w:pPr>
    </w:lvl>
    <w:lvl w:ilvl="5" w:tplc="040B001B">
      <w:start w:val="1"/>
      <w:numFmt w:val="lowerRoman"/>
      <w:lvlText w:val="%6."/>
      <w:lvlJc w:val="right"/>
      <w:pPr>
        <w:ind w:left="4317" w:hanging="180"/>
      </w:pPr>
    </w:lvl>
    <w:lvl w:ilvl="6" w:tplc="040B000F">
      <w:start w:val="1"/>
      <w:numFmt w:val="decimal"/>
      <w:lvlText w:val="%7."/>
      <w:lvlJc w:val="left"/>
      <w:pPr>
        <w:ind w:left="5037" w:hanging="360"/>
      </w:pPr>
    </w:lvl>
    <w:lvl w:ilvl="7" w:tplc="040B0019">
      <w:start w:val="1"/>
      <w:numFmt w:val="lowerLetter"/>
      <w:lvlText w:val="%8."/>
      <w:lvlJc w:val="left"/>
      <w:pPr>
        <w:ind w:left="5757" w:hanging="360"/>
      </w:pPr>
    </w:lvl>
    <w:lvl w:ilvl="8" w:tplc="040B001B">
      <w:start w:val="1"/>
      <w:numFmt w:val="lowerRoman"/>
      <w:lvlText w:val="%9."/>
      <w:lvlJc w:val="right"/>
      <w:pPr>
        <w:ind w:left="6477" w:hanging="180"/>
      </w:pPr>
    </w:lvl>
  </w:abstractNum>
  <w:abstractNum w:abstractNumId="47">
    <w:nsid w:val="5BC6060B"/>
    <w:multiLevelType w:val="hybridMultilevel"/>
    <w:tmpl w:val="EBF6DE36"/>
    <w:lvl w:ilvl="0" w:tplc="08070017">
      <w:start w:val="1"/>
      <w:numFmt w:val="lowerLetter"/>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8">
    <w:nsid w:val="5BE117D1"/>
    <w:multiLevelType w:val="hybridMultilevel"/>
    <w:tmpl w:val="A6D6D792"/>
    <w:lvl w:ilvl="0" w:tplc="4FB2C9E4">
      <w:start w:val="1"/>
      <w:numFmt w:val="lowerLetter"/>
      <w:lvlText w:val="(%1)"/>
      <w:lvlJc w:val="left"/>
      <w:pPr>
        <w:ind w:left="1068" w:hanging="360"/>
      </w:pPr>
      <w:rPr>
        <w:rFonts w:hint="default"/>
        <w:b w:val="0"/>
      </w:rPr>
    </w:lvl>
    <w:lvl w:ilvl="1" w:tplc="0106ACEC">
      <w:start w:val="1"/>
      <w:numFmt w:val="lowerLetter"/>
      <w:lvlText w:val="%2."/>
      <w:lvlJc w:val="left"/>
      <w:pPr>
        <w:ind w:left="1788" w:hanging="360"/>
      </w:pPr>
      <w:rPr>
        <w:b w:val="0"/>
        <w:i w:val="0"/>
      </w:r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9">
    <w:nsid w:val="5C3D5C0D"/>
    <w:multiLevelType w:val="multilevel"/>
    <w:tmpl w:val="31223A5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0">
    <w:nsid w:val="5D4A3354"/>
    <w:multiLevelType w:val="multilevel"/>
    <w:tmpl w:val="AF40A21E"/>
    <w:styleLink w:val="XXXList"/>
    <w:lvl w:ilvl="0">
      <w:start w:val="1"/>
      <w:numFmt w:val="decimal"/>
      <w:pStyle w:val="headline1"/>
      <w:lvlText w:val="%1."/>
      <w:lvlJc w:val="left"/>
      <w:pPr>
        <w:ind w:left="357" w:hanging="357"/>
      </w:pPr>
      <w:rPr>
        <w:rFonts w:asciiTheme="majorHAnsi" w:hAnsiTheme="majorHAnsi" w:hint="default"/>
        <w:b/>
        <w:i w:val="0"/>
        <w:color w:val="23236E" w:themeColor="text2"/>
        <w:sz w:val="28"/>
        <w:u w:color="23236E" w:themeColor="text2"/>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asciiTheme="majorHAnsi" w:hAnsiTheme="majorHAnsi" w:hint="default"/>
        <w:b/>
        <w:i w:val="0"/>
        <w:color w:val="23236E" w:themeColor="text2"/>
        <w:sz w:val="28"/>
        <w:u w:color="23236E" w:themeColor="text2"/>
      </w:rPr>
    </w:lvl>
  </w:abstractNum>
  <w:abstractNum w:abstractNumId="51">
    <w:nsid w:val="5DD625D8"/>
    <w:multiLevelType w:val="hybridMultilevel"/>
    <w:tmpl w:val="733431C4"/>
    <w:lvl w:ilvl="0" w:tplc="98D82ADA">
      <w:start w:val="1"/>
      <w:numFmt w:val="decimal"/>
      <w:lvlText w:val="(%1)"/>
      <w:lvlJc w:val="left"/>
      <w:pPr>
        <w:ind w:left="720" w:hanging="360"/>
      </w:pPr>
      <w:rPr>
        <w:rFonts w:hint="default"/>
      </w:rPr>
    </w:lvl>
    <w:lvl w:ilvl="1" w:tplc="040B0019">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52">
    <w:nsid w:val="5EF63C7D"/>
    <w:multiLevelType w:val="multilevel"/>
    <w:tmpl w:val="F9A00892"/>
    <w:styleLink w:val="XXXBulletList"/>
    <w:lvl w:ilvl="0">
      <w:start w:val="1"/>
      <w:numFmt w:val="bullet"/>
      <w:pStyle w:val="decisionbullet1"/>
      <w:lvlText w:val="‒"/>
      <w:lvlJc w:val="left"/>
      <w:pPr>
        <w:ind w:left="357" w:hanging="357"/>
      </w:pPr>
      <w:rPr>
        <w:rFonts w:ascii="Calibri" w:hAnsi="Calibri" w:hint="default"/>
        <w:color w:val="auto"/>
        <w:sz w:val="22"/>
      </w:rPr>
    </w:lvl>
    <w:lvl w:ilvl="1">
      <w:start w:val="1"/>
      <w:numFmt w:val="bullet"/>
      <w:pStyle w:val="decisionbullet2"/>
      <w:lvlText w:val="‒"/>
      <w:lvlJc w:val="left"/>
      <w:pPr>
        <w:ind w:left="374" w:hanging="17"/>
      </w:pPr>
      <w:rPr>
        <w:rFonts w:ascii="Times New Roman" w:hAnsi="Times New Roman" w:cs="Times New Roman" w:hint="default"/>
        <w:color w:val="auto"/>
        <w:sz w:val="22"/>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53">
    <w:nsid w:val="60322640"/>
    <w:multiLevelType w:val="hybridMultilevel"/>
    <w:tmpl w:val="D6DEB604"/>
    <w:lvl w:ilvl="0" w:tplc="79EE455A">
      <w:start w:val="1"/>
      <w:numFmt w:val="decimal"/>
      <w:lvlText w:val="(%1)"/>
      <w:lvlJc w:val="left"/>
      <w:pPr>
        <w:ind w:left="502" w:hanging="360"/>
      </w:pPr>
      <w:rPr>
        <w:rFonts w:hint="default"/>
        <w:b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4">
    <w:nsid w:val="62BB5EE7"/>
    <w:multiLevelType w:val="hybridMultilevel"/>
    <w:tmpl w:val="08BA0CB0"/>
    <w:lvl w:ilvl="0" w:tplc="4FB2C9E4">
      <w:start w:val="1"/>
      <w:numFmt w:val="lowerLetter"/>
      <w:lvlText w:val="(%1)"/>
      <w:lvlJc w:val="left"/>
      <w:pPr>
        <w:ind w:left="502" w:hanging="360"/>
      </w:pPr>
      <w:rPr>
        <w:rFonts w:hint="default"/>
        <w:b w:val="0"/>
        <w:i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5">
    <w:nsid w:val="64722A13"/>
    <w:multiLevelType w:val="multilevel"/>
    <w:tmpl w:val="C1FC7574"/>
    <w:lvl w:ilvl="0">
      <w:start w:val="1"/>
      <w:numFmt w:val="decimal"/>
      <w:lvlText w:val="(%1)"/>
      <w:lvlJc w:val="left"/>
      <w:pPr>
        <w:ind w:left="360" w:hanging="360"/>
      </w:pPr>
      <w:rPr>
        <w:rFonts w:hint="default"/>
        <w:sz w:val="22"/>
      </w:rPr>
    </w:lvl>
    <w:lvl w:ilvl="1">
      <w:start w:val="1"/>
      <w:numFmt w:val="lowerLetter"/>
      <w:lvlText w:val="(%2)"/>
      <w:lvlJc w:val="left"/>
      <w:pPr>
        <w:ind w:left="0" w:firstLine="0"/>
      </w:pPr>
      <w:rPr>
        <w:rFonts w:hint="default"/>
        <w:b w:val="0"/>
      </w:rPr>
    </w:lvl>
    <w:lvl w:ilvl="2">
      <w:start w:val="1"/>
      <w:numFmt w:val="lowerLetter"/>
      <w:lvlText w:val="(%3)"/>
      <w:lvlJc w:val="left"/>
      <w:pPr>
        <w:ind w:left="0" w:firstLine="0"/>
      </w:pPr>
      <w:rPr>
        <w:rFonts w:hint="default"/>
        <w:b w:val="0"/>
        <w:i w:val="0"/>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56">
    <w:nsid w:val="65953EE6"/>
    <w:multiLevelType w:val="hybridMultilevel"/>
    <w:tmpl w:val="6DDAA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6C59677F"/>
    <w:multiLevelType w:val="hybridMultilevel"/>
    <w:tmpl w:val="F8740CCE"/>
    <w:lvl w:ilvl="0" w:tplc="027818F6">
      <w:start w:val="9"/>
      <w:numFmt w:val="lowerLetter"/>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58">
    <w:nsid w:val="6CD74C7C"/>
    <w:multiLevelType w:val="hybridMultilevel"/>
    <w:tmpl w:val="7C72C22E"/>
    <w:lvl w:ilvl="0" w:tplc="4FB2C9E4">
      <w:start w:val="1"/>
      <w:numFmt w:val="lowerLetter"/>
      <w:lvlText w:val="(%1)"/>
      <w:lvlJc w:val="left"/>
      <w:pPr>
        <w:ind w:left="360" w:hanging="360"/>
      </w:pPr>
      <w:rPr>
        <w:rFonts w:hint="default"/>
        <w:b w:val="0"/>
      </w:rPr>
    </w:lvl>
    <w:lvl w:ilvl="1" w:tplc="D3281D72">
      <w:start w:val="1"/>
      <w:numFmt w:val="lowerRoman"/>
      <w:lvlText w:val="%2."/>
      <w:lvlJc w:val="right"/>
      <w:pPr>
        <w:ind w:left="1080" w:hanging="360"/>
      </w:pPr>
      <w:rPr>
        <w:rFonts w:hint="default"/>
        <w:b w:val="0"/>
      </w:rPr>
    </w:lvl>
    <w:lvl w:ilvl="2" w:tplc="F60AA660">
      <w:start w:val="1"/>
      <w:numFmt w:val="lowerRoman"/>
      <w:lvlText w:val="%3."/>
      <w:lvlJc w:val="right"/>
      <w:pPr>
        <w:ind w:left="1800" w:hanging="180"/>
      </w:pPr>
    </w:lvl>
    <w:lvl w:ilvl="3" w:tplc="040B000F">
      <w:start w:val="1"/>
      <w:numFmt w:val="decimal"/>
      <w:lvlText w:val="%4."/>
      <w:lvlJc w:val="left"/>
      <w:pPr>
        <w:ind w:left="2520" w:hanging="360"/>
      </w:pPr>
    </w:lvl>
    <w:lvl w:ilvl="4" w:tplc="040B0019">
      <w:start w:val="1"/>
      <w:numFmt w:val="lowerLetter"/>
      <w:lvlText w:val="%5."/>
      <w:lvlJc w:val="left"/>
      <w:pPr>
        <w:ind w:left="3240" w:hanging="360"/>
      </w:pPr>
    </w:lvl>
    <w:lvl w:ilvl="5" w:tplc="040B001B">
      <w:start w:val="1"/>
      <w:numFmt w:val="lowerRoman"/>
      <w:lvlText w:val="%6."/>
      <w:lvlJc w:val="right"/>
      <w:pPr>
        <w:ind w:left="3960" w:hanging="180"/>
      </w:pPr>
    </w:lvl>
    <w:lvl w:ilvl="6" w:tplc="040B000F">
      <w:start w:val="1"/>
      <w:numFmt w:val="decimal"/>
      <w:lvlText w:val="%7."/>
      <w:lvlJc w:val="left"/>
      <w:pPr>
        <w:ind w:left="4680" w:hanging="360"/>
      </w:pPr>
    </w:lvl>
    <w:lvl w:ilvl="7" w:tplc="040B0019">
      <w:start w:val="1"/>
      <w:numFmt w:val="lowerLetter"/>
      <w:lvlText w:val="%8."/>
      <w:lvlJc w:val="left"/>
      <w:pPr>
        <w:ind w:left="5400" w:hanging="360"/>
      </w:pPr>
    </w:lvl>
    <w:lvl w:ilvl="8" w:tplc="040B001B">
      <w:start w:val="1"/>
      <w:numFmt w:val="lowerRoman"/>
      <w:lvlText w:val="%9."/>
      <w:lvlJc w:val="right"/>
      <w:pPr>
        <w:ind w:left="6120" w:hanging="180"/>
      </w:pPr>
    </w:lvl>
  </w:abstractNum>
  <w:abstractNum w:abstractNumId="59">
    <w:nsid w:val="6E3E0D21"/>
    <w:multiLevelType w:val="hybridMultilevel"/>
    <w:tmpl w:val="7C72C22E"/>
    <w:lvl w:ilvl="0" w:tplc="4FB2C9E4">
      <w:start w:val="1"/>
      <w:numFmt w:val="lowerLetter"/>
      <w:lvlText w:val="(%1)"/>
      <w:lvlJc w:val="left"/>
      <w:pPr>
        <w:ind w:left="717" w:hanging="360"/>
      </w:pPr>
      <w:rPr>
        <w:rFonts w:hint="default"/>
        <w:b w:val="0"/>
      </w:rPr>
    </w:lvl>
    <w:lvl w:ilvl="1" w:tplc="D3281D72">
      <w:start w:val="1"/>
      <w:numFmt w:val="lowerRoman"/>
      <w:lvlText w:val="%2."/>
      <w:lvlJc w:val="right"/>
      <w:pPr>
        <w:ind w:left="1437" w:hanging="360"/>
      </w:pPr>
      <w:rPr>
        <w:rFonts w:hint="default"/>
        <w:b w:val="0"/>
      </w:rPr>
    </w:lvl>
    <w:lvl w:ilvl="2" w:tplc="F60AA660">
      <w:start w:val="1"/>
      <w:numFmt w:val="lowerRoman"/>
      <w:lvlText w:val="%3."/>
      <w:lvlJc w:val="right"/>
      <w:pPr>
        <w:ind w:left="2157" w:hanging="180"/>
      </w:pPr>
    </w:lvl>
    <w:lvl w:ilvl="3" w:tplc="040B000F">
      <w:start w:val="1"/>
      <w:numFmt w:val="decimal"/>
      <w:lvlText w:val="%4."/>
      <w:lvlJc w:val="left"/>
      <w:pPr>
        <w:ind w:left="2877" w:hanging="360"/>
      </w:pPr>
    </w:lvl>
    <w:lvl w:ilvl="4" w:tplc="040B0019">
      <w:start w:val="1"/>
      <w:numFmt w:val="lowerLetter"/>
      <w:lvlText w:val="%5."/>
      <w:lvlJc w:val="left"/>
      <w:pPr>
        <w:ind w:left="3597" w:hanging="360"/>
      </w:pPr>
    </w:lvl>
    <w:lvl w:ilvl="5" w:tplc="040B001B">
      <w:start w:val="1"/>
      <w:numFmt w:val="lowerRoman"/>
      <w:lvlText w:val="%6."/>
      <w:lvlJc w:val="right"/>
      <w:pPr>
        <w:ind w:left="4317" w:hanging="180"/>
      </w:pPr>
    </w:lvl>
    <w:lvl w:ilvl="6" w:tplc="040B000F">
      <w:start w:val="1"/>
      <w:numFmt w:val="decimal"/>
      <w:lvlText w:val="%7."/>
      <w:lvlJc w:val="left"/>
      <w:pPr>
        <w:ind w:left="5037" w:hanging="360"/>
      </w:pPr>
    </w:lvl>
    <w:lvl w:ilvl="7" w:tplc="040B0019">
      <w:start w:val="1"/>
      <w:numFmt w:val="lowerLetter"/>
      <w:lvlText w:val="%8."/>
      <w:lvlJc w:val="left"/>
      <w:pPr>
        <w:ind w:left="5757" w:hanging="360"/>
      </w:pPr>
    </w:lvl>
    <w:lvl w:ilvl="8" w:tplc="040B001B">
      <w:start w:val="1"/>
      <w:numFmt w:val="lowerRoman"/>
      <w:lvlText w:val="%9."/>
      <w:lvlJc w:val="right"/>
      <w:pPr>
        <w:ind w:left="6477" w:hanging="180"/>
      </w:pPr>
    </w:lvl>
  </w:abstractNum>
  <w:abstractNum w:abstractNumId="60">
    <w:nsid w:val="75E6455A"/>
    <w:multiLevelType w:val="hybridMultilevel"/>
    <w:tmpl w:val="7C72C22E"/>
    <w:lvl w:ilvl="0" w:tplc="4FB2C9E4">
      <w:start w:val="1"/>
      <w:numFmt w:val="lowerLetter"/>
      <w:lvlText w:val="(%1)"/>
      <w:lvlJc w:val="left"/>
      <w:pPr>
        <w:ind w:left="720" w:hanging="360"/>
      </w:pPr>
      <w:rPr>
        <w:rFonts w:hint="default"/>
        <w:b w:val="0"/>
      </w:rPr>
    </w:lvl>
    <w:lvl w:ilvl="1" w:tplc="D3281D72">
      <w:start w:val="1"/>
      <w:numFmt w:val="lowerRoman"/>
      <w:lvlText w:val="%2."/>
      <w:lvlJc w:val="right"/>
      <w:pPr>
        <w:ind w:left="1440" w:hanging="360"/>
      </w:pPr>
      <w:rPr>
        <w:rFonts w:hint="default"/>
        <w:b w:val="0"/>
      </w:rPr>
    </w:lvl>
    <w:lvl w:ilvl="2" w:tplc="F60AA660">
      <w:start w:val="1"/>
      <w:numFmt w:val="lowerRoman"/>
      <w:lvlText w:val="%3."/>
      <w:lvlJc w:val="right"/>
      <w:pPr>
        <w:ind w:left="2160" w:hanging="180"/>
      </w:pPr>
    </w:lvl>
    <w:lvl w:ilvl="3" w:tplc="040B000F">
      <w:start w:val="1"/>
      <w:numFmt w:val="decimal"/>
      <w:lvlText w:val="%4."/>
      <w:lvlJc w:val="left"/>
      <w:pPr>
        <w:ind w:left="2880" w:hanging="360"/>
      </w:pPr>
    </w:lvl>
    <w:lvl w:ilvl="4" w:tplc="040B0019">
      <w:start w:val="1"/>
      <w:numFmt w:val="lowerLetter"/>
      <w:lvlText w:val="%5."/>
      <w:lvlJc w:val="left"/>
      <w:pPr>
        <w:ind w:left="3600" w:hanging="360"/>
      </w:pPr>
    </w:lvl>
    <w:lvl w:ilvl="5" w:tplc="040B001B">
      <w:start w:val="1"/>
      <w:numFmt w:val="lowerRoman"/>
      <w:lvlText w:val="%6."/>
      <w:lvlJc w:val="right"/>
      <w:pPr>
        <w:ind w:left="4320" w:hanging="180"/>
      </w:pPr>
    </w:lvl>
    <w:lvl w:ilvl="6" w:tplc="040B000F">
      <w:start w:val="1"/>
      <w:numFmt w:val="decimal"/>
      <w:lvlText w:val="%7."/>
      <w:lvlJc w:val="left"/>
      <w:pPr>
        <w:ind w:left="5040" w:hanging="360"/>
      </w:pPr>
    </w:lvl>
    <w:lvl w:ilvl="7" w:tplc="040B0019">
      <w:start w:val="1"/>
      <w:numFmt w:val="lowerLetter"/>
      <w:lvlText w:val="%8."/>
      <w:lvlJc w:val="left"/>
      <w:pPr>
        <w:ind w:left="5760" w:hanging="360"/>
      </w:pPr>
    </w:lvl>
    <w:lvl w:ilvl="8" w:tplc="040B001B">
      <w:start w:val="1"/>
      <w:numFmt w:val="lowerRoman"/>
      <w:lvlText w:val="%9."/>
      <w:lvlJc w:val="right"/>
      <w:pPr>
        <w:ind w:left="6480" w:hanging="180"/>
      </w:pPr>
    </w:lvl>
  </w:abstractNum>
  <w:abstractNum w:abstractNumId="61">
    <w:nsid w:val="7A277151"/>
    <w:multiLevelType w:val="hybridMultilevel"/>
    <w:tmpl w:val="0CF8DE7E"/>
    <w:lvl w:ilvl="0" w:tplc="0C070017">
      <w:start w:val="1"/>
      <w:numFmt w:val="lowerLetter"/>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62">
    <w:nsid w:val="7A875FA2"/>
    <w:multiLevelType w:val="hybridMultilevel"/>
    <w:tmpl w:val="13307F4C"/>
    <w:lvl w:ilvl="0" w:tplc="4FB2C9E4">
      <w:start w:val="1"/>
      <w:numFmt w:val="lowerLetter"/>
      <w:lvlText w:val="(%1)"/>
      <w:lvlJc w:val="left"/>
      <w:pPr>
        <w:ind w:left="502" w:hanging="360"/>
      </w:pPr>
      <w:rPr>
        <w:rFonts w:hint="default"/>
        <w:b w:val="0"/>
        <w:i w:val="0"/>
      </w:rPr>
    </w:lvl>
    <w:lvl w:ilvl="1" w:tplc="0405001B">
      <w:start w:val="1"/>
      <w:numFmt w:val="lowerRoman"/>
      <w:lvlText w:val="%2."/>
      <w:lvlJc w:val="righ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3">
    <w:nsid w:val="7F1A5E96"/>
    <w:multiLevelType w:val="multilevel"/>
    <w:tmpl w:val="99502E1C"/>
    <w:lvl w:ilvl="0">
      <w:start w:val="1"/>
      <w:numFmt w:val="decimal"/>
      <w:pStyle w:val="AnnexeTitre1"/>
      <w:lvlText w:val="Annexe %1."/>
      <w:lvlJc w:val="left"/>
      <w:pPr>
        <w:tabs>
          <w:tab w:val="num" w:pos="1418"/>
        </w:tabs>
      </w:pPr>
      <w:rPr>
        <w:rFonts w:ascii="Arial" w:hAnsi="Arial" w:cs="Times New Roman" w:hint="default"/>
        <w:b/>
        <w:i w:val="0"/>
        <w:caps/>
        <w:strike w:val="0"/>
        <w:dstrike w:val="0"/>
        <w:vanish w:val="0"/>
        <w:sz w:val="24"/>
        <w:vertAlign w:val="baseline"/>
      </w:rPr>
    </w:lvl>
    <w:lvl w:ilvl="1">
      <w:start w:val="1"/>
      <w:numFmt w:val="decimal"/>
      <w:pStyle w:val="AnnexeTitre2"/>
      <w:lvlText w:val="%1.%2"/>
      <w:lvlJc w:val="left"/>
      <w:pPr>
        <w:tabs>
          <w:tab w:val="num" w:pos="851"/>
        </w:tabs>
      </w:pPr>
      <w:rPr>
        <w:rFonts w:ascii="Arial" w:hAnsi="Arial" w:cs="Times New Roman" w:hint="default"/>
        <w:b/>
        <w:bCs w:val="0"/>
        <w:i w:val="0"/>
        <w:iCs w:val="0"/>
        <w:caps w:val="0"/>
        <w:smallCaps w:val="0"/>
        <w:strike w:val="0"/>
        <w:dstrike w:val="0"/>
        <w:vanish w:val="0"/>
        <w:spacing w:val="0"/>
        <w:kern w:val="0"/>
        <w:position w:val="0"/>
        <w:sz w:val="24"/>
        <w:u w:val="none"/>
        <w:vertAlign w:val="baseline"/>
      </w:rPr>
    </w:lvl>
    <w:lvl w:ilvl="2">
      <w:start w:val="1"/>
      <w:numFmt w:val="decimal"/>
      <w:pStyle w:val="AnnexeTitre3"/>
      <w:lvlText w:val="%1.%2.%3"/>
      <w:lvlJc w:val="left"/>
      <w:pPr>
        <w:tabs>
          <w:tab w:val="num" w:pos="1134"/>
        </w:tabs>
      </w:pPr>
      <w:rPr>
        <w:rFonts w:ascii="Arial" w:hAnsi="Arial" w:cs="Times New Roman" w:hint="default"/>
        <w:b/>
        <w:sz w:val="24"/>
      </w:rPr>
    </w:lvl>
    <w:lvl w:ilvl="3">
      <w:start w:val="1"/>
      <w:numFmt w:val="decimal"/>
      <w:pStyle w:val="AnnexeTitre4"/>
      <w:lvlText w:val="%1.%2.%3.%4"/>
      <w:lvlJc w:val="left"/>
      <w:pPr>
        <w:tabs>
          <w:tab w:val="num" w:pos="1418"/>
        </w:tabs>
      </w:pPr>
      <w:rPr>
        <w:rFonts w:ascii="Arial" w:hAnsi="Arial" w:cs="Times New Roman" w:hint="default"/>
        <w:i/>
        <w:sz w:val="24"/>
      </w:rPr>
    </w:lvl>
    <w:lvl w:ilvl="4">
      <w:start w:val="1"/>
      <w:numFmt w:val="decimal"/>
      <w:lvlText w:val="%1.%2.%3.%4.%5"/>
      <w:lvlJc w:val="left"/>
      <w:pPr>
        <w:tabs>
          <w:tab w:val="num" w:pos="1278"/>
        </w:tabs>
        <w:ind w:left="1278"/>
      </w:pPr>
      <w:rPr>
        <w:rFonts w:cs="Times New Roman" w:hint="default"/>
      </w:rPr>
    </w:lvl>
    <w:lvl w:ilvl="5">
      <w:start w:val="1"/>
      <w:numFmt w:val="decimal"/>
      <w:lvlText w:val="%1.%2.%3.%4.%5.%6"/>
      <w:lvlJc w:val="left"/>
      <w:pPr>
        <w:tabs>
          <w:tab w:val="num" w:pos="1278"/>
        </w:tabs>
        <w:ind w:left="1278"/>
      </w:pPr>
      <w:rPr>
        <w:rFonts w:cs="Times New Roman" w:hint="default"/>
      </w:rPr>
    </w:lvl>
    <w:lvl w:ilvl="6">
      <w:start w:val="1"/>
      <w:numFmt w:val="decimal"/>
      <w:lvlText w:val="%1.%2.%3.%4.%5.%6.%7"/>
      <w:lvlJc w:val="left"/>
      <w:pPr>
        <w:tabs>
          <w:tab w:val="num" w:pos="1278"/>
        </w:tabs>
        <w:ind w:left="1278"/>
      </w:pPr>
      <w:rPr>
        <w:rFonts w:cs="Times New Roman" w:hint="default"/>
      </w:rPr>
    </w:lvl>
    <w:lvl w:ilvl="7">
      <w:start w:val="1"/>
      <w:numFmt w:val="decimal"/>
      <w:lvlText w:val="%1.%2.%3.%4.%5.%6.%7.%8"/>
      <w:lvlJc w:val="left"/>
      <w:pPr>
        <w:tabs>
          <w:tab w:val="num" w:pos="1278"/>
        </w:tabs>
        <w:ind w:left="1278"/>
      </w:pPr>
      <w:rPr>
        <w:rFonts w:cs="Times New Roman" w:hint="default"/>
      </w:rPr>
    </w:lvl>
    <w:lvl w:ilvl="8">
      <w:start w:val="1"/>
      <w:numFmt w:val="decimal"/>
      <w:lvlText w:val="%1.%2.%3.%4.%5.%6.%7.%8.%9"/>
      <w:lvlJc w:val="left"/>
      <w:pPr>
        <w:tabs>
          <w:tab w:val="num" w:pos="1278"/>
        </w:tabs>
        <w:ind w:left="1278"/>
      </w:pPr>
      <w:rPr>
        <w:rFonts w:cs="Times New Roman" w:hint="default"/>
      </w:rPr>
    </w:lvl>
  </w:abstractNum>
  <w:num w:numId="1">
    <w:abstractNumId w:val="50"/>
  </w:num>
  <w:num w:numId="2">
    <w:abstractNumId w:val="52"/>
  </w:num>
  <w:num w:numId="3">
    <w:abstractNumId w:val="41"/>
  </w:num>
  <w:num w:numId="4">
    <w:abstractNumId w:val="18"/>
  </w:num>
  <w:num w:numId="5">
    <w:abstractNumId w:val="5"/>
  </w:num>
  <w:num w:numId="6">
    <w:abstractNumId w:val="63"/>
  </w:num>
  <w:num w:numId="7">
    <w:abstractNumId w:val="16"/>
    <w:lvlOverride w:ilvl="0">
      <w:startOverride w:val="1"/>
    </w:lvlOverride>
  </w:num>
  <w:num w:numId="8">
    <w:abstractNumId w:val="9"/>
  </w:num>
  <w:num w:numId="9">
    <w:abstractNumId w:val="41"/>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none"/>
        <w:lvlText w:val=""/>
        <w:lvlJc w:val="left"/>
        <w:pPr>
          <w:ind w:left="0" w:firstLine="0"/>
        </w:pPr>
        <w:rPr>
          <w:rFonts w:hint="default"/>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10">
    <w:abstractNumId w:val="26"/>
  </w:num>
  <w:num w:numId="1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1"/>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none"/>
        <w:lvlText w:val=""/>
        <w:lvlJc w:val="left"/>
        <w:pPr>
          <w:ind w:left="0" w:firstLine="0"/>
        </w:pPr>
        <w:rPr>
          <w:rFonts w:hint="default"/>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21">
    <w:abstractNumId w:val="19"/>
    <w:lvlOverride w:ilvl="0">
      <w:startOverride w:val="1"/>
    </w:lvlOverride>
  </w:num>
  <w:num w:numId="22">
    <w:abstractNumId w:val="41"/>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none"/>
        <w:lvlText w:val=""/>
        <w:lvlJc w:val="left"/>
        <w:pPr>
          <w:ind w:left="0" w:firstLine="0"/>
        </w:pPr>
        <w:rPr>
          <w:rFonts w:hint="default"/>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2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41"/>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none"/>
        <w:lvlText w:val=""/>
        <w:lvlJc w:val="left"/>
        <w:pPr>
          <w:ind w:left="0" w:firstLine="0"/>
        </w:pPr>
        <w:rPr>
          <w:rFonts w:hint="default"/>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26">
    <w:abstractNumId w:val="19"/>
  </w:num>
  <w:num w:numId="27">
    <w:abstractNumId w:val="10"/>
  </w:num>
  <w:num w:numId="28">
    <w:abstractNumId w:val="45"/>
  </w:num>
  <w:num w:numId="29">
    <w:abstractNumId w:val="35"/>
  </w:num>
  <w:num w:numId="30">
    <w:abstractNumId w:val="41"/>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none"/>
        <w:lvlText w:val=""/>
        <w:lvlJc w:val="left"/>
        <w:pPr>
          <w:ind w:left="0" w:firstLine="0"/>
        </w:pPr>
        <w:rPr>
          <w:rFonts w:hint="default"/>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31">
    <w:abstractNumId w:val="41"/>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none"/>
        <w:lvlText w:val=""/>
        <w:lvlJc w:val="left"/>
        <w:pPr>
          <w:ind w:left="0" w:firstLine="0"/>
        </w:pPr>
        <w:rPr>
          <w:rFonts w:hint="default"/>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3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num>
  <w:num w:numId="34">
    <w:abstractNumId w:val="13"/>
  </w:num>
  <w:num w:numId="35">
    <w:abstractNumId w:val="41"/>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none"/>
        <w:lvlText w:val=""/>
        <w:lvlJc w:val="left"/>
        <w:pPr>
          <w:ind w:left="0" w:firstLine="0"/>
        </w:pPr>
        <w:rPr>
          <w:rFonts w:hint="default"/>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36">
    <w:abstractNumId w:val="23"/>
  </w:num>
  <w:num w:numId="37">
    <w:abstractNumId w:val="25"/>
  </w:num>
  <w:num w:numId="3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9"/>
  </w:num>
  <w:num w:numId="40">
    <w:abstractNumId w:val="41"/>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none"/>
        <w:lvlText w:val=""/>
        <w:lvlJc w:val="left"/>
        <w:pPr>
          <w:ind w:left="0" w:firstLine="0"/>
        </w:pPr>
        <w:rPr>
          <w:rFonts w:hint="default"/>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41">
    <w:abstractNumId w:val="27"/>
  </w:num>
  <w:num w:numId="42">
    <w:abstractNumId w:val="14"/>
  </w:num>
  <w:num w:numId="43">
    <w:abstractNumId w:val="29"/>
  </w:num>
  <w:num w:numId="44">
    <w:abstractNumId w:val="48"/>
  </w:num>
  <w:num w:numId="45">
    <w:abstractNumId w:val="41"/>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none"/>
        <w:lvlText w:val=""/>
        <w:lvlJc w:val="left"/>
        <w:pPr>
          <w:ind w:left="0" w:firstLine="0"/>
        </w:pPr>
        <w:rPr>
          <w:rFonts w:hint="default"/>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46">
    <w:abstractNumId w:val="21"/>
  </w:num>
  <w:num w:numId="47">
    <w:abstractNumId w:val="42"/>
  </w:num>
  <w:num w:numId="48">
    <w:abstractNumId w:val="41"/>
    <w:lvlOverride w:ilvl="0">
      <w:startOverride w:val="1"/>
      <w:lvl w:ilvl="0">
        <w:start w:val="1"/>
        <w:numFmt w:val="decimal"/>
        <w:lvlText w:val="(%1)"/>
        <w:lvlJc w:val="left"/>
        <w:pPr>
          <w:ind w:left="360" w:hanging="360"/>
        </w:pPr>
        <w:rPr>
          <w:rFonts w:hint="default"/>
          <w:sz w:val="22"/>
        </w:rPr>
      </w:lvl>
    </w:lvlOverride>
    <w:lvlOverride w:ilvl="1">
      <w:startOverride w:val="1"/>
      <w:lvl w:ilvl="1">
        <w:start w:val="1"/>
        <w:numFmt w:val="lowerLetter"/>
        <w:lvlText w:val="(%2)"/>
        <w:lvlJc w:val="left"/>
        <w:pPr>
          <w:ind w:left="0" w:firstLine="0"/>
        </w:pPr>
        <w:rPr>
          <w:rFonts w:hint="default"/>
          <w:b w:val="0"/>
        </w:rPr>
      </w:lvl>
    </w:lvlOverride>
    <w:lvlOverride w:ilvl="2">
      <w:startOverride w:val="1"/>
      <w:lvl w:ilvl="2">
        <w:start w:val="1"/>
        <w:numFmt w:val="none"/>
        <w:lvlText w:val=""/>
        <w:lvlJc w:val="left"/>
        <w:pPr>
          <w:ind w:left="0" w:firstLine="0"/>
        </w:pPr>
        <w:rPr>
          <w:rFonts w:hint="default"/>
        </w:rPr>
      </w:lvl>
    </w:lvlOverride>
    <w:lvlOverride w:ilvl="3">
      <w:startOverride w:val="1"/>
      <w:lvl w:ilvl="3">
        <w:start w:val="1"/>
        <w:numFmt w:val="none"/>
        <w:lvlText w:val=""/>
        <w:lvlJc w:val="left"/>
        <w:pPr>
          <w:ind w:left="0" w:firstLine="0"/>
        </w:pPr>
        <w:rPr>
          <w:rFonts w:hint="default"/>
        </w:rPr>
      </w:lvl>
    </w:lvlOverride>
    <w:lvlOverride w:ilvl="4">
      <w:startOverride w:val="1"/>
      <w:lvl w:ilvl="4">
        <w:start w:val="1"/>
        <w:numFmt w:val="none"/>
        <w:lvlText w:val=""/>
        <w:lvlJc w:val="left"/>
        <w:pPr>
          <w:ind w:left="0" w:firstLine="0"/>
        </w:pPr>
        <w:rPr>
          <w:rFonts w:hint="default"/>
        </w:rPr>
      </w:lvl>
    </w:lvlOverride>
    <w:lvlOverride w:ilvl="5">
      <w:startOverride w:val="1"/>
      <w:lvl w:ilvl="5">
        <w:start w:val="1"/>
        <w:numFmt w:val="none"/>
        <w:lvlText w:val=""/>
        <w:lvlJc w:val="left"/>
        <w:pPr>
          <w:ind w:left="0" w:firstLine="0"/>
        </w:pPr>
        <w:rPr>
          <w:rFonts w:hint="default"/>
        </w:rPr>
      </w:lvl>
    </w:lvlOverride>
    <w:lvlOverride w:ilvl="6">
      <w:startOverride w:val="1"/>
      <w:lvl w:ilvl="6">
        <w:start w:val="1"/>
        <w:numFmt w:val="none"/>
        <w:lvlText w:val=""/>
        <w:lvlJc w:val="left"/>
        <w:pPr>
          <w:ind w:left="0" w:firstLine="0"/>
        </w:pPr>
        <w:rPr>
          <w:rFonts w:hint="default"/>
        </w:rPr>
      </w:lvl>
    </w:lvlOverride>
    <w:lvlOverride w:ilvl="7">
      <w:startOverride w:val="1"/>
      <w:lvl w:ilvl="7">
        <w:start w:val="1"/>
        <w:numFmt w:val="none"/>
        <w:lvlText w:val=""/>
        <w:lvlJc w:val="left"/>
        <w:pPr>
          <w:ind w:left="0" w:firstLine="0"/>
        </w:pPr>
        <w:rPr>
          <w:rFonts w:hint="default"/>
        </w:rPr>
      </w:lvl>
    </w:lvlOverride>
    <w:lvlOverride w:ilvl="8">
      <w:startOverride w:val="1"/>
      <w:lvl w:ilvl="8">
        <w:start w:val="1"/>
        <w:numFmt w:val="none"/>
        <w:lvlText w:val=""/>
        <w:lvlJc w:val="left"/>
        <w:pPr>
          <w:ind w:left="0" w:firstLine="0"/>
        </w:pPr>
        <w:rPr>
          <w:rFonts w:hint="default"/>
        </w:rPr>
      </w:lvl>
    </w:lvlOverride>
  </w:num>
  <w:num w:numId="49">
    <w:abstractNumId w:val="41"/>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none"/>
        <w:lvlText w:val=""/>
        <w:lvlJc w:val="left"/>
        <w:pPr>
          <w:ind w:left="0" w:firstLine="0"/>
        </w:pPr>
        <w:rPr>
          <w:rFonts w:hint="default"/>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50">
    <w:abstractNumId w:val="41"/>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none"/>
        <w:lvlText w:val=""/>
        <w:lvlJc w:val="left"/>
        <w:pPr>
          <w:ind w:left="0" w:firstLine="0"/>
        </w:pPr>
        <w:rPr>
          <w:rFonts w:hint="default"/>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51">
    <w:abstractNumId w:val="41"/>
    <w:lvlOverride w:ilvl="0">
      <w:startOverride w:val="1"/>
      <w:lvl w:ilvl="0">
        <w:start w:val="1"/>
        <w:numFmt w:val="decimal"/>
        <w:lvlText w:val="(%1)"/>
        <w:lvlJc w:val="left"/>
        <w:pPr>
          <w:ind w:left="360" w:hanging="360"/>
        </w:pPr>
        <w:rPr>
          <w:rFonts w:hint="default"/>
          <w:sz w:val="22"/>
        </w:rPr>
      </w:lvl>
    </w:lvlOverride>
    <w:lvlOverride w:ilvl="1">
      <w:startOverride w:val="1"/>
      <w:lvl w:ilvl="1">
        <w:start w:val="1"/>
        <w:numFmt w:val="lowerLetter"/>
        <w:lvlText w:val="(%2)"/>
        <w:lvlJc w:val="left"/>
        <w:pPr>
          <w:ind w:left="0" w:firstLine="0"/>
        </w:pPr>
        <w:rPr>
          <w:rFonts w:hint="default"/>
          <w:b w:val="0"/>
        </w:rPr>
      </w:lvl>
    </w:lvlOverride>
    <w:lvlOverride w:ilvl="2">
      <w:startOverride w:val="1"/>
      <w:lvl w:ilvl="2">
        <w:start w:val="1"/>
        <w:numFmt w:val="none"/>
        <w:lvlText w:val=""/>
        <w:lvlJc w:val="left"/>
        <w:pPr>
          <w:ind w:left="0" w:firstLine="0"/>
        </w:pPr>
        <w:rPr>
          <w:rFonts w:hint="default"/>
        </w:rPr>
      </w:lvl>
    </w:lvlOverride>
    <w:lvlOverride w:ilvl="3">
      <w:startOverride w:val="1"/>
      <w:lvl w:ilvl="3">
        <w:start w:val="1"/>
        <w:numFmt w:val="none"/>
        <w:lvlText w:val=""/>
        <w:lvlJc w:val="left"/>
        <w:pPr>
          <w:ind w:left="0" w:firstLine="0"/>
        </w:pPr>
        <w:rPr>
          <w:rFonts w:hint="default"/>
        </w:rPr>
      </w:lvl>
    </w:lvlOverride>
    <w:lvlOverride w:ilvl="4">
      <w:startOverride w:val="1"/>
      <w:lvl w:ilvl="4">
        <w:start w:val="1"/>
        <w:numFmt w:val="none"/>
        <w:lvlText w:val=""/>
        <w:lvlJc w:val="left"/>
        <w:pPr>
          <w:ind w:left="0" w:firstLine="0"/>
        </w:pPr>
        <w:rPr>
          <w:rFonts w:hint="default"/>
        </w:rPr>
      </w:lvl>
    </w:lvlOverride>
    <w:lvlOverride w:ilvl="5">
      <w:startOverride w:val="1"/>
      <w:lvl w:ilvl="5">
        <w:start w:val="1"/>
        <w:numFmt w:val="none"/>
        <w:lvlText w:val=""/>
        <w:lvlJc w:val="left"/>
        <w:pPr>
          <w:ind w:left="0" w:firstLine="0"/>
        </w:pPr>
        <w:rPr>
          <w:rFonts w:hint="default"/>
        </w:rPr>
      </w:lvl>
    </w:lvlOverride>
    <w:lvlOverride w:ilvl="6">
      <w:startOverride w:val="1"/>
      <w:lvl w:ilvl="6">
        <w:start w:val="1"/>
        <w:numFmt w:val="none"/>
        <w:lvlText w:val=""/>
        <w:lvlJc w:val="left"/>
        <w:pPr>
          <w:ind w:left="0" w:firstLine="0"/>
        </w:pPr>
        <w:rPr>
          <w:rFonts w:hint="default"/>
        </w:rPr>
      </w:lvl>
    </w:lvlOverride>
    <w:lvlOverride w:ilvl="7">
      <w:startOverride w:val="1"/>
      <w:lvl w:ilvl="7">
        <w:start w:val="1"/>
        <w:numFmt w:val="none"/>
        <w:lvlText w:val=""/>
        <w:lvlJc w:val="left"/>
        <w:pPr>
          <w:ind w:left="0" w:firstLine="0"/>
        </w:pPr>
        <w:rPr>
          <w:rFonts w:hint="default"/>
        </w:rPr>
      </w:lvl>
    </w:lvlOverride>
    <w:lvlOverride w:ilvl="8">
      <w:startOverride w:val="1"/>
      <w:lvl w:ilvl="8">
        <w:start w:val="1"/>
        <w:numFmt w:val="none"/>
        <w:lvlText w:val=""/>
        <w:lvlJc w:val="left"/>
        <w:pPr>
          <w:ind w:left="0" w:firstLine="0"/>
        </w:pPr>
        <w:rPr>
          <w:rFonts w:hint="default"/>
        </w:rPr>
      </w:lvl>
    </w:lvlOverride>
  </w:num>
  <w:num w:numId="52">
    <w:abstractNumId w:val="43"/>
  </w:num>
  <w:num w:numId="53">
    <w:abstractNumId w:val="4"/>
  </w:num>
  <w:num w:numId="54">
    <w:abstractNumId w:val="37"/>
  </w:num>
  <w:num w:numId="55">
    <w:abstractNumId w:val="3"/>
  </w:num>
  <w:num w:numId="56">
    <w:abstractNumId w:val="41"/>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none"/>
        <w:lvlText w:val=""/>
        <w:lvlJc w:val="left"/>
        <w:pPr>
          <w:ind w:left="0" w:firstLine="0"/>
        </w:pPr>
        <w:rPr>
          <w:rFonts w:hint="default"/>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57">
    <w:abstractNumId w:val="41"/>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none"/>
        <w:lvlText w:val=""/>
        <w:lvlJc w:val="left"/>
        <w:pPr>
          <w:ind w:left="0" w:firstLine="0"/>
        </w:pPr>
        <w:rPr>
          <w:rFonts w:hint="default"/>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58">
    <w:abstractNumId w:val="41"/>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none"/>
        <w:lvlText w:val=""/>
        <w:lvlJc w:val="left"/>
        <w:pPr>
          <w:ind w:left="0" w:firstLine="0"/>
        </w:pPr>
        <w:rPr>
          <w:rFonts w:hint="default"/>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59">
    <w:abstractNumId w:val="32"/>
  </w:num>
  <w:num w:numId="60">
    <w:abstractNumId w:val="41"/>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none"/>
        <w:lvlText w:val=""/>
        <w:lvlJc w:val="left"/>
        <w:pPr>
          <w:ind w:left="0" w:firstLine="0"/>
        </w:pPr>
        <w:rPr>
          <w:rFonts w:hint="default"/>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61">
    <w:abstractNumId w:val="41"/>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none"/>
        <w:lvlText w:val=""/>
        <w:lvlJc w:val="left"/>
        <w:pPr>
          <w:ind w:left="0" w:firstLine="0"/>
        </w:pPr>
        <w:rPr>
          <w:rFonts w:hint="default"/>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62">
    <w:abstractNumId w:val="41"/>
    <w:lvlOverride w:ilvl="0">
      <w:startOverride w:val="1"/>
      <w:lvl w:ilvl="0">
        <w:start w:val="1"/>
        <w:numFmt w:val="decimal"/>
        <w:lvlText w:val="(%1)"/>
        <w:lvlJc w:val="left"/>
        <w:pPr>
          <w:ind w:left="360" w:hanging="360"/>
        </w:pPr>
        <w:rPr>
          <w:rFonts w:hint="default"/>
          <w:sz w:val="22"/>
        </w:rPr>
      </w:lvl>
    </w:lvlOverride>
    <w:lvlOverride w:ilvl="1">
      <w:startOverride w:val="1"/>
      <w:lvl w:ilvl="1">
        <w:start w:val="1"/>
        <w:numFmt w:val="lowerLetter"/>
        <w:lvlText w:val="(%2)"/>
        <w:lvlJc w:val="left"/>
        <w:pPr>
          <w:ind w:left="0" w:firstLine="0"/>
        </w:pPr>
        <w:rPr>
          <w:rFonts w:hint="default"/>
          <w:b w:val="0"/>
        </w:rPr>
      </w:lvl>
    </w:lvlOverride>
    <w:lvlOverride w:ilvl="2">
      <w:startOverride w:val="1"/>
      <w:lvl w:ilvl="2">
        <w:start w:val="1"/>
        <w:numFmt w:val="none"/>
        <w:lvlText w:val=""/>
        <w:lvlJc w:val="left"/>
        <w:pPr>
          <w:ind w:left="0" w:firstLine="0"/>
        </w:pPr>
        <w:rPr>
          <w:rFonts w:hint="default"/>
        </w:rPr>
      </w:lvl>
    </w:lvlOverride>
    <w:lvlOverride w:ilvl="3">
      <w:startOverride w:val="1"/>
      <w:lvl w:ilvl="3">
        <w:start w:val="1"/>
        <w:numFmt w:val="none"/>
        <w:lvlText w:val=""/>
        <w:lvlJc w:val="left"/>
        <w:pPr>
          <w:ind w:left="0" w:firstLine="0"/>
        </w:pPr>
        <w:rPr>
          <w:rFonts w:hint="default"/>
        </w:rPr>
      </w:lvl>
    </w:lvlOverride>
    <w:lvlOverride w:ilvl="4">
      <w:startOverride w:val="1"/>
      <w:lvl w:ilvl="4">
        <w:start w:val="1"/>
        <w:numFmt w:val="none"/>
        <w:lvlText w:val=""/>
        <w:lvlJc w:val="left"/>
        <w:pPr>
          <w:ind w:left="0" w:firstLine="0"/>
        </w:pPr>
        <w:rPr>
          <w:rFonts w:hint="default"/>
        </w:rPr>
      </w:lvl>
    </w:lvlOverride>
    <w:lvlOverride w:ilvl="5">
      <w:startOverride w:val="1"/>
      <w:lvl w:ilvl="5">
        <w:start w:val="1"/>
        <w:numFmt w:val="none"/>
        <w:lvlText w:val=""/>
        <w:lvlJc w:val="left"/>
        <w:pPr>
          <w:ind w:left="0" w:firstLine="0"/>
        </w:pPr>
        <w:rPr>
          <w:rFonts w:hint="default"/>
        </w:rPr>
      </w:lvl>
    </w:lvlOverride>
    <w:lvlOverride w:ilvl="6">
      <w:startOverride w:val="1"/>
      <w:lvl w:ilvl="6">
        <w:start w:val="1"/>
        <w:numFmt w:val="none"/>
        <w:lvlText w:val=""/>
        <w:lvlJc w:val="left"/>
        <w:pPr>
          <w:ind w:left="0" w:firstLine="0"/>
        </w:pPr>
        <w:rPr>
          <w:rFonts w:hint="default"/>
        </w:rPr>
      </w:lvl>
    </w:lvlOverride>
    <w:lvlOverride w:ilvl="7">
      <w:startOverride w:val="1"/>
      <w:lvl w:ilvl="7">
        <w:start w:val="1"/>
        <w:numFmt w:val="none"/>
        <w:lvlText w:val=""/>
        <w:lvlJc w:val="left"/>
        <w:pPr>
          <w:ind w:left="0" w:firstLine="0"/>
        </w:pPr>
        <w:rPr>
          <w:rFonts w:hint="default"/>
        </w:rPr>
      </w:lvl>
    </w:lvlOverride>
    <w:lvlOverride w:ilvl="8">
      <w:startOverride w:val="1"/>
      <w:lvl w:ilvl="8">
        <w:start w:val="1"/>
        <w:numFmt w:val="none"/>
        <w:lvlText w:val=""/>
        <w:lvlJc w:val="left"/>
        <w:pPr>
          <w:ind w:left="0" w:firstLine="0"/>
        </w:pPr>
        <w:rPr>
          <w:rFonts w:hint="default"/>
        </w:rPr>
      </w:lvl>
    </w:lvlOverride>
  </w:num>
  <w:num w:numId="63">
    <w:abstractNumId w:val="34"/>
  </w:num>
  <w:num w:numId="64">
    <w:abstractNumId w:val="41"/>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none"/>
        <w:lvlText w:val=""/>
        <w:lvlJc w:val="left"/>
        <w:pPr>
          <w:ind w:left="0" w:firstLine="0"/>
        </w:pPr>
        <w:rPr>
          <w:rFonts w:hint="default"/>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65">
    <w:abstractNumId w:val="0"/>
  </w:num>
  <w:num w:numId="66">
    <w:abstractNumId w:val="41"/>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none"/>
        <w:lvlText w:val=""/>
        <w:lvlJc w:val="left"/>
        <w:pPr>
          <w:ind w:left="0" w:firstLine="0"/>
        </w:pPr>
        <w:rPr>
          <w:rFonts w:hint="default"/>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67">
    <w:abstractNumId w:val="41"/>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none"/>
        <w:lvlText w:val=""/>
        <w:lvlJc w:val="left"/>
        <w:pPr>
          <w:ind w:left="0" w:firstLine="0"/>
        </w:pPr>
        <w:rPr>
          <w:rFonts w:hint="default"/>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68">
    <w:abstractNumId w:val="56"/>
  </w:num>
  <w:num w:numId="6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41"/>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none"/>
        <w:lvlText w:val=""/>
        <w:lvlJc w:val="left"/>
        <w:pPr>
          <w:ind w:left="0" w:firstLine="0"/>
        </w:pPr>
        <w:rPr>
          <w:rFonts w:hint="default"/>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71">
    <w:abstractNumId w:val="41"/>
  </w:num>
  <w:num w:numId="72">
    <w:abstractNumId w:val="41"/>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none"/>
        <w:lvlText w:val=""/>
        <w:lvlJc w:val="left"/>
        <w:pPr>
          <w:ind w:left="0" w:firstLine="0"/>
        </w:pPr>
        <w:rPr>
          <w:rFonts w:hint="default"/>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73">
    <w:abstractNumId w:val="24"/>
  </w:num>
  <w:num w:numId="74">
    <w:abstractNumId w:val="47"/>
  </w:num>
  <w:num w:numId="75">
    <w:abstractNumId w:val="46"/>
  </w:num>
  <w:num w:numId="76">
    <w:abstractNumId w:val="59"/>
  </w:num>
  <w:num w:numId="77">
    <w:abstractNumId w:val="41"/>
  </w:num>
  <w:num w:numId="78">
    <w:abstractNumId w:val="11"/>
  </w:num>
  <w:num w:numId="79">
    <w:abstractNumId w:val="41"/>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lowerLetter"/>
        <w:lvlText w:val="(%3)"/>
        <w:lvlJc w:val="left"/>
        <w:pPr>
          <w:ind w:left="0" w:firstLine="0"/>
        </w:pPr>
        <w:rPr>
          <w:rFonts w:hint="default"/>
          <w:b w:val="0"/>
          <w:i w:val="0"/>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80">
    <w:abstractNumId w:val="41"/>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lowerLetter"/>
        <w:lvlText w:val="(%3)"/>
        <w:lvlJc w:val="left"/>
        <w:pPr>
          <w:ind w:left="0" w:firstLine="0"/>
        </w:pPr>
        <w:rPr>
          <w:rFonts w:hint="default"/>
          <w:b w:val="0"/>
          <w:i w:val="0"/>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81">
    <w:abstractNumId w:val="41"/>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lowerLetter"/>
        <w:lvlText w:val="(%3)"/>
        <w:lvlJc w:val="left"/>
        <w:pPr>
          <w:ind w:left="0" w:firstLine="0"/>
        </w:pPr>
        <w:rPr>
          <w:rFonts w:hint="default"/>
          <w:b w:val="0"/>
          <w:i w:val="0"/>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82">
    <w:abstractNumId w:val="41"/>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lowerLetter"/>
        <w:lvlText w:val="(%3)"/>
        <w:lvlJc w:val="left"/>
        <w:pPr>
          <w:ind w:left="0" w:firstLine="0"/>
        </w:pPr>
        <w:rPr>
          <w:rFonts w:hint="default"/>
          <w:b w:val="0"/>
          <w:i w:val="0"/>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83">
    <w:abstractNumId w:val="41"/>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lowerLetter"/>
        <w:lvlText w:val="(%3)"/>
        <w:lvlJc w:val="left"/>
        <w:pPr>
          <w:ind w:left="0" w:firstLine="0"/>
        </w:pPr>
        <w:rPr>
          <w:rFonts w:hint="default"/>
          <w:b w:val="0"/>
          <w:i w:val="0"/>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84">
    <w:abstractNumId w:val="41"/>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lowerLetter"/>
        <w:lvlText w:val="(%3)"/>
        <w:lvlJc w:val="left"/>
        <w:pPr>
          <w:ind w:left="0" w:firstLine="0"/>
        </w:pPr>
        <w:rPr>
          <w:rFonts w:hint="default"/>
          <w:b w:val="0"/>
          <w:i w:val="0"/>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85">
    <w:abstractNumId w:val="41"/>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lowerLetter"/>
        <w:lvlText w:val="(%3)"/>
        <w:lvlJc w:val="left"/>
        <w:pPr>
          <w:ind w:left="0" w:firstLine="0"/>
        </w:pPr>
        <w:rPr>
          <w:rFonts w:hint="default"/>
          <w:b w:val="0"/>
          <w:i w:val="0"/>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86">
    <w:abstractNumId w:val="41"/>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lowerLetter"/>
        <w:lvlText w:val="(%3)"/>
        <w:lvlJc w:val="left"/>
        <w:pPr>
          <w:ind w:left="0" w:firstLine="0"/>
        </w:pPr>
        <w:rPr>
          <w:rFonts w:hint="default"/>
          <w:b w:val="0"/>
          <w:i w:val="0"/>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87">
    <w:abstractNumId w:val="41"/>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lowerLetter"/>
        <w:lvlText w:val="(%3)"/>
        <w:lvlJc w:val="left"/>
        <w:pPr>
          <w:ind w:left="0" w:firstLine="0"/>
        </w:pPr>
        <w:rPr>
          <w:rFonts w:hint="default"/>
          <w:b w:val="0"/>
          <w:i w:val="0"/>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88">
    <w:abstractNumId w:val="41"/>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lowerLetter"/>
        <w:lvlText w:val="(%3)"/>
        <w:lvlJc w:val="left"/>
        <w:pPr>
          <w:ind w:left="0" w:firstLine="0"/>
        </w:pPr>
        <w:rPr>
          <w:rFonts w:hint="default"/>
          <w:b w:val="0"/>
          <w:i w:val="0"/>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89">
    <w:abstractNumId w:val="41"/>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lowerLetter"/>
        <w:lvlText w:val="(%3)"/>
        <w:lvlJc w:val="left"/>
        <w:pPr>
          <w:ind w:left="0" w:firstLine="0"/>
        </w:pPr>
        <w:rPr>
          <w:rFonts w:hint="default"/>
          <w:b w:val="0"/>
          <w:i w:val="0"/>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90">
    <w:abstractNumId w:val="28"/>
  </w:num>
  <w:num w:numId="91">
    <w:abstractNumId w:val="58"/>
  </w:num>
  <w:num w:numId="9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41"/>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lowerLetter"/>
        <w:lvlText w:val="(%3)"/>
        <w:lvlJc w:val="left"/>
        <w:pPr>
          <w:ind w:left="0" w:firstLine="0"/>
        </w:pPr>
        <w:rPr>
          <w:rFonts w:hint="default"/>
          <w:b w:val="0"/>
          <w:i w:val="0"/>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96">
    <w:abstractNumId w:val="41"/>
    <w:lvlOverride w:ilvl="0">
      <w:startOverride w:val="1"/>
      <w:lvl w:ilvl="0">
        <w:start w:val="1"/>
        <w:numFmt w:val="decimal"/>
        <w:lvlText w:val="(%1)"/>
        <w:lvlJc w:val="left"/>
        <w:pPr>
          <w:ind w:left="360" w:hanging="360"/>
        </w:pPr>
        <w:rPr>
          <w:rFonts w:hint="default"/>
          <w:sz w:val="22"/>
        </w:rPr>
      </w:lvl>
    </w:lvlOverride>
    <w:lvlOverride w:ilvl="1">
      <w:startOverride w:val="1"/>
      <w:lvl w:ilvl="1">
        <w:start w:val="1"/>
        <w:numFmt w:val="lowerLetter"/>
        <w:lvlText w:val="(%2)"/>
        <w:lvlJc w:val="left"/>
        <w:pPr>
          <w:ind w:left="0" w:firstLine="0"/>
        </w:pPr>
        <w:rPr>
          <w:rFonts w:hint="default"/>
          <w:b w:val="0"/>
        </w:rPr>
      </w:lvl>
    </w:lvlOverride>
    <w:lvlOverride w:ilvl="2">
      <w:startOverride w:val="1"/>
      <w:lvl w:ilvl="2">
        <w:start w:val="1"/>
        <w:numFmt w:val="lowerLetter"/>
        <w:lvlText w:val="(%3)"/>
        <w:lvlJc w:val="left"/>
        <w:pPr>
          <w:ind w:left="0" w:firstLine="0"/>
        </w:pPr>
        <w:rPr>
          <w:rFonts w:hint="default"/>
          <w:b w:val="0"/>
          <w:i w:val="0"/>
        </w:rPr>
      </w:lvl>
    </w:lvlOverride>
    <w:lvlOverride w:ilvl="3">
      <w:startOverride w:val="1"/>
      <w:lvl w:ilvl="3">
        <w:start w:val="1"/>
        <w:numFmt w:val="none"/>
        <w:lvlText w:val=""/>
        <w:lvlJc w:val="left"/>
        <w:pPr>
          <w:ind w:left="0" w:firstLine="0"/>
        </w:pPr>
        <w:rPr>
          <w:rFonts w:hint="default"/>
        </w:rPr>
      </w:lvl>
    </w:lvlOverride>
    <w:lvlOverride w:ilvl="4">
      <w:startOverride w:val="1"/>
      <w:lvl w:ilvl="4">
        <w:start w:val="1"/>
        <w:numFmt w:val="none"/>
        <w:lvlText w:val=""/>
        <w:lvlJc w:val="left"/>
        <w:pPr>
          <w:ind w:left="0" w:firstLine="0"/>
        </w:pPr>
        <w:rPr>
          <w:rFonts w:hint="default"/>
        </w:rPr>
      </w:lvl>
    </w:lvlOverride>
    <w:lvlOverride w:ilvl="5">
      <w:startOverride w:val="1"/>
      <w:lvl w:ilvl="5">
        <w:start w:val="1"/>
        <w:numFmt w:val="none"/>
        <w:lvlText w:val=""/>
        <w:lvlJc w:val="left"/>
        <w:pPr>
          <w:ind w:left="0" w:firstLine="0"/>
        </w:pPr>
        <w:rPr>
          <w:rFonts w:hint="default"/>
        </w:rPr>
      </w:lvl>
    </w:lvlOverride>
    <w:lvlOverride w:ilvl="6">
      <w:startOverride w:val="1"/>
      <w:lvl w:ilvl="6">
        <w:start w:val="1"/>
        <w:numFmt w:val="none"/>
        <w:lvlText w:val=""/>
        <w:lvlJc w:val="left"/>
        <w:pPr>
          <w:ind w:left="0" w:firstLine="0"/>
        </w:pPr>
        <w:rPr>
          <w:rFonts w:hint="default"/>
        </w:rPr>
      </w:lvl>
    </w:lvlOverride>
    <w:lvlOverride w:ilvl="7">
      <w:startOverride w:val="1"/>
      <w:lvl w:ilvl="7">
        <w:start w:val="1"/>
        <w:numFmt w:val="none"/>
        <w:lvlText w:val=""/>
        <w:lvlJc w:val="left"/>
        <w:pPr>
          <w:ind w:left="0" w:firstLine="0"/>
        </w:pPr>
        <w:rPr>
          <w:rFonts w:hint="default"/>
        </w:rPr>
      </w:lvl>
    </w:lvlOverride>
    <w:lvlOverride w:ilvl="8">
      <w:startOverride w:val="1"/>
      <w:lvl w:ilvl="8">
        <w:start w:val="1"/>
        <w:numFmt w:val="none"/>
        <w:lvlText w:val=""/>
        <w:lvlJc w:val="left"/>
        <w:pPr>
          <w:ind w:left="0" w:firstLine="0"/>
        </w:pPr>
        <w:rPr>
          <w:rFonts w:hint="default"/>
        </w:rPr>
      </w:lvl>
    </w:lvlOverride>
  </w:num>
  <w:num w:numId="97">
    <w:abstractNumId w:val="41"/>
    <w:lvlOverride w:ilvl="0">
      <w:startOverride w:val="1"/>
      <w:lvl w:ilvl="0">
        <w:start w:val="1"/>
        <w:numFmt w:val="decimal"/>
        <w:lvlText w:val="(%1)"/>
        <w:lvlJc w:val="left"/>
        <w:pPr>
          <w:ind w:left="360" w:hanging="360"/>
        </w:pPr>
        <w:rPr>
          <w:rFonts w:hint="default"/>
          <w:sz w:val="22"/>
        </w:rPr>
      </w:lvl>
    </w:lvlOverride>
    <w:lvlOverride w:ilvl="1">
      <w:startOverride w:val="1"/>
      <w:lvl w:ilvl="1">
        <w:start w:val="1"/>
        <w:numFmt w:val="lowerLetter"/>
        <w:lvlText w:val="(%2)"/>
        <w:lvlJc w:val="left"/>
        <w:pPr>
          <w:ind w:left="0" w:firstLine="0"/>
        </w:pPr>
        <w:rPr>
          <w:rFonts w:hint="default"/>
          <w:b w:val="0"/>
        </w:rPr>
      </w:lvl>
    </w:lvlOverride>
    <w:lvlOverride w:ilvl="2">
      <w:startOverride w:val="1"/>
      <w:lvl w:ilvl="2">
        <w:start w:val="1"/>
        <w:numFmt w:val="lowerLetter"/>
        <w:lvlText w:val="(%3)"/>
        <w:lvlJc w:val="left"/>
        <w:pPr>
          <w:ind w:left="0" w:firstLine="0"/>
        </w:pPr>
        <w:rPr>
          <w:rFonts w:hint="default"/>
          <w:b w:val="0"/>
          <w:i w:val="0"/>
        </w:rPr>
      </w:lvl>
    </w:lvlOverride>
    <w:lvlOverride w:ilvl="3">
      <w:startOverride w:val="1"/>
      <w:lvl w:ilvl="3">
        <w:start w:val="1"/>
        <w:numFmt w:val="none"/>
        <w:lvlText w:val=""/>
        <w:lvlJc w:val="left"/>
        <w:pPr>
          <w:ind w:left="0" w:firstLine="0"/>
        </w:pPr>
        <w:rPr>
          <w:rFonts w:hint="default"/>
        </w:rPr>
      </w:lvl>
    </w:lvlOverride>
    <w:lvlOverride w:ilvl="4">
      <w:startOverride w:val="1"/>
      <w:lvl w:ilvl="4">
        <w:start w:val="1"/>
        <w:numFmt w:val="none"/>
        <w:lvlText w:val=""/>
        <w:lvlJc w:val="left"/>
        <w:pPr>
          <w:ind w:left="0" w:firstLine="0"/>
        </w:pPr>
        <w:rPr>
          <w:rFonts w:hint="default"/>
        </w:rPr>
      </w:lvl>
    </w:lvlOverride>
    <w:lvlOverride w:ilvl="5">
      <w:startOverride w:val="1"/>
      <w:lvl w:ilvl="5">
        <w:start w:val="1"/>
        <w:numFmt w:val="none"/>
        <w:lvlText w:val=""/>
        <w:lvlJc w:val="left"/>
        <w:pPr>
          <w:ind w:left="0" w:firstLine="0"/>
        </w:pPr>
        <w:rPr>
          <w:rFonts w:hint="default"/>
        </w:rPr>
      </w:lvl>
    </w:lvlOverride>
    <w:lvlOverride w:ilvl="6">
      <w:startOverride w:val="1"/>
      <w:lvl w:ilvl="6">
        <w:start w:val="1"/>
        <w:numFmt w:val="none"/>
        <w:lvlText w:val=""/>
        <w:lvlJc w:val="left"/>
        <w:pPr>
          <w:ind w:left="0" w:firstLine="0"/>
        </w:pPr>
        <w:rPr>
          <w:rFonts w:hint="default"/>
        </w:rPr>
      </w:lvl>
    </w:lvlOverride>
    <w:lvlOverride w:ilvl="7">
      <w:startOverride w:val="1"/>
      <w:lvl w:ilvl="7">
        <w:start w:val="1"/>
        <w:numFmt w:val="none"/>
        <w:lvlText w:val=""/>
        <w:lvlJc w:val="left"/>
        <w:pPr>
          <w:ind w:left="0" w:firstLine="0"/>
        </w:pPr>
        <w:rPr>
          <w:rFonts w:hint="default"/>
        </w:rPr>
      </w:lvl>
    </w:lvlOverride>
    <w:lvlOverride w:ilvl="8">
      <w:startOverride w:val="1"/>
      <w:lvl w:ilvl="8">
        <w:start w:val="1"/>
        <w:numFmt w:val="none"/>
        <w:lvlText w:val=""/>
        <w:lvlJc w:val="left"/>
        <w:pPr>
          <w:ind w:left="0" w:firstLine="0"/>
        </w:pPr>
        <w:rPr>
          <w:rFonts w:hint="default"/>
        </w:rPr>
      </w:lvl>
    </w:lvlOverride>
  </w:num>
  <w:num w:numId="98">
    <w:abstractNumId w:val="15"/>
  </w:num>
  <w:num w:numId="99">
    <w:abstractNumId w:val="17"/>
  </w:num>
  <w:num w:numId="100">
    <w:abstractNumId w:val="41"/>
  </w:num>
  <w:num w:numId="101">
    <w:abstractNumId w:val="41"/>
  </w:num>
  <w:num w:numId="102">
    <w:abstractNumId w:val="41"/>
  </w:num>
  <w:num w:numId="103">
    <w:abstractNumId w:val="41"/>
    <w:lvlOverride w:ilvl="0">
      <w:startOverride w:val="1"/>
      <w:lvl w:ilvl="0">
        <w:start w:val="1"/>
        <w:numFmt w:val="decimal"/>
        <w:lvlText w:val="(%1)"/>
        <w:lvlJc w:val="left"/>
        <w:pPr>
          <w:ind w:left="360" w:hanging="360"/>
        </w:pPr>
        <w:rPr>
          <w:rFonts w:hint="default"/>
          <w:sz w:val="22"/>
        </w:rPr>
      </w:lvl>
    </w:lvlOverride>
    <w:lvlOverride w:ilvl="1">
      <w:startOverride w:val="1"/>
      <w:lvl w:ilvl="1">
        <w:start w:val="1"/>
        <w:numFmt w:val="lowerLetter"/>
        <w:lvlText w:val="(%2)"/>
        <w:lvlJc w:val="left"/>
        <w:pPr>
          <w:ind w:left="0" w:firstLine="0"/>
        </w:pPr>
        <w:rPr>
          <w:rFonts w:hint="default"/>
          <w:b w:val="0"/>
        </w:rPr>
      </w:lvl>
    </w:lvlOverride>
    <w:lvlOverride w:ilvl="2">
      <w:startOverride w:val="1"/>
      <w:lvl w:ilvl="2">
        <w:start w:val="1"/>
        <w:numFmt w:val="lowerLetter"/>
        <w:lvlText w:val="(%3)"/>
        <w:lvlJc w:val="left"/>
        <w:pPr>
          <w:ind w:left="0" w:firstLine="0"/>
        </w:pPr>
        <w:rPr>
          <w:rFonts w:hint="default"/>
          <w:b w:val="0"/>
          <w:i w:val="0"/>
        </w:rPr>
      </w:lvl>
    </w:lvlOverride>
    <w:lvlOverride w:ilvl="3">
      <w:startOverride w:val="1"/>
      <w:lvl w:ilvl="3">
        <w:start w:val="1"/>
        <w:numFmt w:val="none"/>
        <w:lvlText w:val=""/>
        <w:lvlJc w:val="left"/>
        <w:pPr>
          <w:ind w:left="0" w:firstLine="0"/>
        </w:pPr>
        <w:rPr>
          <w:rFonts w:hint="default"/>
        </w:rPr>
      </w:lvl>
    </w:lvlOverride>
    <w:lvlOverride w:ilvl="4">
      <w:startOverride w:val="1"/>
      <w:lvl w:ilvl="4">
        <w:start w:val="1"/>
        <w:numFmt w:val="none"/>
        <w:lvlText w:val=""/>
        <w:lvlJc w:val="left"/>
        <w:pPr>
          <w:ind w:left="0" w:firstLine="0"/>
        </w:pPr>
        <w:rPr>
          <w:rFonts w:hint="default"/>
        </w:rPr>
      </w:lvl>
    </w:lvlOverride>
    <w:lvlOverride w:ilvl="5">
      <w:startOverride w:val="1"/>
      <w:lvl w:ilvl="5">
        <w:start w:val="1"/>
        <w:numFmt w:val="none"/>
        <w:lvlText w:val=""/>
        <w:lvlJc w:val="left"/>
        <w:pPr>
          <w:ind w:left="0" w:firstLine="0"/>
        </w:pPr>
        <w:rPr>
          <w:rFonts w:hint="default"/>
        </w:rPr>
      </w:lvl>
    </w:lvlOverride>
    <w:lvlOverride w:ilvl="6">
      <w:startOverride w:val="1"/>
      <w:lvl w:ilvl="6">
        <w:start w:val="1"/>
        <w:numFmt w:val="none"/>
        <w:lvlText w:val=""/>
        <w:lvlJc w:val="left"/>
        <w:pPr>
          <w:ind w:left="0" w:firstLine="0"/>
        </w:pPr>
        <w:rPr>
          <w:rFonts w:hint="default"/>
        </w:rPr>
      </w:lvl>
    </w:lvlOverride>
    <w:lvlOverride w:ilvl="7">
      <w:startOverride w:val="1"/>
      <w:lvl w:ilvl="7">
        <w:start w:val="1"/>
        <w:numFmt w:val="none"/>
        <w:lvlText w:val=""/>
        <w:lvlJc w:val="left"/>
        <w:pPr>
          <w:ind w:left="0" w:firstLine="0"/>
        </w:pPr>
        <w:rPr>
          <w:rFonts w:hint="default"/>
        </w:rPr>
      </w:lvl>
    </w:lvlOverride>
    <w:lvlOverride w:ilvl="8">
      <w:startOverride w:val="1"/>
      <w:lvl w:ilvl="8">
        <w:start w:val="1"/>
        <w:numFmt w:val="none"/>
        <w:lvlText w:val=""/>
        <w:lvlJc w:val="left"/>
        <w:pPr>
          <w:ind w:left="0" w:firstLine="0"/>
        </w:pPr>
        <w:rPr>
          <w:rFonts w:hint="default"/>
        </w:rPr>
      </w:lvl>
    </w:lvlOverride>
  </w:num>
  <w:num w:numId="104">
    <w:abstractNumId w:val="53"/>
  </w:num>
  <w:num w:numId="105">
    <w:abstractNumId w:val="54"/>
  </w:num>
  <w:num w:numId="106">
    <w:abstractNumId w:val="20"/>
  </w:num>
  <w:num w:numId="107">
    <w:abstractNumId w:val="62"/>
  </w:num>
  <w:num w:numId="108">
    <w:abstractNumId w:val="41"/>
  </w:num>
  <w:num w:numId="10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60"/>
  </w:num>
  <w:num w:numId="111">
    <w:abstractNumId w:val="41"/>
  </w:num>
  <w:num w:numId="112">
    <w:abstractNumId w:val="1"/>
  </w:num>
  <w:num w:numId="113">
    <w:abstractNumId w:val="41"/>
  </w:num>
  <w:num w:numId="114">
    <w:abstractNumId w:val="38"/>
  </w:num>
  <w:num w:numId="115">
    <w:abstractNumId w:val="7"/>
  </w:num>
  <w:num w:numId="116">
    <w:abstractNumId w:val="49"/>
  </w:num>
  <w:num w:numId="117">
    <w:abstractNumId w:val="30"/>
  </w:num>
  <w:num w:numId="118">
    <w:abstractNumId w:val="41"/>
  </w:num>
  <w:num w:numId="119">
    <w:abstractNumId w:val="41"/>
  </w:num>
  <w:num w:numId="120">
    <w:abstractNumId w:val="41"/>
  </w:num>
  <w:num w:numId="121">
    <w:abstractNumId w:val="41"/>
    <w:lvlOverride w:ilvl="0">
      <w:startOverride w:val="1"/>
      <w:lvl w:ilvl="0">
        <w:start w:val="1"/>
        <w:numFmt w:val="decimal"/>
        <w:lvlText w:val="(%1)"/>
        <w:lvlJc w:val="left"/>
        <w:pPr>
          <w:ind w:left="360" w:hanging="360"/>
        </w:pPr>
        <w:rPr>
          <w:rFonts w:hint="default"/>
          <w:sz w:val="22"/>
        </w:rPr>
      </w:lvl>
    </w:lvlOverride>
    <w:lvlOverride w:ilvl="1">
      <w:startOverride w:val="1"/>
      <w:lvl w:ilvl="1">
        <w:start w:val="1"/>
        <w:numFmt w:val="lowerLetter"/>
        <w:lvlText w:val="(%2)"/>
        <w:lvlJc w:val="left"/>
        <w:pPr>
          <w:ind w:left="0" w:firstLine="0"/>
        </w:pPr>
        <w:rPr>
          <w:rFonts w:hint="default"/>
          <w:b w:val="0"/>
        </w:rPr>
      </w:lvl>
    </w:lvlOverride>
    <w:lvlOverride w:ilvl="2">
      <w:startOverride w:val="1"/>
      <w:lvl w:ilvl="2">
        <w:start w:val="1"/>
        <w:numFmt w:val="lowerLetter"/>
        <w:lvlText w:val="(%3)"/>
        <w:lvlJc w:val="left"/>
        <w:pPr>
          <w:ind w:left="0" w:firstLine="0"/>
        </w:pPr>
        <w:rPr>
          <w:rFonts w:hint="default"/>
          <w:b w:val="0"/>
          <w:i w:val="0"/>
        </w:rPr>
      </w:lvl>
    </w:lvlOverride>
    <w:lvlOverride w:ilvl="3">
      <w:startOverride w:val="1"/>
      <w:lvl w:ilvl="3">
        <w:start w:val="1"/>
        <w:numFmt w:val="none"/>
        <w:lvlText w:val=""/>
        <w:lvlJc w:val="left"/>
        <w:pPr>
          <w:ind w:left="0" w:firstLine="0"/>
        </w:pPr>
        <w:rPr>
          <w:rFonts w:hint="default"/>
        </w:rPr>
      </w:lvl>
    </w:lvlOverride>
    <w:lvlOverride w:ilvl="4">
      <w:startOverride w:val="1"/>
      <w:lvl w:ilvl="4">
        <w:start w:val="1"/>
        <w:numFmt w:val="none"/>
        <w:lvlText w:val=""/>
        <w:lvlJc w:val="left"/>
        <w:pPr>
          <w:ind w:left="0" w:firstLine="0"/>
        </w:pPr>
        <w:rPr>
          <w:rFonts w:hint="default"/>
        </w:rPr>
      </w:lvl>
    </w:lvlOverride>
    <w:lvlOverride w:ilvl="5">
      <w:startOverride w:val="1"/>
      <w:lvl w:ilvl="5">
        <w:start w:val="1"/>
        <w:numFmt w:val="none"/>
        <w:lvlText w:val=""/>
        <w:lvlJc w:val="left"/>
        <w:pPr>
          <w:ind w:left="0" w:firstLine="0"/>
        </w:pPr>
        <w:rPr>
          <w:rFonts w:hint="default"/>
        </w:rPr>
      </w:lvl>
    </w:lvlOverride>
    <w:lvlOverride w:ilvl="6">
      <w:startOverride w:val="1"/>
      <w:lvl w:ilvl="6">
        <w:start w:val="1"/>
        <w:numFmt w:val="none"/>
        <w:lvlText w:val=""/>
        <w:lvlJc w:val="left"/>
        <w:pPr>
          <w:ind w:left="0" w:firstLine="0"/>
        </w:pPr>
        <w:rPr>
          <w:rFonts w:hint="default"/>
        </w:rPr>
      </w:lvl>
    </w:lvlOverride>
    <w:lvlOverride w:ilvl="7">
      <w:startOverride w:val="1"/>
      <w:lvl w:ilvl="7">
        <w:start w:val="1"/>
        <w:numFmt w:val="none"/>
        <w:lvlText w:val=""/>
        <w:lvlJc w:val="left"/>
        <w:pPr>
          <w:ind w:left="0" w:firstLine="0"/>
        </w:pPr>
        <w:rPr>
          <w:rFonts w:hint="default"/>
        </w:rPr>
      </w:lvl>
    </w:lvlOverride>
    <w:lvlOverride w:ilvl="8">
      <w:startOverride w:val="1"/>
      <w:lvl w:ilvl="8">
        <w:start w:val="1"/>
        <w:numFmt w:val="none"/>
        <w:lvlText w:val=""/>
        <w:lvlJc w:val="left"/>
        <w:pPr>
          <w:ind w:left="0" w:firstLine="0"/>
        </w:pPr>
        <w:rPr>
          <w:rFonts w:hint="default"/>
        </w:rPr>
      </w:lvl>
    </w:lvlOverride>
  </w:num>
  <w:num w:numId="122">
    <w:abstractNumId w:val="41"/>
  </w:num>
  <w:num w:numId="123">
    <w:abstractNumId w:val="41"/>
  </w:num>
  <w:num w:numId="124">
    <w:abstractNumId w:val="41"/>
  </w:num>
  <w:num w:numId="125">
    <w:abstractNumId w:val="57"/>
  </w:num>
  <w:num w:numId="126">
    <w:abstractNumId w:val="41"/>
  </w:num>
  <w:num w:numId="127">
    <w:abstractNumId w:val="41"/>
  </w:num>
  <w:num w:numId="128">
    <w:abstractNumId w:val="41"/>
  </w:num>
  <w:num w:numId="129">
    <w:abstractNumId w:val="41"/>
  </w:num>
  <w:num w:numId="130">
    <w:abstractNumId w:val="41"/>
  </w:num>
  <w:num w:numId="131">
    <w:abstractNumId w:val="41"/>
  </w:num>
  <w:num w:numId="132">
    <w:abstractNumId w:val="41"/>
  </w:num>
  <w:num w:numId="133">
    <w:abstractNumId w:val="41"/>
    <w:lvlOverride w:ilvl="0">
      <w:startOverride w:val="1"/>
      <w:lvl w:ilvl="0">
        <w:start w:val="1"/>
        <w:numFmt w:val="decimal"/>
        <w:lvlText w:val="(%1)"/>
        <w:lvlJc w:val="left"/>
        <w:pPr>
          <w:ind w:left="360" w:hanging="360"/>
        </w:pPr>
        <w:rPr>
          <w:rFonts w:hint="default"/>
          <w:sz w:val="22"/>
        </w:rPr>
      </w:lvl>
    </w:lvlOverride>
    <w:lvlOverride w:ilvl="1">
      <w:startOverride w:val="1"/>
      <w:lvl w:ilvl="1">
        <w:start w:val="1"/>
        <w:numFmt w:val="lowerLetter"/>
        <w:lvlText w:val="(%2)"/>
        <w:lvlJc w:val="left"/>
        <w:pPr>
          <w:ind w:left="0" w:firstLine="0"/>
        </w:pPr>
        <w:rPr>
          <w:rFonts w:hint="default"/>
          <w:b w:val="0"/>
        </w:rPr>
      </w:lvl>
    </w:lvlOverride>
    <w:lvlOverride w:ilvl="2">
      <w:startOverride w:val="1"/>
      <w:lvl w:ilvl="2">
        <w:start w:val="1"/>
        <w:numFmt w:val="lowerLetter"/>
        <w:lvlText w:val="(%3)"/>
        <w:lvlJc w:val="left"/>
        <w:pPr>
          <w:ind w:left="0" w:firstLine="0"/>
        </w:pPr>
        <w:rPr>
          <w:rFonts w:hint="default"/>
          <w:b w:val="0"/>
          <w:i w:val="0"/>
        </w:rPr>
      </w:lvl>
    </w:lvlOverride>
    <w:lvlOverride w:ilvl="3">
      <w:startOverride w:val="1"/>
      <w:lvl w:ilvl="3">
        <w:start w:val="1"/>
        <w:numFmt w:val="none"/>
        <w:lvlText w:val=""/>
        <w:lvlJc w:val="left"/>
        <w:pPr>
          <w:ind w:left="0" w:firstLine="0"/>
        </w:pPr>
        <w:rPr>
          <w:rFonts w:hint="default"/>
        </w:rPr>
      </w:lvl>
    </w:lvlOverride>
    <w:lvlOverride w:ilvl="4">
      <w:startOverride w:val="1"/>
      <w:lvl w:ilvl="4">
        <w:start w:val="1"/>
        <w:numFmt w:val="none"/>
        <w:lvlText w:val=""/>
        <w:lvlJc w:val="left"/>
        <w:pPr>
          <w:ind w:left="0" w:firstLine="0"/>
        </w:pPr>
        <w:rPr>
          <w:rFonts w:hint="default"/>
        </w:rPr>
      </w:lvl>
    </w:lvlOverride>
    <w:lvlOverride w:ilvl="5">
      <w:startOverride w:val="1"/>
      <w:lvl w:ilvl="5">
        <w:start w:val="1"/>
        <w:numFmt w:val="none"/>
        <w:lvlText w:val=""/>
        <w:lvlJc w:val="left"/>
        <w:pPr>
          <w:ind w:left="0" w:firstLine="0"/>
        </w:pPr>
        <w:rPr>
          <w:rFonts w:hint="default"/>
        </w:rPr>
      </w:lvl>
    </w:lvlOverride>
    <w:lvlOverride w:ilvl="6">
      <w:startOverride w:val="1"/>
      <w:lvl w:ilvl="6">
        <w:start w:val="1"/>
        <w:numFmt w:val="none"/>
        <w:lvlText w:val=""/>
        <w:lvlJc w:val="left"/>
        <w:pPr>
          <w:ind w:left="0" w:firstLine="0"/>
        </w:pPr>
        <w:rPr>
          <w:rFonts w:hint="default"/>
        </w:rPr>
      </w:lvl>
    </w:lvlOverride>
    <w:lvlOverride w:ilvl="7">
      <w:startOverride w:val="1"/>
      <w:lvl w:ilvl="7">
        <w:start w:val="1"/>
        <w:numFmt w:val="none"/>
        <w:lvlText w:val=""/>
        <w:lvlJc w:val="left"/>
        <w:pPr>
          <w:ind w:left="0" w:firstLine="0"/>
        </w:pPr>
        <w:rPr>
          <w:rFonts w:hint="default"/>
        </w:rPr>
      </w:lvl>
    </w:lvlOverride>
    <w:lvlOverride w:ilvl="8">
      <w:startOverride w:val="1"/>
      <w:lvl w:ilvl="8">
        <w:start w:val="1"/>
        <w:numFmt w:val="none"/>
        <w:lvlText w:val=""/>
        <w:lvlJc w:val="left"/>
        <w:pPr>
          <w:ind w:left="0" w:firstLine="0"/>
        </w:pPr>
        <w:rPr>
          <w:rFonts w:hint="default"/>
        </w:rPr>
      </w:lvl>
    </w:lvlOverride>
  </w:num>
  <w:num w:numId="134">
    <w:abstractNumId w:val="41"/>
  </w:num>
  <w:num w:numId="135">
    <w:abstractNumId w:val="41"/>
  </w:num>
  <w:num w:numId="136">
    <w:abstractNumId w:val="41"/>
  </w:num>
  <w:num w:numId="137">
    <w:abstractNumId w:val="41"/>
  </w:num>
  <w:num w:numId="138">
    <w:abstractNumId w:val="41"/>
  </w:num>
  <w:num w:numId="139">
    <w:abstractNumId w:val="41"/>
  </w:num>
  <w:num w:numId="140">
    <w:abstractNumId w:val="41"/>
  </w:num>
  <w:num w:numId="141">
    <w:abstractNumId w:val="41"/>
  </w:num>
  <w:num w:numId="142">
    <w:abstractNumId w:val="41"/>
  </w:num>
  <w:num w:numId="143">
    <w:abstractNumId w:val="41"/>
  </w:num>
  <w:num w:numId="144">
    <w:abstractNumId w:val="41"/>
    <w:lvlOverride w:ilvl="0">
      <w:startOverride w:val="1"/>
      <w:lvl w:ilvl="0">
        <w:start w:val="1"/>
        <w:numFmt w:val="decimal"/>
        <w:lvlText w:val="(%1)"/>
        <w:lvlJc w:val="left"/>
        <w:pPr>
          <w:ind w:left="360" w:hanging="360"/>
        </w:pPr>
        <w:rPr>
          <w:rFonts w:hint="default"/>
          <w:sz w:val="22"/>
        </w:rPr>
      </w:lvl>
    </w:lvlOverride>
    <w:lvlOverride w:ilvl="1">
      <w:startOverride w:val="1"/>
      <w:lvl w:ilvl="1">
        <w:start w:val="1"/>
        <w:numFmt w:val="lowerLetter"/>
        <w:lvlText w:val="(%2)"/>
        <w:lvlJc w:val="left"/>
        <w:pPr>
          <w:ind w:left="0" w:firstLine="0"/>
        </w:pPr>
        <w:rPr>
          <w:rFonts w:hint="default"/>
          <w:b w:val="0"/>
        </w:rPr>
      </w:lvl>
    </w:lvlOverride>
    <w:lvlOverride w:ilvl="2">
      <w:startOverride w:val="1"/>
      <w:lvl w:ilvl="2">
        <w:start w:val="1"/>
        <w:numFmt w:val="lowerLetter"/>
        <w:lvlText w:val="(%3)"/>
        <w:lvlJc w:val="left"/>
        <w:pPr>
          <w:ind w:left="0" w:firstLine="0"/>
        </w:pPr>
        <w:rPr>
          <w:rFonts w:hint="default"/>
          <w:b w:val="0"/>
          <w:i w:val="0"/>
        </w:rPr>
      </w:lvl>
    </w:lvlOverride>
    <w:lvlOverride w:ilvl="3">
      <w:startOverride w:val="1"/>
      <w:lvl w:ilvl="3">
        <w:start w:val="1"/>
        <w:numFmt w:val="none"/>
        <w:lvlText w:val=""/>
        <w:lvlJc w:val="left"/>
        <w:pPr>
          <w:ind w:left="0" w:firstLine="0"/>
        </w:pPr>
        <w:rPr>
          <w:rFonts w:hint="default"/>
        </w:rPr>
      </w:lvl>
    </w:lvlOverride>
    <w:lvlOverride w:ilvl="4">
      <w:startOverride w:val="1"/>
      <w:lvl w:ilvl="4">
        <w:start w:val="1"/>
        <w:numFmt w:val="none"/>
        <w:lvlText w:val=""/>
        <w:lvlJc w:val="left"/>
        <w:pPr>
          <w:ind w:left="0" w:firstLine="0"/>
        </w:pPr>
        <w:rPr>
          <w:rFonts w:hint="default"/>
        </w:rPr>
      </w:lvl>
    </w:lvlOverride>
    <w:lvlOverride w:ilvl="5">
      <w:startOverride w:val="1"/>
      <w:lvl w:ilvl="5">
        <w:start w:val="1"/>
        <w:numFmt w:val="none"/>
        <w:lvlText w:val=""/>
        <w:lvlJc w:val="left"/>
        <w:pPr>
          <w:ind w:left="0" w:firstLine="0"/>
        </w:pPr>
        <w:rPr>
          <w:rFonts w:hint="default"/>
        </w:rPr>
      </w:lvl>
    </w:lvlOverride>
    <w:lvlOverride w:ilvl="6">
      <w:startOverride w:val="1"/>
      <w:lvl w:ilvl="6">
        <w:start w:val="1"/>
        <w:numFmt w:val="none"/>
        <w:lvlText w:val=""/>
        <w:lvlJc w:val="left"/>
        <w:pPr>
          <w:ind w:left="0" w:firstLine="0"/>
        </w:pPr>
        <w:rPr>
          <w:rFonts w:hint="default"/>
        </w:rPr>
      </w:lvl>
    </w:lvlOverride>
    <w:lvlOverride w:ilvl="7">
      <w:startOverride w:val="1"/>
      <w:lvl w:ilvl="7">
        <w:start w:val="1"/>
        <w:numFmt w:val="none"/>
        <w:lvlText w:val=""/>
        <w:lvlJc w:val="left"/>
        <w:pPr>
          <w:ind w:left="0" w:firstLine="0"/>
        </w:pPr>
        <w:rPr>
          <w:rFonts w:hint="default"/>
        </w:rPr>
      </w:lvl>
    </w:lvlOverride>
    <w:lvlOverride w:ilvl="8">
      <w:startOverride w:val="1"/>
      <w:lvl w:ilvl="8">
        <w:start w:val="1"/>
        <w:numFmt w:val="none"/>
        <w:lvlText w:val=""/>
        <w:lvlJc w:val="left"/>
        <w:pPr>
          <w:ind w:left="0" w:firstLine="0"/>
        </w:pPr>
        <w:rPr>
          <w:rFonts w:hint="default"/>
        </w:rPr>
      </w:lvl>
    </w:lvlOverride>
  </w:num>
  <w:num w:numId="14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41"/>
  </w:num>
  <w:num w:numId="147">
    <w:abstractNumId w:val="36"/>
  </w:num>
  <w:num w:numId="148">
    <w:abstractNumId w:val="31"/>
  </w:num>
  <w:num w:numId="149">
    <w:abstractNumId w:val="44"/>
  </w:num>
  <w:num w:numId="150">
    <w:abstractNumId w:val="2"/>
  </w:num>
  <w:num w:numId="151">
    <w:abstractNumId w:val="51"/>
  </w:num>
  <w:num w:numId="152">
    <w:abstractNumId w:val="33"/>
  </w:num>
  <w:num w:numId="153">
    <w:abstractNumId w:val="41"/>
  </w:num>
  <w:num w:numId="154">
    <w:abstractNumId w:val="6"/>
  </w:num>
  <w:num w:numId="155">
    <w:abstractNumId w:val="41"/>
    <w:lvlOverride w:ilvl="0">
      <w:startOverride w:val="1"/>
      <w:lvl w:ilvl="0">
        <w:start w:val="1"/>
        <w:numFmt w:val="decimal"/>
        <w:lvlText w:val="(%1)"/>
        <w:lvlJc w:val="left"/>
        <w:pPr>
          <w:ind w:left="360" w:hanging="360"/>
        </w:pPr>
        <w:rPr>
          <w:rFonts w:hint="default"/>
          <w:sz w:val="22"/>
        </w:rPr>
      </w:lvl>
    </w:lvlOverride>
    <w:lvlOverride w:ilvl="1">
      <w:startOverride w:val="1"/>
      <w:lvl w:ilvl="1">
        <w:start w:val="1"/>
        <w:numFmt w:val="lowerLetter"/>
        <w:lvlText w:val="(%2)"/>
        <w:lvlJc w:val="left"/>
        <w:pPr>
          <w:ind w:left="0" w:firstLine="0"/>
        </w:pPr>
        <w:rPr>
          <w:rFonts w:hint="default"/>
          <w:b w:val="0"/>
        </w:rPr>
      </w:lvl>
    </w:lvlOverride>
    <w:lvlOverride w:ilvl="2">
      <w:startOverride w:val="1"/>
      <w:lvl w:ilvl="2">
        <w:start w:val="1"/>
        <w:numFmt w:val="lowerLetter"/>
        <w:lvlText w:val="(%3)"/>
        <w:lvlJc w:val="left"/>
        <w:pPr>
          <w:ind w:left="0" w:firstLine="0"/>
        </w:pPr>
        <w:rPr>
          <w:rFonts w:hint="default"/>
          <w:b w:val="0"/>
          <w:i w:val="0"/>
        </w:rPr>
      </w:lvl>
    </w:lvlOverride>
    <w:lvlOverride w:ilvl="3">
      <w:startOverride w:val="1"/>
      <w:lvl w:ilvl="3">
        <w:start w:val="1"/>
        <w:numFmt w:val="none"/>
        <w:lvlText w:val=""/>
        <w:lvlJc w:val="left"/>
        <w:pPr>
          <w:ind w:left="0" w:firstLine="0"/>
        </w:pPr>
        <w:rPr>
          <w:rFonts w:hint="default"/>
        </w:rPr>
      </w:lvl>
    </w:lvlOverride>
    <w:lvlOverride w:ilvl="4">
      <w:startOverride w:val="1"/>
      <w:lvl w:ilvl="4">
        <w:start w:val="1"/>
        <w:numFmt w:val="none"/>
        <w:lvlText w:val=""/>
        <w:lvlJc w:val="left"/>
        <w:pPr>
          <w:ind w:left="0" w:firstLine="0"/>
        </w:pPr>
        <w:rPr>
          <w:rFonts w:hint="default"/>
        </w:rPr>
      </w:lvl>
    </w:lvlOverride>
    <w:lvlOverride w:ilvl="5">
      <w:startOverride w:val="1"/>
      <w:lvl w:ilvl="5">
        <w:start w:val="1"/>
        <w:numFmt w:val="none"/>
        <w:lvlText w:val=""/>
        <w:lvlJc w:val="left"/>
        <w:pPr>
          <w:ind w:left="0" w:firstLine="0"/>
        </w:pPr>
        <w:rPr>
          <w:rFonts w:hint="default"/>
        </w:rPr>
      </w:lvl>
    </w:lvlOverride>
    <w:lvlOverride w:ilvl="6">
      <w:startOverride w:val="1"/>
      <w:lvl w:ilvl="6">
        <w:start w:val="1"/>
        <w:numFmt w:val="none"/>
        <w:lvlText w:val=""/>
        <w:lvlJc w:val="left"/>
        <w:pPr>
          <w:ind w:left="0" w:firstLine="0"/>
        </w:pPr>
        <w:rPr>
          <w:rFonts w:hint="default"/>
        </w:rPr>
      </w:lvl>
    </w:lvlOverride>
    <w:lvlOverride w:ilvl="7">
      <w:startOverride w:val="1"/>
      <w:lvl w:ilvl="7">
        <w:start w:val="1"/>
        <w:numFmt w:val="none"/>
        <w:lvlText w:val=""/>
        <w:lvlJc w:val="left"/>
        <w:pPr>
          <w:ind w:left="0" w:firstLine="0"/>
        </w:pPr>
        <w:rPr>
          <w:rFonts w:hint="default"/>
        </w:rPr>
      </w:lvl>
    </w:lvlOverride>
    <w:lvlOverride w:ilvl="8">
      <w:startOverride w:val="1"/>
      <w:lvl w:ilvl="8">
        <w:start w:val="1"/>
        <w:numFmt w:val="none"/>
        <w:lvlText w:val=""/>
        <w:lvlJc w:val="left"/>
        <w:pPr>
          <w:ind w:left="0" w:firstLine="0"/>
        </w:pPr>
        <w:rPr>
          <w:rFonts w:hint="default"/>
        </w:rPr>
      </w:lvl>
    </w:lvlOverride>
  </w:num>
  <w:num w:numId="156">
    <w:abstractNumId w:val="61"/>
  </w:num>
  <w:num w:numId="157">
    <w:abstractNumId w:val="41"/>
  </w:num>
  <w:num w:numId="158">
    <w:abstractNumId w:val="40"/>
  </w:num>
  <w:num w:numId="159">
    <w:abstractNumId w:val="55"/>
  </w:num>
  <w:numIdMacAtCleanup w:val="1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de-DE"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fr-BE" w:vendorID="64" w:dllVersion="0" w:nlCheck="1" w:checkStyle="0"/>
  <w:activeWritingStyle w:appName="MSWord" w:lang="fr-BE" w:vendorID="64" w:dllVersion="6" w:nlCheck="1" w:checkStyle="0"/>
  <w:activeWritingStyle w:appName="MSWord" w:lang="de-AT" w:vendorID="64" w:dllVersion="6" w:nlCheck="1" w:checkStyle="0"/>
  <w:activeWritingStyle w:appName="MSWord" w:lang="it-IT" w:vendorID="64" w:dllVersion="6" w:nlCheck="1" w:checkStyle="0"/>
  <w:activeWritingStyle w:appName="MSWord" w:lang="es-ES" w:vendorID="64" w:dllVersion="0" w:nlCheck="1" w:checkStyle="0"/>
  <w:activeWritingStyle w:appName="MSWord" w:lang="de-CH" w:vendorID="64" w:dllVersion="6" w:nlCheck="1" w:checkStyle="0"/>
  <w:activeWritingStyle w:appName="MSWord" w:lang="es-ES" w:vendorID="64" w:dllVersion="6" w:nlCheck="1" w:checkStyle="0"/>
  <w:activeWritingStyle w:appName="MSWord" w:lang="fr-FR" w:vendorID="64" w:dllVersion="6" w:nlCheck="1" w:checkStyle="0"/>
  <w:activeWritingStyle w:appName="MSWord" w:lang="fr-FR" w:vendorID="64" w:dllVersion="0" w:nlCheck="1" w:checkStyle="0"/>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fr-BE" w:vendorID="64" w:dllVersion="131078" w:nlCheck="1" w:checkStyle="1"/>
  <w:attachedTemplate r:id="rId1"/>
  <w:defaultTabStop w:val="708"/>
  <w:hyphenationZone w:val="425"/>
  <w:drawingGridHorizontalSpacing w:val="110"/>
  <w:displayHorizontalDrawingGridEvery w:val="2"/>
  <w:characterSpacingControl w:val="doNotCompress"/>
  <w:hdrShapeDefaults>
    <o:shapedefaults v:ext="edit" spidmax="2049" style="mso-position-horizontal-relative:page;mso-position-vertical-relative:page" strokecolor="none [3215]">
      <v:stroke color="none [3215]" weight="1pt"/>
    </o:shapedefaults>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zc3NTA1tDA0MjIytDRX0lEKTi0uzszPAykwrQUAvOv0ICwAAAA="/>
  </w:docVars>
  <w:rsids>
    <w:rsidRoot w:val="004F245D"/>
    <w:rsid w:val="00000585"/>
    <w:rsid w:val="00000953"/>
    <w:rsid w:val="00000B2B"/>
    <w:rsid w:val="000014F3"/>
    <w:rsid w:val="00001678"/>
    <w:rsid w:val="000016C6"/>
    <w:rsid w:val="000017FE"/>
    <w:rsid w:val="00001C17"/>
    <w:rsid w:val="00001CC0"/>
    <w:rsid w:val="000022E4"/>
    <w:rsid w:val="0000318B"/>
    <w:rsid w:val="00003F17"/>
    <w:rsid w:val="00004253"/>
    <w:rsid w:val="000045E3"/>
    <w:rsid w:val="00004C38"/>
    <w:rsid w:val="00006366"/>
    <w:rsid w:val="00007241"/>
    <w:rsid w:val="000077BA"/>
    <w:rsid w:val="00007826"/>
    <w:rsid w:val="00010BF8"/>
    <w:rsid w:val="00010E6C"/>
    <w:rsid w:val="000118B0"/>
    <w:rsid w:val="000124EF"/>
    <w:rsid w:val="000128F8"/>
    <w:rsid w:val="00012FF2"/>
    <w:rsid w:val="0001480F"/>
    <w:rsid w:val="00015B06"/>
    <w:rsid w:val="000171CB"/>
    <w:rsid w:val="0001799D"/>
    <w:rsid w:val="0002051E"/>
    <w:rsid w:val="000206FF"/>
    <w:rsid w:val="00020A73"/>
    <w:rsid w:val="00020C35"/>
    <w:rsid w:val="00020DB7"/>
    <w:rsid w:val="00020E50"/>
    <w:rsid w:val="00021C60"/>
    <w:rsid w:val="00022DE5"/>
    <w:rsid w:val="00023E82"/>
    <w:rsid w:val="00023F5D"/>
    <w:rsid w:val="00024FA2"/>
    <w:rsid w:val="0002741D"/>
    <w:rsid w:val="0002749B"/>
    <w:rsid w:val="00027F7A"/>
    <w:rsid w:val="0003047E"/>
    <w:rsid w:val="00030D34"/>
    <w:rsid w:val="0003170B"/>
    <w:rsid w:val="00031C39"/>
    <w:rsid w:val="00031DC0"/>
    <w:rsid w:val="00033A86"/>
    <w:rsid w:val="0003591F"/>
    <w:rsid w:val="00036597"/>
    <w:rsid w:val="00037455"/>
    <w:rsid w:val="00040DB4"/>
    <w:rsid w:val="00040EB8"/>
    <w:rsid w:val="000416F8"/>
    <w:rsid w:val="00043612"/>
    <w:rsid w:val="00043DF1"/>
    <w:rsid w:val="00044AB3"/>
    <w:rsid w:val="00045748"/>
    <w:rsid w:val="00045F53"/>
    <w:rsid w:val="000468EA"/>
    <w:rsid w:val="000469CA"/>
    <w:rsid w:val="00046D0D"/>
    <w:rsid w:val="00046FBA"/>
    <w:rsid w:val="0005184A"/>
    <w:rsid w:val="00051896"/>
    <w:rsid w:val="00051BA6"/>
    <w:rsid w:val="0005249C"/>
    <w:rsid w:val="00053326"/>
    <w:rsid w:val="0005374C"/>
    <w:rsid w:val="00053FC3"/>
    <w:rsid w:val="000548ED"/>
    <w:rsid w:val="00054A09"/>
    <w:rsid w:val="000557BC"/>
    <w:rsid w:val="000567C3"/>
    <w:rsid w:val="000569C1"/>
    <w:rsid w:val="0006056D"/>
    <w:rsid w:val="0006255D"/>
    <w:rsid w:val="0006270C"/>
    <w:rsid w:val="00062A5E"/>
    <w:rsid w:val="00063861"/>
    <w:rsid w:val="0006467A"/>
    <w:rsid w:val="000653C0"/>
    <w:rsid w:val="000654DE"/>
    <w:rsid w:val="000659E3"/>
    <w:rsid w:val="00066C29"/>
    <w:rsid w:val="00067427"/>
    <w:rsid w:val="00067FFA"/>
    <w:rsid w:val="00070474"/>
    <w:rsid w:val="00070D5D"/>
    <w:rsid w:val="00071032"/>
    <w:rsid w:val="00071A85"/>
    <w:rsid w:val="00072139"/>
    <w:rsid w:val="00072485"/>
    <w:rsid w:val="0007316D"/>
    <w:rsid w:val="00073F27"/>
    <w:rsid w:val="000741AC"/>
    <w:rsid w:val="00074992"/>
    <w:rsid w:val="00074FF0"/>
    <w:rsid w:val="00075449"/>
    <w:rsid w:val="00077C19"/>
    <w:rsid w:val="000805BF"/>
    <w:rsid w:val="0008061C"/>
    <w:rsid w:val="00080809"/>
    <w:rsid w:val="000816E8"/>
    <w:rsid w:val="00082B80"/>
    <w:rsid w:val="000842BA"/>
    <w:rsid w:val="000852E2"/>
    <w:rsid w:val="00085DB7"/>
    <w:rsid w:val="00086844"/>
    <w:rsid w:val="0008722D"/>
    <w:rsid w:val="00090310"/>
    <w:rsid w:val="0009092A"/>
    <w:rsid w:val="00090E02"/>
    <w:rsid w:val="00090EA3"/>
    <w:rsid w:val="0009128F"/>
    <w:rsid w:val="0009202F"/>
    <w:rsid w:val="00092467"/>
    <w:rsid w:val="000924B2"/>
    <w:rsid w:val="00092701"/>
    <w:rsid w:val="00092ABA"/>
    <w:rsid w:val="00092F52"/>
    <w:rsid w:val="00092FBB"/>
    <w:rsid w:val="00092FE9"/>
    <w:rsid w:val="00093B53"/>
    <w:rsid w:val="000940A4"/>
    <w:rsid w:val="000941A5"/>
    <w:rsid w:val="00094418"/>
    <w:rsid w:val="000944CA"/>
    <w:rsid w:val="00094528"/>
    <w:rsid w:val="00095C7C"/>
    <w:rsid w:val="00095DDA"/>
    <w:rsid w:val="000961F8"/>
    <w:rsid w:val="000963E1"/>
    <w:rsid w:val="000967CE"/>
    <w:rsid w:val="000968D6"/>
    <w:rsid w:val="00096A77"/>
    <w:rsid w:val="00097AA9"/>
    <w:rsid w:val="000A053F"/>
    <w:rsid w:val="000A165A"/>
    <w:rsid w:val="000A1BE3"/>
    <w:rsid w:val="000A27A8"/>
    <w:rsid w:val="000A27E6"/>
    <w:rsid w:val="000A2BC4"/>
    <w:rsid w:val="000A2FF3"/>
    <w:rsid w:val="000A38CC"/>
    <w:rsid w:val="000A40E6"/>
    <w:rsid w:val="000A4392"/>
    <w:rsid w:val="000A4774"/>
    <w:rsid w:val="000A4A6C"/>
    <w:rsid w:val="000A4CDF"/>
    <w:rsid w:val="000A5803"/>
    <w:rsid w:val="000A580B"/>
    <w:rsid w:val="000A5914"/>
    <w:rsid w:val="000A5964"/>
    <w:rsid w:val="000A5973"/>
    <w:rsid w:val="000A6BDF"/>
    <w:rsid w:val="000A6DFD"/>
    <w:rsid w:val="000A6EA9"/>
    <w:rsid w:val="000B0054"/>
    <w:rsid w:val="000B05D9"/>
    <w:rsid w:val="000B0F3A"/>
    <w:rsid w:val="000B211D"/>
    <w:rsid w:val="000B3B3B"/>
    <w:rsid w:val="000B4448"/>
    <w:rsid w:val="000B4DEB"/>
    <w:rsid w:val="000B4E47"/>
    <w:rsid w:val="000B5235"/>
    <w:rsid w:val="000B5476"/>
    <w:rsid w:val="000B5B67"/>
    <w:rsid w:val="000B5C68"/>
    <w:rsid w:val="000B6C8D"/>
    <w:rsid w:val="000B7421"/>
    <w:rsid w:val="000C01AF"/>
    <w:rsid w:val="000C0B6B"/>
    <w:rsid w:val="000C0FB7"/>
    <w:rsid w:val="000C13DC"/>
    <w:rsid w:val="000C16FD"/>
    <w:rsid w:val="000C1F9C"/>
    <w:rsid w:val="000C21EB"/>
    <w:rsid w:val="000C26D7"/>
    <w:rsid w:val="000C38FD"/>
    <w:rsid w:val="000C45D0"/>
    <w:rsid w:val="000C480F"/>
    <w:rsid w:val="000C5A7D"/>
    <w:rsid w:val="000C6460"/>
    <w:rsid w:val="000C6A75"/>
    <w:rsid w:val="000C6CC9"/>
    <w:rsid w:val="000C6F6D"/>
    <w:rsid w:val="000C75A9"/>
    <w:rsid w:val="000D00A5"/>
    <w:rsid w:val="000D083F"/>
    <w:rsid w:val="000D089B"/>
    <w:rsid w:val="000D170E"/>
    <w:rsid w:val="000D18D1"/>
    <w:rsid w:val="000D1958"/>
    <w:rsid w:val="000D19F0"/>
    <w:rsid w:val="000D1E5B"/>
    <w:rsid w:val="000D2C46"/>
    <w:rsid w:val="000D36BF"/>
    <w:rsid w:val="000D3C6F"/>
    <w:rsid w:val="000D4179"/>
    <w:rsid w:val="000D42DA"/>
    <w:rsid w:val="000D43F2"/>
    <w:rsid w:val="000D4A81"/>
    <w:rsid w:val="000D4B13"/>
    <w:rsid w:val="000D52BB"/>
    <w:rsid w:val="000D565F"/>
    <w:rsid w:val="000D67AF"/>
    <w:rsid w:val="000D74FE"/>
    <w:rsid w:val="000D7A46"/>
    <w:rsid w:val="000E065B"/>
    <w:rsid w:val="000E08B7"/>
    <w:rsid w:val="000E0CB8"/>
    <w:rsid w:val="000E199E"/>
    <w:rsid w:val="000E1BB6"/>
    <w:rsid w:val="000E32FA"/>
    <w:rsid w:val="000E344D"/>
    <w:rsid w:val="000E37B2"/>
    <w:rsid w:val="000E4356"/>
    <w:rsid w:val="000E45E3"/>
    <w:rsid w:val="000E46FA"/>
    <w:rsid w:val="000E4740"/>
    <w:rsid w:val="000E48AC"/>
    <w:rsid w:val="000E4A58"/>
    <w:rsid w:val="000E6010"/>
    <w:rsid w:val="000E6150"/>
    <w:rsid w:val="000E6B0F"/>
    <w:rsid w:val="000E6CF9"/>
    <w:rsid w:val="000F0037"/>
    <w:rsid w:val="000F0697"/>
    <w:rsid w:val="000F1BF9"/>
    <w:rsid w:val="000F24FA"/>
    <w:rsid w:val="000F2C2E"/>
    <w:rsid w:val="000F366B"/>
    <w:rsid w:val="000F3751"/>
    <w:rsid w:val="000F3819"/>
    <w:rsid w:val="000F3A89"/>
    <w:rsid w:val="000F4231"/>
    <w:rsid w:val="000F4870"/>
    <w:rsid w:val="000F5721"/>
    <w:rsid w:val="000F5D4C"/>
    <w:rsid w:val="000F693C"/>
    <w:rsid w:val="000F6CFA"/>
    <w:rsid w:val="000F6D17"/>
    <w:rsid w:val="000F6F9F"/>
    <w:rsid w:val="000F75FE"/>
    <w:rsid w:val="00100020"/>
    <w:rsid w:val="00100849"/>
    <w:rsid w:val="001012D3"/>
    <w:rsid w:val="00101806"/>
    <w:rsid w:val="00101D7B"/>
    <w:rsid w:val="00102658"/>
    <w:rsid w:val="00102925"/>
    <w:rsid w:val="00102F28"/>
    <w:rsid w:val="00103492"/>
    <w:rsid w:val="00103899"/>
    <w:rsid w:val="00104248"/>
    <w:rsid w:val="001050AC"/>
    <w:rsid w:val="00105D0E"/>
    <w:rsid w:val="001069C0"/>
    <w:rsid w:val="00106B74"/>
    <w:rsid w:val="001076E3"/>
    <w:rsid w:val="00107F3B"/>
    <w:rsid w:val="001102A4"/>
    <w:rsid w:val="00111314"/>
    <w:rsid w:val="00111B4C"/>
    <w:rsid w:val="00112AB0"/>
    <w:rsid w:val="00112E34"/>
    <w:rsid w:val="00112FD1"/>
    <w:rsid w:val="0011336B"/>
    <w:rsid w:val="001134FB"/>
    <w:rsid w:val="00114B0B"/>
    <w:rsid w:val="00115DF3"/>
    <w:rsid w:val="001172F7"/>
    <w:rsid w:val="001175B9"/>
    <w:rsid w:val="00117E01"/>
    <w:rsid w:val="00117EC7"/>
    <w:rsid w:val="0012016D"/>
    <w:rsid w:val="001207A7"/>
    <w:rsid w:val="00120CDD"/>
    <w:rsid w:val="00120F96"/>
    <w:rsid w:val="001215DC"/>
    <w:rsid w:val="001217BB"/>
    <w:rsid w:val="00121D88"/>
    <w:rsid w:val="00122F0D"/>
    <w:rsid w:val="0012302E"/>
    <w:rsid w:val="00123C8F"/>
    <w:rsid w:val="0012417F"/>
    <w:rsid w:val="0012440D"/>
    <w:rsid w:val="0012612E"/>
    <w:rsid w:val="001262A1"/>
    <w:rsid w:val="00126336"/>
    <w:rsid w:val="00126900"/>
    <w:rsid w:val="00126DD8"/>
    <w:rsid w:val="001273ED"/>
    <w:rsid w:val="001275C7"/>
    <w:rsid w:val="00127A39"/>
    <w:rsid w:val="001326F7"/>
    <w:rsid w:val="00132809"/>
    <w:rsid w:val="00132EB5"/>
    <w:rsid w:val="00133116"/>
    <w:rsid w:val="00133B07"/>
    <w:rsid w:val="00134161"/>
    <w:rsid w:val="00134BB3"/>
    <w:rsid w:val="00134EE9"/>
    <w:rsid w:val="001356B8"/>
    <w:rsid w:val="001364C9"/>
    <w:rsid w:val="00136831"/>
    <w:rsid w:val="00136ABF"/>
    <w:rsid w:val="00136C80"/>
    <w:rsid w:val="00140060"/>
    <w:rsid w:val="00140BF6"/>
    <w:rsid w:val="00142382"/>
    <w:rsid w:val="00142BC8"/>
    <w:rsid w:val="00143A4D"/>
    <w:rsid w:val="00143B7D"/>
    <w:rsid w:val="00143C3D"/>
    <w:rsid w:val="00143E6B"/>
    <w:rsid w:val="00145114"/>
    <w:rsid w:val="001453F7"/>
    <w:rsid w:val="0014541A"/>
    <w:rsid w:val="00145C7F"/>
    <w:rsid w:val="00145E4F"/>
    <w:rsid w:val="001463F0"/>
    <w:rsid w:val="00146436"/>
    <w:rsid w:val="00146448"/>
    <w:rsid w:val="00147C03"/>
    <w:rsid w:val="0015037F"/>
    <w:rsid w:val="00150812"/>
    <w:rsid w:val="00151245"/>
    <w:rsid w:val="0015127F"/>
    <w:rsid w:val="001521D0"/>
    <w:rsid w:val="0015263F"/>
    <w:rsid w:val="00152CAE"/>
    <w:rsid w:val="00153018"/>
    <w:rsid w:val="00153CC4"/>
    <w:rsid w:val="00153FDC"/>
    <w:rsid w:val="001546E8"/>
    <w:rsid w:val="00154BA2"/>
    <w:rsid w:val="00154EFA"/>
    <w:rsid w:val="001556AA"/>
    <w:rsid w:val="001556BD"/>
    <w:rsid w:val="00155A3F"/>
    <w:rsid w:val="00155EEE"/>
    <w:rsid w:val="00156492"/>
    <w:rsid w:val="0015649B"/>
    <w:rsid w:val="0015697D"/>
    <w:rsid w:val="00157135"/>
    <w:rsid w:val="001572A8"/>
    <w:rsid w:val="00160150"/>
    <w:rsid w:val="001608A6"/>
    <w:rsid w:val="00160DC4"/>
    <w:rsid w:val="0016226E"/>
    <w:rsid w:val="00162306"/>
    <w:rsid w:val="00162965"/>
    <w:rsid w:val="0016297B"/>
    <w:rsid w:val="00162B68"/>
    <w:rsid w:val="00164877"/>
    <w:rsid w:val="00164940"/>
    <w:rsid w:val="00164AC9"/>
    <w:rsid w:val="00164FAD"/>
    <w:rsid w:val="00165362"/>
    <w:rsid w:val="00165610"/>
    <w:rsid w:val="00166719"/>
    <w:rsid w:val="001678FF"/>
    <w:rsid w:val="00167C79"/>
    <w:rsid w:val="00170560"/>
    <w:rsid w:val="00170D88"/>
    <w:rsid w:val="001713D6"/>
    <w:rsid w:val="00171B3E"/>
    <w:rsid w:val="001721F7"/>
    <w:rsid w:val="001724BF"/>
    <w:rsid w:val="00172531"/>
    <w:rsid w:val="001729AD"/>
    <w:rsid w:val="00172FC9"/>
    <w:rsid w:val="00173EC4"/>
    <w:rsid w:val="00174839"/>
    <w:rsid w:val="00174C87"/>
    <w:rsid w:val="001752FA"/>
    <w:rsid w:val="001757EB"/>
    <w:rsid w:val="00175FAB"/>
    <w:rsid w:val="001762D4"/>
    <w:rsid w:val="00176BB6"/>
    <w:rsid w:val="001770E9"/>
    <w:rsid w:val="00177363"/>
    <w:rsid w:val="001815AC"/>
    <w:rsid w:val="00181C7F"/>
    <w:rsid w:val="0018202A"/>
    <w:rsid w:val="00182465"/>
    <w:rsid w:val="00182E24"/>
    <w:rsid w:val="001830BA"/>
    <w:rsid w:val="00184118"/>
    <w:rsid w:val="00184343"/>
    <w:rsid w:val="00184C2A"/>
    <w:rsid w:val="00184DF3"/>
    <w:rsid w:val="00184E45"/>
    <w:rsid w:val="001850F4"/>
    <w:rsid w:val="0018540A"/>
    <w:rsid w:val="001856B9"/>
    <w:rsid w:val="001859A3"/>
    <w:rsid w:val="0018626C"/>
    <w:rsid w:val="00187D4A"/>
    <w:rsid w:val="00193191"/>
    <w:rsid w:val="0019394B"/>
    <w:rsid w:val="001940D6"/>
    <w:rsid w:val="001946DC"/>
    <w:rsid w:val="0019478F"/>
    <w:rsid w:val="00195C47"/>
    <w:rsid w:val="00196ABC"/>
    <w:rsid w:val="00197E87"/>
    <w:rsid w:val="00197EE2"/>
    <w:rsid w:val="001A1294"/>
    <w:rsid w:val="001A1490"/>
    <w:rsid w:val="001A1C76"/>
    <w:rsid w:val="001A1EBD"/>
    <w:rsid w:val="001A379F"/>
    <w:rsid w:val="001A42D6"/>
    <w:rsid w:val="001A43D5"/>
    <w:rsid w:val="001A4FDF"/>
    <w:rsid w:val="001A5163"/>
    <w:rsid w:val="001A559C"/>
    <w:rsid w:val="001A55A2"/>
    <w:rsid w:val="001A60CF"/>
    <w:rsid w:val="001A612D"/>
    <w:rsid w:val="001A6AF2"/>
    <w:rsid w:val="001A6ED1"/>
    <w:rsid w:val="001A6FB9"/>
    <w:rsid w:val="001B0200"/>
    <w:rsid w:val="001B075E"/>
    <w:rsid w:val="001B08F7"/>
    <w:rsid w:val="001B0BDF"/>
    <w:rsid w:val="001B0CCF"/>
    <w:rsid w:val="001B151E"/>
    <w:rsid w:val="001B1897"/>
    <w:rsid w:val="001B236A"/>
    <w:rsid w:val="001B2850"/>
    <w:rsid w:val="001B3818"/>
    <w:rsid w:val="001B39FE"/>
    <w:rsid w:val="001B4BF3"/>
    <w:rsid w:val="001B628E"/>
    <w:rsid w:val="001B642D"/>
    <w:rsid w:val="001C0766"/>
    <w:rsid w:val="001C07EB"/>
    <w:rsid w:val="001C0A28"/>
    <w:rsid w:val="001C0AD5"/>
    <w:rsid w:val="001C0C31"/>
    <w:rsid w:val="001C2250"/>
    <w:rsid w:val="001C2308"/>
    <w:rsid w:val="001C42C6"/>
    <w:rsid w:val="001C44BC"/>
    <w:rsid w:val="001C54AE"/>
    <w:rsid w:val="001C7ECE"/>
    <w:rsid w:val="001D0F12"/>
    <w:rsid w:val="001D123F"/>
    <w:rsid w:val="001D16F7"/>
    <w:rsid w:val="001D1928"/>
    <w:rsid w:val="001D196B"/>
    <w:rsid w:val="001D1A74"/>
    <w:rsid w:val="001D1C39"/>
    <w:rsid w:val="001D1E33"/>
    <w:rsid w:val="001D31E7"/>
    <w:rsid w:val="001D3D28"/>
    <w:rsid w:val="001D430D"/>
    <w:rsid w:val="001D4851"/>
    <w:rsid w:val="001D4BEC"/>
    <w:rsid w:val="001D4E22"/>
    <w:rsid w:val="001D5340"/>
    <w:rsid w:val="001D5484"/>
    <w:rsid w:val="001D5C83"/>
    <w:rsid w:val="001D6202"/>
    <w:rsid w:val="001D65B6"/>
    <w:rsid w:val="001D6A77"/>
    <w:rsid w:val="001D74FE"/>
    <w:rsid w:val="001D763E"/>
    <w:rsid w:val="001D77C0"/>
    <w:rsid w:val="001E0076"/>
    <w:rsid w:val="001E2469"/>
    <w:rsid w:val="001E2896"/>
    <w:rsid w:val="001E2D2A"/>
    <w:rsid w:val="001E3FA0"/>
    <w:rsid w:val="001E46F5"/>
    <w:rsid w:val="001E5009"/>
    <w:rsid w:val="001F09FA"/>
    <w:rsid w:val="001F0A08"/>
    <w:rsid w:val="001F12C3"/>
    <w:rsid w:val="001F14D2"/>
    <w:rsid w:val="001F1DF0"/>
    <w:rsid w:val="001F3FA2"/>
    <w:rsid w:val="001F4289"/>
    <w:rsid w:val="001F43D7"/>
    <w:rsid w:val="001F443E"/>
    <w:rsid w:val="001F489C"/>
    <w:rsid w:val="001F4942"/>
    <w:rsid w:val="001F5813"/>
    <w:rsid w:val="001F5FDB"/>
    <w:rsid w:val="001F7543"/>
    <w:rsid w:val="001F76DF"/>
    <w:rsid w:val="001F78CD"/>
    <w:rsid w:val="001F7E28"/>
    <w:rsid w:val="00200183"/>
    <w:rsid w:val="00200807"/>
    <w:rsid w:val="00200D3E"/>
    <w:rsid w:val="00201086"/>
    <w:rsid w:val="002012A4"/>
    <w:rsid w:val="002012C4"/>
    <w:rsid w:val="00204439"/>
    <w:rsid w:val="002046F0"/>
    <w:rsid w:val="002048BA"/>
    <w:rsid w:val="00204D6A"/>
    <w:rsid w:val="002050C6"/>
    <w:rsid w:val="00206A15"/>
    <w:rsid w:val="00207CE5"/>
    <w:rsid w:val="0021073C"/>
    <w:rsid w:val="002109FF"/>
    <w:rsid w:val="00210B68"/>
    <w:rsid w:val="00211461"/>
    <w:rsid w:val="002126FA"/>
    <w:rsid w:val="00212AF8"/>
    <w:rsid w:val="0021386A"/>
    <w:rsid w:val="002138D4"/>
    <w:rsid w:val="00213FA4"/>
    <w:rsid w:val="002142B2"/>
    <w:rsid w:val="00214A08"/>
    <w:rsid w:val="00215103"/>
    <w:rsid w:val="00216FCE"/>
    <w:rsid w:val="00217ED5"/>
    <w:rsid w:val="002203DA"/>
    <w:rsid w:val="002206C2"/>
    <w:rsid w:val="00221580"/>
    <w:rsid w:val="00221CD7"/>
    <w:rsid w:val="00222364"/>
    <w:rsid w:val="0022287B"/>
    <w:rsid w:val="00222E6D"/>
    <w:rsid w:val="00223F0A"/>
    <w:rsid w:val="00224165"/>
    <w:rsid w:val="002244A8"/>
    <w:rsid w:val="002246D5"/>
    <w:rsid w:val="00224A7D"/>
    <w:rsid w:val="00224BA1"/>
    <w:rsid w:val="002260C1"/>
    <w:rsid w:val="0022631C"/>
    <w:rsid w:val="00226CD1"/>
    <w:rsid w:val="00226D29"/>
    <w:rsid w:val="00226FBD"/>
    <w:rsid w:val="00227438"/>
    <w:rsid w:val="00230671"/>
    <w:rsid w:val="00230D62"/>
    <w:rsid w:val="00230FCE"/>
    <w:rsid w:val="002310F1"/>
    <w:rsid w:val="00231BC7"/>
    <w:rsid w:val="00231DE0"/>
    <w:rsid w:val="00232FA3"/>
    <w:rsid w:val="00233299"/>
    <w:rsid w:val="0023350D"/>
    <w:rsid w:val="00233E44"/>
    <w:rsid w:val="00235AD6"/>
    <w:rsid w:val="00236E6B"/>
    <w:rsid w:val="00237722"/>
    <w:rsid w:val="0023779F"/>
    <w:rsid w:val="002402AF"/>
    <w:rsid w:val="0024060B"/>
    <w:rsid w:val="00241108"/>
    <w:rsid w:val="0024169C"/>
    <w:rsid w:val="00241731"/>
    <w:rsid w:val="00241C7F"/>
    <w:rsid w:val="00241D64"/>
    <w:rsid w:val="0024230D"/>
    <w:rsid w:val="0024259D"/>
    <w:rsid w:val="00242A38"/>
    <w:rsid w:val="00242B6D"/>
    <w:rsid w:val="00242C72"/>
    <w:rsid w:val="00243B51"/>
    <w:rsid w:val="00244313"/>
    <w:rsid w:val="0024487E"/>
    <w:rsid w:val="00244FAC"/>
    <w:rsid w:val="00245149"/>
    <w:rsid w:val="0024608C"/>
    <w:rsid w:val="002460B4"/>
    <w:rsid w:val="00246806"/>
    <w:rsid w:val="00246CA4"/>
    <w:rsid w:val="00246D49"/>
    <w:rsid w:val="002478F8"/>
    <w:rsid w:val="00247956"/>
    <w:rsid w:val="00247AC2"/>
    <w:rsid w:val="00250473"/>
    <w:rsid w:val="0025049C"/>
    <w:rsid w:val="00250BB1"/>
    <w:rsid w:val="0025117C"/>
    <w:rsid w:val="00251C7B"/>
    <w:rsid w:val="00252C7A"/>
    <w:rsid w:val="002534B3"/>
    <w:rsid w:val="002538AB"/>
    <w:rsid w:val="00253D21"/>
    <w:rsid w:val="00254151"/>
    <w:rsid w:val="00254519"/>
    <w:rsid w:val="0025453C"/>
    <w:rsid w:val="00255306"/>
    <w:rsid w:val="002554C5"/>
    <w:rsid w:val="002557AC"/>
    <w:rsid w:val="0025585B"/>
    <w:rsid w:val="0025634E"/>
    <w:rsid w:val="0025650B"/>
    <w:rsid w:val="0025690C"/>
    <w:rsid w:val="00257941"/>
    <w:rsid w:val="00257B25"/>
    <w:rsid w:val="00257E45"/>
    <w:rsid w:val="002617D2"/>
    <w:rsid w:val="0026259A"/>
    <w:rsid w:val="00263B85"/>
    <w:rsid w:val="00263D88"/>
    <w:rsid w:val="0026498F"/>
    <w:rsid w:val="002649B4"/>
    <w:rsid w:val="0026551E"/>
    <w:rsid w:val="00265878"/>
    <w:rsid w:val="002662D9"/>
    <w:rsid w:val="00266940"/>
    <w:rsid w:val="0026726D"/>
    <w:rsid w:val="002676B2"/>
    <w:rsid w:val="002700C3"/>
    <w:rsid w:val="002711B5"/>
    <w:rsid w:val="00271C8C"/>
    <w:rsid w:val="00271D9D"/>
    <w:rsid w:val="00272175"/>
    <w:rsid w:val="00272DD0"/>
    <w:rsid w:val="00273708"/>
    <w:rsid w:val="00273BDC"/>
    <w:rsid w:val="00273CC7"/>
    <w:rsid w:val="00274223"/>
    <w:rsid w:val="00274AD6"/>
    <w:rsid w:val="00275511"/>
    <w:rsid w:val="00275543"/>
    <w:rsid w:val="0027638E"/>
    <w:rsid w:val="002767BE"/>
    <w:rsid w:val="002769A0"/>
    <w:rsid w:val="002775AB"/>
    <w:rsid w:val="00277644"/>
    <w:rsid w:val="00280459"/>
    <w:rsid w:val="00281E74"/>
    <w:rsid w:val="002823BA"/>
    <w:rsid w:val="0028276E"/>
    <w:rsid w:val="00283AB9"/>
    <w:rsid w:val="00284FB4"/>
    <w:rsid w:val="00284FCA"/>
    <w:rsid w:val="002850A6"/>
    <w:rsid w:val="00285B00"/>
    <w:rsid w:val="00285BA7"/>
    <w:rsid w:val="002863A6"/>
    <w:rsid w:val="0028658C"/>
    <w:rsid w:val="00286B79"/>
    <w:rsid w:val="00287021"/>
    <w:rsid w:val="00287AD5"/>
    <w:rsid w:val="002912A4"/>
    <w:rsid w:val="00291414"/>
    <w:rsid w:val="00292FF4"/>
    <w:rsid w:val="00293821"/>
    <w:rsid w:val="00294433"/>
    <w:rsid w:val="00294760"/>
    <w:rsid w:val="00294A52"/>
    <w:rsid w:val="00294CF4"/>
    <w:rsid w:val="00294E90"/>
    <w:rsid w:val="0029541D"/>
    <w:rsid w:val="0029552E"/>
    <w:rsid w:val="00295D53"/>
    <w:rsid w:val="00296E14"/>
    <w:rsid w:val="0029747C"/>
    <w:rsid w:val="00297509"/>
    <w:rsid w:val="002A003B"/>
    <w:rsid w:val="002A01B7"/>
    <w:rsid w:val="002A103C"/>
    <w:rsid w:val="002A155D"/>
    <w:rsid w:val="002A167D"/>
    <w:rsid w:val="002A235E"/>
    <w:rsid w:val="002A269E"/>
    <w:rsid w:val="002A26E6"/>
    <w:rsid w:val="002A32E9"/>
    <w:rsid w:val="002A33C4"/>
    <w:rsid w:val="002A3417"/>
    <w:rsid w:val="002A430B"/>
    <w:rsid w:val="002A5110"/>
    <w:rsid w:val="002A5795"/>
    <w:rsid w:val="002A581C"/>
    <w:rsid w:val="002A68E8"/>
    <w:rsid w:val="002A69E1"/>
    <w:rsid w:val="002A77A0"/>
    <w:rsid w:val="002B077E"/>
    <w:rsid w:val="002B1644"/>
    <w:rsid w:val="002B2A02"/>
    <w:rsid w:val="002B3ECF"/>
    <w:rsid w:val="002B4170"/>
    <w:rsid w:val="002B6019"/>
    <w:rsid w:val="002B693C"/>
    <w:rsid w:val="002B7065"/>
    <w:rsid w:val="002B7854"/>
    <w:rsid w:val="002C00AA"/>
    <w:rsid w:val="002C044B"/>
    <w:rsid w:val="002C0E89"/>
    <w:rsid w:val="002C24FC"/>
    <w:rsid w:val="002C2946"/>
    <w:rsid w:val="002C2A6A"/>
    <w:rsid w:val="002C3532"/>
    <w:rsid w:val="002C430E"/>
    <w:rsid w:val="002C5213"/>
    <w:rsid w:val="002C66D5"/>
    <w:rsid w:val="002C678B"/>
    <w:rsid w:val="002C67D0"/>
    <w:rsid w:val="002C6977"/>
    <w:rsid w:val="002C6DA6"/>
    <w:rsid w:val="002C71D9"/>
    <w:rsid w:val="002C7335"/>
    <w:rsid w:val="002C7EF8"/>
    <w:rsid w:val="002D03E6"/>
    <w:rsid w:val="002D04A2"/>
    <w:rsid w:val="002D11E1"/>
    <w:rsid w:val="002D1374"/>
    <w:rsid w:val="002D1C81"/>
    <w:rsid w:val="002D1D91"/>
    <w:rsid w:val="002D1DB5"/>
    <w:rsid w:val="002D2198"/>
    <w:rsid w:val="002D295A"/>
    <w:rsid w:val="002D322B"/>
    <w:rsid w:val="002D3988"/>
    <w:rsid w:val="002D3DCB"/>
    <w:rsid w:val="002D47C5"/>
    <w:rsid w:val="002D4D2B"/>
    <w:rsid w:val="002D4D62"/>
    <w:rsid w:val="002D5A86"/>
    <w:rsid w:val="002D785E"/>
    <w:rsid w:val="002E0BC7"/>
    <w:rsid w:val="002E1B33"/>
    <w:rsid w:val="002E29EC"/>
    <w:rsid w:val="002E2EF7"/>
    <w:rsid w:val="002E470A"/>
    <w:rsid w:val="002E52AB"/>
    <w:rsid w:val="002E5C0D"/>
    <w:rsid w:val="002E6F12"/>
    <w:rsid w:val="002E708C"/>
    <w:rsid w:val="002F0A32"/>
    <w:rsid w:val="002F19EC"/>
    <w:rsid w:val="002F1D7D"/>
    <w:rsid w:val="002F20A0"/>
    <w:rsid w:val="002F2954"/>
    <w:rsid w:val="002F38AD"/>
    <w:rsid w:val="002F3D88"/>
    <w:rsid w:val="002F4C2B"/>
    <w:rsid w:val="002F4E2E"/>
    <w:rsid w:val="002F5EFD"/>
    <w:rsid w:val="002F6B83"/>
    <w:rsid w:val="002F6EB8"/>
    <w:rsid w:val="002F7110"/>
    <w:rsid w:val="003000B2"/>
    <w:rsid w:val="003003E2"/>
    <w:rsid w:val="0030093E"/>
    <w:rsid w:val="003022FB"/>
    <w:rsid w:val="003026B1"/>
    <w:rsid w:val="0030285C"/>
    <w:rsid w:val="0030286D"/>
    <w:rsid w:val="00303C0A"/>
    <w:rsid w:val="00304D86"/>
    <w:rsid w:val="00305FB9"/>
    <w:rsid w:val="00307666"/>
    <w:rsid w:val="00307A1F"/>
    <w:rsid w:val="00311870"/>
    <w:rsid w:val="00311FF5"/>
    <w:rsid w:val="0031214D"/>
    <w:rsid w:val="00312601"/>
    <w:rsid w:val="00312A3C"/>
    <w:rsid w:val="0031330E"/>
    <w:rsid w:val="00313579"/>
    <w:rsid w:val="00313687"/>
    <w:rsid w:val="0031392B"/>
    <w:rsid w:val="00314930"/>
    <w:rsid w:val="0031564C"/>
    <w:rsid w:val="00315848"/>
    <w:rsid w:val="00316475"/>
    <w:rsid w:val="00316851"/>
    <w:rsid w:val="003173C8"/>
    <w:rsid w:val="00320334"/>
    <w:rsid w:val="00320760"/>
    <w:rsid w:val="00321A8F"/>
    <w:rsid w:val="00322102"/>
    <w:rsid w:val="0032331B"/>
    <w:rsid w:val="0032359B"/>
    <w:rsid w:val="00323899"/>
    <w:rsid w:val="00323DF4"/>
    <w:rsid w:val="00324D5E"/>
    <w:rsid w:val="0032674B"/>
    <w:rsid w:val="00326867"/>
    <w:rsid w:val="00327D76"/>
    <w:rsid w:val="00330956"/>
    <w:rsid w:val="00330B11"/>
    <w:rsid w:val="00330B56"/>
    <w:rsid w:val="0033135F"/>
    <w:rsid w:val="003314CD"/>
    <w:rsid w:val="003314D0"/>
    <w:rsid w:val="003315C8"/>
    <w:rsid w:val="003317E4"/>
    <w:rsid w:val="00332709"/>
    <w:rsid w:val="00333486"/>
    <w:rsid w:val="00333D00"/>
    <w:rsid w:val="00333FE7"/>
    <w:rsid w:val="00334739"/>
    <w:rsid w:val="00334C01"/>
    <w:rsid w:val="00335A12"/>
    <w:rsid w:val="00335BCC"/>
    <w:rsid w:val="00335F99"/>
    <w:rsid w:val="003363CC"/>
    <w:rsid w:val="003369EB"/>
    <w:rsid w:val="00336D1F"/>
    <w:rsid w:val="00336FF6"/>
    <w:rsid w:val="00337534"/>
    <w:rsid w:val="00340204"/>
    <w:rsid w:val="0034032C"/>
    <w:rsid w:val="0034116E"/>
    <w:rsid w:val="00341567"/>
    <w:rsid w:val="00341F38"/>
    <w:rsid w:val="0034238A"/>
    <w:rsid w:val="00342F48"/>
    <w:rsid w:val="0034374B"/>
    <w:rsid w:val="0034404B"/>
    <w:rsid w:val="00344BC8"/>
    <w:rsid w:val="00345A82"/>
    <w:rsid w:val="00346C74"/>
    <w:rsid w:val="003473CA"/>
    <w:rsid w:val="00347ECD"/>
    <w:rsid w:val="003507AC"/>
    <w:rsid w:val="00350E62"/>
    <w:rsid w:val="00350F4F"/>
    <w:rsid w:val="003518B0"/>
    <w:rsid w:val="00352609"/>
    <w:rsid w:val="0035282F"/>
    <w:rsid w:val="00352C65"/>
    <w:rsid w:val="00352CE8"/>
    <w:rsid w:val="003537A3"/>
    <w:rsid w:val="00353EDF"/>
    <w:rsid w:val="0035657E"/>
    <w:rsid w:val="003566E1"/>
    <w:rsid w:val="00356963"/>
    <w:rsid w:val="0035703A"/>
    <w:rsid w:val="003578E1"/>
    <w:rsid w:val="00357AFB"/>
    <w:rsid w:val="0036006F"/>
    <w:rsid w:val="0036051C"/>
    <w:rsid w:val="00361657"/>
    <w:rsid w:val="0036227C"/>
    <w:rsid w:val="0036244D"/>
    <w:rsid w:val="00362A1F"/>
    <w:rsid w:val="00362DA4"/>
    <w:rsid w:val="00362ECF"/>
    <w:rsid w:val="00364111"/>
    <w:rsid w:val="00364617"/>
    <w:rsid w:val="003653F8"/>
    <w:rsid w:val="003654EB"/>
    <w:rsid w:val="003658BF"/>
    <w:rsid w:val="00365C8F"/>
    <w:rsid w:val="00365FA0"/>
    <w:rsid w:val="0036606B"/>
    <w:rsid w:val="00366D6D"/>
    <w:rsid w:val="003671B9"/>
    <w:rsid w:val="00367938"/>
    <w:rsid w:val="00370064"/>
    <w:rsid w:val="0037096C"/>
    <w:rsid w:val="00371007"/>
    <w:rsid w:val="00371122"/>
    <w:rsid w:val="00372392"/>
    <w:rsid w:val="00372D14"/>
    <w:rsid w:val="003730CE"/>
    <w:rsid w:val="0037393C"/>
    <w:rsid w:val="00374D61"/>
    <w:rsid w:val="00374DA8"/>
    <w:rsid w:val="0037544B"/>
    <w:rsid w:val="00375B25"/>
    <w:rsid w:val="003760E0"/>
    <w:rsid w:val="003761E6"/>
    <w:rsid w:val="003763DF"/>
    <w:rsid w:val="00376DC4"/>
    <w:rsid w:val="00377296"/>
    <w:rsid w:val="003778E4"/>
    <w:rsid w:val="00377A38"/>
    <w:rsid w:val="00377C58"/>
    <w:rsid w:val="00380DBF"/>
    <w:rsid w:val="00381293"/>
    <w:rsid w:val="003821B3"/>
    <w:rsid w:val="003823BC"/>
    <w:rsid w:val="003833AD"/>
    <w:rsid w:val="003835D7"/>
    <w:rsid w:val="00383CB0"/>
    <w:rsid w:val="00383D75"/>
    <w:rsid w:val="00384556"/>
    <w:rsid w:val="00384E67"/>
    <w:rsid w:val="00385558"/>
    <w:rsid w:val="00385CC6"/>
    <w:rsid w:val="003862A8"/>
    <w:rsid w:val="0038669D"/>
    <w:rsid w:val="003869AE"/>
    <w:rsid w:val="00386ADF"/>
    <w:rsid w:val="00386B2E"/>
    <w:rsid w:val="00387C28"/>
    <w:rsid w:val="00387EE3"/>
    <w:rsid w:val="00390048"/>
    <w:rsid w:val="003907BF"/>
    <w:rsid w:val="003908BB"/>
    <w:rsid w:val="00391777"/>
    <w:rsid w:val="003921F0"/>
    <w:rsid w:val="00392442"/>
    <w:rsid w:val="00392696"/>
    <w:rsid w:val="00392B08"/>
    <w:rsid w:val="00392C22"/>
    <w:rsid w:val="00392E34"/>
    <w:rsid w:val="00393433"/>
    <w:rsid w:val="0039386B"/>
    <w:rsid w:val="00393AF7"/>
    <w:rsid w:val="00393D2C"/>
    <w:rsid w:val="00393D95"/>
    <w:rsid w:val="00394E75"/>
    <w:rsid w:val="00396C1B"/>
    <w:rsid w:val="00397B0D"/>
    <w:rsid w:val="003A0041"/>
    <w:rsid w:val="003A0A76"/>
    <w:rsid w:val="003A0B60"/>
    <w:rsid w:val="003A1567"/>
    <w:rsid w:val="003A20B0"/>
    <w:rsid w:val="003A302C"/>
    <w:rsid w:val="003A34B2"/>
    <w:rsid w:val="003A4671"/>
    <w:rsid w:val="003A5435"/>
    <w:rsid w:val="003A587D"/>
    <w:rsid w:val="003A5CE6"/>
    <w:rsid w:val="003A65DA"/>
    <w:rsid w:val="003A6D0F"/>
    <w:rsid w:val="003A6E90"/>
    <w:rsid w:val="003A6E9D"/>
    <w:rsid w:val="003B012B"/>
    <w:rsid w:val="003B0192"/>
    <w:rsid w:val="003B0AAB"/>
    <w:rsid w:val="003B12DD"/>
    <w:rsid w:val="003B1613"/>
    <w:rsid w:val="003B224D"/>
    <w:rsid w:val="003B2CB4"/>
    <w:rsid w:val="003B3356"/>
    <w:rsid w:val="003B3F5C"/>
    <w:rsid w:val="003B47B9"/>
    <w:rsid w:val="003B4973"/>
    <w:rsid w:val="003B569A"/>
    <w:rsid w:val="003B5CE5"/>
    <w:rsid w:val="003B5DED"/>
    <w:rsid w:val="003B5EAD"/>
    <w:rsid w:val="003B664F"/>
    <w:rsid w:val="003B6A8D"/>
    <w:rsid w:val="003B6CC7"/>
    <w:rsid w:val="003C1AA5"/>
    <w:rsid w:val="003C2338"/>
    <w:rsid w:val="003C29C1"/>
    <w:rsid w:val="003C2CE5"/>
    <w:rsid w:val="003C300B"/>
    <w:rsid w:val="003C3581"/>
    <w:rsid w:val="003C3BE6"/>
    <w:rsid w:val="003C4053"/>
    <w:rsid w:val="003C5884"/>
    <w:rsid w:val="003C60AB"/>
    <w:rsid w:val="003C61F4"/>
    <w:rsid w:val="003C67C1"/>
    <w:rsid w:val="003C6D27"/>
    <w:rsid w:val="003C6E7E"/>
    <w:rsid w:val="003C76A2"/>
    <w:rsid w:val="003C7EEE"/>
    <w:rsid w:val="003D011D"/>
    <w:rsid w:val="003D0414"/>
    <w:rsid w:val="003D0965"/>
    <w:rsid w:val="003D0B8E"/>
    <w:rsid w:val="003D0E89"/>
    <w:rsid w:val="003D307B"/>
    <w:rsid w:val="003D43C5"/>
    <w:rsid w:val="003D4C54"/>
    <w:rsid w:val="003D4D75"/>
    <w:rsid w:val="003D5000"/>
    <w:rsid w:val="003D6955"/>
    <w:rsid w:val="003D6CF8"/>
    <w:rsid w:val="003D71A9"/>
    <w:rsid w:val="003D7D43"/>
    <w:rsid w:val="003E0363"/>
    <w:rsid w:val="003E0DCA"/>
    <w:rsid w:val="003E41A5"/>
    <w:rsid w:val="003E439A"/>
    <w:rsid w:val="003E68E9"/>
    <w:rsid w:val="003E6961"/>
    <w:rsid w:val="003E7350"/>
    <w:rsid w:val="003E75E1"/>
    <w:rsid w:val="003E7886"/>
    <w:rsid w:val="003E7D4A"/>
    <w:rsid w:val="003F053E"/>
    <w:rsid w:val="003F095F"/>
    <w:rsid w:val="003F12CC"/>
    <w:rsid w:val="003F2341"/>
    <w:rsid w:val="003F25B0"/>
    <w:rsid w:val="003F29EB"/>
    <w:rsid w:val="003F2A66"/>
    <w:rsid w:val="003F2F90"/>
    <w:rsid w:val="003F3120"/>
    <w:rsid w:val="003F36E1"/>
    <w:rsid w:val="003F43C1"/>
    <w:rsid w:val="003F57CF"/>
    <w:rsid w:val="003F5D58"/>
    <w:rsid w:val="003F624B"/>
    <w:rsid w:val="004002C0"/>
    <w:rsid w:val="00400BAC"/>
    <w:rsid w:val="00400CF1"/>
    <w:rsid w:val="00400D80"/>
    <w:rsid w:val="00401C10"/>
    <w:rsid w:val="00401E95"/>
    <w:rsid w:val="004030BF"/>
    <w:rsid w:val="0040375E"/>
    <w:rsid w:val="00403C46"/>
    <w:rsid w:val="00404157"/>
    <w:rsid w:val="0040456C"/>
    <w:rsid w:val="004055D6"/>
    <w:rsid w:val="00406A76"/>
    <w:rsid w:val="004074FF"/>
    <w:rsid w:val="004109C5"/>
    <w:rsid w:val="00410A3C"/>
    <w:rsid w:val="004120BD"/>
    <w:rsid w:val="00412421"/>
    <w:rsid w:val="0041288C"/>
    <w:rsid w:val="00412BCD"/>
    <w:rsid w:val="00413594"/>
    <w:rsid w:val="0041388E"/>
    <w:rsid w:val="00413B47"/>
    <w:rsid w:val="00413D25"/>
    <w:rsid w:val="00413D97"/>
    <w:rsid w:val="00413F17"/>
    <w:rsid w:val="0041488A"/>
    <w:rsid w:val="00414AEA"/>
    <w:rsid w:val="004150B0"/>
    <w:rsid w:val="004153A5"/>
    <w:rsid w:val="00416AA2"/>
    <w:rsid w:val="00416B03"/>
    <w:rsid w:val="00416DDE"/>
    <w:rsid w:val="0042038F"/>
    <w:rsid w:val="00420561"/>
    <w:rsid w:val="004207FF"/>
    <w:rsid w:val="00420872"/>
    <w:rsid w:val="004209AF"/>
    <w:rsid w:val="00422A84"/>
    <w:rsid w:val="00423BAF"/>
    <w:rsid w:val="00424723"/>
    <w:rsid w:val="004248E8"/>
    <w:rsid w:val="00424DFE"/>
    <w:rsid w:val="00425772"/>
    <w:rsid w:val="00425A3D"/>
    <w:rsid w:val="00425D48"/>
    <w:rsid w:val="004278DE"/>
    <w:rsid w:val="0043060B"/>
    <w:rsid w:val="00430684"/>
    <w:rsid w:val="00430991"/>
    <w:rsid w:val="00430ABB"/>
    <w:rsid w:val="00430F32"/>
    <w:rsid w:val="0043152D"/>
    <w:rsid w:val="0043195B"/>
    <w:rsid w:val="00431DF8"/>
    <w:rsid w:val="004320F3"/>
    <w:rsid w:val="00432A0C"/>
    <w:rsid w:val="00432F03"/>
    <w:rsid w:val="004333BF"/>
    <w:rsid w:val="004337A9"/>
    <w:rsid w:val="00433970"/>
    <w:rsid w:val="00434C4C"/>
    <w:rsid w:val="0043535C"/>
    <w:rsid w:val="00435F76"/>
    <w:rsid w:val="00435FE3"/>
    <w:rsid w:val="0043613F"/>
    <w:rsid w:val="00436381"/>
    <w:rsid w:val="00436485"/>
    <w:rsid w:val="004365BF"/>
    <w:rsid w:val="00436AFA"/>
    <w:rsid w:val="00437315"/>
    <w:rsid w:val="004401B3"/>
    <w:rsid w:val="00440343"/>
    <w:rsid w:val="004403ED"/>
    <w:rsid w:val="004407D4"/>
    <w:rsid w:val="00440D7A"/>
    <w:rsid w:val="00441A39"/>
    <w:rsid w:val="00442872"/>
    <w:rsid w:val="0044290A"/>
    <w:rsid w:val="004432C3"/>
    <w:rsid w:val="00443600"/>
    <w:rsid w:val="00444350"/>
    <w:rsid w:val="004444F8"/>
    <w:rsid w:val="00445141"/>
    <w:rsid w:val="00445E11"/>
    <w:rsid w:val="004479DA"/>
    <w:rsid w:val="00447E22"/>
    <w:rsid w:val="00450619"/>
    <w:rsid w:val="00450AC5"/>
    <w:rsid w:val="00450F9F"/>
    <w:rsid w:val="004514BC"/>
    <w:rsid w:val="00451544"/>
    <w:rsid w:val="00452365"/>
    <w:rsid w:val="004524FC"/>
    <w:rsid w:val="0045377C"/>
    <w:rsid w:val="004547C9"/>
    <w:rsid w:val="0045511F"/>
    <w:rsid w:val="004561F5"/>
    <w:rsid w:val="00456B51"/>
    <w:rsid w:val="00456C88"/>
    <w:rsid w:val="00457968"/>
    <w:rsid w:val="00457A0F"/>
    <w:rsid w:val="00460329"/>
    <w:rsid w:val="00460859"/>
    <w:rsid w:val="00460D94"/>
    <w:rsid w:val="004610A5"/>
    <w:rsid w:val="0046163A"/>
    <w:rsid w:val="0046173B"/>
    <w:rsid w:val="00461E8E"/>
    <w:rsid w:val="00462A74"/>
    <w:rsid w:val="00462FCC"/>
    <w:rsid w:val="00464C41"/>
    <w:rsid w:val="00466013"/>
    <w:rsid w:val="004661D1"/>
    <w:rsid w:val="004673AD"/>
    <w:rsid w:val="00467C7E"/>
    <w:rsid w:val="00470072"/>
    <w:rsid w:val="004707C2"/>
    <w:rsid w:val="00470A6C"/>
    <w:rsid w:val="0047111D"/>
    <w:rsid w:val="00471FAE"/>
    <w:rsid w:val="0047209B"/>
    <w:rsid w:val="00472135"/>
    <w:rsid w:val="004724F0"/>
    <w:rsid w:val="00473501"/>
    <w:rsid w:val="004740B0"/>
    <w:rsid w:val="00474130"/>
    <w:rsid w:val="00474E1F"/>
    <w:rsid w:val="0047671A"/>
    <w:rsid w:val="00476D6A"/>
    <w:rsid w:val="00480303"/>
    <w:rsid w:val="00480878"/>
    <w:rsid w:val="00480B25"/>
    <w:rsid w:val="004816E6"/>
    <w:rsid w:val="0048191A"/>
    <w:rsid w:val="00481BA5"/>
    <w:rsid w:val="00481C57"/>
    <w:rsid w:val="00482C5E"/>
    <w:rsid w:val="00483380"/>
    <w:rsid w:val="00484322"/>
    <w:rsid w:val="00484837"/>
    <w:rsid w:val="00484EF6"/>
    <w:rsid w:val="0048536F"/>
    <w:rsid w:val="0048572A"/>
    <w:rsid w:val="004860C3"/>
    <w:rsid w:val="00486F1D"/>
    <w:rsid w:val="004872BC"/>
    <w:rsid w:val="004876EB"/>
    <w:rsid w:val="00487E48"/>
    <w:rsid w:val="00487FC1"/>
    <w:rsid w:val="00490298"/>
    <w:rsid w:val="004902AA"/>
    <w:rsid w:val="00490383"/>
    <w:rsid w:val="00490659"/>
    <w:rsid w:val="00490AD1"/>
    <w:rsid w:val="00490E56"/>
    <w:rsid w:val="00492196"/>
    <w:rsid w:val="0049273C"/>
    <w:rsid w:val="0049351B"/>
    <w:rsid w:val="0049459C"/>
    <w:rsid w:val="00494FE9"/>
    <w:rsid w:val="0049509E"/>
    <w:rsid w:val="0049517E"/>
    <w:rsid w:val="00495D16"/>
    <w:rsid w:val="00495F9F"/>
    <w:rsid w:val="0049608F"/>
    <w:rsid w:val="0049609E"/>
    <w:rsid w:val="004A015F"/>
    <w:rsid w:val="004A184A"/>
    <w:rsid w:val="004A22AF"/>
    <w:rsid w:val="004A2639"/>
    <w:rsid w:val="004A31FE"/>
    <w:rsid w:val="004A4333"/>
    <w:rsid w:val="004A52A8"/>
    <w:rsid w:val="004A5A55"/>
    <w:rsid w:val="004A629A"/>
    <w:rsid w:val="004A7052"/>
    <w:rsid w:val="004A7DEA"/>
    <w:rsid w:val="004B00B5"/>
    <w:rsid w:val="004B0947"/>
    <w:rsid w:val="004B0B3B"/>
    <w:rsid w:val="004B16E7"/>
    <w:rsid w:val="004B16F0"/>
    <w:rsid w:val="004B1834"/>
    <w:rsid w:val="004B2283"/>
    <w:rsid w:val="004B22A0"/>
    <w:rsid w:val="004B3F17"/>
    <w:rsid w:val="004B3F25"/>
    <w:rsid w:val="004B4409"/>
    <w:rsid w:val="004B4419"/>
    <w:rsid w:val="004B50E4"/>
    <w:rsid w:val="004B5E8B"/>
    <w:rsid w:val="004B607E"/>
    <w:rsid w:val="004B65E6"/>
    <w:rsid w:val="004B6993"/>
    <w:rsid w:val="004B7079"/>
    <w:rsid w:val="004B73D3"/>
    <w:rsid w:val="004C0161"/>
    <w:rsid w:val="004C0178"/>
    <w:rsid w:val="004C11C6"/>
    <w:rsid w:val="004C1205"/>
    <w:rsid w:val="004C1891"/>
    <w:rsid w:val="004C197B"/>
    <w:rsid w:val="004C1C14"/>
    <w:rsid w:val="004C1C54"/>
    <w:rsid w:val="004C20C8"/>
    <w:rsid w:val="004C2D19"/>
    <w:rsid w:val="004C3F90"/>
    <w:rsid w:val="004C4546"/>
    <w:rsid w:val="004C4590"/>
    <w:rsid w:val="004C5F3B"/>
    <w:rsid w:val="004C739B"/>
    <w:rsid w:val="004C753F"/>
    <w:rsid w:val="004C77B9"/>
    <w:rsid w:val="004D0153"/>
    <w:rsid w:val="004D09F8"/>
    <w:rsid w:val="004D0E48"/>
    <w:rsid w:val="004D181D"/>
    <w:rsid w:val="004D1CA0"/>
    <w:rsid w:val="004D27FC"/>
    <w:rsid w:val="004D2E0D"/>
    <w:rsid w:val="004D32EC"/>
    <w:rsid w:val="004D3427"/>
    <w:rsid w:val="004D3F98"/>
    <w:rsid w:val="004D4CB6"/>
    <w:rsid w:val="004D4F11"/>
    <w:rsid w:val="004D53EF"/>
    <w:rsid w:val="004D5788"/>
    <w:rsid w:val="004D6253"/>
    <w:rsid w:val="004D6FA0"/>
    <w:rsid w:val="004D7777"/>
    <w:rsid w:val="004D7CCF"/>
    <w:rsid w:val="004D7DF8"/>
    <w:rsid w:val="004E0001"/>
    <w:rsid w:val="004E0AE8"/>
    <w:rsid w:val="004E0E9A"/>
    <w:rsid w:val="004E1113"/>
    <w:rsid w:val="004E204A"/>
    <w:rsid w:val="004E3014"/>
    <w:rsid w:val="004E3206"/>
    <w:rsid w:val="004E4434"/>
    <w:rsid w:val="004E4DC5"/>
    <w:rsid w:val="004E4FCD"/>
    <w:rsid w:val="004E5A4C"/>
    <w:rsid w:val="004E5AE0"/>
    <w:rsid w:val="004E5ECC"/>
    <w:rsid w:val="004E61E3"/>
    <w:rsid w:val="004E6597"/>
    <w:rsid w:val="004E6598"/>
    <w:rsid w:val="004E684B"/>
    <w:rsid w:val="004E6A93"/>
    <w:rsid w:val="004E6C61"/>
    <w:rsid w:val="004E76D3"/>
    <w:rsid w:val="004E78E8"/>
    <w:rsid w:val="004E7EF9"/>
    <w:rsid w:val="004F046D"/>
    <w:rsid w:val="004F0D6A"/>
    <w:rsid w:val="004F0E25"/>
    <w:rsid w:val="004F1741"/>
    <w:rsid w:val="004F245D"/>
    <w:rsid w:val="004F431D"/>
    <w:rsid w:val="004F510F"/>
    <w:rsid w:val="004F5FBE"/>
    <w:rsid w:val="004F6479"/>
    <w:rsid w:val="004F7935"/>
    <w:rsid w:val="004F7C87"/>
    <w:rsid w:val="0050140F"/>
    <w:rsid w:val="0050326D"/>
    <w:rsid w:val="005035E8"/>
    <w:rsid w:val="00503895"/>
    <w:rsid w:val="00503D94"/>
    <w:rsid w:val="0050485F"/>
    <w:rsid w:val="00504A30"/>
    <w:rsid w:val="00505577"/>
    <w:rsid w:val="00505861"/>
    <w:rsid w:val="00506752"/>
    <w:rsid w:val="005069B0"/>
    <w:rsid w:val="005105C8"/>
    <w:rsid w:val="00510DB6"/>
    <w:rsid w:val="00512A3D"/>
    <w:rsid w:val="005132F5"/>
    <w:rsid w:val="005139F3"/>
    <w:rsid w:val="00513B1E"/>
    <w:rsid w:val="00513D33"/>
    <w:rsid w:val="00514917"/>
    <w:rsid w:val="00514F13"/>
    <w:rsid w:val="0052049B"/>
    <w:rsid w:val="005204D7"/>
    <w:rsid w:val="0052136A"/>
    <w:rsid w:val="0052183F"/>
    <w:rsid w:val="00521C8E"/>
    <w:rsid w:val="00521E46"/>
    <w:rsid w:val="00522596"/>
    <w:rsid w:val="005226B5"/>
    <w:rsid w:val="00522893"/>
    <w:rsid w:val="00522E5B"/>
    <w:rsid w:val="00523C30"/>
    <w:rsid w:val="00524858"/>
    <w:rsid w:val="00524990"/>
    <w:rsid w:val="00524BB0"/>
    <w:rsid w:val="00524EB9"/>
    <w:rsid w:val="0052641F"/>
    <w:rsid w:val="0052709E"/>
    <w:rsid w:val="00527500"/>
    <w:rsid w:val="005275A6"/>
    <w:rsid w:val="005300BF"/>
    <w:rsid w:val="00530585"/>
    <w:rsid w:val="00530812"/>
    <w:rsid w:val="005310D8"/>
    <w:rsid w:val="00533999"/>
    <w:rsid w:val="00533A47"/>
    <w:rsid w:val="00533C1D"/>
    <w:rsid w:val="005341C1"/>
    <w:rsid w:val="005343C5"/>
    <w:rsid w:val="0053492D"/>
    <w:rsid w:val="005352B8"/>
    <w:rsid w:val="00535BC0"/>
    <w:rsid w:val="005362A5"/>
    <w:rsid w:val="00536C55"/>
    <w:rsid w:val="00536D36"/>
    <w:rsid w:val="00540B28"/>
    <w:rsid w:val="00540CA4"/>
    <w:rsid w:val="005412A8"/>
    <w:rsid w:val="00541AEB"/>
    <w:rsid w:val="00541E18"/>
    <w:rsid w:val="005435C3"/>
    <w:rsid w:val="00544231"/>
    <w:rsid w:val="00544239"/>
    <w:rsid w:val="0054636D"/>
    <w:rsid w:val="00546C9A"/>
    <w:rsid w:val="0054702C"/>
    <w:rsid w:val="00547043"/>
    <w:rsid w:val="005477D0"/>
    <w:rsid w:val="0055047A"/>
    <w:rsid w:val="00551705"/>
    <w:rsid w:val="00551B7F"/>
    <w:rsid w:val="00552C72"/>
    <w:rsid w:val="00553129"/>
    <w:rsid w:val="0055322E"/>
    <w:rsid w:val="00553DC1"/>
    <w:rsid w:val="00553E9F"/>
    <w:rsid w:val="0055416D"/>
    <w:rsid w:val="005563D2"/>
    <w:rsid w:val="00556AD7"/>
    <w:rsid w:val="00557AA9"/>
    <w:rsid w:val="0056024E"/>
    <w:rsid w:val="00560404"/>
    <w:rsid w:val="005609F2"/>
    <w:rsid w:val="00561948"/>
    <w:rsid w:val="00561A99"/>
    <w:rsid w:val="00561CE7"/>
    <w:rsid w:val="0056209A"/>
    <w:rsid w:val="00562367"/>
    <w:rsid w:val="005630D3"/>
    <w:rsid w:val="00563D6A"/>
    <w:rsid w:val="005651B5"/>
    <w:rsid w:val="005652E5"/>
    <w:rsid w:val="00565D21"/>
    <w:rsid w:val="00567DB5"/>
    <w:rsid w:val="00567DF6"/>
    <w:rsid w:val="005702BB"/>
    <w:rsid w:val="005717F0"/>
    <w:rsid w:val="00571B27"/>
    <w:rsid w:val="005727FC"/>
    <w:rsid w:val="00572D0C"/>
    <w:rsid w:val="00573103"/>
    <w:rsid w:val="00573D65"/>
    <w:rsid w:val="0057562A"/>
    <w:rsid w:val="005759FD"/>
    <w:rsid w:val="00576E99"/>
    <w:rsid w:val="00577BF6"/>
    <w:rsid w:val="00577FF5"/>
    <w:rsid w:val="00580227"/>
    <w:rsid w:val="00580838"/>
    <w:rsid w:val="005815EC"/>
    <w:rsid w:val="00582114"/>
    <w:rsid w:val="00582F5D"/>
    <w:rsid w:val="005833A5"/>
    <w:rsid w:val="00583F9E"/>
    <w:rsid w:val="00584610"/>
    <w:rsid w:val="0058597D"/>
    <w:rsid w:val="00585D95"/>
    <w:rsid w:val="005860DD"/>
    <w:rsid w:val="00586F83"/>
    <w:rsid w:val="00587545"/>
    <w:rsid w:val="0058787B"/>
    <w:rsid w:val="00590066"/>
    <w:rsid w:val="0059010F"/>
    <w:rsid w:val="005904AE"/>
    <w:rsid w:val="0059050A"/>
    <w:rsid w:val="00590A19"/>
    <w:rsid w:val="00590E38"/>
    <w:rsid w:val="00590F97"/>
    <w:rsid w:val="00592A05"/>
    <w:rsid w:val="00592A46"/>
    <w:rsid w:val="00592B8C"/>
    <w:rsid w:val="005934AE"/>
    <w:rsid w:val="00593B69"/>
    <w:rsid w:val="00593D22"/>
    <w:rsid w:val="005942B0"/>
    <w:rsid w:val="00594FA5"/>
    <w:rsid w:val="00595057"/>
    <w:rsid w:val="00595D48"/>
    <w:rsid w:val="00596774"/>
    <w:rsid w:val="0059677D"/>
    <w:rsid w:val="005968D9"/>
    <w:rsid w:val="00597190"/>
    <w:rsid w:val="00597AE4"/>
    <w:rsid w:val="00597D1C"/>
    <w:rsid w:val="00597F31"/>
    <w:rsid w:val="00597FBD"/>
    <w:rsid w:val="005A0133"/>
    <w:rsid w:val="005A054E"/>
    <w:rsid w:val="005A0F13"/>
    <w:rsid w:val="005A1EC8"/>
    <w:rsid w:val="005A2030"/>
    <w:rsid w:val="005A2DBB"/>
    <w:rsid w:val="005A394F"/>
    <w:rsid w:val="005A3FE2"/>
    <w:rsid w:val="005A4BB2"/>
    <w:rsid w:val="005A5A2A"/>
    <w:rsid w:val="005A5DC8"/>
    <w:rsid w:val="005A6A97"/>
    <w:rsid w:val="005A7046"/>
    <w:rsid w:val="005A738D"/>
    <w:rsid w:val="005A745C"/>
    <w:rsid w:val="005A7958"/>
    <w:rsid w:val="005B00BF"/>
    <w:rsid w:val="005B0B8A"/>
    <w:rsid w:val="005B0C40"/>
    <w:rsid w:val="005B17AD"/>
    <w:rsid w:val="005B1D27"/>
    <w:rsid w:val="005B299A"/>
    <w:rsid w:val="005B29F0"/>
    <w:rsid w:val="005B3364"/>
    <w:rsid w:val="005B50DB"/>
    <w:rsid w:val="005B6449"/>
    <w:rsid w:val="005B67E4"/>
    <w:rsid w:val="005B6828"/>
    <w:rsid w:val="005B6CC4"/>
    <w:rsid w:val="005C052A"/>
    <w:rsid w:val="005C0746"/>
    <w:rsid w:val="005C0A5E"/>
    <w:rsid w:val="005C160C"/>
    <w:rsid w:val="005C1ABC"/>
    <w:rsid w:val="005C21E4"/>
    <w:rsid w:val="005C2DCF"/>
    <w:rsid w:val="005C2FA1"/>
    <w:rsid w:val="005C38E1"/>
    <w:rsid w:val="005C3ABF"/>
    <w:rsid w:val="005C48E8"/>
    <w:rsid w:val="005C4B15"/>
    <w:rsid w:val="005C4FD7"/>
    <w:rsid w:val="005C541B"/>
    <w:rsid w:val="005C74B9"/>
    <w:rsid w:val="005C750E"/>
    <w:rsid w:val="005C7D57"/>
    <w:rsid w:val="005D0373"/>
    <w:rsid w:val="005D0847"/>
    <w:rsid w:val="005D196F"/>
    <w:rsid w:val="005D1A9E"/>
    <w:rsid w:val="005D25F9"/>
    <w:rsid w:val="005D2FB7"/>
    <w:rsid w:val="005D4F67"/>
    <w:rsid w:val="005D4FC5"/>
    <w:rsid w:val="005D54BF"/>
    <w:rsid w:val="005D5ABB"/>
    <w:rsid w:val="005D5D6A"/>
    <w:rsid w:val="005D62D9"/>
    <w:rsid w:val="005D6960"/>
    <w:rsid w:val="005E040C"/>
    <w:rsid w:val="005E0BAA"/>
    <w:rsid w:val="005E166F"/>
    <w:rsid w:val="005E1DE7"/>
    <w:rsid w:val="005E1E4A"/>
    <w:rsid w:val="005E22B8"/>
    <w:rsid w:val="005E2FE2"/>
    <w:rsid w:val="005E3EBF"/>
    <w:rsid w:val="005E4668"/>
    <w:rsid w:val="005E4E91"/>
    <w:rsid w:val="005E50A8"/>
    <w:rsid w:val="005E5CAA"/>
    <w:rsid w:val="005E605A"/>
    <w:rsid w:val="005E6B07"/>
    <w:rsid w:val="005E6C4D"/>
    <w:rsid w:val="005E7052"/>
    <w:rsid w:val="005E7785"/>
    <w:rsid w:val="005E7FB6"/>
    <w:rsid w:val="005F159F"/>
    <w:rsid w:val="005F1984"/>
    <w:rsid w:val="005F1D0F"/>
    <w:rsid w:val="005F242A"/>
    <w:rsid w:val="005F2AAE"/>
    <w:rsid w:val="005F318F"/>
    <w:rsid w:val="005F3D1D"/>
    <w:rsid w:val="005F3E8A"/>
    <w:rsid w:val="005F47B6"/>
    <w:rsid w:val="005F4B78"/>
    <w:rsid w:val="005F4F3B"/>
    <w:rsid w:val="005F5BD4"/>
    <w:rsid w:val="005F676E"/>
    <w:rsid w:val="005F71EF"/>
    <w:rsid w:val="005F7999"/>
    <w:rsid w:val="005F7E54"/>
    <w:rsid w:val="00600A5D"/>
    <w:rsid w:val="00600FB7"/>
    <w:rsid w:val="00601745"/>
    <w:rsid w:val="00602C17"/>
    <w:rsid w:val="00604704"/>
    <w:rsid w:val="006051C8"/>
    <w:rsid w:val="006053BB"/>
    <w:rsid w:val="00605574"/>
    <w:rsid w:val="006055D5"/>
    <w:rsid w:val="00605903"/>
    <w:rsid w:val="00605BCC"/>
    <w:rsid w:val="00605FC3"/>
    <w:rsid w:val="006070D0"/>
    <w:rsid w:val="0061024C"/>
    <w:rsid w:val="006109EB"/>
    <w:rsid w:val="00610D83"/>
    <w:rsid w:val="006114D4"/>
    <w:rsid w:val="00611B5A"/>
    <w:rsid w:val="00611D31"/>
    <w:rsid w:val="006129D5"/>
    <w:rsid w:val="00612C68"/>
    <w:rsid w:val="00613E1D"/>
    <w:rsid w:val="006144B2"/>
    <w:rsid w:val="0061563B"/>
    <w:rsid w:val="006157B9"/>
    <w:rsid w:val="006175C2"/>
    <w:rsid w:val="00617789"/>
    <w:rsid w:val="00621307"/>
    <w:rsid w:val="0062183B"/>
    <w:rsid w:val="00621904"/>
    <w:rsid w:val="00621D4B"/>
    <w:rsid w:val="00622247"/>
    <w:rsid w:val="006223A4"/>
    <w:rsid w:val="006225D4"/>
    <w:rsid w:val="006228B0"/>
    <w:rsid w:val="00622DEA"/>
    <w:rsid w:val="006234AA"/>
    <w:rsid w:val="00623690"/>
    <w:rsid w:val="00623B19"/>
    <w:rsid w:val="00623B97"/>
    <w:rsid w:val="00623BF3"/>
    <w:rsid w:val="00623C25"/>
    <w:rsid w:val="0062462F"/>
    <w:rsid w:val="006255AB"/>
    <w:rsid w:val="00625997"/>
    <w:rsid w:val="00625B85"/>
    <w:rsid w:val="00625DC9"/>
    <w:rsid w:val="00625F28"/>
    <w:rsid w:val="00625FD8"/>
    <w:rsid w:val="00626345"/>
    <w:rsid w:val="00626731"/>
    <w:rsid w:val="00627682"/>
    <w:rsid w:val="006278DD"/>
    <w:rsid w:val="00627D5C"/>
    <w:rsid w:val="0063026F"/>
    <w:rsid w:val="00630E35"/>
    <w:rsid w:val="0063190E"/>
    <w:rsid w:val="00632071"/>
    <w:rsid w:val="00632DC8"/>
    <w:rsid w:val="0063479B"/>
    <w:rsid w:val="00634909"/>
    <w:rsid w:val="00635D50"/>
    <w:rsid w:val="0063727F"/>
    <w:rsid w:val="00637F74"/>
    <w:rsid w:val="00640112"/>
    <w:rsid w:val="0064036B"/>
    <w:rsid w:val="00642992"/>
    <w:rsid w:val="006429B6"/>
    <w:rsid w:val="0064380C"/>
    <w:rsid w:val="00643E47"/>
    <w:rsid w:val="00644349"/>
    <w:rsid w:val="006445D3"/>
    <w:rsid w:val="00645A76"/>
    <w:rsid w:val="00646452"/>
    <w:rsid w:val="0064657E"/>
    <w:rsid w:val="00646EC7"/>
    <w:rsid w:val="00647577"/>
    <w:rsid w:val="0064762D"/>
    <w:rsid w:val="00650602"/>
    <w:rsid w:val="00651101"/>
    <w:rsid w:val="0065178E"/>
    <w:rsid w:val="00652A70"/>
    <w:rsid w:val="006530B4"/>
    <w:rsid w:val="00653483"/>
    <w:rsid w:val="00653810"/>
    <w:rsid w:val="00653F75"/>
    <w:rsid w:val="006552A6"/>
    <w:rsid w:val="00655D44"/>
    <w:rsid w:val="0065647A"/>
    <w:rsid w:val="0065702E"/>
    <w:rsid w:val="006573AB"/>
    <w:rsid w:val="0065771D"/>
    <w:rsid w:val="00657A55"/>
    <w:rsid w:val="00657A71"/>
    <w:rsid w:val="00660893"/>
    <w:rsid w:val="00662A39"/>
    <w:rsid w:val="0066309D"/>
    <w:rsid w:val="0066310E"/>
    <w:rsid w:val="00664955"/>
    <w:rsid w:val="006651BB"/>
    <w:rsid w:val="00665626"/>
    <w:rsid w:val="006663C5"/>
    <w:rsid w:val="0066769F"/>
    <w:rsid w:val="0066779B"/>
    <w:rsid w:val="00667987"/>
    <w:rsid w:val="00670097"/>
    <w:rsid w:val="006701DE"/>
    <w:rsid w:val="00670B38"/>
    <w:rsid w:val="00670F63"/>
    <w:rsid w:val="0067338F"/>
    <w:rsid w:val="00673B29"/>
    <w:rsid w:val="006742E4"/>
    <w:rsid w:val="00674C8A"/>
    <w:rsid w:val="00676056"/>
    <w:rsid w:val="00676442"/>
    <w:rsid w:val="00681346"/>
    <w:rsid w:val="00683A43"/>
    <w:rsid w:val="00683AAF"/>
    <w:rsid w:val="006863E4"/>
    <w:rsid w:val="00687150"/>
    <w:rsid w:val="00687B46"/>
    <w:rsid w:val="00687CBB"/>
    <w:rsid w:val="00690D5E"/>
    <w:rsid w:val="0069161A"/>
    <w:rsid w:val="006918B2"/>
    <w:rsid w:val="006918D3"/>
    <w:rsid w:val="00691D64"/>
    <w:rsid w:val="00692C1F"/>
    <w:rsid w:val="00692FA0"/>
    <w:rsid w:val="006938B6"/>
    <w:rsid w:val="00693F2E"/>
    <w:rsid w:val="0069441F"/>
    <w:rsid w:val="0069639A"/>
    <w:rsid w:val="00696EBB"/>
    <w:rsid w:val="00696FA9"/>
    <w:rsid w:val="0069744B"/>
    <w:rsid w:val="006979F8"/>
    <w:rsid w:val="00697D72"/>
    <w:rsid w:val="006A07CD"/>
    <w:rsid w:val="006A1314"/>
    <w:rsid w:val="006A1421"/>
    <w:rsid w:val="006A21A5"/>
    <w:rsid w:val="006A262C"/>
    <w:rsid w:val="006A2FE2"/>
    <w:rsid w:val="006A319A"/>
    <w:rsid w:val="006A54AE"/>
    <w:rsid w:val="006A54BF"/>
    <w:rsid w:val="006A611F"/>
    <w:rsid w:val="006A6409"/>
    <w:rsid w:val="006B14A0"/>
    <w:rsid w:val="006B1949"/>
    <w:rsid w:val="006B1982"/>
    <w:rsid w:val="006B1D3A"/>
    <w:rsid w:val="006B2427"/>
    <w:rsid w:val="006B289E"/>
    <w:rsid w:val="006B2CF3"/>
    <w:rsid w:val="006B2D30"/>
    <w:rsid w:val="006B2E8D"/>
    <w:rsid w:val="006B33B3"/>
    <w:rsid w:val="006B425F"/>
    <w:rsid w:val="006B4625"/>
    <w:rsid w:val="006B4FA2"/>
    <w:rsid w:val="006B5D58"/>
    <w:rsid w:val="006B5EB3"/>
    <w:rsid w:val="006B6198"/>
    <w:rsid w:val="006B6717"/>
    <w:rsid w:val="006B7172"/>
    <w:rsid w:val="006B7FB8"/>
    <w:rsid w:val="006C0501"/>
    <w:rsid w:val="006C0C91"/>
    <w:rsid w:val="006C0D29"/>
    <w:rsid w:val="006C23CF"/>
    <w:rsid w:val="006C2667"/>
    <w:rsid w:val="006C2F65"/>
    <w:rsid w:val="006C31AA"/>
    <w:rsid w:val="006C379E"/>
    <w:rsid w:val="006C3F43"/>
    <w:rsid w:val="006C43C6"/>
    <w:rsid w:val="006C45A4"/>
    <w:rsid w:val="006C46FA"/>
    <w:rsid w:val="006C48C5"/>
    <w:rsid w:val="006C4AB0"/>
    <w:rsid w:val="006C4B0B"/>
    <w:rsid w:val="006C4CBE"/>
    <w:rsid w:val="006C51CE"/>
    <w:rsid w:val="006C575F"/>
    <w:rsid w:val="006C58A3"/>
    <w:rsid w:val="006C5C8E"/>
    <w:rsid w:val="006C673C"/>
    <w:rsid w:val="006C67ED"/>
    <w:rsid w:val="006C68A0"/>
    <w:rsid w:val="006C68E9"/>
    <w:rsid w:val="006C69B7"/>
    <w:rsid w:val="006C6EBD"/>
    <w:rsid w:val="006D14F3"/>
    <w:rsid w:val="006D16BA"/>
    <w:rsid w:val="006D2D96"/>
    <w:rsid w:val="006D3543"/>
    <w:rsid w:val="006D37EE"/>
    <w:rsid w:val="006D412A"/>
    <w:rsid w:val="006D4B49"/>
    <w:rsid w:val="006D4D71"/>
    <w:rsid w:val="006D4E4A"/>
    <w:rsid w:val="006D532C"/>
    <w:rsid w:val="006D574A"/>
    <w:rsid w:val="006D5ABB"/>
    <w:rsid w:val="006D6665"/>
    <w:rsid w:val="006D6704"/>
    <w:rsid w:val="006D699D"/>
    <w:rsid w:val="006D71FE"/>
    <w:rsid w:val="006D7503"/>
    <w:rsid w:val="006E0604"/>
    <w:rsid w:val="006E3409"/>
    <w:rsid w:val="006E5059"/>
    <w:rsid w:val="006E5720"/>
    <w:rsid w:val="006E69D5"/>
    <w:rsid w:val="006E6B93"/>
    <w:rsid w:val="006E7011"/>
    <w:rsid w:val="006E72A9"/>
    <w:rsid w:val="006E7489"/>
    <w:rsid w:val="006E7710"/>
    <w:rsid w:val="006E7EA7"/>
    <w:rsid w:val="006F0224"/>
    <w:rsid w:val="006F28ED"/>
    <w:rsid w:val="006F2B4C"/>
    <w:rsid w:val="006F31C8"/>
    <w:rsid w:val="006F31FA"/>
    <w:rsid w:val="006F3ACD"/>
    <w:rsid w:val="006F3BA3"/>
    <w:rsid w:val="006F3FA9"/>
    <w:rsid w:val="006F4070"/>
    <w:rsid w:val="006F40B5"/>
    <w:rsid w:val="006F4C95"/>
    <w:rsid w:val="006F5288"/>
    <w:rsid w:val="006F5324"/>
    <w:rsid w:val="006F5AA3"/>
    <w:rsid w:val="006F76F1"/>
    <w:rsid w:val="006F7753"/>
    <w:rsid w:val="00700104"/>
    <w:rsid w:val="0070127F"/>
    <w:rsid w:val="0070202E"/>
    <w:rsid w:val="0070242B"/>
    <w:rsid w:val="007030EB"/>
    <w:rsid w:val="00703175"/>
    <w:rsid w:val="00703405"/>
    <w:rsid w:val="00703506"/>
    <w:rsid w:val="007037B9"/>
    <w:rsid w:val="00703DF5"/>
    <w:rsid w:val="00704405"/>
    <w:rsid w:val="00704CEB"/>
    <w:rsid w:val="007066AD"/>
    <w:rsid w:val="00707117"/>
    <w:rsid w:val="007077A1"/>
    <w:rsid w:val="00707FDC"/>
    <w:rsid w:val="00711A18"/>
    <w:rsid w:val="00711CA1"/>
    <w:rsid w:val="00711EC3"/>
    <w:rsid w:val="0071216A"/>
    <w:rsid w:val="00712511"/>
    <w:rsid w:val="00713043"/>
    <w:rsid w:val="0071346A"/>
    <w:rsid w:val="007136F0"/>
    <w:rsid w:val="00713D8C"/>
    <w:rsid w:val="00714698"/>
    <w:rsid w:val="0071484C"/>
    <w:rsid w:val="0071487B"/>
    <w:rsid w:val="00716526"/>
    <w:rsid w:val="007165D2"/>
    <w:rsid w:val="00717488"/>
    <w:rsid w:val="0072186C"/>
    <w:rsid w:val="00721981"/>
    <w:rsid w:val="007223C7"/>
    <w:rsid w:val="00722AA1"/>
    <w:rsid w:val="00723074"/>
    <w:rsid w:val="0072341C"/>
    <w:rsid w:val="007235C3"/>
    <w:rsid w:val="00723FD4"/>
    <w:rsid w:val="00724662"/>
    <w:rsid w:val="00724C63"/>
    <w:rsid w:val="007253ED"/>
    <w:rsid w:val="00725D6A"/>
    <w:rsid w:val="00726229"/>
    <w:rsid w:val="00726E56"/>
    <w:rsid w:val="00730421"/>
    <w:rsid w:val="00730492"/>
    <w:rsid w:val="00730951"/>
    <w:rsid w:val="00731588"/>
    <w:rsid w:val="00732B2F"/>
    <w:rsid w:val="0073304C"/>
    <w:rsid w:val="0073383A"/>
    <w:rsid w:val="00733AC1"/>
    <w:rsid w:val="007350F3"/>
    <w:rsid w:val="007355DE"/>
    <w:rsid w:val="00736462"/>
    <w:rsid w:val="00736D8A"/>
    <w:rsid w:val="00736F35"/>
    <w:rsid w:val="00737197"/>
    <w:rsid w:val="007378FE"/>
    <w:rsid w:val="007400E0"/>
    <w:rsid w:val="00740DFB"/>
    <w:rsid w:val="0074104A"/>
    <w:rsid w:val="00741984"/>
    <w:rsid w:val="00743AD0"/>
    <w:rsid w:val="007440AB"/>
    <w:rsid w:val="0074501F"/>
    <w:rsid w:val="0074527D"/>
    <w:rsid w:val="0074542B"/>
    <w:rsid w:val="00745977"/>
    <w:rsid w:val="00745E20"/>
    <w:rsid w:val="00745E34"/>
    <w:rsid w:val="00745E9F"/>
    <w:rsid w:val="0074645A"/>
    <w:rsid w:val="00746571"/>
    <w:rsid w:val="00746B4E"/>
    <w:rsid w:val="00746E0A"/>
    <w:rsid w:val="00746FA8"/>
    <w:rsid w:val="007478B3"/>
    <w:rsid w:val="007504F6"/>
    <w:rsid w:val="00751AC4"/>
    <w:rsid w:val="00753A79"/>
    <w:rsid w:val="00753D74"/>
    <w:rsid w:val="00754EF9"/>
    <w:rsid w:val="00756BFA"/>
    <w:rsid w:val="00756D51"/>
    <w:rsid w:val="00756FC2"/>
    <w:rsid w:val="0075752A"/>
    <w:rsid w:val="00760B47"/>
    <w:rsid w:val="00760B78"/>
    <w:rsid w:val="00760F64"/>
    <w:rsid w:val="00763788"/>
    <w:rsid w:val="0076415B"/>
    <w:rsid w:val="00764810"/>
    <w:rsid w:val="00764E55"/>
    <w:rsid w:val="007650CC"/>
    <w:rsid w:val="00765E21"/>
    <w:rsid w:val="00766CDE"/>
    <w:rsid w:val="00766E70"/>
    <w:rsid w:val="00766F4B"/>
    <w:rsid w:val="0076749F"/>
    <w:rsid w:val="00770F22"/>
    <w:rsid w:val="007714A6"/>
    <w:rsid w:val="007715D2"/>
    <w:rsid w:val="00772005"/>
    <w:rsid w:val="007737A7"/>
    <w:rsid w:val="0077386E"/>
    <w:rsid w:val="00774442"/>
    <w:rsid w:val="007745A2"/>
    <w:rsid w:val="00774889"/>
    <w:rsid w:val="00774C56"/>
    <w:rsid w:val="00775380"/>
    <w:rsid w:val="00775EF8"/>
    <w:rsid w:val="007760F5"/>
    <w:rsid w:val="00776395"/>
    <w:rsid w:val="00777159"/>
    <w:rsid w:val="0077735D"/>
    <w:rsid w:val="00777485"/>
    <w:rsid w:val="00777928"/>
    <w:rsid w:val="00777D39"/>
    <w:rsid w:val="00777E28"/>
    <w:rsid w:val="007802DF"/>
    <w:rsid w:val="0078070F"/>
    <w:rsid w:val="00780B87"/>
    <w:rsid w:val="00780E95"/>
    <w:rsid w:val="00781142"/>
    <w:rsid w:val="00781872"/>
    <w:rsid w:val="00781995"/>
    <w:rsid w:val="00781D00"/>
    <w:rsid w:val="0078215B"/>
    <w:rsid w:val="00782516"/>
    <w:rsid w:val="00782867"/>
    <w:rsid w:val="007828A4"/>
    <w:rsid w:val="00783575"/>
    <w:rsid w:val="00784FBF"/>
    <w:rsid w:val="007855F8"/>
    <w:rsid w:val="00786513"/>
    <w:rsid w:val="00787333"/>
    <w:rsid w:val="007873A5"/>
    <w:rsid w:val="00787BE2"/>
    <w:rsid w:val="00787C12"/>
    <w:rsid w:val="00790380"/>
    <w:rsid w:val="00790E09"/>
    <w:rsid w:val="00790E4B"/>
    <w:rsid w:val="0079101F"/>
    <w:rsid w:val="00791249"/>
    <w:rsid w:val="0079142A"/>
    <w:rsid w:val="007914B1"/>
    <w:rsid w:val="007918E5"/>
    <w:rsid w:val="00792862"/>
    <w:rsid w:val="00793063"/>
    <w:rsid w:val="00793278"/>
    <w:rsid w:val="007938EE"/>
    <w:rsid w:val="00793AA6"/>
    <w:rsid w:val="00793CD4"/>
    <w:rsid w:val="007941BE"/>
    <w:rsid w:val="007953CF"/>
    <w:rsid w:val="00795DB8"/>
    <w:rsid w:val="007979DA"/>
    <w:rsid w:val="00797A98"/>
    <w:rsid w:val="007A09F7"/>
    <w:rsid w:val="007A1341"/>
    <w:rsid w:val="007A1B44"/>
    <w:rsid w:val="007A229F"/>
    <w:rsid w:val="007A2A57"/>
    <w:rsid w:val="007A2A8A"/>
    <w:rsid w:val="007A2CC3"/>
    <w:rsid w:val="007A3053"/>
    <w:rsid w:val="007A3FBD"/>
    <w:rsid w:val="007A41DF"/>
    <w:rsid w:val="007A4ABF"/>
    <w:rsid w:val="007A4C95"/>
    <w:rsid w:val="007A5573"/>
    <w:rsid w:val="007A59C2"/>
    <w:rsid w:val="007A5C3F"/>
    <w:rsid w:val="007A6336"/>
    <w:rsid w:val="007A6345"/>
    <w:rsid w:val="007A672B"/>
    <w:rsid w:val="007A686E"/>
    <w:rsid w:val="007A6A1B"/>
    <w:rsid w:val="007A6F39"/>
    <w:rsid w:val="007B0710"/>
    <w:rsid w:val="007B1421"/>
    <w:rsid w:val="007B14E7"/>
    <w:rsid w:val="007B1DE1"/>
    <w:rsid w:val="007B24E1"/>
    <w:rsid w:val="007B3C73"/>
    <w:rsid w:val="007B5558"/>
    <w:rsid w:val="007B6658"/>
    <w:rsid w:val="007B7096"/>
    <w:rsid w:val="007B772B"/>
    <w:rsid w:val="007B7CE6"/>
    <w:rsid w:val="007C035E"/>
    <w:rsid w:val="007C0C09"/>
    <w:rsid w:val="007C1380"/>
    <w:rsid w:val="007C1F89"/>
    <w:rsid w:val="007C2C1C"/>
    <w:rsid w:val="007C3010"/>
    <w:rsid w:val="007C324B"/>
    <w:rsid w:val="007C3E56"/>
    <w:rsid w:val="007C4072"/>
    <w:rsid w:val="007C5174"/>
    <w:rsid w:val="007C5DE0"/>
    <w:rsid w:val="007C6386"/>
    <w:rsid w:val="007C6673"/>
    <w:rsid w:val="007C782B"/>
    <w:rsid w:val="007D17FE"/>
    <w:rsid w:val="007D19E8"/>
    <w:rsid w:val="007D2603"/>
    <w:rsid w:val="007D2E49"/>
    <w:rsid w:val="007D2F23"/>
    <w:rsid w:val="007D32C9"/>
    <w:rsid w:val="007D3718"/>
    <w:rsid w:val="007D4734"/>
    <w:rsid w:val="007D4B67"/>
    <w:rsid w:val="007D4FC6"/>
    <w:rsid w:val="007D50E9"/>
    <w:rsid w:val="007D5201"/>
    <w:rsid w:val="007D590C"/>
    <w:rsid w:val="007D64CD"/>
    <w:rsid w:val="007D7044"/>
    <w:rsid w:val="007D73E5"/>
    <w:rsid w:val="007D7ADD"/>
    <w:rsid w:val="007D7C27"/>
    <w:rsid w:val="007E006F"/>
    <w:rsid w:val="007E0EE7"/>
    <w:rsid w:val="007E1693"/>
    <w:rsid w:val="007E32C1"/>
    <w:rsid w:val="007E33A5"/>
    <w:rsid w:val="007E44E0"/>
    <w:rsid w:val="007E57E9"/>
    <w:rsid w:val="007E5876"/>
    <w:rsid w:val="007E58B2"/>
    <w:rsid w:val="007E6984"/>
    <w:rsid w:val="007E6B96"/>
    <w:rsid w:val="007E75AD"/>
    <w:rsid w:val="007E77DB"/>
    <w:rsid w:val="007F06AB"/>
    <w:rsid w:val="007F086D"/>
    <w:rsid w:val="007F15D9"/>
    <w:rsid w:val="007F1684"/>
    <w:rsid w:val="007F1CDE"/>
    <w:rsid w:val="007F218D"/>
    <w:rsid w:val="007F2301"/>
    <w:rsid w:val="007F232C"/>
    <w:rsid w:val="007F2F84"/>
    <w:rsid w:val="007F3091"/>
    <w:rsid w:val="007F3AD9"/>
    <w:rsid w:val="007F3C8A"/>
    <w:rsid w:val="007F3F2A"/>
    <w:rsid w:val="007F40F1"/>
    <w:rsid w:val="007F49D6"/>
    <w:rsid w:val="007F4B6A"/>
    <w:rsid w:val="007F4F0D"/>
    <w:rsid w:val="007F5209"/>
    <w:rsid w:val="007F521D"/>
    <w:rsid w:val="007F5977"/>
    <w:rsid w:val="007F6539"/>
    <w:rsid w:val="007F6629"/>
    <w:rsid w:val="00800711"/>
    <w:rsid w:val="00800A15"/>
    <w:rsid w:val="00800ABB"/>
    <w:rsid w:val="00800F96"/>
    <w:rsid w:val="0080124C"/>
    <w:rsid w:val="00802F1C"/>
    <w:rsid w:val="008033A0"/>
    <w:rsid w:val="0080392B"/>
    <w:rsid w:val="008039B3"/>
    <w:rsid w:val="00804491"/>
    <w:rsid w:val="008049AE"/>
    <w:rsid w:val="00804F30"/>
    <w:rsid w:val="00805E23"/>
    <w:rsid w:val="00805FBF"/>
    <w:rsid w:val="008064B8"/>
    <w:rsid w:val="008065A3"/>
    <w:rsid w:val="00806ADD"/>
    <w:rsid w:val="008078DC"/>
    <w:rsid w:val="00807B4B"/>
    <w:rsid w:val="008106B0"/>
    <w:rsid w:val="00810874"/>
    <w:rsid w:val="00810917"/>
    <w:rsid w:val="0081139C"/>
    <w:rsid w:val="00811983"/>
    <w:rsid w:val="00811AC4"/>
    <w:rsid w:val="00811FCA"/>
    <w:rsid w:val="00812302"/>
    <w:rsid w:val="008125D8"/>
    <w:rsid w:val="0081377D"/>
    <w:rsid w:val="00813807"/>
    <w:rsid w:val="00813C12"/>
    <w:rsid w:val="00814D99"/>
    <w:rsid w:val="008153AF"/>
    <w:rsid w:val="00816513"/>
    <w:rsid w:val="00816F70"/>
    <w:rsid w:val="008202CA"/>
    <w:rsid w:val="00820421"/>
    <w:rsid w:val="0082295A"/>
    <w:rsid w:val="008230A1"/>
    <w:rsid w:val="00823319"/>
    <w:rsid w:val="00823841"/>
    <w:rsid w:val="008238FC"/>
    <w:rsid w:val="00824355"/>
    <w:rsid w:val="008250A1"/>
    <w:rsid w:val="00825216"/>
    <w:rsid w:val="00825E61"/>
    <w:rsid w:val="008264C8"/>
    <w:rsid w:val="00831182"/>
    <w:rsid w:val="00831462"/>
    <w:rsid w:val="0083440E"/>
    <w:rsid w:val="00834824"/>
    <w:rsid w:val="00834CFE"/>
    <w:rsid w:val="0083556A"/>
    <w:rsid w:val="008355A9"/>
    <w:rsid w:val="00835847"/>
    <w:rsid w:val="00835F44"/>
    <w:rsid w:val="00835F4A"/>
    <w:rsid w:val="00836001"/>
    <w:rsid w:val="0083789E"/>
    <w:rsid w:val="00841212"/>
    <w:rsid w:val="008432CC"/>
    <w:rsid w:val="0084331C"/>
    <w:rsid w:val="00843438"/>
    <w:rsid w:val="00843A8D"/>
    <w:rsid w:val="00843B08"/>
    <w:rsid w:val="00844617"/>
    <w:rsid w:val="00844968"/>
    <w:rsid w:val="00844A6E"/>
    <w:rsid w:val="008452F3"/>
    <w:rsid w:val="008455AD"/>
    <w:rsid w:val="00845605"/>
    <w:rsid w:val="00846055"/>
    <w:rsid w:val="008465EA"/>
    <w:rsid w:val="00846790"/>
    <w:rsid w:val="00846B01"/>
    <w:rsid w:val="00846B05"/>
    <w:rsid w:val="008500D2"/>
    <w:rsid w:val="008501ED"/>
    <w:rsid w:val="00850EFB"/>
    <w:rsid w:val="0085264E"/>
    <w:rsid w:val="00854087"/>
    <w:rsid w:val="0085472A"/>
    <w:rsid w:val="00854B4A"/>
    <w:rsid w:val="008553CA"/>
    <w:rsid w:val="00856093"/>
    <w:rsid w:val="008568E0"/>
    <w:rsid w:val="00856D7C"/>
    <w:rsid w:val="0085750C"/>
    <w:rsid w:val="00857BE7"/>
    <w:rsid w:val="0086015E"/>
    <w:rsid w:val="008603A3"/>
    <w:rsid w:val="00860700"/>
    <w:rsid w:val="00861CB9"/>
    <w:rsid w:val="00861F24"/>
    <w:rsid w:val="00862355"/>
    <w:rsid w:val="00862583"/>
    <w:rsid w:val="0086327D"/>
    <w:rsid w:val="008632B8"/>
    <w:rsid w:val="0086472F"/>
    <w:rsid w:val="008652F8"/>
    <w:rsid w:val="008655C5"/>
    <w:rsid w:val="00865766"/>
    <w:rsid w:val="00865D25"/>
    <w:rsid w:val="008665AA"/>
    <w:rsid w:val="008671F3"/>
    <w:rsid w:val="008672D1"/>
    <w:rsid w:val="008678F6"/>
    <w:rsid w:val="008718D7"/>
    <w:rsid w:val="008721E9"/>
    <w:rsid w:val="00873005"/>
    <w:rsid w:val="00873212"/>
    <w:rsid w:val="00873382"/>
    <w:rsid w:val="008734FD"/>
    <w:rsid w:val="008739D1"/>
    <w:rsid w:val="008739D9"/>
    <w:rsid w:val="00874DEB"/>
    <w:rsid w:val="008757BF"/>
    <w:rsid w:val="00876A88"/>
    <w:rsid w:val="00877467"/>
    <w:rsid w:val="00877D2D"/>
    <w:rsid w:val="00880CFD"/>
    <w:rsid w:val="00880D16"/>
    <w:rsid w:val="008819B0"/>
    <w:rsid w:val="00882614"/>
    <w:rsid w:val="00882B4C"/>
    <w:rsid w:val="00885502"/>
    <w:rsid w:val="00885927"/>
    <w:rsid w:val="00890118"/>
    <w:rsid w:val="0089017B"/>
    <w:rsid w:val="008909AF"/>
    <w:rsid w:val="008912B8"/>
    <w:rsid w:val="00891884"/>
    <w:rsid w:val="00892346"/>
    <w:rsid w:val="00892AC9"/>
    <w:rsid w:val="00893011"/>
    <w:rsid w:val="00893631"/>
    <w:rsid w:val="00893A66"/>
    <w:rsid w:val="00893AFB"/>
    <w:rsid w:val="008957BE"/>
    <w:rsid w:val="00896E43"/>
    <w:rsid w:val="00897D75"/>
    <w:rsid w:val="00897DC6"/>
    <w:rsid w:val="008A1221"/>
    <w:rsid w:val="008A126D"/>
    <w:rsid w:val="008A1282"/>
    <w:rsid w:val="008A38C0"/>
    <w:rsid w:val="008A3B80"/>
    <w:rsid w:val="008A3D3B"/>
    <w:rsid w:val="008A423B"/>
    <w:rsid w:val="008A4C7E"/>
    <w:rsid w:val="008A57CF"/>
    <w:rsid w:val="008A677E"/>
    <w:rsid w:val="008A6923"/>
    <w:rsid w:val="008A7963"/>
    <w:rsid w:val="008B03F5"/>
    <w:rsid w:val="008B04CF"/>
    <w:rsid w:val="008B1A28"/>
    <w:rsid w:val="008B23D8"/>
    <w:rsid w:val="008B2516"/>
    <w:rsid w:val="008B2B4A"/>
    <w:rsid w:val="008B3F2D"/>
    <w:rsid w:val="008B4A2E"/>
    <w:rsid w:val="008B4F88"/>
    <w:rsid w:val="008B510C"/>
    <w:rsid w:val="008B662F"/>
    <w:rsid w:val="008B698A"/>
    <w:rsid w:val="008B7081"/>
    <w:rsid w:val="008B7613"/>
    <w:rsid w:val="008C038C"/>
    <w:rsid w:val="008C0451"/>
    <w:rsid w:val="008C1FEA"/>
    <w:rsid w:val="008C216B"/>
    <w:rsid w:val="008C246B"/>
    <w:rsid w:val="008C2EE1"/>
    <w:rsid w:val="008C326E"/>
    <w:rsid w:val="008C3287"/>
    <w:rsid w:val="008C334C"/>
    <w:rsid w:val="008C55CF"/>
    <w:rsid w:val="008C5690"/>
    <w:rsid w:val="008C5F79"/>
    <w:rsid w:val="008C6586"/>
    <w:rsid w:val="008C6782"/>
    <w:rsid w:val="008D03CB"/>
    <w:rsid w:val="008D077D"/>
    <w:rsid w:val="008D0C6A"/>
    <w:rsid w:val="008D0D3E"/>
    <w:rsid w:val="008D1D12"/>
    <w:rsid w:val="008D3553"/>
    <w:rsid w:val="008D39CC"/>
    <w:rsid w:val="008D5750"/>
    <w:rsid w:val="008D5A41"/>
    <w:rsid w:val="008D62D1"/>
    <w:rsid w:val="008D6419"/>
    <w:rsid w:val="008D6B68"/>
    <w:rsid w:val="008D71B7"/>
    <w:rsid w:val="008D735C"/>
    <w:rsid w:val="008D7629"/>
    <w:rsid w:val="008D78FF"/>
    <w:rsid w:val="008E0028"/>
    <w:rsid w:val="008E08DF"/>
    <w:rsid w:val="008E0BE6"/>
    <w:rsid w:val="008E1F7A"/>
    <w:rsid w:val="008E2864"/>
    <w:rsid w:val="008E41C9"/>
    <w:rsid w:val="008E66A6"/>
    <w:rsid w:val="008E72D6"/>
    <w:rsid w:val="008E75D5"/>
    <w:rsid w:val="008F0061"/>
    <w:rsid w:val="008F28B3"/>
    <w:rsid w:val="008F29D2"/>
    <w:rsid w:val="008F29DC"/>
    <w:rsid w:val="008F2AD4"/>
    <w:rsid w:val="008F38CE"/>
    <w:rsid w:val="008F45B2"/>
    <w:rsid w:val="008F4DA8"/>
    <w:rsid w:val="008F5F19"/>
    <w:rsid w:val="008F64BC"/>
    <w:rsid w:val="008F6511"/>
    <w:rsid w:val="00900B6B"/>
    <w:rsid w:val="00900CF2"/>
    <w:rsid w:val="00901737"/>
    <w:rsid w:val="0090264A"/>
    <w:rsid w:val="00903B95"/>
    <w:rsid w:val="00903F0C"/>
    <w:rsid w:val="00904383"/>
    <w:rsid w:val="00904485"/>
    <w:rsid w:val="009047FE"/>
    <w:rsid w:val="00904800"/>
    <w:rsid w:val="00904E46"/>
    <w:rsid w:val="00906190"/>
    <w:rsid w:val="009064CC"/>
    <w:rsid w:val="009105ED"/>
    <w:rsid w:val="00910A8F"/>
    <w:rsid w:val="0091110C"/>
    <w:rsid w:val="009116C9"/>
    <w:rsid w:val="009119C4"/>
    <w:rsid w:val="00911BAB"/>
    <w:rsid w:val="00911F14"/>
    <w:rsid w:val="00911F31"/>
    <w:rsid w:val="009120B5"/>
    <w:rsid w:val="00912461"/>
    <w:rsid w:val="00914337"/>
    <w:rsid w:val="009144DC"/>
    <w:rsid w:val="00914D15"/>
    <w:rsid w:val="009150AA"/>
    <w:rsid w:val="00915412"/>
    <w:rsid w:val="00915442"/>
    <w:rsid w:val="00917673"/>
    <w:rsid w:val="00917A39"/>
    <w:rsid w:val="00920554"/>
    <w:rsid w:val="00920DA5"/>
    <w:rsid w:val="00920E56"/>
    <w:rsid w:val="00921391"/>
    <w:rsid w:val="00921480"/>
    <w:rsid w:val="00921B6C"/>
    <w:rsid w:val="00921EE3"/>
    <w:rsid w:val="00922099"/>
    <w:rsid w:val="00922A3D"/>
    <w:rsid w:val="00922BF8"/>
    <w:rsid w:val="00922DCE"/>
    <w:rsid w:val="00922DEC"/>
    <w:rsid w:val="009237B6"/>
    <w:rsid w:val="0092392E"/>
    <w:rsid w:val="00924529"/>
    <w:rsid w:val="0092466E"/>
    <w:rsid w:val="009249DB"/>
    <w:rsid w:val="00924D9A"/>
    <w:rsid w:val="009253A1"/>
    <w:rsid w:val="009258E4"/>
    <w:rsid w:val="009259A8"/>
    <w:rsid w:val="009259C4"/>
    <w:rsid w:val="00925A0E"/>
    <w:rsid w:val="00926984"/>
    <w:rsid w:val="00927CCE"/>
    <w:rsid w:val="00927E42"/>
    <w:rsid w:val="009304D6"/>
    <w:rsid w:val="00931C61"/>
    <w:rsid w:val="00932BFB"/>
    <w:rsid w:val="00932D89"/>
    <w:rsid w:val="00932FEF"/>
    <w:rsid w:val="00934192"/>
    <w:rsid w:val="00934320"/>
    <w:rsid w:val="00934DE4"/>
    <w:rsid w:val="0093519B"/>
    <w:rsid w:val="00935479"/>
    <w:rsid w:val="009356C5"/>
    <w:rsid w:val="00937D93"/>
    <w:rsid w:val="00937F80"/>
    <w:rsid w:val="00940B05"/>
    <w:rsid w:val="00941450"/>
    <w:rsid w:val="0094155B"/>
    <w:rsid w:val="00941E7A"/>
    <w:rsid w:val="00942CBB"/>
    <w:rsid w:val="0094403D"/>
    <w:rsid w:val="00944A60"/>
    <w:rsid w:val="00945040"/>
    <w:rsid w:val="00945A12"/>
    <w:rsid w:val="00945CC4"/>
    <w:rsid w:val="009464DB"/>
    <w:rsid w:val="0094653F"/>
    <w:rsid w:val="009500BE"/>
    <w:rsid w:val="009504E5"/>
    <w:rsid w:val="00950D71"/>
    <w:rsid w:val="00950D79"/>
    <w:rsid w:val="009523BF"/>
    <w:rsid w:val="00953508"/>
    <w:rsid w:val="00953AE4"/>
    <w:rsid w:val="00953CEC"/>
    <w:rsid w:val="00954347"/>
    <w:rsid w:val="00954E86"/>
    <w:rsid w:val="00954F1A"/>
    <w:rsid w:val="009554E3"/>
    <w:rsid w:val="009556BE"/>
    <w:rsid w:val="00955AD1"/>
    <w:rsid w:val="00955BB1"/>
    <w:rsid w:val="00955C45"/>
    <w:rsid w:val="00955CBF"/>
    <w:rsid w:val="0095668F"/>
    <w:rsid w:val="0095750F"/>
    <w:rsid w:val="009609BC"/>
    <w:rsid w:val="0096233A"/>
    <w:rsid w:val="009624DC"/>
    <w:rsid w:val="00963036"/>
    <w:rsid w:val="00963244"/>
    <w:rsid w:val="009642D1"/>
    <w:rsid w:val="00964822"/>
    <w:rsid w:val="00964F32"/>
    <w:rsid w:val="00966137"/>
    <w:rsid w:val="00966208"/>
    <w:rsid w:val="00966212"/>
    <w:rsid w:val="00966A1F"/>
    <w:rsid w:val="009679CF"/>
    <w:rsid w:val="00967B21"/>
    <w:rsid w:val="00967F1B"/>
    <w:rsid w:val="00970A6E"/>
    <w:rsid w:val="00971069"/>
    <w:rsid w:val="00972473"/>
    <w:rsid w:val="00972DAF"/>
    <w:rsid w:val="009730C7"/>
    <w:rsid w:val="009741C3"/>
    <w:rsid w:val="00974218"/>
    <w:rsid w:val="00974D96"/>
    <w:rsid w:val="0097539E"/>
    <w:rsid w:val="0097610F"/>
    <w:rsid w:val="0097736B"/>
    <w:rsid w:val="00977AC0"/>
    <w:rsid w:val="00977B27"/>
    <w:rsid w:val="00980091"/>
    <w:rsid w:val="0098050C"/>
    <w:rsid w:val="00981293"/>
    <w:rsid w:val="00981B9D"/>
    <w:rsid w:val="00982298"/>
    <w:rsid w:val="009824E2"/>
    <w:rsid w:val="0098278F"/>
    <w:rsid w:val="0098489F"/>
    <w:rsid w:val="009852FF"/>
    <w:rsid w:val="00985DBB"/>
    <w:rsid w:val="00986C80"/>
    <w:rsid w:val="00986E73"/>
    <w:rsid w:val="00987314"/>
    <w:rsid w:val="00987560"/>
    <w:rsid w:val="009929E7"/>
    <w:rsid w:val="00992A53"/>
    <w:rsid w:val="0099378F"/>
    <w:rsid w:val="00993AE0"/>
    <w:rsid w:val="00993DA2"/>
    <w:rsid w:val="00994507"/>
    <w:rsid w:val="00994736"/>
    <w:rsid w:val="00994AB2"/>
    <w:rsid w:val="00995E47"/>
    <w:rsid w:val="0099689E"/>
    <w:rsid w:val="00997C1C"/>
    <w:rsid w:val="00997C3D"/>
    <w:rsid w:val="00997DE9"/>
    <w:rsid w:val="00997E05"/>
    <w:rsid w:val="009A000F"/>
    <w:rsid w:val="009A0419"/>
    <w:rsid w:val="009A0FAA"/>
    <w:rsid w:val="009A150B"/>
    <w:rsid w:val="009A1AD1"/>
    <w:rsid w:val="009A357B"/>
    <w:rsid w:val="009A3980"/>
    <w:rsid w:val="009A3A78"/>
    <w:rsid w:val="009A479F"/>
    <w:rsid w:val="009A4D76"/>
    <w:rsid w:val="009A4E9E"/>
    <w:rsid w:val="009A5920"/>
    <w:rsid w:val="009A6818"/>
    <w:rsid w:val="009A68F3"/>
    <w:rsid w:val="009A6941"/>
    <w:rsid w:val="009A6FB4"/>
    <w:rsid w:val="009A7261"/>
    <w:rsid w:val="009A7DFD"/>
    <w:rsid w:val="009B1221"/>
    <w:rsid w:val="009B148F"/>
    <w:rsid w:val="009B1ABB"/>
    <w:rsid w:val="009B3175"/>
    <w:rsid w:val="009B46B7"/>
    <w:rsid w:val="009B4EFA"/>
    <w:rsid w:val="009B53CC"/>
    <w:rsid w:val="009C0DD0"/>
    <w:rsid w:val="009C1409"/>
    <w:rsid w:val="009C1410"/>
    <w:rsid w:val="009C14BD"/>
    <w:rsid w:val="009C213A"/>
    <w:rsid w:val="009C28EE"/>
    <w:rsid w:val="009C2CFA"/>
    <w:rsid w:val="009C2E6A"/>
    <w:rsid w:val="009C3269"/>
    <w:rsid w:val="009C416F"/>
    <w:rsid w:val="009C41D4"/>
    <w:rsid w:val="009C46C6"/>
    <w:rsid w:val="009C5699"/>
    <w:rsid w:val="009C60FD"/>
    <w:rsid w:val="009C7EB4"/>
    <w:rsid w:val="009D1222"/>
    <w:rsid w:val="009D15D1"/>
    <w:rsid w:val="009D1A55"/>
    <w:rsid w:val="009D1EE9"/>
    <w:rsid w:val="009D2E09"/>
    <w:rsid w:val="009D3E0C"/>
    <w:rsid w:val="009D404B"/>
    <w:rsid w:val="009D46EC"/>
    <w:rsid w:val="009D4C97"/>
    <w:rsid w:val="009D565E"/>
    <w:rsid w:val="009D59E0"/>
    <w:rsid w:val="009D5F0B"/>
    <w:rsid w:val="009D603D"/>
    <w:rsid w:val="009E104F"/>
    <w:rsid w:val="009E13F2"/>
    <w:rsid w:val="009E1D34"/>
    <w:rsid w:val="009E1E93"/>
    <w:rsid w:val="009E20AE"/>
    <w:rsid w:val="009E231F"/>
    <w:rsid w:val="009E24E9"/>
    <w:rsid w:val="009E25B4"/>
    <w:rsid w:val="009E25CF"/>
    <w:rsid w:val="009E28DB"/>
    <w:rsid w:val="009E2B76"/>
    <w:rsid w:val="009E4410"/>
    <w:rsid w:val="009E4437"/>
    <w:rsid w:val="009E4A35"/>
    <w:rsid w:val="009E4F64"/>
    <w:rsid w:val="009E508B"/>
    <w:rsid w:val="009E5671"/>
    <w:rsid w:val="009E5932"/>
    <w:rsid w:val="009E6017"/>
    <w:rsid w:val="009E6713"/>
    <w:rsid w:val="009E6849"/>
    <w:rsid w:val="009F00F0"/>
    <w:rsid w:val="009F08FB"/>
    <w:rsid w:val="009F0AEA"/>
    <w:rsid w:val="009F1013"/>
    <w:rsid w:val="009F2665"/>
    <w:rsid w:val="009F266B"/>
    <w:rsid w:val="009F3281"/>
    <w:rsid w:val="009F4805"/>
    <w:rsid w:val="009F590E"/>
    <w:rsid w:val="009F5DEE"/>
    <w:rsid w:val="009F640A"/>
    <w:rsid w:val="009F6694"/>
    <w:rsid w:val="009F6C96"/>
    <w:rsid w:val="009F7746"/>
    <w:rsid w:val="009F79BC"/>
    <w:rsid w:val="00A00739"/>
    <w:rsid w:val="00A00DE4"/>
    <w:rsid w:val="00A010C5"/>
    <w:rsid w:val="00A01C3C"/>
    <w:rsid w:val="00A0219C"/>
    <w:rsid w:val="00A024E4"/>
    <w:rsid w:val="00A0285E"/>
    <w:rsid w:val="00A02D9C"/>
    <w:rsid w:val="00A02F47"/>
    <w:rsid w:val="00A0406A"/>
    <w:rsid w:val="00A045A9"/>
    <w:rsid w:val="00A04C32"/>
    <w:rsid w:val="00A04F66"/>
    <w:rsid w:val="00A052B4"/>
    <w:rsid w:val="00A0547A"/>
    <w:rsid w:val="00A05712"/>
    <w:rsid w:val="00A06136"/>
    <w:rsid w:val="00A06CF4"/>
    <w:rsid w:val="00A072CD"/>
    <w:rsid w:val="00A0765D"/>
    <w:rsid w:val="00A07EB1"/>
    <w:rsid w:val="00A101F1"/>
    <w:rsid w:val="00A10EDA"/>
    <w:rsid w:val="00A117F6"/>
    <w:rsid w:val="00A11B23"/>
    <w:rsid w:val="00A11F7D"/>
    <w:rsid w:val="00A12097"/>
    <w:rsid w:val="00A1289B"/>
    <w:rsid w:val="00A129E4"/>
    <w:rsid w:val="00A12A12"/>
    <w:rsid w:val="00A12ADC"/>
    <w:rsid w:val="00A13243"/>
    <w:rsid w:val="00A13FD2"/>
    <w:rsid w:val="00A14CBF"/>
    <w:rsid w:val="00A15E8D"/>
    <w:rsid w:val="00A15F23"/>
    <w:rsid w:val="00A1602C"/>
    <w:rsid w:val="00A16338"/>
    <w:rsid w:val="00A17140"/>
    <w:rsid w:val="00A17153"/>
    <w:rsid w:val="00A17E79"/>
    <w:rsid w:val="00A2050D"/>
    <w:rsid w:val="00A208B4"/>
    <w:rsid w:val="00A20946"/>
    <w:rsid w:val="00A213EF"/>
    <w:rsid w:val="00A22031"/>
    <w:rsid w:val="00A22069"/>
    <w:rsid w:val="00A222FB"/>
    <w:rsid w:val="00A23078"/>
    <w:rsid w:val="00A23172"/>
    <w:rsid w:val="00A2329A"/>
    <w:rsid w:val="00A24DB3"/>
    <w:rsid w:val="00A25C55"/>
    <w:rsid w:val="00A25D88"/>
    <w:rsid w:val="00A26D8C"/>
    <w:rsid w:val="00A26E3B"/>
    <w:rsid w:val="00A27301"/>
    <w:rsid w:val="00A27F3E"/>
    <w:rsid w:val="00A30610"/>
    <w:rsid w:val="00A30EC4"/>
    <w:rsid w:val="00A32650"/>
    <w:rsid w:val="00A339DF"/>
    <w:rsid w:val="00A3432D"/>
    <w:rsid w:val="00A34345"/>
    <w:rsid w:val="00A35505"/>
    <w:rsid w:val="00A35ACC"/>
    <w:rsid w:val="00A35C66"/>
    <w:rsid w:val="00A3604D"/>
    <w:rsid w:val="00A3646A"/>
    <w:rsid w:val="00A367EB"/>
    <w:rsid w:val="00A3710A"/>
    <w:rsid w:val="00A40294"/>
    <w:rsid w:val="00A4067A"/>
    <w:rsid w:val="00A408B7"/>
    <w:rsid w:val="00A40915"/>
    <w:rsid w:val="00A41D0A"/>
    <w:rsid w:val="00A427C9"/>
    <w:rsid w:val="00A42B60"/>
    <w:rsid w:val="00A430D6"/>
    <w:rsid w:val="00A44100"/>
    <w:rsid w:val="00A44C07"/>
    <w:rsid w:val="00A452EE"/>
    <w:rsid w:val="00A455CF"/>
    <w:rsid w:val="00A45E7F"/>
    <w:rsid w:val="00A45EF7"/>
    <w:rsid w:val="00A4628F"/>
    <w:rsid w:val="00A47469"/>
    <w:rsid w:val="00A474D5"/>
    <w:rsid w:val="00A47949"/>
    <w:rsid w:val="00A50030"/>
    <w:rsid w:val="00A503AB"/>
    <w:rsid w:val="00A506AF"/>
    <w:rsid w:val="00A52256"/>
    <w:rsid w:val="00A52EDD"/>
    <w:rsid w:val="00A53E81"/>
    <w:rsid w:val="00A54312"/>
    <w:rsid w:val="00A54E7F"/>
    <w:rsid w:val="00A551DB"/>
    <w:rsid w:val="00A55402"/>
    <w:rsid w:val="00A55496"/>
    <w:rsid w:val="00A55550"/>
    <w:rsid w:val="00A55CFE"/>
    <w:rsid w:val="00A5642E"/>
    <w:rsid w:val="00A56FE2"/>
    <w:rsid w:val="00A576C4"/>
    <w:rsid w:val="00A60858"/>
    <w:rsid w:val="00A60E1F"/>
    <w:rsid w:val="00A61A08"/>
    <w:rsid w:val="00A630DB"/>
    <w:rsid w:val="00A64533"/>
    <w:rsid w:val="00A64CFF"/>
    <w:rsid w:val="00A64EF9"/>
    <w:rsid w:val="00A66476"/>
    <w:rsid w:val="00A66D30"/>
    <w:rsid w:val="00A66FE4"/>
    <w:rsid w:val="00A6753F"/>
    <w:rsid w:val="00A6761E"/>
    <w:rsid w:val="00A67677"/>
    <w:rsid w:val="00A70451"/>
    <w:rsid w:val="00A70E66"/>
    <w:rsid w:val="00A714B5"/>
    <w:rsid w:val="00A71C01"/>
    <w:rsid w:val="00A7374A"/>
    <w:rsid w:val="00A739C4"/>
    <w:rsid w:val="00A74290"/>
    <w:rsid w:val="00A74615"/>
    <w:rsid w:val="00A74B0C"/>
    <w:rsid w:val="00A751DD"/>
    <w:rsid w:val="00A753D5"/>
    <w:rsid w:val="00A75A87"/>
    <w:rsid w:val="00A75D8C"/>
    <w:rsid w:val="00A76249"/>
    <w:rsid w:val="00A76AD1"/>
    <w:rsid w:val="00A76B92"/>
    <w:rsid w:val="00A76CEB"/>
    <w:rsid w:val="00A77209"/>
    <w:rsid w:val="00A77306"/>
    <w:rsid w:val="00A77B11"/>
    <w:rsid w:val="00A77B27"/>
    <w:rsid w:val="00A77D3F"/>
    <w:rsid w:val="00A8035C"/>
    <w:rsid w:val="00A823A2"/>
    <w:rsid w:val="00A823CE"/>
    <w:rsid w:val="00A82527"/>
    <w:rsid w:val="00A82CB4"/>
    <w:rsid w:val="00A83067"/>
    <w:rsid w:val="00A83485"/>
    <w:rsid w:val="00A83572"/>
    <w:rsid w:val="00A847F1"/>
    <w:rsid w:val="00A85A12"/>
    <w:rsid w:val="00A86DE6"/>
    <w:rsid w:val="00A90136"/>
    <w:rsid w:val="00A90468"/>
    <w:rsid w:val="00A915A7"/>
    <w:rsid w:val="00A917C1"/>
    <w:rsid w:val="00A91DEB"/>
    <w:rsid w:val="00A92287"/>
    <w:rsid w:val="00A925DC"/>
    <w:rsid w:val="00A925EE"/>
    <w:rsid w:val="00A9267F"/>
    <w:rsid w:val="00A92749"/>
    <w:rsid w:val="00A93002"/>
    <w:rsid w:val="00A93231"/>
    <w:rsid w:val="00A936D5"/>
    <w:rsid w:val="00A94BDE"/>
    <w:rsid w:val="00A94C5E"/>
    <w:rsid w:val="00A95A26"/>
    <w:rsid w:val="00A95FF0"/>
    <w:rsid w:val="00A9759C"/>
    <w:rsid w:val="00A97923"/>
    <w:rsid w:val="00A97CC2"/>
    <w:rsid w:val="00AA0A91"/>
    <w:rsid w:val="00AA0D0A"/>
    <w:rsid w:val="00AA0E08"/>
    <w:rsid w:val="00AA1CDF"/>
    <w:rsid w:val="00AA2284"/>
    <w:rsid w:val="00AA2B04"/>
    <w:rsid w:val="00AA2F54"/>
    <w:rsid w:val="00AA5D2C"/>
    <w:rsid w:val="00AA6905"/>
    <w:rsid w:val="00AA70EE"/>
    <w:rsid w:val="00AA76AF"/>
    <w:rsid w:val="00AA787C"/>
    <w:rsid w:val="00AB0376"/>
    <w:rsid w:val="00AB0CBC"/>
    <w:rsid w:val="00AB1697"/>
    <w:rsid w:val="00AB174E"/>
    <w:rsid w:val="00AB1DF0"/>
    <w:rsid w:val="00AB2377"/>
    <w:rsid w:val="00AB2E57"/>
    <w:rsid w:val="00AB3466"/>
    <w:rsid w:val="00AB39A4"/>
    <w:rsid w:val="00AB39FE"/>
    <w:rsid w:val="00AB3BD5"/>
    <w:rsid w:val="00AB3EB4"/>
    <w:rsid w:val="00AB3F59"/>
    <w:rsid w:val="00AB4537"/>
    <w:rsid w:val="00AB4DC5"/>
    <w:rsid w:val="00AB566D"/>
    <w:rsid w:val="00AB5D77"/>
    <w:rsid w:val="00AB60A3"/>
    <w:rsid w:val="00AB61AD"/>
    <w:rsid w:val="00AB6F9F"/>
    <w:rsid w:val="00AB6FCE"/>
    <w:rsid w:val="00AB7359"/>
    <w:rsid w:val="00AB7705"/>
    <w:rsid w:val="00AB7D14"/>
    <w:rsid w:val="00AC0650"/>
    <w:rsid w:val="00AC078D"/>
    <w:rsid w:val="00AC0964"/>
    <w:rsid w:val="00AC0B55"/>
    <w:rsid w:val="00AC0D3E"/>
    <w:rsid w:val="00AC143A"/>
    <w:rsid w:val="00AC3A0C"/>
    <w:rsid w:val="00AC3C96"/>
    <w:rsid w:val="00AC3FE2"/>
    <w:rsid w:val="00AC4DEE"/>
    <w:rsid w:val="00AC6915"/>
    <w:rsid w:val="00AC6BB7"/>
    <w:rsid w:val="00AC723D"/>
    <w:rsid w:val="00AC74DA"/>
    <w:rsid w:val="00AD10F3"/>
    <w:rsid w:val="00AD1F24"/>
    <w:rsid w:val="00AD2263"/>
    <w:rsid w:val="00AD3426"/>
    <w:rsid w:val="00AD3698"/>
    <w:rsid w:val="00AD4677"/>
    <w:rsid w:val="00AD4F6A"/>
    <w:rsid w:val="00AD52B0"/>
    <w:rsid w:val="00AD52DE"/>
    <w:rsid w:val="00AD5E59"/>
    <w:rsid w:val="00AD6168"/>
    <w:rsid w:val="00AE0171"/>
    <w:rsid w:val="00AE0D86"/>
    <w:rsid w:val="00AE133E"/>
    <w:rsid w:val="00AE27BC"/>
    <w:rsid w:val="00AE3571"/>
    <w:rsid w:val="00AE3E31"/>
    <w:rsid w:val="00AE3EB9"/>
    <w:rsid w:val="00AE453C"/>
    <w:rsid w:val="00AE4A0C"/>
    <w:rsid w:val="00AE4BD5"/>
    <w:rsid w:val="00AE4D63"/>
    <w:rsid w:val="00AE5AA9"/>
    <w:rsid w:val="00AE61B6"/>
    <w:rsid w:val="00AE6BBF"/>
    <w:rsid w:val="00AE7160"/>
    <w:rsid w:val="00AF011C"/>
    <w:rsid w:val="00AF06B7"/>
    <w:rsid w:val="00AF19BC"/>
    <w:rsid w:val="00AF3550"/>
    <w:rsid w:val="00AF3CDF"/>
    <w:rsid w:val="00AF40B9"/>
    <w:rsid w:val="00AF42E0"/>
    <w:rsid w:val="00AF4740"/>
    <w:rsid w:val="00AF48E3"/>
    <w:rsid w:val="00AF5C4B"/>
    <w:rsid w:val="00AF6B49"/>
    <w:rsid w:val="00AF6D28"/>
    <w:rsid w:val="00AF753D"/>
    <w:rsid w:val="00AF79BB"/>
    <w:rsid w:val="00AF7C4F"/>
    <w:rsid w:val="00B017DE"/>
    <w:rsid w:val="00B01A4A"/>
    <w:rsid w:val="00B02056"/>
    <w:rsid w:val="00B03EEC"/>
    <w:rsid w:val="00B03FE7"/>
    <w:rsid w:val="00B04144"/>
    <w:rsid w:val="00B042EE"/>
    <w:rsid w:val="00B045E4"/>
    <w:rsid w:val="00B04657"/>
    <w:rsid w:val="00B04F08"/>
    <w:rsid w:val="00B05A97"/>
    <w:rsid w:val="00B06846"/>
    <w:rsid w:val="00B079BF"/>
    <w:rsid w:val="00B07CB3"/>
    <w:rsid w:val="00B10250"/>
    <w:rsid w:val="00B10A3E"/>
    <w:rsid w:val="00B10D83"/>
    <w:rsid w:val="00B10F2C"/>
    <w:rsid w:val="00B1103F"/>
    <w:rsid w:val="00B11397"/>
    <w:rsid w:val="00B123E1"/>
    <w:rsid w:val="00B1316D"/>
    <w:rsid w:val="00B131B4"/>
    <w:rsid w:val="00B13F5D"/>
    <w:rsid w:val="00B1502F"/>
    <w:rsid w:val="00B15042"/>
    <w:rsid w:val="00B15166"/>
    <w:rsid w:val="00B15473"/>
    <w:rsid w:val="00B16307"/>
    <w:rsid w:val="00B1663B"/>
    <w:rsid w:val="00B208D9"/>
    <w:rsid w:val="00B209C7"/>
    <w:rsid w:val="00B20FC0"/>
    <w:rsid w:val="00B214DD"/>
    <w:rsid w:val="00B21841"/>
    <w:rsid w:val="00B21DA0"/>
    <w:rsid w:val="00B22986"/>
    <w:rsid w:val="00B229CE"/>
    <w:rsid w:val="00B22A6B"/>
    <w:rsid w:val="00B22C66"/>
    <w:rsid w:val="00B23153"/>
    <w:rsid w:val="00B231D8"/>
    <w:rsid w:val="00B23686"/>
    <w:rsid w:val="00B2393C"/>
    <w:rsid w:val="00B24243"/>
    <w:rsid w:val="00B25666"/>
    <w:rsid w:val="00B26144"/>
    <w:rsid w:val="00B268CD"/>
    <w:rsid w:val="00B27064"/>
    <w:rsid w:val="00B27FF9"/>
    <w:rsid w:val="00B306EE"/>
    <w:rsid w:val="00B30A07"/>
    <w:rsid w:val="00B30D59"/>
    <w:rsid w:val="00B3177D"/>
    <w:rsid w:val="00B31E3A"/>
    <w:rsid w:val="00B32C32"/>
    <w:rsid w:val="00B33301"/>
    <w:rsid w:val="00B33A62"/>
    <w:rsid w:val="00B34224"/>
    <w:rsid w:val="00B34A80"/>
    <w:rsid w:val="00B355DC"/>
    <w:rsid w:val="00B35614"/>
    <w:rsid w:val="00B35C7D"/>
    <w:rsid w:val="00B35D77"/>
    <w:rsid w:val="00B36A0F"/>
    <w:rsid w:val="00B36C35"/>
    <w:rsid w:val="00B36CB5"/>
    <w:rsid w:val="00B36D24"/>
    <w:rsid w:val="00B40016"/>
    <w:rsid w:val="00B403FF"/>
    <w:rsid w:val="00B40688"/>
    <w:rsid w:val="00B409EB"/>
    <w:rsid w:val="00B40B2B"/>
    <w:rsid w:val="00B417A9"/>
    <w:rsid w:val="00B4181C"/>
    <w:rsid w:val="00B4191B"/>
    <w:rsid w:val="00B41AEC"/>
    <w:rsid w:val="00B42107"/>
    <w:rsid w:val="00B42161"/>
    <w:rsid w:val="00B42181"/>
    <w:rsid w:val="00B42A86"/>
    <w:rsid w:val="00B42CD4"/>
    <w:rsid w:val="00B43346"/>
    <w:rsid w:val="00B435C3"/>
    <w:rsid w:val="00B440AC"/>
    <w:rsid w:val="00B445B4"/>
    <w:rsid w:val="00B44C68"/>
    <w:rsid w:val="00B44CA6"/>
    <w:rsid w:val="00B4662C"/>
    <w:rsid w:val="00B472E2"/>
    <w:rsid w:val="00B47DE4"/>
    <w:rsid w:val="00B502A0"/>
    <w:rsid w:val="00B50385"/>
    <w:rsid w:val="00B5134E"/>
    <w:rsid w:val="00B51748"/>
    <w:rsid w:val="00B518F7"/>
    <w:rsid w:val="00B51EF7"/>
    <w:rsid w:val="00B51F95"/>
    <w:rsid w:val="00B52385"/>
    <w:rsid w:val="00B5248D"/>
    <w:rsid w:val="00B535AB"/>
    <w:rsid w:val="00B536B7"/>
    <w:rsid w:val="00B53847"/>
    <w:rsid w:val="00B541A3"/>
    <w:rsid w:val="00B54752"/>
    <w:rsid w:val="00B55B77"/>
    <w:rsid w:val="00B564F1"/>
    <w:rsid w:val="00B5699D"/>
    <w:rsid w:val="00B56E7C"/>
    <w:rsid w:val="00B572F3"/>
    <w:rsid w:val="00B60B10"/>
    <w:rsid w:val="00B60B31"/>
    <w:rsid w:val="00B61E86"/>
    <w:rsid w:val="00B62B58"/>
    <w:rsid w:val="00B62CB2"/>
    <w:rsid w:val="00B62D67"/>
    <w:rsid w:val="00B650D8"/>
    <w:rsid w:val="00B651D3"/>
    <w:rsid w:val="00B65B9F"/>
    <w:rsid w:val="00B65C9C"/>
    <w:rsid w:val="00B66357"/>
    <w:rsid w:val="00B6676E"/>
    <w:rsid w:val="00B67A07"/>
    <w:rsid w:val="00B67D69"/>
    <w:rsid w:val="00B67F69"/>
    <w:rsid w:val="00B70232"/>
    <w:rsid w:val="00B703D5"/>
    <w:rsid w:val="00B70433"/>
    <w:rsid w:val="00B70964"/>
    <w:rsid w:val="00B709DF"/>
    <w:rsid w:val="00B70D9B"/>
    <w:rsid w:val="00B712E0"/>
    <w:rsid w:val="00B71C50"/>
    <w:rsid w:val="00B71EC2"/>
    <w:rsid w:val="00B72F4F"/>
    <w:rsid w:val="00B730BD"/>
    <w:rsid w:val="00B73169"/>
    <w:rsid w:val="00B74C21"/>
    <w:rsid w:val="00B75118"/>
    <w:rsid w:val="00B75399"/>
    <w:rsid w:val="00B75D28"/>
    <w:rsid w:val="00B76206"/>
    <w:rsid w:val="00B7747C"/>
    <w:rsid w:val="00B80BC7"/>
    <w:rsid w:val="00B80E20"/>
    <w:rsid w:val="00B80FC2"/>
    <w:rsid w:val="00B81436"/>
    <w:rsid w:val="00B8158E"/>
    <w:rsid w:val="00B81693"/>
    <w:rsid w:val="00B819F6"/>
    <w:rsid w:val="00B81A56"/>
    <w:rsid w:val="00B837CA"/>
    <w:rsid w:val="00B84293"/>
    <w:rsid w:val="00B84499"/>
    <w:rsid w:val="00B85725"/>
    <w:rsid w:val="00B867B1"/>
    <w:rsid w:val="00B86F7D"/>
    <w:rsid w:val="00B900D4"/>
    <w:rsid w:val="00B900DE"/>
    <w:rsid w:val="00B91E13"/>
    <w:rsid w:val="00B924EC"/>
    <w:rsid w:val="00B92C85"/>
    <w:rsid w:val="00B94049"/>
    <w:rsid w:val="00B95C85"/>
    <w:rsid w:val="00B95E82"/>
    <w:rsid w:val="00B97663"/>
    <w:rsid w:val="00BA0E5A"/>
    <w:rsid w:val="00BA14F3"/>
    <w:rsid w:val="00BA27DD"/>
    <w:rsid w:val="00BA2947"/>
    <w:rsid w:val="00BA2D99"/>
    <w:rsid w:val="00BA41D2"/>
    <w:rsid w:val="00BA5052"/>
    <w:rsid w:val="00BA6A54"/>
    <w:rsid w:val="00BA7AF3"/>
    <w:rsid w:val="00BB09DD"/>
    <w:rsid w:val="00BB104C"/>
    <w:rsid w:val="00BB1419"/>
    <w:rsid w:val="00BB22C0"/>
    <w:rsid w:val="00BB2EC5"/>
    <w:rsid w:val="00BB2FF3"/>
    <w:rsid w:val="00BB39B9"/>
    <w:rsid w:val="00BB4192"/>
    <w:rsid w:val="00BB4705"/>
    <w:rsid w:val="00BB4DAD"/>
    <w:rsid w:val="00BB506A"/>
    <w:rsid w:val="00BB5537"/>
    <w:rsid w:val="00BB57C5"/>
    <w:rsid w:val="00BB5BEE"/>
    <w:rsid w:val="00BB5EC4"/>
    <w:rsid w:val="00BB65ED"/>
    <w:rsid w:val="00BB6CCF"/>
    <w:rsid w:val="00BB7529"/>
    <w:rsid w:val="00BB7E31"/>
    <w:rsid w:val="00BB7E37"/>
    <w:rsid w:val="00BB7EBA"/>
    <w:rsid w:val="00BC021F"/>
    <w:rsid w:val="00BC04CA"/>
    <w:rsid w:val="00BC120D"/>
    <w:rsid w:val="00BC1679"/>
    <w:rsid w:val="00BC2A4F"/>
    <w:rsid w:val="00BC3401"/>
    <w:rsid w:val="00BC474D"/>
    <w:rsid w:val="00BC4A10"/>
    <w:rsid w:val="00BC5234"/>
    <w:rsid w:val="00BC55DD"/>
    <w:rsid w:val="00BC5796"/>
    <w:rsid w:val="00BC5896"/>
    <w:rsid w:val="00BC64AD"/>
    <w:rsid w:val="00BC6761"/>
    <w:rsid w:val="00BC73D1"/>
    <w:rsid w:val="00BC7C20"/>
    <w:rsid w:val="00BD08F3"/>
    <w:rsid w:val="00BD3C21"/>
    <w:rsid w:val="00BD5397"/>
    <w:rsid w:val="00BD589F"/>
    <w:rsid w:val="00BD595C"/>
    <w:rsid w:val="00BD6BAA"/>
    <w:rsid w:val="00BD6E9C"/>
    <w:rsid w:val="00BD75FA"/>
    <w:rsid w:val="00BD77BD"/>
    <w:rsid w:val="00BD7F0C"/>
    <w:rsid w:val="00BE0240"/>
    <w:rsid w:val="00BE1700"/>
    <w:rsid w:val="00BE261A"/>
    <w:rsid w:val="00BE2750"/>
    <w:rsid w:val="00BE2838"/>
    <w:rsid w:val="00BE3E40"/>
    <w:rsid w:val="00BE4341"/>
    <w:rsid w:val="00BE457D"/>
    <w:rsid w:val="00BE4764"/>
    <w:rsid w:val="00BE4835"/>
    <w:rsid w:val="00BE4CD0"/>
    <w:rsid w:val="00BE4F83"/>
    <w:rsid w:val="00BE5AE8"/>
    <w:rsid w:val="00BE5DFF"/>
    <w:rsid w:val="00BE6281"/>
    <w:rsid w:val="00BE641A"/>
    <w:rsid w:val="00BE681C"/>
    <w:rsid w:val="00BE77DF"/>
    <w:rsid w:val="00BE79B0"/>
    <w:rsid w:val="00BE79D4"/>
    <w:rsid w:val="00BE7DC5"/>
    <w:rsid w:val="00BF19B8"/>
    <w:rsid w:val="00BF34CF"/>
    <w:rsid w:val="00BF3674"/>
    <w:rsid w:val="00BF3D44"/>
    <w:rsid w:val="00BF4A74"/>
    <w:rsid w:val="00BF5B3D"/>
    <w:rsid w:val="00BF5B4A"/>
    <w:rsid w:val="00BF61F8"/>
    <w:rsid w:val="00BF664B"/>
    <w:rsid w:val="00BF6A47"/>
    <w:rsid w:val="00BF6D87"/>
    <w:rsid w:val="00BF72E4"/>
    <w:rsid w:val="00BF77E6"/>
    <w:rsid w:val="00C0037E"/>
    <w:rsid w:val="00C00784"/>
    <w:rsid w:val="00C01326"/>
    <w:rsid w:val="00C018A1"/>
    <w:rsid w:val="00C02BE3"/>
    <w:rsid w:val="00C03B4C"/>
    <w:rsid w:val="00C03F47"/>
    <w:rsid w:val="00C04C80"/>
    <w:rsid w:val="00C05A85"/>
    <w:rsid w:val="00C0678D"/>
    <w:rsid w:val="00C074B8"/>
    <w:rsid w:val="00C07CDB"/>
    <w:rsid w:val="00C1068A"/>
    <w:rsid w:val="00C10799"/>
    <w:rsid w:val="00C1082F"/>
    <w:rsid w:val="00C10F82"/>
    <w:rsid w:val="00C1159A"/>
    <w:rsid w:val="00C11F03"/>
    <w:rsid w:val="00C127F0"/>
    <w:rsid w:val="00C12C4E"/>
    <w:rsid w:val="00C13AEB"/>
    <w:rsid w:val="00C13D04"/>
    <w:rsid w:val="00C13EE9"/>
    <w:rsid w:val="00C15084"/>
    <w:rsid w:val="00C15454"/>
    <w:rsid w:val="00C15819"/>
    <w:rsid w:val="00C16090"/>
    <w:rsid w:val="00C16D92"/>
    <w:rsid w:val="00C177AC"/>
    <w:rsid w:val="00C17A14"/>
    <w:rsid w:val="00C200CC"/>
    <w:rsid w:val="00C205AF"/>
    <w:rsid w:val="00C20887"/>
    <w:rsid w:val="00C208A2"/>
    <w:rsid w:val="00C20C0A"/>
    <w:rsid w:val="00C20C1E"/>
    <w:rsid w:val="00C216B2"/>
    <w:rsid w:val="00C21F15"/>
    <w:rsid w:val="00C223E0"/>
    <w:rsid w:val="00C2331A"/>
    <w:rsid w:val="00C239E4"/>
    <w:rsid w:val="00C23D8D"/>
    <w:rsid w:val="00C2450F"/>
    <w:rsid w:val="00C2496B"/>
    <w:rsid w:val="00C24FB0"/>
    <w:rsid w:val="00C25567"/>
    <w:rsid w:val="00C2603A"/>
    <w:rsid w:val="00C26AE1"/>
    <w:rsid w:val="00C27C65"/>
    <w:rsid w:val="00C27C84"/>
    <w:rsid w:val="00C27F61"/>
    <w:rsid w:val="00C3115A"/>
    <w:rsid w:val="00C3117F"/>
    <w:rsid w:val="00C313BD"/>
    <w:rsid w:val="00C31BE2"/>
    <w:rsid w:val="00C31CB0"/>
    <w:rsid w:val="00C31D67"/>
    <w:rsid w:val="00C31F2F"/>
    <w:rsid w:val="00C32228"/>
    <w:rsid w:val="00C32CDF"/>
    <w:rsid w:val="00C33C04"/>
    <w:rsid w:val="00C354F1"/>
    <w:rsid w:val="00C35820"/>
    <w:rsid w:val="00C36FF6"/>
    <w:rsid w:val="00C37296"/>
    <w:rsid w:val="00C41314"/>
    <w:rsid w:val="00C42800"/>
    <w:rsid w:val="00C43220"/>
    <w:rsid w:val="00C433E5"/>
    <w:rsid w:val="00C436A2"/>
    <w:rsid w:val="00C43E57"/>
    <w:rsid w:val="00C45BFD"/>
    <w:rsid w:val="00C45CF6"/>
    <w:rsid w:val="00C476DB"/>
    <w:rsid w:val="00C47899"/>
    <w:rsid w:val="00C51251"/>
    <w:rsid w:val="00C519BD"/>
    <w:rsid w:val="00C52163"/>
    <w:rsid w:val="00C523AB"/>
    <w:rsid w:val="00C52C4A"/>
    <w:rsid w:val="00C52DC5"/>
    <w:rsid w:val="00C53AB4"/>
    <w:rsid w:val="00C54DF7"/>
    <w:rsid w:val="00C55D5E"/>
    <w:rsid w:val="00C55E8B"/>
    <w:rsid w:val="00C56172"/>
    <w:rsid w:val="00C561F1"/>
    <w:rsid w:val="00C5686B"/>
    <w:rsid w:val="00C57611"/>
    <w:rsid w:val="00C60C4A"/>
    <w:rsid w:val="00C6257A"/>
    <w:rsid w:val="00C63428"/>
    <w:rsid w:val="00C6436F"/>
    <w:rsid w:val="00C64452"/>
    <w:rsid w:val="00C64D95"/>
    <w:rsid w:val="00C6590B"/>
    <w:rsid w:val="00C65AA3"/>
    <w:rsid w:val="00C66426"/>
    <w:rsid w:val="00C667E9"/>
    <w:rsid w:val="00C674EE"/>
    <w:rsid w:val="00C67C62"/>
    <w:rsid w:val="00C70E71"/>
    <w:rsid w:val="00C71B12"/>
    <w:rsid w:val="00C71DA8"/>
    <w:rsid w:val="00C72032"/>
    <w:rsid w:val="00C731AE"/>
    <w:rsid w:val="00C735F5"/>
    <w:rsid w:val="00C749E3"/>
    <w:rsid w:val="00C756A4"/>
    <w:rsid w:val="00C7676A"/>
    <w:rsid w:val="00C76803"/>
    <w:rsid w:val="00C7687B"/>
    <w:rsid w:val="00C76F99"/>
    <w:rsid w:val="00C775D1"/>
    <w:rsid w:val="00C77638"/>
    <w:rsid w:val="00C777AB"/>
    <w:rsid w:val="00C808F1"/>
    <w:rsid w:val="00C810D4"/>
    <w:rsid w:val="00C81231"/>
    <w:rsid w:val="00C837FE"/>
    <w:rsid w:val="00C83880"/>
    <w:rsid w:val="00C8439F"/>
    <w:rsid w:val="00C84A48"/>
    <w:rsid w:val="00C84DA9"/>
    <w:rsid w:val="00C85EC5"/>
    <w:rsid w:val="00C865D5"/>
    <w:rsid w:val="00C874A0"/>
    <w:rsid w:val="00C90723"/>
    <w:rsid w:val="00C90BB3"/>
    <w:rsid w:val="00C914AC"/>
    <w:rsid w:val="00C91732"/>
    <w:rsid w:val="00C91839"/>
    <w:rsid w:val="00C91E9E"/>
    <w:rsid w:val="00C921E7"/>
    <w:rsid w:val="00C925AC"/>
    <w:rsid w:val="00C9319D"/>
    <w:rsid w:val="00C93443"/>
    <w:rsid w:val="00C93457"/>
    <w:rsid w:val="00C93C93"/>
    <w:rsid w:val="00C94D7E"/>
    <w:rsid w:val="00C94E8A"/>
    <w:rsid w:val="00C95F88"/>
    <w:rsid w:val="00C969BF"/>
    <w:rsid w:val="00C96ACD"/>
    <w:rsid w:val="00C96B72"/>
    <w:rsid w:val="00C9714A"/>
    <w:rsid w:val="00C974B2"/>
    <w:rsid w:val="00CA0D46"/>
    <w:rsid w:val="00CA0F90"/>
    <w:rsid w:val="00CA14D3"/>
    <w:rsid w:val="00CA18B0"/>
    <w:rsid w:val="00CA1A59"/>
    <w:rsid w:val="00CA1BE7"/>
    <w:rsid w:val="00CA1F7E"/>
    <w:rsid w:val="00CA300D"/>
    <w:rsid w:val="00CA3088"/>
    <w:rsid w:val="00CA308D"/>
    <w:rsid w:val="00CA34CE"/>
    <w:rsid w:val="00CA46DD"/>
    <w:rsid w:val="00CA54B1"/>
    <w:rsid w:val="00CA63BE"/>
    <w:rsid w:val="00CA6CE1"/>
    <w:rsid w:val="00CA7A29"/>
    <w:rsid w:val="00CA7EAD"/>
    <w:rsid w:val="00CB16EC"/>
    <w:rsid w:val="00CB21E8"/>
    <w:rsid w:val="00CB231B"/>
    <w:rsid w:val="00CB2718"/>
    <w:rsid w:val="00CB2845"/>
    <w:rsid w:val="00CB2ED8"/>
    <w:rsid w:val="00CB3128"/>
    <w:rsid w:val="00CB3381"/>
    <w:rsid w:val="00CB39D8"/>
    <w:rsid w:val="00CB3A27"/>
    <w:rsid w:val="00CB3A49"/>
    <w:rsid w:val="00CB4463"/>
    <w:rsid w:val="00CB44D7"/>
    <w:rsid w:val="00CB4511"/>
    <w:rsid w:val="00CB45F8"/>
    <w:rsid w:val="00CB4994"/>
    <w:rsid w:val="00CB52C9"/>
    <w:rsid w:val="00CB66BD"/>
    <w:rsid w:val="00CB69C6"/>
    <w:rsid w:val="00CB6EC3"/>
    <w:rsid w:val="00CB782A"/>
    <w:rsid w:val="00CB78FF"/>
    <w:rsid w:val="00CB7989"/>
    <w:rsid w:val="00CB7A18"/>
    <w:rsid w:val="00CB7D01"/>
    <w:rsid w:val="00CC0C8A"/>
    <w:rsid w:val="00CC129B"/>
    <w:rsid w:val="00CC1816"/>
    <w:rsid w:val="00CC19F6"/>
    <w:rsid w:val="00CC1B6C"/>
    <w:rsid w:val="00CC28DB"/>
    <w:rsid w:val="00CC2C79"/>
    <w:rsid w:val="00CC3864"/>
    <w:rsid w:val="00CC41B2"/>
    <w:rsid w:val="00CC4622"/>
    <w:rsid w:val="00CC46D3"/>
    <w:rsid w:val="00CC54A5"/>
    <w:rsid w:val="00CC5D63"/>
    <w:rsid w:val="00CC6460"/>
    <w:rsid w:val="00CC65E1"/>
    <w:rsid w:val="00CC6805"/>
    <w:rsid w:val="00CD009F"/>
    <w:rsid w:val="00CD016F"/>
    <w:rsid w:val="00CD0639"/>
    <w:rsid w:val="00CD0FB9"/>
    <w:rsid w:val="00CD2F07"/>
    <w:rsid w:val="00CD2F3A"/>
    <w:rsid w:val="00CD3071"/>
    <w:rsid w:val="00CD3AC3"/>
    <w:rsid w:val="00CD4751"/>
    <w:rsid w:val="00CD5B1F"/>
    <w:rsid w:val="00CD5CC1"/>
    <w:rsid w:val="00CD5FED"/>
    <w:rsid w:val="00CD719B"/>
    <w:rsid w:val="00CD7751"/>
    <w:rsid w:val="00CD7988"/>
    <w:rsid w:val="00CD7F11"/>
    <w:rsid w:val="00CD7F33"/>
    <w:rsid w:val="00CD7FCE"/>
    <w:rsid w:val="00CE01B7"/>
    <w:rsid w:val="00CE045D"/>
    <w:rsid w:val="00CE165E"/>
    <w:rsid w:val="00CE1A4D"/>
    <w:rsid w:val="00CE288E"/>
    <w:rsid w:val="00CE30D4"/>
    <w:rsid w:val="00CE3B91"/>
    <w:rsid w:val="00CE3C63"/>
    <w:rsid w:val="00CE4B64"/>
    <w:rsid w:val="00CE5F47"/>
    <w:rsid w:val="00CE626E"/>
    <w:rsid w:val="00CE6385"/>
    <w:rsid w:val="00CE7510"/>
    <w:rsid w:val="00CF0775"/>
    <w:rsid w:val="00CF0ABE"/>
    <w:rsid w:val="00CF1328"/>
    <w:rsid w:val="00CF2561"/>
    <w:rsid w:val="00CF3106"/>
    <w:rsid w:val="00CF3580"/>
    <w:rsid w:val="00CF395C"/>
    <w:rsid w:val="00CF42D4"/>
    <w:rsid w:val="00CF43C3"/>
    <w:rsid w:val="00CF4737"/>
    <w:rsid w:val="00CF50A6"/>
    <w:rsid w:val="00CF5EAC"/>
    <w:rsid w:val="00CF6918"/>
    <w:rsid w:val="00D00DDF"/>
    <w:rsid w:val="00D0167D"/>
    <w:rsid w:val="00D01951"/>
    <w:rsid w:val="00D024A7"/>
    <w:rsid w:val="00D02A90"/>
    <w:rsid w:val="00D02E01"/>
    <w:rsid w:val="00D034AD"/>
    <w:rsid w:val="00D03B6B"/>
    <w:rsid w:val="00D03CB8"/>
    <w:rsid w:val="00D03F00"/>
    <w:rsid w:val="00D0471F"/>
    <w:rsid w:val="00D05156"/>
    <w:rsid w:val="00D05609"/>
    <w:rsid w:val="00D05BF9"/>
    <w:rsid w:val="00D06CE7"/>
    <w:rsid w:val="00D06F5C"/>
    <w:rsid w:val="00D070E5"/>
    <w:rsid w:val="00D07E1F"/>
    <w:rsid w:val="00D10499"/>
    <w:rsid w:val="00D11E15"/>
    <w:rsid w:val="00D13596"/>
    <w:rsid w:val="00D13757"/>
    <w:rsid w:val="00D1409C"/>
    <w:rsid w:val="00D15370"/>
    <w:rsid w:val="00D1542F"/>
    <w:rsid w:val="00D15809"/>
    <w:rsid w:val="00D158F7"/>
    <w:rsid w:val="00D16522"/>
    <w:rsid w:val="00D16DCE"/>
    <w:rsid w:val="00D20906"/>
    <w:rsid w:val="00D210E6"/>
    <w:rsid w:val="00D21276"/>
    <w:rsid w:val="00D222FC"/>
    <w:rsid w:val="00D22BC7"/>
    <w:rsid w:val="00D2442D"/>
    <w:rsid w:val="00D25280"/>
    <w:rsid w:val="00D25B84"/>
    <w:rsid w:val="00D26335"/>
    <w:rsid w:val="00D27B13"/>
    <w:rsid w:val="00D310F4"/>
    <w:rsid w:val="00D314F4"/>
    <w:rsid w:val="00D3175F"/>
    <w:rsid w:val="00D31855"/>
    <w:rsid w:val="00D32D09"/>
    <w:rsid w:val="00D333D6"/>
    <w:rsid w:val="00D34CAF"/>
    <w:rsid w:val="00D34D12"/>
    <w:rsid w:val="00D35934"/>
    <w:rsid w:val="00D35CA5"/>
    <w:rsid w:val="00D36E6F"/>
    <w:rsid w:val="00D36E7C"/>
    <w:rsid w:val="00D40CD0"/>
    <w:rsid w:val="00D40F5A"/>
    <w:rsid w:val="00D41346"/>
    <w:rsid w:val="00D41A4A"/>
    <w:rsid w:val="00D4236F"/>
    <w:rsid w:val="00D42FA5"/>
    <w:rsid w:val="00D43073"/>
    <w:rsid w:val="00D43201"/>
    <w:rsid w:val="00D43770"/>
    <w:rsid w:val="00D4443B"/>
    <w:rsid w:val="00D446B6"/>
    <w:rsid w:val="00D451D4"/>
    <w:rsid w:val="00D45B5B"/>
    <w:rsid w:val="00D467E0"/>
    <w:rsid w:val="00D502CB"/>
    <w:rsid w:val="00D5068A"/>
    <w:rsid w:val="00D5101E"/>
    <w:rsid w:val="00D51110"/>
    <w:rsid w:val="00D52C86"/>
    <w:rsid w:val="00D53B13"/>
    <w:rsid w:val="00D53CBA"/>
    <w:rsid w:val="00D53DF0"/>
    <w:rsid w:val="00D54224"/>
    <w:rsid w:val="00D54429"/>
    <w:rsid w:val="00D54EF4"/>
    <w:rsid w:val="00D55346"/>
    <w:rsid w:val="00D55678"/>
    <w:rsid w:val="00D55A29"/>
    <w:rsid w:val="00D56E07"/>
    <w:rsid w:val="00D56EF2"/>
    <w:rsid w:val="00D57653"/>
    <w:rsid w:val="00D578F2"/>
    <w:rsid w:val="00D57F00"/>
    <w:rsid w:val="00D57FE6"/>
    <w:rsid w:val="00D61920"/>
    <w:rsid w:val="00D6359B"/>
    <w:rsid w:val="00D63B84"/>
    <w:rsid w:val="00D63FBF"/>
    <w:rsid w:val="00D640AA"/>
    <w:rsid w:val="00D6582C"/>
    <w:rsid w:val="00D668AD"/>
    <w:rsid w:val="00D67D79"/>
    <w:rsid w:val="00D707F1"/>
    <w:rsid w:val="00D710F1"/>
    <w:rsid w:val="00D71513"/>
    <w:rsid w:val="00D71687"/>
    <w:rsid w:val="00D718F3"/>
    <w:rsid w:val="00D72181"/>
    <w:rsid w:val="00D725E3"/>
    <w:rsid w:val="00D726CB"/>
    <w:rsid w:val="00D72BDE"/>
    <w:rsid w:val="00D74DF4"/>
    <w:rsid w:val="00D750F6"/>
    <w:rsid w:val="00D7743D"/>
    <w:rsid w:val="00D77AD6"/>
    <w:rsid w:val="00D77B6D"/>
    <w:rsid w:val="00D802A7"/>
    <w:rsid w:val="00D80F0A"/>
    <w:rsid w:val="00D81176"/>
    <w:rsid w:val="00D81438"/>
    <w:rsid w:val="00D817CD"/>
    <w:rsid w:val="00D81C41"/>
    <w:rsid w:val="00D81D6F"/>
    <w:rsid w:val="00D82B45"/>
    <w:rsid w:val="00D83984"/>
    <w:rsid w:val="00D845CB"/>
    <w:rsid w:val="00D84F19"/>
    <w:rsid w:val="00D87884"/>
    <w:rsid w:val="00D90B43"/>
    <w:rsid w:val="00D91121"/>
    <w:rsid w:val="00D9287D"/>
    <w:rsid w:val="00D929AE"/>
    <w:rsid w:val="00D92EF3"/>
    <w:rsid w:val="00D935D8"/>
    <w:rsid w:val="00D940A7"/>
    <w:rsid w:val="00D9437B"/>
    <w:rsid w:val="00D9486F"/>
    <w:rsid w:val="00D94F95"/>
    <w:rsid w:val="00D96287"/>
    <w:rsid w:val="00D964F5"/>
    <w:rsid w:val="00D96BDC"/>
    <w:rsid w:val="00D96EE1"/>
    <w:rsid w:val="00D974D8"/>
    <w:rsid w:val="00DA03D2"/>
    <w:rsid w:val="00DA08C0"/>
    <w:rsid w:val="00DA0EE6"/>
    <w:rsid w:val="00DA1FAC"/>
    <w:rsid w:val="00DA201B"/>
    <w:rsid w:val="00DA2099"/>
    <w:rsid w:val="00DA2A14"/>
    <w:rsid w:val="00DA310F"/>
    <w:rsid w:val="00DA33F6"/>
    <w:rsid w:val="00DA34A0"/>
    <w:rsid w:val="00DA3CE5"/>
    <w:rsid w:val="00DA3CE6"/>
    <w:rsid w:val="00DA4F3C"/>
    <w:rsid w:val="00DA5257"/>
    <w:rsid w:val="00DA671B"/>
    <w:rsid w:val="00DA6776"/>
    <w:rsid w:val="00DA6C9A"/>
    <w:rsid w:val="00DA73A0"/>
    <w:rsid w:val="00DB0160"/>
    <w:rsid w:val="00DB08FF"/>
    <w:rsid w:val="00DB0DE7"/>
    <w:rsid w:val="00DB0E71"/>
    <w:rsid w:val="00DB1573"/>
    <w:rsid w:val="00DB2C3E"/>
    <w:rsid w:val="00DB3137"/>
    <w:rsid w:val="00DB32DD"/>
    <w:rsid w:val="00DB3CE2"/>
    <w:rsid w:val="00DB431B"/>
    <w:rsid w:val="00DB45A8"/>
    <w:rsid w:val="00DB47AD"/>
    <w:rsid w:val="00DB506F"/>
    <w:rsid w:val="00DB6333"/>
    <w:rsid w:val="00DB6973"/>
    <w:rsid w:val="00DB7402"/>
    <w:rsid w:val="00DB76E2"/>
    <w:rsid w:val="00DB7DA1"/>
    <w:rsid w:val="00DB7DAC"/>
    <w:rsid w:val="00DC05A4"/>
    <w:rsid w:val="00DC06AA"/>
    <w:rsid w:val="00DC0790"/>
    <w:rsid w:val="00DC0ABD"/>
    <w:rsid w:val="00DC0DC0"/>
    <w:rsid w:val="00DC12D7"/>
    <w:rsid w:val="00DC2279"/>
    <w:rsid w:val="00DC279B"/>
    <w:rsid w:val="00DC288E"/>
    <w:rsid w:val="00DC2C94"/>
    <w:rsid w:val="00DC357B"/>
    <w:rsid w:val="00DC364B"/>
    <w:rsid w:val="00DC38CC"/>
    <w:rsid w:val="00DC3A4D"/>
    <w:rsid w:val="00DC3F89"/>
    <w:rsid w:val="00DC43F0"/>
    <w:rsid w:val="00DC4676"/>
    <w:rsid w:val="00DC475B"/>
    <w:rsid w:val="00DC592E"/>
    <w:rsid w:val="00DC6451"/>
    <w:rsid w:val="00DC6718"/>
    <w:rsid w:val="00DC6CCC"/>
    <w:rsid w:val="00DC76D9"/>
    <w:rsid w:val="00DC7E46"/>
    <w:rsid w:val="00DD091C"/>
    <w:rsid w:val="00DD1BA1"/>
    <w:rsid w:val="00DD29DB"/>
    <w:rsid w:val="00DD3CD4"/>
    <w:rsid w:val="00DD4B99"/>
    <w:rsid w:val="00DD4FD6"/>
    <w:rsid w:val="00DD5BB4"/>
    <w:rsid w:val="00DD6624"/>
    <w:rsid w:val="00DD67E8"/>
    <w:rsid w:val="00DD6969"/>
    <w:rsid w:val="00DE0A12"/>
    <w:rsid w:val="00DE2B45"/>
    <w:rsid w:val="00DE44F6"/>
    <w:rsid w:val="00DE460A"/>
    <w:rsid w:val="00DE49E4"/>
    <w:rsid w:val="00DE4FCF"/>
    <w:rsid w:val="00DE6481"/>
    <w:rsid w:val="00DE7131"/>
    <w:rsid w:val="00DE75D5"/>
    <w:rsid w:val="00DE794C"/>
    <w:rsid w:val="00DF05A2"/>
    <w:rsid w:val="00DF063E"/>
    <w:rsid w:val="00DF0D8E"/>
    <w:rsid w:val="00DF0F4E"/>
    <w:rsid w:val="00DF1E80"/>
    <w:rsid w:val="00DF2010"/>
    <w:rsid w:val="00DF25A7"/>
    <w:rsid w:val="00DF2692"/>
    <w:rsid w:val="00DF2CDC"/>
    <w:rsid w:val="00DF32C9"/>
    <w:rsid w:val="00DF56E9"/>
    <w:rsid w:val="00DF61BF"/>
    <w:rsid w:val="00DF7D9D"/>
    <w:rsid w:val="00E0071C"/>
    <w:rsid w:val="00E007FD"/>
    <w:rsid w:val="00E011E7"/>
    <w:rsid w:val="00E0127F"/>
    <w:rsid w:val="00E0212E"/>
    <w:rsid w:val="00E02B8C"/>
    <w:rsid w:val="00E03A6A"/>
    <w:rsid w:val="00E04A51"/>
    <w:rsid w:val="00E051E1"/>
    <w:rsid w:val="00E05619"/>
    <w:rsid w:val="00E058BE"/>
    <w:rsid w:val="00E06CBB"/>
    <w:rsid w:val="00E06F48"/>
    <w:rsid w:val="00E07FE7"/>
    <w:rsid w:val="00E10E13"/>
    <w:rsid w:val="00E11657"/>
    <w:rsid w:val="00E11C81"/>
    <w:rsid w:val="00E14AA2"/>
    <w:rsid w:val="00E14C84"/>
    <w:rsid w:val="00E15F2C"/>
    <w:rsid w:val="00E16607"/>
    <w:rsid w:val="00E17F4E"/>
    <w:rsid w:val="00E20F40"/>
    <w:rsid w:val="00E21952"/>
    <w:rsid w:val="00E21A97"/>
    <w:rsid w:val="00E22E89"/>
    <w:rsid w:val="00E24084"/>
    <w:rsid w:val="00E243D2"/>
    <w:rsid w:val="00E246EF"/>
    <w:rsid w:val="00E249D8"/>
    <w:rsid w:val="00E259B4"/>
    <w:rsid w:val="00E263D6"/>
    <w:rsid w:val="00E2759B"/>
    <w:rsid w:val="00E27A02"/>
    <w:rsid w:val="00E27F26"/>
    <w:rsid w:val="00E3027C"/>
    <w:rsid w:val="00E306C8"/>
    <w:rsid w:val="00E308E2"/>
    <w:rsid w:val="00E30A2A"/>
    <w:rsid w:val="00E3141E"/>
    <w:rsid w:val="00E31B97"/>
    <w:rsid w:val="00E325AC"/>
    <w:rsid w:val="00E32D27"/>
    <w:rsid w:val="00E32F0F"/>
    <w:rsid w:val="00E33749"/>
    <w:rsid w:val="00E347BB"/>
    <w:rsid w:val="00E3490C"/>
    <w:rsid w:val="00E35239"/>
    <w:rsid w:val="00E35EB2"/>
    <w:rsid w:val="00E3617D"/>
    <w:rsid w:val="00E377A7"/>
    <w:rsid w:val="00E37A33"/>
    <w:rsid w:val="00E4006B"/>
    <w:rsid w:val="00E40A13"/>
    <w:rsid w:val="00E417E1"/>
    <w:rsid w:val="00E41C81"/>
    <w:rsid w:val="00E424E5"/>
    <w:rsid w:val="00E4318B"/>
    <w:rsid w:val="00E43357"/>
    <w:rsid w:val="00E43EDB"/>
    <w:rsid w:val="00E44035"/>
    <w:rsid w:val="00E44E79"/>
    <w:rsid w:val="00E454F1"/>
    <w:rsid w:val="00E45669"/>
    <w:rsid w:val="00E457FB"/>
    <w:rsid w:val="00E45AE9"/>
    <w:rsid w:val="00E45DC2"/>
    <w:rsid w:val="00E45F6B"/>
    <w:rsid w:val="00E45F7B"/>
    <w:rsid w:val="00E46097"/>
    <w:rsid w:val="00E46443"/>
    <w:rsid w:val="00E46B6E"/>
    <w:rsid w:val="00E470AF"/>
    <w:rsid w:val="00E47160"/>
    <w:rsid w:val="00E4728D"/>
    <w:rsid w:val="00E47B31"/>
    <w:rsid w:val="00E500CA"/>
    <w:rsid w:val="00E509D2"/>
    <w:rsid w:val="00E511A0"/>
    <w:rsid w:val="00E5245B"/>
    <w:rsid w:val="00E5270E"/>
    <w:rsid w:val="00E52AE6"/>
    <w:rsid w:val="00E52CF2"/>
    <w:rsid w:val="00E547C6"/>
    <w:rsid w:val="00E549CA"/>
    <w:rsid w:val="00E56692"/>
    <w:rsid w:val="00E60E31"/>
    <w:rsid w:val="00E60E47"/>
    <w:rsid w:val="00E6115B"/>
    <w:rsid w:val="00E61228"/>
    <w:rsid w:val="00E61D02"/>
    <w:rsid w:val="00E6228A"/>
    <w:rsid w:val="00E625F9"/>
    <w:rsid w:val="00E63147"/>
    <w:rsid w:val="00E63249"/>
    <w:rsid w:val="00E668A0"/>
    <w:rsid w:val="00E66BAD"/>
    <w:rsid w:val="00E66E6C"/>
    <w:rsid w:val="00E67950"/>
    <w:rsid w:val="00E70E3B"/>
    <w:rsid w:val="00E71811"/>
    <w:rsid w:val="00E7248A"/>
    <w:rsid w:val="00E72592"/>
    <w:rsid w:val="00E728C1"/>
    <w:rsid w:val="00E73808"/>
    <w:rsid w:val="00E73E38"/>
    <w:rsid w:val="00E740A4"/>
    <w:rsid w:val="00E7456C"/>
    <w:rsid w:val="00E7480B"/>
    <w:rsid w:val="00E74884"/>
    <w:rsid w:val="00E751CC"/>
    <w:rsid w:val="00E75A45"/>
    <w:rsid w:val="00E7607E"/>
    <w:rsid w:val="00E76250"/>
    <w:rsid w:val="00E7681B"/>
    <w:rsid w:val="00E7704E"/>
    <w:rsid w:val="00E77F7C"/>
    <w:rsid w:val="00E80197"/>
    <w:rsid w:val="00E80D25"/>
    <w:rsid w:val="00E81051"/>
    <w:rsid w:val="00E8115C"/>
    <w:rsid w:val="00E81A6A"/>
    <w:rsid w:val="00E81BCF"/>
    <w:rsid w:val="00E820BA"/>
    <w:rsid w:val="00E824BD"/>
    <w:rsid w:val="00E825F6"/>
    <w:rsid w:val="00E8395A"/>
    <w:rsid w:val="00E83C5A"/>
    <w:rsid w:val="00E83E99"/>
    <w:rsid w:val="00E84BBA"/>
    <w:rsid w:val="00E84E32"/>
    <w:rsid w:val="00E85573"/>
    <w:rsid w:val="00E859E9"/>
    <w:rsid w:val="00E85AE6"/>
    <w:rsid w:val="00E85B84"/>
    <w:rsid w:val="00E860C3"/>
    <w:rsid w:val="00E861FA"/>
    <w:rsid w:val="00E8666C"/>
    <w:rsid w:val="00E87CD4"/>
    <w:rsid w:val="00E90649"/>
    <w:rsid w:val="00E91E17"/>
    <w:rsid w:val="00E92422"/>
    <w:rsid w:val="00E93119"/>
    <w:rsid w:val="00E9327B"/>
    <w:rsid w:val="00E941C8"/>
    <w:rsid w:val="00E95B64"/>
    <w:rsid w:val="00E96827"/>
    <w:rsid w:val="00E97172"/>
    <w:rsid w:val="00EA01F0"/>
    <w:rsid w:val="00EA0359"/>
    <w:rsid w:val="00EA0E5C"/>
    <w:rsid w:val="00EA0F18"/>
    <w:rsid w:val="00EA115C"/>
    <w:rsid w:val="00EA1521"/>
    <w:rsid w:val="00EA1EDE"/>
    <w:rsid w:val="00EA2089"/>
    <w:rsid w:val="00EA2433"/>
    <w:rsid w:val="00EA26F5"/>
    <w:rsid w:val="00EA4015"/>
    <w:rsid w:val="00EA546A"/>
    <w:rsid w:val="00EA5D04"/>
    <w:rsid w:val="00EA5EC2"/>
    <w:rsid w:val="00EA5F47"/>
    <w:rsid w:val="00EA5F7F"/>
    <w:rsid w:val="00EA6F54"/>
    <w:rsid w:val="00EB081B"/>
    <w:rsid w:val="00EB11D7"/>
    <w:rsid w:val="00EB11EE"/>
    <w:rsid w:val="00EB12F0"/>
    <w:rsid w:val="00EB1501"/>
    <w:rsid w:val="00EB15BE"/>
    <w:rsid w:val="00EB1903"/>
    <w:rsid w:val="00EB1D36"/>
    <w:rsid w:val="00EB3506"/>
    <w:rsid w:val="00EB4654"/>
    <w:rsid w:val="00EB49D5"/>
    <w:rsid w:val="00EB4B98"/>
    <w:rsid w:val="00EB5750"/>
    <w:rsid w:val="00EB66F9"/>
    <w:rsid w:val="00EB6BF6"/>
    <w:rsid w:val="00EC0729"/>
    <w:rsid w:val="00EC12DD"/>
    <w:rsid w:val="00EC2AE3"/>
    <w:rsid w:val="00EC3171"/>
    <w:rsid w:val="00EC3260"/>
    <w:rsid w:val="00EC34AE"/>
    <w:rsid w:val="00EC476A"/>
    <w:rsid w:val="00EC4BAF"/>
    <w:rsid w:val="00EC5581"/>
    <w:rsid w:val="00EC57DA"/>
    <w:rsid w:val="00EC6410"/>
    <w:rsid w:val="00EC6F87"/>
    <w:rsid w:val="00ED0568"/>
    <w:rsid w:val="00ED0FB8"/>
    <w:rsid w:val="00ED21A0"/>
    <w:rsid w:val="00ED2659"/>
    <w:rsid w:val="00ED28EB"/>
    <w:rsid w:val="00ED30D4"/>
    <w:rsid w:val="00ED445E"/>
    <w:rsid w:val="00ED4D3D"/>
    <w:rsid w:val="00ED5620"/>
    <w:rsid w:val="00ED65DA"/>
    <w:rsid w:val="00EE02E8"/>
    <w:rsid w:val="00EE0515"/>
    <w:rsid w:val="00EE20A5"/>
    <w:rsid w:val="00EE2C6B"/>
    <w:rsid w:val="00EE3AE1"/>
    <w:rsid w:val="00EE4EB6"/>
    <w:rsid w:val="00EE516C"/>
    <w:rsid w:val="00EE5867"/>
    <w:rsid w:val="00EE5DC5"/>
    <w:rsid w:val="00EE5F3E"/>
    <w:rsid w:val="00EE62DE"/>
    <w:rsid w:val="00EE67AA"/>
    <w:rsid w:val="00EE6E35"/>
    <w:rsid w:val="00EE71CD"/>
    <w:rsid w:val="00EE7FCE"/>
    <w:rsid w:val="00EF0FCB"/>
    <w:rsid w:val="00EF0FE7"/>
    <w:rsid w:val="00EF10FB"/>
    <w:rsid w:val="00EF1DF9"/>
    <w:rsid w:val="00EF2BB9"/>
    <w:rsid w:val="00EF2EC5"/>
    <w:rsid w:val="00EF3509"/>
    <w:rsid w:val="00EF49D0"/>
    <w:rsid w:val="00EF569A"/>
    <w:rsid w:val="00EF6181"/>
    <w:rsid w:val="00EF7961"/>
    <w:rsid w:val="00EF7BD4"/>
    <w:rsid w:val="00EF7E12"/>
    <w:rsid w:val="00EF7E50"/>
    <w:rsid w:val="00F0075F"/>
    <w:rsid w:val="00F00CC8"/>
    <w:rsid w:val="00F00F47"/>
    <w:rsid w:val="00F01222"/>
    <w:rsid w:val="00F01598"/>
    <w:rsid w:val="00F01A31"/>
    <w:rsid w:val="00F02321"/>
    <w:rsid w:val="00F025A0"/>
    <w:rsid w:val="00F026ED"/>
    <w:rsid w:val="00F0279D"/>
    <w:rsid w:val="00F027F9"/>
    <w:rsid w:val="00F02B97"/>
    <w:rsid w:val="00F03B40"/>
    <w:rsid w:val="00F04555"/>
    <w:rsid w:val="00F049EE"/>
    <w:rsid w:val="00F04D95"/>
    <w:rsid w:val="00F070B0"/>
    <w:rsid w:val="00F07677"/>
    <w:rsid w:val="00F105F8"/>
    <w:rsid w:val="00F10A14"/>
    <w:rsid w:val="00F11A4B"/>
    <w:rsid w:val="00F12759"/>
    <w:rsid w:val="00F1303D"/>
    <w:rsid w:val="00F13407"/>
    <w:rsid w:val="00F14ACF"/>
    <w:rsid w:val="00F15AF1"/>
    <w:rsid w:val="00F16662"/>
    <w:rsid w:val="00F170CA"/>
    <w:rsid w:val="00F176FA"/>
    <w:rsid w:val="00F204AB"/>
    <w:rsid w:val="00F20CEC"/>
    <w:rsid w:val="00F2120A"/>
    <w:rsid w:val="00F21408"/>
    <w:rsid w:val="00F21D9E"/>
    <w:rsid w:val="00F229E6"/>
    <w:rsid w:val="00F234ED"/>
    <w:rsid w:val="00F24CFC"/>
    <w:rsid w:val="00F25C28"/>
    <w:rsid w:val="00F26178"/>
    <w:rsid w:val="00F2702F"/>
    <w:rsid w:val="00F27385"/>
    <w:rsid w:val="00F273F8"/>
    <w:rsid w:val="00F274AC"/>
    <w:rsid w:val="00F27B6A"/>
    <w:rsid w:val="00F27EDB"/>
    <w:rsid w:val="00F306CB"/>
    <w:rsid w:val="00F30F2C"/>
    <w:rsid w:val="00F3114E"/>
    <w:rsid w:val="00F3239C"/>
    <w:rsid w:val="00F32C46"/>
    <w:rsid w:val="00F3486D"/>
    <w:rsid w:val="00F35595"/>
    <w:rsid w:val="00F356E4"/>
    <w:rsid w:val="00F3620F"/>
    <w:rsid w:val="00F37836"/>
    <w:rsid w:val="00F4054B"/>
    <w:rsid w:val="00F40711"/>
    <w:rsid w:val="00F4087E"/>
    <w:rsid w:val="00F40D57"/>
    <w:rsid w:val="00F40E24"/>
    <w:rsid w:val="00F42003"/>
    <w:rsid w:val="00F4247C"/>
    <w:rsid w:val="00F42612"/>
    <w:rsid w:val="00F43082"/>
    <w:rsid w:val="00F4323A"/>
    <w:rsid w:val="00F43ABE"/>
    <w:rsid w:val="00F4404E"/>
    <w:rsid w:val="00F440D1"/>
    <w:rsid w:val="00F44112"/>
    <w:rsid w:val="00F45010"/>
    <w:rsid w:val="00F4529D"/>
    <w:rsid w:val="00F4578B"/>
    <w:rsid w:val="00F457D3"/>
    <w:rsid w:val="00F45AB6"/>
    <w:rsid w:val="00F46084"/>
    <w:rsid w:val="00F46816"/>
    <w:rsid w:val="00F46B02"/>
    <w:rsid w:val="00F46BB3"/>
    <w:rsid w:val="00F46E23"/>
    <w:rsid w:val="00F46EBB"/>
    <w:rsid w:val="00F47803"/>
    <w:rsid w:val="00F47ACA"/>
    <w:rsid w:val="00F47DCB"/>
    <w:rsid w:val="00F5015F"/>
    <w:rsid w:val="00F51C4F"/>
    <w:rsid w:val="00F52D41"/>
    <w:rsid w:val="00F53F29"/>
    <w:rsid w:val="00F54423"/>
    <w:rsid w:val="00F547C3"/>
    <w:rsid w:val="00F54878"/>
    <w:rsid w:val="00F56782"/>
    <w:rsid w:val="00F568D5"/>
    <w:rsid w:val="00F57239"/>
    <w:rsid w:val="00F579EA"/>
    <w:rsid w:val="00F57F25"/>
    <w:rsid w:val="00F600A0"/>
    <w:rsid w:val="00F62599"/>
    <w:rsid w:val="00F631A5"/>
    <w:rsid w:val="00F64664"/>
    <w:rsid w:val="00F654B5"/>
    <w:rsid w:val="00F667FD"/>
    <w:rsid w:val="00F668BA"/>
    <w:rsid w:val="00F67B62"/>
    <w:rsid w:val="00F700D5"/>
    <w:rsid w:val="00F7017B"/>
    <w:rsid w:val="00F702A7"/>
    <w:rsid w:val="00F71038"/>
    <w:rsid w:val="00F71580"/>
    <w:rsid w:val="00F721A9"/>
    <w:rsid w:val="00F72627"/>
    <w:rsid w:val="00F72FE8"/>
    <w:rsid w:val="00F7445F"/>
    <w:rsid w:val="00F74960"/>
    <w:rsid w:val="00F7558D"/>
    <w:rsid w:val="00F758AA"/>
    <w:rsid w:val="00F75EB5"/>
    <w:rsid w:val="00F76E92"/>
    <w:rsid w:val="00F77866"/>
    <w:rsid w:val="00F779F5"/>
    <w:rsid w:val="00F77F84"/>
    <w:rsid w:val="00F80511"/>
    <w:rsid w:val="00F80655"/>
    <w:rsid w:val="00F80FFD"/>
    <w:rsid w:val="00F81116"/>
    <w:rsid w:val="00F81256"/>
    <w:rsid w:val="00F820E0"/>
    <w:rsid w:val="00F82BE8"/>
    <w:rsid w:val="00F82E21"/>
    <w:rsid w:val="00F8308C"/>
    <w:rsid w:val="00F83D56"/>
    <w:rsid w:val="00F83E7F"/>
    <w:rsid w:val="00F85415"/>
    <w:rsid w:val="00F85687"/>
    <w:rsid w:val="00F86319"/>
    <w:rsid w:val="00F9153C"/>
    <w:rsid w:val="00F9181F"/>
    <w:rsid w:val="00F91E1C"/>
    <w:rsid w:val="00F9202E"/>
    <w:rsid w:val="00F93123"/>
    <w:rsid w:val="00F93FD6"/>
    <w:rsid w:val="00F9406E"/>
    <w:rsid w:val="00F9521C"/>
    <w:rsid w:val="00F95496"/>
    <w:rsid w:val="00F95C78"/>
    <w:rsid w:val="00F95D0B"/>
    <w:rsid w:val="00F96912"/>
    <w:rsid w:val="00F97FAC"/>
    <w:rsid w:val="00FA0E40"/>
    <w:rsid w:val="00FA1410"/>
    <w:rsid w:val="00FA1A16"/>
    <w:rsid w:val="00FA3742"/>
    <w:rsid w:val="00FA40D1"/>
    <w:rsid w:val="00FA4861"/>
    <w:rsid w:val="00FA520A"/>
    <w:rsid w:val="00FA5373"/>
    <w:rsid w:val="00FA54B4"/>
    <w:rsid w:val="00FA58AB"/>
    <w:rsid w:val="00FA5AB1"/>
    <w:rsid w:val="00FA5B06"/>
    <w:rsid w:val="00FA7832"/>
    <w:rsid w:val="00FA7ED4"/>
    <w:rsid w:val="00FB06F4"/>
    <w:rsid w:val="00FB0A7C"/>
    <w:rsid w:val="00FB0DCC"/>
    <w:rsid w:val="00FB1512"/>
    <w:rsid w:val="00FB1981"/>
    <w:rsid w:val="00FB3C29"/>
    <w:rsid w:val="00FB3E80"/>
    <w:rsid w:val="00FB44D3"/>
    <w:rsid w:val="00FB47C7"/>
    <w:rsid w:val="00FB50A1"/>
    <w:rsid w:val="00FB5590"/>
    <w:rsid w:val="00FB5DEA"/>
    <w:rsid w:val="00FB67E9"/>
    <w:rsid w:val="00FB6937"/>
    <w:rsid w:val="00FB7235"/>
    <w:rsid w:val="00FB796C"/>
    <w:rsid w:val="00FC27F3"/>
    <w:rsid w:val="00FC30D2"/>
    <w:rsid w:val="00FC39E8"/>
    <w:rsid w:val="00FC3BEC"/>
    <w:rsid w:val="00FC3EA7"/>
    <w:rsid w:val="00FC460C"/>
    <w:rsid w:val="00FC486D"/>
    <w:rsid w:val="00FC494B"/>
    <w:rsid w:val="00FC49FA"/>
    <w:rsid w:val="00FC597F"/>
    <w:rsid w:val="00FC6388"/>
    <w:rsid w:val="00FC6F23"/>
    <w:rsid w:val="00FC7662"/>
    <w:rsid w:val="00FC7749"/>
    <w:rsid w:val="00FC7B02"/>
    <w:rsid w:val="00FC7E51"/>
    <w:rsid w:val="00FC7E90"/>
    <w:rsid w:val="00FD0AA7"/>
    <w:rsid w:val="00FD1E72"/>
    <w:rsid w:val="00FD2067"/>
    <w:rsid w:val="00FD2473"/>
    <w:rsid w:val="00FD2B32"/>
    <w:rsid w:val="00FD2B98"/>
    <w:rsid w:val="00FD3EDB"/>
    <w:rsid w:val="00FD44A3"/>
    <w:rsid w:val="00FD5231"/>
    <w:rsid w:val="00FD6013"/>
    <w:rsid w:val="00FD6537"/>
    <w:rsid w:val="00FD68C4"/>
    <w:rsid w:val="00FD7026"/>
    <w:rsid w:val="00FD73E6"/>
    <w:rsid w:val="00FE07F5"/>
    <w:rsid w:val="00FE1301"/>
    <w:rsid w:val="00FE2105"/>
    <w:rsid w:val="00FE2B7A"/>
    <w:rsid w:val="00FE31C1"/>
    <w:rsid w:val="00FE4032"/>
    <w:rsid w:val="00FE4383"/>
    <w:rsid w:val="00FE458B"/>
    <w:rsid w:val="00FE4E44"/>
    <w:rsid w:val="00FE5210"/>
    <w:rsid w:val="00FE57BA"/>
    <w:rsid w:val="00FE725B"/>
    <w:rsid w:val="00FE75AA"/>
    <w:rsid w:val="00FF015A"/>
    <w:rsid w:val="00FF034C"/>
    <w:rsid w:val="00FF05DD"/>
    <w:rsid w:val="00FF069C"/>
    <w:rsid w:val="00FF0F29"/>
    <w:rsid w:val="00FF2FFD"/>
    <w:rsid w:val="00FF30FE"/>
    <w:rsid w:val="00FF3C8A"/>
    <w:rsid w:val="00FF3E54"/>
    <w:rsid w:val="00FF5F5E"/>
    <w:rsid w:val="00FF627E"/>
    <w:rsid w:val="00FF66BE"/>
    <w:rsid w:val="00FF6762"/>
    <w:rsid w:val="00FF6829"/>
    <w:rsid w:val="00FF6E3E"/>
    <w:rsid w:val="03E8B8D5"/>
    <w:rsid w:val="05C16D0B"/>
    <w:rsid w:val="12DFA27A"/>
    <w:rsid w:val="15A1DC7F"/>
    <w:rsid w:val="61C1124F"/>
    <w:rsid w:val="7A4B311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style="mso-position-horizontal-relative:page;mso-position-vertical-relative:page" strokecolor="none [3215]">
      <v:stroke color="none [3215]" weight="1pt"/>
    </o:shapedefaults>
    <o:shapelayout v:ext="edit">
      <o:idmap v:ext="edit" data="1"/>
    </o:shapelayout>
  </w:shapeDefaults>
  <w:decimalSymbol w:val="."/>
  <w:listSeparator w:val=","/>
  <w14:docId w14:val="30D63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unhideWhenUsed="0"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148F"/>
    <w:rPr>
      <w:rFonts w:ascii="Arial" w:eastAsia="Times New Roman" w:hAnsi="Arial" w:cs="Times New Roman"/>
      <w:szCs w:val="24"/>
      <w:lang w:val="en-GB" w:eastAsia="de-DE"/>
    </w:rPr>
  </w:style>
  <w:style w:type="paragraph" w:styleId="Heading1">
    <w:name w:val="heading 1"/>
    <w:basedOn w:val="Normal"/>
    <w:next w:val="Normal"/>
    <w:link w:val="Heading1Char"/>
    <w:uiPriority w:val="9"/>
    <w:semiHidden/>
    <w:qFormat/>
    <w:rsid w:val="004B6993"/>
    <w:pPr>
      <w:keepNext/>
      <w:keepLines/>
      <w:spacing w:before="480"/>
      <w:outlineLvl w:val="0"/>
    </w:pPr>
    <w:rPr>
      <w:rFonts w:asciiTheme="majorHAnsi" w:eastAsiaTheme="majorEastAsia" w:hAnsiTheme="majorHAnsi" w:cstheme="majorBidi"/>
      <w:b/>
      <w:bCs/>
      <w:color w:val="424477" w:themeColor="accent1" w:themeShade="BF"/>
      <w:sz w:val="28"/>
      <w:szCs w:val="28"/>
    </w:rPr>
  </w:style>
  <w:style w:type="paragraph" w:styleId="Heading2">
    <w:name w:val="heading 2"/>
    <w:basedOn w:val="Normal"/>
    <w:next w:val="Normal"/>
    <w:link w:val="Heading2Char"/>
    <w:uiPriority w:val="9"/>
    <w:semiHidden/>
    <w:qFormat/>
    <w:rsid w:val="00660893"/>
    <w:pPr>
      <w:keepNext/>
      <w:keepLines/>
      <w:spacing w:before="40"/>
      <w:outlineLvl w:val="1"/>
    </w:pPr>
    <w:rPr>
      <w:rFonts w:asciiTheme="majorHAnsi" w:eastAsiaTheme="majorEastAsia" w:hAnsiTheme="majorHAnsi" w:cstheme="majorBidi"/>
      <w:color w:val="424477" w:themeColor="accent1" w:themeShade="BF"/>
      <w:sz w:val="26"/>
      <w:szCs w:val="26"/>
    </w:rPr>
  </w:style>
  <w:style w:type="paragraph" w:styleId="Heading3">
    <w:name w:val="heading 3"/>
    <w:basedOn w:val="Normal"/>
    <w:next w:val="Normal"/>
    <w:link w:val="Heading3Char"/>
    <w:uiPriority w:val="99"/>
    <w:unhideWhenUsed/>
    <w:qFormat/>
    <w:rsid w:val="00F82BE8"/>
    <w:pPr>
      <w:keepNext/>
      <w:keepLines/>
      <w:spacing w:before="40"/>
      <w:outlineLvl w:val="2"/>
    </w:pPr>
    <w:rPr>
      <w:rFonts w:asciiTheme="majorHAnsi" w:eastAsiaTheme="majorEastAsia" w:hAnsiTheme="majorHAnsi" w:cstheme="majorBidi"/>
      <w:color w:val="2C2D4F"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F4F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regular">
    <w:name w:val="text regular"/>
    <w:basedOn w:val="Normal"/>
    <w:link w:val="textregularZchn"/>
    <w:qFormat/>
    <w:rsid w:val="00F46084"/>
    <w:pPr>
      <w:spacing w:after="120"/>
    </w:pPr>
  </w:style>
  <w:style w:type="paragraph" w:styleId="Header">
    <w:name w:val="header"/>
    <w:basedOn w:val="Normal"/>
    <w:link w:val="HeaderChar"/>
    <w:uiPriority w:val="99"/>
    <w:unhideWhenUsed/>
    <w:rsid w:val="00B04144"/>
    <w:pPr>
      <w:tabs>
        <w:tab w:val="center" w:pos="4536"/>
        <w:tab w:val="right" w:pos="9072"/>
      </w:tabs>
    </w:pPr>
  </w:style>
  <w:style w:type="character" w:customStyle="1" w:styleId="HeaderChar">
    <w:name w:val="Header Char"/>
    <w:basedOn w:val="DefaultParagraphFont"/>
    <w:link w:val="Header"/>
    <w:uiPriority w:val="99"/>
    <w:rsid w:val="00B04144"/>
  </w:style>
  <w:style w:type="paragraph" w:styleId="Footer">
    <w:name w:val="footer"/>
    <w:basedOn w:val="Normal"/>
    <w:link w:val="FooterChar"/>
    <w:uiPriority w:val="99"/>
    <w:semiHidden/>
    <w:rsid w:val="00B04144"/>
    <w:pPr>
      <w:tabs>
        <w:tab w:val="center" w:pos="4536"/>
        <w:tab w:val="right" w:pos="9072"/>
      </w:tabs>
    </w:pPr>
  </w:style>
  <w:style w:type="character" w:customStyle="1" w:styleId="FooterChar">
    <w:name w:val="Footer Char"/>
    <w:basedOn w:val="DefaultParagraphFont"/>
    <w:link w:val="Footer"/>
    <w:uiPriority w:val="99"/>
    <w:semiHidden/>
    <w:rsid w:val="00CD009F"/>
    <w:rPr>
      <w:lang w:val="en-GB"/>
    </w:rPr>
  </w:style>
  <w:style w:type="paragraph" w:styleId="BalloonText">
    <w:name w:val="Balloon Text"/>
    <w:basedOn w:val="Normal"/>
    <w:link w:val="BalloonTextChar"/>
    <w:uiPriority w:val="99"/>
    <w:semiHidden/>
    <w:unhideWhenUsed/>
    <w:rsid w:val="00B04144"/>
    <w:rPr>
      <w:rFonts w:ascii="Tahoma" w:hAnsi="Tahoma" w:cs="Tahoma"/>
      <w:sz w:val="16"/>
      <w:szCs w:val="16"/>
    </w:rPr>
  </w:style>
  <w:style w:type="character" w:customStyle="1" w:styleId="BalloonTextChar">
    <w:name w:val="Balloon Text Char"/>
    <w:basedOn w:val="DefaultParagraphFont"/>
    <w:link w:val="BalloonText"/>
    <w:uiPriority w:val="99"/>
    <w:semiHidden/>
    <w:rsid w:val="00B04144"/>
    <w:rPr>
      <w:rFonts w:ascii="Tahoma" w:hAnsi="Tahoma" w:cs="Tahoma"/>
      <w:sz w:val="16"/>
      <w:szCs w:val="16"/>
    </w:rPr>
  </w:style>
  <w:style w:type="paragraph" w:customStyle="1" w:styleId="headlineheader">
    <w:name w:val="headline header"/>
    <w:basedOn w:val="textregular"/>
    <w:uiPriority w:val="1"/>
    <w:qFormat/>
    <w:rsid w:val="007A686E"/>
    <w:pPr>
      <w:spacing w:after="280" w:line="600" w:lineRule="exact"/>
    </w:pPr>
    <w:rPr>
      <w:rFonts w:asciiTheme="majorHAnsi" w:hAnsiTheme="majorHAnsi" w:cstheme="majorHAnsi"/>
      <w:b/>
      <w:color w:val="23236E" w:themeColor="text2"/>
      <w:sz w:val="57"/>
      <w:szCs w:val="57"/>
    </w:rPr>
  </w:style>
  <w:style w:type="paragraph" w:customStyle="1" w:styleId="textheader">
    <w:name w:val="text header"/>
    <w:basedOn w:val="textregular"/>
    <w:uiPriority w:val="1"/>
    <w:qFormat/>
    <w:rsid w:val="00B30D59"/>
    <w:pPr>
      <w:spacing w:after="400" w:line="500" w:lineRule="exact"/>
    </w:pPr>
    <w:rPr>
      <w:rFonts w:asciiTheme="majorHAnsi" w:hAnsiTheme="majorHAnsi" w:cstheme="majorHAnsi"/>
      <w:color w:val="23236E" w:themeColor="text2"/>
      <w:sz w:val="40"/>
      <w:szCs w:val="40"/>
      <w:lang w:val="en-US"/>
    </w:rPr>
  </w:style>
  <w:style w:type="paragraph" w:customStyle="1" w:styleId="time">
    <w:name w:val="time"/>
    <w:basedOn w:val="textregular"/>
    <w:uiPriority w:val="1"/>
    <w:qFormat/>
    <w:rsid w:val="007A686E"/>
    <w:pPr>
      <w:framePr w:hSpace="142" w:vSpace="5528" w:wrap="around" w:vAnchor="page" w:hAnchor="page" w:x="1362" w:y="5104"/>
      <w:spacing w:after="0" w:line="320" w:lineRule="exact"/>
    </w:pPr>
    <w:rPr>
      <w:rFonts w:asciiTheme="majorHAnsi" w:hAnsiTheme="majorHAnsi" w:cstheme="majorHAnsi"/>
      <w:sz w:val="29"/>
      <w:szCs w:val="29"/>
      <w:lang w:val="en-US"/>
    </w:rPr>
  </w:style>
  <w:style w:type="character" w:styleId="PlaceholderText">
    <w:name w:val="Placeholder Text"/>
    <w:basedOn w:val="DefaultParagraphFont"/>
    <w:uiPriority w:val="99"/>
    <w:semiHidden/>
    <w:rsid w:val="00903B95"/>
    <w:rPr>
      <w:color w:val="808080"/>
    </w:rPr>
  </w:style>
  <w:style w:type="paragraph" w:customStyle="1" w:styleId="headline1">
    <w:name w:val="headline 1"/>
    <w:basedOn w:val="textregular"/>
    <w:uiPriority w:val="2"/>
    <w:qFormat/>
    <w:rsid w:val="000F693C"/>
    <w:pPr>
      <w:numPr>
        <w:numId w:val="1"/>
      </w:numPr>
      <w:spacing w:before="400" w:line="340" w:lineRule="exact"/>
      <w:ind w:left="284" w:hanging="284"/>
      <w:outlineLvl w:val="0"/>
    </w:pPr>
    <w:rPr>
      <w:rFonts w:asciiTheme="majorHAnsi" w:hAnsiTheme="majorHAnsi" w:cstheme="majorHAnsi"/>
      <w:b/>
      <w:color w:val="23236E" w:themeColor="text2"/>
      <w:sz w:val="28"/>
      <w:szCs w:val="28"/>
    </w:rPr>
  </w:style>
  <w:style w:type="numbering" w:customStyle="1" w:styleId="XXXList">
    <w:name w:val="XXX_List"/>
    <w:basedOn w:val="NoList"/>
    <w:uiPriority w:val="99"/>
    <w:rsid w:val="00D9486F"/>
    <w:pPr>
      <w:numPr>
        <w:numId w:val="1"/>
      </w:numPr>
    </w:pPr>
  </w:style>
  <w:style w:type="character" w:customStyle="1" w:styleId="Heading1Char">
    <w:name w:val="Heading 1 Char"/>
    <w:basedOn w:val="DefaultParagraphFont"/>
    <w:link w:val="Heading1"/>
    <w:uiPriority w:val="9"/>
    <w:semiHidden/>
    <w:rsid w:val="004B6993"/>
    <w:rPr>
      <w:rFonts w:asciiTheme="majorHAnsi" w:eastAsiaTheme="majorEastAsia" w:hAnsiTheme="majorHAnsi" w:cstheme="majorBidi"/>
      <w:b/>
      <w:bCs/>
      <w:color w:val="424477" w:themeColor="accent1" w:themeShade="BF"/>
      <w:sz w:val="28"/>
      <w:szCs w:val="28"/>
    </w:rPr>
  </w:style>
  <w:style w:type="paragraph" w:styleId="TOC1">
    <w:name w:val="toc 1"/>
    <w:basedOn w:val="Normal"/>
    <w:next w:val="Normal"/>
    <w:autoRedefine/>
    <w:uiPriority w:val="39"/>
    <w:unhideWhenUsed/>
    <w:rsid w:val="0099378F"/>
    <w:pPr>
      <w:spacing w:after="100"/>
    </w:pPr>
    <w:rPr>
      <w:rFonts w:asciiTheme="majorHAnsi" w:hAnsiTheme="majorHAnsi"/>
    </w:rPr>
  </w:style>
  <w:style w:type="paragraph" w:styleId="TOCHeading">
    <w:name w:val="TOC Heading"/>
    <w:basedOn w:val="Heading1"/>
    <w:next w:val="Normal"/>
    <w:uiPriority w:val="39"/>
    <w:unhideWhenUsed/>
    <w:qFormat/>
    <w:rsid w:val="004B6993"/>
    <w:pPr>
      <w:spacing w:line="276" w:lineRule="auto"/>
      <w:outlineLvl w:val="9"/>
    </w:pPr>
  </w:style>
  <w:style w:type="character" w:styleId="Hyperlink">
    <w:name w:val="Hyperlink"/>
    <w:basedOn w:val="DefaultParagraphFont"/>
    <w:uiPriority w:val="99"/>
    <w:rsid w:val="0099378F"/>
    <w:rPr>
      <w:color w:val="0000FF" w:themeColor="hyperlink"/>
      <w:u w:val="single"/>
    </w:rPr>
  </w:style>
  <w:style w:type="paragraph" w:customStyle="1" w:styleId="decisionhead">
    <w:name w:val="decision head"/>
    <w:basedOn w:val="textregular"/>
    <w:uiPriority w:val="3"/>
    <w:qFormat/>
    <w:rsid w:val="00CD009F"/>
    <w:pPr>
      <w:pBdr>
        <w:top w:val="single" w:sz="24" w:space="1" w:color="B4B4C8" w:themeColor="accent4"/>
        <w:left w:val="single" w:sz="24" w:space="4" w:color="B4B4C8" w:themeColor="accent4"/>
        <w:bottom w:val="single" w:sz="24" w:space="1" w:color="B4B4C8" w:themeColor="accent4"/>
        <w:right w:val="single" w:sz="24" w:space="4" w:color="B4B4C8" w:themeColor="accent4"/>
      </w:pBdr>
      <w:shd w:val="clear" w:color="auto" w:fill="B4B4C8" w:themeFill="accent4"/>
      <w:spacing w:after="0" w:line="260" w:lineRule="exact"/>
      <w:ind w:left="170" w:right="170"/>
    </w:pPr>
    <w:rPr>
      <w:rFonts w:asciiTheme="majorHAnsi" w:hAnsiTheme="majorHAnsi" w:cstheme="majorHAnsi"/>
      <w:b/>
      <w:color w:val="23236E" w:themeColor="text2"/>
      <w:sz w:val="24"/>
    </w:rPr>
  </w:style>
  <w:style w:type="numbering" w:customStyle="1" w:styleId="XXXBulletList">
    <w:name w:val="XXX_Bullet List"/>
    <w:basedOn w:val="NoList"/>
    <w:uiPriority w:val="99"/>
    <w:rsid w:val="00590A19"/>
    <w:pPr>
      <w:numPr>
        <w:numId w:val="2"/>
      </w:numPr>
    </w:pPr>
  </w:style>
  <w:style w:type="paragraph" w:customStyle="1" w:styleId="decisionbullet1">
    <w:name w:val="decision bullet 1"/>
    <w:basedOn w:val="textregular"/>
    <w:uiPriority w:val="4"/>
    <w:qFormat/>
    <w:rsid w:val="00CD009F"/>
    <w:pPr>
      <w:numPr>
        <w:numId w:val="2"/>
      </w:numPr>
      <w:pBdr>
        <w:top w:val="single" w:sz="24" w:space="0" w:color="B4B4C8" w:themeColor="accent4"/>
        <w:left w:val="single" w:sz="24" w:space="4" w:color="B4B4C8" w:themeColor="accent4"/>
        <w:bottom w:val="single" w:sz="24" w:space="0" w:color="B4B4C8" w:themeColor="accent4"/>
        <w:right w:val="single" w:sz="24" w:space="4" w:color="B4B4C8" w:themeColor="accent4"/>
      </w:pBdr>
      <w:shd w:val="clear" w:color="auto" w:fill="B4B4C8" w:themeFill="accent4"/>
      <w:spacing w:after="0"/>
      <w:ind w:left="499" w:right="170"/>
    </w:pPr>
  </w:style>
  <w:style w:type="paragraph" w:customStyle="1" w:styleId="decisionbullet2">
    <w:name w:val="decision bullet 2"/>
    <w:basedOn w:val="textregular"/>
    <w:uiPriority w:val="4"/>
    <w:qFormat/>
    <w:rsid w:val="00B30D59"/>
    <w:pPr>
      <w:numPr>
        <w:ilvl w:val="1"/>
        <w:numId w:val="2"/>
      </w:numPr>
      <w:pBdr>
        <w:top w:val="single" w:sz="24" w:space="1" w:color="B4B4C8" w:themeColor="accent4"/>
        <w:left w:val="single" w:sz="24" w:space="21" w:color="B4B4C8" w:themeColor="accent4"/>
        <w:bottom w:val="single" w:sz="24" w:space="1" w:color="B4B4C8" w:themeColor="accent4"/>
        <w:right w:val="single" w:sz="24" w:space="4" w:color="B4B4C8" w:themeColor="accent4"/>
      </w:pBdr>
      <w:shd w:val="clear" w:color="auto" w:fill="B4B4C8" w:themeFill="accent4"/>
      <w:spacing w:after="0"/>
      <w:ind w:left="851" w:right="170" w:hanging="369"/>
    </w:pPr>
  </w:style>
  <w:style w:type="paragraph" w:customStyle="1" w:styleId="headline3">
    <w:name w:val="headline 3"/>
    <w:basedOn w:val="textregular"/>
    <w:uiPriority w:val="2"/>
    <w:qFormat/>
    <w:rsid w:val="000F693C"/>
    <w:pPr>
      <w:spacing w:after="20"/>
      <w:outlineLvl w:val="2"/>
    </w:pPr>
    <w:rPr>
      <w:b/>
    </w:rPr>
  </w:style>
  <w:style w:type="numbering" w:customStyle="1" w:styleId="XXXNummerierung">
    <w:name w:val="XXX_Nummerierung"/>
    <w:basedOn w:val="NoList"/>
    <w:uiPriority w:val="99"/>
    <w:rsid w:val="00E7480B"/>
    <w:pPr>
      <w:numPr>
        <w:numId w:val="3"/>
      </w:numPr>
    </w:pPr>
  </w:style>
  <w:style w:type="paragraph" w:customStyle="1" w:styleId="textenumeration">
    <w:name w:val="text enumeration"/>
    <w:basedOn w:val="textregular"/>
    <w:uiPriority w:val="4"/>
    <w:qFormat/>
    <w:rsid w:val="00940B05"/>
    <w:pPr>
      <w:spacing w:line="259" w:lineRule="auto"/>
      <w:ind w:left="360" w:hanging="360"/>
      <w:jc w:val="both"/>
    </w:pPr>
    <w:rPr>
      <w:rFonts w:ascii="Times New Roman" w:hAnsi="Times New Roman"/>
    </w:rPr>
  </w:style>
  <w:style w:type="paragraph" w:customStyle="1" w:styleId="headline2">
    <w:name w:val="headline 2"/>
    <w:basedOn w:val="textregular"/>
    <w:uiPriority w:val="2"/>
    <w:qFormat/>
    <w:rsid w:val="000F693C"/>
    <w:pPr>
      <w:spacing w:line="260" w:lineRule="exact"/>
      <w:outlineLvl w:val="1"/>
    </w:pPr>
    <w:rPr>
      <w:rFonts w:asciiTheme="majorHAnsi" w:hAnsiTheme="majorHAnsi" w:cstheme="majorHAnsi"/>
      <w:b/>
      <w:color w:val="23236E" w:themeColor="text2"/>
      <w:sz w:val="24"/>
    </w:rPr>
  </w:style>
  <w:style w:type="numbering" w:customStyle="1" w:styleId="XXXtextbullets">
    <w:name w:val="XXX_text bullets"/>
    <w:basedOn w:val="NoList"/>
    <w:uiPriority w:val="99"/>
    <w:rsid w:val="000961F8"/>
    <w:pPr>
      <w:numPr>
        <w:numId w:val="4"/>
      </w:numPr>
    </w:pPr>
  </w:style>
  <w:style w:type="paragraph" w:customStyle="1" w:styleId="textbullets">
    <w:name w:val="text bullets"/>
    <w:basedOn w:val="textregular"/>
    <w:uiPriority w:val="5"/>
    <w:qFormat/>
    <w:rsid w:val="000961F8"/>
    <w:pPr>
      <w:numPr>
        <w:numId w:val="4"/>
      </w:numPr>
      <w:contextualSpacing/>
    </w:pPr>
  </w:style>
  <w:style w:type="table" w:customStyle="1" w:styleId="EntsoeeinfacheTabelle">
    <w:name w:val="Entsoe | einfache Tabelle"/>
    <w:basedOn w:val="TableNormal"/>
    <w:uiPriority w:val="99"/>
    <w:qFormat/>
    <w:rsid w:val="00922A3D"/>
    <w:tblPr>
      <w:tblStyleRowBandSize w:val="1"/>
      <w:tblBorders>
        <w:insideV w:val="single" w:sz="12" w:space="0" w:color="FFFFFF" w:themeColor="background1"/>
      </w:tblBorders>
      <w:tblCellMar>
        <w:top w:w="28" w:type="dxa"/>
      </w:tblCellMar>
    </w:tblPr>
    <w:tblStylePr w:type="firstRow">
      <w:pPr>
        <w:wordWrap/>
        <w:spacing w:afterLines="0" w:afterAutospacing="0" w:line="340" w:lineRule="exact"/>
      </w:pPr>
      <w:rPr>
        <w:rFonts w:asciiTheme="majorHAnsi" w:hAnsiTheme="majorHAnsi"/>
        <w:b/>
        <w:color w:val="23236E" w:themeColor="text2"/>
        <w:sz w:val="28"/>
      </w:rPr>
    </w:tblStylePr>
    <w:tblStylePr w:type="band1Horz">
      <w:tblPr/>
      <w:tcPr>
        <w:shd w:val="clear" w:color="auto" w:fill="D9D9D9" w:themeFill="background1" w:themeFillShade="D9"/>
      </w:tcPr>
    </w:tblStylePr>
  </w:style>
  <w:style w:type="paragraph" w:customStyle="1" w:styleId="footnote1">
    <w:name w:val="footnote 1"/>
    <w:basedOn w:val="textregular"/>
    <w:uiPriority w:val="6"/>
    <w:qFormat/>
    <w:rsid w:val="007E6984"/>
    <w:pPr>
      <w:pBdr>
        <w:top w:val="single" w:sz="8" w:space="11" w:color="auto"/>
      </w:pBdr>
      <w:spacing w:after="0"/>
    </w:pPr>
    <w:rPr>
      <w:sz w:val="19"/>
    </w:rPr>
  </w:style>
  <w:style w:type="paragraph" w:customStyle="1" w:styleId="footnote2">
    <w:name w:val="footnote 2"/>
    <w:basedOn w:val="textregular"/>
    <w:uiPriority w:val="6"/>
    <w:qFormat/>
    <w:rsid w:val="007E6984"/>
    <w:pPr>
      <w:spacing w:after="0"/>
    </w:pPr>
    <w:rPr>
      <w:sz w:val="19"/>
    </w:rPr>
  </w:style>
  <w:style w:type="paragraph" w:styleId="TOC3">
    <w:name w:val="toc 3"/>
    <w:basedOn w:val="Normal"/>
    <w:next w:val="Normal"/>
    <w:autoRedefine/>
    <w:uiPriority w:val="39"/>
    <w:unhideWhenUsed/>
    <w:rsid w:val="000F693C"/>
    <w:pPr>
      <w:spacing w:after="100"/>
      <w:ind w:left="440"/>
    </w:pPr>
  </w:style>
  <w:style w:type="paragraph" w:styleId="TOC2">
    <w:name w:val="toc 2"/>
    <w:basedOn w:val="Normal"/>
    <w:next w:val="Normal"/>
    <w:autoRedefine/>
    <w:uiPriority w:val="39"/>
    <w:unhideWhenUsed/>
    <w:rsid w:val="000F693C"/>
    <w:pPr>
      <w:spacing w:after="100"/>
      <w:ind w:left="220"/>
    </w:pPr>
  </w:style>
  <w:style w:type="paragraph" w:styleId="ListParagraph">
    <w:name w:val="List Paragraph"/>
    <w:basedOn w:val="Normal"/>
    <w:link w:val="ListParagraphChar"/>
    <w:uiPriority w:val="34"/>
    <w:qFormat/>
    <w:rsid w:val="00736F35"/>
    <w:pPr>
      <w:spacing w:after="120" w:line="252" w:lineRule="auto"/>
      <w:jc w:val="both"/>
    </w:pPr>
    <w:rPr>
      <w:rFonts w:asciiTheme="minorHAnsi" w:hAnsiTheme="minorHAnsi" w:cstheme="minorHAnsi"/>
    </w:rPr>
  </w:style>
  <w:style w:type="character" w:customStyle="1" w:styleId="textregularZchn">
    <w:name w:val="text regular Zchn"/>
    <w:basedOn w:val="DefaultParagraphFont"/>
    <w:link w:val="textregular"/>
    <w:rsid w:val="004F245D"/>
    <w:rPr>
      <w:lang w:val="en-GB"/>
    </w:rPr>
  </w:style>
  <w:style w:type="table" w:customStyle="1" w:styleId="TableGrid1">
    <w:name w:val="Table Grid1"/>
    <w:basedOn w:val="TableNormal"/>
    <w:next w:val="TableGrid"/>
    <w:uiPriority w:val="59"/>
    <w:rsid w:val="004F245D"/>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aliases w:val="Stinking Styles6,Marque de commentaire1,Verwijzing opmerking,Merknadsreferanse"/>
    <w:basedOn w:val="DefaultParagraphFont"/>
    <w:uiPriority w:val="99"/>
    <w:unhideWhenUsed/>
    <w:rsid w:val="00E6115B"/>
    <w:rPr>
      <w:sz w:val="16"/>
      <w:szCs w:val="16"/>
    </w:rPr>
  </w:style>
  <w:style w:type="paragraph" w:styleId="CommentText">
    <w:name w:val="annotation text"/>
    <w:aliases w:val="Stinking Styles5,Tekst opmerking,Texto comentario,Merknadstekst"/>
    <w:basedOn w:val="Normal"/>
    <w:link w:val="CommentTextChar"/>
    <w:uiPriority w:val="99"/>
    <w:unhideWhenUsed/>
    <w:rsid w:val="00E6115B"/>
    <w:rPr>
      <w:sz w:val="20"/>
      <w:szCs w:val="20"/>
    </w:rPr>
  </w:style>
  <w:style w:type="character" w:customStyle="1" w:styleId="CommentTextChar">
    <w:name w:val="Comment Text Char"/>
    <w:aliases w:val="Stinking Styles5 Char,Tekst opmerking Char,Texto comentario Char,Merknadstekst Char"/>
    <w:basedOn w:val="DefaultParagraphFont"/>
    <w:link w:val="CommentText"/>
    <w:uiPriority w:val="99"/>
    <w:rsid w:val="00E6115B"/>
    <w:rPr>
      <w:rFonts w:ascii="Arial" w:eastAsia="Times New Roman" w:hAnsi="Arial" w:cs="Times New Roman"/>
      <w:sz w:val="20"/>
      <w:szCs w:val="20"/>
      <w:lang w:eastAsia="de-DE"/>
    </w:rPr>
  </w:style>
  <w:style w:type="paragraph" w:styleId="CommentSubject">
    <w:name w:val="annotation subject"/>
    <w:basedOn w:val="CommentText"/>
    <w:next w:val="CommentText"/>
    <w:link w:val="CommentSubjectChar"/>
    <w:uiPriority w:val="99"/>
    <w:semiHidden/>
    <w:unhideWhenUsed/>
    <w:rsid w:val="00E6115B"/>
    <w:rPr>
      <w:b/>
      <w:bCs/>
    </w:rPr>
  </w:style>
  <w:style w:type="character" w:customStyle="1" w:styleId="CommentSubjectChar">
    <w:name w:val="Comment Subject Char"/>
    <w:basedOn w:val="CommentTextChar"/>
    <w:link w:val="CommentSubject"/>
    <w:uiPriority w:val="99"/>
    <w:semiHidden/>
    <w:rsid w:val="00E6115B"/>
    <w:rPr>
      <w:rFonts w:ascii="Arial" w:eastAsia="Times New Roman" w:hAnsi="Arial" w:cs="Times New Roman"/>
      <w:b/>
      <w:bCs/>
      <w:sz w:val="20"/>
      <w:szCs w:val="20"/>
      <w:lang w:eastAsia="de-DE"/>
    </w:rPr>
  </w:style>
  <w:style w:type="paragraph" w:styleId="Revision">
    <w:name w:val="Revision"/>
    <w:hidden/>
    <w:uiPriority w:val="99"/>
    <w:semiHidden/>
    <w:rsid w:val="00F00CC8"/>
    <w:rPr>
      <w:rFonts w:ascii="Arial" w:eastAsia="Times New Roman" w:hAnsi="Arial" w:cs="Times New Roman"/>
      <w:szCs w:val="24"/>
      <w:lang w:eastAsia="de-DE"/>
    </w:rPr>
  </w:style>
  <w:style w:type="character" w:styleId="Strong">
    <w:name w:val="Strong"/>
    <w:basedOn w:val="DefaultParagraphFont"/>
    <w:uiPriority w:val="22"/>
    <w:qFormat/>
    <w:rsid w:val="00C85EC5"/>
    <w:rPr>
      <w:b/>
      <w:bCs/>
    </w:rPr>
  </w:style>
  <w:style w:type="character" w:customStyle="1" w:styleId="Heading3Char">
    <w:name w:val="Heading 3 Char"/>
    <w:basedOn w:val="DefaultParagraphFont"/>
    <w:link w:val="Heading3"/>
    <w:uiPriority w:val="9"/>
    <w:semiHidden/>
    <w:rsid w:val="00F82BE8"/>
    <w:rPr>
      <w:rFonts w:asciiTheme="majorHAnsi" w:eastAsiaTheme="majorEastAsia" w:hAnsiTheme="majorHAnsi" w:cstheme="majorBidi"/>
      <w:color w:val="2C2D4F" w:themeColor="accent1" w:themeShade="7F"/>
      <w:sz w:val="24"/>
      <w:szCs w:val="24"/>
      <w:lang w:eastAsia="de-DE"/>
    </w:rPr>
  </w:style>
  <w:style w:type="character" w:customStyle="1" w:styleId="Heading2Char">
    <w:name w:val="Heading 2 Char"/>
    <w:basedOn w:val="DefaultParagraphFont"/>
    <w:link w:val="Heading2"/>
    <w:uiPriority w:val="9"/>
    <w:rsid w:val="00660893"/>
    <w:rPr>
      <w:rFonts w:asciiTheme="majorHAnsi" w:eastAsiaTheme="majorEastAsia" w:hAnsiTheme="majorHAnsi" w:cstheme="majorBidi"/>
      <w:color w:val="424477" w:themeColor="accent1" w:themeShade="BF"/>
      <w:sz w:val="26"/>
      <w:szCs w:val="26"/>
      <w:lang w:eastAsia="de-DE"/>
    </w:rPr>
  </w:style>
  <w:style w:type="character" w:customStyle="1" w:styleId="ListParagraphChar">
    <w:name w:val="List Paragraph Char"/>
    <w:link w:val="ListParagraph"/>
    <w:uiPriority w:val="34"/>
    <w:locked/>
    <w:rsid w:val="00736F35"/>
    <w:rPr>
      <w:rFonts w:eastAsia="Times New Roman" w:cstheme="minorHAnsi"/>
      <w:szCs w:val="24"/>
      <w:lang w:val="en-GB" w:eastAsia="de-DE"/>
    </w:rPr>
  </w:style>
  <w:style w:type="paragraph" w:customStyle="1" w:styleId="AnnexeTitre2">
    <w:name w:val="Annexe Titre 2"/>
    <w:basedOn w:val="Normal"/>
    <w:next w:val="Normal"/>
    <w:link w:val="AnnexeTitre2Car1"/>
    <w:uiPriority w:val="99"/>
    <w:rsid w:val="006C43C6"/>
    <w:pPr>
      <w:widowControl w:val="0"/>
      <w:numPr>
        <w:ilvl w:val="1"/>
        <w:numId w:val="6"/>
      </w:numPr>
      <w:tabs>
        <w:tab w:val="left" w:pos="709"/>
      </w:tabs>
      <w:autoSpaceDE w:val="0"/>
      <w:autoSpaceDN w:val="0"/>
      <w:spacing w:before="360" w:after="120"/>
      <w:jc w:val="both"/>
      <w:outlineLvl w:val="1"/>
    </w:pPr>
    <w:rPr>
      <w:rFonts w:ascii="Avenir Next LT Com Demi" w:hAnsi="Avenir Next LT Com Demi" w:cs="Tahoma"/>
      <w:b/>
      <w:sz w:val="24"/>
      <w:lang w:val="fr-FR" w:eastAsia="fr-FR"/>
    </w:rPr>
  </w:style>
  <w:style w:type="paragraph" w:customStyle="1" w:styleId="AnnexeTitre1">
    <w:name w:val="Annexe Titre 1"/>
    <w:basedOn w:val="Normal"/>
    <w:next w:val="Normal"/>
    <w:uiPriority w:val="99"/>
    <w:rsid w:val="006C43C6"/>
    <w:pPr>
      <w:keepNext/>
      <w:widowControl w:val="0"/>
      <w:numPr>
        <w:numId w:val="6"/>
      </w:numPr>
      <w:autoSpaceDE w:val="0"/>
      <w:autoSpaceDN w:val="0"/>
      <w:spacing w:before="480" w:after="120"/>
      <w:jc w:val="both"/>
      <w:outlineLvl w:val="0"/>
    </w:pPr>
    <w:rPr>
      <w:rFonts w:ascii="Avenir Next LT Com Demi" w:eastAsia="AvenirNext LT Com Regular" w:hAnsi="Avenir Next LT Com Demi" w:cs="Tahoma"/>
      <w:b/>
      <w:bCs/>
      <w:caps/>
      <w:spacing w:val="4"/>
      <w:sz w:val="24"/>
      <w:lang w:val="fr-FR" w:eastAsia="fr-FR"/>
    </w:rPr>
  </w:style>
  <w:style w:type="paragraph" w:customStyle="1" w:styleId="AnnexeTitre3">
    <w:name w:val="Annexe Titre 3"/>
    <w:basedOn w:val="Normal"/>
    <w:next w:val="Normal"/>
    <w:uiPriority w:val="99"/>
    <w:rsid w:val="006C43C6"/>
    <w:pPr>
      <w:widowControl w:val="0"/>
      <w:numPr>
        <w:ilvl w:val="2"/>
        <w:numId w:val="6"/>
      </w:numPr>
      <w:tabs>
        <w:tab w:val="left" w:pos="851"/>
      </w:tabs>
      <w:autoSpaceDE w:val="0"/>
      <w:autoSpaceDN w:val="0"/>
      <w:spacing w:before="360" w:after="120"/>
      <w:jc w:val="both"/>
      <w:outlineLvl w:val="2"/>
    </w:pPr>
    <w:rPr>
      <w:rFonts w:ascii="Avenir Next LT Com Demi" w:hAnsi="Avenir Next LT Com Demi" w:cs="Tahoma"/>
      <w:b/>
      <w:sz w:val="24"/>
      <w:lang w:val="fr-FR" w:eastAsia="fr-FR"/>
    </w:rPr>
  </w:style>
  <w:style w:type="character" w:customStyle="1" w:styleId="AnnexeTitre2Car1">
    <w:name w:val="Annexe Titre 2 Car1"/>
    <w:link w:val="AnnexeTitre2"/>
    <w:uiPriority w:val="99"/>
    <w:locked/>
    <w:rsid w:val="006C43C6"/>
    <w:rPr>
      <w:rFonts w:ascii="Avenir Next LT Com Demi" w:eastAsia="Times New Roman" w:hAnsi="Avenir Next LT Com Demi" w:cs="Tahoma"/>
      <w:b/>
      <w:sz w:val="24"/>
      <w:szCs w:val="24"/>
      <w:lang w:val="fr-FR" w:eastAsia="fr-FR"/>
    </w:rPr>
  </w:style>
  <w:style w:type="paragraph" w:customStyle="1" w:styleId="AnnexeTitre4">
    <w:name w:val="Annexe Titre 4"/>
    <w:basedOn w:val="Normal"/>
    <w:next w:val="Normal"/>
    <w:uiPriority w:val="99"/>
    <w:rsid w:val="006C43C6"/>
    <w:pPr>
      <w:widowControl w:val="0"/>
      <w:numPr>
        <w:ilvl w:val="3"/>
        <w:numId w:val="6"/>
      </w:numPr>
      <w:tabs>
        <w:tab w:val="left" w:pos="-1843"/>
      </w:tabs>
      <w:autoSpaceDE w:val="0"/>
      <w:autoSpaceDN w:val="0"/>
      <w:spacing w:before="240" w:after="120"/>
      <w:jc w:val="both"/>
    </w:pPr>
    <w:rPr>
      <w:rFonts w:ascii="Avenir Next LT Com Demi" w:hAnsi="Avenir Next LT Com Demi" w:cs="Tahoma"/>
      <w:b/>
      <w:i/>
      <w:sz w:val="24"/>
      <w:lang w:val="fr-FR" w:eastAsia="fr-FR"/>
    </w:rPr>
  </w:style>
  <w:style w:type="paragraph" w:customStyle="1" w:styleId="Code">
    <w:name w:val="Code"/>
    <w:basedOn w:val="Normal"/>
    <w:uiPriority w:val="99"/>
    <w:rsid w:val="006C43C6"/>
    <w:pPr>
      <w:keepLines/>
      <w:widowControl w:val="0"/>
      <w:numPr>
        <w:numId w:val="7"/>
      </w:numPr>
      <w:pBdr>
        <w:top w:val="single" w:sz="8" w:space="4" w:color="595959"/>
        <w:left w:val="single" w:sz="8" w:space="4" w:color="595959"/>
        <w:bottom w:val="single" w:sz="8" w:space="4" w:color="595959"/>
        <w:right w:val="single" w:sz="8" w:space="4" w:color="595959"/>
      </w:pBdr>
      <w:shd w:val="clear" w:color="auto" w:fill="FAFAFA"/>
      <w:tabs>
        <w:tab w:val="left" w:pos="924"/>
        <w:tab w:val="left" w:pos="1491"/>
        <w:tab w:val="left" w:pos="2058"/>
        <w:tab w:val="left" w:pos="2625"/>
        <w:tab w:val="left" w:pos="3192"/>
        <w:tab w:val="left" w:pos="3759"/>
        <w:tab w:val="left" w:pos="4326"/>
        <w:tab w:val="left" w:pos="4893"/>
        <w:tab w:val="left" w:pos="5460"/>
        <w:tab w:val="left" w:pos="6027"/>
        <w:tab w:val="left" w:pos="6594"/>
        <w:tab w:val="left" w:pos="7161"/>
        <w:tab w:val="left" w:pos="7728"/>
        <w:tab w:val="left" w:pos="8295"/>
        <w:tab w:val="left" w:pos="8862"/>
      </w:tabs>
      <w:suppressAutoHyphens/>
      <w:autoSpaceDE w:val="0"/>
      <w:autoSpaceDN w:val="0"/>
      <w:spacing w:before="240" w:after="240"/>
      <w:contextualSpacing/>
    </w:pPr>
    <w:rPr>
      <w:rFonts w:ascii="Consolas" w:hAnsi="Consolas" w:cs="AvenirNext LT Com Regular"/>
      <w:szCs w:val="20"/>
      <w:lang w:val="fr-FR" w:eastAsia="fr-FR"/>
    </w:rPr>
  </w:style>
  <w:style w:type="paragraph" w:customStyle="1" w:styleId="Point0number">
    <w:name w:val="Point 0 (number)"/>
    <w:basedOn w:val="Normal"/>
    <w:rsid w:val="00DE794C"/>
    <w:pPr>
      <w:numPr>
        <w:numId w:val="8"/>
      </w:numPr>
      <w:spacing w:before="120" w:after="120"/>
      <w:jc w:val="both"/>
    </w:pPr>
    <w:rPr>
      <w:rFonts w:ascii="Times New Roman" w:eastAsiaTheme="minorHAnsi" w:hAnsi="Times New Roman"/>
      <w:sz w:val="24"/>
      <w:szCs w:val="22"/>
      <w:lang w:eastAsia="en-US"/>
    </w:rPr>
  </w:style>
  <w:style w:type="paragraph" w:customStyle="1" w:styleId="Point1number">
    <w:name w:val="Point 1 (number)"/>
    <w:basedOn w:val="Normal"/>
    <w:rsid w:val="00DE794C"/>
    <w:pPr>
      <w:numPr>
        <w:ilvl w:val="2"/>
        <w:numId w:val="8"/>
      </w:numPr>
      <w:spacing w:before="120" w:after="120"/>
      <w:jc w:val="both"/>
    </w:pPr>
    <w:rPr>
      <w:rFonts w:ascii="Times New Roman" w:eastAsiaTheme="minorHAnsi" w:hAnsi="Times New Roman"/>
      <w:sz w:val="24"/>
      <w:szCs w:val="22"/>
      <w:lang w:eastAsia="en-US"/>
    </w:rPr>
  </w:style>
  <w:style w:type="paragraph" w:customStyle="1" w:styleId="Point2number">
    <w:name w:val="Point 2 (number)"/>
    <w:basedOn w:val="Normal"/>
    <w:rsid w:val="00DE794C"/>
    <w:pPr>
      <w:numPr>
        <w:ilvl w:val="4"/>
        <w:numId w:val="8"/>
      </w:numPr>
      <w:spacing w:before="120" w:after="120"/>
      <w:jc w:val="both"/>
    </w:pPr>
    <w:rPr>
      <w:rFonts w:ascii="Times New Roman" w:eastAsiaTheme="minorHAnsi" w:hAnsi="Times New Roman"/>
      <w:sz w:val="24"/>
      <w:szCs w:val="22"/>
      <w:lang w:eastAsia="en-US"/>
    </w:rPr>
  </w:style>
  <w:style w:type="paragraph" w:customStyle="1" w:styleId="Point3number">
    <w:name w:val="Point 3 (number)"/>
    <w:basedOn w:val="Normal"/>
    <w:rsid w:val="00DE794C"/>
    <w:pPr>
      <w:numPr>
        <w:ilvl w:val="6"/>
        <w:numId w:val="8"/>
      </w:numPr>
      <w:spacing w:before="120" w:after="120"/>
      <w:jc w:val="both"/>
    </w:pPr>
    <w:rPr>
      <w:rFonts w:ascii="Times New Roman" w:eastAsiaTheme="minorHAnsi" w:hAnsi="Times New Roman"/>
      <w:sz w:val="24"/>
      <w:szCs w:val="22"/>
      <w:lang w:eastAsia="en-US"/>
    </w:rPr>
  </w:style>
  <w:style w:type="paragraph" w:customStyle="1" w:styleId="Point0letter">
    <w:name w:val="Point 0 (letter)"/>
    <w:basedOn w:val="Normal"/>
    <w:rsid w:val="00DE794C"/>
    <w:pPr>
      <w:numPr>
        <w:ilvl w:val="1"/>
        <w:numId w:val="8"/>
      </w:numPr>
      <w:spacing w:before="120" w:after="120"/>
      <w:jc w:val="both"/>
    </w:pPr>
    <w:rPr>
      <w:rFonts w:ascii="Times New Roman" w:eastAsiaTheme="minorHAnsi" w:hAnsi="Times New Roman"/>
      <w:sz w:val="24"/>
      <w:szCs w:val="22"/>
      <w:lang w:eastAsia="en-US"/>
    </w:rPr>
  </w:style>
  <w:style w:type="paragraph" w:customStyle="1" w:styleId="Point1letter">
    <w:name w:val="Point 1 (letter)"/>
    <w:basedOn w:val="Normal"/>
    <w:rsid w:val="00DE794C"/>
    <w:pPr>
      <w:numPr>
        <w:ilvl w:val="3"/>
        <w:numId w:val="8"/>
      </w:numPr>
      <w:spacing w:before="120" w:after="120"/>
      <w:jc w:val="both"/>
    </w:pPr>
    <w:rPr>
      <w:rFonts w:ascii="Times New Roman" w:eastAsiaTheme="minorHAnsi" w:hAnsi="Times New Roman"/>
      <w:sz w:val="24"/>
      <w:szCs w:val="22"/>
      <w:lang w:eastAsia="en-US"/>
    </w:rPr>
  </w:style>
  <w:style w:type="paragraph" w:customStyle="1" w:styleId="Point2letter">
    <w:name w:val="Point 2 (letter)"/>
    <w:basedOn w:val="Normal"/>
    <w:rsid w:val="00DE794C"/>
    <w:pPr>
      <w:numPr>
        <w:ilvl w:val="5"/>
        <w:numId w:val="8"/>
      </w:numPr>
      <w:spacing w:before="120" w:after="120"/>
      <w:jc w:val="both"/>
    </w:pPr>
    <w:rPr>
      <w:rFonts w:ascii="Times New Roman" w:eastAsiaTheme="minorHAnsi" w:hAnsi="Times New Roman"/>
      <w:sz w:val="24"/>
      <w:szCs w:val="22"/>
      <w:lang w:eastAsia="en-US"/>
    </w:rPr>
  </w:style>
  <w:style w:type="paragraph" w:customStyle="1" w:styleId="Point3letter">
    <w:name w:val="Point 3 (letter)"/>
    <w:basedOn w:val="Normal"/>
    <w:rsid w:val="00DE794C"/>
    <w:pPr>
      <w:numPr>
        <w:ilvl w:val="7"/>
        <w:numId w:val="8"/>
      </w:numPr>
      <w:spacing w:before="120" w:after="120"/>
      <w:jc w:val="both"/>
    </w:pPr>
    <w:rPr>
      <w:rFonts w:ascii="Times New Roman" w:eastAsiaTheme="minorHAnsi" w:hAnsi="Times New Roman"/>
      <w:sz w:val="24"/>
      <w:szCs w:val="22"/>
      <w:lang w:eastAsia="en-US"/>
    </w:rPr>
  </w:style>
  <w:style w:type="paragraph" w:customStyle="1" w:styleId="Point4letter">
    <w:name w:val="Point 4 (letter)"/>
    <w:basedOn w:val="Normal"/>
    <w:rsid w:val="00DE794C"/>
    <w:pPr>
      <w:numPr>
        <w:ilvl w:val="8"/>
        <w:numId w:val="8"/>
      </w:numPr>
      <w:spacing w:before="120" w:after="120"/>
      <w:jc w:val="both"/>
    </w:pPr>
    <w:rPr>
      <w:rFonts w:ascii="Times New Roman" w:eastAsiaTheme="minorHAnsi" w:hAnsi="Times New Roman"/>
      <w:sz w:val="24"/>
      <w:szCs w:val="22"/>
      <w:lang w:eastAsia="en-US"/>
    </w:rPr>
  </w:style>
  <w:style w:type="paragraph" w:styleId="TOC8">
    <w:name w:val="toc 8"/>
    <w:basedOn w:val="Normal"/>
    <w:next w:val="Normal"/>
    <w:autoRedefine/>
    <w:uiPriority w:val="39"/>
    <w:semiHidden/>
    <w:unhideWhenUsed/>
    <w:rsid w:val="003C67C1"/>
    <w:pPr>
      <w:spacing w:after="100"/>
      <w:ind w:left="1540"/>
    </w:pPr>
  </w:style>
  <w:style w:type="paragraph" w:customStyle="1" w:styleId="ListenabsatzNew">
    <w:name w:val="Listenabsatz_New"/>
    <w:basedOn w:val="ListParagraph"/>
    <w:qFormat/>
    <w:rsid w:val="000F1BF9"/>
    <w:rPr>
      <w:rFonts w:ascii="Times New Roman" w:hAnsi="Times New Roman" w:cs="Times New Roman"/>
      <w:szCs w:val="22"/>
      <w:lang w:val="en-US"/>
    </w:rPr>
  </w:style>
  <w:style w:type="paragraph" w:styleId="NormalWeb">
    <w:name w:val="Normal (Web)"/>
    <w:basedOn w:val="Normal"/>
    <w:uiPriority w:val="99"/>
    <w:unhideWhenUsed/>
    <w:rsid w:val="00A16338"/>
    <w:pPr>
      <w:spacing w:before="100" w:beforeAutospacing="1" w:after="100" w:afterAutospacing="1"/>
    </w:pPr>
    <w:rPr>
      <w:rFonts w:ascii="Times New Roman" w:hAnsi="Times New Roman"/>
      <w:sz w:val="24"/>
      <w:lang w:val="fr-FR" w:eastAsia="fr-FR"/>
    </w:rPr>
  </w:style>
  <w:style w:type="paragraph" w:customStyle="1" w:styleId="Numbering">
    <w:name w:val="Numbering !"/>
    <w:basedOn w:val="Normal"/>
    <w:qFormat/>
    <w:rsid w:val="008B04CF"/>
    <w:pPr>
      <w:numPr>
        <w:numId w:val="16"/>
      </w:numPr>
      <w:spacing w:after="120" w:line="254" w:lineRule="auto"/>
      <w:jc w:val="both"/>
    </w:pPr>
    <w:rPr>
      <w:rFonts w:ascii="Times New Roman" w:hAnsi="Times New Roman"/>
      <w:szCs w:val="22"/>
    </w:rPr>
  </w:style>
  <w:style w:type="paragraph" w:customStyle="1" w:styleId="Numbering2">
    <w:name w:val="Numbering 2"/>
    <w:basedOn w:val="Normal"/>
    <w:qFormat/>
    <w:rsid w:val="008B04CF"/>
    <w:pPr>
      <w:numPr>
        <w:ilvl w:val="1"/>
        <w:numId w:val="17"/>
      </w:numPr>
      <w:spacing w:after="120" w:line="254" w:lineRule="auto"/>
      <w:jc w:val="both"/>
    </w:pPr>
    <w:rPr>
      <w:rFonts w:ascii="Times New Roman" w:hAnsi="Times New Roman"/>
      <w:lang w:eastAsia="en-US"/>
    </w:rPr>
  </w:style>
  <w:style w:type="paragraph" w:customStyle="1" w:styleId="Default">
    <w:name w:val="Default"/>
    <w:basedOn w:val="Normal"/>
    <w:rsid w:val="00A117F6"/>
    <w:pPr>
      <w:autoSpaceDE w:val="0"/>
      <w:autoSpaceDN w:val="0"/>
    </w:pPr>
    <w:rPr>
      <w:rFonts w:ascii="Times New Roman" w:eastAsiaTheme="minorHAnsi" w:hAnsi="Times New Roman"/>
      <w:color w:val="000000"/>
      <w:sz w:val="24"/>
      <w:lang w:val="de-CH" w:eastAsia="en-US"/>
    </w:rPr>
  </w:style>
  <w:style w:type="character" w:styleId="FollowedHyperlink">
    <w:name w:val="FollowedHyperlink"/>
    <w:basedOn w:val="DefaultParagraphFont"/>
    <w:uiPriority w:val="99"/>
    <w:semiHidden/>
    <w:unhideWhenUsed/>
    <w:rsid w:val="00D802A7"/>
    <w:rPr>
      <w:color w:val="800080" w:themeColor="followedHyperlink"/>
      <w:u w:val="single"/>
    </w:rPr>
  </w:style>
  <w:style w:type="character" w:customStyle="1" w:styleId="Menzionenonrisolta1">
    <w:name w:val="Menzione non risolta1"/>
    <w:basedOn w:val="DefaultParagraphFont"/>
    <w:uiPriority w:val="99"/>
    <w:semiHidden/>
    <w:unhideWhenUsed/>
    <w:rsid w:val="00E45F6B"/>
    <w:rPr>
      <w:color w:val="808080"/>
      <w:shd w:val="clear" w:color="auto" w:fill="E6E6E6"/>
    </w:rPr>
  </w:style>
  <w:style w:type="character" w:styleId="BookTitle">
    <w:name w:val="Book Title"/>
    <w:basedOn w:val="DefaultParagraphFont"/>
    <w:uiPriority w:val="33"/>
    <w:qFormat/>
    <w:rsid w:val="0001799D"/>
    <w:rPr>
      <w:b/>
      <w:bCs/>
      <w:i/>
      <w:iCs/>
      <w:spacing w:val="5"/>
    </w:rPr>
  </w:style>
  <w:style w:type="character" w:customStyle="1" w:styleId="shorttext">
    <w:name w:val="short_text"/>
    <w:basedOn w:val="DefaultParagraphFont"/>
    <w:rsid w:val="001B236A"/>
  </w:style>
  <w:style w:type="numbering" w:customStyle="1" w:styleId="XXXNummerierung1">
    <w:name w:val="XXX_Nummerierung1"/>
    <w:basedOn w:val="NoList"/>
    <w:uiPriority w:val="99"/>
    <w:rsid w:val="00E70E3B"/>
  </w:style>
  <w:style w:type="paragraph" w:styleId="FootnoteText">
    <w:name w:val="footnote text"/>
    <w:basedOn w:val="Normal"/>
    <w:link w:val="FootnoteTextChar"/>
    <w:uiPriority w:val="99"/>
    <w:semiHidden/>
    <w:unhideWhenUsed/>
    <w:rsid w:val="00BB4705"/>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BB4705"/>
    <w:rPr>
      <w:sz w:val="20"/>
      <w:szCs w:val="20"/>
      <w:lang w:val="en-GB"/>
    </w:rPr>
  </w:style>
  <w:style w:type="character" w:styleId="FootnoteReference">
    <w:name w:val="footnote reference"/>
    <w:basedOn w:val="DefaultParagraphFont"/>
    <w:uiPriority w:val="99"/>
    <w:semiHidden/>
    <w:unhideWhenUsed/>
    <w:rsid w:val="00BB4705"/>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unhideWhenUsed="0"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148F"/>
    <w:rPr>
      <w:rFonts w:ascii="Arial" w:eastAsia="Times New Roman" w:hAnsi="Arial" w:cs="Times New Roman"/>
      <w:szCs w:val="24"/>
      <w:lang w:val="en-GB" w:eastAsia="de-DE"/>
    </w:rPr>
  </w:style>
  <w:style w:type="paragraph" w:styleId="Heading1">
    <w:name w:val="heading 1"/>
    <w:basedOn w:val="Normal"/>
    <w:next w:val="Normal"/>
    <w:link w:val="Heading1Char"/>
    <w:uiPriority w:val="9"/>
    <w:semiHidden/>
    <w:qFormat/>
    <w:rsid w:val="004B6993"/>
    <w:pPr>
      <w:keepNext/>
      <w:keepLines/>
      <w:spacing w:before="480"/>
      <w:outlineLvl w:val="0"/>
    </w:pPr>
    <w:rPr>
      <w:rFonts w:asciiTheme="majorHAnsi" w:eastAsiaTheme="majorEastAsia" w:hAnsiTheme="majorHAnsi" w:cstheme="majorBidi"/>
      <w:b/>
      <w:bCs/>
      <w:color w:val="424477" w:themeColor="accent1" w:themeShade="BF"/>
      <w:sz w:val="28"/>
      <w:szCs w:val="28"/>
    </w:rPr>
  </w:style>
  <w:style w:type="paragraph" w:styleId="Heading2">
    <w:name w:val="heading 2"/>
    <w:basedOn w:val="Normal"/>
    <w:next w:val="Normal"/>
    <w:link w:val="Heading2Char"/>
    <w:uiPriority w:val="9"/>
    <w:semiHidden/>
    <w:qFormat/>
    <w:rsid w:val="00660893"/>
    <w:pPr>
      <w:keepNext/>
      <w:keepLines/>
      <w:spacing w:before="40"/>
      <w:outlineLvl w:val="1"/>
    </w:pPr>
    <w:rPr>
      <w:rFonts w:asciiTheme="majorHAnsi" w:eastAsiaTheme="majorEastAsia" w:hAnsiTheme="majorHAnsi" w:cstheme="majorBidi"/>
      <w:color w:val="424477" w:themeColor="accent1" w:themeShade="BF"/>
      <w:sz w:val="26"/>
      <w:szCs w:val="26"/>
    </w:rPr>
  </w:style>
  <w:style w:type="paragraph" w:styleId="Heading3">
    <w:name w:val="heading 3"/>
    <w:basedOn w:val="Normal"/>
    <w:next w:val="Normal"/>
    <w:link w:val="Heading3Char"/>
    <w:uiPriority w:val="99"/>
    <w:unhideWhenUsed/>
    <w:qFormat/>
    <w:rsid w:val="00F82BE8"/>
    <w:pPr>
      <w:keepNext/>
      <w:keepLines/>
      <w:spacing w:before="40"/>
      <w:outlineLvl w:val="2"/>
    </w:pPr>
    <w:rPr>
      <w:rFonts w:asciiTheme="majorHAnsi" w:eastAsiaTheme="majorEastAsia" w:hAnsiTheme="majorHAnsi" w:cstheme="majorBidi"/>
      <w:color w:val="2C2D4F"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F4F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regular">
    <w:name w:val="text regular"/>
    <w:basedOn w:val="Normal"/>
    <w:link w:val="textregularZchn"/>
    <w:qFormat/>
    <w:rsid w:val="00F46084"/>
    <w:pPr>
      <w:spacing w:after="120"/>
    </w:pPr>
  </w:style>
  <w:style w:type="paragraph" w:styleId="Header">
    <w:name w:val="header"/>
    <w:basedOn w:val="Normal"/>
    <w:link w:val="HeaderChar"/>
    <w:uiPriority w:val="99"/>
    <w:unhideWhenUsed/>
    <w:rsid w:val="00B04144"/>
    <w:pPr>
      <w:tabs>
        <w:tab w:val="center" w:pos="4536"/>
        <w:tab w:val="right" w:pos="9072"/>
      </w:tabs>
    </w:pPr>
  </w:style>
  <w:style w:type="character" w:customStyle="1" w:styleId="HeaderChar">
    <w:name w:val="Header Char"/>
    <w:basedOn w:val="DefaultParagraphFont"/>
    <w:link w:val="Header"/>
    <w:uiPriority w:val="99"/>
    <w:rsid w:val="00B04144"/>
  </w:style>
  <w:style w:type="paragraph" w:styleId="Footer">
    <w:name w:val="footer"/>
    <w:basedOn w:val="Normal"/>
    <w:link w:val="FooterChar"/>
    <w:uiPriority w:val="99"/>
    <w:semiHidden/>
    <w:rsid w:val="00B04144"/>
    <w:pPr>
      <w:tabs>
        <w:tab w:val="center" w:pos="4536"/>
        <w:tab w:val="right" w:pos="9072"/>
      </w:tabs>
    </w:pPr>
  </w:style>
  <w:style w:type="character" w:customStyle="1" w:styleId="FooterChar">
    <w:name w:val="Footer Char"/>
    <w:basedOn w:val="DefaultParagraphFont"/>
    <w:link w:val="Footer"/>
    <w:uiPriority w:val="99"/>
    <w:semiHidden/>
    <w:rsid w:val="00CD009F"/>
    <w:rPr>
      <w:lang w:val="en-GB"/>
    </w:rPr>
  </w:style>
  <w:style w:type="paragraph" w:styleId="BalloonText">
    <w:name w:val="Balloon Text"/>
    <w:basedOn w:val="Normal"/>
    <w:link w:val="BalloonTextChar"/>
    <w:uiPriority w:val="99"/>
    <w:semiHidden/>
    <w:unhideWhenUsed/>
    <w:rsid w:val="00B04144"/>
    <w:rPr>
      <w:rFonts w:ascii="Tahoma" w:hAnsi="Tahoma" w:cs="Tahoma"/>
      <w:sz w:val="16"/>
      <w:szCs w:val="16"/>
    </w:rPr>
  </w:style>
  <w:style w:type="character" w:customStyle="1" w:styleId="BalloonTextChar">
    <w:name w:val="Balloon Text Char"/>
    <w:basedOn w:val="DefaultParagraphFont"/>
    <w:link w:val="BalloonText"/>
    <w:uiPriority w:val="99"/>
    <w:semiHidden/>
    <w:rsid w:val="00B04144"/>
    <w:rPr>
      <w:rFonts w:ascii="Tahoma" w:hAnsi="Tahoma" w:cs="Tahoma"/>
      <w:sz w:val="16"/>
      <w:szCs w:val="16"/>
    </w:rPr>
  </w:style>
  <w:style w:type="paragraph" w:customStyle="1" w:styleId="headlineheader">
    <w:name w:val="headline header"/>
    <w:basedOn w:val="textregular"/>
    <w:uiPriority w:val="1"/>
    <w:qFormat/>
    <w:rsid w:val="007A686E"/>
    <w:pPr>
      <w:spacing w:after="280" w:line="600" w:lineRule="exact"/>
    </w:pPr>
    <w:rPr>
      <w:rFonts w:asciiTheme="majorHAnsi" w:hAnsiTheme="majorHAnsi" w:cstheme="majorHAnsi"/>
      <w:b/>
      <w:color w:val="23236E" w:themeColor="text2"/>
      <w:sz w:val="57"/>
      <w:szCs w:val="57"/>
    </w:rPr>
  </w:style>
  <w:style w:type="paragraph" w:customStyle="1" w:styleId="textheader">
    <w:name w:val="text header"/>
    <w:basedOn w:val="textregular"/>
    <w:uiPriority w:val="1"/>
    <w:qFormat/>
    <w:rsid w:val="00B30D59"/>
    <w:pPr>
      <w:spacing w:after="400" w:line="500" w:lineRule="exact"/>
    </w:pPr>
    <w:rPr>
      <w:rFonts w:asciiTheme="majorHAnsi" w:hAnsiTheme="majorHAnsi" w:cstheme="majorHAnsi"/>
      <w:color w:val="23236E" w:themeColor="text2"/>
      <w:sz w:val="40"/>
      <w:szCs w:val="40"/>
      <w:lang w:val="en-US"/>
    </w:rPr>
  </w:style>
  <w:style w:type="paragraph" w:customStyle="1" w:styleId="time">
    <w:name w:val="time"/>
    <w:basedOn w:val="textregular"/>
    <w:uiPriority w:val="1"/>
    <w:qFormat/>
    <w:rsid w:val="007A686E"/>
    <w:pPr>
      <w:framePr w:hSpace="142" w:vSpace="5528" w:wrap="around" w:vAnchor="page" w:hAnchor="page" w:x="1362" w:y="5104"/>
      <w:spacing w:after="0" w:line="320" w:lineRule="exact"/>
    </w:pPr>
    <w:rPr>
      <w:rFonts w:asciiTheme="majorHAnsi" w:hAnsiTheme="majorHAnsi" w:cstheme="majorHAnsi"/>
      <w:sz w:val="29"/>
      <w:szCs w:val="29"/>
      <w:lang w:val="en-US"/>
    </w:rPr>
  </w:style>
  <w:style w:type="character" w:styleId="PlaceholderText">
    <w:name w:val="Placeholder Text"/>
    <w:basedOn w:val="DefaultParagraphFont"/>
    <w:uiPriority w:val="99"/>
    <w:semiHidden/>
    <w:rsid w:val="00903B95"/>
    <w:rPr>
      <w:color w:val="808080"/>
    </w:rPr>
  </w:style>
  <w:style w:type="paragraph" w:customStyle="1" w:styleId="headline1">
    <w:name w:val="headline 1"/>
    <w:basedOn w:val="textregular"/>
    <w:uiPriority w:val="2"/>
    <w:qFormat/>
    <w:rsid w:val="000F693C"/>
    <w:pPr>
      <w:numPr>
        <w:numId w:val="1"/>
      </w:numPr>
      <w:spacing w:before="400" w:line="340" w:lineRule="exact"/>
      <w:ind w:left="284" w:hanging="284"/>
      <w:outlineLvl w:val="0"/>
    </w:pPr>
    <w:rPr>
      <w:rFonts w:asciiTheme="majorHAnsi" w:hAnsiTheme="majorHAnsi" w:cstheme="majorHAnsi"/>
      <w:b/>
      <w:color w:val="23236E" w:themeColor="text2"/>
      <w:sz w:val="28"/>
      <w:szCs w:val="28"/>
    </w:rPr>
  </w:style>
  <w:style w:type="numbering" w:customStyle="1" w:styleId="XXXList">
    <w:name w:val="XXX_List"/>
    <w:basedOn w:val="NoList"/>
    <w:uiPriority w:val="99"/>
    <w:rsid w:val="00D9486F"/>
    <w:pPr>
      <w:numPr>
        <w:numId w:val="1"/>
      </w:numPr>
    </w:pPr>
  </w:style>
  <w:style w:type="character" w:customStyle="1" w:styleId="Heading1Char">
    <w:name w:val="Heading 1 Char"/>
    <w:basedOn w:val="DefaultParagraphFont"/>
    <w:link w:val="Heading1"/>
    <w:uiPriority w:val="9"/>
    <w:semiHidden/>
    <w:rsid w:val="004B6993"/>
    <w:rPr>
      <w:rFonts w:asciiTheme="majorHAnsi" w:eastAsiaTheme="majorEastAsia" w:hAnsiTheme="majorHAnsi" w:cstheme="majorBidi"/>
      <w:b/>
      <w:bCs/>
      <w:color w:val="424477" w:themeColor="accent1" w:themeShade="BF"/>
      <w:sz w:val="28"/>
      <w:szCs w:val="28"/>
    </w:rPr>
  </w:style>
  <w:style w:type="paragraph" w:styleId="TOC1">
    <w:name w:val="toc 1"/>
    <w:basedOn w:val="Normal"/>
    <w:next w:val="Normal"/>
    <w:autoRedefine/>
    <w:uiPriority w:val="39"/>
    <w:unhideWhenUsed/>
    <w:rsid w:val="0099378F"/>
    <w:pPr>
      <w:spacing w:after="100"/>
    </w:pPr>
    <w:rPr>
      <w:rFonts w:asciiTheme="majorHAnsi" w:hAnsiTheme="majorHAnsi"/>
    </w:rPr>
  </w:style>
  <w:style w:type="paragraph" w:styleId="TOCHeading">
    <w:name w:val="TOC Heading"/>
    <w:basedOn w:val="Heading1"/>
    <w:next w:val="Normal"/>
    <w:uiPriority w:val="39"/>
    <w:unhideWhenUsed/>
    <w:qFormat/>
    <w:rsid w:val="004B6993"/>
    <w:pPr>
      <w:spacing w:line="276" w:lineRule="auto"/>
      <w:outlineLvl w:val="9"/>
    </w:pPr>
  </w:style>
  <w:style w:type="character" w:styleId="Hyperlink">
    <w:name w:val="Hyperlink"/>
    <w:basedOn w:val="DefaultParagraphFont"/>
    <w:uiPriority w:val="99"/>
    <w:rsid w:val="0099378F"/>
    <w:rPr>
      <w:color w:val="0000FF" w:themeColor="hyperlink"/>
      <w:u w:val="single"/>
    </w:rPr>
  </w:style>
  <w:style w:type="paragraph" w:customStyle="1" w:styleId="decisionhead">
    <w:name w:val="decision head"/>
    <w:basedOn w:val="textregular"/>
    <w:uiPriority w:val="3"/>
    <w:qFormat/>
    <w:rsid w:val="00CD009F"/>
    <w:pPr>
      <w:pBdr>
        <w:top w:val="single" w:sz="24" w:space="1" w:color="B4B4C8" w:themeColor="accent4"/>
        <w:left w:val="single" w:sz="24" w:space="4" w:color="B4B4C8" w:themeColor="accent4"/>
        <w:bottom w:val="single" w:sz="24" w:space="1" w:color="B4B4C8" w:themeColor="accent4"/>
        <w:right w:val="single" w:sz="24" w:space="4" w:color="B4B4C8" w:themeColor="accent4"/>
      </w:pBdr>
      <w:shd w:val="clear" w:color="auto" w:fill="B4B4C8" w:themeFill="accent4"/>
      <w:spacing w:after="0" w:line="260" w:lineRule="exact"/>
      <w:ind w:left="170" w:right="170"/>
    </w:pPr>
    <w:rPr>
      <w:rFonts w:asciiTheme="majorHAnsi" w:hAnsiTheme="majorHAnsi" w:cstheme="majorHAnsi"/>
      <w:b/>
      <w:color w:val="23236E" w:themeColor="text2"/>
      <w:sz w:val="24"/>
    </w:rPr>
  </w:style>
  <w:style w:type="numbering" w:customStyle="1" w:styleId="XXXBulletList">
    <w:name w:val="XXX_Bullet List"/>
    <w:basedOn w:val="NoList"/>
    <w:uiPriority w:val="99"/>
    <w:rsid w:val="00590A19"/>
    <w:pPr>
      <w:numPr>
        <w:numId w:val="2"/>
      </w:numPr>
    </w:pPr>
  </w:style>
  <w:style w:type="paragraph" w:customStyle="1" w:styleId="decisionbullet1">
    <w:name w:val="decision bullet 1"/>
    <w:basedOn w:val="textregular"/>
    <w:uiPriority w:val="4"/>
    <w:qFormat/>
    <w:rsid w:val="00CD009F"/>
    <w:pPr>
      <w:numPr>
        <w:numId w:val="2"/>
      </w:numPr>
      <w:pBdr>
        <w:top w:val="single" w:sz="24" w:space="0" w:color="B4B4C8" w:themeColor="accent4"/>
        <w:left w:val="single" w:sz="24" w:space="4" w:color="B4B4C8" w:themeColor="accent4"/>
        <w:bottom w:val="single" w:sz="24" w:space="0" w:color="B4B4C8" w:themeColor="accent4"/>
        <w:right w:val="single" w:sz="24" w:space="4" w:color="B4B4C8" w:themeColor="accent4"/>
      </w:pBdr>
      <w:shd w:val="clear" w:color="auto" w:fill="B4B4C8" w:themeFill="accent4"/>
      <w:spacing w:after="0"/>
      <w:ind w:left="499" w:right="170"/>
    </w:pPr>
  </w:style>
  <w:style w:type="paragraph" w:customStyle="1" w:styleId="decisionbullet2">
    <w:name w:val="decision bullet 2"/>
    <w:basedOn w:val="textregular"/>
    <w:uiPriority w:val="4"/>
    <w:qFormat/>
    <w:rsid w:val="00B30D59"/>
    <w:pPr>
      <w:numPr>
        <w:ilvl w:val="1"/>
        <w:numId w:val="2"/>
      </w:numPr>
      <w:pBdr>
        <w:top w:val="single" w:sz="24" w:space="1" w:color="B4B4C8" w:themeColor="accent4"/>
        <w:left w:val="single" w:sz="24" w:space="21" w:color="B4B4C8" w:themeColor="accent4"/>
        <w:bottom w:val="single" w:sz="24" w:space="1" w:color="B4B4C8" w:themeColor="accent4"/>
        <w:right w:val="single" w:sz="24" w:space="4" w:color="B4B4C8" w:themeColor="accent4"/>
      </w:pBdr>
      <w:shd w:val="clear" w:color="auto" w:fill="B4B4C8" w:themeFill="accent4"/>
      <w:spacing w:after="0"/>
      <w:ind w:left="851" w:right="170" w:hanging="369"/>
    </w:pPr>
  </w:style>
  <w:style w:type="paragraph" w:customStyle="1" w:styleId="headline3">
    <w:name w:val="headline 3"/>
    <w:basedOn w:val="textregular"/>
    <w:uiPriority w:val="2"/>
    <w:qFormat/>
    <w:rsid w:val="000F693C"/>
    <w:pPr>
      <w:spacing w:after="20"/>
      <w:outlineLvl w:val="2"/>
    </w:pPr>
    <w:rPr>
      <w:b/>
    </w:rPr>
  </w:style>
  <w:style w:type="numbering" w:customStyle="1" w:styleId="XXXNummerierung">
    <w:name w:val="XXX_Nummerierung"/>
    <w:basedOn w:val="NoList"/>
    <w:uiPriority w:val="99"/>
    <w:rsid w:val="00E7480B"/>
    <w:pPr>
      <w:numPr>
        <w:numId w:val="3"/>
      </w:numPr>
    </w:pPr>
  </w:style>
  <w:style w:type="paragraph" w:customStyle="1" w:styleId="textenumeration">
    <w:name w:val="text enumeration"/>
    <w:basedOn w:val="textregular"/>
    <w:uiPriority w:val="4"/>
    <w:qFormat/>
    <w:rsid w:val="00940B05"/>
    <w:pPr>
      <w:spacing w:line="259" w:lineRule="auto"/>
      <w:ind w:left="360" w:hanging="360"/>
      <w:jc w:val="both"/>
    </w:pPr>
    <w:rPr>
      <w:rFonts w:ascii="Times New Roman" w:hAnsi="Times New Roman"/>
    </w:rPr>
  </w:style>
  <w:style w:type="paragraph" w:customStyle="1" w:styleId="headline2">
    <w:name w:val="headline 2"/>
    <w:basedOn w:val="textregular"/>
    <w:uiPriority w:val="2"/>
    <w:qFormat/>
    <w:rsid w:val="000F693C"/>
    <w:pPr>
      <w:spacing w:line="260" w:lineRule="exact"/>
      <w:outlineLvl w:val="1"/>
    </w:pPr>
    <w:rPr>
      <w:rFonts w:asciiTheme="majorHAnsi" w:hAnsiTheme="majorHAnsi" w:cstheme="majorHAnsi"/>
      <w:b/>
      <w:color w:val="23236E" w:themeColor="text2"/>
      <w:sz w:val="24"/>
    </w:rPr>
  </w:style>
  <w:style w:type="numbering" w:customStyle="1" w:styleId="XXXtextbullets">
    <w:name w:val="XXX_text bullets"/>
    <w:basedOn w:val="NoList"/>
    <w:uiPriority w:val="99"/>
    <w:rsid w:val="000961F8"/>
    <w:pPr>
      <w:numPr>
        <w:numId w:val="4"/>
      </w:numPr>
    </w:pPr>
  </w:style>
  <w:style w:type="paragraph" w:customStyle="1" w:styleId="textbullets">
    <w:name w:val="text bullets"/>
    <w:basedOn w:val="textregular"/>
    <w:uiPriority w:val="5"/>
    <w:qFormat/>
    <w:rsid w:val="000961F8"/>
    <w:pPr>
      <w:numPr>
        <w:numId w:val="4"/>
      </w:numPr>
      <w:contextualSpacing/>
    </w:pPr>
  </w:style>
  <w:style w:type="table" w:customStyle="1" w:styleId="EntsoeeinfacheTabelle">
    <w:name w:val="Entsoe | einfache Tabelle"/>
    <w:basedOn w:val="TableNormal"/>
    <w:uiPriority w:val="99"/>
    <w:qFormat/>
    <w:rsid w:val="00922A3D"/>
    <w:tblPr>
      <w:tblStyleRowBandSize w:val="1"/>
      <w:tblBorders>
        <w:insideV w:val="single" w:sz="12" w:space="0" w:color="FFFFFF" w:themeColor="background1"/>
      </w:tblBorders>
      <w:tblCellMar>
        <w:top w:w="28" w:type="dxa"/>
      </w:tblCellMar>
    </w:tblPr>
    <w:tblStylePr w:type="firstRow">
      <w:pPr>
        <w:wordWrap/>
        <w:spacing w:afterLines="0" w:afterAutospacing="0" w:line="340" w:lineRule="exact"/>
      </w:pPr>
      <w:rPr>
        <w:rFonts w:asciiTheme="majorHAnsi" w:hAnsiTheme="majorHAnsi"/>
        <w:b/>
        <w:color w:val="23236E" w:themeColor="text2"/>
        <w:sz w:val="28"/>
      </w:rPr>
    </w:tblStylePr>
    <w:tblStylePr w:type="band1Horz">
      <w:tblPr/>
      <w:tcPr>
        <w:shd w:val="clear" w:color="auto" w:fill="D9D9D9" w:themeFill="background1" w:themeFillShade="D9"/>
      </w:tcPr>
    </w:tblStylePr>
  </w:style>
  <w:style w:type="paragraph" w:customStyle="1" w:styleId="footnote1">
    <w:name w:val="footnote 1"/>
    <w:basedOn w:val="textregular"/>
    <w:uiPriority w:val="6"/>
    <w:qFormat/>
    <w:rsid w:val="007E6984"/>
    <w:pPr>
      <w:pBdr>
        <w:top w:val="single" w:sz="8" w:space="11" w:color="auto"/>
      </w:pBdr>
      <w:spacing w:after="0"/>
    </w:pPr>
    <w:rPr>
      <w:sz w:val="19"/>
    </w:rPr>
  </w:style>
  <w:style w:type="paragraph" w:customStyle="1" w:styleId="footnote2">
    <w:name w:val="footnote 2"/>
    <w:basedOn w:val="textregular"/>
    <w:uiPriority w:val="6"/>
    <w:qFormat/>
    <w:rsid w:val="007E6984"/>
    <w:pPr>
      <w:spacing w:after="0"/>
    </w:pPr>
    <w:rPr>
      <w:sz w:val="19"/>
    </w:rPr>
  </w:style>
  <w:style w:type="paragraph" w:styleId="TOC3">
    <w:name w:val="toc 3"/>
    <w:basedOn w:val="Normal"/>
    <w:next w:val="Normal"/>
    <w:autoRedefine/>
    <w:uiPriority w:val="39"/>
    <w:unhideWhenUsed/>
    <w:rsid w:val="000F693C"/>
    <w:pPr>
      <w:spacing w:after="100"/>
      <w:ind w:left="440"/>
    </w:pPr>
  </w:style>
  <w:style w:type="paragraph" w:styleId="TOC2">
    <w:name w:val="toc 2"/>
    <w:basedOn w:val="Normal"/>
    <w:next w:val="Normal"/>
    <w:autoRedefine/>
    <w:uiPriority w:val="39"/>
    <w:unhideWhenUsed/>
    <w:rsid w:val="000F693C"/>
    <w:pPr>
      <w:spacing w:after="100"/>
      <w:ind w:left="220"/>
    </w:pPr>
  </w:style>
  <w:style w:type="paragraph" w:styleId="ListParagraph">
    <w:name w:val="List Paragraph"/>
    <w:basedOn w:val="Normal"/>
    <w:link w:val="ListParagraphChar"/>
    <w:uiPriority w:val="34"/>
    <w:qFormat/>
    <w:rsid w:val="00736F35"/>
    <w:pPr>
      <w:spacing w:after="120" w:line="252" w:lineRule="auto"/>
      <w:jc w:val="both"/>
    </w:pPr>
    <w:rPr>
      <w:rFonts w:asciiTheme="minorHAnsi" w:hAnsiTheme="minorHAnsi" w:cstheme="minorHAnsi"/>
    </w:rPr>
  </w:style>
  <w:style w:type="character" w:customStyle="1" w:styleId="textregularZchn">
    <w:name w:val="text regular Zchn"/>
    <w:basedOn w:val="DefaultParagraphFont"/>
    <w:link w:val="textregular"/>
    <w:rsid w:val="004F245D"/>
    <w:rPr>
      <w:lang w:val="en-GB"/>
    </w:rPr>
  </w:style>
  <w:style w:type="table" w:customStyle="1" w:styleId="TableGrid1">
    <w:name w:val="Table Grid1"/>
    <w:basedOn w:val="TableNormal"/>
    <w:next w:val="TableGrid"/>
    <w:uiPriority w:val="59"/>
    <w:rsid w:val="004F245D"/>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aliases w:val="Stinking Styles6,Marque de commentaire1,Verwijzing opmerking,Merknadsreferanse"/>
    <w:basedOn w:val="DefaultParagraphFont"/>
    <w:uiPriority w:val="99"/>
    <w:unhideWhenUsed/>
    <w:rsid w:val="00E6115B"/>
    <w:rPr>
      <w:sz w:val="16"/>
      <w:szCs w:val="16"/>
    </w:rPr>
  </w:style>
  <w:style w:type="paragraph" w:styleId="CommentText">
    <w:name w:val="annotation text"/>
    <w:aliases w:val="Stinking Styles5,Tekst opmerking,Texto comentario,Merknadstekst"/>
    <w:basedOn w:val="Normal"/>
    <w:link w:val="CommentTextChar"/>
    <w:uiPriority w:val="99"/>
    <w:unhideWhenUsed/>
    <w:rsid w:val="00E6115B"/>
    <w:rPr>
      <w:sz w:val="20"/>
      <w:szCs w:val="20"/>
    </w:rPr>
  </w:style>
  <w:style w:type="character" w:customStyle="1" w:styleId="CommentTextChar">
    <w:name w:val="Comment Text Char"/>
    <w:aliases w:val="Stinking Styles5 Char,Tekst opmerking Char,Texto comentario Char,Merknadstekst Char"/>
    <w:basedOn w:val="DefaultParagraphFont"/>
    <w:link w:val="CommentText"/>
    <w:uiPriority w:val="99"/>
    <w:rsid w:val="00E6115B"/>
    <w:rPr>
      <w:rFonts w:ascii="Arial" w:eastAsia="Times New Roman" w:hAnsi="Arial" w:cs="Times New Roman"/>
      <w:sz w:val="20"/>
      <w:szCs w:val="20"/>
      <w:lang w:eastAsia="de-DE"/>
    </w:rPr>
  </w:style>
  <w:style w:type="paragraph" w:styleId="CommentSubject">
    <w:name w:val="annotation subject"/>
    <w:basedOn w:val="CommentText"/>
    <w:next w:val="CommentText"/>
    <w:link w:val="CommentSubjectChar"/>
    <w:uiPriority w:val="99"/>
    <w:semiHidden/>
    <w:unhideWhenUsed/>
    <w:rsid w:val="00E6115B"/>
    <w:rPr>
      <w:b/>
      <w:bCs/>
    </w:rPr>
  </w:style>
  <w:style w:type="character" w:customStyle="1" w:styleId="CommentSubjectChar">
    <w:name w:val="Comment Subject Char"/>
    <w:basedOn w:val="CommentTextChar"/>
    <w:link w:val="CommentSubject"/>
    <w:uiPriority w:val="99"/>
    <w:semiHidden/>
    <w:rsid w:val="00E6115B"/>
    <w:rPr>
      <w:rFonts w:ascii="Arial" w:eastAsia="Times New Roman" w:hAnsi="Arial" w:cs="Times New Roman"/>
      <w:b/>
      <w:bCs/>
      <w:sz w:val="20"/>
      <w:szCs w:val="20"/>
      <w:lang w:eastAsia="de-DE"/>
    </w:rPr>
  </w:style>
  <w:style w:type="paragraph" w:styleId="Revision">
    <w:name w:val="Revision"/>
    <w:hidden/>
    <w:uiPriority w:val="99"/>
    <w:semiHidden/>
    <w:rsid w:val="00F00CC8"/>
    <w:rPr>
      <w:rFonts w:ascii="Arial" w:eastAsia="Times New Roman" w:hAnsi="Arial" w:cs="Times New Roman"/>
      <w:szCs w:val="24"/>
      <w:lang w:eastAsia="de-DE"/>
    </w:rPr>
  </w:style>
  <w:style w:type="character" w:styleId="Strong">
    <w:name w:val="Strong"/>
    <w:basedOn w:val="DefaultParagraphFont"/>
    <w:uiPriority w:val="22"/>
    <w:qFormat/>
    <w:rsid w:val="00C85EC5"/>
    <w:rPr>
      <w:b/>
      <w:bCs/>
    </w:rPr>
  </w:style>
  <w:style w:type="character" w:customStyle="1" w:styleId="Heading3Char">
    <w:name w:val="Heading 3 Char"/>
    <w:basedOn w:val="DefaultParagraphFont"/>
    <w:link w:val="Heading3"/>
    <w:uiPriority w:val="9"/>
    <w:semiHidden/>
    <w:rsid w:val="00F82BE8"/>
    <w:rPr>
      <w:rFonts w:asciiTheme="majorHAnsi" w:eastAsiaTheme="majorEastAsia" w:hAnsiTheme="majorHAnsi" w:cstheme="majorBidi"/>
      <w:color w:val="2C2D4F" w:themeColor="accent1" w:themeShade="7F"/>
      <w:sz w:val="24"/>
      <w:szCs w:val="24"/>
      <w:lang w:eastAsia="de-DE"/>
    </w:rPr>
  </w:style>
  <w:style w:type="character" w:customStyle="1" w:styleId="Heading2Char">
    <w:name w:val="Heading 2 Char"/>
    <w:basedOn w:val="DefaultParagraphFont"/>
    <w:link w:val="Heading2"/>
    <w:uiPriority w:val="9"/>
    <w:rsid w:val="00660893"/>
    <w:rPr>
      <w:rFonts w:asciiTheme="majorHAnsi" w:eastAsiaTheme="majorEastAsia" w:hAnsiTheme="majorHAnsi" w:cstheme="majorBidi"/>
      <w:color w:val="424477" w:themeColor="accent1" w:themeShade="BF"/>
      <w:sz w:val="26"/>
      <w:szCs w:val="26"/>
      <w:lang w:eastAsia="de-DE"/>
    </w:rPr>
  </w:style>
  <w:style w:type="character" w:customStyle="1" w:styleId="ListParagraphChar">
    <w:name w:val="List Paragraph Char"/>
    <w:link w:val="ListParagraph"/>
    <w:uiPriority w:val="34"/>
    <w:locked/>
    <w:rsid w:val="00736F35"/>
    <w:rPr>
      <w:rFonts w:eastAsia="Times New Roman" w:cstheme="minorHAnsi"/>
      <w:szCs w:val="24"/>
      <w:lang w:val="en-GB" w:eastAsia="de-DE"/>
    </w:rPr>
  </w:style>
  <w:style w:type="paragraph" w:customStyle="1" w:styleId="AnnexeTitre2">
    <w:name w:val="Annexe Titre 2"/>
    <w:basedOn w:val="Normal"/>
    <w:next w:val="Normal"/>
    <w:link w:val="AnnexeTitre2Car1"/>
    <w:uiPriority w:val="99"/>
    <w:rsid w:val="006C43C6"/>
    <w:pPr>
      <w:widowControl w:val="0"/>
      <w:numPr>
        <w:ilvl w:val="1"/>
        <w:numId w:val="6"/>
      </w:numPr>
      <w:tabs>
        <w:tab w:val="left" w:pos="709"/>
      </w:tabs>
      <w:autoSpaceDE w:val="0"/>
      <w:autoSpaceDN w:val="0"/>
      <w:spacing w:before="360" w:after="120"/>
      <w:jc w:val="both"/>
      <w:outlineLvl w:val="1"/>
    </w:pPr>
    <w:rPr>
      <w:rFonts w:ascii="Avenir Next LT Com Demi" w:hAnsi="Avenir Next LT Com Demi" w:cs="Tahoma"/>
      <w:b/>
      <w:sz w:val="24"/>
      <w:lang w:val="fr-FR" w:eastAsia="fr-FR"/>
    </w:rPr>
  </w:style>
  <w:style w:type="paragraph" w:customStyle="1" w:styleId="AnnexeTitre1">
    <w:name w:val="Annexe Titre 1"/>
    <w:basedOn w:val="Normal"/>
    <w:next w:val="Normal"/>
    <w:uiPriority w:val="99"/>
    <w:rsid w:val="006C43C6"/>
    <w:pPr>
      <w:keepNext/>
      <w:widowControl w:val="0"/>
      <w:numPr>
        <w:numId w:val="6"/>
      </w:numPr>
      <w:autoSpaceDE w:val="0"/>
      <w:autoSpaceDN w:val="0"/>
      <w:spacing w:before="480" w:after="120"/>
      <w:jc w:val="both"/>
      <w:outlineLvl w:val="0"/>
    </w:pPr>
    <w:rPr>
      <w:rFonts w:ascii="Avenir Next LT Com Demi" w:eastAsia="AvenirNext LT Com Regular" w:hAnsi="Avenir Next LT Com Demi" w:cs="Tahoma"/>
      <w:b/>
      <w:bCs/>
      <w:caps/>
      <w:spacing w:val="4"/>
      <w:sz w:val="24"/>
      <w:lang w:val="fr-FR" w:eastAsia="fr-FR"/>
    </w:rPr>
  </w:style>
  <w:style w:type="paragraph" w:customStyle="1" w:styleId="AnnexeTitre3">
    <w:name w:val="Annexe Titre 3"/>
    <w:basedOn w:val="Normal"/>
    <w:next w:val="Normal"/>
    <w:uiPriority w:val="99"/>
    <w:rsid w:val="006C43C6"/>
    <w:pPr>
      <w:widowControl w:val="0"/>
      <w:numPr>
        <w:ilvl w:val="2"/>
        <w:numId w:val="6"/>
      </w:numPr>
      <w:tabs>
        <w:tab w:val="left" w:pos="851"/>
      </w:tabs>
      <w:autoSpaceDE w:val="0"/>
      <w:autoSpaceDN w:val="0"/>
      <w:spacing w:before="360" w:after="120"/>
      <w:jc w:val="both"/>
      <w:outlineLvl w:val="2"/>
    </w:pPr>
    <w:rPr>
      <w:rFonts w:ascii="Avenir Next LT Com Demi" w:hAnsi="Avenir Next LT Com Demi" w:cs="Tahoma"/>
      <w:b/>
      <w:sz w:val="24"/>
      <w:lang w:val="fr-FR" w:eastAsia="fr-FR"/>
    </w:rPr>
  </w:style>
  <w:style w:type="character" w:customStyle="1" w:styleId="AnnexeTitre2Car1">
    <w:name w:val="Annexe Titre 2 Car1"/>
    <w:link w:val="AnnexeTitre2"/>
    <w:uiPriority w:val="99"/>
    <w:locked/>
    <w:rsid w:val="006C43C6"/>
    <w:rPr>
      <w:rFonts w:ascii="Avenir Next LT Com Demi" w:eastAsia="Times New Roman" w:hAnsi="Avenir Next LT Com Demi" w:cs="Tahoma"/>
      <w:b/>
      <w:sz w:val="24"/>
      <w:szCs w:val="24"/>
      <w:lang w:val="fr-FR" w:eastAsia="fr-FR"/>
    </w:rPr>
  </w:style>
  <w:style w:type="paragraph" w:customStyle="1" w:styleId="AnnexeTitre4">
    <w:name w:val="Annexe Titre 4"/>
    <w:basedOn w:val="Normal"/>
    <w:next w:val="Normal"/>
    <w:uiPriority w:val="99"/>
    <w:rsid w:val="006C43C6"/>
    <w:pPr>
      <w:widowControl w:val="0"/>
      <w:numPr>
        <w:ilvl w:val="3"/>
        <w:numId w:val="6"/>
      </w:numPr>
      <w:tabs>
        <w:tab w:val="left" w:pos="-1843"/>
      </w:tabs>
      <w:autoSpaceDE w:val="0"/>
      <w:autoSpaceDN w:val="0"/>
      <w:spacing w:before="240" w:after="120"/>
      <w:jc w:val="both"/>
    </w:pPr>
    <w:rPr>
      <w:rFonts w:ascii="Avenir Next LT Com Demi" w:hAnsi="Avenir Next LT Com Demi" w:cs="Tahoma"/>
      <w:b/>
      <w:i/>
      <w:sz w:val="24"/>
      <w:lang w:val="fr-FR" w:eastAsia="fr-FR"/>
    </w:rPr>
  </w:style>
  <w:style w:type="paragraph" w:customStyle="1" w:styleId="Code">
    <w:name w:val="Code"/>
    <w:basedOn w:val="Normal"/>
    <w:uiPriority w:val="99"/>
    <w:rsid w:val="006C43C6"/>
    <w:pPr>
      <w:keepLines/>
      <w:widowControl w:val="0"/>
      <w:numPr>
        <w:numId w:val="7"/>
      </w:numPr>
      <w:pBdr>
        <w:top w:val="single" w:sz="8" w:space="4" w:color="595959"/>
        <w:left w:val="single" w:sz="8" w:space="4" w:color="595959"/>
        <w:bottom w:val="single" w:sz="8" w:space="4" w:color="595959"/>
        <w:right w:val="single" w:sz="8" w:space="4" w:color="595959"/>
      </w:pBdr>
      <w:shd w:val="clear" w:color="auto" w:fill="FAFAFA"/>
      <w:tabs>
        <w:tab w:val="left" w:pos="924"/>
        <w:tab w:val="left" w:pos="1491"/>
        <w:tab w:val="left" w:pos="2058"/>
        <w:tab w:val="left" w:pos="2625"/>
        <w:tab w:val="left" w:pos="3192"/>
        <w:tab w:val="left" w:pos="3759"/>
        <w:tab w:val="left" w:pos="4326"/>
        <w:tab w:val="left" w:pos="4893"/>
        <w:tab w:val="left" w:pos="5460"/>
        <w:tab w:val="left" w:pos="6027"/>
        <w:tab w:val="left" w:pos="6594"/>
        <w:tab w:val="left" w:pos="7161"/>
        <w:tab w:val="left" w:pos="7728"/>
        <w:tab w:val="left" w:pos="8295"/>
        <w:tab w:val="left" w:pos="8862"/>
      </w:tabs>
      <w:suppressAutoHyphens/>
      <w:autoSpaceDE w:val="0"/>
      <w:autoSpaceDN w:val="0"/>
      <w:spacing w:before="240" w:after="240"/>
      <w:contextualSpacing/>
    </w:pPr>
    <w:rPr>
      <w:rFonts w:ascii="Consolas" w:hAnsi="Consolas" w:cs="AvenirNext LT Com Regular"/>
      <w:szCs w:val="20"/>
      <w:lang w:val="fr-FR" w:eastAsia="fr-FR"/>
    </w:rPr>
  </w:style>
  <w:style w:type="paragraph" w:customStyle="1" w:styleId="Point0number">
    <w:name w:val="Point 0 (number)"/>
    <w:basedOn w:val="Normal"/>
    <w:rsid w:val="00DE794C"/>
    <w:pPr>
      <w:numPr>
        <w:numId w:val="8"/>
      </w:numPr>
      <w:spacing w:before="120" w:after="120"/>
      <w:jc w:val="both"/>
    </w:pPr>
    <w:rPr>
      <w:rFonts w:ascii="Times New Roman" w:eastAsiaTheme="minorHAnsi" w:hAnsi="Times New Roman"/>
      <w:sz w:val="24"/>
      <w:szCs w:val="22"/>
      <w:lang w:eastAsia="en-US"/>
    </w:rPr>
  </w:style>
  <w:style w:type="paragraph" w:customStyle="1" w:styleId="Point1number">
    <w:name w:val="Point 1 (number)"/>
    <w:basedOn w:val="Normal"/>
    <w:rsid w:val="00DE794C"/>
    <w:pPr>
      <w:numPr>
        <w:ilvl w:val="2"/>
        <w:numId w:val="8"/>
      </w:numPr>
      <w:spacing w:before="120" w:after="120"/>
      <w:jc w:val="both"/>
    </w:pPr>
    <w:rPr>
      <w:rFonts w:ascii="Times New Roman" w:eastAsiaTheme="minorHAnsi" w:hAnsi="Times New Roman"/>
      <w:sz w:val="24"/>
      <w:szCs w:val="22"/>
      <w:lang w:eastAsia="en-US"/>
    </w:rPr>
  </w:style>
  <w:style w:type="paragraph" w:customStyle="1" w:styleId="Point2number">
    <w:name w:val="Point 2 (number)"/>
    <w:basedOn w:val="Normal"/>
    <w:rsid w:val="00DE794C"/>
    <w:pPr>
      <w:numPr>
        <w:ilvl w:val="4"/>
        <w:numId w:val="8"/>
      </w:numPr>
      <w:spacing w:before="120" w:after="120"/>
      <w:jc w:val="both"/>
    </w:pPr>
    <w:rPr>
      <w:rFonts w:ascii="Times New Roman" w:eastAsiaTheme="minorHAnsi" w:hAnsi="Times New Roman"/>
      <w:sz w:val="24"/>
      <w:szCs w:val="22"/>
      <w:lang w:eastAsia="en-US"/>
    </w:rPr>
  </w:style>
  <w:style w:type="paragraph" w:customStyle="1" w:styleId="Point3number">
    <w:name w:val="Point 3 (number)"/>
    <w:basedOn w:val="Normal"/>
    <w:rsid w:val="00DE794C"/>
    <w:pPr>
      <w:numPr>
        <w:ilvl w:val="6"/>
        <w:numId w:val="8"/>
      </w:numPr>
      <w:spacing w:before="120" w:after="120"/>
      <w:jc w:val="both"/>
    </w:pPr>
    <w:rPr>
      <w:rFonts w:ascii="Times New Roman" w:eastAsiaTheme="minorHAnsi" w:hAnsi="Times New Roman"/>
      <w:sz w:val="24"/>
      <w:szCs w:val="22"/>
      <w:lang w:eastAsia="en-US"/>
    </w:rPr>
  </w:style>
  <w:style w:type="paragraph" w:customStyle="1" w:styleId="Point0letter">
    <w:name w:val="Point 0 (letter)"/>
    <w:basedOn w:val="Normal"/>
    <w:rsid w:val="00DE794C"/>
    <w:pPr>
      <w:numPr>
        <w:ilvl w:val="1"/>
        <w:numId w:val="8"/>
      </w:numPr>
      <w:spacing w:before="120" w:after="120"/>
      <w:jc w:val="both"/>
    </w:pPr>
    <w:rPr>
      <w:rFonts w:ascii="Times New Roman" w:eastAsiaTheme="minorHAnsi" w:hAnsi="Times New Roman"/>
      <w:sz w:val="24"/>
      <w:szCs w:val="22"/>
      <w:lang w:eastAsia="en-US"/>
    </w:rPr>
  </w:style>
  <w:style w:type="paragraph" w:customStyle="1" w:styleId="Point1letter">
    <w:name w:val="Point 1 (letter)"/>
    <w:basedOn w:val="Normal"/>
    <w:rsid w:val="00DE794C"/>
    <w:pPr>
      <w:numPr>
        <w:ilvl w:val="3"/>
        <w:numId w:val="8"/>
      </w:numPr>
      <w:spacing w:before="120" w:after="120"/>
      <w:jc w:val="both"/>
    </w:pPr>
    <w:rPr>
      <w:rFonts w:ascii="Times New Roman" w:eastAsiaTheme="minorHAnsi" w:hAnsi="Times New Roman"/>
      <w:sz w:val="24"/>
      <w:szCs w:val="22"/>
      <w:lang w:eastAsia="en-US"/>
    </w:rPr>
  </w:style>
  <w:style w:type="paragraph" w:customStyle="1" w:styleId="Point2letter">
    <w:name w:val="Point 2 (letter)"/>
    <w:basedOn w:val="Normal"/>
    <w:rsid w:val="00DE794C"/>
    <w:pPr>
      <w:numPr>
        <w:ilvl w:val="5"/>
        <w:numId w:val="8"/>
      </w:numPr>
      <w:spacing w:before="120" w:after="120"/>
      <w:jc w:val="both"/>
    </w:pPr>
    <w:rPr>
      <w:rFonts w:ascii="Times New Roman" w:eastAsiaTheme="minorHAnsi" w:hAnsi="Times New Roman"/>
      <w:sz w:val="24"/>
      <w:szCs w:val="22"/>
      <w:lang w:eastAsia="en-US"/>
    </w:rPr>
  </w:style>
  <w:style w:type="paragraph" w:customStyle="1" w:styleId="Point3letter">
    <w:name w:val="Point 3 (letter)"/>
    <w:basedOn w:val="Normal"/>
    <w:rsid w:val="00DE794C"/>
    <w:pPr>
      <w:numPr>
        <w:ilvl w:val="7"/>
        <w:numId w:val="8"/>
      </w:numPr>
      <w:spacing w:before="120" w:after="120"/>
      <w:jc w:val="both"/>
    </w:pPr>
    <w:rPr>
      <w:rFonts w:ascii="Times New Roman" w:eastAsiaTheme="minorHAnsi" w:hAnsi="Times New Roman"/>
      <w:sz w:val="24"/>
      <w:szCs w:val="22"/>
      <w:lang w:eastAsia="en-US"/>
    </w:rPr>
  </w:style>
  <w:style w:type="paragraph" w:customStyle="1" w:styleId="Point4letter">
    <w:name w:val="Point 4 (letter)"/>
    <w:basedOn w:val="Normal"/>
    <w:rsid w:val="00DE794C"/>
    <w:pPr>
      <w:numPr>
        <w:ilvl w:val="8"/>
        <w:numId w:val="8"/>
      </w:numPr>
      <w:spacing w:before="120" w:after="120"/>
      <w:jc w:val="both"/>
    </w:pPr>
    <w:rPr>
      <w:rFonts w:ascii="Times New Roman" w:eastAsiaTheme="minorHAnsi" w:hAnsi="Times New Roman"/>
      <w:sz w:val="24"/>
      <w:szCs w:val="22"/>
      <w:lang w:eastAsia="en-US"/>
    </w:rPr>
  </w:style>
  <w:style w:type="paragraph" w:styleId="TOC8">
    <w:name w:val="toc 8"/>
    <w:basedOn w:val="Normal"/>
    <w:next w:val="Normal"/>
    <w:autoRedefine/>
    <w:uiPriority w:val="39"/>
    <w:semiHidden/>
    <w:unhideWhenUsed/>
    <w:rsid w:val="003C67C1"/>
    <w:pPr>
      <w:spacing w:after="100"/>
      <w:ind w:left="1540"/>
    </w:pPr>
  </w:style>
  <w:style w:type="paragraph" w:customStyle="1" w:styleId="ListenabsatzNew">
    <w:name w:val="Listenabsatz_New"/>
    <w:basedOn w:val="ListParagraph"/>
    <w:qFormat/>
    <w:rsid w:val="000F1BF9"/>
    <w:rPr>
      <w:rFonts w:ascii="Times New Roman" w:hAnsi="Times New Roman" w:cs="Times New Roman"/>
      <w:szCs w:val="22"/>
      <w:lang w:val="en-US"/>
    </w:rPr>
  </w:style>
  <w:style w:type="paragraph" w:styleId="NormalWeb">
    <w:name w:val="Normal (Web)"/>
    <w:basedOn w:val="Normal"/>
    <w:uiPriority w:val="99"/>
    <w:unhideWhenUsed/>
    <w:rsid w:val="00A16338"/>
    <w:pPr>
      <w:spacing w:before="100" w:beforeAutospacing="1" w:after="100" w:afterAutospacing="1"/>
    </w:pPr>
    <w:rPr>
      <w:rFonts w:ascii="Times New Roman" w:hAnsi="Times New Roman"/>
      <w:sz w:val="24"/>
      <w:lang w:val="fr-FR" w:eastAsia="fr-FR"/>
    </w:rPr>
  </w:style>
  <w:style w:type="paragraph" w:customStyle="1" w:styleId="Numbering">
    <w:name w:val="Numbering !"/>
    <w:basedOn w:val="Normal"/>
    <w:qFormat/>
    <w:rsid w:val="008B04CF"/>
    <w:pPr>
      <w:numPr>
        <w:numId w:val="16"/>
      </w:numPr>
      <w:spacing w:after="120" w:line="254" w:lineRule="auto"/>
      <w:jc w:val="both"/>
    </w:pPr>
    <w:rPr>
      <w:rFonts w:ascii="Times New Roman" w:hAnsi="Times New Roman"/>
      <w:szCs w:val="22"/>
    </w:rPr>
  </w:style>
  <w:style w:type="paragraph" w:customStyle="1" w:styleId="Numbering2">
    <w:name w:val="Numbering 2"/>
    <w:basedOn w:val="Normal"/>
    <w:qFormat/>
    <w:rsid w:val="008B04CF"/>
    <w:pPr>
      <w:numPr>
        <w:ilvl w:val="1"/>
        <w:numId w:val="17"/>
      </w:numPr>
      <w:spacing w:after="120" w:line="254" w:lineRule="auto"/>
      <w:jc w:val="both"/>
    </w:pPr>
    <w:rPr>
      <w:rFonts w:ascii="Times New Roman" w:hAnsi="Times New Roman"/>
      <w:lang w:eastAsia="en-US"/>
    </w:rPr>
  </w:style>
  <w:style w:type="paragraph" w:customStyle="1" w:styleId="Default">
    <w:name w:val="Default"/>
    <w:basedOn w:val="Normal"/>
    <w:rsid w:val="00A117F6"/>
    <w:pPr>
      <w:autoSpaceDE w:val="0"/>
      <w:autoSpaceDN w:val="0"/>
    </w:pPr>
    <w:rPr>
      <w:rFonts w:ascii="Times New Roman" w:eastAsiaTheme="minorHAnsi" w:hAnsi="Times New Roman"/>
      <w:color w:val="000000"/>
      <w:sz w:val="24"/>
      <w:lang w:val="de-CH" w:eastAsia="en-US"/>
    </w:rPr>
  </w:style>
  <w:style w:type="character" w:styleId="FollowedHyperlink">
    <w:name w:val="FollowedHyperlink"/>
    <w:basedOn w:val="DefaultParagraphFont"/>
    <w:uiPriority w:val="99"/>
    <w:semiHidden/>
    <w:unhideWhenUsed/>
    <w:rsid w:val="00D802A7"/>
    <w:rPr>
      <w:color w:val="800080" w:themeColor="followedHyperlink"/>
      <w:u w:val="single"/>
    </w:rPr>
  </w:style>
  <w:style w:type="character" w:customStyle="1" w:styleId="Menzionenonrisolta1">
    <w:name w:val="Menzione non risolta1"/>
    <w:basedOn w:val="DefaultParagraphFont"/>
    <w:uiPriority w:val="99"/>
    <w:semiHidden/>
    <w:unhideWhenUsed/>
    <w:rsid w:val="00E45F6B"/>
    <w:rPr>
      <w:color w:val="808080"/>
      <w:shd w:val="clear" w:color="auto" w:fill="E6E6E6"/>
    </w:rPr>
  </w:style>
  <w:style w:type="character" w:styleId="BookTitle">
    <w:name w:val="Book Title"/>
    <w:basedOn w:val="DefaultParagraphFont"/>
    <w:uiPriority w:val="33"/>
    <w:qFormat/>
    <w:rsid w:val="0001799D"/>
    <w:rPr>
      <w:b/>
      <w:bCs/>
      <w:i/>
      <w:iCs/>
      <w:spacing w:val="5"/>
    </w:rPr>
  </w:style>
  <w:style w:type="character" w:customStyle="1" w:styleId="shorttext">
    <w:name w:val="short_text"/>
    <w:basedOn w:val="DefaultParagraphFont"/>
    <w:rsid w:val="001B236A"/>
  </w:style>
  <w:style w:type="numbering" w:customStyle="1" w:styleId="XXXNummerierung1">
    <w:name w:val="XXX_Nummerierung1"/>
    <w:basedOn w:val="NoList"/>
    <w:uiPriority w:val="99"/>
    <w:rsid w:val="00E70E3B"/>
  </w:style>
  <w:style w:type="paragraph" w:styleId="FootnoteText">
    <w:name w:val="footnote text"/>
    <w:basedOn w:val="Normal"/>
    <w:link w:val="FootnoteTextChar"/>
    <w:uiPriority w:val="99"/>
    <w:semiHidden/>
    <w:unhideWhenUsed/>
    <w:rsid w:val="00BB4705"/>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BB4705"/>
    <w:rPr>
      <w:sz w:val="20"/>
      <w:szCs w:val="20"/>
      <w:lang w:val="en-GB"/>
    </w:rPr>
  </w:style>
  <w:style w:type="character" w:styleId="FootnoteReference">
    <w:name w:val="footnote reference"/>
    <w:basedOn w:val="DefaultParagraphFont"/>
    <w:uiPriority w:val="99"/>
    <w:semiHidden/>
    <w:unhideWhenUsed/>
    <w:rsid w:val="00BB470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341979">
      <w:bodyDiv w:val="1"/>
      <w:marLeft w:val="0"/>
      <w:marRight w:val="0"/>
      <w:marTop w:val="0"/>
      <w:marBottom w:val="0"/>
      <w:divBdr>
        <w:top w:val="none" w:sz="0" w:space="0" w:color="auto"/>
        <w:left w:val="none" w:sz="0" w:space="0" w:color="auto"/>
        <w:bottom w:val="none" w:sz="0" w:space="0" w:color="auto"/>
        <w:right w:val="none" w:sz="0" w:space="0" w:color="auto"/>
      </w:divBdr>
    </w:div>
    <w:div w:id="78411775">
      <w:bodyDiv w:val="1"/>
      <w:marLeft w:val="0"/>
      <w:marRight w:val="0"/>
      <w:marTop w:val="0"/>
      <w:marBottom w:val="0"/>
      <w:divBdr>
        <w:top w:val="none" w:sz="0" w:space="0" w:color="auto"/>
        <w:left w:val="none" w:sz="0" w:space="0" w:color="auto"/>
        <w:bottom w:val="none" w:sz="0" w:space="0" w:color="auto"/>
        <w:right w:val="none" w:sz="0" w:space="0" w:color="auto"/>
      </w:divBdr>
    </w:div>
    <w:div w:id="258177404">
      <w:bodyDiv w:val="1"/>
      <w:marLeft w:val="0"/>
      <w:marRight w:val="0"/>
      <w:marTop w:val="0"/>
      <w:marBottom w:val="0"/>
      <w:divBdr>
        <w:top w:val="none" w:sz="0" w:space="0" w:color="auto"/>
        <w:left w:val="none" w:sz="0" w:space="0" w:color="auto"/>
        <w:bottom w:val="none" w:sz="0" w:space="0" w:color="auto"/>
        <w:right w:val="none" w:sz="0" w:space="0" w:color="auto"/>
      </w:divBdr>
    </w:div>
    <w:div w:id="277836672">
      <w:bodyDiv w:val="1"/>
      <w:marLeft w:val="0"/>
      <w:marRight w:val="0"/>
      <w:marTop w:val="0"/>
      <w:marBottom w:val="0"/>
      <w:divBdr>
        <w:top w:val="none" w:sz="0" w:space="0" w:color="auto"/>
        <w:left w:val="none" w:sz="0" w:space="0" w:color="auto"/>
        <w:bottom w:val="none" w:sz="0" w:space="0" w:color="auto"/>
        <w:right w:val="none" w:sz="0" w:space="0" w:color="auto"/>
      </w:divBdr>
    </w:div>
    <w:div w:id="288248892">
      <w:bodyDiv w:val="1"/>
      <w:marLeft w:val="0"/>
      <w:marRight w:val="0"/>
      <w:marTop w:val="0"/>
      <w:marBottom w:val="0"/>
      <w:divBdr>
        <w:top w:val="none" w:sz="0" w:space="0" w:color="auto"/>
        <w:left w:val="none" w:sz="0" w:space="0" w:color="auto"/>
        <w:bottom w:val="none" w:sz="0" w:space="0" w:color="auto"/>
        <w:right w:val="none" w:sz="0" w:space="0" w:color="auto"/>
      </w:divBdr>
    </w:div>
    <w:div w:id="433402312">
      <w:bodyDiv w:val="1"/>
      <w:marLeft w:val="0"/>
      <w:marRight w:val="0"/>
      <w:marTop w:val="0"/>
      <w:marBottom w:val="0"/>
      <w:divBdr>
        <w:top w:val="none" w:sz="0" w:space="0" w:color="auto"/>
        <w:left w:val="none" w:sz="0" w:space="0" w:color="auto"/>
        <w:bottom w:val="none" w:sz="0" w:space="0" w:color="auto"/>
        <w:right w:val="none" w:sz="0" w:space="0" w:color="auto"/>
      </w:divBdr>
    </w:div>
    <w:div w:id="457646360">
      <w:bodyDiv w:val="1"/>
      <w:marLeft w:val="0"/>
      <w:marRight w:val="0"/>
      <w:marTop w:val="0"/>
      <w:marBottom w:val="0"/>
      <w:divBdr>
        <w:top w:val="none" w:sz="0" w:space="0" w:color="auto"/>
        <w:left w:val="none" w:sz="0" w:space="0" w:color="auto"/>
        <w:bottom w:val="none" w:sz="0" w:space="0" w:color="auto"/>
        <w:right w:val="none" w:sz="0" w:space="0" w:color="auto"/>
      </w:divBdr>
    </w:div>
    <w:div w:id="460150241">
      <w:bodyDiv w:val="1"/>
      <w:marLeft w:val="0"/>
      <w:marRight w:val="0"/>
      <w:marTop w:val="0"/>
      <w:marBottom w:val="0"/>
      <w:divBdr>
        <w:top w:val="none" w:sz="0" w:space="0" w:color="auto"/>
        <w:left w:val="none" w:sz="0" w:space="0" w:color="auto"/>
        <w:bottom w:val="none" w:sz="0" w:space="0" w:color="auto"/>
        <w:right w:val="none" w:sz="0" w:space="0" w:color="auto"/>
      </w:divBdr>
    </w:div>
    <w:div w:id="591739705">
      <w:bodyDiv w:val="1"/>
      <w:marLeft w:val="0"/>
      <w:marRight w:val="0"/>
      <w:marTop w:val="0"/>
      <w:marBottom w:val="0"/>
      <w:divBdr>
        <w:top w:val="none" w:sz="0" w:space="0" w:color="auto"/>
        <w:left w:val="none" w:sz="0" w:space="0" w:color="auto"/>
        <w:bottom w:val="none" w:sz="0" w:space="0" w:color="auto"/>
        <w:right w:val="none" w:sz="0" w:space="0" w:color="auto"/>
      </w:divBdr>
      <w:divsChild>
        <w:div w:id="1869637140">
          <w:marLeft w:val="2304"/>
          <w:marRight w:val="0"/>
          <w:marTop w:val="0"/>
          <w:marBottom w:val="0"/>
          <w:divBdr>
            <w:top w:val="none" w:sz="0" w:space="0" w:color="auto"/>
            <w:left w:val="none" w:sz="0" w:space="0" w:color="auto"/>
            <w:bottom w:val="none" w:sz="0" w:space="0" w:color="auto"/>
            <w:right w:val="none" w:sz="0" w:space="0" w:color="auto"/>
          </w:divBdr>
        </w:div>
        <w:div w:id="428047877">
          <w:marLeft w:val="2304"/>
          <w:marRight w:val="0"/>
          <w:marTop w:val="0"/>
          <w:marBottom w:val="0"/>
          <w:divBdr>
            <w:top w:val="none" w:sz="0" w:space="0" w:color="auto"/>
            <w:left w:val="none" w:sz="0" w:space="0" w:color="auto"/>
            <w:bottom w:val="none" w:sz="0" w:space="0" w:color="auto"/>
            <w:right w:val="none" w:sz="0" w:space="0" w:color="auto"/>
          </w:divBdr>
        </w:div>
      </w:divsChild>
    </w:div>
    <w:div w:id="721753002">
      <w:bodyDiv w:val="1"/>
      <w:marLeft w:val="0"/>
      <w:marRight w:val="0"/>
      <w:marTop w:val="0"/>
      <w:marBottom w:val="0"/>
      <w:divBdr>
        <w:top w:val="none" w:sz="0" w:space="0" w:color="auto"/>
        <w:left w:val="none" w:sz="0" w:space="0" w:color="auto"/>
        <w:bottom w:val="none" w:sz="0" w:space="0" w:color="auto"/>
        <w:right w:val="none" w:sz="0" w:space="0" w:color="auto"/>
      </w:divBdr>
    </w:div>
    <w:div w:id="849680680">
      <w:bodyDiv w:val="1"/>
      <w:marLeft w:val="0"/>
      <w:marRight w:val="0"/>
      <w:marTop w:val="0"/>
      <w:marBottom w:val="0"/>
      <w:divBdr>
        <w:top w:val="none" w:sz="0" w:space="0" w:color="auto"/>
        <w:left w:val="none" w:sz="0" w:space="0" w:color="auto"/>
        <w:bottom w:val="none" w:sz="0" w:space="0" w:color="auto"/>
        <w:right w:val="none" w:sz="0" w:space="0" w:color="auto"/>
      </w:divBdr>
    </w:div>
    <w:div w:id="890656111">
      <w:bodyDiv w:val="1"/>
      <w:marLeft w:val="0"/>
      <w:marRight w:val="0"/>
      <w:marTop w:val="0"/>
      <w:marBottom w:val="0"/>
      <w:divBdr>
        <w:top w:val="none" w:sz="0" w:space="0" w:color="auto"/>
        <w:left w:val="none" w:sz="0" w:space="0" w:color="auto"/>
        <w:bottom w:val="none" w:sz="0" w:space="0" w:color="auto"/>
        <w:right w:val="none" w:sz="0" w:space="0" w:color="auto"/>
      </w:divBdr>
    </w:div>
    <w:div w:id="969743417">
      <w:bodyDiv w:val="1"/>
      <w:marLeft w:val="0"/>
      <w:marRight w:val="0"/>
      <w:marTop w:val="0"/>
      <w:marBottom w:val="0"/>
      <w:divBdr>
        <w:top w:val="none" w:sz="0" w:space="0" w:color="auto"/>
        <w:left w:val="none" w:sz="0" w:space="0" w:color="auto"/>
        <w:bottom w:val="none" w:sz="0" w:space="0" w:color="auto"/>
        <w:right w:val="none" w:sz="0" w:space="0" w:color="auto"/>
      </w:divBdr>
    </w:div>
    <w:div w:id="982924543">
      <w:bodyDiv w:val="1"/>
      <w:marLeft w:val="0"/>
      <w:marRight w:val="0"/>
      <w:marTop w:val="0"/>
      <w:marBottom w:val="0"/>
      <w:divBdr>
        <w:top w:val="none" w:sz="0" w:space="0" w:color="auto"/>
        <w:left w:val="none" w:sz="0" w:space="0" w:color="auto"/>
        <w:bottom w:val="none" w:sz="0" w:space="0" w:color="auto"/>
        <w:right w:val="none" w:sz="0" w:space="0" w:color="auto"/>
      </w:divBdr>
    </w:div>
    <w:div w:id="1025717566">
      <w:bodyDiv w:val="1"/>
      <w:marLeft w:val="0"/>
      <w:marRight w:val="0"/>
      <w:marTop w:val="0"/>
      <w:marBottom w:val="0"/>
      <w:divBdr>
        <w:top w:val="none" w:sz="0" w:space="0" w:color="auto"/>
        <w:left w:val="none" w:sz="0" w:space="0" w:color="auto"/>
        <w:bottom w:val="none" w:sz="0" w:space="0" w:color="auto"/>
        <w:right w:val="none" w:sz="0" w:space="0" w:color="auto"/>
      </w:divBdr>
    </w:div>
    <w:div w:id="1046836157">
      <w:bodyDiv w:val="1"/>
      <w:marLeft w:val="0"/>
      <w:marRight w:val="0"/>
      <w:marTop w:val="0"/>
      <w:marBottom w:val="0"/>
      <w:divBdr>
        <w:top w:val="none" w:sz="0" w:space="0" w:color="auto"/>
        <w:left w:val="none" w:sz="0" w:space="0" w:color="auto"/>
        <w:bottom w:val="none" w:sz="0" w:space="0" w:color="auto"/>
        <w:right w:val="none" w:sz="0" w:space="0" w:color="auto"/>
      </w:divBdr>
    </w:div>
    <w:div w:id="1155417155">
      <w:bodyDiv w:val="1"/>
      <w:marLeft w:val="0"/>
      <w:marRight w:val="0"/>
      <w:marTop w:val="0"/>
      <w:marBottom w:val="0"/>
      <w:divBdr>
        <w:top w:val="none" w:sz="0" w:space="0" w:color="auto"/>
        <w:left w:val="none" w:sz="0" w:space="0" w:color="auto"/>
        <w:bottom w:val="none" w:sz="0" w:space="0" w:color="auto"/>
        <w:right w:val="none" w:sz="0" w:space="0" w:color="auto"/>
      </w:divBdr>
    </w:div>
    <w:div w:id="1195969612">
      <w:bodyDiv w:val="1"/>
      <w:marLeft w:val="0"/>
      <w:marRight w:val="0"/>
      <w:marTop w:val="0"/>
      <w:marBottom w:val="0"/>
      <w:divBdr>
        <w:top w:val="none" w:sz="0" w:space="0" w:color="auto"/>
        <w:left w:val="none" w:sz="0" w:space="0" w:color="auto"/>
        <w:bottom w:val="none" w:sz="0" w:space="0" w:color="auto"/>
        <w:right w:val="none" w:sz="0" w:space="0" w:color="auto"/>
      </w:divBdr>
    </w:div>
    <w:div w:id="1365710638">
      <w:bodyDiv w:val="1"/>
      <w:marLeft w:val="0"/>
      <w:marRight w:val="0"/>
      <w:marTop w:val="0"/>
      <w:marBottom w:val="0"/>
      <w:divBdr>
        <w:top w:val="none" w:sz="0" w:space="0" w:color="auto"/>
        <w:left w:val="none" w:sz="0" w:space="0" w:color="auto"/>
        <w:bottom w:val="none" w:sz="0" w:space="0" w:color="auto"/>
        <w:right w:val="none" w:sz="0" w:space="0" w:color="auto"/>
      </w:divBdr>
    </w:div>
    <w:div w:id="1428118555">
      <w:bodyDiv w:val="1"/>
      <w:marLeft w:val="0"/>
      <w:marRight w:val="0"/>
      <w:marTop w:val="0"/>
      <w:marBottom w:val="0"/>
      <w:divBdr>
        <w:top w:val="none" w:sz="0" w:space="0" w:color="auto"/>
        <w:left w:val="none" w:sz="0" w:space="0" w:color="auto"/>
        <w:bottom w:val="none" w:sz="0" w:space="0" w:color="auto"/>
        <w:right w:val="none" w:sz="0" w:space="0" w:color="auto"/>
      </w:divBdr>
    </w:div>
    <w:div w:id="1438796372">
      <w:bodyDiv w:val="1"/>
      <w:marLeft w:val="0"/>
      <w:marRight w:val="0"/>
      <w:marTop w:val="0"/>
      <w:marBottom w:val="0"/>
      <w:divBdr>
        <w:top w:val="none" w:sz="0" w:space="0" w:color="auto"/>
        <w:left w:val="none" w:sz="0" w:space="0" w:color="auto"/>
        <w:bottom w:val="none" w:sz="0" w:space="0" w:color="auto"/>
        <w:right w:val="none" w:sz="0" w:space="0" w:color="auto"/>
      </w:divBdr>
    </w:div>
    <w:div w:id="1578055340">
      <w:bodyDiv w:val="1"/>
      <w:marLeft w:val="0"/>
      <w:marRight w:val="0"/>
      <w:marTop w:val="0"/>
      <w:marBottom w:val="0"/>
      <w:divBdr>
        <w:top w:val="none" w:sz="0" w:space="0" w:color="auto"/>
        <w:left w:val="none" w:sz="0" w:space="0" w:color="auto"/>
        <w:bottom w:val="none" w:sz="0" w:space="0" w:color="auto"/>
        <w:right w:val="none" w:sz="0" w:space="0" w:color="auto"/>
      </w:divBdr>
      <w:divsChild>
        <w:div w:id="558171082">
          <w:marLeft w:val="0"/>
          <w:marRight w:val="0"/>
          <w:marTop w:val="0"/>
          <w:marBottom w:val="0"/>
          <w:divBdr>
            <w:top w:val="none" w:sz="0" w:space="0" w:color="auto"/>
            <w:left w:val="none" w:sz="0" w:space="0" w:color="auto"/>
            <w:bottom w:val="none" w:sz="0" w:space="0" w:color="auto"/>
            <w:right w:val="none" w:sz="0" w:space="0" w:color="auto"/>
          </w:divBdr>
          <w:divsChild>
            <w:div w:id="1923755179">
              <w:marLeft w:val="0"/>
              <w:marRight w:val="0"/>
              <w:marTop w:val="0"/>
              <w:marBottom w:val="0"/>
              <w:divBdr>
                <w:top w:val="none" w:sz="0" w:space="0" w:color="auto"/>
                <w:left w:val="none" w:sz="0" w:space="0" w:color="auto"/>
                <w:bottom w:val="none" w:sz="0" w:space="0" w:color="auto"/>
                <w:right w:val="none" w:sz="0" w:space="0" w:color="auto"/>
              </w:divBdr>
              <w:divsChild>
                <w:div w:id="1931618653">
                  <w:marLeft w:val="0"/>
                  <w:marRight w:val="0"/>
                  <w:marTop w:val="0"/>
                  <w:marBottom w:val="0"/>
                  <w:divBdr>
                    <w:top w:val="none" w:sz="0" w:space="0" w:color="auto"/>
                    <w:left w:val="none" w:sz="0" w:space="0" w:color="auto"/>
                    <w:bottom w:val="none" w:sz="0" w:space="0" w:color="auto"/>
                    <w:right w:val="none" w:sz="0" w:space="0" w:color="auto"/>
                  </w:divBdr>
                  <w:divsChild>
                    <w:div w:id="1589727931">
                      <w:marLeft w:val="1"/>
                      <w:marRight w:val="1"/>
                      <w:marTop w:val="0"/>
                      <w:marBottom w:val="0"/>
                      <w:divBdr>
                        <w:top w:val="none" w:sz="0" w:space="0" w:color="auto"/>
                        <w:left w:val="none" w:sz="0" w:space="0" w:color="auto"/>
                        <w:bottom w:val="none" w:sz="0" w:space="0" w:color="auto"/>
                        <w:right w:val="none" w:sz="0" w:space="0" w:color="auto"/>
                      </w:divBdr>
                      <w:divsChild>
                        <w:div w:id="1780417665">
                          <w:marLeft w:val="0"/>
                          <w:marRight w:val="0"/>
                          <w:marTop w:val="0"/>
                          <w:marBottom w:val="0"/>
                          <w:divBdr>
                            <w:top w:val="none" w:sz="0" w:space="0" w:color="auto"/>
                            <w:left w:val="none" w:sz="0" w:space="0" w:color="auto"/>
                            <w:bottom w:val="none" w:sz="0" w:space="0" w:color="auto"/>
                            <w:right w:val="none" w:sz="0" w:space="0" w:color="auto"/>
                          </w:divBdr>
                          <w:divsChild>
                            <w:div w:id="1938362151">
                              <w:marLeft w:val="0"/>
                              <w:marRight w:val="0"/>
                              <w:marTop w:val="0"/>
                              <w:marBottom w:val="360"/>
                              <w:divBdr>
                                <w:top w:val="none" w:sz="0" w:space="0" w:color="auto"/>
                                <w:left w:val="none" w:sz="0" w:space="0" w:color="auto"/>
                                <w:bottom w:val="none" w:sz="0" w:space="0" w:color="auto"/>
                                <w:right w:val="none" w:sz="0" w:space="0" w:color="auto"/>
                              </w:divBdr>
                              <w:divsChild>
                                <w:div w:id="1398744820">
                                  <w:marLeft w:val="0"/>
                                  <w:marRight w:val="0"/>
                                  <w:marTop w:val="0"/>
                                  <w:marBottom w:val="0"/>
                                  <w:divBdr>
                                    <w:top w:val="none" w:sz="0" w:space="0" w:color="auto"/>
                                    <w:left w:val="none" w:sz="0" w:space="0" w:color="auto"/>
                                    <w:bottom w:val="none" w:sz="0" w:space="0" w:color="auto"/>
                                    <w:right w:val="none" w:sz="0" w:space="0" w:color="auto"/>
                                  </w:divBdr>
                                  <w:divsChild>
                                    <w:div w:id="517230750">
                                      <w:marLeft w:val="0"/>
                                      <w:marRight w:val="0"/>
                                      <w:marTop w:val="0"/>
                                      <w:marBottom w:val="0"/>
                                      <w:divBdr>
                                        <w:top w:val="none" w:sz="0" w:space="0" w:color="auto"/>
                                        <w:left w:val="none" w:sz="0" w:space="0" w:color="auto"/>
                                        <w:bottom w:val="none" w:sz="0" w:space="0" w:color="auto"/>
                                        <w:right w:val="none" w:sz="0" w:space="0" w:color="auto"/>
                                      </w:divBdr>
                                      <w:divsChild>
                                        <w:div w:id="1052189702">
                                          <w:marLeft w:val="0"/>
                                          <w:marRight w:val="0"/>
                                          <w:marTop w:val="0"/>
                                          <w:marBottom w:val="0"/>
                                          <w:divBdr>
                                            <w:top w:val="none" w:sz="0" w:space="0" w:color="auto"/>
                                            <w:left w:val="none" w:sz="0" w:space="0" w:color="auto"/>
                                            <w:bottom w:val="none" w:sz="0" w:space="0" w:color="auto"/>
                                            <w:right w:val="none" w:sz="0" w:space="0" w:color="auto"/>
                                          </w:divBdr>
                                          <w:divsChild>
                                            <w:div w:id="811484346">
                                              <w:marLeft w:val="0"/>
                                              <w:marRight w:val="0"/>
                                              <w:marTop w:val="0"/>
                                              <w:marBottom w:val="0"/>
                                              <w:divBdr>
                                                <w:top w:val="none" w:sz="0" w:space="0" w:color="auto"/>
                                                <w:left w:val="none" w:sz="0" w:space="0" w:color="auto"/>
                                                <w:bottom w:val="none" w:sz="0" w:space="0" w:color="auto"/>
                                                <w:right w:val="none" w:sz="0" w:space="0" w:color="auto"/>
                                              </w:divBdr>
                                              <w:divsChild>
                                                <w:div w:id="25567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78532063">
      <w:bodyDiv w:val="1"/>
      <w:marLeft w:val="0"/>
      <w:marRight w:val="0"/>
      <w:marTop w:val="0"/>
      <w:marBottom w:val="0"/>
      <w:divBdr>
        <w:top w:val="none" w:sz="0" w:space="0" w:color="auto"/>
        <w:left w:val="none" w:sz="0" w:space="0" w:color="auto"/>
        <w:bottom w:val="none" w:sz="0" w:space="0" w:color="auto"/>
        <w:right w:val="none" w:sz="0" w:space="0" w:color="auto"/>
      </w:divBdr>
    </w:div>
    <w:div w:id="1756902277">
      <w:bodyDiv w:val="1"/>
      <w:marLeft w:val="0"/>
      <w:marRight w:val="0"/>
      <w:marTop w:val="0"/>
      <w:marBottom w:val="0"/>
      <w:divBdr>
        <w:top w:val="none" w:sz="0" w:space="0" w:color="auto"/>
        <w:left w:val="none" w:sz="0" w:space="0" w:color="auto"/>
        <w:bottom w:val="none" w:sz="0" w:space="0" w:color="auto"/>
        <w:right w:val="none" w:sz="0" w:space="0" w:color="auto"/>
      </w:divBdr>
    </w:div>
    <w:div w:id="1836721400">
      <w:bodyDiv w:val="1"/>
      <w:marLeft w:val="0"/>
      <w:marRight w:val="0"/>
      <w:marTop w:val="0"/>
      <w:marBottom w:val="0"/>
      <w:divBdr>
        <w:top w:val="none" w:sz="0" w:space="0" w:color="auto"/>
        <w:left w:val="none" w:sz="0" w:space="0" w:color="auto"/>
        <w:bottom w:val="none" w:sz="0" w:space="0" w:color="auto"/>
        <w:right w:val="none" w:sz="0" w:space="0" w:color="auto"/>
      </w:divBdr>
    </w:div>
    <w:div w:id="1982806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footer2.xml.rels><?xml version="1.0" encoding="UTF-8" standalone="yes"?>
<Relationships xmlns="http://schemas.openxmlformats.org/package/2006/relationships"><Relationship Id="rId1" Type="http://schemas.openxmlformats.org/officeDocument/2006/relationships/image" Target="media/image2.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Company\Users\aobrien2\AppData\Roaming\Microsoft\Templates\ENTSOE\140121_ENTSO-E_Template_Report_no%20LSPp.dotx" TargetMode="External"/></Relationships>
</file>

<file path=word/theme/theme1.xml><?xml version="1.0" encoding="utf-8"?>
<a:theme xmlns:a="http://schemas.openxmlformats.org/drawingml/2006/main" name="Larissa">
  <a:themeElements>
    <a:clrScheme name="Entsoe">
      <a:dk1>
        <a:sysClr val="windowText" lastClr="000000"/>
      </a:dk1>
      <a:lt1>
        <a:sysClr val="window" lastClr="FFFFFF"/>
      </a:lt1>
      <a:dk2>
        <a:srgbClr val="23236E"/>
      </a:dk2>
      <a:lt2>
        <a:srgbClr val="636466"/>
      </a:lt2>
      <a:accent1>
        <a:srgbClr val="585C9F"/>
      </a:accent1>
      <a:accent2>
        <a:srgbClr val="797BB7"/>
      </a:accent2>
      <a:accent3>
        <a:srgbClr val="7F5A9B"/>
      </a:accent3>
      <a:accent4>
        <a:srgbClr val="B4B4C8"/>
      </a:accent4>
      <a:accent5>
        <a:srgbClr val="487BB4"/>
      </a:accent5>
      <a:accent6>
        <a:srgbClr val="9EBF57"/>
      </a:accent6>
      <a:hlink>
        <a:srgbClr val="0000FF"/>
      </a:hlink>
      <a:folHlink>
        <a:srgbClr val="800080"/>
      </a:folHlink>
    </a:clrScheme>
    <a:fontScheme name="Entsoe">
      <a:majorFont>
        <a:latin typeface="Arial"/>
        <a:ea typeface=""/>
        <a:cs typeface=""/>
      </a:majorFont>
      <a:minorFont>
        <a:latin typeface="Times New Roman"/>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F7A5AA713F11E4C8447F851B217553D" ma:contentTypeVersion="0" ma:contentTypeDescription="Create a new document." ma:contentTypeScope="" ma:versionID="46adfe984b43dabeab822b4668d1b485">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B40DF9-BC74-4345-A7C2-764A958DEE49}">
  <ds:schemaRefs>
    <ds:schemaRef ds:uri="http://schemas.microsoft.com/sharepoint/v3/contenttype/forms"/>
  </ds:schemaRefs>
</ds:datastoreItem>
</file>

<file path=customXml/itemProps2.xml><?xml version="1.0" encoding="utf-8"?>
<ds:datastoreItem xmlns:ds="http://schemas.openxmlformats.org/officeDocument/2006/customXml" ds:itemID="{7B4FF11D-915A-4872-8A40-7D595313CC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18B4992-059D-40CD-94FC-82C054F39F6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788553F-CC16-4EC8-BEAE-DC014F7AF452}">
  <ds:schemaRefs>
    <ds:schemaRef ds:uri="http://schemas.openxmlformats.org/officeDocument/2006/bibliography"/>
  </ds:schemaRefs>
</ds:datastoreItem>
</file>

<file path=customXml/itemProps5.xml><?xml version="1.0" encoding="utf-8"?>
<ds:datastoreItem xmlns:ds="http://schemas.openxmlformats.org/officeDocument/2006/customXml" ds:itemID="{50352C66-124A-4094-B16B-FD0872D02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140121_ENTSO-E_Template_Report_no LSPp.dotx</Template>
  <TotalTime>0</TotalTime>
  <Pages>16</Pages>
  <Words>4985</Words>
  <Characters>28418</Characters>
  <Application>Microsoft Office Word</Application>
  <DocSecurity>0</DocSecurity>
  <Lines>236</Lines>
  <Paragraphs>66</Paragraphs>
  <ScaleCrop>false</ScaleCrop>
  <HeadingPairs>
    <vt:vector size="22" baseType="variant">
      <vt:variant>
        <vt:lpstr>Title</vt:lpstr>
      </vt:variant>
      <vt:variant>
        <vt:i4>1</vt:i4>
      </vt:variant>
      <vt:variant>
        <vt:lpstr>Titel</vt:lpstr>
      </vt:variant>
      <vt:variant>
        <vt:i4>1</vt:i4>
      </vt:variant>
      <vt:variant>
        <vt:lpstr>Tittel</vt:lpstr>
      </vt:variant>
      <vt:variant>
        <vt:i4>1</vt:i4>
      </vt:variant>
      <vt:variant>
        <vt:lpstr>Tytuł</vt:lpstr>
      </vt:variant>
      <vt:variant>
        <vt:i4>1</vt:i4>
      </vt:variant>
      <vt:variant>
        <vt:lpstr>Título</vt:lpstr>
      </vt:variant>
      <vt:variant>
        <vt:i4>1</vt:i4>
      </vt:variant>
      <vt:variant>
        <vt:lpstr>Názov</vt:lpstr>
      </vt:variant>
      <vt:variant>
        <vt:i4>1</vt:i4>
      </vt:variant>
      <vt:variant>
        <vt:lpstr>Název</vt:lpstr>
      </vt:variant>
      <vt:variant>
        <vt:i4>1</vt:i4>
      </vt:variant>
      <vt:variant>
        <vt:lpstr>Titolo</vt:lpstr>
      </vt:variant>
      <vt:variant>
        <vt:i4>1</vt:i4>
      </vt:variant>
      <vt:variant>
        <vt:lpstr>Titre</vt:lpstr>
      </vt:variant>
      <vt:variant>
        <vt:i4>1</vt:i4>
      </vt:variant>
      <vt:variant>
        <vt:lpstr>Cím</vt:lpstr>
      </vt:variant>
      <vt:variant>
        <vt:i4>1</vt:i4>
      </vt:variant>
      <vt:variant>
        <vt:lpstr>Rubrik</vt:lpstr>
      </vt:variant>
      <vt:variant>
        <vt:i4>1</vt:i4>
      </vt:variant>
    </vt:vector>
  </HeadingPairs>
  <TitlesOfParts>
    <vt:vector size="11" baseType="lpstr">
      <vt:lpstr>All TSOs’ proposal on methodologies for pricing balancing energy and cross-zonal capacity used for the exchange of balancing energy or operating the imbalance netting process pursuant to Article 30(1) and Article 30(3) of Commission Regulati</vt:lpstr>
      <vt:lpstr>All TSOs’ proposal on methodologies for pricing balancing energy and cross-zonal capacity used for the exchange of balancing energy or operating the imbalance netting process pursuant to Article 30(1) and Article 30(3) of Commission Regulati</vt:lpstr>
      <vt:lpstr>All TSOs’ proposal on methodologies for pricing balancing energy and cross-zonal capacity used for the exchange of balancing energy or operating the imbalance netting process pursuant to Article 30(1) and Article 30(3) of Commission Regulati</vt:lpstr>
      <vt:lpstr>All TSOs’ proposal on methodologies for pricing balancing energy and cross-zonal capacity used for the exchange of balancing energy or operating the imbalance netting process pursuant to Article 30(1) and Article 30(3) of Commission Regulati</vt:lpstr>
      <vt:lpstr>All TSOs’ proposal on methodologies for pricing balancing energy and cross-zonal capacity used for the exchange of balancing energy or operating the imbalance netting process pursuant to Article 30(1) and Article 30(3) of Commission Regulati</vt:lpstr>
      <vt:lpstr>All TSOs’ proposal on methodologies for pricing balancing energy and cross-zonal capacity used for the exchange of balancing energy or operating the imbalance netting process pursuant to Article 30(1) and Article 30(3) of Commission Regulati</vt:lpstr>
      <vt:lpstr>All TSOs’ proposal on methodologies for pricing balancing energy and cross-zonal capacity used for the exchange of balancing energy or operating the imbalance netting process pursuant to Article 30(1) and Article 30(3) of Commission Regulati</vt:lpstr>
      <vt:lpstr>All TSOs’ proposal on methodologies for pricing balancing energy and cross-zonal capacity used for the exchange of balancing energy or operating the imbalance netting process pursuant to Article 30(1) and Article 30(5) of Commission Regulation (EU) 2017/2</vt:lpstr>
      <vt:lpstr>All TSOs’ proposal on methodologies for pricing balancing energy and cross-zonal capacity used for the exchange of balancing energy or operating the imbalance netting process pursuant to Article 30(1) and Article 30(5) of Commission Regulation (EU) 2017/2</vt:lpstr>
      <vt:lpstr>cine on electriity balancingAll TSOs’ proposal for the implementation framework for the exchange of balancing energy from frequency restoration reserves with automatic activation in accordance with Article 21 of Commission Regulation (EU) 2017/2195 establ</vt:lpstr>
      <vt:lpstr>All TSOs’ proposal for intraday cross-zonal gate opening and gate closure times in accordance with Article 59 of Commission Regulation (EU) 2015/1222 of 24 July 2015 establishing a guideline on capacity allocation and congestion management</vt:lpstr>
    </vt:vector>
  </TitlesOfParts>
  <Company>Svenska Kraftnät</Company>
  <LinksUpToDate>false</LinksUpToDate>
  <CharactersWithSpaces>33337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 TSOs’ proposal on methodologies for pricing balancing energy and cross-zonal capacity used for the exchange of balancing energy or operating the imbalance netting process pursuant to Article 30(1) and Article 30(3) of Commission Regulati</dc:title>
  <cp:revision>2</cp:revision>
  <cp:lastPrinted>2013-10-11T16:15:00Z</cp:lastPrinted>
  <dcterms:created xsi:type="dcterms:W3CDTF">2018-12-14T07:34:00Z</dcterms:created>
  <dcterms:modified xsi:type="dcterms:W3CDTF">2018-12-14T07:34:00Z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Keyword">
    <vt:lpwstr/>
  </property>
  <property fmtid="{D5CDD505-2E9C-101B-9397-08002B2CF9AE}" pid="3" name="ContentTypeId">
    <vt:lpwstr>0x0101000F7A5AA713F11E4C8447F851B217553D</vt:lpwstr>
  </property>
  <property fmtid="{D5CDD505-2E9C-101B-9397-08002B2CF9AE}" pid="4" name="m21e1f176c4a4ad491d679d83442a8a3">
    <vt:lpwstr/>
  </property>
  <property fmtid="{D5CDD505-2E9C-101B-9397-08002B2CF9AE}" pid="5" name="b">
    <vt:lpwstr/>
  </property>
  <property fmtid="{D5CDD505-2E9C-101B-9397-08002B2CF9AE}" pid="6" name="Addo_DocID">
    <vt:lpwstr>d73c2d92-7b3e-411a-ba81-34805e613ae0</vt:lpwstr>
  </property>
  <property fmtid="{D5CDD505-2E9C-101B-9397-08002B2CF9AE}" pid="7" name="MSIP_Label_55b74f4c-7570-4ac9-8413-c450456f7dc6_Enabled">
    <vt:lpwstr>True</vt:lpwstr>
  </property>
  <property fmtid="{D5CDD505-2E9C-101B-9397-08002B2CF9AE}" pid="8" name="MSIP_Label_55b74f4c-7570-4ac9-8413-c450456f7dc6_SiteId">
    <vt:lpwstr>a8d61462-f252-44b2-bf6a-d7231960c041</vt:lpwstr>
  </property>
  <property fmtid="{D5CDD505-2E9C-101B-9397-08002B2CF9AE}" pid="9" name="MSIP_Label_55b74f4c-7570-4ac9-8413-c450456f7dc6_Owner">
    <vt:lpwstr>Martha.Oberg@statnett.no</vt:lpwstr>
  </property>
  <property fmtid="{D5CDD505-2E9C-101B-9397-08002B2CF9AE}" pid="10" name="MSIP_Label_55b74f4c-7570-4ac9-8413-c450456f7dc6_SetDate">
    <vt:lpwstr>2018-11-29T14:38:58.1979908Z</vt:lpwstr>
  </property>
  <property fmtid="{D5CDD505-2E9C-101B-9397-08002B2CF9AE}" pid="11" name="MSIP_Label_55b74f4c-7570-4ac9-8413-c450456f7dc6_Name">
    <vt:lpwstr>Statnett intern</vt:lpwstr>
  </property>
  <property fmtid="{D5CDD505-2E9C-101B-9397-08002B2CF9AE}" pid="12" name="MSIP_Label_55b74f4c-7570-4ac9-8413-c450456f7dc6_Application">
    <vt:lpwstr>Microsoft Azure Information Protection</vt:lpwstr>
  </property>
  <property fmtid="{D5CDD505-2E9C-101B-9397-08002B2CF9AE}" pid="13" name="MSIP_Label_55b74f4c-7570-4ac9-8413-c450456f7dc6_Extended_MSFT_Method">
    <vt:lpwstr>Manual</vt:lpwstr>
  </property>
  <property fmtid="{D5CDD505-2E9C-101B-9397-08002B2CF9AE}" pid="14" name="Sensitivity">
    <vt:lpwstr>Statnett intern</vt:lpwstr>
  </property>
</Properties>
</file>