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6E1B" w:rsidRPr="009A4C44" w:rsidRDefault="00D36E1B" w:rsidP="000745E8">
      <w:pPr>
        <w:pStyle w:val="headlineheader"/>
        <w:spacing w:after="120" w:line="240" w:lineRule="auto"/>
        <w:rPr>
          <w:rFonts w:ascii="Times New Roman" w:hAnsi="Times New Roman"/>
        </w:rPr>
      </w:pPr>
      <w:bookmarkStart w:id="0" w:name="_GoBack"/>
      <w:bookmarkEnd w:id="0"/>
    </w:p>
    <w:p w:rsidR="00D36E1B" w:rsidRPr="009A4C44" w:rsidRDefault="00D36E1B" w:rsidP="000745E8">
      <w:pPr>
        <w:pStyle w:val="headlineheader"/>
        <w:spacing w:after="120" w:line="240" w:lineRule="auto"/>
        <w:rPr>
          <w:rFonts w:ascii="Times New Roman" w:hAnsi="Times New Roman"/>
        </w:rPr>
      </w:pPr>
    </w:p>
    <w:p w:rsidR="00D36E1B" w:rsidRPr="009A4C44" w:rsidRDefault="00D36E1B" w:rsidP="000745E8">
      <w:pPr>
        <w:pStyle w:val="headlineheader"/>
        <w:spacing w:after="120" w:line="240" w:lineRule="auto"/>
        <w:rPr>
          <w:rFonts w:ascii="Times New Roman" w:hAnsi="Times New Roman"/>
        </w:rPr>
      </w:pPr>
    </w:p>
    <w:p w:rsidR="00D36E1B" w:rsidRPr="009A4C44" w:rsidRDefault="00D36E1B" w:rsidP="000745E8">
      <w:pPr>
        <w:pStyle w:val="headlineheader"/>
        <w:spacing w:after="120" w:line="240" w:lineRule="auto"/>
        <w:rPr>
          <w:rFonts w:ascii="Times New Roman" w:hAnsi="Times New Roman"/>
        </w:rPr>
      </w:pPr>
    </w:p>
    <w:p w:rsidR="00D36E1B" w:rsidRPr="009A4C44" w:rsidRDefault="00D36E1B" w:rsidP="000745E8">
      <w:pPr>
        <w:pStyle w:val="headlineheader"/>
        <w:spacing w:after="120" w:line="240" w:lineRule="auto"/>
        <w:rPr>
          <w:rFonts w:ascii="Times New Roman" w:hAnsi="Times New Roman"/>
        </w:rPr>
      </w:pPr>
    </w:p>
    <w:p w:rsidR="00D36E1B" w:rsidRPr="009A4C44" w:rsidRDefault="00D36E1B" w:rsidP="000745E8">
      <w:pPr>
        <w:pStyle w:val="headlineheader"/>
        <w:spacing w:after="120" w:line="240" w:lineRule="auto"/>
        <w:rPr>
          <w:rFonts w:ascii="Times New Roman" w:hAnsi="Times New Roman"/>
        </w:rPr>
      </w:pPr>
    </w:p>
    <w:p w:rsidR="0021069F" w:rsidRPr="009A4C44" w:rsidRDefault="0021069F" w:rsidP="000745E8">
      <w:pPr>
        <w:pStyle w:val="headlineheader"/>
        <w:pBdr>
          <w:top w:val="single" w:sz="4" w:space="1" w:color="auto"/>
        </w:pBdr>
        <w:spacing w:after="120" w:line="240" w:lineRule="auto"/>
        <w:jc w:val="center"/>
        <w:rPr>
          <w:rFonts w:ascii="Times New Roman" w:hAnsi="Times New Roman"/>
        </w:rPr>
      </w:pPr>
    </w:p>
    <w:p w:rsidR="00D36E1B" w:rsidRPr="009A4C44" w:rsidRDefault="00D36E1B" w:rsidP="000745E8">
      <w:pPr>
        <w:pStyle w:val="headlineheader"/>
        <w:pBdr>
          <w:top w:val="single" w:sz="4" w:space="1" w:color="auto"/>
        </w:pBdr>
        <w:spacing w:after="120" w:line="240" w:lineRule="auto"/>
        <w:jc w:val="center"/>
        <w:rPr>
          <w:rFonts w:ascii="Times New Roman" w:hAnsi="Times New Roman"/>
        </w:rPr>
      </w:pPr>
      <w:r w:rsidRPr="009A4C44">
        <w:rPr>
          <w:rFonts w:ascii="Times New Roman" w:hAnsi="Times New Roman"/>
        </w:rPr>
        <w:t xml:space="preserve">Explanatory Document </w:t>
      </w:r>
      <w:r w:rsidR="002F406E" w:rsidRPr="009A4C44">
        <w:rPr>
          <w:rFonts w:ascii="Times New Roman" w:hAnsi="Times New Roman"/>
        </w:rPr>
        <w:t xml:space="preserve">to all TSOs’ proposal </w:t>
      </w:r>
      <w:r w:rsidR="00FD7184" w:rsidRPr="009A4C44">
        <w:rPr>
          <w:rFonts w:ascii="Times New Roman" w:hAnsi="Times New Roman"/>
        </w:rPr>
        <w:t xml:space="preserve">for a methodology </w:t>
      </w:r>
      <w:r w:rsidR="00680AFD" w:rsidRPr="009A4C44">
        <w:rPr>
          <w:rFonts w:ascii="Times New Roman" w:hAnsi="Times New Roman"/>
        </w:rPr>
        <w:t xml:space="preserve">for the TSO-TSO settlement rules for the intended exchange of energy in accordance with </w:t>
      </w:r>
      <w:r w:rsidR="00680AFD" w:rsidRPr="009A4C44">
        <w:rPr>
          <w:rFonts w:ascii="Times New Roman" w:hAnsi="Times New Roman"/>
          <w:cs/>
        </w:rPr>
        <w:t>‎</w:t>
      </w:r>
      <w:r w:rsidR="00680AFD" w:rsidRPr="009A4C44">
        <w:rPr>
          <w:rFonts w:ascii="Times New Roman" w:hAnsi="Times New Roman"/>
        </w:rPr>
        <w:t>Article 50(1)</w:t>
      </w:r>
      <w:r w:rsidR="00A15D14" w:rsidRPr="009A4C44">
        <w:rPr>
          <w:rFonts w:ascii="Times New Roman" w:hAnsi="Times New Roman"/>
          <w:szCs w:val="40"/>
          <w:lang w:val="en-US"/>
        </w:rPr>
        <w:t xml:space="preserve"> </w:t>
      </w:r>
      <w:r w:rsidR="0084214B" w:rsidRPr="009A4C44">
        <w:rPr>
          <w:rFonts w:ascii="Times New Roman" w:hAnsi="Times New Roman"/>
          <w:szCs w:val="40"/>
          <w:lang w:val="en-US"/>
        </w:rPr>
        <w:t>of Commission Regulation (EU) 2017/2195 of 23 November 2017 establishing a guideline on electricity balancing</w:t>
      </w:r>
    </w:p>
    <w:p w:rsidR="00D36E1B" w:rsidRPr="009A4C44" w:rsidRDefault="00D36E1B" w:rsidP="000745E8">
      <w:pPr>
        <w:pStyle w:val="headlineheader"/>
        <w:pBdr>
          <w:bottom w:val="single" w:sz="4" w:space="1" w:color="auto"/>
        </w:pBdr>
        <w:spacing w:after="120" w:line="240" w:lineRule="auto"/>
        <w:rPr>
          <w:rFonts w:ascii="Times New Roman" w:hAnsi="Times New Roman"/>
        </w:rPr>
      </w:pPr>
    </w:p>
    <w:p w:rsidR="00D36E1B" w:rsidRPr="009A4C44" w:rsidRDefault="007D5CF3" w:rsidP="0014578D">
      <w:pPr>
        <w:pStyle w:val="headlineheader"/>
        <w:spacing w:after="120" w:line="240" w:lineRule="auto"/>
        <w:jc w:val="center"/>
        <w:rPr>
          <w:rFonts w:ascii="Times New Roman" w:hAnsi="Times New Roman"/>
          <w:color w:val="auto"/>
          <w:sz w:val="30"/>
          <w:szCs w:val="30"/>
        </w:rPr>
      </w:pPr>
      <w:r>
        <w:rPr>
          <w:rFonts w:ascii="Times New Roman" w:hAnsi="Times New Roman"/>
          <w:color w:val="auto"/>
          <w:sz w:val="30"/>
          <w:szCs w:val="30"/>
        </w:rPr>
        <w:t>18</w:t>
      </w:r>
      <w:r w:rsidR="0008503D">
        <w:rPr>
          <w:rFonts w:ascii="Times New Roman" w:hAnsi="Times New Roman"/>
          <w:color w:val="auto"/>
          <w:sz w:val="30"/>
          <w:szCs w:val="30"/>
        </w:rPr>
        <w:t xml:space="preserve"> December </w:t>
      </w:r>
      <w:r>
        <w:rPr>
          <w:rFonts w:ascii="Times New Roman" w:hAnsi="Times New Roman"/>
          <w:color w:val="auto"/>
          <w:sz w:val="30"/>
          <w:szCs w:val="30"/>
        </w:rPr>
        <w:t>2018</w:t>
      </w:r>
    </w:p>
    <w:p w:rsidR="00D36E1B" w:rsidRPr="009A4C44" w:rsidRDefault="00D36E1B" w:rsidP="000745E8">
      <w:pPr>
        <w:pStyle w:val="headlineheader"/>
        <w:spacing w:after="120" w:line="240" w:lineRule="auto"/>
        <w:rPr>
          <w:rFonts w:ascii="Times New Roman" w:hAnsi="Times New Roman"/>
        </w:rPr>
      </w:pPr>
    </w:p>
    <w:p w:rsidR="00D36E1B" w:rsidRPr="009A4C44" w:rsidRDefault="00D36E1B" w:rsidP="000745E8">
      <w:pPr>
        <w:pStyle w:val="headlineheader"/>
        <w:spacing w:after="120" w:line="240" w:lineRule="auto"/>
        <w:rPr>
          <w:rFonts w:ascii="Times New Roman" w:hAnsi="Times New Roman"/>
        </w:rPr>
      </w:pPr>
    </w:p>
    <w:p w:rsidR="00312108" w:rsidRPr="009A4C44" w:rsidRDefault="00D36E1B" w:rsidP="00530F80">
      <w:pPr>
        <w:pStyle w:val="TOC1"/>
        <w:rPr>
          <w:color w:val="23236E"/>
          <w:sz w:val="40"/>
        </w:rPr>
      </w:pPr>
      <w:r w:rsidRPr="009A4C44">
        <w:br w:type="page"/>
      </w:r>
    </w:p>
    <w:p w:rsidR="003703FE" w:rsidRPr="009A4C44" w:rsidRDefault="00867746" w:rsidP="003703FE">
      <w:pPr>
        <w:pStyle w:val="textregular"/>
        <w:spacing w:before="400"/>
        <w:rPr>
          <w:b/>
          <w:color w:val="23236E"/>
          <w:sz w:val="28"/>
        </w:rPr>
      </w:pPr>
      <w:r w:rsidRPr="009A4C44">
        <w:rPr>
          <w:b/>
          <w:color w:val="23236E"/>
          <w:sz w:val="28"/>
        </w:rPr>
        <w:lastRenderedPageBreak/>
        <w:t xml:space="preserve">Table </w:t>
      </w:r>
      <w:r w:rsidR="00F91EB8" w:rsidRPr="009A4C44">
        <w:rPr>
          <w:b/>
          <w:color w:val="23236E"/>
          <w:sz w:val="28"/>
        </w:rPr>
        <w:t>o</w:t>
      </w:r>
      <w:r w:rsidRPr="009A4C44">
        <w:rPr>
          <w:b/>
          <w:color w:val="23236E"/>
          <w:sz w:val="28"/>
        </w:rPr>
        <w:t>f Contents</w:t>
      </w:r>
    </w:p>
    <w:p w:rsidR="002D7EAB" w:rsidRPr="009A4C44" w:rsidRDefault="002D7EAB" w:rsidP="002D7EAB">
      <w:pPr>
        <w:rPr>
          <w:rFonts w:ascii="Times New Roman" w:hAnsi="Times New Roman"/>
        </w:rPr>
      </w:pPr>
    </w:p>
    <w:p w:rsidR="009C7586" w:rsidRDefault="003703FE">
      <w:pPr>
        <w:pStyle w:val="TOC1"/>
        <w:rPr>
          <w:rFonts w:asciiTheme="minorHAnsi" w:eastAsiaTheme="minorEastAsia" w:hAnsiTheme="minorHAnsi" w:cstheme="minorBidi"/>
          <w:b w:val="0"/>
          <w:szCs w:val="22"/>
          <w:lang w:val="de-DE"/>
        </w:rPr>
      </w:pPr>
      <w:r w:rsidRPr="00437863">
        <w:fldChar w:fldCharType="begin"/>
      </w:r>
      <w:r w:rsidRPr="009A4C44">
        <w:instrText xml:space="preserve"> TOC \o "1-3" \h \z \u </w:instrText>
      </w:r>
      <w:r w:rsidRPr="00437863">
        <w:fldChar w:fldCharType="separate"/>
      </w:r>
      <w:hyperlink w:anchor="_Toc531799931" w:history="1">
        <w:r w:rsidR="009C7586" w:rsidRPr="00032AE2">
          <w:rPr>
            <w:rStyle w:val="Hyperlink"/>
          </w:rPr>
          <w:t>List of Figures</w:t>
        </w:r>
        <w:r w:rsidR="009C7586">
          <w:rPr>
            <w:webHidden/>
          </w:rPr>
          <w:tab/>
        </w:r>
        <w:r w:rsidR="009C7586">
          <w:rPr>
            <w:webHidden/>
          </w:rPr>
          <w:fldChar w:fldCharType="begin"/>
        </w:r>
        <w:r w:rsidR="009C7586">
          <w:rPr>
            <w:webHidden/>
          </w:rPr>
          <w:instrText xml:space="preserve"> PAGEREF _Toc531799931 \h </w:instrText>
        </w:r>
        <w:r w:rsidR="009C7586">
          <w:rPr>
            <w:webHidden/>
          </w:rPr>
        </w:r>
        <w:r w:rsidR="009C7586">
          <w:rPr>
            <w:webHidden/>
          </w:rPr>
          <w:fldChar w:fldCharType="separate"/>
        </w:r>
        <w:r w:rsidR="00DF776B">
          <w:rPr>
            <w:webHidden/>
          </w:rPr>
          <w:t>3</w:t>
        </w:r>
        <w:r w:rsidR="009C7586">
          <w:rPr>
            <w:webHidden/>
          </w:rPr>
          <w:fldChar w:fldCharType="end"/>
        </w:r>
      </w:hyperlink>
    </w:p>
    <w:p w:rsidR="009C7586" w:rsidRDefault="002D564B">
      <w:pPr>
        <w:pStyle w:val="TOC1"/>
        <w:rPr>
          <w:rFonts w:asciiTheme="minorHAnsi" w:eastAsiaTheme="minorEastAsia" w:hAnsiTheme="minorHAnsi" w:cstheme="minorBidi"/>
          <w:b w:val="0"/>
          <w:szCs w:val="22"/>
          <w:lang w:val="de-DE"/>
        </w:rPr>
      </w:pPr>
      <w:hyperlink w:anchor="_Toc531799932" w:history="1">
        <w:r w:rsidR="009C7586" w:rsidRPr="00032AE2">
          <w:rPr>
            <w:rStyle w:val="Hyperlink"/>
          </w:rPr>
          <w:t>List of Tables</w:t>
        </w:r>
        <w:r w:rsidR="009C7586">
          <w:rPr>
            <w:webHidden/>
          </w:rPr>
          <w:tab/>
        </w:r>
        <w:r w:rsidR="009C7586">
          <w:rPr>
            <w:webHidden/>
          </w:rPr>
          <w:fldChar w:fldCharType="begin"/>
        </w:r>
        <w:r w:rsidR="009C7586">
          <w:rPr>
            <w:webHidden/>
          </w:rPr>
          <w:instrText xml:space="preserve"> PAGEREF _Toc531799932 \h </w:instrText>
        </w:r>
        <w:r w:rsidR="009C7586">
          <w:rPr>
            <w:webHidden/>
          </w:rPr>
        </w:r>
        <w:r w:rsidR="009C7586">
          <w:rPr>
            <w:webHidden/>
          </w:rPr>
          <w:fldChar w:fldCharType="separate"/>
        </w:r>
        <w:r w:rsidR="00DF776B">
          <w:rPr>
            <w:webHidden/>
          </w:rPr>
          <w:t>3</w:t>
        </w:r>
        <w:r w:rsidR="009C7586">
          <w:rPr>
            <w:webHidden/>
          </w:rPr>
          <w:fldChar w:fldCharType="end"/>
        </w:r>
      </w:hyperlink>
    </w:p>
    <w:p w:rsidR="009C7586" w:rsidRDefault="002D564B">
      <w:pPr>
        <w:pStyle w:val="TOC1"/>
        <w:rPr>
          <w:rFonts w:asciiTheme="minorHAnsi" w:eastAsiaTheme="minorEastAsia" w:hAnsiTheme="minorHAnsi" w:cstheme="minorBidi"/>
          <w:b w:val="0"/>
          <w:szCs w:val="22"/>
          <w:lang w:val="de-DE"/>
        </w:rPr>
      </w:pPr>
      <w:hyperlink w:anchor="_Toc531799933" w:history="1">
        <w:r w:rsidR="009C7586" w:rsidRPr="00032AE2">
          <w:rPr>
            <w:rStyle w:val="Hyperlink"/>
          </w:rPr>
          <w:t>Definitions and Abbreviations</w:t>
        </w:r>
        <w:r w:rsidR="009C7586">
          <w:rPr>
            <w:webHidden/>
          </w:rPr>
          <w:tab/>
        </w:r>
        <w:r w:rsidR="009C7586">
          <w:rPr>
            <w:webHidden/>
          </w:rPr>
          <w:fldChar w:fldCharType="begin"/>
        </w:r>
        <w:r w:rsidR="009C7586">
          <w:rPr>
            <w:webHidden/>
          </w:rPr>
          <w:instrText xml:space="preserve"> PAGEREF _Toc531799933 \h </w:instrText>
        </w:r>
        <w:r w:rsidR="009C7586">
          <w:rPr>
            <w:webHidden/>
          </w:rPr>
        </w:r>
        <w:r w:rsidR="009C7586">
          <w:rPr>
            <w:webHidden/>
          </w:rPr>
          <w:fldChar w:fldCharType="separate"/>
        </w:r>
        <w:r w:rsidR="00DF776B">
          <w:rPr>
            <w:webHidden/>
          </w:rPr>
          <w:t>4</w:t>
        </w:r>
        <w:r w:rsidR="009C7586">
          <w:rPr>
            <w:webHidden/>
          </w:rPr>
          <w:fldChar w:fldCharType="end"/>
        </w:r>
      </w:hyperlink>
    </w:p>
    <w:p w:rsidR="009C7586" w:rsidRDefault="002D564B">
      <w:pPr>
        <w:pStyle w:val="TOC1"/>
        <w:rPr>
          <w:rFonts w:asciiTheme="minorHAnsi" w:eastAsiaTheme="minorEastAsia" w:hAnsiTheme="minorHAnsi" w:cstheme="minorBidi"/>
          <w:b w:val="0"/>
          <w:szCs w:val="22"/>
          <w:lang w:val="de-DE"/>
        </w:rPr>
      </w:pPr>
      <w:hyperlink w:anchor="_Toc531799934" w:history="1">
        <w:r w:rsidR="009C7586" w:rsidRPr="00032AE2">
          <w:rPr>
            <w:rStyle w:val="Hyperlink"/>
          </w:rPr>
          <w:t>1</w:t>
        </w:r>
        <w:r w:rsidR="009C7586">
          <w:rPr>
            <w:rFonts w:asciiTheme="minorHAnsi" w:eastAsiaTheme="minorEastAsia" w:hAnsiTheme="minorHAnsi" w:cstheme="minorBidi"/>
            <w:b w:val="0"/>
            <w:szCs w:val="22"/>
            <w:lang w:val="de-DE"/>
          </w:rPr>
          <w:tab/>
        </w:r>
        <w:r w:rsidR="009C7586" w:rsidRPr="00032AE2">
          <w:rPr>
            <w:rStyle w:val="Hyperlink"/>
          </w:rPr>
          <w:t>Introduction</w:t>
        </w:r>
        <w:r w:rsidR="009C7586">
          <w:rPr>
            <w:webHidden/>
          </w:rPr>
          <w:tab/>
        </w:r>
        <w:r w:rsidR="009C7586">
          <w:rPr>
            <w:webHidden/>
          </w:rPr>
          <w:fldChar w:fldCharType="begin"/>
        </w:r>
        <w:r w:rsidR="009C7586">
          <w:rPr>
            <w:webHidden/>
          </w:rPr>
          <w:instrText xml:space="preserve"> PAGEREF _Toc531799934 \h </w:instrText>
        </w:r>
        <w:r w:rsidR="009C7586">
          <w:rPr>
            <w:webHidden/>
          </w:rPr>
        </w:r>
        <w:r w:rsidR="009C7586">
          <w:rPr>
            <w:webHidden/>
          </w:rPr>
          <w:fldChar w:fldCharType="separate"/>
        </w:r>
        <w:r w:rsidR="00DF776B">
          <w:rPr>
            <w:webHidden/>
          </w:rPr>
          <w:t>7</w:t>
        </w:r>
        <w:r w:rsidR="009C7586">
          <w:rPr>
            <w:webHidden/>
          </w:rPr>
          <w:fldChar w:fldCharType="end"/>
        </w:r>
      </w:hyperlink>
    </w:p>
    <w:p w:rsidR="009C7586" w:rsidRDefault="002D564B">
      <w:pPr>
        <w:pStyle w:val="TOC1"/>
        <w:rPr>
          <w:rFonts w:asciiTheme="minorHAnsi" w:eastAsiaTheme="minorEastAsia" w:hAnsiTheme="minorHAnsi" w:cstheme="minorBidi"/>
          <w:b w:val="0"/>
          <w:szCs w:val="22"/>
          <w:lang w:val="de-DE"/>
        </w:rPr>
      </w:pPr>
      <w:hyperlink w:anchor="_Toc531799935" w:history="1">
        <w:r w:rsidR="009C7586" w:rsidRPr="00032AE2">
          <w:rPr>
            <w:rStyle w:val="Hyperlink"/>
          </w:rPr>
          <w:t>2</w:t>
        </w:r>
        <w:r w:rsidR="009C7586">
          <w:rPr>
            <w:rFonts w:asciiTheme="minorHAnsi" w:eastAsiaTheme="minorEastAsia" w:hAnsiTheme="minorHAnsi" w:cstheme="minorBidi"/>
            <w:b w:val="0"/>
            <w:szCs w:val="22"/>
            <w:lang w:val="de-DE"/>
          </w:rPr>
          <w:tab/>
        </w:r>
        <w:r w:rsidR="009C7586" w:rsidRPr="00032AE2">
          <w:rPr>
            <w:rStyle w:val="Hyperlink"/>
          </w:rPr>
          <w:t>EBGL Requirements for TSO-TSO Settlement rules</w:t>
        </w:r>
        <w:r w:rsidR="009C7586">
          <w:rPr>
            <w:webHidden/>
          </w:rPr>
          <w:tab/>
        </w:r>
        <w:r w:rsidR="009C7586">
          <w:rPr>
            <w:webHidden/>
          </w:rPr>
          <w:fldChar w:fldCharType="begin"/>
        </w:r>
        <w:r w:rsidR="009C7586">
          <w:rPr>
            <w:webHidden/>
          </w:rPr>
          <w:instrText xml:space="preserve"> PAGEREF _Toc531799935 \h </w:instrText>
        </w:r>
        <w:r w:rsidR="009C7586">
          <w:rPr>
            <w:webHidden/>
          </w:rPr>
        </w:r>
        <w:r w:rsidR="009C7586">
          <w:rPr>
            <w:webHidden/>
          </w:rPr>
          <w:fldChar w:fldCharType="separate"/>
        </w:r>
        <w:r w:rsidR="00DF776B">
          <w:rPr>
            <w:webHidden/>
          </w:rPr>
          <w:t>8</w:t>
        </w:r>
        <w:r w:rsidR="009C7586">
          <w:rPr>
            <w:webHidden/>
          </w:rPr>
          <w:fldChar w:fldCharType="end"/>
        </w:r>
      </w:hyperlink>
    </w:p>
    <w:p w:rsidR="009C7586" w:rsidRDefault="002D564B">
      <w:pPr>
        <w:pStyle w:val="TOC1"/>
        <w:rPr>
          <w:rFonts w:asciiTheme="minorHAnsi" w:eastAsiaTheme="minorEastAsia" w:hAnsiTheme="minorHAnsi" w:cstheme="minorBidi"/>
          <w:b w:val="0"/>
          <w:szCs w:val="22"/>
          <w:lang w:val="de-DE"/>
        </w:rPr>
      </w:pPr>
      <w:hyperlink w:anchor="_Toc531799936" w:history="1">
        <w:r w:rsidR="009C7586" w:rsidRPr="00032AE2">
          <w:rPr>
            <w:rStyle w:val="Hyperlink"/>
          </w:rPr>
          <w:t>3</w:t>
        </w:r>
        <w:r w:rsidR="009C7586">
          <w:rPr>
            <w:rFonts w:asciiTheme="minorHAnsi" w:eastAsiaTheme="minorEastAsia" w:hAnsiTheme="minorHAnsi" w:cstheme="minorBidi"/>
            <w:b w:val="0"/>
            <w:szCs w:val="22"/>
            <w:lang w:val="de-DE"/>
          </w:rPr>
          <w:tab/>
        </w:r>
        <w:r w:rsidR="009C7586" w:rsidRPr="00032AE2">
          <w:rPr>
            <w:rStyle w:val="Hyperlink"/>
          </w:rPr>
          <w:t>General Principles</w:t>
        </w:r>
        <w:r w:rsidR="009C7586">
          <w:rPr>
            <w:webHidden/>
          </w:rPr>
          <w:tab/>
        </w:r>
        <w:r w:rsidR="009C7586">
          <w:rPr>
            <w:webHidden/>
          </w:rPr>
          <w:fldChar w:fldCharType="begin"/>
        </w:r>
        <w:r w:rsidR="009C7586">
          <w:rPr>
            <w:webHidden/>
          </w:rPr>
          <w:instrText xml:space="preserve"> PAGEREF _Toc531799936 \h </w:instrText>
        </w:r>
        <w:r w:rsidR="009C7586">
          <w:rPr>
            <w:webHidden/>
          </w:rPr>
        </w:r>
        <w:r w:rsidR="009C7586">
          <w:rPr>
            <w:webHidden/>
          </w:rPr>
          <w:fldChar w:fldCharType="separate"/>
        </w:r>
        <w:r w:rsidR="00DF776B">
          <w:rPr>
            <w:webHidden/>
          </w:rPr>
          <w:t>9</w:t>
        </w:r>
        <w:r w:rsidR="009C7586">
          <w:rPr>
            <w:webHidden/>
          </w:rPr>
          <w:fldChar w:fldCharType="end"/>
        </w:r>
      </w:hyperlink>
    </w:p>
    <w:p w:rsidR="009C7586" w:rsidRDefault="002D564B">
      <w:pPr>
        <w:pStyle w:val="TOC1"/>
        <w:rPr>
          <w:rFonts w:asciiTheme="minorHAnsi" w:eastAsiaTheme="minorEastAsia" w:hAnsiTheme="minorHAnsi" w:cstheme="minorBidi"/>
          <w:b w:val="0"/>
          <w:szCs w:val="22"/>
          <w:lang w:val="de-DE"/>
        </w:rPr>
      </w:pPr>
      <w:hyperlink w:anchor="_Toc531799937" w:history="1">
        <w:r w:rsidR="009C7586" w:rsidRPr="00032AE2">
          <w:rPr>
            <w:rStyle w:val="Hyperlink"/>
          </w:rPr>
          <w:t>4</w:t>
        </w:r>
        <w:r w:rsidR="009C7586">
          <w:rPr>
            <w:rFonts w:asciiTheme="minorHAnsi" w:eastAsiaTheme="minorEastAsia" w:hAnsiTheme="minorHAnsi" w:cstheme="minorBidi"/>
            <w:b w:val="0"/>
            <w:szCs w:val="22"/>
            <w:lang w:val="de-DE"/>
          </w:rPr>
          <w:tab/>
        </w:r>
        <w:r w:rsidR="009C7586" w:rsidRPr="00032AE2">
          <w:rPr>
            <w:rStyle w:val="Hyperlink"/>
          </w:rPr>
          <w:t>Settlement Methodology for RR and mFRR with Scheduled Activation</w:t>
        </w:r>
        <w:r w:rsidR="009C7586">
          <w:rPr>
            <w:webHidden/>
          </w:rPr>
          <w:tab/>
        </w:r>
        <w:r w:rsidR="009C7586">
          <w:rPr>
            <w:webHidden/>
          </w:rPr>
          <w:fldChar w:fldCharType="begin"/>
        </w:r>
        <w:r w:rsidR="009C7586">
          <w:rPr>
            <w:webHidden/>
          </w:rPr>
          <w:instrText xml:space="preserve"> PAGEREF _Toc531799937 \h </w:instrText>
        </w:r>
        <w:r w:rsidR="009C7586">
          <w:rPr>
            <w:webHidden/>
          </w:rPr>
        </w:r>
        <w:r w:rsidR="009C7586">
          <w:rPr>
            <w:webHidden/>
          </w:rPr>
          <w:fldChar w:fldCharType="separate"/>
        </w:r>
        <w:r w:rsidR="00DF776B">
          <w:rPr>
            <w:webHidden/>
          </w:rPr>
          <w:t>11</w:t>
        </w:r>
        <w:r w:rsidR="009C7586">
          <w:rPr>
            <w:webHidden/>
          </w:rPr>
          <w:fldChar w:fldCharType="end"/>
        </w:r>
      </w:hyperlink>
    </w:p>
    <w:p w:rsidR="009C7586" w:rsidRDefault="002D564B">
      <w:pPr>
        <w:pStyle w:val="TOC2"/>
        <w:rPr>
          <w:rFonts w:asciiTheme="minorHAnsi" w:eastAsiaTheme="minorEastAsia" w:hAnsiTheme="minorHAnsi" w:cstheme="minorBidi"/>
          <w:noProof/>
          <w:szCs w:val="22"/>
          <w:lang w:val="de-DE"/>
        </w:rPr>
      </w:pPr>
      <w:hyperlink w:anchor="_Toc531799938" w:history="1">
        <w:r w:rsidR="009C7586" w:rsidRPr="00032AE2">
          <w:rPr>
            <w:rStyle w:val="Hyperlink"/>
            <w:noProof/>
          </w:rPr>
          <w:t>4.1</w:t>
        </w:r>
        <w:r w:rsidR="009C7586">
          <w:rPr>
            <w:rFonts w:asciiTheme="minorHAnsi" w:eastAsiaTheme="minorEastAsia" w:hAnsiTheme="minorHAnsi" w:cstheme="minorBidi"/>
            <w:noProof/>
            <w:szCs w:val="22"/>
            <w:lang w:val="de-DE"/>
          </w:rPr>
          <w:tab/>
        </w:r>
        <w:r w:rsidR="009C7586" w:rsidRPr="00032AE2">
          <w:rPr>
            <w:rStyle w:val="Hyperlink"/>
            <w:noProof/>
          </w:rPr>
          <w:t>Volume and Price Determination</w:t>
        </w:r>
        <w:r w:rsidR="009C7586">
          <w:rPr>
            <w:noProof/>
            <w:webHidden/>
          </w:rPr>
          <w:tab/>
        </w:r>
        <w:r w:rsidR="009C7586">
          <w:rPr>
            <w:noProof/>
            <w:webHidden/>
          </w:rPr>
          <w:fldChar w:fldCharType="begin"/>
        </w:r>
        <w:r w:rsidR="009C7586">
          <w:rPr>
            <w:noProof/>
            <w:webHidden/>
          </w:rPr>
          <w:instrText xml:space="preserve"> PAGEREF _Toc531799938 \h </w:instrText>
        </w:r>
        <w:r w:rsidR="009C7586">
          <w:rPr>
            <w:noProof/>
            <w:webHidden/>
          </w:rPr>
        </w:r>
        <w:r w:rsidR="009C7586">
          <w:rPr>
            <w:noProof/>
            <w:webHidden/>
          </w:rPr>
          <w:fldChar w:fldCharType="separate"/>
        </w:r>
        <w:r w:rsidR="00DF776B">
          <w:rPr>
            <w:noProof/>
            <w:webHidden/>
          </w:rPr>
          <w:t>11</w:t>
        </w:r>
        <w:r w:rsidR="009C7586">
          <w:rPr>
            <w:noProof/>
            <w:webHidden/>
          </w:rPr>
          <w:fldChar w:fldCharType="end"/>
        </w:r>
      </w:hyperlink>
    </w:p>
    <w:p w:rsidR="009C7586" w:rsidRDefault="002D564B">
      <w:pPr>
        <w:pStyle w:val="TOC2"/>
        <w:rPr>
          <w:rFonts w:asciiTheme="minorHAnsi" w:eastAsiaTheme="minorEastAsia" w:hAnsiTheme="minorHAnsi" w:cstheme="minorBidi"/>
          <w:noProof/>
          <w:szCs w:val="22"/>
          <w:lang w:val="de-DE"/>
        </w:rPr>
      </w:pPr>
      <w:hyperlink w:anchor="_Toc531799939" w:history="1">
        <w:r w:rsidR="009C7586" w:rsidRPr="00032AE2">
          <w:rPr>
            <w:rStyle w:val="Hyperlink"/>
            <w:noProof/>
          </w:rPr>
          <w:t>4.2</w:t>
        </w:r>
        <w:r w:rsidR="009C7586">
          <w:rPr>
            <w:rFonts w:asciiTheme="minorHAnsi" w:eastAsiaTheme="minorEastAsia" w:hAnsiTheme="minorHAnsi" w:cstheme="minorBidi"/>
            <w:noProof/>
            <w:szCs w:val="22"/>
            <w:lang w:val="de-DE"/>
          </w:rPr>
          <w:tab/>
        </w:r>
        <w:r w:rsidR="009C7586" w:rsidRPr="00032AE2">
          <w:rPr>
            <w:rStyle w:val="Hyperlink"/>
            <w:noProof/>
          </w:rPr>
          <w:t>Activations for system constraints purposes</w:t>
        </w:r>
        <w:r w:rsidR="009C7586">
          <w:rPr>
            <w:noProof/>
            <w:webHidden/>
          </w:rPr>
          <w:tab/>
        </w:r>
        <w:r w:rsidR="009C7586">
          <w:rPr>
            <w:noProof/>
            <w:webHidden/>
          </w:rPr>
          <w:fldChar w:fldCharType="begin"/>
        </w:r>
        <w:r w:rsidR="009C7586">
          <w:rPr>
            <w:noProof/>
            <w:webHidden/>
          </w:rPr>
          <w:instrText xml:space="preserve"> PAGEREF _Toc531799939 \h </w:instrText>
        </w:r>
        <w:r w:rsidR="009C7586">
          <w:rPr>
            <w:noProof/>
            <w:webHidden/>
          </w:rPr>
        </w:r>
        <w:r w:rsidR="009C7586">
          <w:rPr>
            <w:noProof/>
            <w:webHidden/>
          </w:rPr>
          <w:fldChar w:fldCharType="separate"/>
        </w:r>
        <w:r w:rsidR="00DF776B">
          <w:rPr>
            <w:noProof/>
            <w:webHidden/>
          </w:rPr>
          <w:t>11</w:t>
        </w:r>
        <w:r w:rsidR="009C7586">
          <w:rPr>
            <w:noProof/>
            <w:webHidden/>
          </w:rPr>
          <w:fldChar w:fldCharType="end"/>
        </w:r>
      </w:hyperlink>
    </w:p>
    <w:p w:rsidR="009C7586" w:rsidRDefault="002D564B">
      <w:pPr>
        <w:pStyle w:val="TOC1"/>
        <w:rPr>
          <w:rFonts w:asciiTheme="minorHAnsi" w:eastAsiaTheme="minorEastAsia" w:hAnsiTheme="minorHAnsi" w:cstheme="minorBidi"/>
          <w:b w:val="0"/>
          <w:szCs w:val="22"/>
          <w:lang w:val="de-DE"/>
        </w:rPr>
      </w:pPr>
      <w:hyperlink w:anchor="_Toc531799940" w:history="1">
        <w:r w:rsidR="009C7586" w:rsidRPr="00032AE2">
          <w:rPr>
            <w:rStyle w:val="Hyperlink"/>
          </w:rPr>
          <w:t>5</w:t>
        </w:r>
        <w:r w:rsidR="009C7586">
          <w:rPr>
            <w:rFonts w:asciiTheme="minorHAnsi" w:eastAsiaTheme="minorEastAsia" w:hAnsiTheme="minorHAnsi" w:cstheme="minorBidi"/>
            <w:b w:val="0"/>
            <w:szCs w:val="22"/>
            <w:lang w:val="de-DE"/>
          </w:rPr>
          <w:tab/>
        </w:r>
        <w:r w:rsidR="009C7586" w:rsidRPr="00032AE2">
          <w:rPr>
            <w:rStyle w:val="Hyperlink"/>
          </w:rPr>
          <w:t>Settlement Methodology for mFRR with Direct Activation</w:t>
        </w:r>
        <w:r w:rsidR="009C7586">
          <w:rPr>
            <w:webHidden/>
          </w:rPr>
          <w:tab/>
        </w:r>
        <w:r w:rsidR="009C7586">
          <w:rPr>
            <w:webHidden/>
          </w:rPr>
          <w:fldChar w:fldCharType="begin"/>
        </w:r>
        <w:r w:rsidR="009C7586">
          <w:rPr>
            <w:webHidden/>
          </w:rPr>
          <w:instrText xml:space="preserve"> PAGEREF _Toc531799940 \h </w:instrText>
        </w:r>
        <w:r w:rsidR="009C7586">
          <w:rPr>
            <w:webHidden/>
          </w:rPr>
        </w:r>
        <w:r w:rsidR="009C7586">
          <w:rPr>
            <w:webHidden/>
          </w:rPr>
          <w:fldChar w:fldCharType="separate"/>
        </w:r>
        <w:r w:rsidR="00DF776B">
          <w:rPr>
            <w:webHidden/>
          </w:rPr>
          <w:t>17</w:t>
        </w:r>
        <w:r w:rsidR="009C7586">
          <w:rPr>
            <w:webHidden/>
          </w:rPr>
          <w:fldChar w:fldCharType="end"/>
        </w:r>
      </w:hyperlink>
    </w:p>
    <w:p w:rsidR="009C7586" w:rsidRDefault="002D564B">
      <w:pPr>
        <w:pStyle w:val="TOC1"/>
        <w:rPr>
          <w:rFonts w:asciiTheme="minorHAnsi" w:eastAsiaTheme="minorEastAsia" w:hAnsiTheme="minorHAnsi" w:cstheme="minorBidi"/>
          <w:b w:val="0"/>
          <w:szCs w:val="22"/>
          <w:lang w:val="de-DE"/>
        </w:rPr>
      </w:pPr>
      <w:hyperlink w:anchor="_Toc531799941" w:history="1">
        <w:r w:rsidR="009C7586" w:rsidRPr="00032AE2">
          <w:rPr>
            <w:rStyle w:val="Hyperlink"/>
          </w:rPr>
          <w:t>6</w:t>
        </w:r>
        <w:r w:rsidR="009C7586">
          <w:rPr>
            <w:rFonts w:asciiTheme="minorHAnsi" w:eastAsiaTheme="minorEastAsia" w:hAnsiTheme="minorHAnsi" w:cstheme="minorBidi"/>
            <w:b w:val="0"/>
            <w:szCs w:val="22"/>
            <w:lang w:val="de-DE"/>
          </w:rPr>
          <w:tab/>
        </w:r>
        <w:r w:rsidR="009C7586" w:rsidRPr="00032AE2">
          <w:rPr>
            <w:rStyle w:val="Hyperlink"/>
          </w:rPr>
          <w:t>Settlement Methodology for aFRR</w:t>
        </w:r>
        <w:r w:rsidR="009C7586">
          <w:rPr>
            <w:webHidden/>
          </w:rPr>
          <w:tab/>
        </w:r>
        <w:r w:rsidR="009C7586">
          <w:rPr>
            <w:webHidden/>
          </w:rPr>
          <w:fldChar w:fldCharType="begin"/>
        </w:r>
        <w:r w:rsidR="009C7586">
          <w:rPr>
            <w:webHidden/>
          </w:rPr>
          <w:instrText xml:space="preserve"> PAGEREF _Toc531799941 \h </w:instrText>
        </w:r>
        <w:r w:rsidR="009C7586">
          <w:rPr>
            <w:webHidden/>
          </w:rPr>
        </w:r>
        <w:r w:rsidR="009C7586">
          <w:rPr>
            <w:webHidden/>
          </w:rPr>
          <w:fldChar w:fldCharType="separate"/>
        </w:r>
        <w:r w:rsidR="00DF776B">
          <w:rPr>
            <w:webHidden/>
          </w:rPr>
          <w:t>18</w:t>
        </w:r>
        <w:r w:rsidR="009C7586">
          <w:rPr>
            <w:webHidden/>
          </w:rPr>
          <w:fldChar w:fldCharType="end"/>
        </w:r>
      </w:hyperlink>
    </w:p>
    <w:p w:rsidR="009C7586" w:rsidRDefault="002D564B">
      <w:pPr>
        <w:pStyle w:val="TOC2"/>
        <w:rPr>
          <w:rFonts w:asciiTheme="minorHAnsi" w:eastAsiaTheme="minorEastAsia" w:hAnsiTheme="minorHAnsi" w:cstheme="minorBidi"/>
          <w:noProof/>
          <w:szCs w:val="22"/>
          <w:lang w:val="de-DE"/>
        </w:rPr>
      </w:pPr>
      <w:hyperlink w:anchor="_Toc531799942" w:history="1">
        <w:r w:rsidR="009C7586" w:rsidRPr="00032AE2">
          <w:rPr>
            <w:rStyle w:val="Hyperlink"/>
            <w:noProof/>
          </w:rPr>
          <w:t>6.1</w:t>
        </w:r>
        <w:r w:rsidR="009C7586">
          <w:rPr>
            <w:rFonts w:asciiTheme="minorHAnsi" w:eastAsiaTheme="minorEastAsia" w:hAnsiTheme="minorHAnsi" w:cstheme="minorBidi"/>
            <w:noProof/>
            <w:szCs w:val="22"/>
            <w:lang w:val="de-DE"/>
          </w:rPr>
          <w:tab/>
        </w:r>
        <w:r w:rsidR="009C7586" w:rsidRPr="00032AE2">
          <w:rPr>
            <w:rStyle w:val="Hyperlink"/>
            <w:noProof/>
          </w:rPr>
          <w:t>Volume and Price Determination</w:t>
        </w:r>
        <w:r w:rsidR="009C7586">
          <w:rPr>
            <w:noProof/>
            <w:webHidden/>
          </w:rPr>
          <w:tab/>
        </w:r>
        <w:r w:rsidR="009C7586">
          <w:rPr>
            <w:noProof/>
            <w:webHidden/>
          </w:rPr>
          <w:fldChar w:fldCharType="begin"/>
        </w:r>
        <w:r w:rsidR="009C7586">
          <w:rPr>
            <w:noProof/>
            <w:webHidden/>
          </w:rPr>
          <w:instrText xml:space="preserve"> PAGEREF _Toc531799942 \h </w:instrText>
        </w:r>
        <w:r w:rsidR="009C7586">
          <w:rPr>
            <w:noProof/>
            <w:webHidden/>
          </w:rPr>
        </w:r>
        <w:r w:rsidR="009C7586">
          <w:rPr>
            <w:noProof/>
            <w:webHidden/>
          </w:rPr>
          <w:fldChar w:fldCharType="separate"/>
        </w:r>
        <w:r w:rsidR="00DF776B">
          <w:rPr>
            <w:noProof/>
            <w:webHidden/>
          </w:rPr>
          <w:t>18</w:t>
        </w:r>
        <w:r w:rsidR="009C7586">
          <w:rPr>
            <w:noProof/>
            <w:webHidden/>
          </w:rPr>
          <w:fldChar w:fldCharType="end"/>
        </w:r>
      </w:hyperlink>
    </w:p>
    <w:p w:rsidR="009C7586" w:rsidRDefault="002D564B">
      <w:pPr>
        <w:pStyle w:val="TOC2"/>
        <w:rPr>
          <w:rFonts w:asciiTheme="minorHAnsi" w:eastAsiaTheme="minorEastAsia" w:hAnsiTheme="minorHAnsi" w:cstheme="minorBidi"/>
          <w:noProof/>
          <w:szCs w:val="22"/>
          <w:lang w:val="de-DE"/>
        </w:rPr>
      </w:pPr>
      <w:hyperlink w:anchor="_Toc531799943" w:history="1">
        <w:r w:rsidR="009C7586" w:rsidRPr="00032AE2">
          <w:rPr>
            <w:rStyle w:val="Hyperlink"/>
            <w:noProof/>
          </w:rPr>
          <w:t>6.2</w:t>
        </w:r>
        <w:r w:rsidR="009C7586">
          <w:rPr>
            <w:rFonts w:asciiTheme="minorHAnsi" w:eastAsiaTheme="minorEastAsia" w:hAnsiTheme="minorHAnsi" w:cstheme="minorBidi"/>
            <w:noProof/>
            <w:szCs w:val="22"/>
            <w:lang w:val="de-DE"/>
          </w:rPr>
          <w:tab/>
        </w:r>
        <w:r w:rsidR="009C7586" w:rsidRPr="00032AE2">
          <w:rPr>
            <w:rStyle w:val="Hyperlink"/>
            <w:noProof/>
          </w:rPr>
          <w:t>Settlement of netted volumes of aFRR demand</w:t>
        </w:r>
        <w:r w:rsidR="009C7586">
          <w:rPr>
            <w:noProof/>
            <w:webHidden/>
          </w:rPr>
          <w:tab/>
        </w:r>
        <w:r w:rsidR="009C7586">
          <w:rPr>
            <w:noProof/>
            <w:webHidden/>
          </w:rPr>
          <w:fldChar w:fldCharType="begin"/>
        </w:r>
        <w:r w:rsidR="009C7586">
          <w:rPr>
            <w:noProof/>
            <w:webHidden/>
          </w:rPr>
          <w:instrText xml:space="preserve"> PAGEREF _Toc531799943 \h </w:instrText>
        </w:r>
        <w:r w:rsidR="009C7586">
          <w:rPr>
            <w:noProof/>
            <w:webHidden/>
          </w:rPr>
        </w:r>
        <w:r w:rsidR="009C7586">
          <w:rPr>
            <w:noProof/>
            <w:webHidden/>
          </w:rPr>
          <w:fldChar w:fldCharType="separate"/>
        </w:r>
        <w:r w:rsidR="00DF776B">
          <w:rPr>
            <w:noProof/>
            <w:webHidden/>
          </w:rPr>
          <w:t>20</w:t>
        </w:r>
        <w:r w:rsidR="009C7586">
          <w:rPr>
            <w:noProof/>
            <w:webHidden/>
          </w:rPr>
          <w:fldChar w:fldCharType="end"/>
        </w:r>
      </w:hyperlink>
    </w:p>
    <w:p w:rsidR="009C7586" w:rsidRDefault="002D564B">
      <w:pPr>
        <w:pStyle w:val="TOC3"/>
        <w:tabs>
          <w:tab w:val="left" w:pos="1320"/>
          <w:tab w:val="right" w:leader="dot" w:pos="9514"/>
        </w:tabs>
        <w:rPr>
          <w:rFonts w:asciiTheme="minorHAnsi" w:eastAsiaTheme="minorEastAsia" w:hAnsiTheme="minorHAnsi" w:cstheme="minorBidi"/>
          <w:noProof/>
          <w:szCs w:val="22"/>
          <w:lang w:val="de-DE"/>
        </w:rPr>
      </w:pPr>
      <w:hyperlink w:anchor="_Toc531799944" w:history="1">
        <w:r w:rsidR="009C7586" w:rsidRPr="00032AE2">
          <w:rPr>
            <w:rStyle w:val="Hyperlink"/>
            <w:noProof/>
          </w:rPr>
          <w:t>6.2.1</w:t>
        </w:r>
        <w:r w:rsidR="009C7586">
          <w:rPr>
            <w:rFonts w:asciiTheme="minorHAnsi" w:eastAsiaTheme="minorEastAsia" w:hAnsiTheme="minorHAnsi" w:cstheme="minorBidi"/>
            <w:noProof/>
            <w:szCs w:val="22"/>
            <w:lang w:val="de-DE"/>
          </w:rPr>
          <w:tab/>
        </w:r>
        <w:r w:rsidR="009C7586" w:rsidRPr="00032AE2">
          <w:rPr>
            <w:rStyle w:val="Hyperlink"/>
            <w:noProof/>
          </w:rPr>
          <w:t>Definition of netted volumes of the aFRR demand</w:t>
        </w:r>
        <w:r w:rsidR="009C7586">
          <w:rPr>
            <w:noProof/>
            <w:webHidden/>
          </w:rPr>
          <w:tab/>
        </w:r>
        <w:r w:rsidR="009C7586">
          <w:rPr>
            <w:noProof/>
            <w:webHidden/>
          </w:rPr>
          <w:fldChar w:fldCharType="begin"/>
        </w:r>
        <w:r w:rsidR="009C7586">
          <w:rPr>
            <w:noProof/>
            <w:webHidden/>
          </w:rPr>
          <w:instrText xml:space="preserve"> PAGEREF _Toc531799944 \h </w:instrText>
        </w:r>
        <w:r w:rsidR="009C7586">
          <w:rPr>
            <w:noProof/>
            <w:webHidden/>
          </w:rPr>
        </w:r>
        <w:r w:rsidR="009C7586">
          <w:rPr>
            <w:noProof/>
            <w:webHidden/>
          </w:rPr>
          <w:fldChar w:fldCharType="separate"/>
        </w:r>
        <w:r w:rsidR="00DF776B">
          <w:rPr>
            <w:noProof/>
            <w:webHidden/>
          </w:rPr>
          <w:t>20</w:t>
        </w:r>
        <w:r w:rsidR="009C7586">
          <w:rPr>
            <w:noProof/>
            <w:webHidden/>
          </w:rPr>
          <w:fldChar w:fldCharType="end"/>
        </w:r>
      </w:hyperlink>
    </w:p>
    <w:p w:rsidR="009C7586" w:rsidRDefault="002D564B">
      <w:pPr>
        <w:pStyle w:val="TOC3"/>
        <w:tabs>
          <w:tab w:val="left" w:pos="1320"/>
          <w:tab w:val="right" w:leader="dot" w:pos="9514"/>
        </w:tabs>
        <w:rPr>
          <w:rFonts w:asciiTheme="minorHAnsi" w:eastAsiaTheme="minorEastAsia" w:hAnsiTheme="minorHAnsi" w:cstheme="minorBidi"/>
          <w:noProof/>
          <w:szCs w:val="22"/>
          <w:lang w:val="de-DE"/>
        </w:rPr>
      </w:pPr>
      <w:hyperlink w:anchor="_Toc531799945" w:history="1">
        <w:r w:rsidR="009C7586" w:rsidRPr="00032AE2">
          <w:rPr>
            <w:rStyle w:val="Hyperlink"/>
            <w:noProof/>
          </w:rPr>
          <w:t>6.2.2</w:t>
        </w:r>
        <w:r w:rsidR="009C7586">
          <w:rPr>
            <w:rFonts w:asciiTheme="minorHAnsi" w:eastAsiaTheme="minorEastAsia" w:hAnsiTheme="minorHAnsi" w:cstheme="minorBidi"/>
            <w:noProof/>
            <w:szCs w:val="22"/>
            <w:lang w:val="de-DE"/>
          </w:rPr>
          <w:tab/>
        </w:r>
        <w:r w:rsidR="009C7586" w:rsidRPr="00032AE2">
          <w:rPr>
            <w:rStyle w:val="Hyperlink"/>
            <w:noProof/>
          </w:rPr>
          <w:t>Determination of settlement prices for netted aFRR demand</w:t>
        </w:r>
        <w:r w:rsidR="009C7586">
          <w:rPr>
            <w:noProof/>
            <w:webHidden/>
          </w:rPr>
          <w:tab/>
        </w:r>
        <w:r w:rsidR="009C7586">
          <w:rPr>
            <w:noProof/>
            <w:webHidden/>
          </w:rPr>
          <w:fldChar w:fldCharType="begin"/>
        </w:r>
        <w:r w:rsidR="009C7586">
          <w:rPr>
            <w:noProof/>
            <w:webHidden/>
          </w:rPr>
          <w:instrText xml:space="preserve"> PAGEREF _Toc531799945 \h </w:instrText>
        </w:r>
        <w:r w:rsidR="009C7586">
          <w:rPr>
            <w:noProof/>
            <w:webHidden/>
          </w:rPr>
        </w:r>
        <w:r w:rsidR="009C7586">
          <w:rPr>
            <w:noProof/>
            <w:webHidden/>
          </w:rPr>
          <w:fldChar w:fldCharType="separate"/>
        </w:r>
        <w:r w:rsidR="00DF776B">
          <w:rPr>
            <w:noProof/>
            <w:webHidden/>
          </w:rPr>
          <w:t>20</w:t>
        </w:r>
        <w:r w:rsidR="009C7586">
          <w:rPr>
            <w:noProof/>
            <w:webHidden/>
          </w:rPr>
          <w:fldChar w:fldCharType="end"/>
        </w:r>
      </w:hyperlink>
    </w:p>
    <w:p w:rsidR="009C7586" w:rsidRDefault="002D564B">
      <w:pPr>
        <w:pStyle w:val="TOC1"/>
        <w:rPr>
          <w:rFonts w:asciiTheme="minorHAnsi" w:eastAsiaTheme="minorEastAsia" w:hAnsiTheme="minorHAnsi" w:cstheme="minorBidi"/>
          <w:b w:val="0"/>
          <w:szCs w:val="22"/>
          <w:lang w:val="de-DE"/>
        </w:rPr>
      </w:pPr>
      <w:hyperlink w:anchor="_Toc531799946" w:history="1">
        <w:r w:rsidR="009C7586" w:rsidRPr="00032AE2">
          <w:rPr>
            <w:rStyle w:val="Hyperlink"/>
          </w:rPr>
          <w:t>7</w:t>
        </w:r>
        <w:r w:rsidR="009C7586">
          <w:rPr>
            <w:rFonts w:asciiTheme="minorHAnsi" w:eastAsiaTheme="minorEastAsia" w:hAnsiTheme="minorHAnsi" w:cstheme="minorBidi"/>
            <w:b w:val="0"/>
            <w:szCs w:val="22"/>
            <w:lang w:val="de-DE"/>
          </w:rPr>
          <w:tab/>
        </w:r>
        <w:r w:rsidR="009C7586" w:rsidRPr="00032AE2">
          <w:rPr>
            <w:rStyle w:val="Hyperlink"/>
          </w:rPr>
          <w:t>Imbalance Netting</w:t>
        </w:r>
        <w:r w:rsidR="009C7586">
          <w:rPr>
            <w:webHidden/>
          </w:rPr>
          <w:tab/>
        </w:r>
        <w:r w:rsidR="009C7586">
          <w:rPr>
            <w:webHidden/>
          </w:rPr>
          <w:fldChar w:fldCharType="begin"/>
        </w:r>
        <w:r w:rsidR="009C7586">
          <w:rPr>
            <w:webHidden/>
          </w:rPr>
          <w:instrText xml:space="preserve"> PAGEREF _Toc531799946 \h </w:instrText>
        </w:r>
        <w:r w:rsidR="009C7586">
          <w:rPr>
            <w:webHidden/>
          </w:rPr>
        </w:r>
        <w:r w:rsidR="009C7586">
          <w:rPr>
            <w:webHidden/>
          </w:rPr>
          <w:fldChar w:fldCharType="separate"/>
        </w:r>
        <w:r w:rsidR="00DF776B">
          <w:rPr>
            <w:webHidden/>
          </w:rPr>
          <w:t>22</w:t>
        </w:r>
        <w:r w:rsidR="009C7586">
          <w:rPr>
            <w:webHidden/>
          </w:rPr>
          <w:fldChar w:fldCharType="end"/>
        </w:r>
      </w:hyperlink>
    </w:p>
    <w:p w:rsidR="009C7586" w:rsidRDefault="002D564B">
      <w:pPr>
        <w:pStyle w:val="TOC2"/>
        <w:rPr>
          <w:rFonts w:asciiTheme="minorHAnsi" w:eastAsiaTheme="minorEastAsia" w:hAnsiTheme="minorHAnsi" w:cstheme="minorBidi"/>
          <w:noProof/>
          <w:szCs w:val="22"/>
          <w:lang w:val="de-DE"/>
        </w:rPr>
      </w:pPr>
      <w:hyperlink w:anchor="_Toc531799947" w:history="1">
        <w:r w:rsidR="009C7586" w:rsidRPr="00032AE2">
          <w:rPr>
            <w:rStyle w:val="Hyperlink"/>
            <w:noProof/>
          </w:rPr>
          <w:t>7.1</w:t>
        </w:r>
        <w:r w:rsidR="009C7586">
          <w:rPr>
            <w:rFonts w:asciiTheme="minorHAnsi" w:eastAsiaTheme="minorEastAsia" w:hAnsiTheme="minorHAnsi" w:cstheme="minorBidi"/>
            <w:noProof/>
            <w:szCs w:val="22"/>
            <w:lang w:val="de-DE"/>
          </w:rPr>
          <w:tab/>
        </w:r>
        <w:r w:rsidR="009C7586" w:rsidRPr="00032AE2">
          <w:rPr>
            <w:rStyle w:val="Hyperlink"/>
            <w:noProof/>
          </w:rPr>
          <w:t>Examples of Determination of Value of avoided aFRR Activation</w:t>
        </w:r>
        <w:r w:rsidR="009C7586">
          <w:rPr>
            <w:noProof/>
            <w:webHidden/>
          </w:rPr>
          <w:tab/>
        </w:r>
        <w:r w:rsidR="009C7586">
          <w:rPr>
            <w:noProof/>
            <w:webHidden/>
          </w:rPr>
          <w:fldChar w:fldCharType="begin"/>
        </w:r>
        <w:r w:rsidR="009C7586">
          <w:rPr>
            <w:noProof/>
            <w:webHidden/>
          </w:rPr>
          <w:instrText xml:space="preserve"> PAGEREF _Toc531799947 \h </w:instrText>
        </w:r>
        <w:r w:rsidR="009C7586">
          <w:rPr>
            <w:noProof/>
            <w:webHidden/>
          </w:rPr>
        </w:r>
        <w:r w:rsidR="009C7586">
          <w:rPr>
            <w:noProof/>
            <w:webHidden/>
          </w:rPr>
          <w:fldChar w:fldCharType="separate"/>
        </w:r>
        <w:r w:rsidR="00DF776B">
          <w:rPr>
            <w:noProof/>
            <w:webHidden/>
          </w:rPr>
          <w:t>22</w:t>
        </w:r>
        <w:r w:rsidR="009C7586">
          <w:rPr>
            <w:noProof/>
            <w:webHidden/>
          </w:rPr>
          <w:fldChar w:fldCharType="end"/>
        </w:r>
      </w:hyperlink>
    </w:p>
    <w:p w:rsidR="009C7586" w:rsidRDefault="002D564B">
      <w:pPr>
        <w:pStyle w:val="TOC3"/>
        <w:tabs>
          <w:tab w:val="left" w:pos="1320"/>
          <w:tab w:val="right" w:leader="dot" w:pos="9514"/>
        </w:tabs>
        <w:rPr>
          <w:rFonts w:asciiTheme="minorHAnsi" w:eastAsiaTheme="minorEastAsia" w:hAnsiTheme="minorHAnsi" w:cstheme="minorBidi"/>
          <w:noProof/>
          <w:szCs w:val="22"/>
          <w:lang w:val="de-DE"/>
        </w:rPr>
      </w:pPr>
      <w:hyperlink w:anchor="_Toc531799948" w:history="1">
        <w:r w:rsidR="009C7586" w:rsidRPr="00032AE2">
          <w:rPr>
            <w:rStyle w:val="Hyperlink"/>
            <w:noProof/>
          </w:rPr>
          <w:t>7.1.1</w:t>
        </w:r>
        <w:r w:rsidR="009C7586">
          <w:rPr>
            <w:rFonts w:asciiTheme="minorHAnsi" w:eastAsiaTheme="minorEastAsia" w:hAnsiTheme="minorHAnsi" w:cstheme="minorBidi"/>
            <w:noProof/>
            <w:szCs w:val="22"/>
            <w:lang w:val="de-DE"/>
          </w:rPr>
          <w:tab/>
        </w:r>
        <w:r w:rsidR="009C7586" w:rsidRPr="00032AE2">
          <w:rPr>
            <w:rStyle w:val="Hyperlink"/>
            <w:noProof/>
          </w:rPr>
          <w:t>Value of avoided aFRR for a IN member that uses pay as bid</w:t>
        </w:r>
        <w:r w:rsidR="009C7586">
          <w:rPr>
            <w:noProof/>
            <w:webHidden/>
          </w:rPr>
          <w:tab/>
        </w:r>
        <w:r w:rsidR="009C7586">
          <w:rPr>
            <w:noProof/>
            <w:webHidden/>
          </w:rPr>
          <w:fldChar w:fldCharType="begin"/>
        </w:r>
        <w:r w:rsidR="009C7586">
          <w:rPr>
            <w:noProof/>
            <w:webHidden/>
          </w:rPr>
          <w:instrText xml:space="preserve"> PAGEREF _Toc531799948 \h </w:instrText>
        </w:r>
        <w:r w:rsidR="009C7586">
          <w:rPr>
            <w:noProof/>
            <w:webHidden/>
          </w:rPr>
        </w:r>
        <w:r w:rsidR="009C7586">
          <w:rPr>
            <w:noProof/>
            <w:webHidden/>
          </w:rPr>
          <w:fldChar w:fldCharType="separate"/>
        </w:r>
        <w:r w:rsidR="00DF776B">
          <w:rPr>
            <w:noProof/>
            <w:webHidden/>
          </w:rPr>
          <w:t>22</w:t>
        </w:r>
        <w:r w:rsidR="009C7586">
          <w:rPr>
            <w:noProof/>
            <w:webHidden/>
          </w:rPr>
          <w:fldChar w:fldCharType="end"/>
        </w:r>
      </w:hyperlink>
    </w:p>
    <w:p w:rsidR="009C7586" w:rsidRDefault="002D564B">
      <w:pPr>
        <w:pStyle w:val="TOC3"/>
        <w:tabs>
          <w:tab w:val="left" w:pos="1320"/>
          <w:tab w:val="right" w:leader="dot" w:pos="9514"/>
        </w:tabs>
        <w:rPr>
          <w:rFonts w:asciiTheme="minorHAnsi" w:eastAsiaTheme="minorEastAsia" w:hAnsiTheme="minorHAnsi" w:cstheme="minorBidi"/>
          <w:noProof/>
          <w:szCs w:val="22"/>
          <w:lang w:val="de-DE"/>
        </w:rPr>
      </w:pPr>
      <w:hyperlink w:anchor="_Toc531799949" w:history="1">
        <w:r w:rsidR="009C7586" w:rsidRPr="00032AE2">
          <w:rPr>
            <w:rStyle w:val="Hyperlink"/>
            <w:noProof/>
          </w:rPr>
          <w:t>7.1.2</w:t>
        </w:r>
        <w:r w:rsidR="009C7586">
          <w:rPr>
            <w:rFonts w:asciiTheme="minorHAnsi" w:eastAsiaTheme="minorEastAsia" w:hAnsiTheme="minorHAnsi" w:cstheme="minorBidi"/>
            <w:noProof/>
            <w:szCs w:val="22"/>
            <w:lang w:val="de-DE"/>
          </w:rPr>
          <w:tab/>
        </w:r>
        <w:r w:rsidR="009C7586" w:rsidRPr="00032AE2">
          <w:rPr>
            <w:rStyle w:val="Hyperlink"/>
            <w:noProof/>
          </w:rPr>
          <w:t>Value of avoided aFRR for a IN member that uses marginal pricing aFRR scheme</w:t>
        </w:r>
        <w:r w:rsidR="009C7586">
          <w:rPr>
            <w:noProof/>
            <w:webHidden/>
          </w:rPr>
          <w:tab/>
        </w:r>
        <w:r w:rsidR="009C7586">
          <w:rPr>
            <w:noProof/>
            <w:webHidden/>
          </w:rPr>
          <w:fldChar w:fldCharType="begin"/>
        </w:r>
        <w:r w:rsidR="009C7586">
          <w:rPr>
            <w:noProof/>
            <w:webHidden/>
          </w:rPr>
          <w:instrText xml:space="preserve"> PAGEREF _Toc531799949 \h </w:instrText>
        </w:r>
        <w:r w:rsidR="009C7586">
          <w:rPr>
            <w:noProof/>
            <w:webHidden/>
          </w:rPr>
        </w:r>
        <w:r w:rsidR="009C7586">
          <w:rPr>
            <w:noProof/>
            <w:webHidden/>
          </w:rPr>
          <w:fldChar w:fldCharType="separate"/>
        </w:r>
        <w:r w:rsidR="00DF776B">
          <w:rPr>
            <w:noProof/>
            <w:webHidden/>
          </w:rPr>
          <w:t>24</w:t>
        </w:r>
        <w:r w:rsidR="009C7586">
          <w:rPr>
            <w:noProof/>
            <w:webHidden/>
          </w:rPr>
          <w:fldChar w:fldCharType="end"/>
        </w:r>
      </w:hyperlink>
    </w:p>
    <w:p w:rsidR="009C7586" w:rsidRDefault="002D564B">
      <w:pPr>
        <w:pStyle w:val="TOC3"/>
        <w:tabs>
          <w:tab w:val="left" w:pos="1320"/>
          <w:tab w:val="right" w:leader="dot" w:pos="9514"/>
        </w:tabs>
        <w:rPr>
          <w:rFonts w:asciiTheme="minorHAnsi" w:eastAsiaTheme="minorEastAsia" w:hAnsiTheme="minorHAnsi" w:cstheme="minorBidi"/>
          <w:noProof/>
          <w:szCs w:val="22"/>
          <w:lang w:val="de-DE"/>
        </w:rPr>
      </w:pPr>
      <w:hyperlink w:anchor="_Toc531799950" w:history="1">
        <w:r w:rsidR="009C7586" w:rsidRPr="00032AE2">
          <w:rPr>
            <w:rStyle w:val="Hyperlink"/>
            <w:noProof/>
          </w:rPr>
          <w:t>7.1.3</w:t>
        </w:r>
        <w:r w:rsidR="009C7586">
          <w:rPr>
            <w:rFonts w:asciiTheme="minorHAnsi" w:eastAsiaTheme="minorEastAsia" w:hAnsiTheme="minorHAnsi" w:cstheme="minorBidi"/>
            <w:noProof/>
            <w:szCs w:val="22"/>
            <w:lang w:val="de-DE"/>
          </w:rPr>
          <w:tab/>
        </w:r>
        <w:r w:rsidR="009C7586" w:rsidRPr="00032AE2">
          <w:rPr>
            <w:rStyle w:val="Hyperlink"/>
            <w:noProof/>
          </w:rPr>
          <w:t>Value of avoided aFRR price for a TSO participating in aFRR cooperations</w:t>
        </w:r>
        <w:r w:rsidR="009C7586">
          <w:rPr>
            <w:noProof/>
            <w:webHidden/>
          </w:rPr>
          <w:tab/>
        </w:r>
        <w:r w:rsidR="009C7586">
          <w:rPr>
            <w:noProof/>
            <w:webHidden/>
          </w:rPr>
          <w:fldChar w:fldCharType="begin"/>
        </w:r>
        <w:r w:rsidR="009C7586">
          <w:rPr>
            <w:noProof/>
            <w:webHidden/>
          </w:rPr>
          <w:instrText xml:space="preserve"> PAGEREF _Toc531799950 \h </w:instrText>
        </w:r>
        <w:r w:rsidR="009C7586">
          <w:rPr>
            <w:noProof/>
            <w:webHidden/>
          </w:rPr>
        </w:r>
        <w:r w:rsidR="009C7586">
          <w:rPr>
            <w:noProof/>
            <w:webHidden/>
          </w:rPr>
          <w:fldChar w:fldCharType="separate"/>
        </w:r>
        <w:r w:rsidR="00DF776B">
          <w:rPr>
            <w:noProof/>
            <w:webHidden/>
          </w:rPr>
          <w:t>25</w:t>
        </w:r>
        <w:r w:rsidR="009C7586">
          <w:rPr>
            <w:noProof/>
            <w:webHidden/>
          </w:rPr>
          <w:fldChar w:fldCharType="end"/>
        </w:r>
      </w:hyperlink>
    </w:p>
    <w:p w:rsidR="009C7586" w:rsidRDefault="002D564B">
      <w:pPr>
        <w:pStyle w:val="TOC3"/>
        <w:tabs>
          <w:tab w:val="left" w:pos="1320"/>
          <w:tab w:val="right" w:leader="dot" w:pos="9514"/>
        </w:tabs>
        <w:rPr>
          <w:rFonts w:asciiTheme="minorHAnsi" w:eastAsiaTheme="minorEastAsia" w:hAnsiTheme="minorHAnsi" w:cstheme="minorBidi"/>
          <w:noProof/>
          <w:szCs w:val="22"/>
          <w:lang w:val="de-DE"/>
        </w:rPr>
      </w:pPr>
      <w:hyperlink w:anchor="_Toc531799951" w:history="1">
        <w:r w:rsidR="009C7586" w:rsidRPr="00032AE2">
          <w:rPr>
            <w:rStyle w:val="Hyperlink"/>
            <w:noProof/>
          </w:rPr>
          <w:t>7.1.4</w:t>
        </w:r>
        <w:r w:rsidR="009C7586">
          <w:rPr>
            <w:rFonts w:asciiTheme="minorHAnsi" w:eastAsiaTheme="minorEastAsia" w:hAnsiTheme="minorHAnsi" w:cstheme="minorBidi"/>
            <w:noProof/>
            <w:szCs w:val="22"/>
            <w:lang w:val="de-DE"/>
          </w:rPr>
          <w:tab/>
        </w:r>
        <w:r w:rsidR="009C7586" w:rsidRPr="00032AE2">
          <w:rPr>
            <w:rStyle w:val="Hyperlink"/>
            <w:noProof/>
          </w:rPr>
          <w:t>Value of avoided aFRR in case of administrative and day ahead price</w:t>
        </w:r>
        <w:r w:rsidR="009C7586">
          <w:rPr>
            <w:noProof/>
            <w:webHidden/>
          </w:rPr>
          <w:tab/>
        </w:r>
        <w:r w:rsidR="009C7586">
          <w:rPr>
            <w:noProof/>
            <w:webHidden/>
          </w:rPr>
          <w:fldChar w:fldCharType="begin"/>
        </w:r>
        <w:r w:rsidR="009C7586">
          <w:rPr>
            <w:noProof/>
            <w:webHidden/>
          </w:rPr>
          <w:instrText xml:space="preserve"> PAGEREF _Toc531799951 \h </w:instrText>
        </w:r>
        <w:r w:rsidR="009C7586">
          <w:rPr>
            <w:noProof/>
            <w:webHidden/>
          </w:rPr>
        </w:r>
        <w:r w:rsidR="009C7586">
          <w:rPr>
            <w:noProof/>
            <w:webHidden/>
          </w:rPr>
          <w:fldChar w:fldCharType="separate"/>
        </w:r>
        <w:r w:rsidR="00DF776B">
          <w:rPr>
            <w:noProof/>
            <w:webHidden/>
          </w:rPr>
          <w:t>25</w:t>
        </w:r>
        <w:r w:rsidR="009C7586">
          <w:rPr>
            <w:noProof/>
            <w:webHidden/>
          </w:rPr>
          <w:fldChar w:fldCharType="end"/>
        </w:r>
      </w:hyperlink>
    </w:p>
    <w:p w:rsidR="009C7586" w:rsidRDefault="002D564B">
      <w:pPr>
        <w:pStyle w:val="TOC2"/>
        <w:rPr>
          <w:rFonts w:asciiTheme="minorHAnsi" w:eastAsiaTheme="minorEastAsia" w:hAnsiTheme="minorHAnsi" w:cstheme="minorBidi"/>
          <w:noProof/>
          <w:szCs w:val="22"/>
          <w:lang w:val="de-DE"/>
        </w:rPr>
      </w:pPr>
      <w:hyperlink w:anchor="_Toc531799952" w:history="1">
        <w:r w:rsidR="009C7586" w:rsidRPr="00032AE2">
          <w:rPr>
            <w:rStyle w:val="Hyperlink"/>
            <w:noProof/>
            <w:lang w:eastAsia="en-US"/>
          </w:rPr>
          <w:t>7.2</w:t>
        </w:r>
        <w:r w:rsidR="009C7586">
          <w:rPr>
            <w:rFonts w:asciiTheme="minorHAnsi" w:eastAsiaTheme="minorEastAsia" w:hAnsiTheme="minorHAnsi" w:cstheme="minorBidi"/>
            <w:noProof/>
            <w:szCs w:val="22"/>
            <w:lang w:val="de-DE"/>
          </w:rPr>
          <w:tab/>
        </w:r>
        <w:r w:rsidR="009C7586" w:rsidRPr="00032AE2">
          <w:rPr>
            <w:rStyle w:val="Hyperlink"/>
            <w:noProof/>
            <w:lang w:eastAsia="en-US"/>
          </w:rPr>
          <w:t>Determination of IN settlement price</w:t>
        </w:r>
        <w:r w:rsidR="009C7586">
          <w:rPr>
            <w:noProof/>
            <w:webHidden/>
          </w:rPr>
          <w:tab/>
        </w:r>
        <w:r w:rsidR="009C7586">
          <w:rPr>
            <w:noProof/>
            <w:webHidden/>
          </w:rPr>
          <w:fldChar w:fldCharType="begin"/>
        </w:r>
        <w:r w:rsidR="009C7586">
          <w:rPr>
            <w:noProof/>
            <w:webHidden/>
          </w:rPr>
          <w:instrText xml:space="preserve"> PAGEREF _Toc531799952 \h </w:instrText>
        </w:r>
        <w:r w:rsidR="009C7586">
          <w:rPr>
            <w:noProof/>
            <w:webHidden/>
          </w:rPr>
        </w:r>
        <w:r w:rsidR="009C7586">
          <w:rPr>
            <w:noProof/>
            <w:webHidden/>
          </w:rPr>
          <w:fldChar w:fldCharType="separate"/>
        </w:r>
        <w:r w:rsidR="00DF776B">
          <w:rPr>
            <w:noProof/>
            <w:webHidden/>
          </w:rPr>
          <w:t>25</w:t>
        </w:r>
        <w:r w:rsidR="009C7586">
          <w:rPr>
            <w:noProof/>
            <w:webHidden/>
          </w:rPr>
          <w:fldChar w:fldCharType="end"/>
        </w:r>
      </w:hyperlink>
    </w:p>
    <w:p w:rsidR="009C7586" w:rsidRDefault="002D564B">
      <w:pPr>
        <w:pStyle w:val="TOC1"/>
        <w:rPr>
          <w:rFonts w:asciiTheme="minorHAnsi" w:eastAsiaTheme="minorEastAsia" w:hAnsiTheme="minorHAnsi" w:cstheme="minorBidi"/>
          <w:b w:val="0"/>
          <w:szCs w:val="22"/>
          <w:lang w:val="de-DE"/>
        </w:rPr>
      </w:pPr>
      <w:hyperlink w:anchor="_Toc531799953" w:history="1">
        <w:r w:rsidR="009C7586" w:rsidRPr="00032AE2">
          <w:rPr>
            <w:rStyle w:val="Hyperlink"/>
          </w:rPr>
          <w:t>8</w:t>
        </w:r>
        <w:r w:rsidR="009C7586">
          <w:rPr>
            <w:rFonts w:asciiTheme="minorHAnsi" w:eastAsiaTheme="minorEastAsia" w:hAnsiTheme="minorHAnsi" w:cstheme="minorBidi"/>
            <w:b w:val="0"/>
            <w:szCs w:val="22"/>
            <w:lang w:val="de-DE"/>
          </w:rPr>
          <w:tab/>
        </w:r>
        <w:r w:rsidR="009C7586" w:rsidRPr="00032AE2">
          <w:rPr>
            <w:rStyle w:val="Hyperlink"/>
          </w:rPr>
          <w:t>Settlement of the Balancing Congestion Income</w:t>
        </w:r>
        <w:r w:rsidR="009C7586">
          <w:rPr>
            <w:webHidden/>
          </w:rPr>
          <w:tab/>
        </w:r>
        <w:r w:rsidR="009C7586">
          <w:rPr>
            <w:webHidden/>
          </w:rPr>
          <w:fldChar w:fldCharType="begin"/>
        </w:r>
        <w:r w:rsidR="009C7586">
          <w:rPr>
            <w:webHidden/>
          </w:rPr>
          <w:instrText xml:space="preserve"> PAGEREF _Toc531799953 \h </w:instrText>
        </w:r>
        <w:r w:rsidR="009C7586">
          <w:rPr>
            <w:webHidden/>
          </w:rPr>
        </w:r>
        <w:r w:rsidR="009C7586">
          <w:rPr>
            <w:webHidden/>
          </w:rPr>
          <w:fldChar w:fldCharType="separate"/>
        </w:r>
        <w:r w:rsidR="00DF776B">
          <w:rPr>
            <w:webHidden/>
          </w:rPr>
          <w:t>29</w:t>
        </w:r>
        <w:r w:rsidR="009C7586">
          <w:rPr>
            <w:webHidden/>
          </w:rPr>
          <w:fldChar w:fldCharType="end"/>
        </w:r>
      </w:hyperlink>
    </w:p>
    <w:p w:rsidR="003703FE" w:rsidRPr="009A4C44" w:rsidRDefault="003703FE" w:rsidP="002D7EAB">
      <w:pPr>
        <w:rPr>
          <w:rFonts w:ascii="Times New Roman" w:hAnsi="Times New Roman"/>
        </w:rPr>
      </w:pPr>
      <w:r w:rsidRPr="00437863">
        <w:rPr>
          <w:rFonts w:ascii="Times New Roman" w:hAnsi="Times New Roman"/>
        </w:rPr>
        <w:fldChar w:fldCharType="end"/>
      </w:r>
    </w:p>
    <w:p w:rsidR="00884786" w:rsidRPr="009A4C44" w:rsidRDefault="00884786" w:rsidP="00884786">
      <w:pPr>
        <w:rPr>
          <w:rFonts w:ascii="Times New Roman" w:hAnsi="Times New Roman"/>
        </w:rPr>
      </w:pPr>
    </w:p>
    <w:p w:rsidR="00884786" w:rsidRPr="009A4C44" w:rsidRDefault="00884786" w:rsidP="00884786">
      <w:pPr>
        <w:rPr>
          <w:rFonts w:ascii="Times New Roman" w:hAnsi="Times New Roman"/>
        </w:rPr>
      </w:pPr>
    </w:p>
    <w:p w:rsidR="00B22D2D" w:rsidRPr="009A4C44" w:rsidRDefault="00B22D2D">
      <w:pPr>
        <w:rPr>
          <w:rFonts w:ascii="Times New Roman" w:hAnsi="Times New Roman"/>
          <w:b/>
          <w:color w:val="23236E"/>
          <w:sz w:val="32"/>
          <w:szCs w:val="28"/>
          <w:lang w:val="de-DE"/>
        </w:rPr>
      </w:pPr>
      <w:bookmarkStart w:id="1" w:name="_Toc520993434"/>
      <w:bookmarkStart w:id="2" w:name="_Toc520999245"/>
      <w:bookmarkStart w:id="3" w:name="_Toc522181336"/>
      <w:bookmarkStart w:id="4" w:name="_Toc522195273"/>
      <w:bookmarkStart w:id="5" w:name="_Toc523816540"/>
      <w:r w:rsidRPr="009A4C44">
        <w:rPr>
          <w:rFonts w:ascii="Times New Roman" w:hAnsi="Times New Roman"/>
          <w:lang w:val="de-DE"/>
        </w:rPr>
        <w:br w:type="page"/>
      </w:r>
    </w:p>
    <w:p w:rsidR="0089092C" w:rsidRPr="009A4C44" w:rsidRDefault="0089092C" w:rsidP="0089092C">
      <w:pPr>
        <w:pStyle w:val="Headline14pt"/>
        <w:pageBreakBefore w:val="0"/>
        <w:jc w:val="both"/>
        <w:outlineLvl w:val="0"/>
      </w:pPr>
      <w:bookmarkStart w:id="6" w:name="_Toc531687669"/>
      <w:bookmarkStart w:id="7" w:name="_Toc531787022"/>
      <w:bookmarkStart w:id="8" w:name="_Toc531799931"/>
      <w:r w:rsidRPr="009A4C44">
        <w:lastRenderedPageBreak/>
        <w:t>List of Figures</w:t>
      </w:r>
      <w:bookmarkEnd w:id="1"/>
      <w:bookmarkEnd w:id="2"/>
      <w:bookmarkEnd w:id="3"/>
      <w:bookmarkEnd w:id="4"/>
      <w:bookmarkEnd w:id="5"/>
      <w:bookmarkEnd w:id="6"/>
      <w:bookmarkEnd w:id="7"/>
      <w:bookmarkEnd w:id="8"/>
    </w:p>
    <w:p w:rsidR="009C7586" w:rsidRDefault="00E83EBE">
      <w:pPr>
        <w:pStyle w:val="TableofFigures"/>
        <w:tabs>
          <w:tab w:val="right" w:leader="dot" w:pos="9514"/>
        </w:tabs>
        <w:rPr>
          <w:rFonts w:asciiTheme="minorHAnsi" w:eastAsiaTheme="minorEastAsia" w:hAnsiTheme="minorHAnsi" w:cstheme="minorBidi"/>
          <w:noProof/>
          <w:szCs w:val="22"/>
          <w:lang w:val="de-DE"/>
        </w:rPr>
      </w:pPr>
      <w:r w:rsidRPr="009A4C44">
        <w:fldChar w:fldCharType="begin"/>
      </w:r>
      <w:r w:rsidRPr="009A4C44">
        <w:instrText xml:space="preserve"> TOC \h \z \c "Figure" </w:instrText>
      </w:r>
      <w:r w:rsidRPr="009A4C44">
        <w:fldChar w:fldCharType="separate"/>
      </w:r>
      <w:hyperlink w:anchor="_Toc531799954" w:history="1">
        <w:r w:rsidR="009C7586" w:rsidRPr="00C43562">
          <w:rPr>
            <w:rStyle w:val="Hyperlink"/>
            <w:noProof/>
            <w:lang w:val="en-US"/>
          </w:rPr>
          <w:t>Figure 1 The TSO-TSO settlement is done by product.</w:t>
        </w:r>
        <w:r w:rsidR="009C7586">
          <w:rPr>
            <w:noProof/>
            <w:webHidden/>
          </w:rPr>
          <w:tab/>
        </w:r>
        <w:r w:rsidR="009C7586">
          <w:rPr>
            <w:noProof/>
            <w:webHidden/>
          </w:rPr>
          <w:fldChar w:fldCharType="begin"/>
        </w:r>
        <w:r w:rsidR="009C7586">
          <w:rPr>
            <w:noProof/>
            <w:webHidden/>
          </w:rPr>
          <w:instrText xml:space="preserve"> PAGEREF _Toc531799954 \h </w:instrText>
        </w:r>
        <w:r w:rsidR="009C7586">
          <w:rPr>
            <w:noProof/>
            <w:webHidden/>
          </w:rPr>
        </w:r>
        <w:r w:rsidR="009C7586">
          <w:rPr>
            <w:noProof/>
            <w:webHidden/>
          </w:rPr>
          <w:fldChar w:fldCharType="separate"/>
        </w:r>
        <w:r w:rsidR="00DF776B">
          <w:rPr>
            <w:noProof/>
            <w:webHidden/>
          </w:rPr>
          <w:t>9</w:t>
        </w:r>
        <w:r w:rsidR="009C7586">
          <w:rPr>
            <w:noProof/>
            <w:webHidden/>
          </w:rPr>
          <w:fldChar w:fldCharType="end"/>
        </w:r>
      </w:hyperlink>
    </w:p>
    <w:p w:rsidR="009C7586" w:rsidRDefault="002D564B">
      <w:pPr>
        <w:pStyle w:val="TableofFigures"/>
        <w:tabs>
          <w:tab w:val="right" w:leader="dot" w:pos="9514"/>
        </w:tabs>
        <w:rPr>
          <w:rFonts w:asciiTheme="minorHAnsi" w:eastAsiaTheme="minorEastAsia" w:hAnsiTheme="minorHAnsi" w:cstheme="minorBidi"/>
          <w:noProof/>
          <w:szCs w:val="22"/>
          <w:lang w:val="de-DE"/>
        </w:rPr>
      </w:pPr>
      <w:hyperlink w:anchor="_Toc531799955" w:history="1">
        <w:r w:rsidR="009C7586" w:rsidRPr="00C43562">
          <w:rPr>
            <w:rStyle w:val="Hyperlink"/>
            <w:noProof/>
          </w:rPr>
          <w:t>Figure 2: Illustration of the settlement volume</w:t>
        </w:r>
        <w:r w:rsidR="009C7586">
          <w:rPr>
            <w:noProof/>
            <w:webHidden/>
          </w:rPr>
          <w:tab/>
        </w:r>
        <w:r w:rsidR="009C7586">
          <w:rPr>
            <w:noProof/>
            <w:webHidden/>
          </w:rPr>
          <w:fldChar w:fldCharType="begin"/>
        </w:r>
        <w:r w:rsidR="009C7586">
          <w:rPr>
            <w:noProof/>
            <w:webHidden/>
          </w:rPr>
          <w:instrText xml:space="preserve"> PAGEREF _Toc531799955 \h </w:instrText>
        </w:r>
        <w:r w:rsidR="009C7586">
          <w:rPr>
            <w:noProof/>
            <w:webHidden/>
          </w:rPr>
        </w:r>
        <w:r w:rsidR="009C7586">
          <w:rPr>
            <w:noProof/>
            <w:webHidden/>
          </w:rPr>
          <w:fldChar w:fldCharType="separate"/>
        </w:r>
        <w:r w:rsidR="00DF776B">
          <w:rPr>
            <w:noProof/>
            <w:webHidden/>
          </w:rPr>
          <w:t>11</w:t>
        </w:r>
        <w:r w:rsidR="009C7586">
          <w:rPr>
            <w:noProof/>
            <w:webHidden/>
          </w:rPr>
          <w:fldChar w:fldCharType="end"/>
        </w:r>
      </w:hyperlink>
    </w:p>
    <w:p w:rsidR="009C7586" w:rsidRDefault="002D564B">
      <w:pPr>
        <w:pStyle w:val="TableofFigures"/>
        <w:tabs>
          <w:tab w:val="right" w:leader="dot" w:pos="9514"/>
        </w:tabs>
        <w:rPr>
          <w:rFonts w:asciiTheme="minorHAnsi" w:eastAsiaTheme="minorEastAsia" w:hAnsiTheme="minorHAnsi" w:cstheme="minorBidi"/>
          <w:noProof/>
          <w:szCs w:val="22"/>
          <w:lang w:val="de-DE"/>
        </w:rPr>
      </w:pPr>
      <w:hyperlink w:anchor="_Toc531799956" w:history="1">
        <w:r w:rsidR="009C7586" w:rsidRPr="00C43562">
          <w:rPr>
            <w:rStyle w:val="Hyperlink"/>
            <w:noProof/>
          </w:rPr>
          <w:t>Figure 3: Example Scenario</w:t>
        </w:r>
        <w:r w:rsidR="009C7586">
          <w:rPr>
            <w:noProof/>
            <w:webHidden/>
          </w:rPr>
          <w:tab/>
        </w:r>
        <w:r w:rsidR="009C7586">
          <w:rPr>
            <w:noProof/>
            <w:webHidden/>
          </w:rPr>
          <w:fldChar w:fldCharType="begin"/>
        </w:r>
        <w:r w:rsidR="009C7586">
          <w:rPr>
            <w:noProof/>
            <w:webHidden/>
          </w:rPr>
          <w:instrText xml:space="preserve"> PAGEREF _Toc531799956 \h </w:instrText>
        </w:r>
        <w:r w:rsidR="009C7586">
          <w:rPr>
            <w:noProof/>
            <w:webHidden/>
          </w:rPr>
        </w:r>
        <w:r w:rsidR="009C7586">
          <w:rPr>
            <w:noProof/>
            <w:webHidden/>
          </w:rPr>
          <w:fldChar w:fldCharType="separate"/>
        </w:r>
        <w:r w:rsidR="00DF776B">
          <w:rPr>
            <w:noProof/>
            <w:webHidden/>
          </w:rPr>
          <w:t>12</w:t>
        </w:r>
        <w:r w:rsidR="009C7586">
          <w:rPr>
            <w:noProof/>
            <w:webHidden/>
          </w:rPr>
          <w:fldChar w:fldCharType="end"/>
        </w:r>
      </w:hyperlink>
    </w:p>
    <w:p w:rsidR="009C7586" w:rsidRDefault="002D564B">
      <w:pPr>
        <w:pStyle w:val="TableofFigures"/>
        <w:tabs>
          <w:tab w:val="right" w:leader="dot" w:pos="9514"/>
        </w:tabs>
        <w:rPr>
          <w:rFonts w:asciiTheme="minorHAnsi" w:eastAsiaTheme="minorEastAsia" w:hAnsiTheme="minorHAnsi" w:cstheme="minorBidi"/>
          <w:noProof/>
          <w:szCs w:val="22"/>
          <w:lang w:val="de-DE"/>
        </w:rPr>
      </w:pPr>
      <w:hyperlink w:anchor="_Toc531799957" w:history="1">
        <w:r w:rsidR="009C7586" w:rsidRPr="00C43562">
          <w:rPr>
            <w:rStyle w:val="Hyperlink"/>
            <w:noProof/>
          </w:rPr>
          <w:t>Figure 4: Result for unconstrained run</w:t>
        </w:r>
        <w:r w:rsidR="009C7586">
          <w:rPr>
            <w:noProof/>
            <w:webHidden/>
          </w:rPr>
          <w:tab/>
        </w:r>
        <w:r w:rsidR="009C7586">
          <w:rPr>
            <w:noProof/>
            <w:webHidden/>
          </w:rPr>
          <w:fldChar w:fldCharType="begin"/>
        </w:r>
        <w:r w:rsidR="009C7586">
          <w:rPr>
            <w:noProof/>
            <w:webHidden/>
          </w:rPr>
          <w:instrText xml:space="preserve"> PAGEREF _Toc531799957 \h </w:instrText>
        </w:r>
        <w:r w:rsidR="009C7586">
          <w:rPr>
            <w:noProof/>
            <w:webHidden/>
          </w:rPr>
        </w:r>
        <w:r w:rsidR="009C7586">
          <w:rPr>
            <w:noProof/>
            <w:webHidden/>
          </w:rPr>
          <w:fldChar w:fldCharType="separate"/>
        </w:r>
        <w:r w:rsidR="00DF776B">
          <w:rPr>
            <w:noProof/>
            <w:webHidden/>
          </w:rPr>
          <w:t>13</w:t>
        </w:r>
        <w:r w:rsidR="009C7586">
          <w:rPr>
            <w:noProof/>
            <w:webHidden/>
          </w:rPr>
          <w:fldChar w:fldCharType="end"/>
        </w:r>
      </w:hyperlink>
    </w:p>
    <w:p w:rsidR="009C7586" w:rsidRDefault="002D564B">
      <w:pPr>
        <w:pStyle w:val="TableofFigures"/>
        <w:tabs>
          <w:tab w:val="right" w:leader="dot" w:pos="9514"/>
        </w:tabs>
        <w:rPr>
          <w:rFonts w:asciiTheme="minorHAnsi" w:eastAsiaTheme="minorEastAsia" w:hAnsiTheme="minorHAnsi" w:cstheme="minorBidi"/>
          <w:noProof/>
          <w:szCs w:val="22"/>
          <w:lang w:val="de-DE"/>
        </w:rPr>
      </w:pPr>
      <w:hyperlink w:anchor="_Toc531799958" w:history="1">
        <w:r w:rsidR="009C7586" w:rsidRPr="00C43562">
          <w:rPr>
            <w:rStyle w:val="Hyperlink"/>
            <w:noProof/>
          </w:rPr>
          <w:t>Figure 5: TSO-TSO settlement result for unconstrained</w:t>
        </w:r>
        <w:r w:rsidR="009C7586">
          <w:rPr>
            <w:noProof/>
            <w:webHidden/>
          </w:rPr>
          <w:tab/>
        </w:r>
        <w:r w:rsidR="009C7586">
          <w:rPr>
            <w:noProof/>
            <w:webHidden/>
          </w:rPr>
          <w:fldChar w:fldCharType="begin"/>
        </w:r>
        <w:r w:rsidR="009C7586">
          <w:rPr>
            <w:noProof/>
            <w:webHidden/>
          </w:rPr>
          <w:instrText xml:space="preserve"> PAGEREF _Toc531799958 \h </w:instrText>
        </w:r>
        <w:r w:rsidR="009C7586">
          <w:rPr>
            <w:noProof/>
            <w:webHidden/>
          </w:rPr>
        </w:r>
        <w:r w:rsidR="009C7586">
          <w:rPr>
            <w:noProof/>
            <w:webHidden/>
          </w:rPr>
          <w:fldChar w:fldCharType="separate"/>
        </w:r>
        <w:r w:rsidR="00DF776B">
          <w:rPr>
            <w:noProof/>
            <w:webHidden/>
          </w:rPr>
          <w:t>14</w:t>
        </w:r>
        <w:r w:rsidR="009C7586">
          <w:rPr>
            <w:noProof/>
            <w:webHidden/>
          </w:rPr>
          <w:fldChar w:fldCharType="end"/>
        </w:r>
      </w:hyperlink>
    </w:p>
    <w:p w:rsidR="009C7586" w:rsidRDefault="002D564B">
      <w:pPr>
        <w:pStyle w:val="TableofFigures"/>
        <w:tabs>
          <w:tab w:val="right" w:leader="dot" w:pos="9514"/>
        </w:tabs>
        <w:rPr>
          <w:rFonts w:asciiTheme="minorHAnsi" w:eastAsiaTheme="minorEastAsia" w:hAnsiTheme="minorHAnsi" w:cstheme="minorBidi"/>
          <w:noProof/>
          <w:szCs w:val="22"/>
          <w:lang w:val="de-DE"/>
        </w:rPr>
      </w:pPr>
      <w:hyperlink w:anchor="_Toc531799959" w:history="1">
        <w:r w:rsidR="009C7586" w:rsidRPr="00C43562">
          <w:rPr>
            <w:rStyle w:val="Hyperlink"/>
            <w:noProof/>
          </w:rPr>
          <w:t>Figure 6: Results for the constrained run</w:t>
        </w:r>
        <w:r w:rsidR="009C7586">
          <w:rPr>
            <w:noProof/>
            <w:webHidden/>
          </w:rPr>
          <w:tab/>
        </w:r>
        <w:r w:rsidR="009C7586">
          <w:rPr>
            <w:noProof/>
            <w:webHidden/>
          </w:rPr>
          <w:fldChar w:fldCharType="begin"/>
        </w:r>
        <w:r w:rsidR="009C7586">
          <w:rPr>
            <w:noProof/>
            <w:webHidden/>
          </w:rPr>
          <w:instrText xml:space="preserve"> PAGEREF _Toc531799959 \h </w:instrText>
        </w:r>
        <w:r w:rsidR="009C7586">
          <w:rPr>
            <w:noProof/>
            <w:webHidden/>
          </w:rPr>
        </w:r>
        <w:r w:rsidR="009C7586">
          <w:rPr>
            <w:noProof/>
            <w:webHidden/>
          </w:rPr>
          <w:fldChar w:fldCharType="separate"/>
        </w:r>
        <w:r w:rsidR="00DF776B">
          <w:rPr>
            <w:noProof/>
            <w:webHidden/>
          </w:rPr>
          <w:t>14</w:t>
        </w:r>
        <w:r w:rsidR="009C7586">
          <w:rPr>
            <w:noProof/>
            <w:webHidden/>
          </w:rPr>
          <w:fldChar w:fldCharType="end"/>
        </w:r>
      </w:hyperlink>
    </w:p>
    <w:p w:rsidR="009C7586" w:rsidRDefault="002D564B">
      <w:pPr>
        <w:pStyle w:val="TableofFigures"/>
        <w:tabs>
          <w:tab w:val="right" w:leader="dot" w:pos="9514"/>
        </w:tabs>
        <w:rPr>
          <w:rFonts w:asciiTheme="minorHAnsi" w:eastAsiaTheme="minorEastAsia" w:hAnsiTheme="minorHAnsi" w:cstheme="minorBidi"/>
          <w:noProof/>
          <w:szCs w:val="22"/>
          <w:lang w:val="de-DE"/>
        </w:rPr>
      </w:pPr>
      <w:hyperlink w:anchor="_Toc531799960" w:history="1">
        <w:r w:rsidR="009C7586" w:rsidRPr="00C43562">
          <w:rPr>
            <w:rStyle w:val="Hyperlink"/>
            <w:noProof/>
          </w:rPr>
          <w:t>Figure 7: TSO-TSO settlement result for constraint run</w:t>
        </w:r>
        <w:r w:rsidR="009C7586">
          <w:rPr>
            <w:noProof/>
            <w:webHidden/>
          </w:rPr>
          <w:tab/>
        </w:r>
        <w:r w:rsidR="009C7586">
          <w:rPr>
            <w:noProof/>
            <w:webHidden/>
          </w:rPr>
          <w:fldChar w:fldCharType="begin"/>
        </w:r>
        <w:r w:rsidR="009C7586">
          <w:rPr>
            <w:noProof/>
            <w:webHidden/>
          </w:rPr>
          <w:instrText xml:space="preserve"> PAGEREF _Toc531799960 \h </w:instrText>
        </w:r>
        <w:r w:rsidR="009C7586">
          <w:rPr>
            <w:noProof/>
            <w:webHidden/>
          </w:rPr>
        </w:r>
        <w:r w:rsidR="009C7586">
          <w:rPr>
            <w:noProof/>
            <w:webHidden/>
          </w:rPr>
          <w:fldChar w:fldCharType="separate"/>
        </w:r>
        <w:r w:rsidR="00DF776B">
          <w:rPr>
            <w:noProof/>
            <w:webHidden/>
          </w:rPr>
          <w:t>16</w:t>
        </w:r>
        <w:r w:rsidR="009C7586">
          <w:rPr>
            <w:noProof/>
            <w:webHidden/>
          </w:rPr>
          <w:fldChar w:fldCharType="end"/>
        </w:r>
      </w:hyperlink>
    </w:p>
    <w:p w:rsidR="009C7586" w:rsidRDefault="002D564B">
      <w:pPr>
        <w:pStyle w:val="TableofFigures"/>
        <w:tabs>
          <w:tab w:val="right" w:leader="dot" w:pos="9514"/>
        </w:tabs>
        <w:rPr>
          <w:rFonts w:asciiTheme="minorHAnsi" w:eastAsiaTheme="minorEastAsia" w:hAnsiTheme="minorHAnsi" w:cstheme="minorBidi"/>
          <w:noProof/>
          <w:szCs w:val="22"/>
          <w:lang w:val="de-DE"/>
        </w:rPr>
      </w:pPr>
      <w:hyperlink w:anchor="_Toc531799961" w:history="1">
        <w:r w:rsidR="009C7586" w:rsidRPr="00C43562">
          <w:rPr>
            <w:rStyle w:val="Hyperlink"/>
            <w:noProof/>
          </w:rPr>
          <w:t>Figure 12: Example for DA volume distribution</w:t>
        </w:r>
        <w:r w:rsidR="009C7586">
          <w:rPr>
            <w:noProof/>
            <w:webHidden/>
          </w:rPr>
          <w:tab/>
        </w:r>
        <w:r w:rsidR="009C7586">
          <w:rPr>
            <w:noProof/>
            <w:webHidden/>
          </w:rPr>
          <w:fldChar w:fldCharType="begin"/>
        </w:r>
        <w:r w:rsidR="009C7586">
          <w:rPr>
            <w:noProof/>
            <w:webHidden/>
          </w:rPr>
          <w:instrText xml:space="preserve"> PAGEREF _Toc531799961 \h </w:instrText>
        </w:r>
        <w:r w:rsidR="009C7586">
          <w:rPr>
            <w:noProof/>
            <w:webHidden/>
          </w:rPr>
        </w:r>
        <w:r w:rsidR="009C7586">
          <w:rPr>
            <w:noProof/>
            <w:webHidden/>
          </w:rPr>
          <w:fldChar w:fldCharType="separate"/>
        </w:r>
        <w:r w:rsidR="00DF776B">
          <w:rPr>
            <w:noProof/>
            <w:webHidden/>
          </w:rPr>
          <w:t>17</w:t>
        </w:r>
        <w:r w:rsidR="009C7586">
          <w:rPr>
            <w:noProof/>
            <w:webHidden/>
          </w:rPr>
          <w:fldChar w:fldCharType="end"/>
        </w:r>
      </w:hyperlink>
    </w:p>
    <w:p w:rsidR="009C7586" w:rsidRDefault="002D564B">
      <w:pPr>
        <w:pStyle w:val="TableofFigures"/>
        <w:tabs>
          <w:tab w:val="right" w:leader="dot" w:pos="9514"/>
        </w:tabs>
        <w:rPr>
          <w:rFonts w:asciiTheme="minorHAnsi" w:eastAsiaTheme="minorEastAsia" w:hAnsiTheme="minorHAnsi" w:cstheme="minorBidi"/>
          <w:noProof/>
          <w:szCs w:val="22"/>
          <w:lang w:val="de-DE"/>
        </w:rPr>
      </w:pPr>
      <w:hyperlink w:anchor="_Toc531799962" w:history="1">
        <w:r w:rsidR="009C7586" w:rsidRPr="00C43562">
          <w:rPr>
            <w:rStyle w:val="Hyperlink"/>
            <w:noProof/>
          </w:rPr>
          <w:t>Figure 13: TSO-TSO settlement Volume based on AOF result</w:t>
        </w:r>
        <w:r w:rsidR="009C7586">
          <w:rPr>
            <w:noProof/>
            <w:webHidden/>
          </w:rPr>
          <w:tab/>
        </w:r>
        <w:r w:rsidR="009C7586">
          <w:rPr>
            <w:noProof/>
            <w:webHidden/>
          </w:rPr>
          <w:fldChar w:fldCharType="begin"/>
        </w:r>
        <w:r w:rsidR="009C7586">
          <w:rPr>
            <w:noProof/>
            <w:webHidden/>
          </w:rPr>
          <w:instrText xml:space="preserve"> PAGEREF _Toc531799962 \h </w:instrText>
        </w:r>
        <w:r w:rsidR="009C7586">
          <w:rPr>
            <w:noProof/>
            <w:webHidden/>
          </w:rPr>
        </w:r>
        <w:r w:rsidR="009C7586">
          <w:rPr>
            <w:noProof/>
            <w:webHidden/>
          </w:rPr>
          <w:fldChar w:fldCharType="separate"/>
        </w:r>
        <w:r w:rsidR="00DF776B">
          <w:rPr>
            <w:noProof/>
            <w:webHidden/>
          </w:rPr>
          <w:t>19</w:t>
        </w:r>
        <w:r w:rsidR="009C7586">
          <w:rPr>
            <w:noProof/>
            <w:webHidden/>
          </w:rPr>
          <w:fldChar w:fldCharType="end"/>
        </w:r>
      </w:hyperlink>
    </w:p>
    <w:p w:rsidR="009C7586" w:rsidRDefault="002D564B">
      <w:pPr>
        <w:pStyle w:val="TableofFigures"/>
        <w:tabs>
          <w:tab w:val="right" w:leader="dot" w:pos="9514"/>
        </w:tabs>
        <w:rPr>
          <w:rFonts w:asciiTheme="minorHAnsi" w:eastAsiaTheme="minorEastAsia" w:hAnsiTheme="minorHAnsi" w:cstheme="minorBidi"/>
          <w:noProof/>
          <w:szCs w:val="22"/>
          <w:lang w:val="de-DE"/>
        </w:rPr>
      </w:pPr>
      <w:hyperlink w:anchor="_Toc531799963" w:history="1">
        <w:r w:rsidR="009C7586" w:rsidRPr="00C43562">
          <w:rPr>
            <w:rStyle w:val="Hyperlink"/>
            <w:noProof/>
          </w:rPr>
          <w:t>Figure 14: TSO-TSO settlement based on simulated and effective aFRR activation</w:t>
        </w:r>
        <w:r w:rsidR="009C7586">
          <w:rPr>
            <w:noProof/>
            <w:webHidden/>
          </w:rPr>
          <w:tab/>
        </w:r>
        <w:r w:rsidR="009C7586">
          <w:rPr>
            <w:noProof/>
            <w:webHidden/>
          </w:rPr>
          <w:fldChar w:fldCharType="begin"/>
        </w:r>
        <w:r w:rsidR="009C7586">
          <w:rPr>
            <w:noProof/>
            <w:webHidden/>
          </w:rPr>
          <w:instrText xml:space="preserve"> PAGEREF _Toc531799963 \h </w:instrText>
        </w:r>
        <w:r w:rsidR="009C7586">
          <w:rPr>
            <w:noProof/>
            <w:webHidden/>
          </w:rPr>
        </w:r>
        <w:r w:rsidR="009C7586">
          <w:rPr>
            <w:noProof/>
            <w:webHidden/>
          </w:rPr>
          <w:fldChar w:fldCharType="separate"/>
        </w:r>
        <w:r w:rsidR="00DF776B">
          <w:rPr>
            <w:noProof/>
            <w:webHidden/>
          </w:rPr>
          <w:t>19</w:t>
        </w:r>
        <w:r w:rsidR="009C7586">
          <w:rPr>
            <w:noProof/>
            <w:webHidden/>
          </w:rPr>
          <w:fldChar w:fldCharType="end"/>
        </w:r>
      </w:hyperlink>
    </w:p>
    <w:p w:rsidR="009C7586" w:rsidRDefault="002D564B">
      <w:pPr>
        <w:pStyle w:val="TableofFigures"/>
        <w:tabs>
          <w:tab w:val="right" w:leader="dot" w:pos="9514"/>
        </w:tabs>
        <w:rPr>
          <w:rFonts w:asciiTheme="minorHAnsi" w:eastAsiaTheme="minorEastAsia" w:hAnsiTheme="minorHAnsi" w:cstheme="minorBidi"/>
          <w:noProof/>
          <w:szCs w:val="22"/>
          <w:lang w:val="de-DE"/>
        </w:rPr>
      </w:pPr>
      <w:hyperlink w:anchor="_Toc531799964" w:history="1">
        <w:r w:rsidR="009C7586" w:rsidRPr="00C43562">
          <w:rPr>
            <w:rStyle w:val="Hyperlink"/>
            <w:noProof/>
          </w:rPr>
          <w:t>Figure 11: Determination of the settlement price in case of perfect netting for aFRR netted volumes</w:t>
        </w:r>
        <w:r w:rsidR="009C7586">
          <w:rPr>
            <w:noProof/>
            <w:webHidden/>
          </w:rPr>
          <w:tab/>
        </w:r>
        <w:r w:rsidR="009C7586">
          <w:rPr>
            <w:noProof/>
            <w:webHidden/>
          </w:rPr>
          <w:fldChar w:fldCharType="begin"/>
        </w:r>
        <w:r w:rsidR="009C7586">
          <w:rPr>
            <w:noProof/>
            <w:webHidden/>
          </w:rPr>
          <w:instrText xml:space="preserve"> PAGEREF _Toc531799964 \h </w:instrText>
        </w:r>
        <w:r w:rsidR="009C7586">
          <w:rPr>
            <w:noProof/>
            <w:webHidden/>
          </w:rPr>
        </w:r>
        <w:r w:rsidR="009C7586">
          <w:rPr>
            <w:noProof/>
            <w:webHidden/>
          </w:rPr>
          <w:fldChar w:fldCharType="separate"/>
        </w:r>
        <w:r w:rsidR="00DF776B">
          <w:rPr>
            <w:noProof/>
            <w:webHidden/>
          </w:rPr>
          <w:t>21</w:t>
        </w:r>
        <w:r w:rsidR="009C7586">
          <w:rPr>
            <w:noProof/>
            <w:webHidden/>
          </w:rPr>
          <w:fldChar w:fldCharType="end"/>
        </w:r>
      </w:hyperlink>
    </w:p>
    <w:p w:rsidR="009C7586" w:rsidRDefault="002D564B">
      <w:pPr>
        <w:pStyle w:val="TableofFigures"/>
        <w:tabs>
          <w:tab w:val="right" w:leader="dot" w:pos="9514"/>
        </w:tabs>
        <w:rPr>
          <w:rFonts w:asciiTheme="minorHAnsi" w:eastAsiaTheme="minorEastAsia" w:hAnsiTheme="minorHAnsi" w:cstheme="minorBidi"/>
          <w:noProof/>
          <w:szCs w:val="22"/>
          <w:lang w:val="de-DE"/>
        </w:rPr>
      </w:pPr>
      <w:hyperlink w:anchor="_Toc531799965" w:history="1">
        <w:r w:rsidR="009C7586" w:rsidRPr="00C43562">
          <w:rPr>
            <w:rStyle w:val="Hyperlink"/>
            <w:noProof/>
          </w:rPr>
          <w:t>Figure 16: Example of pay-as-bid pricing: upward Value of Avoided aFRR activation</w:t>
        </w:r>
        <w:r w:rsidR="009C7586">
          <w:rPr>
            <w:noProof/>
            <w:webHidden/>
          </w:rPr>
          <w:tab/>
        </w:r>
        <w:r w:rsidR="009C7586">
          <w:rPr>
            <w:noProof/>
            <w:webHidden/>
          </w:rPr>
          <w:fldChar w:fldCharType="begin"/>
        </w:r>
        <w:r w:rsidR="009C7586">
          <w:rPr>
            <w:noProof/>
            <w:webHidden/>
          </w:rPr>
          <w:instrText xml:space="preserve"> PAGEREF _Toc531799965 \h </w:instrText>
        </w:r>
        <w:r w:rsidR="009C7586">
          <w:rPr>
            <w:noProof/>
            <w:webHidden/>
          </w:rPr>
        </w:r>
        <w:r w:rsidR="009C7586">
          <w:rPr>
            <w:noProof/>
            <w:webHidden/>
          </w:rPr>
          <w:fldChar w:fldCharType="separate"/>
        </w:r>
        <w:r w:rsidR="00DF776B">
          <w:rPr>
            <w:noProof/>
            <w:webHidden/>
          </w:rPr>
          <w:t>23</w:t>
        </w:r>
        <w:r w:rsidR="009C7586">
          <w:rPr>
            <w:noProof/>
            <w:webHidden/>
          </w:rPr>
          <w:fldChar w:fldCharType="end"/>
        </w:r>
      </w:hyperlink>
    </w:p>
    <w:p w:rsidR="009C7586" w:rsidRDefault="002D564B">
      <w:pPr>
        <w:pStyle w:val="TableofFigures"/>
        <w:tabs>
          <w:tab w:val="right" w:leader="dot" w:pos="9514"/>
        </w:tabs>
        <w:rPr>
          <w:rFonts w:asciiTheme="minorHAnsi" w:eastAsiaTheme="minorEastAsia" w:hAnsiTheme="minorHAnsi" w:cstheme="minorBidi"/>
          <w:noProof/>
          <w:szCs w:val="22"/>
          <w:lang w:val="de-DE"/>
        </w:rPr>
      </w:pPr>
      <w:hyperlink w:anchor="_Toc531799966" w:history="1">
        <w:r w:rsidR="009C7586" w:rsidRPr="00C43562">
          <w:rPr>
            <w:rStyle w:val="Hyperlink"/>
            <w:noProof/>
          </w:rPr>
          <w:t>Figure 1716: Example of pay-as-bid pricing: downward Value of Avoided aFRR activation</w:t>
        </w:r>
        <w:r w:rsidR="009C7586">
          <w:rPr>
            <w:noProof/>
            <w:webHidden/>
          </w:rPr>
          <w:tab/>
        </w:r>
        <w:r w:rsidR="009C7586">
          <w:rPr>
            <w:noProof/>
            <w:webHidden/>
          </w:rPr>
          <w:fldChar w:fldCharType="begin"/>
        </w:r>
        <w:r w:rsidR="009C7586">
          <w:rPr>
            <w:noProof/>
            <w:webHidden/>
          </w:rPr>
          <w:instrText xml:space="preserve"> PAGEREF _Toc531799966 \h </w:instrText>
        </w:r>
        <w:r w:rsidR="009C7586">
          <w:rPr>
            <w:noProof/>
            <w:webHidden/>
          </w:rPr>
        </w:r>
        <w:r w:rsidR="009C7586">
          <w:rPr>
            <w:noProof/>
            <w:webHidden/>
          </w:rPr>
          <w:fldChar w:fldCharType="separate"/>
        </w:r>
        <w:r w:rsidR="00DF776B">
          <w:rPr>
            <w:noProof/>
            <w:webHidden/>
          </w:rPr>
          <w:t>23</w:t>
        </w:r>
        <w:r w:rsidR="009C7586">
          <w:rPr>
            <w:noProof/>
            <w:webHidden/>
          </w:rPr>
          <w:fldChar w:fldCharType="end"/>
        </w:r>
      </w:hyperlink>
    </w:p>
    <w:p w:rsidR="009C7586" w:rsidRDefault="002D564B">
      <w:pPr>
        <w:pStyle w:val="TableofFigures"/>
        <w:tabs>
          <w:tab w:val="right" w:leader="dot" w:pos="9514"/>
        </w:tabs>
        <w:rPr>
          <w:rFonts w:asciiTheme="minorHAnsi" w:eastAsiaTheme="minorEastAsia" w:hAnsiTheme="minorHAnsi" w:cstheme="minorBidi"/>
          <w:noProof/>
          <w:szCs w:val="22"/>
          <w:lang w:val="de-DE"/>
        </w:rPr>
      </w:pPr>
      <w:hyperlink w:anchor="_Toc531799967" w:history="1">
        <w:r w:rsidR="009C7586" w:rsidRPr="00C43562">
          <w:rPr>
            <w:rStyle w:val="Hyperlink"/>
            <w:noProof/>
          </w:rPr>
          <w:t>Figure 14: Example of marginal pricing: upward Value of Avoided aFRR activation</w:t>
        </w:r>
        <w:r w:rsidR="009C7586">
          <w:rPr>
            <w:noProof/>
            <w:webHidden/>
          </w:rPr>
          <w:tab/>
        </w:r>
        <w:r w:rsidR="009C7586">
          <w:rPr>
            <w:noProof/>
            <w:webHidden/>
          </w:rPr>
          <w:fldChar w:fldCharType="begin"/>
        </w:r>
        <w:r w:rsidR="009C7586">
          <w:rPr>
            <w:noProof/>
            <w:webHidden/>
          </w:rPr>
          <w:instrText xml:space="preserve"> PAGEREF _Toc531799967 \h </w:instrText>
        </w:r>
        <w:r w:rsidR="009C7586">
          <w:rPr>
            <w:noProof/>
            <w:webHidden/>
          </w:rPr>
        </w:r>
        <w:r w:rsidR="009C7586">
          <w:rPr>
            <w:noProof/>
            <w:webHidden/>
          </w:rPr>
          <w:fldChar w:fldCharType="separate"/>
        </w:r>
        <w:r w:rsidR="00DF776B">
          <w:rPr>
            <w:noProof/>
            <w:webHidden/>
          </w:rPr>
          <w:t>24</w:t>
        </w:r>
        <w:r w:rsidR="009C7586">
          <w:rPr>
            <w:noProof/>
            <w:webHidden/>
          </w:rPr>
          <w:fldChar w:fldCharType="end"/>
        </w:r>
      </w:hyperlink>
    </w:p>
    <w:p w:rsidR="009C7586" w:rsidRDefault="002D564B">
      <w:pPr>
        <w:pStyle w:val="TableofFigures"/>
        <w:tabs>
          <w:tab w:val="right" w:leader="dot" w:pos="9514"/>
        </w:tabs>
        <w:rPr>
          <w:rFonts w:asciiTheme="minorHAnsi" w:eastAsiaTheme="minorEastAsia" w:hAnsiTheme="minorHAnsi" w:cstheme="minorBidi"/>
          <w:noProof/>
          <w:szCs w:val="22"/>
          <w:lang w:val="de-DE"/>
        </w:rPr>
      </w:pPr>
      <w:hyperlink w:anchor="_Toc531799968" w:history="1">
        <w:r w:rsidR="009C7586" w:rsidRPr="00C43562">
          <w:rPr>
            <w:rStyle w:val="Hyperlink"/>
            <w:noProof/>
          </w:rPr>
          <w:t>Figure 19: Example of marginal pricing: downward Value of Avoided aFRR activation</w:t>
        </w:r>
        <w:r w:rsidR="009C7586">
          <w:rPr>
            <w:noProof/>
            <w:webHidden/>
          </w:rPr>
          <w:tab/>
        </w:r>
        <w:r w:rsidR="009C7586">
          <w:rPr>
            <w:noProof/>
            <w:webHidden/>
          </w:rPr>
          <w:fldChar w:fldCharType="begin"/>
        </w:r>
        <w:r w:rsidR="009C7586">
          <w:rPr>
            <w:noProof/>
            <w:webHidden/>
          </w:rPr>
          <w:instrText xml:space="preserve"> PAGEREF _Toc531799968 \h </w:instrText>
        </w:r>
        <w:r w:rsidR="009C7586">
          <w:rPr>
            <w:noProof/>
            <w:webHidden/>
          </w:rPr>
        </w:r>
        <w:r w:rsidR="009C7586">
          <w:rPr>
            <w:noProof/>
            <w:webHidden/>
          </w:rPr>
          <w:fldChar w:fldCharType="separate"/>
        </w:r>
        <w:r w:rsidR="00DF776B">
          <w:rPr>
            <w:noProof/>
            <w:webHidden/>
          </w:rPr>
          <w:t>24</w:t>
        </w:r>
        <w:r w:rsidR="009C7586">
          <w:rPr>
            <w:noProof/>
            <w:webHidden/>
          </w:rPr>
          <w:fldChar w:fldCharType="end"/>
        </w:r>
      </w:hyperlink>
    </w:p>
    <w:p w:rsidR="00E83EBE" w:rsidRPr="009A4C44" w:rsidRDefault="00E83EBE" w:rsidP="006114F2">
      <w:pPr>
        <w:pStyle w:val="textregular"/>
      </w:pPr>
      <w:r w:rsidRPr="009A4C44">
        <w:fldChar w:fldCharType="end"/>
      </w:r>
    </w:p>
    <w:p w:rsidR="00E83EBE" w:rsidRPr="009A4C44" w:rsidRDefault="00E83EBE" w:rsidP="00E83EBE">
      <w:pPr>
        <w:pStyle w:val="Headline14pt"/>
        <w:pageBreakBefore w:val="0"/>
        <w:jc w:val="both"/>
        <w:outlineLvl w:val="0"/>
      </w:pPr>
      <w:bookmarkStart w:id="9" w:name="_Toc531268849"/>
      <w:bookmarkStart w:id="10" w:name="_Toc531687670"/>
      <w:bookmarkStart w:id="11" w:name="_Toc531787023"/>
      <w:bookmarkStart w:id="12" w:name="_Toc531799932"/>
      <w:bookmarkStart w:id="13" w:name="_Toc520993435"/>
      <w:bookmarkStart w:id="14" w:name="_Toc520999246"/>
      <w:bookmarkStart w:id="15" w:name="_Toc522181337"/>
      <w:bookmarkStart w:id="16" w:name="_Toc522195274"/>
      <w:bookmarkStart w:id="17" w:name="_Toc523816541"/>
      <w:r w:rsidRPr="009A4C44">
        <w:t>List of Tables</w:t>
      </w:r>
      <w:bookmarkEnd w:id="9"/>
      <w:bookmarkEnd w:id="10"/>
      <w:bookmarkEnd w:id="11"/>
      <w:bookmarkEnd w:id="12"/>
    </w:p>
    <w:bookmarkEnd w:id="13"/>
    <w:bookmarkEnd w:id="14"/>
    <w:bookmarkEnd w:id="15"/>
    <w:bookmarkEnd w:id="16"/>
    <w:bookmarkEnd w:id="17"/>
    <w:p w:rsidR="009C7586" w:rsidRDefault="00A668B6">
      <w:pPr>
        <w:pStyle w:val="TableofFigures"/>
        <w:tabs>
          <w:tab w:val="right" w:leader="dot" w:pos="9514"/>
        </w:tabs>
        <w:rPr>
          <w:rFonts w:asciiTheme="minorHAnsi" w:eastAsiaTheme="minorEastAsia" w:hAnsiTheme="minorHAnsi" w:cstheme="minorBidi"/>
          <w:noProof/>
          <w:szCs w:val="22"/>
          <w:lang w:val="de-DE"/>
        </w:rPr>
      </w:pPr>
      <w:r w:rsidRPr="009A4C44">
        <w:fldChar w:fldCharType="begin"/>
      </w:r>
      <w:r w:rsidRPr="009A4C44">
        <w:instrText xml:space="preserve"> TOC \h \z \c "Table" </w:instrText>
      </w:r>
      <w:r w:rsidRPr="009A4C44">
        <w:fldChar w:fldCharType="separate"/>
      </w:r>
      <w:hyperlink w:anchor="_Toc531799969" w:history="1">
        <w:r w:rsidR="009C7586" w:rsidRPr="00343C5F">
          <w:rPr>
            <w:rStyle w:val="Hyperlink"/>
            <w:noProof/>
          </w:rPr>
          <w:t>Table 1: Payment directions</w:t>
        </w:r>
        <w:r w:rsidR="009C7586">
          <w:rPr>
            <w:noProof/>
            <w:webHidden/>
          </w:rPr>
          <w:tab/>
        </w:r>
        <w:r w:rsidR="009C7586">
          <w:rPr>
            <w:noProof/>
            <w:webHidden/>
          </w:rPr>
          <w:fldChar w:fldCharType="begin"/>
        </w:r>
        <w:r w:rsidR="009C7586">
          <w:rPr>
            <w:noProof/>
            <w:webHidden/>
          </w:rPr>
          <w:instrText xml:space="preserve"> PAGEREF _Toc531799969 \h </w:instrText>
        </w:r>
        <w:r w:rsidR="009C7586">
          <w:rPr>
            <w:noProof/>
            <w:webHidden/>
          </w:rPr>
        </w:r>
        <w:r w:rsidR="009C7586">
          <w:rPr>
            <w:noProof/>
            <w:webHidden/>
          </w:rPr>
          <w:fldChar w:fldCharType="separate"/>
        </w:r>
        <w:r w:rsidR="00DF776B">
          <w:rPr>
            <w:noProof/>
            <w:webHidden/>
          </w:rPr>
          <w:t>10</w:t>
        </w:r>
        <w:r w:rsidR="009C7586">
          <w:rPr>
            <w:noProof/>
            <w:webHidden/>
          </w:rPr>
          <w:fldChar w:fldCharType="end"/>
        </w:r>
      </w:hyperlink>
    </w:p>
    <w:p w:rsidR="009C7586" w:rsidRDefault="002D564B">
      <w:pPr>
        <w:pStyle w:val="TableofFigures"/>
        <w:tabs>
          <w:tab w:val="right" w:leader="dot" w:pos="9514"/>
        </w:tabs>
        <w:rPr>
          <w:rFonts w:asciiTheme="minorHAnsi" w:eastAsiaTheme="minorEastAsia" w:hAnsiTheme="minorHAnsi" w:cstheme="minorBidi"/>
          <w:noProof/>
          <w:szCs w:val="22"/>
          <w:lang w:val="de-DE"/>
        </w:rPr>
      </w:pPr>
      <w:hyperlink w:anchor="_Toc531799970" w:history="1">
        <w:r w:rsidR="009C7586" w:rsidRPr="00343C5F">
          <w:rPr>
            <w:rStyle w:val="Hyperlink"/>
            <w:noProof/>
          </w:rPr>
          <w:t>Table 2: BSP bids</w:t>
        </w:r>
        <w:r w:rsidR="009C7586">
          <w:rPr>
            <w:noProof/>
            <w:webHidden/>
          </w:rPr>
          <w:tab/>
        </w:r>
        <w:r w:rsidR="009C7586">
          <w:rPr>
            <w:noProof/>
            <w:webHidden/>
          </w:rPr>
          <w:fldChar w:fldCharType="begin"/>
        </w:r>
        <w:r w:rsidR="009C7586">
          <w:rPr>
            <w:noProof/>
            <w:webHidden/>
          </w:rPr>
          <w:instrText xml:space="preserve"> PAGEREF _Toc531799970 \h </w:instrText>
        </w:r>
        <w:r w:rsidR="009C7586">
          <w:rPr>
            <w:noProof/>
            <w:webHidden/>
          </w:rPr>
        </w:r>
        <w:r w:rsidR="009C7586">
          <w:rPr>
            <w:noProof/>
            <w:webHidden/>
          </w:rPr>
          <w:fldChar w:fldCharType="separate"/>
        </w:r>
        <w:r w:rsidR="00DF776B">
          <w:rPr>
            <w:noProof/>
            <w:webHidden/>
          </w:rPr>
          <w:t>12</w:t>
        </w:r>
        <w:r w:rsidR="009C7586">
          <w:rPr>
            <w:noProof/>
            <w:webHidden/>
          </w:rPr>
          <w:fldChar w:fldCharType="end"/>
        </w:r>
      </w:hyperlink>
    </w:p>
    <w:p w:rsidR="009C7586" w:rsidRDefault="002D564B">
      <w:pPr>
        <w:pStyle w:val="TableofFigures"/>
        <w:tabs>
          <w:tab w:val="right" w:leader="dot" w:pos="9514"/>
        </w:tabs>
        <w:rPr>
          <w:rFonts w:asciiTheme="minorHAnsi" w:eastAsiaTheme="minorEastAsia" w:hAnsiTheme="minorHAnsi" w:cstheme="minorBidi"/>
          <w:noProof/>
          <w:szCs w:val="22"/>
          <w:lang w:val="de-DE"/>
        </w:rPr>
      </w:pPr>
      <w:hyperlink w:anchor="_Toc531799971" w:history="1">
        <w:r w:rsidR="009C7586" w:rsidRPr="00343C5F">
          <w:rPr>
            <w:rStyle w:val="Hyperlink"/>
            <w:noProof/>
          </w:rPr>
          <w:t>Table 3: BSP offers and the selected quantities for the UC run</w:t>
        </w:r>
        <w:r w:rsidR="009C7586">
          <w:rPr>
            <w:noProof/>
            <w:webHidden/>
          </w:rPr>
          <w:tab/>
        </w:r>
        <w:r w:rsidR="009C7586">
          <w:rPr>
            <w:noProof/>
            <w:webHidden/>
          </w:rPr>
          <w:fldChar w:fldCharType="begin"/>
        </w:r>
        <w:r w:rsidR="009C7586">
          <w:rPr>
            <w:noProof/>
            <w:webHidden/>
          </w:rPr>
          <w:instrText xml:space="preserve"> PAGEREF _Toc531799971 \h </w:instrText>
        </w:r>
        <w:r w:rsidR="009C7586">
          <w:rPr>
            <w:noProof/>
            <w:webHidden/>
          </w:rPr>
        </w:r>
        <w:r w:rsidR="009C7586">
          <w:rPr>
            <w:noProof/>
            <w:webHidden/>
          </w:rPr>
          <w:fldChar w:fldCharType="separate"/>
        </w:r>
        <w:r w:rsidR="00DF776B">
          <w:rPr>
            <w:noProof/>
            <w:webHidden/>
          </w:rPr>
          <w:t>13</w:t>
        </w:r>
        <w:r w:rsidR="009C7586">
          <w:rPr>
            <w:noProof/>
            <w:webHidden/>
          </w:rPr>
          <w:fldChar w:fldCharType="end"/>
        </w:r>
      </w:hyperlink>
    </w:p>
    <w:p w:rsidR="009C7586" w:rsidRDefault="002D564B">
      <w:pPr>
        <w:pStyle w:val="TableofFigures"/>
        <w:tabs>
          <w:tab w:val="right" w:leader="dot" w:pos="9514"/>
        </w:tabs>
        <w:rPr>
          <w:rFonts w:asciiTheme="minorHAnsi" w:eastAsiaTheme="minorEastAsia" w:hAnsiTheme="minorHAnsi" w:cstheme="minorBidi"/>
          <w:noProof/>
          <w:szCs w:val="22"/>
          <w:lang w:val="de-DE"/>
        </w:rPr>
      </w:pPr>
      <w:hyperlink w:anchor="_Toc531799972" w:history="1">
        <w:r w:rsidR="009C7586" w:rsidRPr="00343C5F">
          <w:rPr>
            <w:rStyle w:val="Hyperlink"/>
            <w:noProof/>
          </w:rPr>
          <w:t>Table 4: BSP offers and the selected quantities for the constrained run</w:t>
        </w:r>
        <w:r w:rsidR="009C7586">
          <w:rPr>
            <w:noProof/>
            <w:webHidden/>
          </w:rPr>
          <w:tab/>
        </w:r>
        <w:r w:rsidR="009C7586">
          <w:rPr>
            <w:noProof/>
            <w:webHidden/>
          </w:rPr>
          <w:fldChar w:fldCharType="begin"/>
        </w:r>
        <w:r w:rsidR="009C7586">
          <w:rPr>
            <w:noProof/>
            <w:webHidden/>
          </w:rPr>
          <w:instrText xml:space="preserve"> PAGEREF _Toc531799972 \h </w:instrText>
        </w:r>
        <w:r w:rsidR="009C7586">
          <w:rPr>
            <w:noProof/>
            <w:webHidden/>
          </w:rPr>
        </w:r>
        <w:r w:rsidR="009C7586">
          <w:rPr>
            <w:noProof/>
            <w:webHidden/>
          </w:rPr>
          <w:fldChar w:fldCharType="separate"/>
        </w:r>
        <w:r w:rsidR="00DF776B">
          <w:rPr>
            <w:noProof/>
            <w:webHidden/>
          </w:rPr>
          <w:t>14</w:t>
        </w:r>
        <w:r w:rsidR="009C7586">
          <w:rPr>
            <w:noProof/>
            <w:webHidden/>
          </w:rPr>
          <w:fldChar w:fldCharType="end"/>
        </w:r>
      </w:hyperlink>
    </w:p>
    <w:p w:rsidR="009C7586" w:rsidRDefault="002D564B">
      <w:pPr>
        <w:pStyle w:val="TableofFigures"/>
        <w:tabs>
          <w:tab w:val="right" w:leader="dot" w:pos="9514"/>
        </w:tabs>
        <w:rPr>
          <w:rFonts w:asciiTheme="minorHAnsi" w:eastAsiaTheme="minorEastAsia" w:hAnsiTheme="minorHAnsi" w:cstheme="minorBidi"/>
          <w:noProof/>
          <w:szCs w:val="22"/>
          <w:lang w:val="de-DE"/>
        </w:rPr>
      </w:pPr>
      <w:hyperlink w:anchor="_Toc531799973" w:history="1">
        <w:r w:rsidR="009C7586" w:rsidRPr="00343C5F">
          <w:rPr>
            <w:rStyle w:val="Hyperlink"/>
            <w:noProof/>
          </w:rPr>
          <w:t>Table 5: Bid volumes and price uplifts due to the constrained run</w:t>
        </w:r>
        <w:r w:rsidR="009C7586">
          <w:rPr>
            <w:noProof/>
            <w:webHidden/>
          </w:rPr>
          <w:tab/>
        </w:r>
        <w:r w:rsidR="009C7586">
          <w:rPr>
            <w:noProof/>
            <w:webHidden/>
          </w:rPr>
          <w:fldChar w:fldCharType="begin"/>
        </w:r>
        <w:r w:rsidR="009C7586">
          <w:rPr>
            <w:noProof/>
            <w:webHidden/>
          </w:rPr>
          <w:instrText xml:space="preserve"> PAGEREF _Toc531799973 \h </w:instrText>
        </w:r>
        <w:r w:rsidR="009C7586">
          <w:rPr>
            <w:noProof/>
            <w:webHidden/>
          </w:rPr>
        </w:r>
        <w:r w:rsidR="009C7586">
          <w:rPr>
            <w:noProof/>
            <w:webHidden/>
          </w:rPr>
          <w:fldChar w:fldCharType="separate"/>
        </w:r>
        <w:r w:rsidR="00DF776B">
          <w:rPr>
            <w:noProof/>
            <w:webHidden/>
          </w:rPr>
          <w:t>15</w:t>
        </w:r>
        <w:r w:rsidR="009C7586">
          <w:rPr>
            <w:noProof/>
            <w:webHidden/>
          </w:rPr>
          <w:fldChar w:fldCharType="end"/>
        </w:r>
      </w:hyperlink>
    </w:p>
    <w:p w:rsidR="009C7586" w:rsidRDefault="002D564B">
      <w:pPr>
        <w:pStyle w:val="TableofFigures"/>
        <w:tabs>
          <w:tab w:val="right" w:leader="dot" w:pos="9514"/>
        </w:tabs>
        <w:rPr>
          <w:rFonts w:asciiTheme="minorHAnsi" w:eastAsiaTheme="minorEastAsia" w:hAnsiTheme="minorHAnsi" w:cstheme="minorBidi"/>
          <w:noProof/>
          <w:szCs w:val="22"/>
          <w:lang w:val="de-DE"/>
        </w:rPr>
      </w:pPr>
      <w:hyperlink w:anchor="_Toc531799974" w:history="1">
        <w:r w:rsidR="009C7586" w:rsidRPr="00343C5F">
          <w:rPr>
            <w:rStyle w:val="Hyperlink"/>
            <w:noProof/>
          </w:rPr>
          <w:t>Table 6: Balancing costs of a TSO delivering balancing energy for system constraints</w:t>
        </w:r>
        <w:r w:rsidR="009C7586">
          <w:rPr>
            <w:noProof/>
            <w:webHidden/>
          </w:rPr>
          <w:tab/>
        </w:r>
        <w:r w:rsidR="009C7586">
          <w:rPr>
            <w:noProof/>
            <w:webHidden/>
          </w:rPr>
          <w:fldChar w:fldCharType="begin"/>
        </w:r>
        <w:r w:rsidR="009C7586">
          <w:rPr>
            <w:noProof/>
            <w:webHidden/>
          </w:rPr>
          <w:instrText xml:space="preserve"> PAGEREF _Toc531799974 \h </w:instrText>
        </w:r>
        <w:r w:rsidR="009C7586">
          <w:rPr>
            <w:noProof/>
            <w:webHidden/>
          </w:rPr>
        </w:r>
        <w:r w:rsidR="009C7586">
          <w:rPr>
            <w:noProof/>
            <w:webHidden/>
          </w:rPr>
          <w:fldChar w:fldCharType="separate"/>
        </w:r>
        <w:r w:rsidR="00DF776B">
          <w:rPr>
            <w:noProof/>
            <w:webHidden/>
          </w:rPr>
          <w:t>16</w:t>
        </w:r>
        <w:r w:rsidR="009C7586">
          <w:rPr>
            <w:noProof/>
            <w:webHidden/>
          </w:rPr>
          <w:fldChar w:fldCharType="end"/>
        </w:r>
      </w:hyperlink>
    </w:p>
    <w:p w:rsidR="009C7586" w:rsidRDefault="002D564B">
      <w:pPr>
        <w:pStyle w:val="TableofFigures"/>
        <w:tabs>
          <w:tab w:val="right" w:leader="dot" w:pos="9514"/>
        </w:tabs>
        <w:rPr>
          <w:rFonts w:asciiTheme="minorHAnsi" w:eastAsiaTheme="minorEastAsia" w:hAnsiTheme="minorHAnsi" w:cstheme="minorBidi"/>
          <w:noProof/>
          <w:szCs w:val="22"/>
          <w:lang w:val="de-DE"/>
        </w:rPr>
      </w:pPr>
      <w:hyperlink w:anchor="_Toc531799975" w:history="1">
        <w:r w:rsidR="009C7586" w:rsidRPr="00343C5F">
          <w:rPr>
            <w:rStyle w:val="Hyperlink"/>
            <w:noProof/>
          </w:rPr>
          <w:t>Table 7: Netting opposed aFRR demands</w:t>
        </w:r>
        <w:r w:rsidR="009C7586">
          <w:rPr>
            <w:noProof/>
            <w:webHidden/>
          </w:rPr>
          <w:tab/>
        </w:r>
        <w:r w:rsidR="009C7586">
          <w:rPr>
            <w:noProof/>
            <w:webHidden/>
          </w:rPr>
          <w:fldChar w:fldCharType="begin"/>
        </w:r>
        <w:r w:rsidR="009C7586">
          <w:rPr>
            <w:noProof/>
            <w:webHidden/>
          </w:rPr>
          <w:instrText xml:space="preserve"> PAGEREF _Toc531799975 \h </w:instrText>
        </w:r>
        <w:r w:rsidR="009C7586">
          <w:rPr>
            <w:noProof/>
            <w:webHidden/>
          </w:rPr>
        </w:r>
        <w:r w:rsidR="009C7586">
          <w:rPr>
            <w:noProof/>
            <w:webHidden/>
          </w:rPr>
          <w:fldChar w:fldCharType="separate"/>
        </w:r>
        <w:r w:rsidR="00DF776B">
          <w:rPr>
            <w:noProof/>
            <w:webHidden/>
          </w:rPr>
          <w:t>20</w:t>
        </w:r>
        <w:r w:rsidR="009C7586">
          <w:rPr>
            <w:noProof/>
            <w:webHidden/>
          </w:rPr>
          <w:fldChar w:fldCharType="end"/>
        </w:r>
      </w:hyperlink>
    </w:p>
    <w:p w:rsidR="009C7586" w:rsidRDefault="002D564B">
      <w:pPr>
        <w:pStyle w:val="TableofFigures"/>
        <w:tabs>
          <w:tab w:val="right" w:leader="dot" w:pos="9514"/>
        </w:tabs>
        <w:rPr>
          <w:rFonts w:asciiTheme="minorHAnsi" w:eastAsiaTheme="minorEastAsia" w:hAnsiTheme="minorHAnsi" w:cstheme="minorBidi"/>
          <w:noProof/>
          <w:szCs w:val="22"/>
          <w:lang w:val="de-DE"/>
        </w:rPr>
      </w:pPr>
      <w:hyperlink w:anchor="_Toc531799976" w:history="1">
        <w:r w:rsidR="009C7586" w:rsidRPr="00343C5F">
          <w:rPr>
            <w:rStyle w:val="Hyperlink"/>
            <w:noProof/>
          </w:rPr>
          <w:t>Table 7: variables and sign conventions for the following calculations</w:t>
        </w:r>
        <w:r w:rsidR="009C7586">
          <w:rPr>
            <w:noProof/>
            <w:webHidden/>
          </w:rPr>
          <w:tab/>
        </w:r>
        <w:r w:rsidR="009C7586">
          <w:rPr>
            <w:noProof/>
            <w:webHidden/>
          </w:rPr>
          <w:fldChar w:fldCharType="begin"/>
        </w:r>
        <w:r w:rsidR="009C7586">
          <w:rPr>
            <w:noProof/>
            <w:webHidden/>
          </w:rPr>
          <w:instrText xml:space="preserve"> PAGEREF _Toc531799976 \h </w:instrText>
        </w:r>
        <w:r w:rsidR="009C7586">
          <w:rPr>
            <w:noProof/>
            <w:webHidden/>
          </w:rPr>
        </w:r>
        <w:r w:rsidR="009C7586">
          <w:rPr>
            <w:noProof/>
            <w:webHidden/>
          </w:rPr>
          <w:fldChar w:fldCharType="separate"/>
        </w:r>
        <w:r w:rsidR="00DF776B">
          <w:rPr>
            <w:noProof/>
            <w:webHidden/>
          </w:rPr>
          <w:t>26</w:t>
        </w:r>
        <w:r w:rsidR="009C7586">
          <w:rPr>
            <w:noProof/>
            <w:webHidden/>
          </w:rPr>
          <w:fldChar w:fldCharType="end"/>
        </w:r>
      </w:hyperlink>
    </w:p>
    <w:p w:rsidR="009C7586" w:rsidRDefault="002D564B">
      <w:pPr>
        <w:pStyle w:val="TableofFigures"/>
        <w:tabs>
          <w:tab w:val="right" w:leader="dot" w:pos="9514"/>
        </w:tabs>
        <w:rPr>
          <w:rFonts w:asciiTheme="minorHAnsi" w:eastAsiaTheme="minorEastAsia" w:hAnsiTheme="minorHAnsi" w:cstheme="minorBidi"/>
          <w:noProof/>
          <w:szCs w:val="22"/>
          <w:lang w:val="de-DE"/>
        </w:rPr>
      </w:pPr>
      <w:hyperlink w:anchor="_Toc531799977" w:history="1">
        <w:r w:rsidR="009C7586" w:rsidRPr="00343C5F">
          <w:rPr>
            <w:rStyle w:val="Hyperlink"/>
            <w:noProof/>
          </w:rPr>
          <w:t>Table 8: Full Example for the adjusted settlement</w:t>
        </w:r>
        <w:r w:rsidR="009C7586">
          <w:rPr>
            <w:noProof/>
            <w:webHidden/>
          </w:rPr>
          <w:tab/>
        </w:r>
        <w:r w:rsidR="009C7586">
          <w:rPr>
            <w:noProof/>
            <w:webHidden/>
          </w:rPr>
          <w:fldChar w:fldCharType="begin"/>
        </w:r>
        <w:r w:rsidR="009C7586">
          <w:rPr>
            <w:noProof/>
            <w:webHidden/>
          </w:rPr>
          <w:instrText xml:space="preserve"> PAGEREF _Toc531799977 \h </w:instrText>
        </w:r>
        <w:r w:rsidR="009C7586">
          <w:rPr>
            <w:noProof/>
            <w:webHidden/>
          </w:rPr>
        </w:r>
        <w:r w:rsidR="009C7586">
          <w:rPr>
            <w:noProof/>
            <w:webHidden/>
          </w:rPr>
          <w:fldChar w:fldCharType="separate"/>
        </w:r>
        <w:r w:rsidR="00DF776B">
          <w:rPr>
            <w:noProof/>
            <w:webHidden/>
          </w:rPr>
          <w:t>28</w:t>
        </w:r>
        <w:r w:rsidR="009C7586">
          <w:rPr>
            <w:noProof/>
            <w:webHidden/>
          </w:rPr>
          <w:fldChar w:fldCharType="end"/>
        </w:r>
      </w:hyperlink>
    </w:p>
    <w:p w:rsidR="0089092C" w:rsidRPr="009A4C44" w:rsidRDefault="00A668B6" w:rsidP="0089092C">
      <w:pPr>
        <w:rPr>
          <w:rFonts w:ascii="Times New Roman" w:hAnsi="Times New Roman"/>
        </w:rPr>
      </w:pPr>
      <w:r w:rsidRPr="009A4C44">
        <w:rPr>
          <w:rFonts w:ascii="Times New Roman" w:hAnsi="Times New Roman"/>
        </w:rPr>
        <w:fldChar w:fldCharType="end"/>
      </w:r>
    </w:p>
    <w:p w:rsidR="00CD3681" w:rsidRPr="009A4C44" w:rsidRDefault="00CD3681" w:rsidP="002E146C">
      <w:pPr>
        <w:pStyle w:val="Headline14pt"/>
        <w:jc w:val="both"/>
        <w:outlineLvl w:val="0"/>
      </w:pPr>
      <w:bookmarkStart w:id="18" w:name="_Toc520999247"/>
      <w:bookmarkStart w:id="19" w:name="_Toc522195275"/>
      <w:bookmarkStart w:id="20" w:name="_Toc523816542"/>
      <w:bookmarkStart w:id="21" w:name="_Toc531687671"/>
      <w:bookmarkStart w:id="22" w:name="_Toc531787024"/>
      <w:bookmarkStart w:id="23" w:name="_Toc531799933"/>
      <w:bookmarkStart w:id="24" w:name="_Toc522181338"/>
      <w:bookmarkStart w:id="25" w:name="_Toc520316931"/>
      <w:r w:rsidRPr="009A4C44">
        <w:lastRenderedPageBreak/>
        <w:t>Definitions</w:t>
      </w:r>
      <w:r w:rsidR="003703FE" w:rsidRPr="009A4C44">
        <w:t xml:space="preserve"> and Abbreviations</w:t>
      </w:r>
      <w:bookmarkEnd w:id="18"/>
      <w:bookmarkEnd w:id="19"/>
      <w:bookmarkEnd w:id="20"/>
      <w:bookmarkEnd w:id="21"/>
      <w:bookmarkEnd w:id="22"/>
      <w:bookmarkEnd w:id="23"/>
    </w:p>
    <w:bookmarkEnd w:id="24"/>
    <w:p w:rsidR="007400D5" w:rsidRPr="009A4C44" w:rsidRDefault="007400D5" w:rsidP="00DD58FA">
      <w:pPr>
        <w:pStyle w:val="headline2"/>
        <w:numPr>
          <w:ilvl w:val="0"/>
          <w:numId w:val="9"/>
        </w:numPr>
      </w:pPr>
      <w:r w:rsidRPr="009A4C44">
        <w:t>Definitions</w:t>
      </w:r>
    </w:p>
    <w:p w:rsidR="00586954" w:rsidRPr="009A4C44" w:rsidRDefault="00586954" w:rsidP="00CD3681">
      <w:pPr>
        <w:pStyle w:val="textregular"/>
      </w:pPr>
    </w:p>
    <w:p w:rsidR="00E87F14" w:rsidRPr="00EC67B2" w:rsidRDefault="006E7EA6" w:rsidP="00F66875">
      <w:pPr>
        <w:pStyle w:val="textregular"/>
        <w:ind w:left="3828" w:hanging="3824"/>
        <w:rPr>
          <w:sz w:val="20"/>
          <w:szCs w:val="22"/>
        </w:rPr>
      </w:pPr>
      <w:r w:rsidRPr="00F66875" w:rsidDel="006E7EA6">
        <w:rPr>
          <w:b/>
          <w:szCs w:val="22"/>
        </w:rPr>
        <w:t xml:space="preserve"> </w:t>
      </w:r>
      <w:r w:rsidR="00E87F14" w:rsidRPr="00EC67B2">
        <w:rPr>
          <w:b/>
          <w:sz w:val="20"/>
          <w:szCs w:val="22"/>
        </w:rPr>
        <w:t>‘</w:t>
      </w:r>
      <w:proofErr w:type="spellStart"/>
      <w:proofErr w:type="gramStart"/>
      <w:r w:rsidR="00E87F14" w:rsidRPr="00EC67B2">
        <w:rPr>
          <w:b/>
          <w:sz w:val="20"/>
          <w:szCs w:val="22"/>
        </w:rPr>
        <w:t>aFRR</w:t>
      </w:r>
      <w:proofErr w:type="spellEnd"/>
      <w:proofErr w:type="gramEnd"/>
      <w:r w:rsidR="0051656A" w:rsidRPr="00EC67B2">
        <w:rPr>
          <w:b/>
          <w:sz w:val="20"/>
          <w:szCs w:val="22"/>
        </w:rPr>
        <w:t xml:space="preserve"> balancing border</w:t>
      </w:r>
      <w:r w:rsidR="00E87F14" w:rsidRPr="00EC67B2">
        <w:rPr>
          <w:b/>
          <w:sz w:val="20"/>
          <w:szCs w:val="22"/>
        </w:rPr>
        <w:t>’</w:t>
      </w:r>
      <w:r w:rsidR="00E87F14" w:rsidRPr="00EC67B2">
        <w:rPr>
          <w:sz w:val="20"/>
          <w:szCs w:val="22"/>
        </w:rPr>
        <w:t xml:space="preserve"> </w:t>
      </w:r>
      <w:r w:rsidR="00E87F14" w:rsidRPr="00EC67B2">
        <w:rPr>
          <w:sz w:val="20"/>
          <w:szCs w:val="22"/>
        </w:rPr>
        <w:tab/>
      </w:r>
      <w:r w:rsidR="0051656A" w:rsidRPr="00EC67B2">
        <w:rPr>
          <w:sz w:val="20"/>
          <w:szCs w:val="22"/>
        </w:rPr>
        <w:t xml:space="preserve">means a set of physical transmission lines linking adjacent LFC areas of participating TSOs. The optimisation algorithm calculates the </w:t>
      </w:r>
      <w:r w:rsidR="0051656A" w:rsidRPr="00EC67B2">
        <w:rPr>
          <w:sz w:val="20"/>
          <w:szCs w:val="22"/>
          <w:lang w:eastAsia="en-US"/>
        </w:rPr>
        <w:t xml:space="preserve">automatic </w:t>
      </w:r>
      <w:r w:rsidR="0051656A" w:rsidRPr="00EC67B2">
        <w:rPr>
          <w:sz w:val="20"/>
          <w:szCs w:val="22"/>
          <w:lang w:val="en-US"/>
        </w:rPr>
        <w:t xml:space="preserve">frequency restoration power interchange </w:t>
      </w:r>
      <w:r w:rsidR="0051656A" w:rsidRPr="00EC67B2">
        <w:rPr>
          <w:sz w:val="20"/>
          <w:szCs w:val="22"/>
        </w:rPr>
        <w:t xml:space="preserve">for each </w:t>
      </w:r>
      <w:proofErr w:type="spellStart"/>
      <w:r w:rsidR="0051656A" w:rsidRPr="00EC67B2">
        <w:rPr>
          <w:sz w:val="20"/>
          <w:szCs w:val="22"/>
        </w:rPr>
        <w:t>aFRR</w:t>
      </w:r>
      <w:proofErr w:type="spellEnd"/>
      <w:r w:rsidR="0051656A" w:rsidRPr="00EC67B2">
        <w:rPr>
          <w:sz w:val="20"/>
          <w:szCs w:val="22"/>
        </w:rPr>
        <w:t xml:space="preserve"> balancing border. For the purposes of the optimisation, each </w:t>
      </w:r>
      <w:proofErr w:type="spellStart"/>
      <w:r w:rsidR="0051656A" w:rsidRPr="00EC67B2">
        <w:rPr>
          <w:sz w:val="20"/>
          <w:szCs w:val="22"/>
        </w:rPr>
        <w:t>aFRR</w:t>
      </w:r>
      <w:proofErr w:type="spellEnd"/>
      <w:r w:rsidR="0051656A" w:rsidRPr="00EC67B2">
        <w:rPr>
          <w:sz w:val="20"/>
          <w:szCs w:val="22"/>
        </w:rPr>
        <w:t xml:space="preserve"> balancing border has a mathematically defined negative and positive direction for the </w:t>
      </w:r>
      <w:r w:rsidR="0051656A" w:rsidRPr="00EC67B2">
        <w:rPr>
          <w:sz w:val="20"/>
          <w:szCs w:val="22"/>
          <w:lang w:eastAsia="en-US"/>
        </w:rPr>
        <w:t>automatic frequency restoration power exchange</w:t>
      </w:r>
      <w:r w:rsidR="0051656A" w:rsidRPr="00EC67B2">
        <w:rPr>
          <w:sz w:val="20"/>
          <w:szCs w:val="22"/>
        </w:rPr>
        <w:t>.</w:t>
      </w:r>
    </w:p>
    <w:p w:rsidR="0051656A" w:rsidRPr="00EC67B2" w:rsidRDefault="0051656A" w:rsidP="00F66875">
      <w:pPr>
        <w:pStyle w:val="textregular"/>
        <w:ind w:left="3828" w:hanging="3824"/>
        <w:rPr>
          <w:sz w:val="20"/>
          <w:szCs w:val="22"/>
        </w:rPr>
      </w:pPr>
      <w:r w:rsidRPr="00EC67B2">
        <w:rPr>
          <w:b/>
          <w:sz w:val="20"/>
          <w:szCs w:val="22"/>
        </w:rPr>
        <w:t>‘</w:t>
      </w:r>
      <w:proofErr w:type="spellStart"/>
      <w:r w:rsidRPr="00EC67B2">
        <w:rPr>
          <w:b/>
          <w:sz w:val="20"/>
          <w:szCs w:val="22"/>
        </w:rPr>
        <w:t>aFRR</w:t>
      </w:r>
      <w:proofErr w:type="spellEnd"/>
      <w:r w:rsidRPr="00EC67B2">
        <w:rPr>
          <w:b/>
          <w:sz w:val="20"/>
          <w:szCs w:val="22"/>
        </w:rPr>
        <w:t>-Platform’</w:t>
      </w:r>
      <w:r w:rsidRPr="00EC67B2">
        <w:rPr>
          <w:sz w:val="20"/>
          <w:szCs w:val="22"/>
        </w:rPr>
        <w:t xml:space="preserve"> </w:t>
      </w:r>
      <w:r w:rsidRPr="00EC67B2">
        <w:rPr>
          <w:sz w:val="20"/>
          <w:szCs w:val="22"/>
        </w:rPr>
        <w:tab/>
        <w:t>means European platform for the exchange of balancing energy from frequency restoration reserves with automatic activation</w:t>
      </w:r>
    </w:p>
    <w:p w:rsidR="00205E3D" w:rsidRPr="00EC67B2" w:rsidRDefault="0051656A" w:rsidP="00F66875">
      <w:pPr>
        <w:pStyle w:val="textregular"/>
        <w:ind w:left="3828" w:hanging="3824"/>
        <w:rPr>
          <w:sz w:val="20"/>
          <w:szCs w:val="22"/>
        </w:rPr>
      </w:pPr>
      <w:r w:rsidRPr="00EC67B2">
        <w:rPr>
          <w:b/>
          <w:sz w:val="20"/>
          <w:szCs w:val="22"/>
        </w:rPr>
        <w:t>‘</w:t>
      </w:r>
      <w:proofErr w:type="gramStart"/>
      <w:r w:rsidRPr="00EC67B2">
        <w:rPr>
          <w:b/>
          <w:sz w:val="20"/>
          <w:szCs w:val="22"/>
        </w:rPr>
        <w:t>balancing</w:t>
      </w:r>
      <w:proofErr w:type="gramEnd"/>
      <w:r w:rsidRPr="00EC67B2">
        <w:rPr>
          <w:b/>
          <w:sz w:val="20"/>
          <w:szCs w:val="22"/>
        </w:rPr>
        <w:t xml:space="preserve"> border’</w:t>
      </w:r>
      <w:r w:rsidR="00205E3D" w:rsidRPr="00EC67B2">
        <w:rPr>
          <w:b/>
          <w:sz w:val="20"/>
          <w:szCs w:val="22"/>
        </w:rPr>
        <w:tab/>
      </w:r>
      <w:r w:rsidR="00205E3D" w:rsidRPr="00EC67B2">
        <w:rPr>
          <w:sz w:val="20"/>
          <w:szCs w:val="22"/>
        </w:rPr>
        <w:t xml:space="preserve">means an RR, </w:t>
      </w:r>
      <w:proofErr w:type="spellStart"/>
      <w:r w:rsidR="00205E3D" w:rsidRPr="00EC67B2">
        <w:rPr>
          <w:sz w:val="20"/>
          <w:szCs w:val="22"/>
        </w:rPr>
        <w:t>mFRR</w:t>
      </w:r>
      <w:proofErr w:type="spellEnd"/>
      <w:r w:rsidR="00205E3D" w:rsidRPr="00EC67B2">
        <w:rPr>
          <w:sz w:val="20"/>
          <w:szCs w:val="22"/>
        </w:rPr>
        <w:t xml:space="preserve"> or </w:t>
      </w:r>
      <w:proofErr w:type="spellStart"/>
      <w:r w:rsidR="00205E3D" w:rsidRPr="00EC67B2">
        <w:rPr>
          <w:sz w:val="20"/>
          <w:szCs w:val="22"/>
        </w:rPr>
        <w:t>aFRR</w:t>
      </w:r>
      <w:proofErr w:type="spellEnd"/>
      <w:r w:rsidR="00205E3D" w:rsidRPr="00EC67B2">
        <w:rPr>
          <w:sz w:val="20"/>
          <w:szCs w:val="22"/>
        </w:rPr>
        <w:t xml:space="preserve"> balancing border</w:t>
      </w:r>
    </w:p>
    <w:p w:rsidR="0051656A" w:rsidRPr="00EC67B2" w:rsidRDefault="00205E3D" w:rsidP="00F66875">
      <w:pPr>
        <w:pStyle w:val="textregular"/>
        <w:ind w:left="3828" w:hanging="3824"/>
        <w:rPr>
          <w:sz w:val="20"/>
          <w:szCs w:val="22"/>
        </w:rPr>
      </w:pPr>
      <w:r w:rsidRPr="00EC67B2">
        <w:rPr>
          <w:b/>
          <w:sz w:val="20"/>
          <w:szCs w:val="22"/>
        </w:rPr>
        <w:t>‘</w:t>
      </w:r>
      <w:proofErr w:type="gramStart"/>
      <w:r w:rsidRPr="00EC67B2">
        <w:rPr>
          <w:b/>
          <w:sz w:val="20"/>
          <w:szCs w:val="22"/>
        </w:rPr>
        <w:t>balancing</w:t>
      </w:r>
      <w:proofErr w:type="gramEnd"/>
      <w:r w:rsidRPr="00EC67B2">
        <w:rPr>
          <w:b/>
          <w:sz w:val="20"/>
          <w:szCs w:val="22"/>
        </w:rPr>
        <w:t xml:space="preserve"> congestion income’</w:t>
      </w:r>
      <w:r w:rsidR="0051656A" w:rsidRPr="00EC67B2">
        <w:rPr>
          <w:sz w:val="20"/>
          <w:szCs w:val="22"/>
        </w:rPr>
        <w:tab/>
      </w:r>
      <w:r w:rsidRPr="00EC67B2">
        <w:rPr>
          <w:sz w:val="20"/>
          <w:szCs w:val="22"/>
        </w:rPr>
        <w:t>means an income generated by the exchange of balancing energy between different uncongested areas and the resulting different CBMPs</w:t>
      </w:r>
    </w:p>
    <w:p w:rsidR="005701DC" w:rsidRPr="00EC67B2" w:rsidRDefault="005701DC" w:rsidP="00F66875">
      <w:pPr>
        <w:pStyle w:val="textregular"/>
        <w:ind w:left="3828" w:hanging="3824"/>
        <w:rPr>
          <w:sz w:val="20"/>
          <w:szCs w:val="22"/>
        </w:rPr>
      </w:pPr>
      <w:r w:rsidRPr="00EC67B2">
        <w:rPr>
          <w:b/>
          <w:sz w:val="20"/>
          <w:szCs w:val="22"/>
        </w:rPr>
        <w:t>‘</w:t>
      </w:r>
      <w:proofErr w:type="gramStart"/>
      <w:r w:rsidRPr="00EC67B2">
        <w:rPr>
          <w:b/>
          <w:sz w:val="20"/>
          <w:szCs w:val="22"/>
        </w:rPr>
        <w:t>balancing</w:t>
      </w:r>
      <w:proofErr w:type="gramEnd"/>
      <w:r w:rsidRPr="00EC67B2">
        <w:rPr>
          <w:b/>
          <w:sz w:val="20"/>
          <w:szCs w:val="22"/>
        </w:rPr>
        <w:t xml:space="preserve"> energy pricing period’</w:t>
      </w:r>
      <w:r w:rsidRPr="00EC67B2">
        <w:rPr>
          <w:b/>
          <w:sz w:val="20"/>
          <w:szCs w:val="22"/>
        </w:rPr>
        <w:tab/>
      </w:r>
      <w:r w:rsidR="00B948B9" w:rsidRPr="00EC67B2">
        <w:rPr>
          <w:sz w:val="20"/>
          <w:szCs w:val="22"/>
        </w:rPr>
        <w:t>(</w:t>
      </w:r>
      <w:r w:rsidR="00B948B9" w:rsidRPr="00EC67B2">
        <w:rPr>
          <w:sz w:val="20"/>
          <w:szCs w:val="22"/>
          <w:lang w:eastAsia="en-US"/>
        </w:rPr>
        <w:t>hereafter referred to as “</w:t>
      </w:r>
      <w:r w:rsidR="00B948B9" w:rsidRPr="00EC67B2">
        <w:rPr>
          <w:sz w:val="20"/>
          <w:szCs w:val="22"/>
        </w:rPr>
        <w:t xml:space="preserve">BEPP”) means a time interval for which cross-border marginal prices (hereafter referred to as </w:t>
      </w:r>
      <w:r w:rsidR="00B948B9" w:rsidRPr="00EC67B2">
        <w:rPr>
          <w:sz w:val="20"/>
          <w:szCs w:val="22"/>
          <w:lang w:eastAsia="en-US"/>
        </w:rPr>
        <w:t>“</w:t>
      </w:r>
      <w:r w:rsidR="00B948B9" w:rsidRPr="00EC67B2">
        <w:rPr>
          <w:sz w:val="20"/>
          <w:szCs w:val="22"/>
        </w:rPr>
        <w:t>CBMP”) are calculated</w:t>
      </w:r>
    </w:p>
    <w:p w:rsidR="00916F0C" w:rsidRPr="00EC67B2" w:rsidRDefault="00916F0C" w:rsidP="00F66875">
      <w:pPr>
        <w:pStyle w:val="textregular"/>
        <w:tabs>
          <w:tab w:val="left" w:pos="4065"/>
        </w:tabs>
        <w:ind w:left="3828" w:hanging="3824"/>
        <w:rPr>
          <w:b/>
          <w:sz w:val="20"/>
          <w:szCs w:val="22"/>
        </w:rPr>
      </w:pPr>
      <w:r w:rsidRPr="00EC67B2">
        <w:rPr>
          <w:b/>
          <w:sz w:val="20"/>
          <w:szCs w:val="22"/>
        </w:rPr>
        <w:t>‘CBMP’</w:t>
      </w:r>
      <w:r w:rsidRPr="00EC67B2">
        <w:rPr>
          <w:b/>
          <w:sz w:val="20"/>
          <w:szCs w:val="22"/>
        </w:rPr>
        <w:tab/>
      </w:r>
      <w:r w:rsidRPr="00EC67B2">
        <w:rPr>
          <w:sz w:val="20"/>
          <w:szCs w:val="22"/>
        </w:rPr>
        <w:t>means the cross-border marginal price calculated in accordance with the pricing proposal</w:t>
      </w:r>
    </w:p>
    <w:p w:rsidR="00E87F14" w:rsidRPr="00EC67B2" w:rsidRDefault="00E87F14" w:rsidP="00F66875">
      <w:pPr>
        <w:pStyle w:val="textregular"/>
        <w:ind w:left="3828" w:hanging="3824"/>
        <w:rPr>
          <w:sz w:val="20"/>
          <w:szCs w:val="22"/>
        </w:rPr>
      </w:pPr>
      <w:r w:rsidRPr="00EC67B2">
        <w:rPr>
          <w:b/>
          <w:sz w:val="20"/>
          <w:szCs w:val="22"/>
        </w:rPr>
        <w:t>‘cross-</w:t>
      </w:r>
      <w:r w:rsidR="00CA608F">
        <w:rPr>
          <w:b/>
          <w:sz w:val="20"/>
          <w:szCs w:val="22"/>
        </w:rPr>
        <w:t>border</w:t>
      </w:r>
      <w:r w:rsidR="00CA608F" w:rsidRPr="00EC67B2">
        <w:rPr>
          <w:b/>
          <w:sz w:val="20"/>
          <w:szCs w:val="22"/>
        </w:rPr>
        <w:t xml:space="preserve"> </w:t>
      </w:r>
      <w:r w:rsidRPr="00EC67B2">
        <w:rPr>
          <w:b/>
          <w:sz w:val="20"/>
          <w:szCs w:val="22"/>
        </w:rPr>
        <w:t>capacity</w:t>
      </w:r>
      <w:r w:rsidR="00CA608F">
        <w:rPr>
          <w:b/>
          <w:sz w:val="20"/>
          <w:szCs w:val="22"/>
        </w:rPr>
        <w:t xml:space="preserve"> limits</w:t>
      </w:r>
      <w:r w:rsidRPr="00EC67B2">
        <w:rPr>
          <w:b/>
          <w:sz w:val="20"/>
          <w:szCs w:val="22"/>
        </w:rPr>
        <w:t>’</w:t>
      </w:r>
      <w:r w:rsidRPr="00EC67B2">
        <w:rPr>
          <w:sz w:val="20"/>
          <w:szCs w:val="22"/>
        </w:rPr>
        <w:tab/>
        <w:t xml:space="preserve">means the </w:t>
      </w:r>
      <w:r w:rsidR="00CA608F">
        <w:rPr>
          <w:sz w:val="20"/>
          <w:szCs w:val="22"/>
        </w:rPr>
        <w:t>limits</w:t>
      </w:r>
      <w:r w:rsidRPr="00EC67B2">
        <w:rPr>
          <w:sz w:val="20"/>
          <w:szCs w:val="22"/>
        </w:rPr>
        <w:t xml:space="preserve"> determined in accordance with the implementation frameworks for the exchange of balancing energy from replacement reserves, from frequency restoration reserves with manual and automatic activation as well as for the imbalance netting process</w:t>
      </w:r>
    </w:p>
    <w:p w:rsidR="00E15B85" w:rsidRPr="00EC67B2" w:rsidRDefault="00B11620" w:rsidP="00F66875">
      <w:pPr>
        <w:pStyle w:val="textregular"/>
        <w:ind w:left="3828" w:hanging="3824"/>
        <w:rPr>
          <w:sz w:val="20"/>
          <w:szCs w:val="22"/>
        </w:rPr>
      </w:pPr>
      <w:r w:rsidRPr="00EC67B2">
        <w:rPr>
          <w:b/>
          <w:sz w:val="20"/>
          <w:szCs w:val="22"/>
        </w:rPr>
        <w:t>‘</w:t>
      </w:r>
      <w:proofErr w:type="gramStart"/>
      <w:r w:rsidR="00EB4EF1" w:rsidRPr="00EC67B2">
        <w:rPr>
          <w:b/>
          <w:sz w:val="20"/>
          <w:szCs w:val="22"/>
        </w:rPr>
        <w:t>d</w:t>
      </w:r>
      <w:r w:rsidR="000C799A" w:rsidRPr="00EC67B2">
        <w:rPr>
          <w:b/>
          <w:sz w:val="20"/>
          <w:szCs w:val="22"/>
        </w:rPr>
        <w:t>emand</w:t>
      </w:r>
      <w:proofErr w:type="gramEnd"/>
      <w:r w:rsidRPr="00EC67B2">
        <w:rPr>
          <w:b/>
          <w:sz w:val="20"/>
          <w:szCs w:val="22"/>
        </w:rPr>
        <w:t>’</w:t>
      </w:r>
      <w:r w:rsidR="00E15B85" w:rsidRPr="00EC67B2">
        <w:rPr>
          <w:b/>
          <w:sz w:val="20"/>
          <w:szCs w:val="22"/>
        </w:rPr>
        <w:tab/>
      </w:r>
      <w:r w:rsidR="00586954" w:rsidRPr="00EC67B2">
        <w:rPr>
          <w:sz w:val="20"/>
          <w:szCs w:val="22"/>
        </w:rPr>
        <w:t>means a TSO demand for activation of any balancing standard product bids</w:t>
      </w:r>
    </w:p>
    <w:p w:rsidR="00691748" w:rsidRPr="00EC67B2" w:rsidRDefault="00691748" w:rsidP="00F66875">
      <w:pPr>
        <w:pStyle w:val="textregular"/>
        <w:ind w:left="3828" w:hanging="3824"/>
        <w:rPr>
          <w:b/>
          <w:sz w:val="20"/>
          <w:szCs w:val="22"/>
        </w:rPr>
      </w:pPr>
      <w:r w:rsidRPr="00EC67B2">
        <w:rPr>
          <w:b/>
          <w:sz w:val="20"/>
          <w:szCs w:val="22"/>
        </w:rPr>
        <w:t>‘</w:t>
      </w:r>
      <w:proofErr w:type="gramStart"/>
      <w:r w:rsidRPr="00EC67B2">
        <w:rPr>
          <w:b/>
          <w:sz w:val="20"/>
          <w:szCs w:val="22"/>
        </w:rPr>
        <w:t>direct</w:t>
      </w:r>
      <w:proofErr w:type="gramEnd"/>
      <w:r w:rsidRPr="00EC67B2">
        <w:rPr>
          <w:b/>
          <w:sz w:val="20"/>
          <w:szCs w:val="22"/>
        </w:rPr>
        <w:t xml:space="preserve"> activation’</w:t>
      </w:r>
      <w:r w:rsidRPr="00EC67B2">
        <w:rPr>
          <w:b/>
          <w:sz w:val="20"/>
          <w:szCs w:val="22"/>
        </w:rPr>
        <w:tab/>
      </w:r>
      <w:r w:rsidR="008B0281" w:rsidRPr="00EC67B2">
        <w:rPr>
          <w:sz w:val="20"/>
          <w:szCs w:val="22"/>
        </w:rPr>
        <w:t xml:space="preserve">means </w:t>
      </w:r>
      <w:r w:rsidR="0041501A" w:rsidRPr="00EC67B2">
        <w:rPr>
          <w:sz w:val="20"/>
          <w:szCs w:val="22"/>
        </w:rPr>
        <w:t xml:space="preserve">a </w:t>
      </w:r>
      <w:proofErr w:type="spellStart"/>
      <w:r w:rsidR="0041501A" w:rsidRPr="00EC67B2">
        <w:rPr>
          <w:sz w:val="20"/>
          <w:szCs w:val="22"/>
        </w:rPr>
        <w:t>mFRR</w:t>
      </w:r>
      <w:proofErr w:type="spellEnd"/>
      <w:r w:rsidR="0041501A" w:rsidRPr="00EC67B2">
        <w:rPr>
          <w:sz w:val="20"/>
          <w:szCs w:val="22"/>
        </w:rPr>
        <w:t>-Platform</w:t>
      </w:r>
      <w:r w:rsidR="002347AA" w:rsidRPr="00EC67B2">
        <w:rPr>
          <w:sz w:val="20"/>
          <w:szCs w:val="22"/>
        </w:rPr>
        <w:t xml:space="preserve"> </w:t>
      </w:r>
      <w:r w:rsidR="008B0281" w:rsidRPr="00EC67B2">
        <w:rPr>
          <w:sz w:val="20"/>
          <w:szCs w:val="22"/>
        </w:rPr>
        <w:t xml:space="preserve">process </w:t>
      </w:r>
      <w:r w:rsidR="00BD3D73" w:rsidRPr="00EC67B2">
        <w:rPr>
          <w:sz w:val="20"/>
          <w:szCs w:val="22"/>
        </w:rPr>
        <w:t xml:space="preserve">that can </w:t>
      </w:r>
      <w:r w:rsidR="00210400" w:rsidRPr="00EC67B2">
        <w:rPr>
          <w:sz w:val="20"/>
          <w:szCs w:val="22"/>
        </w:rPr>
        <w:t>occur</w:t>
      </w:r>
      <w:r w:rsidR="0041501A" w:rsidRPr="00EC67B2">
        <w:rPr>
          <w:sz w:val="20"/>
          <w:szCs w:val="22"/>
        </w:rPr>
        <w:t xml:space="preserve"> at any point in time to resolve large imbalances within the Time To Restore Frequency</w:t>
      </w:r>
    </w:p>
    <w:p w:rsidR="00EB4EF1" w:rsidRPr="00EC67B2" w:rsidRDefault="00EB4EF1" w:rsidP="00F66875">
      <w:pPr>
        <w:pStyle w:val="textregular"/>
        <w:ind w:left="3828" w:hanging="3824"/>
        <w:rPr>
          <w:sz w:val="20"/>
          <w:szCs w:val="22"/>
        </w:rPr>
      </w:pPr>
      <w:r w:rsidRPr="00EC67B2">
        <w:rPr>
          <w:b/>
          <w:sz w:val="20"/>
          <w:szCs w:val="22"/>
        </w:rPr>
        <w:t>‘</w:t>
      </w:r>
      <w:proofErr w:type="gramStart"/>
      <w:r w:rsidRPr="00EC67B2">
        <w:rPr>
          <w:b/>
          <w:sz w:val="20"/>
          <w:szCs w:val="22"/>
        </w:rPr>
        <w:t>divisible</w:t>
      </w:r>
      <w:proofErr w:type="gramEnd"/>
      <w:r w:rsidRPr="00EC67B2">
        <w:rPr>
          <w:b/>
          <w:sz w:val="20"/>
          <w:szCs w:val="22"/>
        </w:rPr>
        <w:t xml:space="preserve"> bids’</w:t>
      </w:r>
      <w:r w:rsidR="00265908" w:rsidRPr="00EC67B2">
        <w:rPr>
          <w:b/>
          <w:sz w:val="20"/>
          <w:szCs w:val="22"/>
        </w:rPr>
        <w:tab/>
      </w:r>
      <w:r w:rsidR="001009D9" w:rsidRPr="00EC67B2">
        <w:rPr>
          <w:sz w:val="20"/>
          <w:szCs w:val="22"/>
        </w:rPr>
        <w:t>means a characteristic of a bid which enables its partial or fully activation</w:t>
      </w:r>
    </w:p>
    <w:p w:rsidR="000E7BF7" w:rsidRPr="00EC67B2" w:rsidRDefault="000E7BF7" w:rsidP="00F66875">
      <w:pPr>
        <w:pStyle w:val="textregular"/>
        <w:ind w:left="3828" w:hanging="3824"/>
        <w:rPr>
          <w:sz w:val="20"/>
          <w:szCs w:val="22"/>
        </w:rPr>
      </w:pPr>
      <w:r w:rsidRPr="00EC67B2">
        <w:rPr>
          <w:b/>
          <w:sz w:val="20"/>
          <w:szCs w:val="22"/>
        </w:rPr>
        <w:t>‘</w:t>
      </w:r>
      <w:proofErr w:type="gramStart"/>
      <w:r w:rsidRPr="00EC67B2">
        <w:rPr>
          <w:b/>
          <w:sz w:val="20"/>
          <w:szCs w:val="22"/>
        </w:rPr>
        <w:t>implementation</w:t>
      </w:r>
      <w:proofErr w:type="gramEnd"/>
      <w:r w:rsidRPr="00EC67B2">
        <w:rPr>
          <w:b/>
          <w:sz w:val="20"/>
          <w:szCs w:val="22"/>
        </w:rPr>
        <w:t xml:space="preserve"> project’</w:t>
      </w:r>
      <w:r w:rsidRPr="00EC67B2">
        <w:rPr>
          <w:sz w:val="20"/>
          <w:szCs w:val="22"/>
        </w:rPr>
        <w:tab/>
        <w:t>means the project which implement</w:t>
      </w:r>
      <w:r w:rsidR="003A0A60" w:rsidRPr="00EC67B2">
        <w:rPr>
          <w:sz w:val="20"/>
          <w:szCs w:val="22"/>
        </w:rPr>
        <w:t>s</w:t>
      </w:r>
      <w:r w:rsidRPr="00EC67B2">
        <w:rPr>
          <w:sz w:val="20"/>
          <w:szCs w:val="22"/>
        </w:rPr>
        <w:t xml:space="preserve"> the RR, </w:t>
      </w:r>
      <w:proofErr w:type="spellStart"/>
      <w:r w:rsidRPr="00EC67B2">
        <w:rPr>
          <w:sz w:val="20"/>
          <w:szCs w:val="22"/>
        </w:rPr>
        <w:t>mFRR</w:t>
      </w:r>
      <w:proofErr w:type="spellEnd"/>
      <w:r w:rsidRPr="00EC67B2">
        <w:rPr>
          <w:sz w:val="20"/>
          <w:szCs w:val="22"/>
        </w:rPr>
        <w:t xml:space="preserve">, </w:t>
      </w:r>
      <w:proofErr w:type="spellStart"/>
      <w:r w:rsidR="00BB0C26" w:rsidRPr="00EC67B2">
        <w:rPr>
          <w:sz w:val="20"/>
          <w:szCs w:val="22"/>
        </w:rPr>
        <w:t>aF</w:t>
      </w:r>
      <w:r w:rsidRPr="00EC67B2">
        <w:rPr>
          <w:sz w:val="20"/>
          <w:szCs w:val="22"/>
        </w:rPr>
        <w:t>RR</w:t>
      </w:r>
      <w:proofErr w:type="spellEnd"/>
      <w:r w:rsidR="00BB0C26" w:rsidRPr="00EC67B2">
        <w:rPr>
          <w:sz w:val="20"/>
          <w:szCs w:val="22"/>
        </w:rPr>
        <w:t xml:space="preserve"> and IN</w:t>
      </w:r>
      <w:r w:rsidRPr="00EC67B2">
        <w:rPr>
          <w:sz w:val="20"/>
          <w:szCs w:val="22"/>
        </w:rPr>
        <w:t>-Platforms</w:t>
      </w:r>
      <w:r w:rsidR="000F6578" w:rsidRPr="00EC67B2">
        <w:rPr>
          <w:sz w:val="20"/>
          <w:szCs w:val="22"/>
        </w:rPr>
        <w:t>, pursuant to Article 19, 20, 21 and 22 of the EBGL respec</w:t>
      </w:r>
      <w:r w:rsidR="00BB0C26" w:rsidRPr="00EC67B2">
        <w:rPr>
          <w:sz w:val="20"/>
          <w:szCs w:val="22"/>
        </w:rPr>
        <w:t>tively.</w:t>
      </w:r>
    </w:p>
    <w:p w:rsidR="009F24AB" w:rsidRPr="00EC67B2" w:rsidRDefault="009F24AB" w:rsidP="00F66875">
      <w:pPr>
        <w:pStyle w:val="textregular"/>
        <w:ind w:left="3828" w:hanging="3824"/>
        <w:rPr>
          <w:sz w:val="20"/>
          <w:szCs w:val="22"/>
        </w:rPr>
      </w:pPr>
      <w:r w:rsidRPr="00EC67B2">
        <w:rPr>
          <w:b/>
          <w:sz w:val="20"/>
          <w:szCs w:val="22"/>
        </w:rPr>
        <w:t>‘</w:t>
      </w:r>
      <w:proofErr w:type="gramStart"/>
      <w:r w:rsidRPr="00EC67B2">
        <w:rPr>
          <w:b/>
          <w:sz w:val="20"/>
          <w:szCs w:val="22"/>
        </w:rPr>
        <w:t>implementation</w:t>
      </w:r>
      <w:proofErr w:type="gramEnd"/>
      <w:r w:rsidRPr="00EC67B2">
        <w:rPr>
          <w:b/>
          <w:sz w:val="20"/>
          <w:szCs w:val="22"/>
        </w:rPr>
        <w:t xml:space="preserve"> framework’</w:t>
      </w:r>
      <w:r w:rsidRPr="00EC67B2">
        <w:rPr>
          <w:b/>
          <w:sz w:val="20"/>
          <w:szCs w:val="22"/>
        </w:rPr>
        <w:tab/>
      </w:r>
      <w:r w:rsidR="00A82242" w:rsidRPr="00EC67B2">
        <w:rPr>
          <w:sz w:val="20"/>
          <w:szCs w:val="22"/>
        </w:rPr>
        <w:t>means</w:t>
      </w:r>
      <w:r w:rsidR="00A82242" w:rsidRPr="00EC67B2">
        <w:rPr>
          <w:b/>
          <w:sz w:val="20"/>
          <w:szCs w:val="22"/>
        </w:rPr>
        <w:t xml:space="preserve"> </w:t>
      </w:r>
      <w:r w:rsidR="00A82242" w:rsidRPr="00EC67B2">
        <w:rPr>
          <w:sz w:val="20"/>
          <w:szCs w:val="22"/>
        </w:rPr>
        <w:t>the</w:t>
      </w:r>
      <w:r w:rsidR="00A82242" w:rsidRPr="00EC67B2">
        <w:rPr>
          <w:b/>
          <w:sz w:val="20"/>
          <w:szCs w:val="22"/>
        </w:rPr>
        <w:t xml:space="preserve"> </w:t>
      </w:r>
      <w:r w:rsidRPr="00EC67B2">
        <w:rPr>
          <w:sz w:val="20"/>
          <w:szCs w:val="22"/>
        </w:rPr>
        <w:t>proposal for the European platforms pursuant to Article 19, 20, 21 and 2</w:t>
      </w:r>
      <w:r w:rsidR="000D6D73" w:rsidRPr="00EC67B2">
        <w:rPr>
          <w:sz w:val="20"/>
          <w:szCs w:val="22"/>
        </w:rPr>
        <w:t>2</w:t>
      </w:r>
      <w:r w:rsidRPr="00EC67B2">
        <w:rPr>
          <w:sz w:val="20"/>
          <w:szCs w:val="22"/>
        </w:rPr>
        <w:t xml:space="preserve"> of the EBGL</w:t>
      </w:r>
    </w:p>
    <w:p w:rsidR="00916F0C" w:rsidRPr="00EC67B2" w:rsidRDefault="00916F0C" w:rsidP="00F66875">
      <w:pPr>
        <w:pStyle w:val="textregular"/>
        <w:tabs>
          <w:tab w:val="left" w:pos="3885"/>
        </w:tabs>
        <w:ind w:left="3828" w:hanging="3824"/>
        <w:rPr>
          <w:sz w:val="20"/>
          <w:szCs w:val="22"/>
        </w:rPr>
      </w:pPr>
      <w:r w:rsidRPr="00EC67B2">
        <w:rPr>
          <w:b/>
          <w:sz w:val="20"/>
          <w:szCs w:val="22"/>
        </w:rPr>
        <w:t xml:space="preserve">‘IN-Platform’ </w:t>
      </w:r>
      <w:r w:rsidRPr="00EC67B2">
        <w:rPr>
          <w:b/>
          <w:sz w:val="20"/>
          <w:szCs w:val="22"/>
        </w:rPr>
        <w:tab/>
      </w:r>
      <w:r w:rsidRPr="00EC67B2">
        <w:rPr>
          <w:sz w:val="20"/>
          <w:szCs w:val="22"/>
        </w:rPr>
        <w:t>means the European platform for the imbalance netting process</w:t>
      </w:r>
    </w:p>
    <w:p w:rsidR="000F5F68" w:rsidRPr="00EC67B2" w:rsidRDefault="000F5F68" w:rsidP="00F66875">
      <w:pPr>
        <w:pStyle w:val="textregular"/>
        <w:tabs>
          <w:tab w:val="left" w:pos="3885"/>
        </w:tabs>
        <w:ind w:left="3828" w:hanging="3824"/>
        <w:rPr>
          <w:b/>
          <w:sz w:val="20"/>
          <w:szCs w:val="22"/>
        </w:rPr>
      </w:pPr>
      <w:r w:rsidRPr="00EC67B2">
        <w:rPr>
          <w:b/>
          <w:sz w:val="20"/>
          <w:szCs w:val="22"/>
        </w:rPr>
        <w:t>'intended exchange of balancing energy’</w:t>
      </w:r>
      <w:r w:rsidRPr="00EC67B2">
        <w:rPr>
          <w:b/>
          <w:sz w:val="20"/>
          <w:szCs w:val="22"/>
        </w:rPr>
        <w:tab/>
      </w:r>
      <w:r w:rsidRPr="00EC67B2">
        <w:rPr>
          <w:sz w:val="20"/>
          <w:szCs w:val="22"/>
        </w:rPr>
        <w:t>means intended exchanges of energy as a result of the reserve replacement process, the frequency restoration process with manual activation, the frequency restoration process with automatic activation or the imbalance netting process</w:t>
      </w:r>
    </w:p>
    <w:p w:rsidR="00B85FF5" w:rsidRPr="00EC67B2" w:rsidRDefault="00B85FF5" w:rsidP="00F66875">
      <w:pPr>
        <w:pStyle w:val="textregular"/>
        <w:ind w:left="3828" w:hanging="3824"/>
        <w:rPr>
          <w:sz w:val="20"/>
          <w:szCs w:val="22"/>
        </w:rPr>
      </w:pPr>
      <w:r w:rsidRPr="00EC67B2">
        <w:rPr>
          <w:b/>
          <w:sz w:val="20"/>
          <w:szCs w:val="22"/>
        </w:rPr>
        <w:t>‘</w:t>
      </w:r>
      <w:proofErr w:type="spellStart"/>
      <w:r w:rsidRPr="00EC67B2">
        <w:rPr>
          <w:b/>
          <w:sz w:val="20"/>
          <w:szCs w:val="22"/>
        </w:rPr>
        <w:t>mFRR</w:t>
      </w:r>
      <w:proofErr w:type="spellEnd"/>
      <w:r w:rsidRPr="00EC67B2">
        <w:rPr>
          <w:b/>
          <w:sz w:val="20"/>
          <w:szCs w:val="22"/>
        </w:rPr>
        <w:t>-Platform’</w:t>
      </w:r>
      <w:r w:rsidRPr="00EC67B2">
        <w:rPr>
          <w:sz w:val="20"/>
          <w:szCs w:val="22"/>
        </w:rPr>
        <w:t xml:space="preserve"> </w:t>
      </w:r>
      <w:r w:rsidRPr="00EC67B2">
        <w:rPr>
          <w:sz w:val="20"/>
          <w:szCs w:val="22"/>
        </w:rPr>
        <w:tab/>
        <w:t>means European platform for the exchange of balancing energy from frequency restoration reserves with manual activation;</w:t>
      </w:r>
    </w:p>
    <w:p w:rsidR="00172F02" w:rsidRPr="00EC67B2" w:rsidRDefault="00172F02" w:rsidP="00F66875">
      <w:pPr>
        <w:pStyle w:val="textregular"/>
        <w:tabs>
          <w:tab w:val="left" w:pos="3855"/>
        </w:tabs>
        <w:ind w:left="3828" w:hanging="3824"/>
        <w:rPr>
          <w:sz w:val="20"/>
          <w:szCs w:val="22"/>
        </w:rPr>
      </w:pPr>
      <w:r w:rsidRPr="00EC67B2">
        <w:rPr>
          <w:b/>
          <w:sz w:val="20"/>
          <w:szCs w:val="22"/>
        </w:rPr>
        <w:t>‘</w:t>
      </w:r>
      <w:proofErr w:type="gramStart"/>
      <w:r w:rsidRPr="00EC67B2">
        <w:rPr>
          <w:b/>
          <w:sz w:val="20"/>
          <w:szCs w:val="22"/>
        </w:rPr>
        <w:t>net</w:t>
      </w:r>
      <w:proofErr w:type="gramEnd"/>
      <w:r w:rsidRPr="00EC67B2">
        <w:rPr>
          <w:b/>
          <w:sz w:val="20"/>
          <w:szCs w:val="22"/>
        </w:rPr>
        <w:t xml:space="preserve"> border balancing income’</w:t>
      </w:r>
      <w:r w:rsidRPr="00EC67B2">
        <w:rPr>
          <w:b/>
          <w:sz w:val="20"/>
          <w:szCs w:val="22"/>
        </w:rPr>
        <w:tab/>
      </w:r>
      <w:r w:rsidRPr="00EC67B2">
        <w:rPr>
          <w:sz w:val="20"/>
          <w:szCs w:val="22"/>
        </w:rPr>
        <w:t xml:space="preserve">means the balancing congestion income allocated per balancing border as defined in Article 7 of </w:t>
      </w:r>
      <w:r w:rsidR="00E00328" w:rsidRPr="00EC67B2">
        <w:rPr>
          <w:sz w:val="20"/>
          <w:szCs w:val="22"/>
        </w:rPr>
        <w:t>the SP</w:t>
      </w:r>
    </w:p>
    <w:p w:rsidR="009C03E9" w:rsidRPr="00EC67B2" w:rsidRDefault="001D53C3" w:rsidP="00F66875">
      <w:pPr>
        <w:pStyle w:val="textregular"/>
        <w:tabs>
          <w:tab w:val="center" w:pos="4620"/>
        </w:tabs>
        <w:ind w:left="3828" w:hanging="3824"/>
        <w:rPr>
          <w:b/>
          <w:sz w:val="20"/>
          <w:szCs w:val="22"/>
        </w:rPr>
      </w:pPr>
      <w:r w:rsidRPr="00EC67B2">
        <w:rPr>
          <w:b/>
          <w:sz w:val="20"/>
          <w:szCs w:val="22"/>
        </w:rPr>
        <w:lastRenderedPageBreak/>
        <w:t>‘</w:t>
      </w:r>
      <w:proofErr w:type="gramStart"/>
      <w:r w:rsidRPr="00EC67B2">
        <w:rPr>
          <w:b/>
          <w:sz w:val="20"/>
          <w:szCs w:val="22"/>
        </w:rPr>
        <w:t>participating</w:t>
      </w:r>
      <w:proofErr w:type="gramEnd"/>
      <w:r w:rsidRPr="00EC67B2">
        <w:rPr>
          <w:b/>
          <w:sz w:val="20"/>
          <w:szCs w:val="22"/>
        </w:rPr>
        <w:t xml:space="preserve"> TSO’</w:t>
      </w:r>
      <w:r w:rsidRPr="00EC67B2">
        <w:rPr>
          <w:b/>
          <w:sz w:val="20"/>
          <w:szCs w:val="22"/>
        </w:rPr>
        <w:tab/>
      </w:r>
      <w:r w:rsidRPr="00EC67B2">
        <w:rPr>
          <w:b/>
          <w:sz w:val="20"/>
          <w:szCs w:val="22"/>
        </w:rPr>
        <w:tab/>
      </w:r>
      <w:r w:rsidRPr="00EC67B2">
        <w:rPr>
          <w:sz w:val="20"/>
          <w:szCs w:val="22"/>
        </w:rPr>
        <w:t xml:space="preserve">means any TSO using one of more of the European platforms to exchange RR, </w:t>
      </w:r>
      <w:proofErr w:type="spellStart"/>
      <w:r w:rsidRPr="00EC67B2">
        <w:rPr>
          <w:sz w:val="20"/>
          <w:szCs w:val="22"/>
        </w:rPr>
        <w:t>mFRR</w:t>
      </w:r>
      <w:proofErr w:type="spellEnd"/>
      <w:r w:rsidRPr="00EC67B2">
        <w:rPr>
          <w:sz w:val="20"/>
          <w:szCs w:val="22"/>
        </w:rPr>
        <w:t xml:space="preserve">, </w:t>
      </w:r>
      <w:proofErr w:type="spellStart"/>
      <w:r w:rsidRPr="00EC67B2">
        <w:rPr>
          <w:sz w:val="20"/>
          <w:szCs w:val="22"/>
        </w:rPr>
        <w:t>aFRR</w:t>
      </w:r>
      <w:proofErr w:type="spellEnd"/>
      <w:r w:rsidRPr="00EC67B2">
        <w:rPr>
          <w:sz w:val="20"/>
          <w:szCs w:val="22"/>
        </w:rPr>
        <w:t xml:space="preserve"> and/or for the INP</w:t>
      </w:r>
    </w:p>
    <w:p w:rsidR="00191737" w:rsidRPr="00EC67B2" w:rsidRDefault="00794551" w:rsidP="00F66875">
      <w:pPr>
        <w:pStyle w:val="textregular"/>
        <w:ind w:left="3828" w:hanging="3829"/>
        <w:rPr>
          <w:sz w:val="20"/>
          <w:szCs w:val="22"/>
        </w:rPr>
      </w:pPr>
      <w:r w:rsidRPr="00EC67B2" w:rsidDel="00794551">
        <w:rPr>
          <w:b/>
          <w:sz w:val="20"/>
          <w:szCs w:val="22"/>
        </w:rPr>
        <w:t xml:space="preserve"> </w:t>
      </w:r>
      <w:r w:rsidR="006C27D5" w:rsidRPr="00EC67B2">
        <w:rPr>
          <w:b/>
          <w:sz w:val="20"/>
          <w:szCs w:val="22"/>
        </w:rPr>
        <w:t>‘</w:t>
      </w:r>
      <w:proofErr w:type="gramStart"/>
      <w:r w:rsidR="006C27D5" w:rsidRPr="00EC67B2">
        <w:rPr>
          <w:b/>
          <w:sz w:val="20"/>
          <w:szCs w:val="22"/>
        </w:rPr>
        <w:t>price</w:t>
      </w:r>
      <w:proofErr w:type="gramEnd"/>
      <w:r w:rsidR="006C27D5" w:rsidRPr="00EC67B2">
        <w:rPr>
          <w:b/>
          <w:sz w:val="20"/>
          <w:szCs w:val="22"/>
        </w:rPr>
        <w:t xml:space="preserve"> indeterminacy’</w:t>
      </w:r>
      <w:r w:rsidR="006C27D5" w:rsidRPr="00EC67B2">
        <w:rPr>
          <w:b/>
          <w:sz w:val="20"/>
          <w:szCs w:val="22"/>
        </w:rPr>
        <w:tab/>
      </w:r>
      <w:r w:rsidR="006C27D5" w:rsidRPr="00EC67B2">
        <w:rPr>
          <w:sz w:val="20"/>
          <w:szCs w:val="22"/>
        </w:rPr>
        <w:t xml:space="preserve">means that there is no unambiguous intersection point between the </w:t>
      </w:r>
      <w:r w:rsidR="00CA608F" w:rsidRPr="00EC67B2">
        <w:rPr>
          <w:sz w:val="20"/>
          <w:szCs w:val="22"/>
        </w:rPr>
        <w:t>consum</w:t>
      </w:r>
      <w:r w:rsidR="00CA608F">
        <w:rPr>
          <w:sz w:val="20"/>
          <w:szCs w:val="22"/>
        </w:rPr>
        <w:t>er</w:t>
      </w:r>
      <w:r w:rsidR="00CA608F" w:rsidRPr="00EC67B2">
        <w:rPr>
          <w:sz w:val="20"/>
          <w:szCs w:val="22"/>
        </w:rPr>
        <w:t xml:space="preserve"> </w:t>
      </w:r>
      <w:r w:rsidR="006C27D5" w:rsidRPr="00EC67B2">
        <w:rPr>
          <w:sz w:val="20"/>
          <w:szCs w:val="22"/>
        </w:rPr>
        <w:t>and supply curves</w:t>
      </w:r>
    </w:p>
    <w:p w:rsidR="0021711D" w:rsidRPr="00EC67B2" w:rsidRDefault="0021711D" w:rsidP="00F66875">
      <w:pPr>
        <w:pStyle w:val="textregular"/>
        <w:tabs>
          <w:tab w:val="left" w:pos="4110"/>
        </w:tabs>
        <w:ind w:left="3828" w:hanging="3829"/>
        <w:rPr>
          <w:sz w:val="20"/>
          <w:szCs w:val="22"/>
        </w:rPr>
      </w:pPr>
      <w:r w:rsidRPr="00EC67B2">
        <w:rPr>
          <w:b/>
          <w:sz w:val="20"/>
          <w:szCs w:val="22"/>
        </w:rPr>
        <w:t>‘pricing proposal’</w:t>
      </w:r>
      <w:r w:rsidRPr="00EC67B2">
        <w:rPr>
          <w:b/>
          <w:sz w:val="20"/>
          <w:szCs w:val="22"/>
        </w:rPr>
        <w:tab/>
      </w:r>
      <w:r w:rsidRPr="00EC67B2">
        <w:rPr>
          <w:sz w:val="20"/>
          <w:szCs w:val="22"/>
        </w:rPr>
        <w:t>(</w:t>
      </w:r>
      <w:r w:rsidRPr="00EC67B2">
        <w:rPr>
          <w:sz w:val="20"/>
          <w:szCs w:val="22"/>
          <w:lang w:eastAsia="en-US"/>
        </w:rPr>
        <w:t>hereafter referred to as “</w:t>
      </w:r>
      <w:r w:rsidRPr="00EC67B2">
        <w:rPr>
          <w:sz w:val="20"/>
          <w:szCs w:val="22"/>
        </w:rPr>
        <w:t>PP”) means the proposal for the methodology to determine prices for balancing energy activated for different activation purposes and cross-zonal capacity in accordance with Article 30(1) and Article 29(3) of the EBGL</w:t>
      </w:r>
    </w:p>
    <w:p w:rsidR="00172F02" w:rsidRPr="00EC67B2" w:rsidRDefault="00172F02" w:rsidP="00F66875">
      <w:pPr>
        <w:pStyle w:val="textregular"/>
        <w:tabs>
          <w:tab w:val="left" w:pos="4110"/>
        </w:tabs>
        <w:ind w:left="3828" w:hanging="3829"/>
        <w:rPr>
          <w:sz w:val="20"/>
          <w:szCs w:val="22"/>
        </w:rPr>
      </w:pPr>
      <w:r w:rsidRPr="00EC67B2">
        <w:rPr>
          <w:b/>
          <w:sz w:val="20"/>
          <w:szCs w:val="22"/>
        </w:rPr>
        <w:t>‘</w:t>
      </w:r>
      <w:proofErr w:type="gramStart"/>
      <w:r w:rsidRPr="00EC67B2">
        <w:rPr>
          <w:b/>
          <w:sz w:val="20"/>
          <w:szCs w:val="22"/>
        </w:rPr>
        <w:t>rejected</w:t>
      </w:r>
      <w:proofErr w:type="gramEnd"/>
      <w:r w:rsidRPr="00EC67B2">
        <w:rPr>
          <w:b/>
          <w:sz w:val="20"/>
          <w:szCs w:val="22"/>
        </w:rPr>
        <w:t xml:space="preserve"> bid’</w:t>
      </w:r>
      <w:r w:rsidRPr="00EC67B2">
        <w:rPr>
          <w:sz w:val="20"/>
          <w:szCs w:val="22"/>
        </w:rPr>
        <w:t xml:space="preserve"> </w:t>
      </w:r>
      <w:r w:rsidRPr="00EC67B2">
        <w:rPr>
          <w:sz w:val="20"/>
          <w:szCs w:val="22"/>
        </w:rPr>
        <w:tab/>
        <w:t xml:space="preserve">means a bid which </w:t>
      </w:r>
      <w:r w:rsidR="00CA608F" w:rsidRPr="00787798">
        <w:rPr>
          <w:sz w:val="20"/>
          <w:szCs w:val="22"/>
        </w:rPr>
        <w:t>is part of the common merit order list of the AOF but is not a selected bid</w:t>
      </w:r>
    </w:p>
    <w:p w:rsidR="0021711D" w:rsidRPr="00EC67B2" w:rsidRDefault="0021711D" w:rsidP="00F66875">
      <w:pPr>
        <w:pStyle w:val="textregular"/>
        <w:tabs>
          <w:tab w:val="left" w:pos="4110"/>
        </w:tabs>
        <w:ind w:left="3828" w:hanging="3829"/>
        <w:rPr>
          <w:b/>
          <w:sz w:val="20"/>
          <w:szCs w:val="22"/>
        </w:rPr>
      </w:pPr>
      <w:r w:rsidRPr="00EC67B2">
        <w:rPr>
          <w:b/>
          <w:sz w:val="20"/>
          <w:szCs w:val="22"/>
        </w:rPr>
        <w:t xml:space="preserve">‘RR-Platform’ </w:t>
      </w:r>
      <w:r w:rsidRPr="00EC67B2">
        <w:rPr>
          <w:b/>
          <w:sz w:val="20"/>
          <w:szCs w:val="22"/>
        </w:rPr>
        <w:tab/>
      </w:r>
      <w:r w:rsidRPr="00EC67B2">
        <w:rPr>
          <w:sz w:val="20"/>
          <w:szCs w:val="22"/>
        </w:rPr>
        <w:t>means European platform for the exchange of balancing energy from replacement reserves</w:t>
      </w:r>
    </w:p>
    <w:p w:rsidR="00C551F1" w:rsidRPr="00EC67B2" w:rsidRDefault="00794551" w:rsidP="00F66875">
      <w:pPr>
        <w:pStyle w:val="textregular"/>
        <w:ind w:left="3828" w:hanging="3824"/>
        <w:rPr>
          <w:sz w:val="20"/>
          <w:szCs w:val="22"/>
        </w:rPr>
      </w:pPr>
      <w:r w:rsidRPr="00EC67B2" w:rsidDel="00794551">
        <w:rPr>
          <w:b/>
          <w:sz w:val="20"/>
          <w:szCs w:val="22"/>
        </w:rPr>
        <w:t xml:space="preserve"> </w:t>
      </w:r>
      <w:r w:rsidR="004069A4" w:rsidRPr="00EC67B2">
        <w:rPr>
          <w:b/>
          <w:sz w:val="20"/>
          <w:szCs w:val="22"/>
        </w:rPr>
        <w:t>‘</w:t>
      </w:r>
      <w:proofErr w:type="gramStart"/>
      <w:r w:rsidR="004069A4" w:rsidRPr="00EC67B2">
        <w:rPr>
          <w:b/>
          <w:sz w:val="20"/>
          <w:szCs w:val="22"/>
        </w:rPr>
        <w:t>selected</w:t>
      </w:r>
      <w:proofErr w:type="gramEnd"/>
      <w:r w:rsidR="004069A4" w:rsidRPr="00EC67B2">
        <w:rPr>
          <w:b/>
          <w:sz w:val="20"/>
          <w:szCs w:val="22"/>
        </w:rPr>
        <w:t xml:space="preserve"> bid’</w:t>
      </w:r>
      <w:r w:rsidR="004069A4" w:rsidRPr="00EC67B2">
        <w:rPr>
          <w:b/>
          <w:sz w:val="20"/>
          <w:szCs w:val="22"/>
        </w:rPr>
        <w:tab/>
      </w:r>
      <w:r w:rsidR="004069A4" w:rsidRPr="00EC67B2">
        <w:rPr>
          <w:sz w:val="20"/>
          <w:szCs w:val="22"/>
        </w:rPr>
        <w:t>means a bid that is selected by the AOF and must be fully or partially activated</w:t>
      </w:r>
    </w:p>
    <w:p w:rsidR="00172F02" w:rsidRPr="00EC67B2" w:rsidRDefault="00172F02" w:rsidP="00F66875">
      <w:pPr>
        <w:pStyle w:val="textregular"/>
        <w:tabs>
          <w:tab w:val="center" w:pos="4620"/>
        </w:tabs>
        <w:ind w:left="3828" w:hanging="3824"/>
        <w:rPr>
          <w:b/>
          <w:sz w:val="20"/>
          <w:szCs w:val="22"/>
        </w:rPr>
      </w:pPr>
      <w:r w:rsidRPr="00EC67B2">
        <w:rPr>
          <w:b/>
          <w:sz w:val="20"/>
          <w:szCs w:val="22"/>
        </w:rPr>
        <w:t>‘</w:t>
      </w:r>
      <w:proofErr w:type="gramStart"/>
      <w:r w:rsidRPr="00EC67B2">
        <w:rPr>
          <w:b/>
          <w:sz w:val="20"/>
          <w:szCs w:val="22"/>
        </w:rPr>
        <w:t>standard</w:t>
      </w:r>
      <w:proofErr w:type="gramEnd"/>
      <w:r w:rsidRPr="00EC67B2">
        <w:rPr>
          <w:b/>
          <w:sz w:val="20"/>
          <w:szCs w:val="22"/>
        </w:rPr>
        <w:t xml:space="preserve"> </w:t>
      </w:r>
      <w:proofErr w:type="spellStart"/>
      <w:r w:rsidRPr="00EC67B2">
        <w:rPr>
          <w:b/>
          <w:sz w:val="20"/>
          <w:szCs w:val="22"/>
        </w:rPr>
        <w:t>aFRR</w:t>
      </w:r>
      <w:proofErr w:type="spellEnd"/>
      <w:r w:rsidRPr="00EC67B2">
        <w:rPr>
          <w:b/>
          <w:sz w:val="20"/>
          <w:szCs w:val="22"/>
        </w:rPr>
        <w:t xml:space="preserve"> balancing energy product’</w:t>
      </w:r>
      <w:r w:rsidR="00EC67B2">
        <w:rPr>
          <w:b/>
          <w:sz w:val="20"/>
          <w:szCs w:val="22"/>
        </w:rPr>
        <w:t xml:space="preserve"> </w:t>
      </w:r>
      <w:r w:rsidRPr="00EC67B2">
        <w:rPr>
          <w:sz w:val="20"/>
          <w:szCs w:val="22"/>
        </w:rPr>
        <w:t>means the standard product for balancing energy from frequency restoration reserves with automatic activation</w:t>
      </w:r>
    </w:p>
    <w:p w:rsidR="00857B0E" w:rsidRPr="00EC67B2" w:rsidRDefault="00857B0E" w:rsidP="00F66875">
      <w:pPr>
        <w:pStyle w:val="textregular"/>
        <w:ind w:left="3828" w:hanging="3824"/>
        <w:rPr>
          <w:sz w:val="20"/>
          <w:szCs w:val="22"/>
        </w:rPr>
      </w:pPr>
      <w:r w:rsidRPr="00EC67B2">
        <w:rPr>
          <w:b/>
          <w:sz w:val="20"/>
          <w:szCs w:val="22"/>
        </w:rPr>
        <w:t>‘</w:t>
      </w:r>
      <w:proofErr w:type="gramStart"/>
      <w:r w:rsidRPr="00EC67B2">
        <w:rPr>
          <w:b/>
          <w:sz w:val="20"/>
          <w:szCs w:val="22"/>
        </w:rPr>
        <w:t>standard</w:t>
      </w:r>
      <w:proofErr w:type="gramEnd"/>
      <w:r w:rsidRPr="00EC67B2">
        <w:rPr>
          <w:b/>
          <w:sz w:val="20"/>
          <w:szCs w:val="22"/>
        </w:rPr>
        <w:t xml:space="preserve"> balancing energy product’</w:t>
      </w:r>
      <w:r w:rsidR="00CB05AD" w:rsidRPr="00EC67B2">
        <w:rPr>
          <w:b/>
          <w:sz w:val="20"/>
          <w:szCs w:val="22"/>
        </w:rPr>
        <w:tab/>
      </w:r>
      <w:r w:rsidRPr="00EC67B2">
        <w:rPr>
          <w:sz w:val="20"/>
          <w:szCs w:val="22"/>
        </w:rPr>
        <w:t xml:space="preserve">means the standard product for balancing energy from </w:t>
      </w:r>
      <w:r w:rsidR="00C23437" w:rsidRPr="00EC67B2">
        <w:rPr>
          <w:sz w:val="20"/>
          <w:szCs w:val="22"/>
        </w:rPr>
        <w:t xml:space="preserve">replacement reserves or </w:t>
      </w:r>
      <w:r w:rsidRPr="00EC67B2">
        <w:rPr>
          <w:sz w:val="20"/>
          <w:szCs w:val="22"/>
        </w:rPr>
        <w:t>frequency restoration reserves with automatic</w:t>
      </w:r>
      <w:r w:rsidR="00C23437" w:rsidRPr="00EC67B2">
        <w:rPr>
          <w:sz w:val="20"/>
          <w:szCs w:val="22"/>
        </w:rPr>
        <w:t xml:space="preserve"> or manual</w:t>
      </w:r>
      <w:r w:rsidRPr="00EC67B2">
        <w:rPr>
          <w:sz w:val="20"/>
          <w:szCs w:val="22"/>
        </w:rPr>
        <w:t xml:space="preserve"> activation</w:t>
      </w:r>
    </w:p>
    <w:p w:rsidR="00D65F7B" w:rsidRPr="00EC67B2" w:rsidRDefault="00D65F7B" w:rsidP="00F66875">
      <w:pPr>
        <w:pStyle w:val="textregular"/>
        <w:ind w:left="3828" w:hanging="3824"/>
        <w:rPr>
          <w:sz w:val="20"/>
          <w:szCs w:val="22"/>
        </w:rPr>
      </w:pPr>
      <w:r w:rsidRPr="00EC67B2">
        <w:rPr>
          <w:b/>
          <w:sz w:val="20"/>
          <w:szCs w:val="22"/>
        </w:rPr>
        <w:t>‘uncongested area’</w:t>
      </w:r>
      <w:r w:rsidRPr="00EC67B2">
        <w:rPr>
          <w:b/>
          <w:sz w:val="20"/>
          <w:szCs w:val="22"/>
        </w:rPr>
        <w:tab/>
      </w:r>
      <w:r w:rsidRPr="00EC67B2">
        <w:rPr>
          <w:sz w:val="20"/>
          <w:szCs w:val="22"/>
        </w:rPr>
        <w:t xml:space="preserve">means the widest area, constituted by bidding zones and/or LFC areas, where the exchange of balancing energy and the netting of demands is not restricted by the </w:t>
      </w:r>
      <w:r w:rsidR="00CA608F" w:rsidRPr="00787798">
        <w:rPr>
          <w:sz w:val="20"/>
          <w:szCs w:val="22"/>
        </w:rPr>
        <w:t xml:space="preserve">border capacity limits </w:t>
      </w:r>
      <w:r w:rsidR="00A36EA6">
        <w:rPr>
          <w:sz w:val="20"/>
          <w:szCs w:val="22"/>
        </w:rPr>
        <w:t>or other allocation constraints</w:t>
      </w:r>
      <w:r w:rsidR="00CA608F" w:rsidRPr="00787798">
        <w:rPr>
          <w:sz w:val="20"/>
          <w:szCs w:val="22"/>
        </w:rPr>
        <w:t xml:space="preserve"> in accordance with the implementation frameworks for the exchange of balancing energy from replacement reserves, from frequency restoration reserves with manual and automatic activation as well as for the imbalance netting process</w:t>
      </w:r>
    </w:p>
    <w:p w:rsidR="00586954" w:rsidRPr="00F66875" w:rsidRDefault="00B11620" w:rsidP="00F66875">
      <w:pPr>
        <w:pStyle w:val="textregular"/>
        <w:ind w:left="3828" w:hanging="3824"/>
        <w:rPr>
          <w:szCs w:val="22"/>
        </w:rPr>
      </w:pPr>
      <w:r w:rsidRPr="00EC67B2">
        <w:rPr>
          <w:b/>
          <w:sz w:val="20"/>
          <w:szCs w:val="22"/>
        </w:rPr>
        <w:t>‘</w:t>
      </w:r>
      <w:proofErr w:type="gramStart"/>
      <w:r w:rsidRPr="00EC67B2">
        <w:rPr>
          <w:b/>
          <w:sz w:val="20"/>
          <w:szCs w:val="22"/>
        </w:rPr>
        <w:t>validity</w:t>
      </w:r>
      <w:proofErr w:type="gramEnd"/>
      <w:r w:rsidRPr="00EC67B2">
        <w:rPr>
          <w:b/>
          <w:sz w:val="20"/>
          <w:szCs w:val="22"/>
        </w:rPr>
        <w:t xml:space="preserve"> period’</w:t>
      </w:r>
      <w:r w:rsidR="00586954" w:rsidRPr="00EC67B2">
        <w:rPr>
          <w:sz w:val="20"/>
          <w:szCs w:val="22"/>
        </w:rPr>
        <w:tab/>
        <w:t xml:space="preserve">means the period during which a balancing energy bid can be </w:t>
      </w:r>
      <w:r w:rsidR="00807B34" w:rsidRPr="00EC67B2">
        <w:rPr>
          <w:sz w:val="20"/>
          <w:szCs w:val="22"/>
        </w:rPr>
        <w:t>is submitted</w:t>
      </w:r>
    </w:p>
    <w:p w:rsidR="00586954" w:rsidRPr="00F66875" w:rsidRDefault="00586954" w:rsidP="00CD3681">
      <w:pPr>
        <w:pStyle w:val="textregular"/>
        <w:rPr>
          <w:szCs w:val="22"/>
        </w:rPr>
      </w:pPr>
    </w:p>
    <w:p w:rsidR="008A529E" w:rsidRPr="00F66875" w:rsidRDefault="007400D5" w:rsidP="00DD58FA">
      <w:pPr>
        <w:pStyle w:val="headline2"/>
        <w:numPr>
          <w:ilvl w:val="0"/>
          <w:numId w:val="9"/>
        </w:numPr>
        <w:rPr>
          <w:sz w:val="22"/>
          <w:szCs w:val="22"/>
        </w:rPr>
      </w:pPr>
      <w:r w:rsidRPr="00F66875">
        <w:rPr>
          <w:sz w:val="22"/>
          <w:szCs w:val="22"/>
        </w:rPr>
        <w:t>Abbreviations</w:t>
      </w:r>
    </w:p>
    <w:p w:rsidR="008A529E" w:rsidRPr="00F66875" w:rsidRDefault="008A529E" w:rsidP="00E15B85">
      <w:pPr>
        <w:pStyle w:val="textregular"/>
        <w:rPr>
          <w:szCs w:val="22"/>
        </w:rPr>
      </w:pPr>
      <w:r w:rsidRPr="00F66875">
        <w:rPr>
          <w:szCs w:val="22"/>
        </w:rPr>
        <w:t>List of abbreviations used in this document:</w:t>
      </w:r>
    </w:p>
    <w:p w:rsidR="008A529E" w:rsidRPr="00F66875" w:rsidRDefault="008A529E" w:rsidP="00E15B85">
      <w:pPr>
        <w:pStyle w:val="textregular"/>
        <w:rPr>
          <w:szCs w:val="22"/>
        </w:rPr>
      </w:pPr>
    </w:p>
    <w:p w:rsidR="008C4E05" w:rsidRPr="00F66875" w:rsidRDefault="008C4E05" w:rsidP="00E15B85">
      <w:pPr>
        <w:pStyle w:val="textregular"/>
        <w:rPr>
          <w:b/>
          <w:szCs w:val="22"/>
        </w:rPr>
      </w:pPr>
      <w:proofErr w:type="spellStart"/>
      <w:proofErr w:type="gramStart"/>
      <w:r w:rsidRPr="00F66875">
        <w:rPr>
          <w:b/>
          <w:szCs w:val="22"/>
        </w:rPr>
        <w:t>aFRR</w:t>
      </w:r>
      <w:proofErr w:type="spellEnd"/>
      <w:proofErr w:type="gramEnd"/>
      <w:r w:rsidR="00FA14F7" w:rsidRPr="00F66875">
        <w:rPr>
          <w:b/>
          <w:szCs w:val="22"/>
        </w:rPr>
        <w:tab/>
      </w:r>
      <w:r w:rsidR="00FA14F7" w:rsidRPr="00F66875">
        <w:rPr>
          <w:b/>
          <w:szCs w:val="22"/>
        </w:rPr>
        <w:tab/>
      </w:r>
      <w:r w:rsidR="00FA14F7" w:rsidRPr="00F66875">
        <w:rPr>
          <w:b/>
          <w:szCs w:val="22"/>
        </w:rPr>
        <w:tab/>
      </w:r>
      <w:r w:rsidR="00FA14F7" w:rsidRPr="00F66875">
        <w:rPr>
          <w:szCs w:val="22"/>
        </w:rPr>
        <w:t>automatic frequency restoration reserve</w:t>
      </w:r>
    </w:p>
    <w:p w:rsidR="004300E2" w:rsidRPr="00F66875" w:rsidRDefault="004300E2" w:rsidP="00E15B85">
      <w:pPr>
        <w:pStyle w:val="textregular"/>
        <w:rPr>
          <w:szCs w:val="22"/>
        </w:rPr>
      </w:pPr>
      <w:r w:rsidRPr="00F66875">
        <w:rPr>
          <w:b/>
          <w:szCs w:val="22"/>
        </w:rPr>
        <w:t>AOF</w:t>
      </w:r>
      <w:r w:rsidRPr="00F66875">
        <w:rPr>
          <w:szCs w:val="22"/>
        </w:rPr>
        <w:tab/>
      </w:r>
      <w:r w:rsidRPr="00F66875">
        <w:rPr>
          <w:szCs w:val="22"/>
        </w:rPr>
        <w:tab/>
      </w:r>
      <w:r w:rsidRPr="00F66875">
        <w:rPr>
          <w:szCs w:val="22"/>
        </w:rPr>
        <w:tab/>
        <w:t>activation optimisation function</w:t>
      </w:r>
    </w:p>
    <w:p w:rsidR="008910DE" w:rsidRPr="00F66875" w:rsidRDefault="004E6711" w:rsidP="00E15B85">
      <w:pPr>
        <w:pStyle w:val="textregular"/>
        <w:rPr>
          <w:szCs w:val="22"/>
        </w:rPr>
      </w:pPr>
      <w:r w:rsidRPr="00F66875">
        <w:rPr>
          <w:b/>
          <w:szCs w:val="22"/>
        </w:rPr>
        <w:t>BSP</w:t>
      </w:r>
      <w:r w:rsidR="008910DE" w:rsidRPr="00F66875">
        <w:rPr>
          <w:szCs w:val="22"/>
        </w:rPr>
        <w:tab/>
      </w:r>
      <w:r w:rsidR="008910DE" w:rsidRPr="00F66875">
        <w:rPr>
          <w:szCs w:val="22"/>
        </w:rPr>
        <w:tab/>
      </w:r>
      <w:r w:rsidR="008910DE" w:rsidRPr="00F66875">
        <w:rPr>
          <w:szCs w:val="22"/>
        </w:rPr>
        <w:tab/>
        <w:t>balancing service</w:t>
      </w:r>
      <w:r w:rsidRPr="00F66875">
        <w:rPr>
          <w:szCs w:val="22"/>
        </w:rPr>
        <w:t xml:space="preserve"> provider</w:t>
      </w:r>
    </w:p>
    <w:p w:rsidR="00396DA7" w:rsidRPr="00F66875" w:rsidRDefault="00396DA7" w:rsidP="00E15B85">
      <w:pPr>
        <w:pStyle w:val="textregular"/>
        <w:rPr>
          <w:szCs w:val="22"/>
        </w:rPr>
      </w:pPr>
      <w:r w:rsidRPr="00F66875">
        <w:rPr>
          <w:b/>
          <w:szCs w:val="22"/>
        </w:rPr>
        <w:t>BEPP</w:t>
      </w:r>
      <w:r w:rsidRPr="00F66875">
        <w:rPr>
          <w:szCs w:val="22"/>
        </w:rPr>
        <w:tab/>
      </w:r>
      <w:r w:rsidRPr="00F66875">
        <w:rPr>
          <w:szCs w:val="22"/>
        </w:rPr>
        <w:tab/>
      </w:r>
      <w:r w:rsidRPr="00F66875">
        <w:rPr>
          <w:szCs w:val="22"/>
        </w:rPr>
        <w:tab/>
        <w:t>balancing energy pricing period</w:t>
      </w:r>
    </w:p>
    <w:p w:rsidR="00083EAA" w:rsidRPr="00F66875" w:rsidRDefault="00083EAA" w:rsidP="00E15B85">
      <w:pPr>
        <w:pStyle w:val="textregular"/>
        <w:rPr>
          <w:szCs w:val="22"/>
        </w:rPr>
      </w:pPr>
      <w:r w:rsidRPr="00F66875">
        <w:rPr>
          <w:b/>
          <w:szCs w:val="22"/>
        </w:rPr>
        <w:t>BRP</w:t>
      </w:r>
      <w:r w:rsidRPr="00F66875">
        <w:rPr>
          <w:szCs w:val="22"/>
        </w:rPr>
        <w:tab/>
      </w:r>
      <w:r w:rsidRPr="00F66875">
        <w:rPr>
          <w:szCs w:val="22"/>
        </w:rPr>
        <w:tab/>
      </w:r>
      <w:r w:rsidRPr="00F66875">
        <w:rPr>
          <w:szCs w:val="22"/>
        </w:rPr>
        <w:tab/>
      </w:r>
      <w:r w:rsidR="00DB7162" w:rsidRPr="00F66875">
        <w:rPr>
          <w:szCs w:val="22"/>
        </w:rPr>
        <w:t xml:space="preserve">balance </w:t>
      </w:r>
      <w:r w:rsidRPr="00F66875">
        <w:rPr>
          <w:szCs w:val="22"/>
        </w:rPr>
        <w:t>responsible party</w:t>
      </w:r>
    </w:p>
    <w:p w:rsidR="00346F04" w:rsidRPr="00F66875" w:rsidRDefault="00346F04" w:rsidP="00E15B85">
      <w:pPr>
        <w:pStyle w:val="textregular"/>
        <w:rPr>
          <w:szCs w:val="22"/>
        </w:rPr>
      </w:pPr>
      <w:r w:rsidRPr="00F66875">
        <w:rPr>
          <w:b/>
          <w:szCs w:val="22"/>
        </w:rPr>
        <w:t>CMOL</w:t>
      </w:r>
      <w:r w:rsidRPr="00F66875">
        <w:rPr>
          <w:szCs w:val="22"/>
        </w:rPr>
        <w:tab/>
      </w:r>
      <w:r w:rsidRPr="00F66875">
        <w:rPr>
          <w:szCs w:val="22"/>
        </w:rPr>
        <w:tab/>
      </w:r>
      <w:r w:rsidRPr="00F66875">
        <w:rPr>
          <w:szCs w:val="22"/>
        </w:rPr>
        <w:tab/>
        <w:t>common merit order list</w:t>
      </w:r>
    </w:p>
    <w:p w:rsidR="00E15B85" w:rsidRPr="00F66875" w:rsidRDefault="00E15B85" w:rsidP="00E15B85">
      <w:pPr>
        <w:pStyle w:val="textregular"/>
        <w:rPr>
          <w:szCs w:val="22"/>
        </w:rPr>
      </w:pPr>
      <w:r w:rsidRPr="00F66875">
        <w:rPr>
          <w:b/>
          <w:szCs w:val="22"/>
        </w:rPr>
        <w:t>CZC</w:t>
      </w:r>
      <w:r w:rsidRPr="00F66875">
        <w:rPr>
          <w:szCs w:val="22"/>
        </w:rPr>
        <w:tab/>
      </w:r>
      <w:r w:rsidRPr="00F66875">
        <w:rPr>
          <w:szCs w:val="22"/>
        </w:rPr>
        <w:tab/>
      </w:r>
      <w:r w:rsidRPr="00F66875">
        <w:rPr>
          <w:szCs w:val="22"/>
        </w:rPr>
        <w:tab/>
        <w:t>cross-zonal capacity</w:t>
      </w:r>
    </w:p>
    <w:p w:rsidR="00084557" w:rsidRPr="00F66875" w:rsidRDefault="00084557" w:rsidP="00E15B85">
      <w:pPr>
        <w:pStyle w:val="textregular"/>
        <w:rPr>
          <w:szCs w:val="22"/>
        </w:rPr>
      </w:pPr>
      <w:r w:rsidRPr="00F66875">
        <w:rPr>
          <w:b/>
          <w:szCs w:val="22"/>
        </w:rPr>
        <w:t>DA</w:t>
      </w:r>
      <w:r w:rsidRPr="00F66875">
        <w:rPr>
          <w:szCs w:val="22"/>
        </w:rPr>
        <w:tab/>
      </w:r>
      <w:r w:rsidRPr="00F66875">
        <w:rPr>
          <w:szCs w:val="22"/>
        </w:rPr>
        <w:tab/>
      </w:r>
      <w:r w:rsidRPr="00F66875">
        <w:rPr>
          <w:szCs w:val="22"/>
        </w:rPr>
        <w:tab/>
        <w:t>direct activation</w:t>
      </w:r>
    </w:p>
    <w:p w:rsidR="00E15B85" w:rsidRPr="00F66875" w:rsidRDefault="00E15B85" w:rsidP="00E15B85">
      <w:pPr>
        <w:pStyle w:val="textregular"/>
        <w:rPr>
          <w:szCs w:val="22"/>
        </w:rPr>
      </w:pPr>
      <w:r w:rsidRPr="00F66875">
        <w:rPr>
          <w:b/>
          <w:szCs w:val="22"/>
        </w:rPr>
        <w:t>EBGL</w:t>
      </w:r>
      <w:r w:rsidRPr="00F66875">
        <w:rPr>
          <w:szCs w:val="22"/>
        </w:rPr>
        <w:tab/>
      </w:r>
      <w:r w:rsidRPr="00F66875">
        <w:rPr>
          <w:szCs w:val="22"/>
        </w:rPr>
        <w:tab/>
      </w:r>
      <w:r w:rsidRPr="00F66875">
        <w:rPr>
          <w:szCs w:val="22"/>
        </w:rPr>
        <w:tab/>
        <w:t>guideline on electricity balancing</w:t>
      </w:r>
    </w:p>
    <w:p w:rsidR="00E15B85" w:rsidRPr="00F66875" w:rsidRDefault="00E15B85" w:rsidP="00E15B85">
      <w:pPr>
        <w:pStyle w:val="textregular"/>
        <w:rPr>
          <w:szCs w:val="22"/>
        </w:rPr>
      </w:pPr>
      <w:r w:rsidRPr="00F66875">
        <w:rPr>
          <w:b/>
          <w:szCs w:val="22"/>
        </w:rPr>
        <w:t>FRCE</w:t>
      </w:r>
      <w:r w:rsidRPr="00F66875">
        <w:rPr>
          <w:szCs w:val="22"/>
        </w:rPr>
        <w:tab/>
      </w:r>
      <w:r w:rsidRPr="00F66875">
        <w:rPr>
          <w:szCs w:val="22"/>
        </w:rPr>
        <w:tab/>
      </w:r>
      <w:r w:rsidRPr="00F66875">
        <w:rPr>
          <w:szCs w:val="22"/>
        </w:rPr>
        <w:tab/>
        <w:t>frequency restoration control error</w:t>
      </w:r>
    </w:p>
    <w:p w:rsidR="0050274A" w:rsidRPr="00F66875" w:rsidRDefault="0050274A" w:rsidP="00E15B85">
      <w:pPr>
        <w:pStyle w:val="textregular"/>
        <w:rPr>
          <w:szCs w:val="22"/>
        </w:rPr>
      </w:pPr>
      <w:r w:rsidRPr="00F66875">
        <w:rPr>
          <w:b/>
          <w:szCs w:val="22"/>
        </w:rPr>
        <w:lastRenderedPageBreak/>
        <w:t>ISP</w:t>
      </w:r>
      <w:r w:rsidRPr="00F66875">
        <w:rPr>
          <w:szCs w:val="22"/>
        </w:rPr>
        <w:tab/>
      </w:r>
      <w:r w:rsidRPr="00F66875">
        <w:rPr>
          <w:szCs w:val="22"/>
        </w:rPr>
        <w:tab/>
      </w:r>
      <w:r w:rsidRPr="00F66875">
        <w:rPr>
          <w:szCs w:val="22"/>
        </w:rPr>
        <w:tab/>
        <w:t>imbalance settlement period</w:t>
      </w:r>
    </w:p>
    <w:p w:rsidR="00BA0596" w:rsidRPr="00F66875" w:rsidRDefault="00BA0596" w:rsidP="00E15B85">
      <w:pPr>
        <w:pStyle w:val="textregular"/>
        <w:rPr>
          <w:szCs w:val="22"/>
        </w:rPr>
      </w:pPr>
      <w:r w:rsidRPr="00F66875">
        <w:rPr>
          <w:b/>
          <w:szCs w:val="22"/>
        </w:rPr>
        <w:t>LFC</w:t>
      </w:r>
      <w:r w:rsidRPr="00F66875">
        <w:rPr>
          <w:szCs w:val="22"/>
        </w:rPr>
        <w:tab/>
      </w:r>
      <w:r w:rsidRPr="00F66875">
        <w:rPr>
          <w:szCs w:val="22"/>
        </w:rPr>
        <w:tab/>
      </w:r>
      <w:r w:rsidRPr="00F66875">
        <w:rPr>
          <w:szCs w:val="22"/>
        </w:rPr>
        <w:tab/>
        <w:t>load frequency control</w:t>
      </w:r>
    </w:p>
    <w:p w:rsidR="00E15B85" w:rsidRPr="00F66875" w:rsidRDefault="00E15B85" w:rsidP="00E15B85">
      <w:pPr>
        <w:pStyle w:val="textregular"/>
        <w:rPr>
          <w:szCs w:val="22"/>
        </w:rPr>
      </w:pPr>
      <w:r w:rsidRPr="00F66875">
        <w:rPr>
          <w:b/>
          <w:szCs w:val="22"/>
        </w:rPr>
        <w:t>MARI</w:t>
      </w:r>
      <w:r w:rsidR="001D27C7" w:rsidRPr="00F66875">
        <w:rPr>
          <w:b/>
          <w:szCs w:val="22"/>
        </w:rPr>
        <w:tab/>
      </w:r>
      <w:r w:rsidR="001D27C7" w:rsidRPr="00F66875">
        <w:rPr>
          <w:szCs w:val="22"/>
        </w:rPr>
        <w:tab/>
      </w:r>
      <w:r w:rsidR="001D27C7" w:rsidRPr="00F66875">
        <w:rPr>
          <w:szCs w:val="22"/>
        </w:rPr>
        <w:tab/>
        <w:t>Manually Activated Reserves Initiative</w:t>
      </w:r>
    </w:p>
    <w:p w:rsidR="008C4E05" w:rsidRPr="00F66875" w:rsidRDefault="008C4E05" w:rsidP="00E15B85">
      <w:pPr>
        <w:pStyle w:val="textregular"/>
        <w:rPr>
          <w:b/>
          <w:szCs w:val="22"/>
        </w:rPr>
      </w:pPr>
      <w:proofErr w:type="spellStart"/>
      <w:proofErr w:type="gramStart"/>
      <w:r w:rsidRPr="00F66875">
        <w:rPr>
          <w:b/>
          <w:szCs w:val="22"/>
        </w:rPr>
        <w:t>mFRR</w:t>
      </w:r>
      <w:proofErr w:type="spellEnd"/>
      <w:proofErr w:type="gramEnd"/>
      <w:r w:rsidR="00FA14F7" w:rsidRPr="00F66875">
        <w:rPr>
          <w:b/>
          <w:szCs w:val="22"/>
        </w:rPr>
        <w:tab/>
      </w:r>
      <w:r w:rsidR="00FA14F7" w:rsidRPr="00F66875">
        <w:rPr>
          <w:b/>
          <w:szCs w:val="22"/>
        </w:rPr>
        <w:tab/>
      </w:r>
      <w:r w:rsidR="00FA14F7" w:rsidRPr="00F66875">
        <w:rPr>
          <w:b/>
          <w:szCs w:val="22"/>
        </w:rPr>
        <w:tab/>
      </w:r>
      <w:r w:rsidR="00FA14F7" w:rsidRPr="00F66875">
        <w:rPr>
          <w:szCs w:val="22"/>
        </w:rPr>
        <w:t>manual frequency restoration reserve</w:t>
      </w:r>
    </w:p>
    <w:p w:rsidR="00C80DA6" w:rsidRPr="00F66875" w:rsidRDefault="00C80DA6" w:rsidP="00E15B85">
      <w:pPr>
        <w:pStyle w:val="textregular"/>
        <w:rPr>
          <w:szCs w:val="22"/>
        </w:rPr>
      </w:pPr>
      <w:r w:rsidRPr="00F66875">
        <w:rPr>
          <w:b/>
          <w:szCs w:val="22"/>
        </w:rPr>
        <w:t>MOL</w:t>
      </w:r>
      <w:r w:rsidRPr="00F66875">
        <w:rPr>
          <w:szCs w:val="22"/>
        </w:rPr>
        <w:tab/>
      </w:r>
      <w:r w:rsidRPr="00F66875">
        <w:rPr>
          <w:szCs w:val="22"/>
        </w:rPr>
        <w:tab/>
      </w:r>
      <w:r w:rsidRPr="00F66875">
        <w:rPr>
          <w:szCs w:val="22"/>
        </w:rPr>
        <w:tab/>
        <w:t>merit order list</w:t>
      </w:r>
    </w:p>
    <w:p w:rsidR="00AB2D96" w:rsidRPr="00F66875" w:rsidRDefault="00AB2D96" w:rsidP="00E15B85">
      <w:pPr>
        <w:pStyle w:val="textregular"/>
        <w:rPr>
          <w:b/>
          <w:szCs w:val="22"/>
        </w:rPr>
      </w:pPr>
      <w:r w:rsidRPr="00F66875">
        <w:rPr>
          <w:b/>
          <w:szCs w:val="22"/>
        </w:rPr>
        <w:t>MCP</w:t>
      </w:r>
      <w:r w:rsidR="00FA14F7" w:rsidRPr="00F66875">
        <w:rPr>
          <w:b/>
          <w:szCs w:val="22"/>
        </w:rPr>
        <w:tab/>
      </w:r>
      <w:r w:rsidR="00FA14F7" w:rsidRPr="00F66875">
        <w:rPr>
          <w:b/>
          <w:szCs w:val="22"/>
        </w:rPr>
        <w:tab/>
      </w:r>
      <w:r w:rsidR="00FA14F7" w:rsidRPr="00F66875">
        <w:rPr>
          <w:b/>
          <w:szCs w:val="22"/>
        </w:rPr>
        <w:tab/>
      </w:r>
      <w:r w:rsidR="00FA14F7" w:rsidRPr="00F66875">
        <w:rPr>
          <w:szCs w:val="22"/>
        </w:rPr>
        <w:t>market clearing price</w:t>
      </w:r>
    </w:p>
    <w:p w:rsidR="00E15B85" w:rsidRPr="00F66875" w:rsidRDefault="00E15B85" w:rsidP="00E15B85">
      <w:pPr>
        <w:pStyle w:val="textregular"/>
        <w:rPr>
          <w:szCs w:val="22"/>
        </w:rPr>
      </w:pPr>
      <w:r w:rsidRPr="00F66875">
        <w:rPr>
          <w:b/>
          <w:szCs w:val="22"/>
        </w:rPr>
        <w:t>MW</w:t>
      </w:r>
      <w:r w:rsidRPr="00F66875">
        <w:rPr>
          <w:szCs w:val="22"/>
        </w:rPr>
        <w:tab/>
      </w:r>
      <w:r w:rsidRPr="00F66875">
        <w:rPr>
          <w:szCs w:val="22"/>
        </w:rPr>
        <w:tab/>
      </w:r>
      <w:r w:rsidRPr="00F66875">
        <w:rPr>
          <w:szCs w:val="22"/>
        </w:rPr>
        <w:tab/>
        <w:t>megawatt</w:t>
      </w:r>
    </w:p>
    <w:p w:rsidR="00E15B85" w:rsidRPr="00F66875" w:rsidRDefault="00E15B85" w:rsidP="00E15B85">
      <w:pPr>
        <w:pStyle w:val="textregular"/>
        <w:rPr>
          <w:szCs w:val="22"/>
        </w:rPr>
      </w:pPr>
      <w:r w:rsidRPr="00F66875">
        <w:rPr>
          <w:b/>
          <w:szCs w:val="22"/>
        </w:rPr>
        <w:t>MWh</w:t>
      </w:r>
      <w:r w:rsidRPr="00F66875">
        <w:rPr>
          <w:szCs w:val="22"/>
        </w:rPr>
        <w:tab/>
      </w:r>
      <w:r w:rsidRPr="00F66875">
        <w:rPr>
          <w:szCs w:val="22"/>
        </w:rPr>
        <w:tab/>
      </w:r>
      <w:r w:rsidRPr="00F66875">
        <w:rPr>
          <w:szCs w:val="22"/>
        </w:rPr>
        <w:tab/>
        <w:t>megawatt hour</w:t>
      </w:r>
    </w:p>
    <w:p w:rsidR="003A0A60" w:rsidRPr="00F66875" w:rsidRDefault="003A0A60" w:rsidP="00E15B85">
      <w:pPr>
        <w:pStyle w:val="textregular"/>
        <w:rPr>
          <w:b/>
          <w:szCs w:val="22"/>
        </w:rPr>
      </w:pPr>
      <w:r w:rsidRPr="00F66875">
        <w:rPr>
          <w:b/>
          <w:szCs w:val="22"/>
        </w:rPr>
        <w:t>NRA</w:t>
      </w:r>
      <w:r w:rsidRPr="00F66875">
        <w:rPr>
          <w:b/>
          <w:szCs w:val="22"/>
        </w:rPr>
        <w:tab/>
      </w:r>
      <w:r w:rsidRPr="00F66875">
        <w:rPr>
          <w:b/>
          <w:szCs w:val="22"/>
        </w:rPr>
        <w:tab/>
      </w:r>
      <w:r w:rsidRPr="00F66875">
        <w:rPr>
          <w:b/>
          <w:szCs w:val="22"/>
        </w:rPr>
        <w:tab/>
      </w:r>
      <w:r w:rsidRPr="00F66875">
        <w:rPr>
          <w:szCs w:val="22"/>
        </w:rPr>
        <w:t>national regulatory authority</w:t>
      </w:r>
    </w:p>
    <w:p w:rsidR="00AB2D96" w:rsidRPr="00F66875" w:rsidRDefault="00AB2D96" w:rsidP="00AB2D96">
      <w:pPr>
        <w:pStyle w:val="textregular"/>
        <w:ind w:left="2124" w:hanging="2124"/>
        <w:rPr>
          <w:szCs w:val="22"/>
        </w:rPr>
      </w:pPr>
      <w:r w:rsidRPr="00F66875">
        <w:rPr>
          <w:b/>
          <w:szCs w:val="22"/>
        </w:rPr>
        <w:t>PICASSO</w:t>
      </w:r>
      <w:r w:rsidRPr="00F66875">
        <w:rPr>
          <w:szCs w:val="22"/>
        </w:rPr>
        <w:tab/>
      </w:r>
      <w:r w:rsidRPr="00F66875">
        <w:rPr>
          <w:szCs w:val="22"/>
        </w:rPr>
        <w:tab/>
        <w:t>Platform for the International Coordination of Automated Frequency Restoration and Stable System Operation</w:t>
      </w:r>
    </w:p>
    <w:p w:rsidR="00AB2D96" w:rsidRPr="00F66875" w:rsidRDefault="00AB2D96" w:rsidP="00AB2D96">
      <w:pPr>
        <w:pStyle w:val="textregular"/>
        <w:ind w:left="2124" w:hanging="2124"/>
        <w:rPr>
          <w:szCs w:val="22"/>
        </w:rPr>
      </w:pPr>
      <w:r w:rsidRPr="00F66875">
        <w:rPr>
          <w:b/>
          <w:szCs w:val="22"/>
        </w:rPr>
        <w:t>PP</w:t>
      </w:r>
      <w:r w:rsidRPr="00F66875">
        <w:rPr>
          <w:szCs w:val="22"/>
        </w:rPr>
        <w:tab/>
      </w:r>
      <w:r w:rsidRPr="00F66875">
        <w:rPr>
          <w:szCs w:val="22"/>
        </w:rPr>
        <w:tab/>
        <w:t xml:space="preserve">pricing proposal </w:t>
      </w:r>
    </w:p>
    <w:p w:rsidR="00AB2D96" w:rsidRPr="00F66875" w:rsidRDefault="00AB2D96" w:rsidP="00AB2D96">
      <w:pPr>
        <w:pStyle w:val="textregular"/>
        <w:rPr>
          <w:szCs w:val="22"/>
        </w:rPr>
      </w:pPr>
      <w:r w:rsidRPr="00F66875">
        <w:rPr>
          <w:b/>
          <w:szCs w:val="22"/>
        </w:rPr>
        <w:t>QH</w:t>
      </w:r>
      <w:r w:rsidRPr="00F66875">
        <w:rPr>
          <w:b/>
          <w:szCs w:val="22"/>
        </w:rPr>
        <w:tab/>
      </w:r>
      <w:r w:rsidRPr="00F66875">
        <w:rPr>
          <w:b/>
          <w:szCs w:val="22"/>
        </w:rPr>
        <w:tab/>
      </w:r>
      <w:r w:rsidRPr="00F66875">
        <w:rPr>
          <w:b/>
          <w:szCs w:val="22"/>
        </w:rPr>
        <w:tab/>
      </w:r>
      <w:r w:rsidRPr="00F66875">
        <w:rPr>
          <w:szCs w:val="22"/>
        </w:rPr>
        <w:t>quarter hour</w:t>
      </w:r>
    </w:p>
    <w:p w:rsidR="0099174E" w:rsidRPr="00F66875" w:rsidRDefault="0099174E" w:rsidP="00AB2D96">
      <w:pPr>
        <w:pStyle w:val="textregular"/>
        <w:rPr>
          <w:szCs w:val="22"/>
        </w:rPr>
      </w:pPr>
      <w:r w:rsidRPr="00F66875">
        <w:rPr>
          <w:b/>
          <w:szCs w:val="22"/>
        </w:rPr>
        <w:t>SA</w:t>
      </w:r>
      <w:r w:rsidRPr="00F66875">
        <w:rPr>
          <w:szCs w:val="22"/>
        </w:rPr>
        <w:tab/>
      </w:r>
      <w:r w:rsidRPr="00F66875">
        <w:rPr>
          <w:szCs w:val="22"/>
        </w:rPr>
        <w:tab/>
      </w:r>
      <w:r w:rsidRPr="00F66875">
        <w:rPr>
          <w:szCs w:val="22"/>
        </w:rPr>
        <w:tab/>
        <w:t>scheduled activation</w:t>
      </w:r>
    </w:p>
    <w:p w:rsidR="00C92148" w:rsidRPr="00F66875" w:rsidRDefault="00C92148" w:rsidP="00AB2D96">
      <w:pPr>
        <w:pStyle w:val="textregular"/>
        <w:rPr>
          <w:szCs w:val="22"/>
        </w:rPr>
      </w:pPr>
      <w:r w:rsidRPr="00F66875">
        <w:rPr>
          <w:b/>
          <w:szCs w:val="22"/>
        </w:rPr>
        <w:t>SP</w:t>
      </w:r>
      <w:r w:rsidRPr="00F66875">
        <w:rPr>
          <w:szCs w:val="22"/>
        </w:rPr>
        <w:tab/>
      </w:r>
      <w:r w:rsidRPr="00F66875">
        <w:rPr>
          <w:szCs w:val="22"/>
        </w:rPr>
        <w:tab/>
      </w:r>
      <w:r w:rsidRPr="00F66875">
        <w:rPr>
          <w:szCs w:val="22"/>
        </w:rPr>
        <w:tab/>
        <w:t>settlement proposal</w:t>
      </w:r>
    </w:p>
    <w:p w:rsidR="008C4E05" w:rsidRPr="00F66875" w:rsidRDefault="008C4E05" w:rsidP="00E15B85">
      <w:pPr>
        <w:pStyle w:val="textregular"/>
        <w:rPr>
          <w:b/>
          <w:szCs w:val="22"/>
        </w:rPr>
      </w:pPr>
      <w:r w:rsidRPr="00F66875">
        <w:rPr>
          <w:b/>
          <w:szCs w:val="22"/>
        </w:rPr>
        <w:t>RR</w:t>
      </w:r>
      <w:r w:rsidR="003B1744" w:rsidRPr="00F66875">
        <w:rPr>
          <w:b/>
          <w:szCs w:val="22"/>
        </w:rPr>
        <w:tab/>
      </w:r>
      <w:r w:rsidR="003B1744" w:rsidRPr="00F66875">
        <w:rPr>
          <w:b/>
          <w:szCs w:val="22"/>
        </w:rPr>
        <w:tab/>
      </w:r>
      <w:r w:rsidR="003B1744" w:rsidRPr="00F66875">
        <w:rPr>
          <w:b/>
          <w:szCs w:val="22"/>
        </w:rPr>
        <w:tab/>
      </w:r>
      <w:r w:rsidR="003B1744" w:rsidRPr="00F66875">
        <w:rPr>
          <w:szCs w:val="22"/>
        </w:rPr>
        <w:t>replacement reserves</w:t>
      </w:r>
    </w:p>
    <w:p w:rsidR="004C5439" w:rsidRPr="00F66875" w:rsidRDefault="004C5439" w:rsidP="00E15B85">
      <w:pPr>
        <w:pStyle w:val="textregular"/>
        <w:rPr>
          <w:szCs w:val="22"/>
        </w:rPr>
      </w:pPr>
      <w:r w:rsidRPr="00F66875">
        <w:rPr>
          <w:b/>
          <w:szCs w:val="22"/>
        </w:rPr>
        <w:t>SOGL</w:t>
      </w:r>
      <w:r w:rsidRPr="00F66875">
        <w:rPr>
          <w:szCs w:val="22"/>
        </w:rPr>
        <w:tab/>
      </w:r>
      <w:r w:rsidRPr="00F66875">
        <w:rPr>
          <w:szCs w:val="22"/>
        </w:rPr>
        <w:tab/>
      </w:r>
      <w:r w:rsidRPr="00F66875">
        <w:rPr>
          <w:szCs w:val="22"/>
        </w:rPr>
        <w:tab/>
        <w:t>guideline on electricity transmission system operation</w:t>
      </w:r>
    </w:p>
    <w:p w:rsidR="00E15B85" w:rsidRPr="00F66875" w:rsidRDefault="00E15B85" w:rsidP="00E15B85">
      <w:pPr>
        <w:pStyle w:val="textregular"/>
        <w:rPr>
          <w:szCs w:val="22"/>
          <w:lang w:val="fr-BE"/>
        </w:rPr>
      </w:pPr>
      <w:r w:rsidRPr="00F66875">
        <w:rPr>
          <w:b/>
          <w:szCs w:val="22"/>
          <w:lang w:val="fr-BE"/>
        </w:rPr>
        <w:t>TERRE</w:t>
      </w:r>
      <w:r w:rsidR="001F4054" w:rsidRPr="00F66875">
        <w:rPr>
          <w:b/>
          <w:szCs w:val="22"/>
          <w:lang w:val="fr-BE"/>
        </w:rPr>
        <w:tab/>
      </w:r>
      <w:r w:rsidR="001F4054" w:rsidRPr="00F66875">
        <w:rPr>
          <w:szCs w:val="22"/>
          <w:lang w:val="fr-BE"/>
        </w:rPr>
        <w:tab/>
        <w:t xml:space="preserve">Trans </w:t>
      </w:r>
      <w:proofErr w:type="spellStart"/>
      <w:r w:rsidR="001F4054" w:rsidRPr="00F66875">
        <w:rPr>
          <w:szCs w:val="22"/>
          <w:lang w:val="fr-BE"/>
        </w:rPr>
        <w:t>European</w:t>
      </w:r>
      <w:proofErr w:type="spellEnd"/>
      <w:r w:rsidR="001F4054" w:rsidRPr="00F66875">
        <w:rPr>
          <w:szCs w:val="22"/>
          <w:lang w:val="fr-BE"/>
        </w:rPr>
        <w:t xml:space="preserve"> Replacement </w:t>
      </w:r>
      <w:proofErr w:type="spellStart"/>
      <w:r w:rsidR="001F4054" w:rsidRPr="00F66875">
        <w:rPr>
          <w:szCs w:val="22"/>
          <w:lang w:val="fr-BE"/>
        </w:rPr>
        <w:t>Reserves</w:t>
      </w:r>
      <w:proofErr w:type="spellEnd"/>
      <w:r w:rsidR="001F4054" w:rsidRPr="00F66875">
        <w:rPr>
          <w:szCs w:val="22"/>
          <w:lang w:val="fr-BE"/>
        </w:rPr>
        <w:t xml:space="preserve"> Exchange</w:t>
      </w:r>
    </w:p>
    <w:p w:rsidR="001F4054" w:rsidRPr="00F66875" w:rsidRDefault="001F4054" w:rsidP="00E15B85">
      <w:pPr>
        <w:pStyle w:val="textregular"/>
        <w:rPr>
          <w:noProof/>
          <w:szCs w:val="22"/>
        </w:rPr>
      </w:pPr>
      <w:r w:rsidRPr="00F66875">
        <w:rPr>
          <w:b/>
          <w:szCs w:val="22"/>
        </w:rPr>
        <w:t>TSO</w:t>
      </w:r>
      <w:r w:rsidRPr="00F66875">
        <w:rPr>
          <w:szCs w:val="22"/>
        </w:rPr>
        <w:tab/>
      </w:r>
      <w:r w:rsidRPr="00F66875">
        <w:rPr>
          <w:szCs w:val="22"/>
        </w:rPr>
        <w:tab/>
      </w:r>
      <w:r w:rsidRPr="00F66875">
        <w:rPr>
          <w:szCs w:val="22"/>
        </w:rPr>
        <w:tab/>
        <w:t xml:space="preserve">transmission system </w:t>
      </w:r>
      <w:r w:rsidRPr="00F66875">
        <w:rPr>
          <w:noProof/>
          <w:szCs w:val="22"/>
        </w:rPr>
        <w:t>operator</w:t>
      </w:r>
    </w:p>
    <w:p w:rsidR="00B00057" w:rsidRPr="00F66875" w:rsidRDefault="00B00057" w:rsidP="00E15B85">
      <w:pPr>
        <w:pStyle w:val="textregular"/>
        <w:rPr>
          <w:szCs w:val="22"/>
        </w:rPr>
      </w:pPr>
      <w:r w:rsidRPr="00F66875">
        <w:rPr>
          <w:b/>
          <w:noProof/>
          <w:szCs w:val="22"/>
        </w:rPr>
        <w:t>TTRF</w:t>
      </w:r>
      <w:r w:rsidRPr="00F66875">
        <w:rPr>
          <w:noProof/>
          <w:szCs w:val="22"/>
        </w:rPr>
        <w:tab/>
      </w:r>
      <w:r w:rsidRPr="00F66875">
        <w:rPr>
          <w:noProof/>
          <w:szCs w:val="22"/>
        </w:rPr>
        <w:tab/>
      </w:r>
      <w:r w:rsidRPr="00F66875">
        <w:rPr>
          <w:noProof/>
          <w:szCs w:val="22"/>
        </w:rPr>
        <w:tab/>
        <w:t>time to restore frequency</w:t>
      </w:r>
    </w:p>
    <w:p w:rsidR="00B61F43" w:rsidRPr="00F66875" w:rsidRDefault="0002233F" w:rsidP="00E15B85">
      <w:pPr>
        <w:pStyle w:val="textregular"/>
        <w:rPr>
          <w:szCs w:val="22"/>
        </w:rPr>
      </w:pPr>
      <w:r w:rsidRPr="00F66875">
        <w:rPr>
          <w:b/>
          <w:szCs w:val="22"/>
        </w:rPr>
        <w:t>CBMP</w:t>
      </w:r>
      <w:r w:rsidR="00B61F43" w:rsidRPr="00F66875">
        <w:rPr>
          <w:szCs w:val="22"/>
        </w:rPr>
        <w:tab/>
      </w:r>
      <w:r w:rsidR="00B61F43" w:rsidRPr="00F66875">
        <w:rPr>
          <w:szCs w:val="22"/>
        </w:rPr>
        <w:tab/>
      </w:r>
      <w:r w:rsidR="00B61F43" w:rsidRPr="00F66875">
        <w:rPr>
          <w:szCs w:val="22"/>
        </w:rPr>
        <w:tab/>
        <w:t>cross-border marginal pricing</w:t>
      </w:r>
    </w:p>
    <w:p w:rsidR="00146850" w:rsidRPr="009A4C44" w:rsidRDefault="00907033" w:rsidP="005779B7">
      <w:pPr>
        <w:pStyle w:val="Headline14pt"/>
        <w:numPr>
          <w:ilvl w:val="0"/>
          <w:numId w:val="8"/>
        </w:numPr>
        <w:jc w:val="both"/>
        <w:outlineLvl w:val="0"/>
      </w:pPr>
      <w:bookmarkStart w:id="26" w:name="_Ref520832271"/>
      <w:bookmarkStart w:id="27" w:name="_Toc520993114"/>
      <w:bookmarkStart w:id="28" w:name="_Toc520993436"/>
      <w:bookmarkStart w:id="29" w:name="_Toc520999248"/>
      <w:bookmarkStart w:id="30" w:name="_Toc522181339"/>
      <w:bookmarkStart w:id="31" w:name="_Toc522195276"/>
      <w:bookmarkStart w:id="32" w:name="_Toc523816543"/>
      <w:bookmarkStart w:id="33" w:name="_Toc531687672"/>
      <w:bookmarkStart w:id="34" w:name="_Toc531787025"/>
      <w:bookmarkStart w:id="35" w:name="_Toc531799934"/>
      <w:r w:rsidRPr="009A4C44">
        <w:lastRenderedPageBreak/>
        <w:t>Intro</w:t>
      </w:r>
      <w:r w:rsidR="00B71DDC" w:rsidRPr="009A4C44">
        <w:t>duction</w:t>
      </w:r>
      <w:bookmarkEnd w:id="25"/>
      <w:bookmarkEnd w:id="26"/>
      <w:bookmarkEnd w:id="27"/>
      <w:bookmarkEnd w:id="28"/>
      <w:bookmarkEnd w:id="29"/>
      <w:bookmarkEnd w:id="30"/>
      <w:bookmarkEnd w:id="31"/>
      <w:bookmarkEnd w:id="32"/>
      <w:bookmarkEnd w:id="33"/>
      <w:bookmarkEnd w:id="34"/>
      <w:bookmarkEnd w:id="35"/>
    </w:p>
    <w:p w:rsidR="00434851" w:rsidRPr="009A4C44" w:rsidRDefault="003A2751" w:rsidP="007468BA">
      <w:pPr>
        <w:pStyle w:val="textregular"/>
      </w:pPr>
      <w:r w:rsidRPr="009A4C44">
        <w:t xml:space="preserve">This </w:t>
      </w:r>
      <w:r w:rsidR="00643C9E">
        <w:t>explanatory</w:t>
      </w:r>
      <w:r w:rsidRPr="009A4C44">
        <w:t xml:space="preserve"> document gives background information and rationale for the all TSOs’ proposal regarding the development</w:t>
      </w:r>
      <w:r w:rsidR="00114478" w:rsidRPr="009A4C44">
        <w:t xml:space="preserve"> of a proposal for common settlement rules applicable to all intended exchanges of energy as a result of the reserve replacement process, frequency restoration process with manual and automatic activation and the imbalance netting</w:t>
      </w:r>
      <w:r w:rsidR="007468BA" w:rsidRPr="009A4C44">
        <w:t xml:space="preserve"> in accordance with to Article 50(1) of Commission Regulation (EU) 2017/2195 of 23 November 2017 establishing a guideline on electricity balancing</w:t>
      </w:r>
      <w:r w:rsidR="00E00328">
        <w:t xml:space="preserve"> </w:t>
      </w:r>
      <w:r w:rsidR="007468BA" w:rsidRPr="009A4C44">
        <w:t>(hereafter referred to as “</w:t>
      </w:r>
      <w:r w:rsidR="00643C9E" w:rsidRPr="009A4C44">
        <w:rPr>
          <w:b/>
        </w:rPr>
        <w:t>SP</w:t>
      </w:r>
      <w:r w:rsidR="00643C9E" w:rsidRPr="009A4C44">
        <w:t>”</w:t>
      </w:r>
      <w:r w:rsidR="00643C9E">
        <w:t xml:space="preserve"> or “the proposal”</w:t>
      </w:r>
      <w:r w:rsidR="00643C9E" w:rsidRPr="009A4C44">
        <w:t>)</w:t>
      </w:r>
      <w:r w:rsidR="00643C9E">
        <w:t>.</w:t>
      </w:r>
    </w:p>
    <w:p w:rsidR="00946E77" w:rsidRPr="009A4C44" w:rsidRDefault="00E00328" w:rsidP="00946E77">
      <w:pPr>
        <w:pStyle w:val="textregular"/>
      </w:pPr>
      <w:r>
        <w:t>T</w:t>
      </w:r>
      <w:r w:rsidR="00946E77" w:rsidRPr="009A4C44">
        <w:t>he proposal and the explanatory document consider and include results previously developed by the implementation projects MARI, PICASSO, TERRE</w:t>
      </w:r>
      <w:r w:rsidR="00B7476E" w:rsidRPr="009A4C44">
        <w:t xml:space="preserve"> and IGCC</w:t>
      </w:r>
      <w:r w:rsidR="00946E77" w:rsidRPr="009A4C44">
        <w:t xml:space="preserve">, with respect to the </w:t>
      </w:r>
      <w:r w:rsidR="003E4182" w:rsidRPr="009A4C44">
        <w:t xml:space="preserve">settlement </w:t>
      </w:r>
      <w:r w:rsidR="00946E77" w:rsidRPr="009A4C44">
        <w:t xml:space="preserve">of </w:t>
      </w:r>
      <w:r w:rsidR="003E4182" w:rsidRPr="009A4C44">
        <w:t xml:space="preserve">exchanges of balancing </w:t>
      </w:r>
      <w:r w:rsidR="00A90B2F">
        <w:t>energy</w:t>
      </w:r>
      <w:r w:rsidR="00946E77" w:rsidRPr="009A4C44">
        <w:t>. These include</w:t>
      </w:r>
      <w:r w:rsidR="00AA0941" w:rsidRPr="009A4C44">
        <w:t xml:space="preserve"> </w:t>
      </w:r>
      <w:r w:rsidR="00F06056" w:rsidRPr="009A4C44">
        <w:t>inputs</w:t>
      </w:r>
      <w:r w:rsidR="00946E77" w:rsidRPr="009A4C44">
        <w:t xml:space="preserve"> provided by stakeh</w:t>
      </w:r>
      <w:r w:rsidR="003E4182" w:rsidRPr="009A4C44">
        <w:t xml:space="preserve">olders during previous workshops and other established </w:t>
      </w:r>
      <w:r w:rsidR="002C3A7B" w:rsidRPr="009A4C44">
        <w:t>events (</w:t>
      </w:r>
      <w:r w:rsidR="003E4182" w:rsidRPr="009A4C44">
        <w:t xml:space="preserve">e.g. electricity balancing stakeholder </w:t>
      </w:r>
      <w:r w:rsidR="00E532BD">
        <w:t xml:space="preserve">group </w:t>
      </w:r>
      <w:r w:rsidR="003E4182" w:rsidRPr="009A4C44">
        <w:t>meetings).</w:t>
      </w:r>
    </w:p>
    <w:p w:rsidR="00DB5021" w:rsidRPr="009A4C44" w:rsidRDefault="00946E77" w:rsidP="00E51E4E">
      <w:pPr>
        <w:pStyle w:val="textregular"/>
      </w:pPr>
      <w:r w:rsidRPr="009A4C44">
        <w:t xml:space="preserve">The proposal </w:t>
      </w:r>
      <w:r w:rsidR="00E51E4E">
        <w:t>has to</w:t>
      </w:r>
      <w:r w:rsidRPr="009A4C44">
        <w:t xml:space="preserve"> be considered </w:t>
      </w:r>
      <w:r w:rsidR="00E51E4E">
        <w:t>in</w:t>
      </w:r>
      <w:r w:rsidR="00E532BD">
        <w:t xml:space="preserve"> the</w:t>
      </w:r>
      <w:r w:rsidR="00E51E4E">
        <w:t xml:space="preserve"> context of</w:t>
      </w:r>
      <w:r w:rsidRPr="009A4C44">
        <w:t xml:space="preserve"> the implementation frameworks for the European </w:t>
      </w:r>
      <w:bookmarkStart w:id="36" w:name="_Ref370232181"/>
      <w:bookmarkStart w:id="37" w:name="_Toc391549960"/>
      <w:bookmarkStart w:id="38" w:name="_Toc417546672"/>
      <w:r w:rsidRPr="009A4C44">
        <w:rPr>
          <w:szCs w:val="24"/>
        </w:rPr>
        <w:t>platforms for the exchange of balancing energy from replacement reserves (RR), frequency restoration reserves with manual (</w:t>
      </w:r>
      <w:proofErr w:type="spellStart"/>
      <w:r w:rsidRPr="009A4C44">
        <w:rPr>
          <w:szCs w:val="24"/>
        </w:rPr>
        <w:t>mFRR</w:t>
      </w:r>
      <w:proofErr w:type="spellEnd"/>
      <w:r w:rsidRPr="009A4C44">
        <w:rPr>
          <w:szCs w:val="24"/>
        </w:rPr>
        <w:t>) and automatic activation</w:t>
      </w:r>
      <w:bookmarkEnd w:id="36"/>
      <w:bookmarkEnd w:id="37"/>
      <w:bookmarkEnd w:id="38"/>
      <w:r w:rsidRPr="009A4C44">
        <w:rPr>
          <w:szCs w:val="24"/>
        </w:rPr>
        <w:t xml:space="preserve"> (</w:t>
      </w:r>
      <w:proofErr w:type="spellStart"/>
      <w:r w:rsidRPr="009A4C44">
        <w:rPr>
          <w:szCs w:val="24"/>
        </w:rPr>
        <w:t>aFRR</w:t>
      </w:r>
      <w:proofErr w:type="spellEnd"/>
      <w:r w:rsidRPr="009A4C44">
        <w:rPr>
          <w:szCs w:val="24"/>
        </w:rPr>
        <w:t xml:space="preserve">) as well as imbalance netting (IN). </w:t>
      </w:r>
      <w:r w:rsidR="00E51E4E">
        <w:rPr>
          <w:szCs w:val="24"/>
        </w:rPr>
        <w:t xml:space="preserve">Moreover, the proposal has to be considered in </w:t>
      </w:r>
      <w:r w:rsidR="00E532BD">
        <w:rPr>
          <w:szCs w:val="24"/>
        </w:rPr>
        <w:t xml:space="preserve">the </w:t>
      </w:r>
      <w:r w:rsidR="00E51E4E">
        <w:rPr>
          <w:szCs w:val="24"/>
        </w:rPr>
        <w:t xml:space="preserve">context of the proposal for pricing of balancing energy and cross-zonal capacity in accordance with Article 30(1) and Article 30(3) of </w:t>
      </w:r>
      <w:r w:rsidR="00E532BD">
        <w:rPr>
          <w:szCs w:val="24"/>
        </w:rPr>
        <w:t xml:space="preserve">the </w:t>
      </w:r>
      <w:r w:rsidR="00E51E4E">
        <w:rPr>
          <w:szCs w:val="24"/>
        </w:rPr>
        <w:t>EBGL.</w:t>
      </w:r>
    </w:p>
    <w:p w:rsidR="00073899" w:rsidRDefault="00073899" w:rsidP="00946E77">
      <w:pPr>
        <w:pStyle w:val="textregular"/>
      </w:pPr>
      <w:r>
        <w:t>The proposal is structured as follows:</w:t>
      </w:r>
    </w:p>
    <w:p w:rsidR="00073899" w:rsidRDefault="00946E77" w:rsidP="00DF776B">
      <w:pPr>
        <w:pStyle w:val="textregular"/>
        <w:numPr>
          <w:ilvl w:val="0"/>
          <w:numId w:val="24"/>
        </w:numPr>
      </w:pPr>
      <w:r w:rsidRPr="009A4C44">
        <w:t xml:space="preserve">Chapter </w:t>
      </w:r>
      <w:r w:rsidRPr="009A4C44">
        <w:fldChar w:fldCharType="begin"/>
      </w:r>
      <w:r w:rsidRPr="009A4C44">
        <w:instrText xml:space="preserve"> REF _Ref520997675 \r \h  \* MERGEFORMAT </w:instrText>
      </w:r>
      <w:r w:rsidRPr="009A4C44">
        <w:fldChar w:fldCharType="separate"/>
      </w:r>
      <w:r w:rsidR="002D564B">
        <w:t>2</w:t>
      </w:r>
      <w:r w:rsidRPr="009A4C44">
        <w:fldChar w:fldCharType="end"/>
      </w:r>
      <w:r w:rsidRPr="009A4C44">
        <w:t xml:space="preserve"> </w:t>
      </w:r>
      <w:r w:rsidR="00073899">
        <w:t>summarizes</w:t>
      </w:r>
      <w:r w:rsidRPr="009A4C44">
        <w:t xml:space="preserve"> the requirements of the relevant EBGL articles and provides an interpretation where needed.</w:t>
      </w:r>
    </w:p>
    <w:p w:rsidR="001E46AF" w:rsidRDefault="00946E77" w:rsidP="00DF776B">
      <w:pPr>
        <w:pStyle w:val="textregular"/>
        <w:numPr>
          <w:ilvl w:val="0"/>
          <w:numId w:val="24"/>
        </w:numPr>
      </w:pPr>
      <w:r w:rsidRPr="009A4C44">
        <w:t xml:space="preserve">Chapter </w:t>
      </w:r>
      <w:r w:rsidRPr="009A4C44">
        <w:fldChar w:fldCharType="begin"/>
      </w:r>
      <w:r w:rsidRPr="009A4C44">
        <w:instrText xml:space="preserve"> REF _Ref520997858 \r \h  \* MERGEFORMAT </w:instrText>
      </w:r>
      <w:r w:rsidRPr="009A4C44">
        <w:fldChar w:fldCharType="separate"/>
      </w:r>
      <w:r w:rsidR="002D564B">
        <w:t>3</w:t>
      </w:r>
      <w:r w:rsidRPr="009A4C44">
        <w:fldChar w:fldCharType="end"/>
      </w:r>
      <w:r w:rsidRPr="009A4C44">
        <w:t xml:space="preserve"> introduces the general principles of </w:t>
      </w:r>
      <w:r w:rsidR="00073899">
        <w:t>the settlement methodology</w:t>
      </w:r>
      <w:r w:rsidRPr="009A4C44">
        <w:t xml:space="preserve"> </w:t>
      </w:r>
      <w:r w:rsidR="001E46AF">
        <w:t xml:space="preserve">which is based on the </w:t>
      </w:r>
      <w:r w:rsidRPr="009A4C44">
        <w:t>cross-border marginal pricing (CBMP)</w:t>
      </w:r>
      <w:r w:rsidR="001E46AF">
        <w:t xml:space="preserve"> with</w:t>
      </w:r>
      <w:r w:rsidRPr="009A4C44">
        <w:t xml:space="preserve"> differentiation between products</w:t>
      </w:r>
      <w:r w:rsidR="001E46AF">
        <w:t xml:space="preserve"> and</w:t>
      </w:r>
      <w:r w:rsidRPr="009A4C44">
        <w:t xml:space="preserve"> activation types</w:t>
      </w:r>
      <w:r w:rsidR="001E46AF">
        <w:t xml:space="preserve"> and</w:t>
      </w:r>
      <w:r w:rsidRPr="009A4C44">
        <w:t xml:space="preserve"> </w:t>
      </w:r>
      <w:r w:rsidR="001E46AF">
        <w:t>activation purposes.</w:t>
      </w:r>
    </w:p>
    <w:p w:rsidR="001E46AF" w:rsidRDefault="00946E77" w:rsidP="00DF776B">
      <w:pPr>
        <w:pStyle w:val="textregular"/>
        <w:numPr>
          <w:ilvl w:val="0"/>
          <w:numId w:val="24"/>
        </w:numPr>
      </w:pPr>
      <w:r w:rsidRPr="009A4C44">
        <w:t xml:space="preserve">Chapter </w:t>
      </w:r>
      <w:r w:rsidRPr="009A4C44">
        <w:fldChar w:fldCharType="begin"/>
      </w:r>
      <w:r w:rsidRPr="009A4C44">
        <w:instrText xml:space="preserve"> REF _Ref520998153 \r \h  \* MERGEFORMAT </w:instrText>
      </w:r>
      <w:r w:rsidRPr="009A4C44">
        <w:fldChar w:fldCharType="separate"/>
      </w:r>
      <w:r w:rsidR="002D564B">
        <w:t>4</w:t>
      </w:r>
      <w:r w:rsidRPr="009A4C44">
        <w:fldChar w:fldCharType="end"/>
      </w:r>
      <w:r w:rsidRPr="009A4C44">
        <w:t xml:space="preserve"> deals with the </w:t>
      </w:r>
      <w:r w:rsidR="00644FBD" w:rsidRPr="009A4C44">
        <w:t xml:space="preserve">settlement methodology for </w:t>
      </w:r>
      <w:r w:rsidRPr="009A4C44">
        <w:t>scheduled</w:t>
      </w:r>
      <w:r w:rsidR="001E46AF">
        <w:t xml:space="preserve"> </w:t>
      </w:r>
      <w:proofErr w:type="spellStart"/>
      <w:r w:rsidR="00644FBD" w:rsidRPr="009A4C44">
        <w:t>mFRR</w:t>
      </w:r>
      <w:proofErr w:type="spellEnd"/>
      <w:r w:rsidR="00644FBD" w:rsidRPr="009A4C44">
        <w:t xml:space="preserve"> </w:t>
      </w:r>
      <w:r w:rsidRPr="009A4C44">
        <w:t>and RR balancing energy bids including an explanation of price indeterminacy and pricing of system constraints</w:t>
      </w:r>
      <w:r w:rsidR="00E532BD">
        <w:t xml:space="preserve"> </w:t>
      </w:r>
      <w:r w:rsidR="00644FBD" w:rsidRPr="009A4C44">
        <w:t>with Scheduled Activation.</w:t>
      </w:r>
    </w:p>
    <w:p w:rsidR="00946E77" w:rsidRPr="009A4C44" w:rsidRDefault="00946E77" w:rsidP="00DF776B">
      <w:pPr>
        <w:pStyle w:val="textregular"/>
        <w:numPr>
          <w:ilvl w:val="0"/>
          <w:numId w:val="24"/>
        </w:numPr>
      </w:pPr>
      <w:r w:rsidRPr="009A4C44">
        <w:t xml:space="preserve">Chapter </w:t>
      </w:r>
      <w:r w:rsidRPr="009A4C44">
        <w:fldChar w:fldCharType="begin"/>
      </w:r>
      <w:r w:rsidRPr="009A4C44">
        <w:instrText xml:space="preserve"> REF _Ref520998412 \r \h  \* MERGEFORMAT </w:instrText>
      </w:r>
      <w:r w:rsidRPr="009A4C44">
        <w:fldChar w:fldCharType="separate"/>
      </w:r>
      <w:r w:rsidR="002D564B">
        <w:t>5</w:t>
      </w:r>
      <w:r w:rsidRPr="009A4C44">
        <w:fldChar w:fldCharType="end"/>
      </w:r>
      <w:r w:rsidRPr="009A4C44">
        <w:t xml:space="preserve"> explains </w:t>
      </w:r>
      <w:r w:rsidR="00644FBD" w:rsidRPr="009A4C44">
        <w:t xml:space="preserve">the </w:t>
      </w:r>
      <w:r w:rsidRPr="009A4C44">
        <w:t>pricing of</w:t>
      </w:r>
      <w:r w:rsidR="00E532BD">
        <w:t xml:space="preserve"> </w:t>
      </w:r>
      <w:r w:rsidR="00644FBD" w:rsidRPr="009A4C44">
        <w:t xml:space="preserve">settlement methodology for </w:t>
      </w:r>
      <w:proofErr w:type="spellStart"/>
      <w:r w:rsidR="00644FBD" w:rsidRPr="009A4C44">
        <w:t>mFRR</w:t>
      </w:r>
      <w:proofErr w:type="spellEnd"/>
      <w:r w:rsidR="00644FBD" w:rsidRPr="009A4C44">
        <w:t xml:space="preserve"> with </w:t>
      </w:r>
      <w:r w:rsidRPr="009A4C44">
        <w:t>direct activation.</w:t>
      </w:r>
    </w:p>
    <w:p w:rsidR="00946E77" w:rsidRPr="009A4C44" w:rsidRDefault="00946E77" w:rsidP="00DF776B">
      <w:pPr>
        <w:pStyle w:val="textregular"/>
        <w:numPr>
          <w:ilvl w:val="0"/>
          <w:numId w:val="24"/>
        </w:numPr>
      </w:pPr>
      <w:r w:rsidRPr="009A4C44">
        <w:t xml:space="preserve">Chapter </w:t>
      </w:r>
      <w:r w:rsidRPr="009A4C44">
        <w:fldChar w:fldCharType="begin"/>
      </w:r>
      <w:r w:rsidRPr="009A4C44">
        <w:instrText xml:space="preserve"> REF _Ref520998415 \r \h  \* MERGEFORMAT </w:instrText>
      </w:r>
      <w:r w:rsidRPr="009A4C44">
        <w:fldChar w:fldCharType="separate"/>
      </w:r>
      <w:r w:rsidR="002D564B">
        <w:t>6</w:t>
      </w:r>
      <w:r w:rsidRPr="009A4C44">
        <w:fldChar w:fldCharType="end"/>
      </w:r>
      <w:r w:rsidRPr="009A4C44">
        <w:t xml:space="preserve"> provides the background on the pricing of balancing energy from </w:t>
      </w:r>
      <w:proofErr w:type="spellStart"/>
      <w:r w:rsidRPr="009A4C44">
        <w:t>aFRR</w:t>
      </w:r>
      <w:proofErr w:type="spellEnd"/>
      <w:r w:rsidRPr="009A4C44">
        <w:t xml:space="preserve">. Due to the fact that </w:t>
      </w:r>
      <w:proofErr w:type="spellStart"/>
      <w:r w:rsidRPr="009A4C44">
        <w:t>aFRR</w:t>
      </w:r>
      <w:proofErr w:type="spellEnd"/>
      <w:r w:rsidRPr="009A4C44">
        <w:t xml:space="preserve"> is a closed-loop process where the calculation of the </w:t>
      </w:r>
      <w:proofErr w:type="spellStart"/>
      <w:r w:rsidRPr="009A4C44">
        <w:t>aFRR</w:t>
      </w:r>
      <w:proofErr w:type="spellEnd"/>
      <w:r w:rsidRPr="009A4C44">
        <w:t xml:space="preserve"> request by the TSOs does not only depend on imbalances but also on actual </w:t>
      </w:r>
      <w:proofErr w:type="spellStart"/>
      <w:r w:rsidRPr="009A4C44">
        <w:t>aFRR</w:t>
      </w:r>
      <w:proofErr w:type="spellEnd"/>
      <w:r w:rsidRPr="009A4C44">
        <w:t xml:space="preserve"> delivery by the balancing service providers (BSPs), the </w:t>
      </w:r>
      <w:r w:rsidR="00644FBD" w:rsidRPr="009A4C44">
        <w:t>settlement methodology for</w:t>
      </w:r>
      <w:r w:rsidRPr="009A4C44">
        <w:t xml:space="preserve"> </w:t>
      </w:r>
      <w:proofErr w:type="spellStart"/>
      <w:r w:rsidRPr="009A4C44">
        <w:t>aFRR</w:t>
      </w:r>
      <w:proofErr w:type="spellEnd"/>
      <w:r w:rsidRPr="009A4C44">
        <w:t xml:space="preserve"> requires a fundamental understanding of the underlying technical process and signals. The respective background information is summarized in Chapter </w:t>
      </w:r>
      <w:r w:rsidRPr="009A4C44">
        <w:fldChar w:fldCharType="begin"/>
      </w:r>
      <w:r w:rsidRPr="009A4C44">
        <w:instrText xml:space="preserve"> REF _Ref520998839 \r \h  \* MERGEFORMAT </w:instrText>
      </w:r>
      <w:r w:rsidRPr="009A4C44">
        <w:fldChar w:fldCharType="separate"/>
      </w:r>
      <w:r w:rsidR="002D564B">
        <w:rPr>
          <w:b/>
          <w:bCs/>
          <w:lang w:val="en-US"/>
        </w:rPr>
        <w:t>Error! Reference source not found.</w:t>
      </w:r>
      <w:r w:rsidRPr="009A4C44">
        <w:fldChar w:fldCharType="end"/>
      </w:r>
      <w:r w:rsidRPr="009A4C44">
        <w:t xml:space="preserve">. </w:t>
      </w:r>
      <w:r w:rsidR="00F71C74" w:rsidRPr="009A4C44">
        <w:t>X</w:t>
      </w:r>
    </w:p>
    <w:p w:rsidR="00946E77" w:rsidRPr="009A4C44" w:rsidRDefault="00946E77" w:rsidP="00DD58FA">
      <w:pPr>
        <w:pStyle w:val="textregular"/>
        <w:numPr>
          <w:ilvl w:val="0"/>
          <w:numId w:val="24"/>
        </w:numPr>
      </w:pPr>
      <w:r w:rsidRPr="00DD58FA">
        <w:rPr>
          <w:lang w:val="nb-NO"/>
        </w:rPr>
        <w:t>Chapter</w:t>
      </w:r>
      <w:r w:rsidR="0070792C" w:rsidRPr="00DD58FA">
        <w:rPr>
          <w:lang w:val="nb-NO"/>
        </w:rPr>
        <w:t xml:space="preserve"> </w:t>
      </w:r>
      <w:r w:rsidRPr="009A4C44">
        <w:fldChar w:fldCharType="begin"/>
      </w:r>
      <w:r w:rsidRPr="00DD58FA">
        <w:rPr>
          <w:lang w:val="nb-NO"/>
        </w:rPr>
        <w:instrText xml:space="preserve"> REF _Ref521323980 \r \h  \* MERGEFORMAT </w:instrText>
      </w:r>
      <w:r w:rsidRPr="009A4C44">
        <w:fldChar w:fldCharType="separate"/>
      </w:r>
      <w:r w:rsidR="002D564B">
        <w:rPr>
          <w:b/>
          <w:bCs/>
          <w:lang w:val="en-US"/>
        </w:rPr>
        <w:t>Error! Reference source not found.</w:t>
      </w:r>
      <w:r w:rsidRPr="009A4C44">
        <w:fldChar w:fldCharType="end"/>
      </w:r>
      <w:r w:rsidRPr="00DD58FA">
        <w:rPr>
          <w:lang w:val="nb-NO"/>
        </w:rPr>
        <w:t xml:space="preserve"> </w:t>
      </w:r>
      <w:proofErr w:type="gramStart"/>
      <w:r w:rsidR="000C79F9" w:rsidRPr="009A4C44">
        <w:t>tackles</w:t>
      </w:r>
      <w:proofErr w:type="gramEnd"/>
      <w:r w:rsidR="000C79F9" w:rsidRPr="009A4C44">
        <w:t xml:space="preserve"> the</w:t>
      </w:r>
      <w:r w:rsidRPr="009A4C44">
        <w:t xml:space="preserve"> remaining aspects of the pricing methodology, such as pricing of the specific products (Chapter </w:t>
      </w:r>
      <w:r w:rsidRPr="009A4C44">
        <w:fldChar w:fldCharType="begin"/>
      </w:r>
      <w:r w:rsidRPr="009A4C44">
        <w:instrText xml:space="preserve"> REF _Ref520998965 \r \h  \* MERGEFORMAT </w:instrText>
      </w:r>
      <w:r w:rsidRPr="009A4C44">
        <w:fldChar w:fldCharType="separate"/>
      </w:r>
      <w:r w:rsidR="002D564B">
        <w:rPr>
          <w:b/>
          <w:bCs/>
          <w:lang w:val="en-US"/>
        </w:rPr>
        <w:t>Error! Reference source not found.</w:t>
      </w:r>
      <w:r w:rsidRPr="009A4C44">
        <w:fldChar w:fldCharType="end"/>
      </w:r>
      <w:r w:rsidRPr="009A4C44">
        <w:t xml:space="preserve">) </w:t>
      </w:r>
      <w:proofErr w:type="gramStart"/>
      <w:r w:rsidRPr="009A4C44">
        <w:t>and</w:t>
      </w:r>
      <w:proofErr w:type="gramEnd"/>
      <w:r w:rsidRPr="009A4C44">
        <w:t xml:space="preserve"> pricing of cross-zonal capacity (Chapter </w:t>
      </w:r>
      <w:r w:rsidRPr="009A4C44">
        <w:fldChar w:fldCharType="begin"/>
      </w:r>
      <w:r w:rsidRPr="009A4C44">
        <w:instrText xml:space="preserve"> REF _Ref520998969 \r \h  \* MERGEFORMAT </w:instrText>
      </w:r>
      <w:r w:rsidRPr="009A4C44">
        <w:fldChar w:fldCharType="separate"/>
      </w:r>
      <w:r w:rsidR="002D564B">
        <w:rPr>
          <w:b/>
          <w:bCs/>
          <w:lang w:val="en-US"/>
        </w:rPr>
        <w:t>Error! Reference source not found.</w:t>
      </w:r>
      <w:r w:rsidRPr="009A4C44">
        <w:fldChar w:fldCharType="end"/>
      </w:r>
      <w:r w:rsidRPr="00DD58FA">
        <w:rPr>
          <w:lang w:val="nb-NO"/>
        </w:rPr>
        <w:t>)</w:t>
      </w:r>
      <w:r w:rsidR="006B10D4" w:rsidRPr="00DD58FA">
        <w:rPr>
          <w:lang w:val="nb-NO"/>
        </w:rPr>
        <w:t xml:space="preserve"> for the </w:t>
      </w:r>
      <w:r w:rsidR="000C79F9" w:rsidRPr="00DD58FA">
        <w:rPr>
          <w:lang w:val="nb-NO"/>
        </w:rPr>
        <w:t xml:space="preserve">imbalance netting settlement process. </w:t>
      </w:r>
      <w:r w:rsidRPr="00DD58FA">
        <w:rPr>
          <w:lang w:val="nb-NO"/>
        </w:rPr>
        <w:t xml:space="preserve">Moreover, Chapter </w:t>
      </w:r>
      <w:r w:rsidRPr="009A4C44">
        <w:fldChar w:fldCharType="begin"/>
      </w:r>
      <w:r w:rsidRPr="00DD58FA">
        <w:rPr>
          <w:lang w:val="nb-NO"/>
        </w:rPr>
        <w:instrText xml:space="preserve"> REF _Ref520998967 \r \h  \* MERGEFORMAT </w:instrText>
      </w:r>
      <w:r w:rsidRPr="009A4C44">
        <w:fldChar w:fldCharType="separate"/>
      </w:r>
      <w:r w:rsidR="002D564B">
        <w:rPr>
          <w:b/>
          <w:bCs/>
          <w:lang w:val="en-US"/>
        </w:rPr>
        <w:t>Error! Reference source not found.</w:t>
      </w:r>
      <w:r w:rsidRPr="009A4C44">
        <w:fldChar w:fldCharType="end"/>
      </w:r>
      <w:r w:rsidRPr="00DD58FA">
        <w:rPr>
          <w:lang w:val="nb-NO"/>
        </w:rPr>
        <w:t xml:space="preserve"> </w:t>
      </w:r>
      <w:proofErr w:type="gramStart"/>
      <w:r w:rsidRPr="009A4C44">
        <w:t>provides</w:t>
      </w:r>
      <w:proofErr w:type="gramEnd"/>
      <w:r w:rsidRPr="009A4C44">
        <w:t xml:space="preserve"> a short explanation regarding </w:t>
      </w:r>
      <w:r w:rsidR="000C79F9" w:rsidRPr="009A4C44">
        <w:t xml:space="preserve">on the determination of the value of avoided </w:t>
      </w:r>
      <w:proofErr w:type="spellStart"/>
      <w:r w:rsidR="000C79F9" w:rsidRPr="009A4C44">
        <w:t>aFRR</w:t>
      </w:r>
      <w:proofErr w:type="spellEnd"/>
      <w:r w:rsidR="000C79F9" w:rsidRPr="009A4C44">
        <w:t xml:space="preserve"> activation and the determination of the </w:t>
      </w:r>
      <w:r w:rsidRPr="009A4C44">
        <w:t>central dispatching models</w:t>
      </w:r>
      <w:r w:rsidR="006B10D4">
        <w:t xml:space="preserve"> </w:t>
      </w:r>
      <w:r w:rsidR="000C79F9" w:rsidRPr="009A4C44">
        <w:t>settlement price.</w:t>
      </w:r>
    </w:p>
    <w:p w:rsidR="00946E77" w:rsidRPr="009A4C44" w:rsidRDefault="00946E77" w:rsidP="00946E77">
      <w:pPr>
        <w:pStyle w:val="textregular"/>
      </w:pPr>
      <w:r w:rsidRPr="009A4C44">
        <w:rPr>
          <w:szCs w:val="22"/>
        </w:rPr>
        <w:t xml:space="preserve">Together with the all TSOs' proposal for the implementation frameworks, the </w:t>
      </w:r>
      <w:r w:rsidR="00111F96" w:rsidRPr="009A4C44">
        <w:rPr>
          <w:szCs w:val="22"/>
        </w:rPr>
        <w:t>S</w:t>
      </w:r>
      <w:r w:rsidRPr="009A4C44">
        <w:rPr>
          <w:szCs w:val="22"/>
        </w:rPr>
        <w:t xml:space="preserve">P will lead to a new European market for RR, </w:t>
      </w:r>
      <w:proofErr w:type="spellStart"/>
      <w:r w:rsidRPr="009A4C44">
        <w:rPr>
          <w:szCs w:val="22"/>
        </w:rPr>
        <w:t>mFRR</w:t>
      </w:r>
      <w:proofErr w:type="spellEnd"/>
      <w:r w:rsidRPr="009A4C44">
        <w:rPr>
          <w:szCs w:val="22"/>
        </w:rPr>
        <w:t xml:space="preserve"> and </w:t>
      </w:r>
      <w:proofErr w:type="spellStart"/>
      <w:r w:rsidRPr="009A4C44">
        <w:rPr>
          <w:szCs w:val="22"/>
        </w:rPr>
        <w:t>aFRR</w:t>
      </w:r>
      <w:proofErr w:type="spellEnd"/>
      <w:r w:rsidRPr="009A4C44">
        <w:rPr>
          <w:szCs w:val="22"/>
        </w:rPr>
        <w:t xml:space="preserve">. This will increase the efficiency of the balancing energy markets and competition but also lead to many changes for stakeholders, both from harmonisation efforts and as a result of the integration of the markets. </w:t>
      </w:r>
    </w:p>
    <w:p w:rsidR="00946E77" w:rsidRPr="009A4C44" w:rsidRDefault="00946E77" w:rsidP="003E7D21">
      <w:pPr>
        <w:pStyle w:val="textregular"/>
      </w:pPr>
    </w:p>
    <w:p w:rsidR="00735BA0" w:rsidRPr="009A4C44" w:rsidRDefault="00AE364D" w:rsidP="005779B7">
      <w:pPr>
        <w:pStyle w:val="Headline14pt"/>
        <w:numPr>
          <w:ilvl w:val="0"/>
          <w:numId w:val="8"/>
        </w:numPr>
        <w:jc w:val="both"/>
        <w:outlineLvl w:val="0"/>
      </w:pPr>
      <w:bookmarkStart w:id="39" w:name="_Toc520316933"/>
      <w:bookmarkStart w:id="40" w:name="_Toc520993116"/>
      <w:bookmarkStart w:id="41" w:name="_Toc520993438"/>
      <w:bookmarkStart w:id="42" w:name="_Ref520994207"/>
      <w:bookmarkStart w:id="43" w:name="_Ref520997675"/>
      <w:bookmarkStart w:id="44" w:name="_Toc520999249"/>
      <w:bookmarkStart w:id="45" w:name="_Ref520999583"/>
      <w:bookmarkStart w:id="46" w:name="_Toc522181340"/>
      <w:bookmarkStart w:id="47" w:name="_Toc522195277"/>
      <w:bookmarkStart w:id="48" w:name="_Toc523816544"/>
      <w:bookmarkStart w:id="49" w:name="_Toc531687673"/>
      <w:bookmarkStart w:id="50" w:name="_Toc531787026"/>
      <w:bookmarkStart w:id="51" w:name="_Toc531799935"/>
      <w:r w:rsidRPr="009A4C44">
        <w:lastRenderedPageBreak/>
        <w:t>EBGL</w:t>
      </w:r>
      <w:r w:rsidR="00735BA0" w:rsidRPr="009A4C44">
        <w:t xml:space="preserve"> </w:t>
      </w:r>
      <w:r w:rsidR="00834946" w:rsidRPr="009A4C44">
        <w:t>R</w:t>
      </w:r>
      <w:r w:rsidR="00735BA0" w:rsidRPr="009A4C44">
        <w:t xml:space="preserve">equirements for </w:t>
      </w:r>
      <w:bookmarkEnd w:id="39"/>
      <w:bookmarkEnd w:id="40"/>
      <w:bookmarkEnd w:id="41"/>
      <w:bookmarkEnd w:id="42"/>
      <w:bookmarkEnd w:id="43"/>
      <w:bookmarkEnd w:id="44"/>
      <w:bookmarkEnd w:id="45"/>
      <w:bookmarkEnd w:id="46"/>
      <w:bookmarkEnd w:id="47"/>
      <w:bookmarkEnd w:id="48"/>
      <w:r w:rsidR="009D5D3D" w:rsidRPr="009A4C44">
        <w:t xml:space="preserve">TSO-TSO Settlement </w:t>
      </w:r>
      <w:r w:rsidR="00CB7096" w:rsidRPr="009A4C44">
        <w:t>rules</w:t>
      </w:r>
      <w:bookmarkEnd w:id="49"/>
      <w:bookmarkEnd w:id="50"/>
      <w:bookmarkEnd w:id="51"/>
    </w:p>
    <w:p w:rsidR="00946E77" w:rsidRPr="009A4C44" w:rsidRDefault="00946E77" w:rsidP="001705A5">
      <w:pPr>
        <w:pStyle w:val="textregular"/>
      </w:pPr>
      <w:r w:rsidRPr="009A4C44">
        <w:t xml:space="preserve">Article </w:t>
      </w:r>
      <w:r w:rsidR="001705A5" w:rsidRPr="009A4C44">
        <w:t>5</w:t>
      </w:r>
      <w:r w:rsidRPr="009A4C44">
        <w:t xml:space="preserve">0 of the </w:t>
      </w:r>
      <w:r w:rsidR="00643C9E" w:rsidRPr="009A4C44">
        <w:t>Commission Regulation (EU) 2017/2195 of 23 November 2017 establishing a guideline on electricity balancing</w:t>
      </w:r>
      <w:r w:rsidRPr="009A4C44">
        <w:t xml:space="preserve"> </w:t>
      </w:r>
      <w:r w:rsidR="00643C9E">
        <w:t xml:space="preserve">(hereafter referred to as </w:t>
      </w:r>
      <w:r w:rsidRPr="009A4C44">
        <w:t>EBGL</w:t>
      </w:r>
      <w:r w:rsidR="00643C9E">
        <w:t>)</w:t>
      </w:r>
      <w:r w:rsidRPr="009A4C44">
        <w:t xml:space="preserve"> requires </w:t>
      </w:r>
      <w:r w:rsidR="00F36FA5" w:rsidRPr="009A4C44">
        <w:t>all</w:t>
      </w:r>
      <w:r w:rsidRPr="009A4C44">
        <w:t xml:space="preserve"> TSOs to develop a proposal </w:t>
      </w:r>
      <w:r w:rsidR="001705A5" w:rsidRPr="009A4C44">
        <w:t>for common settlement rules applicable to all intended exchanges of energy as a result of the reserve replacement process, frequency restoration process with manual and automatic activation and the imbalance netting</w:t>
      </w:r>
      <w:r w:rsidRPr="009A4C44">
        <w:t xml:space="preserve">. This section provides a summary of the core EBGL requirements for the </w:t>
      </w:r>
      <w:r w:rsidR="001705A5" w:rsidRPr="009A4C44">
        <w:t>S</w:t>
      </w:r>
      <w:r w:rsidRPr="009A4C44">
        <w:t>P.</w:t>
      </w:r>
    </w:p>
    <w:p w:rsidR="00946E77" w:rsidRPr="009A4C44" w:rsidRDefault="00946E77" w:rsidP="00946E77">
      <w:pPr>
        <w:pStyle w:val="textregular"/>
      </w:pPr>
      <w:bookmarkStart w:id="52" w:name="_Ref520207025"/>
      <w:bookmarkStart w:id="53" w:name="_Toc520316934"/>
      <w:bookmarkStart w:id="54" w:name="_Toc520999250"/>
      <w:bookmarkStart w:id="55" w:name="_Toc522181341"/>
      <w:bookmarkStart w:id="56" w:name="_Toc522195278"/>
      <w:bookmarkStart w:id="57" w:name="_Toc523816545"/>
      <w:bookmarkStart w:id="58" w:name="_Toc531268853"/>
      <w:bookmarkStart w:id="59" w:name="_Toc531687674"/>
      <w:bookmarkStart w:id="60" w:name="_Toc531787027"/>
      <w:bookmarkEnd w:id="52"/>
      <w:bookmarkEnd w:id="53"/>
      <w:bookmarkEnd w:id="54"/>
      <w:bookmarkEnd w:id="55"/>
      <w:bookmarkEnd w:id="56"/>
      <w:bookmarkEnd w:id="57"/>
      <w:bookmarkEnd w:id="58"/>
      <w:bookmarkEnd w:id="59"/>
      <w:r w:rsidRPr="009A4C44">
        <w:t>A</w:t>
      </w:r>
      <w:bookmarkEnd w:id="60"/>
      <w:r w:rsidRPr="009A4C44">
        <w:t xml:space="preserve">rticle </w:t>
      </w:r>
      <w:r w:rsidR="00BD46FE" w:rsidRPr="009A4C44">
        <w:t>5</w:t>
      </w:r>
      <w:r w:rsidRPr="009A4C44">
        <w:t xml:space="preserve">0(1) of EBGL </w:t>
      </w:r>
      <w:r w:rsidR="00A82A7A">
        <w:t>is the legal basis for the proposal:</w:t>
      </w:r>
    </w:p>
    <w:p w:rsidR="00946E77" w:rsidRPr="009A4C44" w:rsidRDefault="00946E77" w:rsidP="00BD46FE">
      <w:pPr>
        <w:pStyle w:val="textregular"/>
        <w:ind w:left="284"/>
        <w:rPr>
          <w:szCs w:val="22"/>
          <w:lang w:val="en-US"/>
        </w:rPr>
      </w:pPr>
      <w:r w:rsidRPr="009A4C44">
        <w:rPr>
          <w:szCs w:val="22"/>
        </w:rPr>
        <w:t>“</w:t>
      </w:r>
      <w:r w:rsidR="0022033F" w:rsidRPr="009A4C44">
        <w:rPr>
          <w:i/>
          <w:szCs w:val="22"/>
        </w:rPr>
        <w:t>By one year after the entry into force of this Regulation, all TSOs shall develop a proposal for common settlement rules applicable to all intended exchanges of energy as a result of one or more of the following processes pursuant to Articles 146, 147 and 148 of Regulation (EU) 2017/1485, for each of the following</w:t>
      </w:r>
      <w:r w:rsidRPr="009A4C44">
        <w:rPr>
          <w:i/>
          <w:szCs w:val="22"/>
          <w:lang w:val="en-US"/>
        </w:rPr>
        <w:t>.</w:t>
      </w:r>
    </w:p>
    <w:p w:rsidR="0022033F" w:rsidRPr="009A4C44" w:rsidRDefault="0022033F" w:rsidP="00BD46FE">
      <w:pPr>
        <w:pStyle w:val="textregular"/>
        <w:ind w:left="284"/>
        <w:rPr>
          <w:i/>
          <w:szCs w:val="22"/>
        </w:rPr>
      </w:pPr>
      <w:r w:rsidRPr="009A4C44">
        <w:rPr>
          <w:i/>
          <w:szCs w:val="22"/>
        </w:rPr>
        <w:t xml:space="preserve">(a) </w:t>
      </w:r>
      <w:proofErr w:type="gramStart"/>
      <w:r w:rsidRPr="009A4C44">
        <w:rPr>
          <w:i/>
          <w:szCs w:val="22"/>
        </w:rPr>
        <w:t>the</w:t>
      </w:r>
      <w:proofErr w:type="gramEnd"/>
      <w:r w:rsidRPr="009A4C44">
        <w:rPr>
          <w:i/>
          <w:szCs w:val="22"/>
        </w:rPr>
        <w:t xml:space="preserve"> reserve replacement process; </w:t>
      </w:r>
    </w:p>
    <w:p w:rsidR="0022033F" w:rsidRPr="009A4C44" w:rsidRDefault="0022033F" w:rsidP="00BD46FE">
      <w:pPr>
        <w:pStyle w:val="textregular"/>
        <w:ind w:left="284"/>
        <w:rPr>
          <w:i/>
          <w:szCs w:val="22"/>
        </w:rPr>
      </w:pPr>
      <w:r w:rsidRPr="009A4C44">
        <w:rPr>
          <w:i/>
          <w:szCs w:val="22"/>
        </w:rPr>
        <w:t xml:space="preserve">(b) </w:t>
      </w:r>
      <w:proofErr w:type="gramStart"/>
      <w:r w:rsidRPr="009A4C44">
        <w:rPr>
          <w:i/>
          <w:szCs w:val="22"/>
        </w:rPr>
        <w:t>the</w:t>
      </w:r>
      <w:proofErr w:type="gramEnd"/>
      <w:r w:rsidRPr="009A4C44">
        <w:rPr>
          <w:i/>
          <w:szCs w:val="22"/>
        </w:rPr>
        <w:t xml:space="preserve"> frequency restoration process with manual activation; </w:t>
      </w:r>
    </w:p>
    <w:p w:rsidR="0022033F" w:rsidRPr="009A4C44" w:rsidRDefault="0022033F" w:rsidP="00BD46FE">
      <w:pPr>
        <w:pStyle w:val="textregular"/>
        <w:ind w:left="284"/>
        <w:rPr>
          <w:i/>
          <w:szCs w:val="22"/>
        </w:rPr>
      </w:pPr>
      <w:r w:rsidRPr="009A4C44">
        <w:rPr>
          <w:i/>
          <w:szCs w:val="22"/>
        </w:rPr>
        <w:t xml:space="preserve">(c) </w:t>
      </w:r>
      <w:proofErr w:type="gramStart"/>
      <w:r w:rsidRPr="009A4C44">
        <w:rPr>
          <w:i/>
          <w:szCs w:val="22"/>
        </w:rPr>
        <w:t>the</w:t>
      </w:r>
      <w:proofErr w:type="gramEnd"/>
      <w:r w:rsidRPr="009A4C44">
        <w:rPr>
          <w:i/>
          <w:szCs w:val="22"/>
        </w:rPr>
        <w:t xml:space="preserve"> frequency restoration process with automatic activation; </w:t>
      </w:r>
    </w:p>
    <w:p w:rsidR="0022033F" w:rsidRPr="009A4C44" w:rsidRDefault="0022033F" w:rsidP="00BD46FE">
      <w:pPr>
        <w:pStyle w:val="textregular"/>
        <w:ind w:left="284"/>
        <w:rPr>
          <w:i/>
          <w:szCs w:val="22"/>
        </w:rPr>
      </w:pPr>
      <w:r w:rsidRPr="009A4C44">
        <w:rPr>
          <w:i/>
          <w:szCs w:val="22"/>
        </w:rPr>
        <w:t xml:space="preserve">(d) </w:t>
      </w:r>
      <w:proofErr w:type="gramStart"/>
      <w:r w:rsidRPr="009A4C44">
        <w:rPr>
          <w:i/>
          <w:szCs w:val="22"/>
        </w:rPr>
        <w:t>the</w:t>
      </w:r>
      <w:proofErr w:type="gramEnd"/>
      <w:r w:rsidRPr="009A4C44">
        <w:rPr>
          <w:i/>
          <w:szCs w:val="22"/>
        </w:rPr>
        <w:t xml:space="preserve"> imbalance netting process”.</w:t>
      </w:r>
    </w:p>
    <w:p w:rsidR="00A82A7A" w:rsidRDefault="00A82A7A" w:rsidP="00A82A7A">
      <w:pPr>
        <w:pStyle w:val="textregular"/>
      </w:pPr>
      <w:r w:rsidRPr="009A4C44">
        <w:t>Article 50(</w:t>
      </w:r>
      <w:r>
        <w:t xml:space="preserve">5) </w:t>
      </w:r>
      <w:r w:rsidR="00707D4A">
        <w:t xml:space="preserve">of EBGL </w:t>
      </w:r>
      <w:r>
        <w:t>formulates the minimum scope of the proposal:</w:t>
      </w:r>
    </w:p>
    <w:p w:rsidR="00A82A7A" w:rsidRPr="009A4C44" w:rsidRDefault="00A82A7A" w:rsidP="00A82A7A">
      <w:pPr>
        <w:pStyle w:val="textregular"/>
        <w:ind w:left="284"/>
        <w:rPr>
          <w:szCs w:val="22"/>
          <w:lang w:val="en-US"/>
        </w:rPr>
      </w:pPr>
      <w:r w:rsidRPr="009A4C44">
        <w:rPr>
          <w:szCs w:val="22"/>
        </w:rPr>
        <w:t>“</w:t>
      </w:r>
      <w:r w:rsidRPr="00A82A7A">
        <w:rPr>
          <w:i/>
          <w:szCs w:val="22"/>
        </w:rPr>
        <w:t>The common settlement rules in accordance with paragraph 1 shall at least contain the provisions that the intended exchange of energy is calculated on the basis of the following criteria</w:t>
      </w:r>
      <w:r>
        <w:rPr>
          <w:i/>
          <w:szCs w:val="22"/>
          <w:lang w:val="en-US"/>
        </w:rPr>
        <w:t>:</w:t>
      </w:r>
    </w:p>
    <w:p w:rsidR="00A82A7A" w:rsidRPr="009A4C44" w:rsidRDefault="00A82A7A" w:rsidP="00A82A7A">
      <w:pPr>
        <w:pStyle w:val="textregular"/>
        <w:ind w:left="284"/>
        <w:rPr>
          <w:i/>
          <w:szCs w:val="22"/>
        </w:rPr>
      </w:pPr>
      <w:r w:rsidRPr="009A4C44">
        <w:rPr>
          <w:i/>
          <w:szCs w:val="22"/>
        </w:rPr>
        <w:t xml:space="preserve">(a) </w:t>
      </w:r>
      <w:proofErr w:type="gramStart"/>
      <w:r w:rsidRPr="00A82A7A">
        <w:rPr>
          <w:i/>
          <w:szCs w:val="22"/>
        </w:rPr>
        <w:t>over</w:t>
      </w:r>
      <w:proofErr w:type="gramEnd"/>
      <w:r w:rsidRPr="00A82A7A">
        <w:rPr>
          <w:i/>
          <w:szCs w:val="22"/>
        </w:rPr>
        <w:t xml:space="preserve"> periods agreed among relevant TSOs</w:t>
      </w:r>
      <w:r w:rsidRPr="009A4C44">
        <w:rPr>
          <w:i/>
          <w:szCs w:val="22"/>
        </w:rPr>
        <w:t xml:space="preserve">; </w:t>
      </w:r>
    </w:p>
    <w:p w:rsidR="00A82A7A" w:rsidRPr="009A4C44" w:rsidRDefault="00A82A7A" w:rsidP="00A82A7A">
      <w:pPr>
        <w:pStyle w:val="textregular"/>
        <w:ind w:left="284"/>
        <w:rPr>
          <w:i/>
          <w:szCs w:val="22"/>
        </w:rPr>
      </w:pPr>
      <w:r w:rsidRPr="009A4C44">
        <w:rPr>
          <w:i/>
          <w:szCs w:val="22"/>
        </w:rPr>
        <w:t xml:space="preserve">(b) </w:t>
      </w:r>
      <w:proofErr w:type="gramStart"/>
      <w:r w:rsidRPr="00A82A7A">
        <w:rPr>
          <w:i/>
          <w:szCs w:val="24"/>
        </w:rPr>
        <w:t>per</w:t>
      </w:r>
      <w:proofErr w:type="gramEnd"/>
      <w:r w:rsidRPr="00A82A7A">
        <w:rPr>
          <w:i/>
          <w:szCs w:val="24"/>
        </w:rPr>
        <w:t xml:space="preserve"> direction</w:t>
      </w:r>
      <w:r w:rsidRPr="009A4C44">
        <w:rPr>
          <w:i/>
          <w:szCs w:val="22"/>
        </w:rPr>
        <w:t xml:space="preserve">; </w:t>
      </w:r>
    </w:p>
    <w:p w:rsidR="00A82A7A" w:rsidRPr="009A4C44" w:rsidRDefault="00A82A7A" w:rsidP="00A82A7A">
      <w:pPr>
        <w:pStyle w:val="textregular"/>
        <w:ind w:left="284"/>
        <w:rPr>
          <w:i/>
          <w:szCs w:val="22"/>
        </w:rPr>
      </w:pPr>
      <w:r w:rsidRPr="009A4C44">
        <w:rPr>
          <w:i/>
          <w:szCs w:val="22"/>
        </w:rPr>
        <w:t>(</w:t>
      </w:r>
      <w:proofErr w:type="gramStart"/>
      <w:r w:rsidRPr="009A4C44">
        <w:rPr>
          <w:i/>
          <w:szCs w:val="22"/>
        </w:rPr>
        <w:t>c</w:t>
      </w:r>
      <w:proofErr w:type="gramEnd"/>
      <w:r w:rsidRPr="009A4C44">
        <w:rPr>
          <w:i/>
          <w:szCs w:val="22"/>
        </w:rPr>
        <w:t xml:space="preserve">) </w:t>
      </w:r>
      <w:r w:rsidRPr="00A82A7A">
        <w:rPr>
          <w:i/>
          <w:szCs w:val="22"/>
        </w:rPr>
        <w:t>as the integral of the calculated power interchange over the periods pursuant to paragraph 5‎(a)</w:t>
      </w:r>
      <w:r w:rsidR="00CA608F">
        <w:rPr>
          <w:i/>
          <w:szCs w:val="22"/>
        </w:rPr>
        <w:t>.”</w:t>
      </w:r>
    </w:p>
    <w:p w:rsidR="00A82A7A" w:rsidRDefault="00447360" w:rsidP="00A82A7A">
      <w:pPr>
        <w:pStyle w:val="textregular"/>
      </w:pPr>
      <w:r>
        <w:t>Moreover, EBGL establishes a relationship of the settlement proposal with the pricing proposal. Article 50(6)</w:t>
      </w:r>
      <w:r w:rsidR="00707D4A">
        <w:t xml:space="preserve"> of EBGL requires that the settlement rules related to RR, </w:t>
      </w:r>
      <w:proofErr w:type="spellStart"/>
      <w:r w:rsidR="00707D4A">
        <w:t>mFRR</w:t>
      </w:r>
      <w:proofErr w:type="spellEnd"/>
      <w:r w:rsidR="00707D4A">
        <w:t xml:space="preserve"> and </w:t>
      </w:r>
      <w:proofErr w:type="spellStart"/>
      <w:r w:rsidR="00707D4A">
        <w:t>aFRR</w:t>
      </w:r>
      <w:proofErr w:type="spellEnd"/>
      <w:r w:rsidR="00707D4A">
        <w:t xml:space="preserve"> take into account the respective balancing energy prices and the pricing of cross-zonal capacity: </w:t>
      </w:r>
    </w:p>
    <w:p w:rsidR="00447360" w:rsidRPr="009A4C44" w:rsidRDefault="00447360" w:rsidP="00447360">
      <w:pPr>
        <w:pStyle w:val="textregular"/>
        <w:ind w:left="284"/>
        <w:rPr>
          <w:szCs w:val="22"/>
          <w:lang w:val="en-US"/>
        </w:rPr>
      </w:pPr>
      <w:r w:rsidRPr="009A4C44">
        <w:rPr>
          <w:szCs w:val="22"/>
        </w:rPr>
        <w:t>“</w:t>
      </w:r>
      <w:r w:rsidRPr="00447360">
        <w:rPr>
          <w:i/>
          <w:szCs w:val="22"/>
        </w:rPr>
        <w:t>The common settlement rules of intended exchanges of energy in accordance with paragraphs 1(a), 1(b) and 1(c) shall take into account</w:t>
      </w:r>
      <w:r>
        <w:rPr>
          <w:i/>
          <w:szCs w:val="22"/>
          <w:lang w:val="en-US"/>
        </w:rPr>
        <w:t>:</w:t>
      </w:r>
    </w:p>
    <w:p w:rsidR="00447360" w:rsidRPr="009A4C44" w:rsidRDefault="00447360" w:rsidP="00447360">
      <w:pPr>
        <w:pStyle w:val="textregular"/>
        <w:ind w:left="284"/>
        <w:rPr>
          <w:i/>
          <w:szCs w:val="22"/>
        </w:rPr>
      </w:pPr>
      <w:r w:rsidRPr="009A4C44">
        <w:rPr>
          <w:i/>
          <w:szCs w:val="22"/>
        </w:rPr>
        <w:t xml:space="preserve">(a) </w:t>
      </w:r>
      <w:proofErr w:type="gramStart"/>
      <w:r w:rsidRPr="00447360">
        <w:rPr>
          <w:i/>
          <w:szCs w:val="22"/>
        </w:rPr>
        <w:t>all</w:t>
      </w:r>
      <w:proofErr w:type="gramEnd"/>
      <w:r w:rsidRPr="00447360">
        <w:rPr>
          <w:i/>
          <w:szCs w:val="22"/>
        </w:rPr>
        <w:t xml:space="preserve"> balancing energy prices established pursuant Article 30(1)</w:t>
      </w:r>
      <w:r w:rsidRPr="009A4C44">
        <w:rPr>
          <w:i/>
          <w:szCs w:val="22"/>
        </w:rPr>
        <w:t xml:space="preserve">; </w:t>
      </w:r>
    </w:p>
    <w:p w:rsidR="00447360" w:rsidRPr="009A4C44" w:rsidRDefault="00447360" w:rsidP="00447360">
      <w:pPr>
        <w:pStyle w:val="textregular"/>
        <w:ind w:left="284"/>
        <w:rPr>
          <w:i/>
          <w:szCs w:val="22"/>
        </w:rPr>
      </w:pPr>
      <w:r w:rsidRPr="009A4C44">
        <w:rPr>
          <w:i/>
          <w:szCs w:val="22"/>
        </w:rPr>
        <w:t xml:space="preserve">(b) </w:t>
      </w:r>
      <w:proofErr w:type="gramStart"/>
      <w:r w:rsidRPr="00447360">
        <w:rPr>
          <w:i/>
          <w:szCs w:val="24"/>
        </w:rPr>
        <w:t>the</w:t>
      </w:r>
      <w:proofErr w:type="gramEnd"/>
      <w:r w:rsidRPr="00447360">
        <w:rPr>
          <w:i/>
          <w:szCs w:val="24"/>
        </w:rPr>
        <w:t xml:space="preserve"> methodology for pricing of cross-zonal capacity used for the exchange of balancing energy pursuant Article 30(3)</w:t>
      </w:r>
      <w:r w:rsidR="00CA608F">
        <w:rPr>
          <w:i/>
          <w:szCs w:val="24"/>
        </w:rPr>
        <w:t>.”</w:t>
      </w:r>
    </w:p>
    <w:p w:rsidR="007C582A" w:rsidRPr="007C582A" w:rsidRDefault="00707D4A" w:rsidP="007C582A">
      <w:pPr>
        <w:pStyle w:val="textregular"/>
      </w:pPr>
      <w:r>
        <w:t xml:space="preserve">A similar requirement is formulated </w:t>
      </w:r>
      <w:r w:rsidR="007C582A">
        <w:t xml:space="preserve">for the settlement rules concerning the </w:t>
      </w:r>
      <w:r>
        <w:t xml:space="preserve">imbalance netting process in Article 50(7) </w:t>
      </w:r>
      <w:r w:rsidR="007C582A">
        <w:t xml:space="preserve">of EBGL which </w:t>
      </w:r>
      <w:r>
        <w:t>requires</w:t>
      </w:r>
      <w:r w:rsidR="007C582A">
        <w:t xml:space="preserve"> </w:t>
      </w:r>
      <w:proofErr w:type="gramStart"/>
      <w:r w:rsidR="007C582A">
        <w:t>to take</w:t>
      </w:r>
      <w:proofErr w:type="gramEnd"/>
      <w:r w:rsidR="007C582A">
        <w:t xml:space="preserve"> into account the respective cross-zonal capacity pricing methodology</w:t>
      </w:r>
      <w:r w:rsidR="00447360" w:rsidRPr="0037597A">
        <w:t>.</w:t>
      </w:r>
    </w:p>
    <w:p w:rsidR="002958C5" w:rsidRPr="009A4C44" w:rsidRDefault="002958C5" w:rsidP="005779B7">
      <w:pPr>
        <w:pStyle w:val="Headline14pt"/>
        <w:numPr>
          <w:ilvl w:val="0"/>
          <w:numId w:val="8"/>
        </w:numPr>
        <w:jc w:val="both"/>
        <w:outlineLvl w:val="0"/>
      </w:pPr>
      <w:bookmarkStart w:id="61" w:name="_Toc520316940"/>
      <w:bookmarkStart w:id="62" w:name="_Toc520993117"/>
      <w:bookmarkStart w:id="63" w:name="_Toc520993439"/>
      <w:bookmarkStart w:id="64" w:name="_Ref520997858"/>
      <w:bookmarkStart w:id="65" w:name="_Toc520999256"/>
      <w:bookmarkStart w:id="66" w:name="_Toc522181346"/>
      <w:bookmarkStart w:id="67" w:name="_Toc522195283"/>
      <w:bookmarkStart w:id="68" w:name="_Toc523816550"/>
      <w:bookmarkStart w:id="69" w:name="_Toc531687676"/>
      <w:bookmarkStart w:id="70" w:name="_Ref531797243"/>
      <w:bookmarkStart w:id="71" w:name="_Toc531799936"/>
      <w:bookmarkStart w:id="72" w:name="_Toc531787028"/>
      <w:bookmarkStart w:id="73" w:name="_Ref520204149"/>
      <w:bookmarkStart w:id="74" w:name="_Ref520204151"/>
      <w:r w:rsidRPr="009A4C44">
        <w:lastRenderedPageBreak/>
        <w:t>General Principles</w:t>
      </w:r>
      <w:bookmarkEnd w:id="61"/>
      <w:bookmarkEnd w:id="62"/>
      <w:bookmarkEnd w:id="63"/>
      <w:bookmarkEnd w:id="64"/>
      <w:bookmarkEnd w:id="65"/>
      <w:bookmarkEnd w:id="66"/>
      <w:bookmarkEnd w:id="67"/>
      <w:bookmarkEnd w:id="68"/>
      <w:bookmarkEnd w:id="69"/>
      <w:bookmarkEnd w:id="70"/>
      <w:bookmarkEnd w:id="71"/>
    </w:p>
    <w:bookmarkEnd w:id="72"/>
    <w:p w:rsidR="007D501E" w:rsidRPr="009A4C44" w:rsidRDefault="007D501E" w:rsidP="00A668B6">
      <w:pPr>
        <w:pStyle w:val="textregular"/>
        <w:spacing w:after="260" w:line="260" w:lineRule="atLeast"/>
      </w:pPr>
      <w:r w:rsidRPr="009A4C44">
        <w:t>As the result of development of the implementation frameworks according to Articles 19, 20, 21 and 22</w:t>
      </w:r>
      <w:r w:rsidR="004509D7" w:rsidRPr="009A4C44">
        <w:t xml:space="preserve"> of the EBGL</w:t>
      </w:r>
      <w:r w:rsidRPr="009A4C44">
        <w:t xml:space="preserve">, there will be cross-border exchange of balancing and netted energy defined as intended exchange of energy by the EBGL. </w:t>
      </w:r>
      <w:r w:rsidR="0087775B">
        <w:t>T</w:t>
      </w:r>
      <w:r w:rsidRPr="009A4C44">
        <w:t xml:space="preserve">he SP divides the intended exchange of energy in to the intended exchange resulting from </w:t>
      </w:r>
      <w:proofErr w:type="spellStart"/>
      <w:r w:rsidRPr="009A4C44">
        <w:t>aFRR</w:t>
      </w:r>
      <w:proofErr w:type="spellEnd"/>
      <w:r w:rsidRPr="009A4C44">
        <w:t xml:space="preserve">, </w:t>
      </w:r>
      <w:proofErr w:type="spellStart"/>
      <w:r w:rsidRPr="009A4C44">
        <w:t>mFRR</w:t>
      </w:r>
      <w:proofErr w:type="spellEnd"/>
      <w:r w:rsidRPr="009A4C44">
        <w:t>, RR and imbalance netting platform.</w:t>
      </w:r>
    </w:p>
    <w:p w:rsidR="007D501E" w:rsidRPr="009A4C44" w:rsidRDefault="007D501E" w:rsidP="00A668B6">
      <w:pPr>
        <w:pStyle w:val="textregular"/>
        <w:spacing w:after="260" w:line="260" w:lineRule="atLeast"/>
      </w:pPr>
      <w:r w:rsidRPr="009A4C44">
        <w:t>In SP it is proposed, that the intended exchange volumes will be settled separately per product</w:t>
      </w:r>
      <w:r w:rsidR="0087775B">
        <w:t xml:space="preserve"> (with an additional differentiation between </w:t>
      </w:r>
      <w:proofErr w:type="spellStart"/>
      <w:r w:rsidR="0087775B">
        <w:t>mFRR</w:t>
      </w:r>
      <w:proofErr w:type="spellEnd"/>
      <w:r w:rsidR="0087775B">
        <w:t xml:space="preserve"> with scheduled and direct activation types)</w:t>
      </w:r>
      <w:r w:rsidRPr="009A4C44">
        <w:t xml:space="preserve">. This means, that the total volume of intended exchange between TSOs is not treated as one volume to be settled, instead there is a separation, which volume is resulting from which platform and to which direction the intended exchange of energy from each platform is exchanged. </w:t>
      </w:r>
      <w:r w:rsidR="0087775B">
        <w:fldChar w:fldCharType="begin"/>
      </w:r>
      <w:r w:rsidR="0087775B">
        <w:instrText xml:space="preserve"> REF _Ref531787712 \h </w:instrText>
      </w:r>
      <w:r w:rsidR="0087775B">
        <w:fldChar w:fldCharType="separate"/>
      </w:r>
      <w:r w:rsidR="002D564B" w:rsidRPr="009A4C44">
        <w:rPr>
          <w:lang w:val="en-US"/>
        </w:rPr>
        <w:t xml:space="preserve">Figure </w:t>
      </w:r>
      <w:r w:rsidR="002D564B">
        <w:rPr>
          <w:noProof/>
          <w:lang w:val="en-US"/>
        </w:rPr>
        <w:t>1</w:t>
      </w:r>
      <w:r w:rsidR="0087775B">
        <w:fldChar w:fldCharType="end"/>
      </w:r>
      <w:r w:rsidRPr="009A4C44">
        <w:t xml:space="preserve"> illustrates the separation of the intended exchange to different volumes.</w:t>
      </w:r>
    </w:p>
    <w:p w:rsidR="007D501E" w:rsidRPr="009A4C44" w:rsidRDefault="006A6E4F" w:rsidP="0087775B">
      <w:pPr>
        <w:pStyle w:val="textregular"/>
        <w:keepNext/>
        <w:spacing w:after="0" w:line="260" w:lineRule="atLeast"/>
      </w:pPr>
      <w:r w:rsidRPr="009A4C44">
        <w:rPr>
          <w:noProof/>
          <w:lang w:val="ro-RO" w:eastAsia="ro-RO"/>
        </w:rPr>
        <w:drawing>
          <wp:inline distT="0" distB="0" distL="0" distR="0" wp14:anchorId="1493ADA0" wp14:editId="00789943">
            <wp:extent cx="6047740" cy="173609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47740" cy="1736090"/>
                    </a:xfrm>
                    <a:prstGeom prst="rect">
                      <a:avLst/>
                    </a:prstGeom>
                  </pic:spPr>
                </pic:pic>
              </a:graphicData>
            </a:graphic>
          </wp:inline>
        </w:drawing>
      </w:r>
    </w:p>
    <w:p w:rsidR="007D501E" w:rsidRPr="009A4C44" w:rsidRDefault="007D501E" w:rsidP="00A668B6">
      <w:pPr>
        <w:pStyle w:val="Caption"/>
        <w:ind w:left="360" w:firstLine="0"/>
        <w:rPr>
          <w:lang w:val="en-US"/>
        </w:rPr>
      </w:pPr>
      <w:bookmarkStart w:id="75" w:name="_Ref531787712"/>
      <w:bookmarkStart w:id="76" w:name="_Toc531367160"/>
      <w:bookmarkStart w:id="77" w:name="_Toc531799954"/>
      <w:r w:rsidRPr="009A4C44">
        <w:rPr>
          <w:lang w:val="en-US"/>
        </w:rPr>
        <w:t xml:space="preserve">Figure </w:t>
      </w:r>
      <w:r w:rsidRPr="009A4C44">
        <w:fldChar w:fldCharType="begin"/>
      </w:r>
      <w:r w:rsidRPr="009A4C44">
        <w:rPr>
          <w:lang w:val="en-US"/>
        </w:rPr>
        <w:instrText xml:space="preserve"> SEQ Figure \* ARABIC </w:instrText>
      </w:r>
      <w:r w:rsidRPr="009A4C44">
        <w:fldChar w:fldCharType="separate"/>
      </w:r>
      <w:r w:rsidR="002D564B">
        <w:rPr>
          <w:noProof/>
          <w:lang w:val="en-US"/>
        </w:rPr>
        <w:t>1</w:t>
      </w:r>
      <w:r w:rsidRPr="009A4C44">
        <w:fldChar w:fldCharType="end"/>
      </w:r>
      <w:bookmarkEnd w:id="75"/>
      <w:r w:rsidRPr="009A4C44">
        <w:rPr>
          <w:lang w:val="en-US"/>
        </w:rPr>
        <w:t xml:space="preserve"> The TSO-TSO settlement is done by product.</w:t>
      </w:r>
      <w:bookmarkEnd w:id="76"/>
      <w:bookmarkEnd w:id="77"/>
    </w:p>
    <w:p w:rsidR="007D501E" w:rsidRPr="009A4C44" w:rsidRDefault="007D501E" w:rsidP="00A668B6">
      <w:pPr>
        <w:pStyle w:val="textregular"/>
        <w:spacing w:after="260" w:line="260" w:lineRule="atLeast"/>
      </w:pPr>
      <w:r w:rsidRPr="009A4C44">
        <w:t>In figure 1, the whole rectangle between TSOs represents the total volume of intended exchange between TSOs, but it is shown, that this total volume consist</w:t>
      </w:r>
      <w:r w:rsidR="008D5720" w:rsidRPr="009A4C44">
        <w:t>s</w:t>
      </w:r>
      <w:r w:rsidRPr="009A4C44">
        <w:t xml:space="preserve"> of volumes of the intended exchange from separate processes. As the settlement of volumes from each process is treated separately, volume exchanged due the </w:t>
      </w:r>
      <w:proofErr w:type="spellStart"/>
      <w:r w:rsidRPr="009A4C44">
        <w:t>aFRR</w:t>
      </w:r>
      <w:proofErr w:type="spellEnd"/>
      <w:r w:rsidRPr="009A4C44">
        <w:t xml:space="preserve"> platform result will be determined and settled with </w:t>
      </w:r>
      <w:proofErr w:type="spellStart"/>
      <w:r w:rsidRPr="009A4C44">
        <w:t>aFRR</w:t>
      </w:r>
      <w:proofErr w:type="spellEnd"/>
      <w:r w:rsidRPr="009A4C44">
        <w:t xml:space="preserve"> settlement price and volume exchanged due the </w:t>
      </w:r>
      <w:proofErr w:type="spellStart"/>
      <w:r w:rsidRPr="009A4C44">
        <w:t>mFRR</w:t>
      </w:r>
      <w:proofErr w:type="spellEnd"/>
      <w:r w:rsidRPr="009A4C44">
        <w:t xml:space="preserve"> platform result will be determined and settled with the </w:t>
      </w:r>
      <w:proofErr w:type="spellStart"/>
      <w:r w:rsidRPr="009A4C44">
        <w:t>mFRR</w:t>
      </w:r>
      <w:proofErr w:type="spellEnd"/>
      <w:r w:rsidRPr="009A4C44">
        <w:t xml:space="preserve"> settlement price and so on.</w:t>
      </w:r>
    </w:p>
    <w:p w:rsidR="007D501E" w:rsidRPr="009A4C44" w:rsidRDefault="007D501E" w:rsidP="00A668B6">
      <w:pPr>
        <w:pStyle w:val="textregular"/>
        <w:spacing w:after="260" w:line="260" w:lineRule="atLeast"/>
      </w:pPr>
      <w:r w:rsidRPr="009A4C44">
        <w:t>For each intended exchange volume, there will be a settlement price, again separately determined by the platform. The EBGL article 50(6) requires, that the common settlement rules of intended exchanges of energy shall take account all balancing energy prices established pursuant Article 30(1). This means that the all TSOs’ proposal on methodologies for pricing balancing energy and cross-zonal capacity used for the exchange of balancing energy or operating the imbalance netting process provides a base for the TSO-TSO settlement price.</w:t>
      </w:r>
    </w:p>
    <w:p w:rsidR="007D501E" w:rsidRPr="009A4C44" w:rsidRDefault="007D501E" w:rsidP="00A668B6">
      <w:pPr>
        <w:pStyle w:val="textregular"/>
        <w:spacing w:after="260" w:line="260" w:lineRule="atLeast"/>
      </w:pPr>
      <w:r w:rsidRPr="009A4C44">
        <w:t xml:space="preserve">The basic principle of </w:t>
      </w:r>
      <w:r w:rsidR="005B4541">
        <w:t xml:space="preserve">the </w:t>
      </w:r>
      <w:r w:rsidRPr="009A4C44">
        <w:t>PP is to establish for each uncongested are</w:t>
      </w:r>
      <w:r w:rsidR="00C73774">
        <w:t>a</w:t>
      </w:r>
      <w:r w:rsidRPr="009A4C44">
        <w:t xml:space="preserve"> a cross-border marginal price. The principles for setting the cross-border marginal price (CBMP) for uncongested area </w:t>
      </w:r>
      <w:r w:rsidR="00957C44" w:rsidRPr="009A4C44">
        <w:t xml:space="preserve">as well the areal construction of uncongested area </w:t>
      </w:r>
      <w:r w:rsidRPr="009A4C44">
        <w:t>is further explained in PP ex</w:t>
      </w:r>
      <w:r w:rsidR="00957C44" w:rsidRPr="009A4C44">
        <w:t>planatory document section 3</w:t>
      </w:r>
      <w:r w:rsidRPr="009A4C44">
        <w:t xml:space="preserve">. This CBMP is taken as a base settlement </w:t>
      </w:r>
      <w:proofErr w:type="gramStart"/>
      <w:r w:rsidRPr="009A4C44">
        <w:t>price, that</w:t>
      </w:r>
      <w:proofErr w:type="gramEnd"/>
      <w:r w:rsidRPr="009A4C44">
        <w:t xml:space="preserve"> is used in TSO-TSO settlement. </w:t>
      </w:r>
      <w:r w:rsidR="00067D87" w:rsidRPr="009A4C44">
        <w:t>F</w:t>
      </w:r>
      <w:r w:rsidRPr="009A4C44">
        <w:t xml:space="preserve">or each LFC-area/bidding zone, there will be CBMP and that is the price used as settlement price. </w:t>
      </w:r>
    </w:p>
    <w:p w:rsidR="007D501E" w:rsidRPr="009A4C44" w:rsidRDefault="007D501E" w:rsidP="00A668B6">
      <w:pPr>
        <w:pStyle w:val="textregular"/>
        <w:spacing w:after="260" w:line="260" w:lineRule="atLeast"/>
      </w:pPr>
      <w:r w:rsidRPr="009A4C44">
        <w:t xml:space="preserve">As a basic principle, the settlement amounts [€] are calculated as a product of the exchanged volume [MWh] per product and the CBMP [€/MWh] of bidding area/LFC area per product. The settlement amount however can also differ from this calculation in cases of intended exchange due the system constraint </w:t>
      </w:r>
      <w:r w:rsidRPr="009A4C44">
        <w:lastRenderedPageBreak/>
        <w:t xml:space="preserve">activation, the amount of congestion income and </w:t>
      </w:r>
      <w:r w:rsidR="00EA3D23">
        <w:t>possible rents resulting from special cases with more than one price in an uncongested area or non-intuitive balancing energy flows</w:t>
      </w:r>
      <w:r w:rsidRPr="009A4C44">
        <w:t xml:space="preserve">. </w:t>
      </w:r>
    </w:p>
    <w:p w:rsidR="007D501E" w:rsidRPr="009A4C44" w:rsidRDefault="007D501E" w:rsidP="007D501E">
      <w:pPr>
        <w:pStyle w:val="textregular"/>
        <w:spacing w:after="260" w:line="260" w:lineRule="atLeast"/>
      </w:pPr>
      <w:r w:rsidRPr="009A4C44">
        <w:t>The settlement of intended exchanges is done by border, i.e</w:t>
      </w:r>
      <w:r w:rsidR="00C73774">
        <w:t>.</w:t>
      </w:r>
      <w:r w:rsidRPr="009A4C44">
        <w:t xml:space="preserve"> between two TSOs and the payment directions are presented in the table below:</w:t>
      </w:r>
    </w:p>
    <w:tbl>
      <w:tblPr>
        <w:tblW w:w="8178" w:type="dxa"/>
        <w:jc w:val="center"/>
        <w:tblCellMar>
          <w:left w:w="0" w:type="dxa"/>
          <w:right w:w="0" w:type="dxa"/>
        </w:tblCellMar>
        <w:tblLook w:val="0420" w:firstRow="1" w:lastRow="0" w:firstColumn="0" w:lastColumn="0" w:noHBand="0" w:noVBand="1"/>
      </w:tblPr>
      <w:tblGrid>
        <w:gridCol w:w="2726"/>
        <w:gridCol w:w="2726"/>
        <w:gridCol w:w="2726"/>
      </w:tblGrid>
      <w:tr w:rsidR="007D501E" w:rsidRPr="009A4C44" w:rsidTr="00067D87">
        <w:trPr>
          <w:trHeight w:val="152"/>
          <w:jc w:val="center"/>
        </w:trPr>
        <w:tc>
          <w:tcPr>
            <w:tcW w:w="2726" w:type="dxa"/>
            <w:tcBorders>
              <w:top w:val="single" w:sz="8" w:space="0" w:color="FFFFFF"/>
              <w:left w:val="single" w:sz="8" w:space="0" w:color="FFFFFF"/>
              <w:bottom w:val="single" w:sz="24" w:space="0" w:color="FFFFFF"/>
              <w:right w:val="single" w:sz="8" w:space="0" w:color="FFFFFF"/>
            </w:tcBorders>
            <w:shd w:val="clear" w:color="auto" w:fill="6D838F"/>
            <w:tcMar>
              <w:top w:w="72" w:type="dxa"/>
              <w:left w:w="144" w:type="dxa"/>
              <w:bottom w:w="72" w:type="dxa"/>
              <w:right w:w="144" w:type="dxa"/>
            </w:tcMar>
            <w:hideMark/>
          </w:tcPr>
          <w:p w:rsidR="007D501E" w:rsidRPr="009A4C44" w:rsidRDefault="007D501E" w:rsidP="00E83EBE">
            <w:pPr>
              <w:spacing w:after="160" w:line="259" w:lineRule="auto"/>
              <w:rPr>
                <w:rFonts w:ascii="Times New Roman" w:hAnsi="Times New Roman"/>
                <w:lang w:val="en-US"/>
              </w:rPr>
            </w:pPr>
          </w:p>
        </w:tc>
        <w:tc>
          <w:tcPr>
            <w:tcW w:w="2726" w:type="dxa"/>
            <w:tcBorders>
              <w:top w:val="single" w:sz="8" w:space="0" w:color="FFFFFF"/>
              <w:left w:val="single" w:sz="8" w:space="0" w:color="FFFFFF"/>
              <w:bottom w:val="single" w:sz="24" w:space="0" w:color="FFFFFF"/>
              <w:right w:val="single" w:sz="8" w:space="0" w:color="FFFFFF"/>
            </w:tcBorders>
            <w:shd w:val="clear" w:color="auto" w:fill="6D838F"/>
            <w:tcMar>
              <w:top w:w="72" w:type="dxa"/>
              <w:left w:w="144" w:type="dxa"/>
              <w:bottom w:w="72" w:type="dxa"/>
              <w:right w:w="144" w:type="dxa"/>
            </w:tcMar>
            <w:hideMark/>
          </w:tcPr>
          <w:p w:rsidR="007D501E" w:rsidRPr="009A4C44" w:rsidRDefault="007D501E" w:rsidP="00E83EBE">
            <w:pPr>
              <w:spacing w:after="160" w:line="259" w:lineRule="auto"/>
              <w:rPr>
                <w:rFonts w:ascii="Times New Roman" w:hAnsi="Times New Roman"/>
                <w:lang w:val="fi-FI"/>
              </w:rPr>
            </w:pPr>
            <w:r w:rsidRPr="009A4C44">
              <w:rPr>
                <w:rFonts w:ascii="Times New Roman" w:hAnsi="Times New Roman"/>
                <w:lang w:val="en-US"/>
              </w:rPr>
              <w:t>Settlement price positive</w:t>
            </w:r>
          </w:p>
        </w:tc>
        <w:tc>
          <w:tcPr>
            <w:tcW w:w="2726" w:type="dxa"/>
            <w:tcBorders>
              <w:top w:val="single" w:sz="8" w:space="0" w:color="FFFFFF"/>
              <w:left w:val="single" w:sz="8" w:space="0" w:color="FFFFFF"/>
              <w:bottom w:val="single" w:sz="24" w:space="0" w:color="FFFFFF"/>
              <w:right w:val="single" w:sz="8" w:space="0" w:color="FFFFFF"/>
            </w:tcBorders>
            <w:shd w:val="clear" w:color="auto" w:fill="6D838F"/>
            <w:tcMar>
              <w:top w:w="72" w:type="dxa"/>
              <w:left w:w="144" w:type="dxa"/>
              <w:bottom w:w="72" w:type="dxa"/>
              <w:right w:w="144" w:type="dxa"/>
            </w:tcMar>
            <w:hideMark/>
          </w:tcPr>
          <w:p w:rsidR="007D501E" w:rsidRPr="009A4C44" w:rsidRDefault="007D501E" w:rsidP="00E83EBE">
            <w:pPr>
              <w:spacing w:after="160" w:line="259" w:lineRule="auto"/>
              <w:rPr>
                <w:rFonts w:ascii="Times New Roman" w:hAnsi="Times New Roman"/>
                <w:lang w:val="fi-FI"/>
              </w:rPr>
            </w:pPr>
            <w:r w:rsidRPr="009A4C44">
              <w:rPr>
                <w:rFonts w:ascii="Times New Roman" w:hAnsi="Times New Roman"/>
                <w:lang w:val="en-US"/>
              </w:rPr>
              <w:t>Settlement price negative</w:t>
            </w:r>
          </w:p>
        </w:tc>
      </w:tr>
      <w:tr w:rsidR="007D501E" w:rsidRPr="009A4C44" w:rsidTr="00067D87">
        <w:trPr>
          <w:trHeight w:val="87"/>
          <w:jc w:val="center"/>
        </w:trPr>
        <w:tc>
          <w:tcPr>
            <w:tcW w:w="2726" w:type="dxa"/>
            <w:tcBorders>
              <w:top w:val="single" w:sz="24" w:space="0" w:color="FFFFFF"/>
              <w:left w:val="single" w:sz="8" w:space="0" w:color="FFFFFF"/>
              <w:bottom w:val="single" w:sz="8" w:space="0" w:color="FFFFFF"/>
              <w:right w:val="single" w:sz="8" w:space="0" w:color="FFFFFF"/>
            </w:tcBorders>
            <w:shd w:val="clear" w:color="auto" w:fill="D4D9DB"/>
            <w:tcMar>
              <w:top w:w="72" w:type="dxa"/>
              <w:left w:w="144" w:type="dxa"/>
              <w:bottom w:w="72" w:type="dxa"/>
              <w:right w:w="144" w:type="dxa"/>
            </w:tcMar>
            <w:hideMark/>
          </w:tcPr>
          <w:p w:rsidR="007D501E" w:rsidRPr="009A4C44" w:rsidRDefault="007D501E" w:rsidP="00E83EBE">
            <w:pPr>
              <w:spacing w:after="160" w:line="259" w:lineRule="auto"/>
              <w:rPr>
                <w:rFonts w:ascii="Times New Roman" w:hAnsi="Times New Roman"/>
                <w:lang w:val="fi-FI"/>
              </w:rPr>
            </w:pPr>
            <w:r w:rsidRPr="009A4C44">
              <w:rPr>
                <w:rFonts w:ascii="Times New Roman" w:hAnsi="Times New Roman"/>
                <w:lang w:val="en-US"/>
              </w:rPr>
              <w:t>Exporting TSO</w:t>
            </w:r>
          </w:p>
        </w:tc>
        <w:tc>
          <w:tcPr>
            <w:tcW w:w="2726" w:type="dxa"/>
            <w:tcBorders>
              <w:top w:val="single" w:sz="24" w:space="0" w:color="FFFFFF"/>
              <w:left w:val="single" w:sz="8" w:space="0" w:color="FFFFFF"/>
              <w:bottom w:val="single" w:sz="8" w:space="0" w:color="FFFFFF"/>
              <w:right w:val="single" w:sz="8" w:space="0" w:color="FFFFFF"/>
            </w:tcBorders>
            <w:shd w:val="clear" w:color="auto" w:fill="D4D9DB"/>
            <w:tcMar>
              <w:top w:w="72" w:type="dxa"/>
              <w:left w:w="144" w:type="dxa"/>
              <w:bottom w:w="72" w:type="dxa"/>
              <w:right w:w="144" w:type="dxa"/>
            </w:tcMar>
            <w:hideMark/>
          </w:tcPr>
          <w:p w:rsidR="007D501E" w:rsidRPr="009A4C44" w:rsidRDefault="007D501E" w:rsidP="00E83EBE">
            <w:pPr>
              <w:spacing w:after="160" w:line="259" w:lineRule="auto"/>
              <w:rPr>
                <w:rFonts w:ascii="Times New Roman" w:hAnsi="Times New Roman"/>
                <w:lang w:val="fi-FI"/>
              </w:rPr>
            </w:pPr>
            <w:r w:rsidRPr="009A4C44">
              <w:rPr>
                <w:rFonts w:ascii="Times New Roman" w:hAnsi="Times New Roman"/>
                <w:lang w:val="en-US"/>
              </w:rPr>
              <w:t>Receives money</w:t>
            </w:r>
          </w:p>
        </w:tc>
        <w:tc>
          <w:tcPr>
            <w:tcW w:w="2726" w:type="dxa"/>
            <w:tcBorders>
              <w:top w:val="single" w:sz="24" w:space="0" w:color="FFFFFF"/>
              <w:left w:val="single" w:sz="8" w:space="0" w:color="FFFFFF"/>
              <w:bottom w:val="single" w:sz="8" w:space="0" w:color="FFFFFF"/>
              <w:right w:val="single" w:sz="8" w:space="0" w:color="FFFFFF"/>
            </w:tcBorders>
            <w:shd w:val="clear" w:color="auto" w:fill="D4D9DB"/>
            <w:tcMar>
              <w:top w:w="72" w:type="dxa"/>
              <w:left w:w="144" w:type="dxa"/>
              <w:bottom w:w="72" w:type="dxa"/>
              <w:right w:w="144" w:type="dxa"/>
            </w:tcMar>
            <w:hideMark/>
          </w:tcPr>
          <w:p w:rsidR="007D501E" w:rsidRPr="009A4C44" w:rsidRDefault="007D501E" w:rsidP="00E83EBE">
            <w:pPr>
              <w:spacing w:after="160" w:line="259" w:lineRule="auto"/>
              <w:rPr>
                <w:rFonts w:ascii="Times New Roman" w:hAnsi="Times New Roman"/>
                <w:lang w:val="fi-FI"/>
              </w:rPr>
            </w:pPr>
            <w:r w:rsidRPr="009A4C44">
              <w:rPr>
                <w:rFonts w:ascii="Times New Roman" w:hAnsi="Times New Roman"/>
                <w:lang w:val="en-US"/>
              </w:rPr>
              <w:t>Pays money</w:t>
            </w:r>
          </w:p>
        </w:tc>
      </w:tr>
      <w:tr w:rsidR="007D501E" w:rsidRPr="009A4C44" w:rsidTr="00067D87">
        <w:trPr>
          <w:trHeight w:val="87"/>
          <w:jc w:val="center"/>
        </w:trPr>
        <w:tc>
          <w:tcPr>
            <w:tcW w:w="2726" w:type="dxa"/>
            <w:tcBorders>
              <w:top w:val="single" w:sz="8" w:space="0" w:color="FFFFFF"/>
              <w:left w:val="single" w:sz="8" w:space="0" w:color="FFFFFF"/>
              <w:bottom w:val="single" w:sz="8" w:space="0" w:color="FFFFFF"/>
              <w:right w:val="single" w:sz="8" w:space="0" w:color="FFFFFF"/>
            </w:tcBorders>
            <w:shd w:val="clear" w:color="auto" w:fill="EBEDEE"/>
            <w:tcMar>
              <w:top w:w="72" w:type="dxa"/>
              <w:left w:w="144" w:type="dxa"/>
              <w:bottom w:w="72" w:type="dxa"/>
              <w:right w:w="144" w:type="dxa"/>
            </w:tcMar>
            <w:hideMark/>
          </w:tcPr>
          <w:p w:rsidR="007D501E" w:rsidRPr="009A4C44" w:rsidRDefault="007D501E" w:rsidP="00E83EBE">
            <w:pPr>
              <w:spacing w:after="160" w:line="259" w:lineRule="auto"/>
              <w:rPr>
                <w:rFonts w:ascii="Times New Roman" w:hAnsi="Times New Roman"/>
                <w:lang w:val="fi-FI"/>
              </w:rPr>
            </w:pPr>
            <w:r w:rsidRPr="009A4C44">
              <w:rPr>
                <w:rFonts w:ascii="Times New Roman" w:hAnsi="Times New Roman"/>
                <w:lang w:val="en-US"/>
              </w:rPr>
              <w:t>Importing TSO</w:t>
            </w:r>
          </w:p>
        </w:tc>
        <w:tc>
          <w:tcPr>
            <w:tcW w:w="2726" w:type="dxa"/>
            <w:tcBorders>
              <w:top w:val="single" w:sz="8" w:space="0" w:color="FFFFFF"/>
              <w:left w:val="single" w:sz="8" w:space="0" w:color="FFFFFF"/>
              <w:bottom w:val="single" w:sz="8" w:space="0" w:color="FFFFFF"/>
              <w:right w:val="single" w:sz="8" w:space="0" w:color="FFFFFF"/>
            </w:tcBorders>
            <w:shd w:val="clear" w:color="auto" w:fill="EBEDEE"/>
            <w:tcMar>
              <w:top w:w="72" w:type="dxa"/>
              <w:left w:w="144" w:type="dxa"/>
              <w:bottom w:w="72" w:type="dxa"/>
              <w:right w:w="144" w:type="dxa"/>
            </w:tcMar>
            <w:hideMark/>
          </w:tcPr>
          <w:p w:rsidR="007D501E" w:rsidRPr="009A4C44" w:rsidRDefault="007D501E" w:rsidP="00E83EBE">
            <w:pPr>
              <w:spacing w:after="160" w:line="259" w:lineRule="auto"/>
              <w:rPr>
                <w:rFonts w:ascii="Times New Roman" w:hAnsi="Times New Roman"/>
                <w:lang w:val="fi-FI"/>
              </w:rPr>
            </w:pPr>
            <w:r w:rsidRPr="009A4C44">
              <w:rPr>
                <w:rFonts w:ascii="Times New Roman" w:hAnsi="Times New Roman"/>
                <w:lang w:val="en-US"/>
              </w:rPr>
              <w:t>Pays money</w:t>
            </w:r>
          </w:p>
        </w:tc>
        <w:tc>
          <w:tcPr>
            <w:tcW w:w="2726" w:type="dxa"/>
            <w:tcBorders>
              <w:top w:val="single" w:sz="8" w:space="0" w:color="FFFFFF"/>
              <w:left w:val="single" w:sz="8" w:space="0" w:color="FFFFFF"/>
              <w:bottom w:val="single" w:sz="8" w:space="0" w:color="FFFFFF"/>
              <w:right w:val="single" w:sz="8" w:space="0" w:color="FFFFFF"/>
            </w:tcBorders>
            <w:shd w:val="clear" w:color="auto" w:fill="EBEDEE"/>
            <w:tcMar>
              <w:top w:w="72" w:type="dxa"/>
              <w:left w:w="144" w:type="dxa"/>
              <w:bottom w:w="72" w:type="dxa"/>
              <w:right w:w="144" w:type="dxa"/>
            </w:tcMar>
            <w:hideMark/>
          </w:tcPr>
          <w:p w:rsidR="007D501E" w:rsidRPr="009A4C44" w:rsidRDefault="007D501E" w:rsidP="00E83EBE">
            <w:pPr>
              <w:spacing w:after="160" w:line="259" w:lineRule="auto"/>
              <w:rPr>
                <w:rFonts w:ascii="Times New Roman" w:hAnsi="Times New Roman"/>
                <w:lang w:val="fi-FI"/>
              </w:rPr>
            </w:pPr>
            <w:r w:rsidRPr="009A4C44">
              <w:rPr>
                <w:rFonts w:ascii="Times New Roman" w:hAnsi="Times New Roman"/>
                <w:lang w:val="en-US"/>
              </w:rPr>
              <w:t>Receives money</w:t>
            </w:r>
          </w:p>
        </w:tc>
      </w:tr>
    </w:tbl>
    <w:p w:rsidR="00A668B6" w:rsidRPr="009A4C44" w:rsidRDefault="00A668B6" w:rsidP="00A668B6">
      <w:pPr>
        <w:pStyle w:val="Caption"/>
      </w:pPr>
      <w:r w:rsidRPr="009A4C44">
        <w:rPr>
          <w:b w:val="0"/>
        </w:rPr>
        <w:t xml:space="preserve"> </w:t>
      </w:r>
      <w:bookmarkStart w:id="78" w:name="_Toc531688099"/>
      <w:bookmarkStart w:id="79" w:name="_Toc531799969"/>
      <w:r w:rsidRPr="009A4C44">
        <w:t xml:space="preserve">Table </w:t>
      </w:r>
      <w:r w:rsidRPr="009A4C44">
        <w:fldChar w:fldCharType="begin"/>
      </w:r>
      <w:r w:rsidRPr="009A4C44">
        <w:instrText xml:space="preserve"> SEQ Table \* ARABIC </w:instrText>
      </w:r>
      <w:r w:rsidRPr="009A4C44">
        <w:fldChar w:fldCharType="separate"/>
      </w:r>
      <w:r w:rsidR="002D564B">
        <w:rPr>
          <w:noProof/>
        </w:rPr>
        <w:t>1</w:t>
      </w:r>
      <w:r w:rsidRPr="009A4C44">
        <w:fldChar w:fldCharType="end"/>
      </w:r>
      <w:r w:rsidRPr="009A4C44">
        <w:t xml:space="preserve">: </w:t>
      </w:r>
      <w:r w:rsidRPr="0014578D">
        <w:t>Payment directions</w:t>
      </w:r>
      <w:bookmarkEnd w:id="78"/>
      <w:bookmarkEnd w:id="79"/>
    </w:p>
    <w:p w:rsidR="009B6FC0" w:rsidRPr="009A4C44" w:rsidRDefault="009B6FC0" w:rsidP="00067D87">
      <w:pPr>
        <w:pStyle w:val="textregular"/>
        <w:spacing w:after="260" w:line="260" w:lineRule="atLeast"/>
        <w:rPr>
          <w:lang w:val="en-US"/>
        </w:rPr>
      </w:pPr>
    </w:p>
    <w:p w:rsidR="009B6FC0" w:rsidRPr="009A4C44" w:rsidRDefault="009B6FC0" w:rsidP="00067D87">
      <w:pPr>
        <w:pStyle w:val="textregular"/>
        <w:spacing w:after="260" w:line="260" w:lineRule="atLeast"/>
        <w:rPr>
          <w:lang w:val="en-US"/>
        </w:rPr>
      </w:pPr>
    </w:p>
    <w:p w:rsidR="00F77703" w:rsidRDefault="005209DB" w:rsidP="005779B7">
      <w:pPr>
        <w:pStyle w:val="Headline14pt"/>
        <w:numPr>
          <w:ilvl w:val="0"/>
          <w:numId w:val="8"/>
        </w:numPr>
        <w:jc w:val="both"/>
        <w:outlineLvl w:val="0"/>
      </w:pPr>
      <w:bookmarkStart w:id="80" w:name="_Toc520316950"/>
      <w:bookmarkStart w:id="81" w:name="_Toc520993122"/>
      <w:bookmarkStart w:id="82" w:name="_Toc520993444"/>
      <w:bookmarkStart w:id="83" w:name="_Ref520998153"/>
      <w:bookmarkStart w:id="84" w:name="_Toc520999261"/>
      <w:bookmarkStart w:id="85" w:name="_Toc522181351"/>
      <w:bookmarkStart w:id="86" w:name="_Toc522195288"/>
      <w:bookmarkStart w:id="87" w:name="_Toc523816555"/>
      <w:bookmarkStart w:id="88" w:name="_Ref531274477"/>
      <w:bookmarkStart w:id="89" w:name="_Toc531687677"/>
      <w:bookmarkStart w:id="90" w:name="_Toc531799937"/>
      <w:bookmarkStart w:id="91" w:name="_Toc531787029"/>
      <w:bookmarkEnd w:id="73"/>
      <w:bookmarkEnd w:id="74"/>
      <w:r w:rsidRPr="009A4C44">
        <w:lastRenderedPageBreak/>
        <w:t>Settlement</w:t>
      </w:r>
      <w:r w:rsidR="00B31F54" w:rsidRPr="009A4C44">
        <w:t xml:space="preserve"> </w:t>
      </w:r>
      <w:r w:rsidRPr="009A4C44">
        <w:t xml:space="preserve">Methodology </w:t>
      </w:r>
      <w:r w:rsidR="00B31F54" w:rsidRPr="009A4C44">
        <w:t xml:space="preserve">for RR and </w:t>
      </w:r>
      <w:proofErr w:type="spellStart"/>
      <w:r w:rsidR="00B31F54" w:rsidRPr="009A4C44">
        <w:t>mFRR</w:t>
      </w:r>
      <w:proofErr w:type="spellEnd"/>
      <w:r w:rsidR="00B31F54" w:rsidRPr="009A4C44">
        <w:t xml:space="preserve"> with </w:t>
      </w:r>
      <w:r w:rsidR="00834946" w:rsidRPr="009A4C44">
        <w:t>S</w:t>
      </w:r>
      <w:r w:rsidR="00B31F54" w:rsidRPr="009A4C44">
        <w:t xml:space="preserve">cheduled </w:t>
      </w:r>
      <w:r w:rsidR="00834946" w:rsidRPr="009A4C44">
        <w:t>A</w:t>
      </w:r>
      <w:r w:rsidR="00B31F54" w:rsidRPr="009A4C44">
        <w:t>ctivation</w:t>
      </w:r>
      <w:bookmarkEnd w:id="80"/>
      <w:bookmarkEnd w:id="81"/>
      <w:bookmarkEnd w:id="82"/>
      <w:bookmarkEnd w:id="83"/>
      <w:bookmarkEnd w:id="84"/>
      <w:bookmarkEnd w:id="85"/>
      <w:bookmarkEnd w:id="86"/>
      <w:bookmarkEnd w:id="87"/>
      <w:bookmarkEnd w:id="88"/>
      <w:bookmarkEnd w:id="89"/>
      <w:bookmarkEnd w:id="90"/>
    </w:p>
    <w:p w:rsidR="00A64409" w:rsidRPr="009A4C44" w:rsidRDefault="00A64409" w:rsidP="00A64409">
      <w:pPr>
        <w:pStyle w:val="headline2"/>
        <w:numPr>
          <w:ilvl w:val="1"/>
          <w:numId w:val="8"/>
        </w:numPr>
        <w:spacing w:after="200" w:line="240" w:lineRule="auto"/>
        <w:jc w:val="both"/>
        <w:outlineLvl w:val="1"/>
      </w:pPr>
      <w:bookmarkStart w:id="92" w:name="_Toc531799938"/>
      <w:bookmarkEnd w:id="91"/>
      <w:r>
        <w:t>Volume and Price Determination</w:t>
      </w:r>
      <w:bookmarkEnd w:id="92"/>
    </w:p>
    <w:p w:rsidR="00677A26" w:rsidRPr="009A4C44" w:rsidRDefault="00677A26" w:rsidP="00677A26">
      <w:pPr>
        <w:pStyle w:val="textregular"/>
        <w:spacing w:after="260" w:line="260" w:lineRule="atLeast"/>
      </w:pPr>
      <w:r w:rsidRPr="009A4C44">
        <w:t xml:space="preserve">In the case of RR and </w:t>
      </w:r>
      <w:proofErr w:type="spellStart"/>
      <w:r w:rsidRPr="009A4C44">
        <w:t>mFRR</w:t>
      </w:r>
      <w:proofErr w:type="spellEnd"/>
      <w:r w:rsidRPr="009A4C44">
        <w:t xml:space="preserve"> with scheduled activation, the total energy volume, i.e. the integral of the standard power profile, will be settled. The volumes will be settled in the form of blocks („Block Settlement“), in order to reduce the number of affected Balancing Energy Pricing Periods (BEPPs), i.e. quarter hours (QH) in case of MARI and TERRE, and simplify settlement processes.</w:t>
      </w:r>
    </w:p>
    <w:p w:rsidR="00677A26" w:rsidRPr="009A4C44" w:rsidRDefault="00677A26" w:rsidP="00677A26">
      <w:pPr>
        <w:pStyle w:val="textregular"/>
        <w:spacing w:after="260" w:line="260" w:lineRule="atLeast"/>
      </w:pPr>
      <w:r w:rsidRPr="009A4C44">
        <w:t xml:space="preserve">The volume which will be settled will be equal to the requested volume for the respective BEPP, and will be settled with the </w:t>
      </w:r>
      <w:r w:rsidR="00A64409">
        <w:t>CBMP</w:t>
      </w:r>
      <w:r w:rsidRPr="009A4C44">
        <w:t xml:space="preserve"> of the same BEPP. In the example below, the rectangular (red area) will be settled with the </w:t>
      </w:r>
      <w:r w:rsidR="00A64409">
        <w:t>CBMP</w:t>
      </w:r>
      <w:r w:rsidRPr="009A4C44">
        <w:t xml:space="preserve"> of the </w:t>
      </w:r>
      <w:proofErr w:type="spellStart"/>
      <w:r w:rsidRPr="009A4C44">
        <w:t>QH</w:t>
      </w:r>
      <w:r w:rsidRPr="009A4C44">
        <w:rPr>
          <w:vertAlign w:val="subscript"/>
        </w:rPr>
        <w:t>i</w:t>
      </w:r>
      <w:proofErr w:type="spellEnd"/>
      <w:r w:rsidRPr="009A4C44">
        <w:t xml:space="preserve">. </w:t>
      </w:r>
    </w:p>
    <w:p w:rsidR="00677A26" w:rsidRPr="009A4C44" w:rsidRDefault="00EB7DA9" w:rsidP="00EE7014">
      <w:pPr>
        <w:pStyle w:val="textregular"/>
        <w:keepNext/>
        <w:spacing w:after="0" w:line="260" w:lineRule="atLeast"/>
        <w:jc w:val="center"/>
      </w:pPr>
      <w:r w:rsidRPr="009A4C44">
        <w:rPr>
          <w:noProof/>
          <w:lang w:val="ro-RO" w:eastAsia="ro-RO"/>
        </w:rPr>
        <w:drawing>
          <wp:inline distT="0" distB="0" distL="0" distR="0" wp14:anchorId="6EBD87EE" wp14:editId="7814B489">
            <wp:extent cx="3811979" cy="1760584"/>
            <wp:effectExtent l="0" t="0" r="0" b="0"/>
            <wp:docPr id="15"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18281" cy="1763495"/>
                    </a:xfrm>
                    <a:prstGeom prst="rect">
                      <a:avLst/>
                    </a:prstGeom>
                  </pic:spPr>
                </pic:pic>
              </a:graphicData>
            </a:graphic>
          </wp:inline>
        </w:drawing>
      </w:r>
    </w:p>
    <w:p w:rsidR="00677A26" w:rsidRDefault="00224CA6" w:rsidP="00677A26">
      <w:pPr>
        <w:pStyle w:val="Caption"/>
      </w:pPr>
      <w:bookmarkStart w:id="93" w:name="_Toc531367161"/>
      <w:bookmarkStart w:id="94" w:name="_Toc531799955"/>
      <w:r w:rsidRPr="009A4C44">
        <w:t xml:space="preserve">Figure </w:t>
      </w:r>
      <w:r w:rsidRPr="009A4C44">
        <w:fldChar w:fldCharType="begin"/>
      </w:r>
      <w:r w:rsidRPr="009A4C44">
        <w:instrText xml:space="preserve"> SEQ Figure \* ARABIC </w:instrText>
      </w:r>
      <w:r w:rsidRPr="009A4C44">
        <w:fldChar w:fldCharType="separate"/>
      </w:r>
      <w:r w:rsidR="002D564B">
        <w:rPr>
          <w:noProof/>
        </w:rPr>
        <w:t>2</w:t>
      </w:r>
      <w:r w:rsidRPr="009A4C44">
        <w:fldChar w:fldCharType="end"/>
      </w:r>
      <w:r w:rsidR="00677A26" w:rsidRPr="009A4C44">
        <w:t xml:space="preserve">: </w:t>
      </w:r>
      <w:bookmarkEnd w:id="93"/>
      <w:r w:rsidR="00EE7014">
        <w:t>Illustration of the settlement volume</w:t>
      </w:r>
      <w:bookmarkEnd w:id="94"/>
    </w:p>
    <w:p w:rsidR="00030EA6" w:rsidRPr="00030EA6" w:rsidRDefault="00030EA6" w:rsidP="00030EA6">
      <w:pPr>
        <w:pStyle w:val="textregular"/>
        <w:spacing w:after="260" w:line="260" w:lineRule="atLeast"/>
      </w:pPr>
      <w:r>
        <w:t xml:space="preserve">The settlement of netted demands follows the same approach as described for </w:t>
      </w:r>
      <w:proofErr w:type="spellStart"/>
      <w:r>
        <w:t>aFRR</w:t>
      </w:r>
      <w:proofErr w:type="spellEnd"/>
      <w:r>
        <w:t xml:space="preserve"> in chapter </w:t>
      </w:r>
      <w:r>
        <w:fldChar w:fldCharType="begin"/>
      </w:r>
      <w:r>
        <w:instrText xml:space="preserve"> REF _Ref531799089 \r \h </w:instrText>
      </w:r>
      <w:r>
        <w:fldChar w:fldCharType="separate"/>
      </w:r>
      <w:r w:rsidR="002D564B">
        <w:t>6</w:t>
      </w:r>
      <w:r>
        <w:fldChar w:fldCharType="end"/>
      </w:r>
      <w:r>
        <w:t>.</w:t>
      </w:r>
    </w:p>
    <w:p w:rsidR="00677A26" w:rsidRPr="009A4C44" w:rsidRDefault="00677A26" w:rsidP="0014578D">
      <w:pPr>
        <w:pStyle w:val="headline2"/>
        <w:numPr>
          <w:ilvl w:val="1"/>
          <w:numId w:val="8"/>
        </w:numPr>
        <w:spacing w:after="200" w:line="240" w:lineRule="auto"/>
        <w:jc w:val="both"/>
        <w:outlineLvl w:val="1"/>
      </w:pPr>
      <w:bookmarkStart w:id="95" w:name="_Toc531787030"/>
      <w:bookmarkStart w:id="96" w:name="_Toc531799939"/>
      <w:r w:rsidRPr="009A4C44">
        <w:t>Activations for system constraints purposes</w:t>
      </w:r>
      <w:bookmarkEnd w:id="95"/>
      <w:bookmarkEnd w:id="96"/>
    </w:p>
    <w:p w:rsidR="00677A26" w:rsidRPr="009A4C44" w:rsidRDefault="00677A26" w:rsidP="00677A26">
      <w:pPr>
        <w:pStyle w:val="textregular"/>
      </w:pPr>
      <w:r w:rsidRPr="009A4C44">
        <w:t xml:space="preserve">The TSO-TSO settlement functions of the RR-Platform and </w:t>
      </w:r>
      <w:proofErr w:type="spellStart"/>
      <w:r w:rsidRPr="009A4C44">
        <w:t>mFRR</w:t>
      </w:r>
      <w:proofErr w:type="spellEnd"/>
      <w:r w:rsidRPr="009A4C44">
        <w:t xml:space="preserve">-Platform will calculate a settlement amount resulting from the activation of standard RR and </w:t>
      </w:r>
      <w:proofErr w:type="spellStart"/>
      <w:r w:rsidRPr="009A4C44">
        <w:t>mFRR</w:t>
      </w:r>
      <w:proofErr w:type="spellEnd"/>
      <w:r w:rsidRPr="009A4C44">
        <w:t xml:space="preserve"> balancing energy product bids for system constraints activation purpose for each BEPP. </w:t>
      </w:r>
      <w:r w:rsidR="00B16519">
        <w:t>T</w:t>
      </w:r>
      <w:r w:rsidRPr="009A4C44">
        <w:t xml:space="preserve">he following examples explain the </w:t>
      </w:r>
      <w:r w:rsidR="00B16519">
        <w:t xml:space="preserve">calculation of the </w:t>
      </w:r>
      <w:r w:rsidRPr="009A4C44">
        <w:t xml:space="preserve">settlement </w:t>
      </w:r>
      <w:r w:rsidR="00B16519">
        <w:t>amounts</w:t>
      </w:r>
      <w:r w:rsidRPr="009A4C44">
        <w:t xml:space="preserve"> related to system constraints. </w:t>
      </w:r>
    </w:p>
    <w:p w:rsidR="002D564B" w:rsidRDefault="00677A26" w:rsidP="00F8053C">
      <w:pPr>
        <w:pStyle w:val="textregular"/>
        <w:jc w:val="center"/>
      </w:pPr>
      <w:r w:rsidRPr="009A4C44">
        <w:t xml:space="preserve">In the following example, the </w:t>
      </w:r>
      <w:r w:rsidR="00B16519">
        <w:t>balancing demands</w:t>
      </w:r>
      <w:r w:rsidRPr="009A4C44">
        <w:t xml:space="preserve"> for each TSO, the ATC </w:t>
      </w:r>
      <w:r w:rsidR="00B16519">
        <w:t xml:space="preserve">values serving as cross-border capacity limits </w:t>
      </w:r>
      <w:r w:rsidRPr="009A4C44">
        <w:t xml:space="preserve">and the bids are represented in </w:t>
      </w:r>
      <w:r w:rsidR="00A63523">
        <w:fldChar w:fldCharType="begin"/>
      </w:r>
      <w:r w:rsidR="00A63523">
        <w:instrText xml:space="preserve"> REF _Ref531788372 \h </w:instrText>
      </w:r>
      <w:r w:rsidR="00A63523">
        <w:fldChar w:fldCharType="separate"/>
      </w:r>
      <w:r w:rsidR="002D564B" w:rsidRPr="00F8053C">
        <w:rPr>
          <w:noProof/>
          <w:lang w:val="ro-RO" w:eastAsia="ro-RO"/>
        </w:rPr>
        <w:drawing>
          <wp:inline distT="0" distB="0" distL="0" distR="0" wp14:anchorId="4D5EEE5E" wp14:editId="4DEB7D11">
            <wp:extent cx="3694430" cy="1103630"/>
            <wp:effectExtent l="0" t="0" r="1270" b="0"/>
            <wp:docPr id="2"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94430" cy="1103630"/>
                    </a:xfrm>
                    <a:prstGeom prst="rect">
                      <a:avLst/>
                    </a:prstGeom>
                    <a:noFill/>
                    <a:ln>
                      <a:noFill/>
                    </a:ln>
                  </pic:spPr>
                </pic:pic>
              </a:graphicData>
            </a:graphic>
          </wp:inline>
        </w:drawing>
      </w:r>
    </w:p>
    <w:p w:rsidR="00A63523" w:rsidRDefault="002D564B" w:rsidP="00677A26">
      <w:pPr>
        <w:pStyle w:val="textregular"/>
      </w:pPr>
      <w:r w:rsidRPr="009A4C44">
        <w:lastRenderedPageBreak/>
        <w:t xml:space="preserve">Figure </w:t>
      </w:r>
      <w:r>
        <w:rPr>
          <w:noProof/>
        </w:rPr>
        <w:t>3</w:t>
      </w:r>
      <w:r w:rsidR="00A63523">
        <w:fldChar w:fldCharType="end"/>
      </w:r>
      <w:r w:rsidR="00A63523">
        <w:t xml:space="preserve"> and </w:t>
      </w:r>
      <w:r w:rsidR="00A63523">
        <w:fldChar w:fldCharType="begin"/>
      </w:r>
      <w:r w:rsidR="00A63523">
        <w:instrText xml:space="preserve"> REF _Ref531788386 \h </w:instrText>
      </w:r>
      <w:r w:rsidR="00A63523">
        <w:fldChar w:fldCharType="separate"/>
      </w:r>
      <w:r w:rsidRPr="009A4C44">
        <w:t xml:space="preserve">Table </w:t>
      </w:r>
      <w:r>
        <w:rPr>
          <w:noProof/>
        </w:rPr>
        <w:t>2</w:t>
      </w:r>
      <w:r w:rsidR="00A63523">
        <w:fldChar w:fldCharType="end"/>
      </w:r>
      <w:r w:rsidR="00A63523">
        <w:t>:</w:t>
      </w:r>
    </w:p>
    <w:p w:rsidR="00A63523" w:rsidRDefault="00677A26" w:rsidP="00DD58FA">
      <w:pPr>
        <w:pStyle w:val="textregular"/>
        <w:numPr>
          <w:ilvl w:val="0"/>
          <w:numId w:val="25"/>
        </w:numPr>
      </w:pPr>
      <w:r w:rsidRPr="009A4C44">
        <w:t xml:space="preserve">For the sake of simplicity, all bids and </w:t>
      </w:r>
      <w:r w:rsidR="00B16519">
        <w:t>demands</w:t>
      </w:r>
      <w:r w:rsidRPr="009A4C44">
        <w:t xml:space="preserve"> have a validity period equal to the BEPP, and all </w:t>
      </w:r>
      <w:r w:rsidR="00B16519">
        <w:t>demands</w:t>
      </w:r>
      <w:r w:rsidRPr="009A4C44">
        <w:t xml:space="preserve"> are i</w:t>
      </w:r>
      <w:r w:rsidR="00A63523">
        <w:t>nelastic.</w:t>
      </w:r>
    </w:p>
    <w:p w:rsidR="00A63523" w:rsidRDefault="00677A26" w:rsidP="00DD58FA">
      <w:pPr>
        <w:pStyle w:val="textregular"/>
        <w:numPr>
          <w:ilvl w:val="0"/>
          <w:numId w:val="25"/>
        </w:numPr>
      </w:pPr>
      <w:r w:rsidRPr="009A4C44">
        <w:t>The cross-zonal capacity between TSO2 and TSO3 is large enough so a</w:t>
      </w:r>
      <w:r w:rsidR="00A63523">
        <w:t>s not to influence the results,</w:t>
      </w:r>
    </w:p>
    <w:p w:rsidR="00677A26" w:rsidRDefault="00677A26" w:rsidP="00DD58FA">
      <w:pPr>
        <w:pStyle w:val="textregular"/>
        <w:numPr>
          <w:ilvl w:val="0"/>
          <w:numId w:val="25"/>
        </w:numPr>
      </w:pPr>
      <w:proofErr w:type="gramStart"/>
      <w:r w:rsidRPr="009A4C44">
        <w:t>whereas</w:t>
      </w:r>
      <w:proofErr w:type="gramEnd"/>
      <w:r w:rsidRPr="009A4C44">
        <w:t xml:space="preserve"> the submitted cross-zonal capacity between TSO1 and TSO</w:t>
      </w:r>
      <w:r w:rsidR="00A63523">
        <w:t>2 is 50</w:t>
      </w:r>
      <w:r w:rsidR="008F2E93">
        <w:t xml:space="preserve"> </w:t>
      </w:r>
      <w:r w:rsidR="00A63523">
        <w:t>MW for the one direction</w:t>
      </w:r>
      <w:r w:rsidR="00A63523">
        <w:br/>
      </w:r>
      <w:r w:rsidRPr="009A4C44">
        <w:t xml:space="preserve">(1 </w:t>
      </w:r>
      <w:r w:rsidRPr="009A4C44">
        <w:sym w:font="Wingdings" w:char="F0E0"/>
      </w:r>
      <w:r w:rsidRPr="009A4C44">
        <w:t xml:space="preserve"> 2) and 0</w:t>
      </w:r>
      <w:r w:rsidR="008F2E93">
        <w:t xml:space="preserve"> </w:t>
      </w:r>
      <w:r w:rsidRPr="009A4C44">
        <w:t xml:space="preserve">MW for the opposite direction (2 </w:t>
      </w:r>
      <w:r w:rsidRPr="009A4C44">
        <w:sym w:font="Wingdings" w:char="F0E0"/>
      </w:r>
      <w:r w:rsidRPr="009A4C44">
        <w:t xml:space="preserve"> 1).</w:t>
      </w:r>
    </w:p>
    <w:p w:rsidR="008F1692" w:rsidRPr="009A4C44" w:rsidRDefault="00A17BD1" w:rsidP="00DD58FA">
      <w:pPr>
        <w:pStyle w:val="textregular"/>
        <w:numPr>
          <w:ilvl w:val="0"/>
          <w:numId w:val="25"/>
        </w:numPr>
      </w:pPr>
      <w:r>
        <w:t>TSO 2 has requested a</w:t>
      </w:r>
      <w:r w:rsidR="008F1692" w:rsidRPr="009A4C44">
        <w:t xml:space="preserve"> desired flow range between 30</w:t>
      </w:r>
      <w:r w:rsidR="008F1692">
        <w:t xml:space="preserve"> </w:t>
      </w:r>
      <w:r w:rsidR="008F1692" w:rsidRPr="009A4C44">
        <w:t>MW and 50</w:t>
      </w:r>
      <w:r w:rsidR="008F1692">
        <w:t xml:space="preserve"> </w:t>
      </w:r>
      <w:r w:rsidR="008F1692" w:rsidRPr="009A4C44">
        <w:t xml:space="preserve">MW </w:t>
      </w:r>
      <w:r w:rsidR="008F1692">
        <w:t>in the direction</w:t>
      </w:r>
      <w:r>
        <w:t xml:space="preserve"> TSO 1 to TSO </w:t>
      </w:r>
      <w:r w:rsidR="008F1692" w:rsidRPr="009A4C44">
        <w:t>2</w:t>
      </w:r>
      <w:r>
        <w:t>, i.e. bids will be selected not only for balancing but also for system constraints purpose.</w:t>
      </w:r>
    </w:p>
    <w:p w:rsidR="00F8053C" w:rsidRDefault="00F8053C" w:rsidP="00F8053C">
      <w:pPr>
        <w:pStyle w:val="textregular"/>
        <w:jc w:val="center"/>
      </w:pPr>
      <w:bookmarkStart w:id="97" w:name="_Ref531788372"/>
      <w:r w:rsidRPr="00F8053C">
        <w:rPr>
          <w:noProof/>
          <w:lang w:val="ro-RO" w:eastAsia="ro-RO"/>
        </w:rPr>
        <w:drawing>
          <wp:inline distT="0" distB="0" distL="0" distR="0" wp14:anchorId="5523C1DE" wp14:editId="57D1553F">
            <wp:extent cx="3694430" cy="1103630"/>
            <wp:effectExtent l="0" t="0" r="1270" b="0"/>
            <wp:docPr id="21"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94430" cy="1103630"/>
                    </a:xfrm>
                    <a:prstGeom prst="rect">
                      <a:avLst/>
                    </a:prstGeom>
                    <a:noFill/>
                    <a:ln>
                      <a:noFill/>
                    </a:ln>
                  </pic:spPr>
                </pic:pic>
              </a:graphicData>
            </a:graphic>
          </wp:inline>
        </w:drawing>
      </w:r>
    </w:p>
    <w:p w:rsidR="00677A26" w:rsidRPr="009A4C44" w:rsidRDefault="00AA0941" w:rsidP="007D794F">
      <w:pPr>
        <w:pStyle w:val="Caption"/>
      </w:pPr>
      <w:bookmarkStart w:id="98" w:name="_Toc531799956"/>
      <w:r w:rsidRPr="009A4C44">
        <w:t xml:space="preserve">Figure </w:t>
      </w:r>
      <w:r w:rsidRPr="009A4C44">
        <w:fldChar w:fldCharType="begin"/>
      </w:r>
      <w:r w:rsidRPr="009A4C44">
        <w:instrText xml:space="preserve"> SEQ Figure \* ARABIC </w:instrText>
      </w:r>
      <w:r w:rsidRPr="009A4C44">
        <w:fldChar w:fldCharType="separate"/>
      </w:r>
      <w:r w:rsidR="002D564B">
        <w:rPr>
          <w:noProof/>
        </w:rPr>
        <w:t>3</w:t>
      </w:r>
      <w:r w:rsidRPr="009A4C44">
        <w:fldChar w:fldCharType="end"/>
      </w:r>
      <w:bookmarkEnd w:id="97"/>
      <w:r w:rsidRPr="009A4C44">
        <w:t xml:space="preserve">: </w:t>
      </w:r>
      <w:r w:rsidR="00EA0429">
        <w:t xml:space="preserve">Example </w:t>
      </w:r>
      <w:r w:rsidR="00F8053C">
        <w:t>Scenario</w:t>
      </w:r>
      <w:bookmarkEnd w:id="98"/>
    </w:p>
    <w:p w:rsidR="00677A26" w:rsidRPr="009A4C44" w:rsidRDefault="00EB7DA9" w:rsidP="00677A26">
      <w:pPr>
        <w:pStyle w:val="textregular"/>
        <w:jc w:val="center"/>
        <w:rPr>
          <w:b/>
        </w:rPr>
      </w:pPr>
      <w:r w:rsidRPr="009A4C44">
        <w:rPr>
          <w:b/>
          <w:noProof/>
          <w:lang w:val="ro-RO" w:eastAsia="ro-RO"/>
        </w:rPr>
        <w:drawing>
          <wp:inline distT="0" distB="0" distL="0" distR="0" wp14:anchorId="14C02EA7" wp14:editId="2BCA6B33">
            <wp:extent cx="3100705" cy="2313940"/>
            <wp:effectExtent l="0" t="0" r="4445" b="0"/>
            <wp:docPr id="30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00705" cy="2313940"/>
                    </a:xfrm>
                    <a:prstGeom prst="rect">
                      <a:avLst/>
                    </a:prstGeom>
                    <a:noFill/>
                    <a:ln>
                      <a:noFill/>
                    </a:ln>
                  </pic:spPr>
                </pic:pic>
              </a:graphicData>
            </a:graphic>
          </wp:inline>
        </w:drawing>
      </w:r>
    </w:p>
    <w:p w:rsidR="00A668B6" w:rsidRPr="009A4C44" w:rsidRDefault="00A668B6" w:rsidP="00A668B6">
      <w:pPr>
        <w:pStyle w:val="Caption"/>
      </w:pPr>
      <w:bookmarkStart w:id="99" w:name="_Ref531788386"/>
      <w:bookmarkStart w:id="100" w:name="_Toc531799970"/>
      <w:r w:rsidRPr="009A4C44">
        <w:t xml:space="preserve">Table </w:t>
      </w:r>
      <w:r w:rsidRPr="009A4C44">
        <w:fldChar w:fldCharType="begin"/>
      </w:r>
      <w:r w:rsidRPr="009A4C44">
        <w:instrText xml:space="preserve"> SEQ Table \* ARABIC </w:instrText>
      </w:r>
      <w:r w:rsidRPr="009A4C44">
        <w:fldChar w:fldCharType="separate"/>
      </w:r>
      <w:r w:rsidR="002D564B">
        <w:rPr>
          <w:noProof/>
        </w:rPr>
        <w:t>2</w:t>
      </w:r>
      <w:r w:rsidRPr="009A4C44">
        <w:fldChar w:fldCharType="end"/>
      </w:r>
      <w:bookmarkEnd w:id="99"/>
      <w:r w:rsidRPr="009A4C44">
        <w:t xml:space="preserve">: </w:t>
      </w:r>
      <w:r w:rsidRPr="0014578D">
        <w:t>BSP bids</w:t>
      </w:r>
      <w:bookmarkEnd w:id="100"/>
    </w:p>
    <w:p w:rsidR="00C13E29" w:rsidRDefault="007D794F" w:rsidP="008F2E93">
      <w:pPr>
        <w:pStyle w:val="textregular"/>
      </w:pPr>
      <w:r>
        <w:t xml:space="preserve">As explained in the explanatory document for the pricing proposal, </w:t>
      </w:r>
      <w:r w:rsidR="00C13E29">
        <w:t>the AOF will execute</w:t>
      </w:r>
    </w:p>
    <w:p w:rsidR="00C13E29" w:rsidRPr="00C13E29" w:rsidRDefault="007D794F" w:rsidP="00DD58FA">
      <w:pPr>
        <w:pStyle w:val="textregular"/>
        <w:numPr>
          <w:ilvl w:val="0"/>
          <w:numId w:val="27"/>
        </w:numPr>
        <w:rPr>
          <w:u w:val="single"/>
        </w:rPr>
      </w:pPr>
      <w:r>
        <w:t xml:space="preserve">an optimisation (with ATC constraints but) without taking into account the desired flow range (referred to as “unconstrained run”) </w:t>
      </w:r>
      <w:r w:rsidR="00C13E29">
        <w:t>and</w:t>
      </w:r>
    </w:p>
    <w:p w:rsidR="00C13E29" w:rsidRDefault="007D794F" w:rsidP="00DD58FA">
      <w:pPr>
        <w:pStyle w:val="textregular"/>
        <w:numPr>
          <w:ilvl w:val="0"/>
          <w:numId w:val="27"/>
        </w:numPr>
        <w:rPr>
          <w:u w:val="single"/>
        </w:rPr>
      </w:pPr>
      <w:r w:rsidRPr="009A4C44">
        <w:t>a</w:t>
      </w:r>
      <w:r>
        <w:t>n optimisation (with ATC constraints and) with</w:t>
      </w:r>
      <w:r w:rsidRPr="009A4C44">
        <w:t xml:space="preserve"> </w:t>
      </w:r>
      <w:r>
        <w:t>the desired flow range (referred to as “</w:t>
      </w:r>
      <w:r w:rsidRPr="009A4C44">
        <w:t>constrained run</w:t>
      </w:r>
      <w:r>
        <w:t>”)</w:t>
      </w:r>
    </w:p>
    <w:p w:rsidR="007D794F" w:rsidRPr="00C13E29" w:rsidRDefault="004A3EBA" w:rsidP="00C13E29">
      <w:pPr>
        <w:pStyle w:val="textregular"/>
      </w:pPr>
      <w:proofErr w:type="gramStart"/>
      <w:r>
        <w:lastRenderedPageBreak/>
        <w:t>in</w:t>
      </w:r>
      <w:proofErr w:type="gramEnd"/>
      <w:r>
        <w:t xml:space="preserve"> order</w:t>
      </w:r>
      <w:r w:rsidR="007D794F" w:rsidRPr="00C13E29">
        <w:t xml:space="preserve"> compare the results between these two runs in order to distinguish prices for balancing energy</w:t>
      </w:r>
      <w:r>
        <w:t xml:space="preserve"> (while only the constrained run is relevant for the physical activation of the bids)</w:t>
      </w:r>
      <w:r w:rsidR="007D794F" w:rsidRPr="00C13E29">
        <w:t>.</w:t>
      </w:r>
    </w:p>
    <w:p w:rsidR="00677A26" w:rsidRPr="009A4C44" w:rsidRDefault="00677A26" w:rsidP="008F2E93">
      <w:pPr>
        <w:pStyle w:val="textregular"/>
        <w:rPr>
          <w:u w:val="single"/>
        </w:rPr>
      </w:pPr>
      <w:r w:rsidRPr="009A4C44">
        <w:rPr>
          <w:u w:val="single"/>
        </w:rPr>
        <w:t>Unconstrained run</w:t>
      </w:r>
    </w:p>
    <w:p w:rsidR="00677A26" w:rsidRPr="009A4C44" w:rsidRDefault="00435840" w:rsidP="008F2E93">
      <w:pPr>
        <w:pStyle w:val="textregular"/>
      </w:pPr>
      <w:r>
        <w:t>In the first step, t</w:t>
      </w:r>
      <w:r w:rsidR="00677A26" w:rsidRPr="009A4C44">
        <w:t>he AOF execute</w:t>
      </w:r>
      <w:r>
        <w:t>s</w:t>
      </w:r>
      <w:r w:rsidR="00677A26" w:rsidRPr="009A4C44">
        <w:t xml:space="preserve"> an unconstrained run (UC run), without considering the minimum desired flow constraint. The results of the UC run are presented in </w:t>
      </w:r>
      <w:r w:rsidR="008F2E93">
        <w:fldChar w:fldCharType="begin"/>
      </w:r>
      <w:r w:rsidR="008F2E93">
        <w:instrText xml:space="preserve"> REF _Ref531788562 \h </w:instrText>
      </w:r>
      <w:r w:rsidR="008F2E93">
        <w:fldChar w:fldCharType="separate"/>
      </w:r>
      <w:r w:rsidR="002D564B" w:rsidRPr="009A4C44">
        <w:t xml:space="preserve">Figure </w:t>
      </w:r>
      <w:r w:rsidR="002D564B">
        <w:rPr>
          <w:noProof/>
        </w:rPr>
        <w:t>4</w:t>
      </w:r>
      <w:r w:rsidR="008F2E93">
        <w:fldChar w:fldCharType="end"/>
      </w:r>
      <w:r>
        <w:t xml:space="preserve"> and </w:t>
      </w:r>
      <w:r w:rsidR="00677A26" w:rsidRPr="009A4C44">
        <w:t xml:space="preserve">the </w:t>
      </w:r>
      <w:r>
        <w:t>selected bids</w:t>
      </w:r>
      <w:r w:rsidR="00677A26" w:rsidRPr="009A4C44">
        <w:t xml:space="preserve"> are highlighted in </w:t>
      </w:r>
      <w:r w:rsidR="008F2E93">
        <w:fldChar w:fldCharType="begin"/>
      </w:r>
      <w:r w:rsidR="008F2E93">
        <w:instrText xml:space="preserve"> REF _Ref531788607 \h </w:instrText>
      </w:r>
      <w:r w:rsidR="008F2E93">
        <w:fldChar w:fldCharType="separate"/>
      </w:r>
      <w:r w:rsidR="002D564B" w:rsidRPr="009A4C44">
        <w:t xml:space="preserve">Table </w:t>
      </w:r>
      <w:r w:rsidR="002D564B">
        <w:rPr>
          <w:noProof/>
        </w:rPr>
        <w:t>3</w:t>
      </w:r>
      <w:r w:rsidR="008F2E93">
        <w:fldChar w:fldCharType="end"/>
      </w:r>
      <w:r w:rsidR="008F2E93">
        <w:t xml:space="preserve"> </w:t>
      </w:r>
      <w:r>
        <w:t>below</w:t>
      </w:r>
      <w:r w:rsidR="00A17BD1">
        <w:t>:</w:t>
      </w:r>
    </w:p>
    <w:p w:rsidR="00D42567" w:rsidRDefault="00D42567" w:rsidP="00DD58FA">
      <w:pPr>
        <w:pStyle w:val="textregular"/>
        <w:numPr>
          <w:ilvl w:val="0"/>
          <w:numId w:val="26"/>
        </w:numPr>
        <w:rPr>
          <w:rFonts w:eastAsiaTheme="minorEastAsia"/>
          <w:color w:val="000000" w:themeColor="text1"/>
          <w:kern w:val="24"/>
          <w:szCs w:val="22"/>
          <w:lang w:val="en-US" w:eastAsia="fi-FI"/>
        </w:rPr>
      </w:pPr>
      <w:r>
        <w:rPr>
          <w:rFonts w:eastAsiaTheme="minorEastAsia"/>
          <w:color w:val="000000" w:themeColor="text1"/>
          <w:kern w:val="24"/>
          <w:szCs w:val="22"/>
          <w:lang w:val="en-US" w:eastAsia="fi-FI"/>
        </w:rPr>
        <w:t>As the cheapest upward bids (BSP 5 and 6) are connected to TSO 3, TSO 3 exports 50 MW to TSO 2.</w:t>
      </w:r>
    </w:p>
    <w:p w:rsidR="00A17BD1" w:rsidRDefault="00A17BD1" w:rsidP="00DD58FA">
      <w:pPr>
        <w:pStyle w:val="textregular"/>
        <w:numPr>
          <w:ilvl w:val="0"/>
          <w:numId w:val="26"/>
        </w:numPr>
        <w:rPr>
          <w:rFonts w:eastAsiaTheme="minorEastAsia"/>
          <w:color w:val="000000" w:themeColor="text1"/>
          <w:kern w:val="24"/>
          <w:szCs w:val="22"/>
          <w:lang w:val="en-US" w:eastAsia="fi-FI"/>
        </w:rPr>
      </w:pPr>
      <w:r w:rsidRPr="00A17BD1">
        <w:rPr>
          <w:rFonts w:eastAsiaTheme="minorEastAsia"/>
          <w:color w:val="000000" w:themeColor="text1"/>
          <w:kern w:val="24"/>
          <w:szCs w:val="22"/>
          <w:lang w:val="en-US" w:eastAsia="fi-FI"/>
        </w:rPr>
        <w:t xml:space="preserve">Due to the </w:t>
      </w:r>
      <w:r w:rsidR="00D42567">
        <w:rPr>
          <w:rFonts w:eastAsiaTheme="minorEastAsia"/>
          <w:color w:val="000000" w:themeColor="text1"/>
          <w:kern w:val="24"/>
          <w:szCs w:val="22"/>
          <w:lang w:val="en-US" w:eastAsia="fi-FI"/>
        </w:rPr>
        <w:t>ATC constraint of 0 MW in the direction from TSO 2 to TSO 1, TSO 1 cannot import cheaper upward balancing energy and must activate the bid for 50 €/MWh</w:t>
      </w:r>
      <w:r w:rsidR="00F8053C">
        <w:rPr>
          <w:rFonts w:eastAsiaTheme="minorEastAsia"/>
          <w:color w:val="000000" w:themeColor="text1"/>
          <w:kern w:val="24"/>
          <w:szCs w:val="22"/>
          <w:lang w:val="en-US" w:eastAsia="fi-FI"/>
        </w:rPr>
        <w:t xml:space="preserve"> (BSP 1)</w:t>
      </w:r>
      <w:r>
        <w:rPr>
          <w:rFonts w:eastAsiaTheme="minorEastAsia"/>
          <w:color w:val="000000" w:themeColor="text1"/>
          <w:kern w:val="24"/>
          <w:szCs w:val="22"/>
          <w:lang w:val="en-US" w:eastAsia="fi-FI"/>
        </w:rPr>
        <w:t>.</w:t>
      </w:r>
    </w:p>
    <w:p w:rsidR="00677A26" w:rsidRDefault="00435840" w:rsidP="00DD58FA">
      <w:pPr>
        <w:pStyle w:val="textregular"/>
        <w:numPr>
          <w:ilvl w:val="0"/>
          <w:numId w:val="26"/>
        </w:numPr>
        <w:rPr>
          <w:rFonts w:asciiTheme="minorHAnsi" w:eastAsiaTheme="minorEastAsia" w:hAnsi="Calibri" w:cstheme="minorBidi"/>
          <w:color w:val="000000" w:themeColor="text1"/>
          <w:kern w:val="24"/>
          <w:szCs w:val="22"/>
          <w:lang w:val="en-US" w:eastAsia="fi-FI"/>
        </w:rPr>
      </w:pPr>
      <w:r w:rsidRPr="009A4C44">
        <w:t xml:space="preserve">The </w:t>
      </w:r>
      <w:r>
        <w:t xml:space="preserve">resulting CBMPs are </w:t>
      </w:r>
      <w:r w:rsidRPr="009A4C44">
        <w:t>50</w:t>
      </w:r>
      <w:r>
        <w:t xml:space="preserve"> </w:t>
      </w:r>
      <w:r w:rsidRPr="009A4C44">
        <w:t>€/MWh</w:t>
      </w:r>
      <w:r>
        <w:t xml:space="preserve"> for TSO 1</w:t>
      </w:r>
      <w:r w:rsidRPr="009A4C44">
        <w:t xml:space="preserve"> and </w:t>
      </w:r>
      <w:r>
        <w:t>40€/MWh for</w:t>
      </w:r>
      <w:r w:rsidRPr="009A4C44">
        <w:t xml:space="preserve"> TSO 2 and </w:t>
      </w:r>
      <w:r>
        <w:t xml:space="preserve">TSO </w:t>
      </w:r>
      <w:r w:rsidRPr="009A4C44">
        <w:t>3.</w:t>
      </w:r>
    </w:p>
    <w:p w:rsidR="00435840" w:rsidRPr="009A4C44" w:rsidRDefault="00435840" w:rsidP="00F8053C">
      <w:pPr>
        <w:pStyle w:val="textregular"/>
        <w:spacing w:after="0"/>
        <w:jc w:val="center"/>
      </w:pPr>
      <w:r w:rsidRPr="00435840">
        <w:rPr>
          <w:noProof/>
          <w:lang w:val="ro-RO" w:eastAsia="ro-RO"/>
        </w:rPr>
        <w:drawing>
          <wp:inline distT="0" distB="0" distL="0" distR="0" wp14:anchorId="106AF080" wp14:editId="71991AD1">
            <wp:extent cx="4598670" cy="1035685"/>
            <wp:effectExtent l="0" t="0" r="0" b="0"/>
            <wp:docPr id="19" name="Grafi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598670" cy="1035685"/>
                    </a:xfrm>
                    <a:prstGeom prst="rect">
                      <a:avLst/>
                    </a:prstGeom>
                    <a:noFill/>
                    <a:ln>
                      <a:noFill/>
                    </a:ln>
                  </pic:spPr>
                </pic:pic>
              </a:graphicData>
            </a:graphic>
          </wp:inline>
        </w:drawing>
      </w:r>
    </w:p>
    <w:p w:rsidR="00677A26" w:rsidRPr="00F8053C" w:rsidRDefault="00AA0941" w:rsidP="00F8053C">
      <w:pPr>
        <w:pStyle w:val="Caption"/>
      </w:pPr>
      <w:bookmarkStart w:id="101" w:name="_Ref531788562"/>
      <w:bookmarkStart w:id="102" w:name="_Toc531799957"/>
      <w:r w:rsidRPr="009A4C44">
        <w:t xml:space="preserve">Figure </w:t>
      </w:r>
      <w:r w:rsidRPr="009A4C44">
        <w:fldChar w:fldCharType="begin"/>
      </w:r>
      <w:r w:rsidRPr="009A4C44">
        <w:instrText xml:space="preserve"> SEQ Figure \* ARABIC </w:instrText>
      </w:r>
      <w:r w:rsidRPr="009A4C44">
        <w:fldChar w:fldCharType="separate"/>
      </w:r>
      <w:r w:rsidR="002D564B">
        <w:rPr>
          <w:noProof/>
        </w:rPr>
        <w:t>4</w:t>
      </w:r>
      <w:r w:rsidRPr="009A4C44">
        <w:fldChar w:fldCharType="end"/>
      </w:r>
      <w:bookmarkEnd w:id="101"/>
      <w:r w:rsidRPr="009A4C44">
        <w:t xml:space="preserve">: </w:t>
      </w:r>
      <w:r w:rsidR="00EA0429">
        <w:t>Result</w:t>
      </w:r>
      <w:r w:rsidRPr="0014578D">
        <w:t xml:space="preserve"> for unconstrained run</w:t>
      </w:r>
      <w:bookmarkEnd w:id="102"/>
    </w:p>
    <w:p w:rsidR="00677A26" w:rsidRPr="009A4C44" w:rsidRDefault="00EB7DA9" w:rsidP="00677A26">
      <w:pPr>
        <w:pStyle w:val="textregular"/>
        <w:jc w:val="center"/>
      </w:pPr>
      <w:r w:rsidRPr="009A4C44">
        <w:rPr>
          <w:noProof/>
          <w:lang w:val="ro-RO" w:eastAsia="ro-RO"/>
        </w:rPr>
        <w:drawing>
          <wp:inline distT="0" distB="0" distL="0" distR="0" wp14:anchorId="19A6A63C" wp14:editId="29440B43">
            <wp:extent cx="3960440" cy="2331289"/>
            <wp:effectExtent l="0" t="0" r="2540" b="0"/>
            <wp:docPr id="314"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17"/>
                    <a:stretch>
                      <a:fillRect/>
                    </a:stretch>
                  </pic:blipFill>
                  <pic:spPr>
                    <a:xfrm>
                      <a:off x="0" y="0"/>
                      <a:ext cx="3960440" cy="2331289"/>
                    </a:xfrm>
                    <a:prstGeom prst="rect">
                      <a:avLst/>
                    </a:prstGeom>
                  </pic:spPr>
                </pic:pic>
              </a:graphicData>
            </a:graphic>
          </wp:inline>
        </w:drawing>
      </w:r>
    </w:p>
    <w:p w:rsidR="00A668B6" w:rsidRPr="009A4C44" w:rsidRDefault="00A668B6" w:rsidP="00A668B6">
      <w:pPr>
        <w:pStyle w:val="Caption"/>
      </w:pPr>
      <w:bookmarkStart w:id="103" w:name="_Ref531788607"/>
      <w:bookmarkStart w:id="104" w:name="_Toc531799971"/>
      <w:bookmarkStart w:id="105" w:name="_Hlk531685988"/>
      <w:r w:rsidRPr="009A4C44">
        <w:t xml:space="preserve">Table </w:t>
      </w:r>
      <w:r w:rsidRPr="009A4C44">
        <w:fldChar w:fldCharType="begin"/>
      </w:r>
      <w:r w:rsidRPr="009A4C44">
        <w:instrText xml:space="preserve"> SEQ Table \* ARABIC </w:instrText>
      </w:r>
      <w:r w:rsidRPr="009A4C44">
        <w:fldChar w:fldCharType="separate"/>
      </w:r>
      <w:r w:rsidR="002D564B">
        <w:rPr>
          <w:noProof/>
        </w:rPr>
        <w:t>3</w:t>
      </w:r>
      <w:r w:rsidRPr="009A4C44">
        <w:fldChar w:fldCharType="end"/>
      </w:r>
      <w:bookmarkEnd w:id="103"/>
      <w:r w:rsidRPr="009A4C44">
        <w:t xml:space="preserve">: </w:t>
      </w:r>
      <w:r w:rsidRPr="00A64409">
        <w:t xml:space="preserve">BSP offers and the </w:t>
      </w:r>
      <w:r w:rsidR="00EA0429">
        <w:t>selected</w:t>
      </w:r>
      <w:r w:rsidRPr="00A64409">
        <w:t xml:space="preserve"> quantit</w:t>
      </w:r>
      <w:r w:rsidR="00EA0429">
        <w:t>ies</w:t>
      </w:r>
      <w:r w:rsidRPr="00A64409">
        <w:t xml:space="preserve"> for </w:t>
      </w:r>
      <w:r w:rsidR="00EA0429">
        <w:t xml:space="preserve">the </w:t>
      </w:r>
      <w:r w:rsidRPr="00A64409">
        <w:t>UC run</w:t>
      </w:r>
      <w:bookmarkEnd w:id="104"/>
    </w:p>
    <w:bookmarkEnd w:id="105"/>
    <w:p w:rsidR="00677A26" w:rsidRPr="009A4C44" w:rsidRDefault="00677A26" w:rsidP="00677A26">
      <w:pPr>
        <w:pStyle w:val="textregular"/>
      </w:pPr>
      <w:r w:rsidRPr="009A4C44">
        <w:t xml:space="preserve">The financial flows </w:t>
      </w:r>
      <w:r w:rsidR="008743DB">
        <w:t>(</w:t>
      </w:r>
      <w:r w:rsidR="008743DB" w:rsidRPr="009A4C44">
        <w:t>Figure 3</w:t>
      </w:r>
      <w:r w:rsidR="008743DB">
        <w:t xml:space="preserve">) between the TSOs after the UC run </w:t>
      </w:r>
      <w:r w:rsidRPr="009A4C44">
        <w:t>are thus the following</w:t>
      </w:r>
      <w:r w:rsidR="008743DB">
        <w:t xml:space="preserve"> (a negative payment means that the TSO receives the respective amount)</w:t>
      </w:r>
      <w:r w:rsidRPr="009A4C44">
        <w:t>:</w:t>
      </w:r>
    </w:p>
    <w:p w:rsidR="00677A26" w:rsidRPr="009A4C44" w:rsidRDefault="00677A26" w:rsidP="00677A26">
      <w:pPr>
        <w:pStyle w:val="textregular"/>
        <w:rPr>
          <w:b/>
        </w:rPr>
      </w:pPr>
      <w:r w:rsidRPr="009A4C44">
        <w:rPr>
          <w:b/>
        </w:rPr>
        <w:t xml:space="preserve">For TSO 1: </w:t>
      </w:r>
    </w:p>
    <w:p w:rsidR="00677A26" w:rsidRPr="009A4C44" w:rsidRDefault="00F66E8B" w:rsidP="00DD58FA">
      <w:pPr>
        <w:pStyle w:val="textregular"/>
        <w:numPr>
          <w:ilvl w:val="0"/>
          <w:numId w:val="18"/>
        </w:numPr>
      </w:pPr>
      <w:r>
        <w:t>Import/export of balancing energy</w:t>
      </w:r>
      <w:r w:rsidRPr="009A4C44">
        <w:t>:</w:t>
      </w:r>
      <w:r w:rsidR="00677A26" w:rsidRPr="009A4C44">
        <w:t xml:space="preserve"> 0</w:t>
      </w:r>
      <w:r w:rsidR="005D0E3F">
        <w:t xml:space="preserve"> </w:t>
      </w:r>
      <w:r w:rsidR="00677A26" w:rsidRPr="009A4C44">
        <w:t>MW</w:t>
      </w:r>
      <w:r w:rsidR="008743DB">
        <w:t>h</w:t>
      </w:r>
      <w:r w:rsidR="005D0E3F">
        <w:t xml:space="preserve"> </w:t>
      </w:r>
      <w:r w:rsidR="00677A26" w:rsidRPr="009A4C44">
        <w:t>*</w:t>
      </w:r>
      <w:r w:rsidR="005D0E3F">
        <w:t xml:space="preserve"> </w:t>
      </w:r>
      <w:r w:rsidR="00677A26" w:rsidRPr="009A4C44">
        <w:t>50</w:t>
      </w:r>
      <w:r w:rsidR="005D0E3F">
        <w:t xml:space="preserve"> </w:t>
      </w:r>
      <w:r w:rsidR="00677A26" w:rsidRPr="009A4C44">
        <w:t>€/MWh</w:t>
      </w:r>
      <w:r w:rsidR="008743DB">
        <w:t xml:space="preserve"> </w:t>
      </w:r>
      <w:r w:rsidR="00677A26" w:rsidRPr="009A4C44">
        <w:t>=</w:t>
      </w:r>
      <w:r w:rsidR="008743DB">
        <w:t xml:space="preserve"> </w:t>
      </w:r>
      <w:r w:rsidR="00677A26" w:rsidRPr="009A4C44">
        <w:t>0 €</w:t>
      </w:r>
    </w:p>
    <w:p w:rsidR="00677A26" w:rsidRPr="009A4C44" w:rsidRDefault="00677A26" w:rsidP="00DD58FA">
      <w:pPr>
        <w:pStyle w:val="textregular"/>
        <w:numPr>
          <w:ilvl w:val="0"/>
          <w:numId w:val="18"/>
        </w:numPr>
      </w:pPr>
      <w:r w:rsidRPr="009A4C44">
        <w:t>Congestion rent: 0</w:t>
      </w:r>
      <w:r w:rsidR="005D0E3F">
        <w:t xml:space="preserve"> </w:t>
      </w:r>
      <w:r w:rsidRPr="009A4C44">
        <w:t>MW</w:t>
      </w:r>
      <w:r w:rsidR="008743DB">
        <w:t>h</w:t>
      </w:r>
      <w:r w:rsidR="005D0E3F">
        <w:t xml:space="preserve"> </w:t>
      </w:r>
      <w:r w:rsidRPr="009A4C44">
        <w:t>*</w:t>
      </w:r>
      <w:r w:rsidR="005D0E3F">
        <w:t xml:space="preserve"> </w:t>
      </w:r>
      <w:r w:rsidRPr="009A4C44">
        <w:t>(50</w:t>
      </w:r>
      <w:r w:rsidR="005D0E3F">
        <w:t xml:space="preserve"> </w:t>
      </w:r>
      <w:r w:rsidRPr="009A4C44">
        <w:t>€/MWh</w:t>
      </w:r>
      <w:r w:rsidR="005D0E3F">
        <w:t xml:space="preserve"> </w:t>
      </w:r>
      <w:r w:rsidRPr="009A4C44">
        <w:t>-</w:t>
      </w:r>
      <w:r w:rsidR="005D0E3F">
        <w:t xml:space="preserve"> </w:t>
      </w:r>
      <w:r w:rsidRPr="009A4C44">
        <w:t>40</w:t>
      </w:r>
      <w:r w:rsidR="005D0E3F">
        <w:t xml:space="preserve"> </w:t>
      </w:r>
      <w:r w:rsidRPr="009A4C44">
        <w:t>€/MWh)</w:t>
      </w:r>
      <w:r w:rsidR="005D0E3F">
        <w:t xml:space="preserve"> </w:t>
      </w:r>
      <w:r w:rsidRPr="009A4C44">
        <w:t>/</w:t>
      </w:r>
      <w:r w:rsidR="005D0E3F">
        <w:t xml:space="preserve"> </w:t>
      </w:r>
      <w:r w:rsidRPr="009A4C44">
        <w:t>2= 0 €</w:t>
      </w:r>
    </w:p>
    <w:p w:rsidR="00677A26" w:rsidRPr="009A4C44" w:rsidRDefault="00677A26" w:rsidP="00677A26">
      <w:pPr>
        <w:pStyle w:val="textregular"/>
        <w:rPr>
          <w:b/>
        </w:rPr>
      </w:pPr>
      <w:r w:rsidRPr="009A4C44">
        <w:rPr>
          <w:b/>
        </w:rPr>
        <w:t xml:space="preserve">For TSO 2: </w:t>
      </w:r>
    </w:p>
    <w:p w:rsidR="00677A26" w:rsidRPr="009A4C44" w:rsidRDefault="005D0E3F" w:rsidP="00DD58FA">
      <w:pPr>
        <w:pStyle w:val="textregular"/>
        <w:numPr>
          <w:ilvl w:val="0"/>
          <w:numId w:val="19"/>
        </w:numPr>
      </w:pPr>
      <w:r>
        <w:t>Import/export of balancing energy</w:t>
      </w:r>
      <w:r w:rsidRPr="009A4C44">
        <w:t>:</w:t>
      </w:r>
      <w:r w:rsidR="00677A26" w:rsidRPr="009A4C44">
        <w:t xml:space="preserve"> 50</w:t>
      </w:r>
      <w:r>
        <w:t xml:space="preserve"> </w:t>
      </w:r>
      <w:r w:rsidR="00677A26" w:rsidRPr="009A4C44">
        <w:t>MW</w:t>
      </w:r>
      <w:r w:rsidR="008743DB">
        <w:t>h</w:t>
      </w:r>
      <w:r w:rsidR="00677A26" w:rsidRPr="009A4C44">
        <w:t>*40</w:t>
      </w:r>
      <w:r>
        <w:t xml:space="preserve"> </w:t>
      </w:r>
      <w:r w:rsidR="00677A26" w:rsidRPr="009A4C44">
        <w:t>€/MWh</w:t>
      </w:r>
      <w:r w:rsidR="008743DB">
        <w:t xml:space="preserve"> </w:t>
      </w:r>
      <w:r w:rsidR="00677A26" w:rsidRPr="009A4C44">
        <w:t>=</w:t>
      </w:r>
      <w:r w:rsidR="008743DB">
        <w:t xml:space="preserve"> </w:t>
      </w:r>
      <w:r w:rsidR="00677A26" w:rsidRPr="009A4C44">
        <w:t>2000 €</w:t>
      </w:r>
    </w:p>
    <w:p w:rsidR="00677A26" w:rsidRPr="009A4C44" w:rsidRDefault="00677A26" w:rsidP="00DD58FA">
      <w:pPr>
        <w:pStyle w:val="textregular"/>
        <w:numPr>
          <w:ilvl w:val="0"/>
          <w:numId w:val="19"/>
        </w:numPr>
      </w:pPr>
      <w:r w:rsidRPr="009A4C44">
        <w:t>Congestion rent: 50</w:t>
      </w:r>
      <w:r w:rsidR="005D0E3F">
        <w:t xml:space="preserve"> </w:t>
      </w:r>
      <w:r w:rsidRPr="009A4C44">
        <w:t>MW</w:t>
      </w:r>
      <w:r w:rsidR="005D0E3F">
        <w:t xml:space="preserve">h </w:t>
      </w:r>
      <w:r w:rsidRPr="009A4C44">
        <w:t>*</w:t>
      </w:r>
      <w:r w:rsidR="005D0E3F">
        <w:t xml:space="preserve"> </w:t>
      </w:r>
      <w:r w:rsidRPr="009A4C44">
        <w:t>(40</w:t>
      </w:r>
      <w:r w:rsidR="005D0E3F">
        <w:t xml:space="preserve"> </w:t>
      </w:r>
      <w:r w:rsidRPr="009A4C44">
        <w:t>€/MWh</w:t>
      </w:r>
      <w:r w:rsidR="005D0E3F">
        <w:t xml:space="preserve"> </w:t>
      </w:r>
      <w:r w:rsidRPr="009A4C44">
        <w:t>-</w:t>
      </w:r>
      <w:r w:rsidR="005D0E3F">
        <w:t xml:space="preserve"> </w:t>
      </w:r>
      <w:r w:rsidRPr="009A4C44">
        <w:t>40</w:t>
      </w:r>
      <w:r w:rsidR="005D0E3F">
        <w:t xml:space="preserve"> </w:t>
      </w:r>
      <w:r w:rsidRPr="009A4C44">
        <w:t>€/MWh)</w:t>
      </w:r>
      <w:r w:rsidR="005D0E3F">
        <w:t xml:space="preserve"> </w:t>
      </w:r>
      <w:r w:rsidRPr="009A4C44">
        <w:t>/</w:t>
      </w:r>
      <w:r w:rsidR="005D0E3F">
        <w:t xml:space="preserve"> </w:t>
      </w:r>
      <w:r w:rsidRPr="009A4C44">
        <w:t>2 = 0 €</w:t>
      </w:r>
    </w:p>
    <w:p w:rsidR="00677A26" w:rsidRPr="009A4C44" w:rsidRDefault="00677A26" w:rsidP="00677A26">
      <w:pPr>
        <w:pStyle w:val="textregular"/>
        <w:rPr>
          <w:b/>
        </w:rPr>
      </w:pPr>
      <w:r w:rsidRPr="009A4C44">
        <w:rPr>
          <w:b/>
        </w:rPr>
        <w:t xml:space="preserve">For TSO 3: </w:t>
      </w:r>
    </w:p>
    <w:p w:rsidR="00677A26" w:rsidRPr="009A4C44" w:rsidRDefault="005D0E3F" w:rsidP="00DD58FA">
      <w:pPr>
        <w:pStyle w:val="textregular"/>
        <w:numPr>
          <w:ilvl w:val="0"/>
          <w:numId w:val="20"/>
        </w:numPr>
      </w:pPr>
      <w:r>
        <w:t>Import/export of balancing energy</w:t>
      </w:r>
      <w:r w:rsidRPr="009A4C44">
        <w:t>:</w:t>
      </w:r>
      <w:r w:rsidR="00677A26" w:rsidRPr="009A4C44">
        <w:t xml:space="preserve"> </w:t>
      </w:r>
      <w:r w:rsidR="008743DB">
        <w:t>-</w:t>
      </w:r>
      <w:r w:rsidR="00677A26" w:rsidRPr="009A4C44">
        <w:t>50</w:t>
      </w:r>
      <w:r>
        <w:t xml:space="preserve"> </w:t>
      </w:r>
      <w:r w:rsidR="00677A26" w:rsidRPr="009A4C44">
        <w:t>MW</w:t>
      </w:r>
      <w:r w:rsidR="008743DB">
        <w:t>h</w:t>
      </w:r>
      <w:r>
        <w:t xml:space="preserve"> </w:t>
      </w:r>
      <w:r w:rsidR="00677A26" w:rsidRPr="009A4C44">
        <w:t>*</w:t>
      </w:r>
      <w:r>
        <w:t xml:space="preserve"> </w:t>
      </w:r>
      <w:r w:rsidR="00677A26" w:rsidRPr="009A4C44">
        <w:t>40</w:t>
      </w:r>
      <w:r>
        <w:t xml:space="preserve"> </w:t>
      </w:r>
      <w:r w:rsidR="00677A26" w:rsidRPr="009A4C44">
        <w:t>€/MWh</w:t>
      </w:r>
      <w:r w:rsidR="008743DB">
        <w:t xml:space="preserve"> </w:t>
      </w:r>
      <w:r w:rsidR="00677A26" w:rsidRPr="009A4C44">
        <w:t>=</w:t>
      </w:r>
      <w:r w:rsidR="008743DB">
        <w:t xml:space="preserve"> -</w:t>
      </w:r>
      <w:r w:rsidR="00677A26" w:rsidRPr="009A4C44">
        <w:t>2000 €</w:t>
      </w:r>
    </w:p>
    <w:p w:rsidR="00677A26" w:rsidRPr="009A4C44" w:rsidRDefault="00677A26" w:rsidP="00DD58FA">
      <w:pPr>
        <w:pStyle w:val="textregular"/>
        <w:numPr>
          <w:ilvl w:val="0"/>
          <w:numId w:val="20"/>
        </w:numPr>
      </w:pPr>
      <w:r w:rsidRPr="009A4C44">
        <w:lastRenderedPageBreak/>
        <w:t>Congestion rent payment: 50</w:t>
      </w:r>
      <w:r w:rsidR="005D0E3F">
        <w:t xml:space="preserve"> </w:t>
      </w:r>
      <w:r w:rsidRPr="009A4C44">
        <w:t>MW</w:t>
      </w:r>
      <w:r w:rsidR="008743DB">
        <w:t>h</w:t>
      </w:r>
      <w:r w:rsidR="005D0E3F">
        <w:t xml:space="preserve"> </w:t>
      </w:r>
      <w:r w:rsidRPr="009A4C44">
        <w:t>*</w:t>
      </w:r>
      <w:r w:rsidR="005D0E3F">
        <w:t xml:space="preserve"> </w:t>
      </w:r>
      <w:r w:rsidRPr="009A4C44">
        <w:t>(40</w:t>
      </w:r>
      <w:r w:rsidR="005D0E3F">
        <w:t xml:space="preserve"> </w:t>
      </w:r>
      <w:r w:rsidRPr="009A4C44">
        <w:t>€/MWh</w:t>
      </w:r>
      <w:r w:rsidR="005D0E3F">
        <w:t xml:space="preserve"> </w:t>
      </w:r>
      <w:r w:rsidRPr="009A4C44">
        <w:t>- 40</w:t>
      </w:r>
      <w:r w:rsidR="005D0E3F">
        <w:t xml:space="preserve"> </w:t>
      </w:r>
      <w:r w:rsidRPr="009A4C44">
        <w:t>€/MWh)</w:t>
      </w:r>
      <w:r w:rsidR="005D0E3F">
        <w:t xml:space="preserve"> </w:t>
      </w:r>
      <w:r w:rsidRPr="009A4C44">
        <w:t>/</w:t>
      </w:r>
      <w:r w:rsidR="005D0E3F">
        <w:t xml:space="preserve"> </w:t>
      </w:r>
      <w:r w:rsidRPr="009A4C44">
        <w:t>2= 0 €</w:t>
      </w:r>
    </w:p>
    <w:p w:rsidR="00677A26" w:rsidRPr="00F8053C" w:rsidRDefault="008743DB" w:rsidP="00F8053C">
      <w:pPr>
        <w:pStyle w:val="textregular"/>
        <w:jc w:val="center"/>
      </w:pPr>
      <w:r w:rsidRPr="00F8053C">
        <w:rPr>
          <w:noProof/>
          <w:lang w:val="ro-RO" w:eastAsia="ro-RO"/>
        </w:rPr>
        <w:drawing>
          <wp:inline distT="0" distB="0" distL="0" distR="0" wp14:anchorId="3270DD69" wp14:editId="2EEAD758">
            <wp:extent cx="3779520" cy="1731010"/>
            <wp:effectExtent l="0" t="0" r="0" b="2540"/>
            <wp:docPr id="20" name="Grafi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79520" cy="1731010"/>
                    </a:xfrm>
                    <a:prstGeom prst="rect">
                      <a:avLst/>
                    </a:prstGeom>
                    <a:noFill/>
                    <a:ln>
                      <a:noFill/>
                    </a:ln>
                  </pic:spPr>
                </pic:pic>
              </a:graphicData>
            </a:graphic>
          </wp:inline>
        </w:drawing>
      </w:r>
    </w:p>
    <w:p w:rsidR="00AA0941" w:rsidRPr="009A4C44" w:rsidRDefault="00AA0941" w:rsidP="00AA0941">
      <w:pPr>
        <w:pStyle w:val="Caption"/>
      </w:pPr>
      <w:bookmarkStart w:id="106" w:name="_Ref531788564"/>
      <w:bookmarkStart w:id="107" w:name="_Toc531799958"/>
      <w:r w:rsidRPr="009A4C44">
        <w:t xml:space="preserve">Figure </w:t>
      </w:r>
      <w:r w:rsidRPr="009A4C44">
        <w:fldChar w:fldCharType="begin"/>
      </w:r>
      <w:r w:rsidRPr="009A4C44">
        <w:instrText xml:space="preserve"> SEQ Figure \* ARABIC </w:instrText>
      </w:r>
      <w:r w:rsidRPr="009A4C44">
        <w:fldChar w:fldCharType="separate"/>
      </w:r>
      <w:r w:rsidR="002D564B">
        <w:rPr>
          <w:noProof/>
        </w:rPr>
        <w:t>5</w:t>
      </w:r>
      <w:r w:rsidRPr="009A4C44">
        <w:fldChar w:fldCharType="end"/>
      </w:r>
      <w:bookmarkEnd w:id="106"/>
      <w:r w:rsidRPr="009A4C44">
        <w:t>: TSO-TSO settlement result for unconstrain</w:t>
      </w:r>
      <w:r w:rsidR="00C13E29">
        <w:t>ed</w:t>
      </w:r>
      <w:bookmarkEnd w:id="107"/>
    </w:p>
    <w:p w:rsidR="00677A26" w:rsidRPr="009A4C44" w:rsidRDefault="008F1692" w:rsidP="008743DB">
      <w:pPr>
        <w:pStyle w:val="textregular"/>
      </w:pPr>
      <w:r>
        <w:t>In result, TSO 2 pays 2000 € to TSO 3 (the sum of the payments is 0 €).</w:t>
      </w:r>
    </w:p>
    <w:p w:rsidR="00677A26" w:rsidRPr="009A4C44" w:rsidRDefault="00677A26" w:rsidP="00B4659E">
      <w:pPr>
        <w:pStyle w:val="textregular"/>
        <w:keepNext/>
        <w:rPr>
          <w:szCs w:val="22"/>
          <w:u w:val="single"/>
        </w:rPr>
      </w:pPr>
      <w:r w:rsidRPr="009A4C44">
        <w:rPr>
          <w:szCs w:val="22"/>
          <w:u w:val="single"/>
        </w:rPr>
        <w:t>Constrained run</w:t>
      </w:r>
    </w:p>
    <w:p w:rsidR="00677A26" w:rsidRDefault="00F8053C" w:rsidP="00677A26">
      <w:pPr>
        <w:pStyle w:val="textregular"/>
      </w:pPr>
      <w:r>
        <w:rPr>
          <w:szCs w:val="22"/>
        </w:rPr>
        <w:t>T</w:t>
      </w:r>
      <w:r w:rsidR="00677A26" w:rsidRPr="009A4C44">
        <w:rPr>
          <w:szCs w:val="22"/>
        </w:rPr>
        <w:t>he</w:t>
      </w:r>
      <w:r>
        <w:rPr>
          <w:szCs w:val="22"/>
        </w:rPr>
        <w:t xml:space="preserve"> constrained run takes into account</w:t>
      </w:r>
      <w:r w:rsidR="00677A26" w:rsidRPr="009A4C44">
        <w:rPr>
          <w:szCs w:val="22"/>
        </w:rPr>
        <w:t xml:space="preserve"> </w:t>
      </w:r>
      <w:r>
        <w:rPr>
          <w:szCs w:val="22"/>
        </w:rPr>
        <w:t xml:space="preserve">that </w:t>
      </w:r>
      <w:r w:rsidR="00677A26" w:rsidRPr="009A4C44">
        <w:rPr>
          <w:szCs w:val="22"/>
        </w:rPr>
        <w:t xml:space="preserve">TSO 2 has submitted the aforementioned desired minimum flow of 30MW and maximum flow of 50MW from TSO1 to TSO2. </w:t>
      </w:r>
      <w:r w:rsidR="00677A26" w:rsidRPr="009A4C44">
        <w:t xml:space="preserve">The AOF considers </w:t>
      </w:r>
      <w:r w:rsidR="00C13E29">
        <w:t>this</w:t>
      </w:r>
      <w:r w:rsidR="00677A26" w:rsidRPr="009A4C44">
        <w:t xml:space="preserve"> desired flow and </w:t>
      </w:r>
      <w:r w:rsidR="00C13E29">
        <w:t>calculates</w:t>
      </w:r>
      <w:r w:rsidR="00677A26" w:rsidRPr="009A4C44">
        <w:t xml:space="preserve"> the results presented in </w:t>
      </w:r>
      <w:r w:rsidR="00C13E29">
        <w:fldChar w:fldCharType="begin"/>
      </w:r>
      <w:r w:rsidR="00C13E29">
        <w:instrText xml:space="preserve"> REF _Ref531791072 \h </w:instrText>
      </w:r>
      <w:r w:rsidR="00C13E29">
        <w:fldChar w:fldCharType="separate"/>
      </w:r>
      <w:r w:rsidR="002D564B" w:rsidRPr="009A4C44">
        <w:t xml:space="preserve">Figure </w:t>
      </w:r>
      <w:r w:rsidR="002D564B">
        <w:rPr>
          <w:noProof/>
        </w:rPr>
        <w:t>6</w:t>
      </w:r>
      <w:r w:rsidR="00C13E29">
        <w:fldChar w:fldCharType="end"/>
      </w:r>
      <w:r w:rsidR="00677A26" w:rsidRPr="009A4C44">
        <w:t xml:space="preserve"> and </w:t>
      </w:r>
      <w:r w:rsidR="00C13E29">
        <w:fldChar w:fldCharType="begin"/>
      </w:r>
      <w:r w:rsidR="00C13E29">
        <w:instrText xml:space="preserve"> REF _Ref531791057 \h </w:instrText>
      </w:r>
      <w:r w:rsidR="00C13E29">
        <w:fldChar w:fldCharType="separate"/>
      </w:r>
      <w:r w:rsidR="002D564B" w:rsidRPr="009A4C44">
        <w:t xml:space="preserve">Table </w:t>
      </w:r>
      <w:r w:rsidR="002D564B">
        <w:rPr>
          <w:noProof/>
        </w:rPr>
        <w:t>4</w:t>
      </w:r>
      <w:r w:rsidR="00C13E29">
        <w:fldChar w:fldCharType="end"/>
      </w:r>
      <w:r w:rsidR="00677A26" w:rsidRPr="009A4C44">
        <w:t xml:space="preserve"> below</w:t>
      </w:r>
      <w:r w:rsidR="00B4659E">
        <w:t>:</w:t>
      </w:r>
    </w:p>
    <w:p w:rsidR="00B4659E" w:rsidRDefault="00B4659E" w:rsidP="00DD58FA">
      <w:pPr>
        <w:pStyle w:val="textregular"/>
        <w:numPr>
          <w:ilvl w:val="0"/>
          <w:numId w:val="28"/>
        </w:numPr>
        <w:rPr>
          <w:szCs w:val="22"/>
        </w:rPr>
      </w:pPr>
      <w:r>
        <w:rPr>
          <w:szCs w:val="22"/>
        </w:rPr>
        <w:t xml:space="preserve">In order to meet the requirement for the desired flow an </w:t>
      </w:r>
      <w:r w:rsidR="00316843">
        <w:rPr>
          <w:szCs w:val="22"/>
        </w:rPr>
        <w:t xml:space="preserve">additional volume of </w:t>
      </w:r>
      <w:r>
        <w:rPr>
          <w:szCs w:val="22"/>
        </w:rPr>
        <w:t>upward bid</w:t>
      </w:r>
      <w:r w:rsidR="00316843">
        <w:rPr>
          <w:szCs w:val="22"/>
        </w:rPr>
        <w:t>s</w:t>
      </w:r>
      <w:r>
        <w:rPr>
          <w:szCs w:val="22"/>
        </w:rPr>
        <w:t xml:space="preserve"> in the area of TSO 1 must be selected. Th</w:t>
      </w:r>
      <w:r w:rsidR="00316843">
        <w:rPr>
          <w:szCs w:val="22"/>
        </w:rPr>
        <w:t>is</w:t>
      </w:r>
      <w:r>
        <w:rPr>
          <w:szCs w:val="22"/>
        </w:rPr>
        <w:t xml:space="preserve"> volume must be at least </w:t>
      </w:r>
      <w:r w:rsidR="005B0050">
        <w:rPr>
          <w:szCs w:val="22"/>
        </w:rPr>
        <w:t>50 MW in order to create an exporting net position of at least 30 MW which will be transported in the direction from TSO 1 to TSO 2.</w:t>
      </w:r>
    </w:p>
    <w:p w:rsidR="005B0050" w:rsidRDefault="005B0050" w:rsidP="00DD58FA">
      <w:pPr>
        <w:pStyle w:val="textregular"/>
        <w:numPr>
          <w:ilvl w:val="0"/>
          <w:numId w:val="28"/>
        </w:numPr>
        <w:rPr>
          <w:szCs w:val="22"/>
        </w:rPr>
      </w:pPr>
      <w:r>
        <w:rPr>
          <w:szCs w:val="22"/>
        </w:rPr>
        <w:t xml:space="preserve">I.e., instead of 20 MW in the UC run, the AOF selects </w:t>
      </w:r>
      <w:r w:rsidR="00316843">
        <w:rPr>
          <w:szCs w:val="22"/>
        </w:rPr>
        <w:t>4</w:t>
      </w:r>
      <w:r>
        <w:rPr>
          <w:szCs w:val="22"/>
        </w:rPr>
        <w:t>0 MW from the bid of BSP 1</w:t>
      </w:r>
      <w:r w:rsidR="00C22DF8">
        <w:rPr>
          <w:szCs w:val="22"/>
        </w:rPr>
        <w:t xml:space="preserve"> and additional 10 M</w:t>
      </w:r>
      <w:r w:rsidR="00316843">
        <w:rPr>
          <w:szCs w:val="22"/>
        </w:rPr>
        <w:t>W from BSP 2</w:t>
      </w:r>
      <w:r w:rsidR="00C22DF8">
        <w:rPr>
          <w:szCs w:val="22"/>
        </w:rPr>
        <w:t xml:space="preserve"> at a price of 60 €/MWh</w:t>
      </w:r>
      <w:r>
        <w:rPr>
          <w:szCs w:val="22"/>
        </w:rPr>
        <w:t>.</w:t>
      </w:r>
    </w:p>
    <w:p w:rsidR="007E308C" w:rsidRDefault="006B7BC4" w:rsidP="00DD58FA">
      <w:pPr>
        <w:pStyle w:val="textregular"/>
        <w:numPr>
          <w:ilvl w:val="0"/>
          <w:numId w:val="28"/>
        </w:numPr>
        <w:rPr>
          <w:szCs w:val="22"/>
        </w:rPr>
      </w:pPr>
      <w:r>
        <w:rPr>
          <w:szCs w:val="22"/>
        </w:rPr>
        <w:t xml:space="preserve">As BSP 1 provides 30 MW more in comparison to the UC run, the BSPs 5 and 6 </w:t>
      </w:r>
      <w:proofErr w:type="gramStart"/>
      <w:r>
        <w:rPr>
          <w:szCs w:val="22"/>
        </w:rPr>
        <w:t>need</w:t>
      </w:r>
      <w:proofErr w:type="gramEnd"/>
      <w:r>
        <w:rPr>
          <w:szCs w:val="22"/>
        </w:rPr>
        <w:t xml:space="preserve"> to provide 30 MW less. As BSP 6 is more expensive than BSP 5, BSP 6 is not selected anymore and BSP 3 needs to provide 70 MW (in comparison to 100 MW in the UC run).</w:t>
      </w:r>
    </w:p>
    <w:p w:rsidR="007E308C" w:rsidRDefault="007E308C" w:rsidP="007E308C">
      <w:pPr>
        <w:pStyle w:val="textregular"/>
        <w:rPr>
          <w:szCs w:val="22"/>
        </w:rPr>
      </w:pPr>
      <w:r>
        <w:rPr>
          <w:szCs w:val="22"/>
        </w:rPr>
        <w:t>It has to be stressed, that in accordance with the pricing proposal the CBMP is set by the UC run, i.e.</w:t>
      </w:r>
    </w:p>
    <w:p w:rsidR="007E308C" w:rsidRPr="007E308C" w:rsidRDefault="007E308C" w:rsidP="00DD58FA">
      <w:pPr>
        <w:pStyle w:val="textregular"/>
        <w:numPr>
          <w:ilvl w:val="0"/>
          <w:numId w:val="29"/>
        </w:numPr>
        <w:rPr>
          <w:szCs w:val="22"/>
        </w:rPr>
      </w:pPr>
      <w:r>
        <w:t>t</w:t>
      </w:r>
      <w:r w:rsidRPr="009A4C44">
        <w:t xml:space="preserve">he </w:t>
      </w:r>
      <w:r>
        <w:t>CBMP for</w:t>
      </w:r>
      <w:r w:rsidRPr="009A4C44">
        <w:t xml:space="preserve"> </w:t>
      </w:r>
      <w:r>
        <w:t>BSP 1 to be paid by TSO 1 will still be 5</w:t>
      </w:r>
      <w:r w:rsidR="00CF2042">
        <w:t xml:space="preserve"> </w:t>
      </w:r>
      <w:r>
        <w:t>0€/MWh</w:t>
      </w:r>
    </w:p>
    <w:p w:rsidR="007E308C" w:rsidRPr="006E01F2" w:rsidRDefault="007E308C" w:rsidP="00DD58FA">
      <w:pPr>
        <w:pStyle w:val="textregular"/>
        <w:numPr>
          <w:ilvl w:val="0"/>
          <w:numId w:val="29"/>
        </w:numPr>
        <w:rPr>
          <w:szCs w:val="22"/>
        </w:rPr>
      </w:pPr>
      <w:r w:rsidRPr="009A4C44">
        <w:t xml:space="preserve">and the </w:t>
      </w:r>
      <w:r>
        <w:t>CBMP for BSP 5 in the area of</w:t>
      </w:r>
      <w:r w:rsidRPr="009A4C44">
        <w:t xml:space="preserve"> TSO</w:t>
      </w:r>
      <w:r>
        <w:t xml:space="preserve"> </w:t>
      </w:r>
      <w:r w:rsidRPr="009A4C44">
        <w:t>2 and TSO</w:t>
      </w:r>
      <w:r>
        <w:t xml:space="preserve"> </w:t>
      </w:r>
      <w:r w:rsidRPr="009A4C44">
        <w:t>3 will still be 40</w:t>
      </w:r>
      <w:r w:rsidR="00CF2042">
        <w:t xml:space="preserve"> </w:t>
      </w:r>
      <w:r w:rsidRPr="009A4C44">
        <w:t>€/MWh</w:t>
      </w:r>
      <w:r>
        <w:t xml:space="preserve"> (although BSP 6 is not selected).</w:t>
      </w:r>
    </w:p>
    <w:p w:rsidR="006E01F2" w:rsidRPr="007E308C" w:rsidRDefault="006E01F2" w:rsidP="00DD58FA">
      <w:pPr>
        <w:pStyle w:val="textregular"/>
        <w:numPr>
          <w:ilvl w:val="0"/>
          <w:numId w:val="29"/>
        </w:numPr>
        <w:rPr>
          <w:szCs w:val="22"/>
        </w:rPr>
      </w:pPr>
      <w:r>
        <w:rPr>
          <w:szCs w:val="22"/>
        </w:rPr>
        <w:t>Selected bids with a higher bid price than the CBMP will be remunerated with their bid price.</w:t>
      </w:r>
    </w:p>
    <w:p w:rsidR="00677A26" w:rsidRPr="009A4C44" w:rsidRDefault="00EA0429" w:rsidP="00EA0429">
      <w:pPr>
        <w:pStyle w:val="textregular"/>
        <w:jc w:val="center"/>
      </w:pPr>
      <w:r w:rsidRPr="00EA0429">
        <w:rPr>
          <w:noProof/>
          <w:lang w:val="ro-RO" w:eastAsia="ro-RO"/>
        </w:rPr>
        <w:drawing>
          <wp:inline distT="0" distB="0" distL="0" distR="0" wp14:anchorId="7F03F7C0" wp14:editId="5644818D">
            <wp:extent cx="4541520" cy="1036320"/>
            <wp:effectExtent l="0" t="0" r="0" b="0"/>
            <wp:docPr id="22" name="Grafik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541520" cy="1036320"/>
                    </a:xfrm>
                    <a:prstGeom prst="rect">
                      <a:avLst/>
                    </a:prstGeom>
                    <a:noFill/>
                    <a:ln>
                      <a:noFill/>
                    </a:ln>
                  </pic:spPr>
                </pic:pic>
              </a:graphicData>
            </a:graphic>
          </wp:inline>
        </w:drawing>
      </w:r>
    </w:p>
    <w:p w:rsidR="00AA0941" w:rsidRPr="009A4C44" w:rsidRDefault="00AA0941" w:rsidP="00AA0941">
      <w:pPr>
        <w:pStyle w:val="Caption"/>
      </w:pPr>
      <w:bookmarkStart w:id="108" w:name="_Ref531791072"/>
      <w:bookmarkStart w:id="109" w:name="_Toc531799959"/>
      <w:r w:rsidRPr="009A4C44">
        <w:t xml:space="preserve">Figure </w:t>
      </w:r>
      <w:r w:rsidRPr="009A4C44">
        <w:fldChar w:fldCharType="begin"/>
      </w:r>
      <w:r w:rsidRPr="009A4C44">
        <w:instrText xml:space="preserve"> SEQ Figure \* ARABIC </w:instrText>
      </w:r>
      <w:r w:rsidRPr="009A4C44">
        <w:fldChar w:fldCharType="separate"/>
      </w:r>
      <w:r w:rsidR="002D564B">
        <w:rPr>
          <w:noProof/>
        </w:rPr>
        <w:t>6</w:t>
      </w:r>
      <w:r w:rsidRPr="009A4C44">
        <w:fldChar w:fldCharType="end"/>
      </w:r>
      <w:bookmarkEnd w:id="108"/>
      <w:r w:rsidRPr="009A4C44">
        <w:t xml:space="preserve">: </w:t>
      </w:r>
      <w:r w:rsidR="00C13E29">
        <w:t>Results</w:t>
      </w:r>
      <w:r w:rsidRPr="009A4C44">
        <w:t xml:space="preserve"> for </w:t>
      </w:r>
      <w:r w:rsidR="00C13E29">
        <w:t>the constrained</w:t>
      </w:r>
      <w:r w:rsidRPr="009A4C44">
        <w:t xml:space="preserve"> run</w:t>
      </w:r>
      <w:bookmarkEnd w:id="109"/>
    </w:p>
    <w:p w:rsidR="00677A26" w:rsidRPr="009A4C44" w:rsidRDefault="00EB7DA9" w:rsidP="00677A26">
      <w:pPr>
        <w:pStyle w:val="textregular"/>
        <w:jc w:val="center"/>
      </w:pPr>
      <w:r w:rsidRPr="009A4C44">
        <w:rPr>
          <w:noProof/>
          <w:lang w:val="ro-RO" w:eastAsia="ro-RO"/>
        </w:rPr>
        <w:lastRenderedPageBreak/>
        <w:drawing>
          <wp:inline distT="0" distB="0" distL="0" distR="0" wp14:anchorId="1D2AE15B" wp14:editId="11141F73">
            <wp:extent cx="4158532" cy="2354580"/>
            <wp:effectExtent l="0" t="0" r="0" b="7620"/>
            <wp:docPr id="253"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pic:cNvPicPr>
                      <a:picLocks noChangeAspect="1"/>
                    </pic:cNvPicPr>
                  </pic:nvPicPr>
                  <pic:blipFill>
                    <a:blip r:embed="rId20"/>
                    <a:stretch>
                      <a:fillRect/>
                    </a:stretch>
                  </pic:blipFill>
                  <pic:spPr>
                    <a:xfrm>
                      <a:off x="0" y="0"/>
                      <a:ext cx="4166972" cy="2359359"/>
                    </a:xfrm>
                    <a:prstGeom prst="rect">
                      <a:avLst/>
                    </a:prstGeom>
                  </pic:spPr>
                </pic:pic>
              </a:graphicData>
            </a:graphic>
          </wp:inline>
        </w:drawing>
      </w:r>
    </w:p>
    <w:p w:rsidR="00A668B6" w:rsidRPr="009A4C44" w:rsidRDefault="00A668B6" w:rsidP="00A668B6">
      <w:pPr>
        <w:pStyle w:val="Caption"/>
      </w:pPr>
      <w:bookmarkStart w:id="110" w:name="_Ref531788578"/>
      <w:bookmarkStart w:id="111" w:name="_Ref531791057"/>
      <w:bookmarkStart w:id="112" w:name="_Ref531788574"/>
      <w:bookmarkStart w:id="113" w:name="_Toc531799972"/>
      <w:r w:rsidRPr="009A4C44">
        <w:t xml:space="preserve">Table </w:t>
      </w:r>
      <w:r w:rsidRPr="009A4C44">
        <w:fldChar w:fldCharType="begin"/>
      </w:r>
      <w:r w:rsidRPr="009A4C44">
        <w:instrText xml:space="preserve"> SEQ Table \* ARABIC </w:instrText>
      </w:r>
      <w:r w:rsidRPr="009A4C44">
        <w:fldChar w:fldCharType="separate"/>
      </w:r>
      <w:r w:rsidR="002D564B">
        <w:rPr>
          <w:noProof/>
        </w:rPr>
        <w:t>4</w:t>
      </w:r>
      <w:r w:rsidRPr="009A4C44">
        <w:fldChar w:fldCharType="end"/>
      </w:r>
      <w:bookmarkEnd w:id="110"/>
      <w:bookmarkEnd w:id="111"/>
      <w:r w:rsidRPr="009A4C44">
        <w:t xml:space="preserve">: </w:t>
      </w:r>
      <w:r w:rsidRPr="00A64409">
        <w:t xml:space="preserve">BSP offers and the </w:t>
      </w:r>
      <w:bookmarkEnd w:id="112"/>
      <w:r w:rsidR="00C13E29">
        <w:t>selected quantities for the constrained run</w:t>
      </w:r>
      <w:bookmarkEnd w:id="113"/>
    </w:p>
    <w:p w:rsidR="007E308C" w:rsidRDefault="007E308C" w:rsidP="007E308C">
      <w:pPr>
        <w:pStyle w:val="textregular"/>
      </w:pPr>
      <w:r>
        <w:t>Moreover, it is worth noticing, that the consideration of the desired flow constraints does not change the total volume of selected bids</w:t>
      </w:r>
      <w:r w:rsidR="00626432">
        <w:t xml:space="preserve"> as the demands must be satisfied as in the UC run.</w:t>
      </w:r>
    </w:p>
    <w:p w:rsidR="00C63B5F" w:rsidRDefault="00C22DF8" w:rsidP="007E308C">
      <w:pPr>
        <w:pStyle w:val="textregular"/>
      </w:pPr>
      <w:r>
        <w:t xml:space="preserve">The settlement methodology is defined in a way that the costs for TSOs with only balancing demands do not increase. I.e. neither TSO 1 nor TSO 3 will </w:t>
      </w:r>
      <w:r w:rsidR="00C074FB">
        <w:t>have higher balancing costs</w:t>
      </w:r>
      <w:r w:rsidR="0072203F">
        <w:t xml:space="preserve"> in the constrained run than in the unconstrained run.</w:t>
      </w:r>
      <w:r w:rsidR="00C63B5F">
        <w:t xml:space="preserve"> This means that all additional </w:t>
      </w:r>
      <w:r w:rsidR="0072203F">
        <w:t xml:space="preserve">costs </w:t>
      </w:r>
      <w:r w:rsidR="00C63B5F">
        <w:t>calculated as the product of</w:t>
      </w:r>
    </w:p>
    <w:p w:rsidR="00C63B5F" w:rsidRDefault="0072203F" w:rsidP="00DD58FA">
      <w:pPr>
        <w:pStyle w:val="textregular"/>
        <w:numPr>
          <w:ilvl w:val="0"/>
          <w:numId w:val="30"/>
        </w:numPr>
      </w:pPr>
      <w:r>
        <w:t xml:space="preserve">the </w:t>
      </w:r>
      <w:r w:rsidR="00361CFE">
        <w:t xml:space="preserve">additional </w:t>
      </w:r>
      <w:r w:rsidR="00503F57">
        <w:t xml:space="preserve">bid </w:t>
      </w:r>
      <w:r>
        <w:t>volume</w:t>
      </w:r>
      <w:r w:rsidR="00503F57">
        <w:t>s</w:t>
      </w:r>
      <w:r>
        <w:t xml:space="preserve"> selected for system constraints purposes </w:t>
      </w:r>
      <w:r w:rsidR="00C63B5F">
        <w:t>with</w:t>
      </w:r>
    </w:p>
    <w:p w:rsidR="00C22DF8" w:rsidRDefault="0072203F" w:rsidP="00DD58FA">
      <w:pPr>
        <w:pStyle w:val="textregular"/>
        <w:numPr>
          <w:ilvl w:val="0"/>
          <w:numId w:val="30"/>
        </w:numPr>
      </w:pPr>
      <w:r>
        <w:t xml:space="preserve">the difference between the respective balancing energy remuneration prices and the CBMP </w:t>
      </w:r>
    </w:p>
    <w:p w:rsidR="006E01F2" w:rsidRDefault="00503F57" w:rsidP="007E308C">
      <w:pPr>
        <w:pStyle w:val="textregular"/>
      </w:pPr>
      <w:proofErr w:type="gramStart"/>
      <w:r>
        <w:t>must</w:t>
      </w:r>
      <w:proofErr w:type="gramEnd"/>
      <w:r>
        <w:t xml:space="preserve"> be borne by TSO 2</w:t>
      </w:r>
      <w:r w:rsidR="006E01F2">
        <w:t>.</w:t>
      </w:r>
    </w:p>
    <w:p w:rsidR="00DF71FE" w:rsidRDefault="00DF71FE" w:rsidP="00DF71FE">
      <w:pPr>
        <w:pStyle w:val="textregular"/>
      </w:pPr>
      <w:r>
        <w:t xml:space="preserve">The additional volumes, </w:t>
      </w:r>
      <w:r w:rsidR="00361CFE">
        <w:t xml:space="preserve">uplifts </w:t>
      </w:r>
      <w:r>
        <w:t xml:space="preserve">and additional costs </w:t>
      </w:r>
      <w:r w:rsidR="00361CFE">
        <w:t>for the considered scenario are summarize</w:t>
      </w:r>
      <w:r>
        <w:t>d</w:t>
      </w:r>
      <w:r w:rsidR="00361CFE">
        <w:t xml:space="preserve"> in </w:t>
      </w:r>
      <w:r>
        <w:fldChar w:fldCharType="begin"/>
      </w:r>
      <w:r>
        <w:instrText xml:space="preserve"> REF _Ref531793928 \h </w:instrText>
      </w:r>
      <w:r>
        <w:fldChar w:fldCharType="separate"/>
      </w:r>
      <w:r w:rsidR="002D564B" w:rsidRPr="009A4C44">
        <w:t xml:space="preserve">Table </w:t>
      </w:r>
      <w:r w:rsidR="002D564B">
        <w:rPr>
          <w:noProof/>
        </w:rPr>
        <w:t>5</w:t>
      </w:r>
      <w:r>
        <w:fldChar w:fldCharType="end"/>
      </w:r>
      <w:r>
        <w:t>. In the considered scenario, the TSO 2 has to pay 100 € due to the increased payments to the BSPs.</w:t>
      </w:r>
    </w:p>
    <w:tbl>
      <w:tblPr>
        <w:tblStyle w:val="Tabellenraster1"/>
        <w:tblW w:w="4912" w:type="pct"/>
        <w:jc w:val="center"/>
        <w:tblCellMar>
          <w:left w:w="28" w:type="dxa"/>
          <w:right w:w="28" w:type="dxa"/>
        </w:tblCellMar>
        <w:tblLook w:val="0000" w:firstRow="0" w:lastRow="0" w:firstColumn="0" w:lastColumn="0" w:noHBand="0" w:noVBand="0"/>
      </w:tblPr>
      <w:tblGrid>
        <w:gridCol w:w="624"/>
        <w:gridCol w:w="3118"/>
        <w:gridCol w:w="3118"/>
        <w:gridCol w:w="2551"/>
      </w:tblGrid>
      <w:tr w:rsidR="00DF71FE" w:rsidRPr="00A06CD1" w:rsidTr="00DF71FE">
        <w:trPr>
          <w:trHeight w:val="454"/>
          <w:jc w:val="center"/>
        </w:trPr>
        <w:tc>
          <w:tcPr>
            <w:tcW w:w="624" w:type="dxa"/>
            <w:vAlign w:val="center"/>
          </w:tcPr>
          <w:p w:rsidR="0033349E" w:rsidRPr="00A06CD1" w:rsidRDefault="0033349E" w:rsidP="0033349E">
            <w:pPr>
              <w:pStyle w:val="textregular"/>
              <w:spacing w:after="0"/>
              <w:jc w:val="center"/>
              <w:rPr>
                <w:rFonts w:ascii="Times New Roman" w:hAnsi="Times New Roman" w:cs="Times New Roman"/>
                <w:b/>
                <w:sz w:val="20"/>
              </w:rPr>
            </w:pPr>
            <w:r w:rsidRPr="00A06CD1">
              <w:rPr>
                <w:rFonts w:ascii="Times New Roman" w:hAnsi="Times New Roman" w:cs="Times New Roman"/>
                <w:b/>
                <w:sz w:val="20"/>
              </w:rPr>
              <w:t>BSP</w:t>
            </w:r>
          </w:p>
        </w:tc>
        <w:tc>
          <w:tcPr>
            <w:tcW w:w="3118" w:type="dxa"/>
            <w:vAlign w:val="center"/>
          </w:tcPr>
          <w:p w:rsidR="0033349E" w:rsidRPr="00A06CD1" w:rsidRDefault="0033349E" w:rsidP="0033349E">
            <w:pPr>
              <w:pStyle w:val="textregular"/>
              <w:spacing w:after="0"/>
              <w:jc w:val="center"/>
              <w:rPr>
                <w:rFonts w:ascii="Times New Roman" w:hAnsi="Times New Roman" w:cs="Times New Roman"/>
                <w:b/>
                <w:sz w:val="20"/>
              </w:rPr>
            </w:pPr>
            <w:r w:rsidRPr="00A06CD1">
              <w:rPr>
                <w:rFonts w:ascii="Times New Roman" w:hAnsi="Times New Roman" w:cs="Times New Roman"/>
                <w:b/>
                <w:sz w:val="20"/>
              </w:rPr>
              <w:t>Volume for System Constraints</w:t>
            </w:r>
          </w:p>
        </w:tc>
        <w:tc>
          <w:tcPr>
            <w:tcW w:w="3118" w:type="dxa"/>
            <w:vAlign w:val="center"/>
          </w:tcPr>
          <w:p w:rsidR="0033349E" w:rsidRPr="00A06CD1" w:rsidRDefault="0033349E" w:rsidP="0033349E">
            <w:pPr>
              <w:pStyle w:val="textregular"/>
              <w:spacing w:after="0"/>
              <w:jc w:val="center"/>
              <w:rPr>
                <w:rFonts w:ascii="Times New Roman" w:hAnsi="Times New Roman" w:cs="Times New Roman"/>
                <w:b/>
                <w:sz w:val="20"/>
              </w:rPr>
            </w:pPr>
            <w:r w:rsidRPr="00A06CD1">
              <w:rPr>
                <w:rFonts w:ascii="Times New Roman" w:hAnsi="Times New Roman" w:cs="Times New Roman"/>
                <w:b/>
                <w:sz w:val="20"/>
              </w:rPr>
              <w:t>Uplift = Bid Price – CBMP</w:t>
            </w:r>
          </w:p>
        </w:tc>
        <w:tc>
          <w:tcPr>
            <w:tcW w:w="2551" w:type="dxa"/>
            <w:vAlign w:val="center"/>
          </w:tcPr>
          <w:p w:rsidR="0033349E" w:rsidRPr="00A06CD1" w:rsidRDefault="0033349E" w:rsidP="0033349E">
            <w:pPr>
              <w:pStyle w:val="textregular"/>
              <w:spacing w:after="0"/>
              <w:jc w:val="center"/>
              <w:rPr>
                <w:rFonts w:ascii="Times New Roman" w:hAnsi="Times New Roman" w:cs="Times New Roman"/>
                <w:b/>
                <w:sz w:val="20"/>
              </w:rPr>
            </w:pPr>
            <w:r w:rsidRPr="00A06CD1">
              <w:rPr>
                <w:rFonts w:ascii="Times New Roman" w:hAnsi="Times New Roman" w:cs="Times New Roman"/>
                <w:b/>
                <w:sz w:val="20"/>
              </w:rPr>
              <w:t>Payment</w:t>
            </w:r>
            <w:r w:rsidR="00DF71FE" w:rsidRPr="00A06CD1">
              <w:rPr>
                <w:rFonts w:ascii="Times New Roman" w:hAnsi="Times New Roman" w:cs="Times New Roman"/>
                <w:b/>
                <w:sz w:val="20"/>
              </w:rPr>
              <w:t xml:space="preserve"> by TSO 2</w:t>
            </w:r>
          </w:p>
        </w:tc>
      </w:tr>
      <w:tr w:rsidR="00DF71FE" w:rsidRPr="0033349E" w:rsidTr="00DF71FE">
        <w:trPr>
          <w:trHeight w:val="454"/>
          <w:jc w:val="center"/>
        </w:trPr>
        <w:tc>
          <w:tcPr>
            <w:tcW w:w="624" w:type="dxa"/>
            <w:vAlign w:val="center"/>
          </w:tcPr>
          <w:p w:rsidR="0033349E" w:rsidRPr="0033349E" w:rsidRDefault="0033349E" w:rsidP="0033349E">
            <w:pPr>
              <w:pStyle w:val="textregular"/>
              <w:spacing w:after="0"/>
              <w:jc w:val="center"/>
              <w:rPr>
                <w:rFonts w:ascii="Times New Roman" w:hAnsi="Times New Roman" w:cs="Times New Roman"/>
                <w:sz w:val="20"/>
              </w:rPr>
            </w:pPr>
            <w:r w:rsidRPr="0033349E">
              <w:rPr>
                <w:rFonts w:ascii="Times New Roman" w:hAnsi="Times New Roman" w:cs="Times New Roman"/>
                <w:sz w:val="20"/>
              </w:rPr>
              <w:t>1</w:t>
            </w:r>
          </w:p>
        </w:tc>
        <w:tc>
          <w:tcPr>
            <w:tcW w:w="3118" w:type="dxa"/>
            <w:vAlign w:val="center"/>
          </w:tcPr>
          <w:p w:rsidR="0033349E" w:rsidRPr="0033349E" w:rsidRDefault="0033349E" w:rsidP="0033349E">
            <w:pPr>
              <w:pStyle w:val="textregular"/>
              <w:spacing w:after="0"/>
              <w:jc w:val="center"/>
              <w:rPr>
                <w:rFonts w:ascii="Times New Roman" w:hAnsi="Times New Roman" w:cs="Times New Roman"/>
                <w:sz w:val="20"/>
              </w:rPr>
            </w:pPr>
            <w:r w:rsidRPr="0033349E">
              <w:rPr>
                <w:rFonts w:ascii="Times New Roman" w:hAnsi="Times New Roman" w:cs="Times New Roman"/>
                <w:sz w:val="20"/>
              </w:rPr>
              <w:t>40 MWh – 20 MWh = 20 MWh</w:t>
            </w:r>
          </w:p>
        </w:tc>
        <w:tc>
          <w:tcPr>
            <w:tcW w:w="3118" w:type="dxa"/>
            <w:vAlign w:val="center"/>
          </w:tcPr>
          <w:p w:rsidR="0033349E" w:rsidRPr="0033349E" w:rsidRDefault="0033349E" w:rsidP="0033349E">
            <w:pPr>
              <w:pStyle w:val="textregular"/>
              <w:spacing w:after="0"/>
              <w:jc w:val="center"/>
              <w:rPr>
                <w:rFonts w:ascii="Times New Roman" w:hAnsi="Times New Roman" w:cs="Times New Roman"/>
                <w:sz w:val="20"/>
              </w:rPr>
            </w:pPr>
            <w:r w:rsidRPr="0033349E">
              <w:rPr>
                <w:rFonts w:ascii="Times New Roman" w:hAnsi="Times New Roman" w:cs="Times New Roman"/>
                <w:sz w:val="20"/>
              </w:rPr>
              <w:t>50 €/MWh – 50 €/MWh = 0 €/MWh</w:t>
            </w:r>
          </w:p>
        </w:tc>
        <w:tc>
          <w:tcPr>
            <w:tcW w:w="2551" w:type="dxa"/>
            <w:vAlign w:val="center"/>
          </w:tcPr>
          <w:p w:rsidR="0033349E" w:rsidRPr="0033349E" w:rsidRDefault="0033349E" w:rsidP="0033349E">
            <w:pPr>
              <w:pStyle w:val="textregular"/>
              <w:spacing w:after="0"/>
              <w:jc w:val="center"/>
              <w:rPr>
                <w:rFonts w:ascii="Times New Roman" w:hAnsi="Times New Roman" w:cs="Times New Roman"/>
                <w:sz w:val="20"/>
              </w:rPr>
            </w:pPr>
            <w:r>
              <w:rPr>
                <w:rFonts w:ascii="Times New Roman" w:hAnsi="Times New Roman" w:cs="Times New Roman"/>
                <w:sz w:val="20"/>
              </w:rPr>
              <w:t>20 MWh* 0</w:t>
            </w:r>
            <w:r w:rsidR="00DF71FE">
              <w:rPr>
                <w:rFonts w:ascii="Times New Roman" w:hAnsi="Times New Roman" w:cs="Times New Roman"/>
                <w:sz w:val="20"/>
              </w:rPr>
              <w:t xml:space="preserve"> €/MWh</w:t>
            </w:r>
          </w:p>
        </w:tc>
      </w:tr>
      <w:tr w:rsidR="00DF71FE" w:rsidRPr="0033349E" w:rsidTr="00DF71FE">
        <w:trPr>
          <w:trHeight w:val="454"/>
          <w:jc w:val="center"/>
        </w:trPr>
        <w:tc>
          <w:tcPr>
            <w:tcW w:w="624" w:type="dxa"/>
            <w:vAlign w:val="center"/>
          </w:tcPr>
          <w:p w:rsidR="0033349E" w:rsidRPr="0033349E" w:rsidRDefault="0033349E" w:rsidP="0033349E">
            <w:pPr>
              <w:pStyle w:val="textregular"/>
              <w:spacing w:after="0"/>
              <w:jc w:val="center"/>
              <w:rPr>
                <w:rFonts w:ascii="Times New Roman" w:hAnsi="Times New Roman" w:cs="Times New Roman"/>
                <w:sz w:val="20"/>
              </w:rPr>
            </w:pPr>
            <w:r w:rsidRPr="0033349E">
              <w:rPr>
                <w:rFonts w:ascii="Times New Roman" w:hAnsi="Times New Roman" w:cs="Times New Roman"/>
                <w:sz w:val="20"/>
              </w:rPr>
              <w:t>2</w:t>
            </w:r>
          </w:p>
        </w:tc>
        <w:tc>
          <w:tcPr>
            <w:tcW w:w="3118" w:type="dxa"/>
            <w:vAlign w:val="center"/>
          </w:tcPr>
          <w:p w:rsidR="0033349E" w:rsidRPr="0033349E" w:rsidRDefault="0033349E" w:rsidP="0033349E">
            <w:pPr>
              <w:pStyle w:val="textregular"/>
              <w:spacing w:after="0"/>
              <w:jc w:val="center"/>
              <w:rPr>
                <w:rFonts w:ascii="Times New Roman" w:hAnsi="Times New Roman" w:cs="Times New Roman"/>
                <w:sz w:val="20"/>
              </w:rPr>
            </w:pPr>
            <w:r w:rsidRPr="0033349E">
              <w:rPr>
                <w:rFonts w:ascii="Times New Roman" w:hAnsi="Times New Roman" w:cs="Times New Roman"/>
                <w:sz w:val="20"/>
              </w:rPr>
              <w:t>10 MWh – 0 MWh = 10 MWh</w:t>
            </w:r>
          </w:p>
        </w:tc>
        <w:tc>
          <w:tcPr>
            <w:tcW w:w="3118" w:type="dxa"/>
            <w:vAlign w:val="center"/>
          </w:tcPr>
          <w:p w:rsidR="0033349E" w:rsidRPr="0033349E" w:rsidRDefault="0033349E" w:rsidP="0033349E">
            <w:pPr>
              <w:pStyle w:val="textregular"/>
              <w:spacing w:after="0"/>
              <w:jc w:val="center"/>
              <w:rPr>
                <w:rFonts w:ascii="Times New Roman" w:hAnsi="Times New Roman" w:cs="Times New Roman"/>
                <w:sz w:val="20"/>
              </w:rPr>
            </w:pPr>
            <w:r w:rsidRPr="0033349E">
              <w:rPr>
                <w:rFonts w:ascii="Times New Roman" w:hAnsi="Times New Roman" w:cs="Times New Roman"/>
                <w:sz w:val="20"/>
              </w:rPr>
              <w:t>60 €/MWh – 50 €/MWh = 10 €/MWh</w:t>
            </w:r>
          </w:p>
        </w:tc>
        <w:tc>
          <w:tcPr>
            <w:tcW w:w="2551" w:type="dxa"/>
            <w:vAlign w:val="center"/>
          </w:tcPr>
          <w:p w:rsidR="0033349E" w:rsidRPr="0033349E" w:rsidRDefault="0033349E" w:rsidP="0033349E">
            <w:pPr>
              <w:pStyle w:val="textregular"/>
              <w:spacing w:after="0"/>
              <w:jc w:val="center"/>
              <w:rPr>
                <w:rFonts w:ascii="Times New Roman" w:hAnsi="Times New Roman" w:cs="Times New Roman"/>
                <w:sz w:val="20"/>
              </w:rPr>
            </w:pPr>
            <w:r>
              <w:rPr>
                <w:rFonts w:ascii="Times New Roman" w:hAnsi="Times New Roman" w:cs="Times New Roman"/>
                <w:sz w:val="20"/>
              </w:rPr>
              <w:t xml:space="preserve">10 MWh </w:t>
            </w:r>
            <w:r w:rsidR="00DF71FE">
              <w:rPr>
                <w:rFonts w:ascii="Times New Roman" w:hAnsi="Times New Roman" w:cs="Times New Roman"/>
                <w:sz w:val="20"/>
              </w:rPr>
              <w:t>* 10 €/MWh</w:t>
            </w:r>
          </w:p>
        </w:tc>
      </w:tr>
    </w:tbl>
    <w:p w:rsidR="00361CFE" w:rsidRPr="009A4C44" w:rsidRDefault="00361CFE" w:rsidP="00361CFE">
      <w:pPr>
        <w:pStyle w:val="Caption"/>
      </w:pPr>
      <w:bookmarkStart w:id="114" w:name="_Ref531793928"/>
      <w:bookmarkStart w:id="115" w:name="_Toc531799973"/>
      <w:r w:rsidRPr="009A4C44">
        <w:t xml:space="preserve">Table </w:t>
      </w:r>
      <w:r w:rsidRPr="009A4C44">
        <w:fldChar w:fldCharType="begin"/>
      </w:r>
      <w:r w:rsidRPr="009A4C44">
        <w:instrText xml:space="preserve"> SEQ Table \* ARABIC </w:instrText>
      </w:r>
      <w:r w:rsidRPr="009A4C44">
        <w:fldChar w:fldCharType="separate"/>
      </w:r>
      <w:r w:rsidR="002D564B">
        <w:rPr>
          <w:noProof/>
        </w:rPr>
        <w:t>5</w:t>
      </w:r>
      <w:r w:rsidRPr="009A4C44">
        <w:fldChar w:fldCharType="end"/>
      </w:r>
      <w:bookmarkEnd w:id="114"/>
      <w:r w:rsidRPr="009A4C44">
        <w:t xml:space="preserve">: </w:t>
      </w:r>
      <w:r>
        <w:t>Bid volumes and price uplifts due to the constrained run</w:t>
      </w:r>
      <w:bookmarkEnd w:id="115"/>
    </w:p>
    <w:p w:rsidR="00D51811" w:rsidRDefault="00DF71FE" w:rsidP="00677A26">
      <w:pPr>
        <w:pStyle w:val="textregular"/>
      </w:pPr>
      <w:r>
        <w:t>The second component which must be considered is the reversed flow from a high price area (TSO 1) to the low price area (TSO 2 and TSO 3).</w:t>
      </w:r>
    </w:p>
    <w:p w:rsidR="00DF71FE" w:rsidRDefault="004F7FD7" w:rsidP="00677A26">
      <w:pPr>
        <w:pStyle w:val="textregular"/>
      </w:pPr>
      <w:r>
        <w:t xml:space="preserve">The respective rent </w:t>
      </w:r>
      <w:r w:rsidR="00D51811">
        <w:t>(</w:t>
      </w:r>
      <w:r w:rsidR="00FF0AA6">
        <w:t xml:space="preserve">in this sign conventions, </w:t>
      </w:r>
      <w:r w:rsidR="00D51811">
        <w:t xml:space="preserve">positive sign means </w:t>
      </w:r>
      <w:r w:rsidR="00FF0AA6">
        <w:t>payment from TSO perspective</w:t>
      </w:r>
      <w:r w:rsidR="00D51811">
        <w:t xml:space="preserve">) </w:t>
      </w:r>
      <w:r>
        <w:t>due to non-intuitive flows is equal to the product of</w:t>
      </w:r>
    </w:p>
    <w:p w:rsidR="004F7FD7" w:rsidRDefault="004F7FD7" w:rsidP="002B7E26">
      <w:pPr>
        <w:pStyle w:val="textregular"/>
        <w:numPr>
          <w:ilvl w:val="0"/>
          <w:numId w:val="31"/>
        </w:numPr>
      </w:pPr>
      <w:r>
        <w:t>the (</w:t>
      </w:r>
      <w:r w:rsidR="00D51811">
        <w:t>import</w:t>
      </w:r>
      <w:r>
        <w:t>) flow on the border (30 MWh) with</w:t>
      </w:r>
    </w:p>
    <w:p w:rsidR="004F7FD7" w:rsidRDefault="004F7FD7" w:rsidP="002B7E26">
      <w:pPr>
        <w:pStyle w:val="textregular"/>
        <w:numPr>
          <w:ilvl w:val="0"/>
          <w:numId w:val="31"/>
        </w:numPr>
      </w:pPr>
      <w:r>
        <w:t xml:space="preserve">the difference between the CBMPs of the exporting </w:t>
      </w:r>
      <w:r w:rsidR="00FF0AA6">
        <w:t xml:space="preserve">and importing </w:t>
      </w:r>
      <w:r>
        <w:t>area</w:t>
      </w:r>
    </w:p>
    <w:p w:rsidR="004F7FD7" w:rsidRDefault="004F7FD7" w:rsidP="004F7FD7">
      <w:pPr>
        <w:pStyle w:val="textregular"/>
      </w:pPr>
      <w:r>
        <w:t xml:space="preserve">In the considered example this rent is equal to </w:t>
      </w:r>
      <w:r w:rsidR="00D51811" w:rsidRPr="009A4C44">
        <w:t>30</w:t>
      </w:r>
      <w:r w:rsidR="00D51811">
        <w:t xml:space="preserve"> </w:t>
      </w:r>
      <w:r w:rsidR="00D51811" w:rsidRPr="009A4C44">
        <w:t>MWh</w:t>
      </w:r>
      <w:r w:rsidR="00D51811">
        <w:t xml:space="preserve"> </w:t>
      </w:r>
      <w:r w:rsidR="00D51811" w:rsidRPr="009A4C44">
        <w:t>*</w:t>
      </w:r>
      <w:r w:rsidR="00D51811">
        <w:t xml:space="preserve"> </w:t>
      </w:r>
      <w:r w:rsidR="00D51811" w:rsidRPr="009A4C44">
        <w:t>(</w:t>
      </w:r>
      <w:r w:rsidR="00FF0AA6">
        <w:t>5</w:t>
      </w:r>
      <w:r w:rsidR="00D51811" w:rsidRPr="009A4C44">
        <w:t>0 €/MWh</w:t>
      </w:r>
      <w:r w:rsidR="00D51811">
        <w:t xml:space="preserve"> </w:t>
      </w:r>
      <w:r w:rsidR="00D51811" w:rsidRPr="009A4C44">
        <w:t>-</w:t>
      </w:r>
      <w:r w:rsidR="00D51811">
        <w:t xml:space="preserve"> </w:t>
      </w:r>
      <w:r w:rsidR="00FF0AA6">
        <w:t>4</w:t>
      </w:r>
      <w:r w:rsidR="00D51811" w:rsidRPr="009A4C44">
        <w:t>0 €/MWh)</w:t>
      </w:r>
      <w:r w:rsidR="00D51811">
        <w:t xml:space="preserve"> </w:t>
      </w:r>
      <w:r w:rsidR="00D51811" w:rsidRPr="009A4C44">
        <w:t>=</w:t>
      </w:r>
      <w:r w:rsidR="00D51811">
        <w:t xml:space="preserve"> </w:t>
      </w:r>
      <w:r w:rsidR="00D51811" w:rsidRPr="009A4C44">
        <w:t>300 €</w:t>
      </w:r>
      <w:r w:rsidR="00F66E8B">
        <w:t xml:space="preserve"> and must also be covered by TSO 2.</w:t>
      </w:r>
    </w:p>
    <w:p w:rsidR="00677A26" w:rsidRPr="009A4C44" w:rsidRDefault="00316843" w:rsidP="00677A26">
      <w:pPr>
        <w:pStyle w:val="textregular"/>
      </w:pPr>
      <w:r w:rsidRPr="009A4C44">
        <w:t xml:space="preserve">The </w:t>
      </w:r>
      <w:r w:rsidR="00F66E8B">
        <w:t xml:space="preserve">resulting </w:t>
      </w:r>
      <w:r w:rsidRPr="009A4C44">
        <w:t xml:space="preserve">financial flows </w:t>
      </w:r>
      <w:r>
        <w:t>(</w:t>
      </w:r>
      <w:r>
        <w:fldChar w:fldCharType="begin"/>
      </w:r>
      <w:r>
        <w:instrText xml:space="preserve"> REF _Ref531792170 \h </w:instrText>
      </w:r>
      <w:r>
        <w:fldChar w:fldCharType="separate"/>
      </w:r>
      <w:r w:rsidR="002D564B" w:rsidRPr="009A4C44">
        <w:t xml:space="preserve">Figure </w:t>
      </w:r>
      <w:r w:rsidR="002D564B">
        <w:rPr>
          <w:noProof/>
        </w:rPr>
        <w:t>7</w:t>
      </w:r>
      <w:r>
        <w:fldChar w:fldCharType="end"/>
      </w:r>
      <w:r>
        <w:t xml:space="preserve">) between the TSOs after the constrained run </w:t>
      </w:r>
      <w:r w:rsidRPr="009A4C44">
        <w:t>are thus the following</w:t>
      </w:r>
      <w:r>
        <w:t xml:space="preserve"> (a negative payment means that the TSO receives the respective amount)</w:t>
      </w:r>
      <w:r w:rsidRPr="009A4C44">
        <w:t>:</w:t>
      </w:r>
      <w:r>
        <w:t xml:space="preserve"> </w:t>
      </w:r>
    </w:p>
    <w:p w:rsidR="00677A26" w:rsidRPr="009A4C44" w:rsidRDefault="00677A26" w:rsidP="00677A26">
      <w:pPr>
        <w:pStyle w:val="textregular"/>
        <w:rPr>
          <w:b/>
        </w:rPr>
      </w:pPr>
      <w:r w:rsidRPr="009A4C44">
        <w:rPr>
          <w:b/>
        </w:rPr>
        <w:t>For TSO</w:t>
      </w:r>
      <w:r w:rsidR="00FF0AA6">
        <w:rPr>
          <w:b/>
        </w:rPr>
        <w:t xml:space="preserve"> </w:t>
      </w:r>
      <w:r w:rsidRPr="009A4C44">
        <w:rPr>
          <w:b/>
        </w:rPr>
        <w:t>1:</w:t>
      </w:r>
    </w:p>
    <w:p w:rsidR="00677A26" w:rsidRPr="009A4C44" w:rsidRDefault="00F66E8B" w:rsidP="002B7E26">
      <w:pPr>
        <w:pStyle w:val="textregular"/>
        <w:numPr>
          <w:ilvl w:val="0"/>
          <w:numId w:val="30"/>
        </w:numPr>
      </w:pPr>
      <w:r>
        <w:lastRenderedPageBreak/>
        <w:t>Import/export of balancing energy</w:t>
      </w:r>
      <w:r w:rsidR="00677A26" w:rsidRPr="009A4C44">
        <w:t xml:space="preserve">: </w:t>
      </w:r>
      <w:r>
        <w:t>-</w:t>
      </w:r>
      <w:r w:rsidR="00677A26" w:rsidRPr="009A4C44">
        <w:t>30</w:t>
      </w:r>
      <w:r>
        <w:t xml:space="preserve"> </w:t>
      </w:r>
      <w:r w:rsidR="00677A26" w:rsidRPr="009A4C44">
        <w:t>MWh</w:t>
      </w:r>
      <w:r>
        <w:t xml:space="preserve"> </w:t>
      </w:r>
      <w:r w:rsidR="00677A26" w:rsidRPr="009A4C44">
        <w:t>*</w:t>
      </w:r>
      <w:r>
        <w:t xml:space="preserve"> </w:t>
      </w:r>
      <w:r w:rsidR="00677A26" w:rsidRPr="009A4C44">
        <w:t>50</w:t>
      </w:r>
      <w:r>
        <w:t xml:space="preserve"> </w:t>
      </w:r>
      <w:r w:rsidR="00677A26" w:rsidRPr="009A4C44">
        <w:t>€/MWh</w:t>
      </w:r>
      <w:r>
        <w:t xml:space="preserve"> </w:t>
      </w:r>
      <w:r w:rsidR="00677A26" w:rsidRPr="009A4C44">
        <w:t>=</w:t>
      </w:r>
      <w:r>
        <w:t xml:space="preserve"> </w:t>
      </w:r>
      <w:r w:rsidR="005D0E3F">
        <w:t>-</w:t>
      </w:r>
      <w:r w:rsidR="00677A26" w:rsidRPr="009A4C44">
        <w:t>1500 €</w:t>
      </w:r>
    </w:p>
    <w:p w:rsidR="00677A26" w:rsidRPr="009A4C44" w:rsidRDefault="005D0E3F" w:rsidP="002B7E26">
      <w:pPr>
        <w:pStyle w:val="textregular"/>
        <w:numPr>
          <w:ilvl w:val="0"/>
          <w:numId w:val="30"/>
        </w:numPr>
      </w:pPr>
      <w:r>
        <w:t>System constraints</w:t>
      </w:r>
      <w:r w:rsidR="00677A26" w:rsidRPr="009A4C44">
        <w:t xml:space="preserve">: </w:t>
      </w:r>
      <w:r w:rsidR="00FF0AA6">
        <w:t>-</w:t>
      </w:r>
      <w:r w:rsidR="00FF0AA6" w:rsidRPr="009A4C44">
        <w:t>10MWh</w:t>
      </w:r>
      <w:r w:rsidR="00FF0AA6">
        <w:t xml:space="preserve"> * </w:t>
      </w:r>
      <w:r w:rsidR="00677A26" w:rsidRPr="009A4C44">
        <w:t>(60</w:t>
      </w:r>
      <w:r>
        <w:t xml:space="preserve"> </w:t>
      </w:r>
      <w:r w:rsidR="00677A26" w:rsidRPr="009A4C44">
        <w:t>€/MWh</w:t>
      </w:r>
      <w:r>
        <w:t xml:space="preserve"> – </w:t>
      </w:r>
      <w:r w:rsidR="00677A26" w:rsidRPr="009A4C44">
        <w:t>50</w:t>
      </w:r>
      <w:r>
        <w:t xml:space="preserve"> </w:t>
      </w:r>
      <w:r w:rsidR="00677A26" w:rsidRPr="009A4C44">
        <w:t>€/MWh)</w:t>
      </w:r>
      <w:r>
        <w:t xml:space="preserve"> </w:t>
      </w:r>
      <w:r w:rsidR="00677A26" w:rsidRPr="009A4C44">
        <w:t>=</w:t>
      </w:r>
      <w:r>
        <w:t xml:space="preserve"> -</w:t>
      </w:r>
      <w:r w:rsidR="00677A26" w:rsidRPr="009A4C44">
        <w:t xml:space="preserve">100€ </w:t>
      </w:r>
    </w:p>
    <w:p w:rsidR="00677A26" w:rsidRPr="009A4C44" w:rsidRDefault="00677A26" w:rsidP="00677A26">
      <w:pPr>
        <w:pStyle w:val="textregular"/>
        <w:rPr>
          <w:b/>
        </w:rPr>
      </w:pPr>
      <w:r w:rsidRPr="009A4C44">
        <w:rPr>
          <w:b/>
        </w:rPr>
        <w:t>For TSO</w:t>
      </w:r>
      <w:r w:rsidR="00FF0AA6">
        <w:rPr>
          <w:b/>
        </w:rPr>
        <w:t xml:space="preserve"> </w:t>
      </w:r>
      <w:r w:rsidRPr="009A4C44">
        <w:rPr>
          <w:b/>
        </w:rPr>
        <w:t>2:</w:t>
      </w:r>
    </w:p>
    <w:p w:rsidR="00677A26" w:rsidRPr="009A4C44" w:rsidRDefault="00F66E8B" w:rsidP="002B7E26">
      <w:pPr>
        <w:pStyle w:val="textregular"/>
        <w:numPr>
          <w:ilvl w:val="0"/>
          <w:numId w:val="31"/>
        </w:numPr>
      </w:pPr>
      <w:r>
        <w:t>Import/export of balancing energy</w:t>
      </w:r>
      <w:r w:rsidRPr="009A4C44">
        <w:t>:</w:t>
      </w:r>
      <w:r w:rsidR="00677A26" w:rsidRPr="009A4C44">
        <w:t xml:space="preserve"> 30</w:t>
      </w:r>
      <w:r w:rsidR="005D0E3F">
        <w:t xml:space="preserve"> </w:t>
      </w:r>
      <w:r w:rsidR="00677A26" w:rsidRPr="009A4C44">
        <w:t>MWh</w:t>
      </w:r>
      <w:r w:rsidR="005D0E3F">
        <w:t xml:space="preserve"> </w:t>
      </w:r>
      <w:r w:rsidR="00677A26" w:rsidRPr="009A4C44">
        <w:t>*</w:t>
      </w:r>
      <w:r w:rsidR="005D0E3F">
        <w:t xml:space="preserve"> </w:t>
      </w:r>
      <w:r w:rsidR="00677A26" w:rsidRPr="009A4C44">
        <w:t>40</w:t>
      </w:r>
      <w:r w:rsidR="005D0E3F">
        <w:t xml:space="preserve"> </w:t>
      </w:r>
      <w:r w:rsidR="00677A26" w:rsidRPr="009A4C44">
        <w:t>€/MWh</w:t>
      </w:r>
      <w:r w:rsidR="005D0E3F">
        <w:t xml:space="preserve"> </w:t>
      </w:r>
      <w:r w:rsidR="00677A26" w:rsidRPr="009A4C44">
        <w:t>+</w:t>
      </w:r>
      <w:r w:rsidR="005D0E3F">
        <w:t xml:space="preserve"> </w:t>
      </w:r>
      <w:r w:rsidR="00677A26" w:rsidRPr="009A4C44">
        <w:t>20</w:t>
      </w:r>
      <w:r w:rsidR="005D0E3F">
        <w:t xml:space="preserve"> </w:t>
      </w:r>
      <w:r w:rsidR="00677A26" w:rsidRPr="009A4C44">
        <w:t>MWh</w:t>
      </w:r>
      <w:r w:rsidR="005D0E3F">
        <w:t xml:space="preserve"> </w:t>
      </w:r>
      <w:r w:rsidR="00677A26" w:rsidRPr="009A4C44">
        <w:t>*</w:t>
      </w:r>
      <w:r w:rsidR="005D0E3F">
        <w:t xml:space="preserve"> </w:t>
      </w:r>
      <w:r w:rsidR="00677A26" w:rsidRPr="009A4C44">
        <w:t>40€/MWh</w:t>
      </w:r>
      <w:r w:rsidR="005D0E3F">
        <w:t xml:space="preserve"> </w:t>
      </w:r>
      <w:r w:rsidR="00677A26" w:rsidRPr="009A4C44">
        <w:t>=</w:t>
      </w:r>
      <w:r w:rsidR="005D0E3F">
        <w:t xml:space="preserve"> </w:t>
      </w:r>
      <w:r w:rsidR="00677A26" w:rsidRPr="009A4C44">
        <w:t>2000 €</w:t>
      </w:r>
    </w:p>
    <w:p w:rsidR="00FF0AA6" w:rsidRDefault="005D0E3F" w:rsidP="002B7E26">
      <w:pPr>
        <w:pStyle w:val="textregular"/>
        <w:numPr>
          <w:ilvl w:val="0"/>
          <w:numId w:val="31"/>
        </w:numPr>
      </w:pPr>
      <w:r>
        <w:t>System constraints</w:t>
      </w:r>
    </w:p>
    <w:p w:rsidR="00677A26" w:rsidRPr="009A4C44" w:rsidRDefault="00FF0AA6" w:rsidP="002B7E26">
      <w:pPr>
        <w:pStyle w:val="textregular"/>
        <w:numPr>
          <w:ilvl w:val="1"/>
          <w:numId w:val="31"/>
        </w:numPr>
      </w:pPr>
      <w:r>
        <w:t xml:space="preserve">BSP uplifts: </w:t>
      </w:r>
      <w:r w:rsidRPr="009A4C44">
        <w:t xml:space="preserve">10MWh </w:t>
      </w:r>
      <w:r>
        <w:t xml:space="preserve">* </w:t>
      </w:r>
      <w:r w:rsidR="00677A26" w:rsidRPr="009A4C44">
        <w:t>(60€/MWh</w:t>
      </w:r>
      <w:r w:rsidR="005D0E3F">
        <w:t xml:space="preserve"> </w:t>
      </w:r>
      <w:r w:rsidR="00677A26" w:rsidRPr="009A4C44">
        <w:t>-</w:t>
      </w:r>
      <w:r w:rsidR="005D0E3F">
        <w:t xml:space="preserve"> </w:t>
      </w:r>
      <w:r w:rsidR="00677A26" w:rsidRPr="009A4C44">
        <w:t>50€/MWh)</w:t>
      </w:r>
      <w:r w:rsidR="005D0E3F">
        <w:t xml:space="preserve"> </w:t>
      </w:r>
      <w:r w:rsidR="00677A26" w:rsidRPr="009A4C44">
        <w:t>=</w:t>
      </w:r>
      <w:r w:rsidR="005D0E3F">
        <w:t xml:space="preserve"> </w:t>
      </w:r>
      <w:r w:rsidR="00677A26" w:rsidRPr="009A4C44">
        <w:t xml:space="preserve">100€ </w:t>
      </w:r>
    </w:p>
    <w:p w:rsidR="00677A26" w:rsidRPr="009A4C44" w:rsidRDefault="00FF0AA6" w:rsidP="002B7E26">
      <w:pPr>
        <w:pStyle w:val="textregular"/>
        <w:numPr>
          <w:ilvl w:val="1"/>
          <w:numId w:val="31"/>
        </w:numPr>
      </w:pPr>
      <w:r>
        <w:t>Non-intuitive flows:</w:t>
      </w:r>
      <w:r w:rsidR="00677A26" w:rsidRPr="009A4C44">
        <w:t xml:space="preserve"> 30MWh</w:t>
      </w:r>
      <w:r>
        <w:t xml:space="preserve"> </w:t>
      </w:r>
      <w:r w:rsidR="00677A26" w:rsidRPr="009A4C44">
        <w:t>*</w:t>
      </w:r>
      <w:r>
        <w:t xml:space="preserve"> </w:t>
      </w:r>
      <w:r w:rsidR="00677A26" w:rsidRPr="009A4C44">
        <w:t>(50 €/MWh-40 €/MWh)</w:t>
      </w:r>
      <w:r>
        <w:t xml:space="preserve"> </w:t>
      </w:r>
      <w:r w:rsidR="00677A26" w:rsidRPr="009A4C44">
        <w:t>=</w:t>
      </w:r>
      <w:r>
        <w:t xml:space="preserve"> </w:t>
      </w:r>
      <w:r w:rsidR="00677A26" w:rsidRPr="009A4C44">
        <w:t>300 €</w:t>
      </w:r>
    </w:p>
    <w:p w:rsidR="00677A26" w:rsidRPr="009A4C44" w:rsidRDefault="00677A26" w:rsidP="00677A26">
      <w:pPr>
        <w:pStyle w:val="textregular"/>
        <w:rPr>
          <w:b/>
        </w:rPr>
      </w:pPr>
      <w:r w:rsidRPr="009A4C44">
        <w:rPr>
          <w:b/>
        </w:rPr>
        <w:t>For TSO</w:t>
      </w:r>
      <w:r w:rsidR="00FF0AA6">
        <w:rPr>
          <w:b/>
        </w:rPr>
        <w:t xml:space="preserve"> </w:t>
      </w:r>
      <w:r w:rsidRPr="009A4C44">
        <w:rPr>
          <w:b/>
        </w:rPr>
        <w:t>3:</w:t>
      </w:r>
    </w:p>
    <w:p w:rsidR="00677A26" w:rsidRPr="009A4C44" w:rsidRDefault="00F66E8B" w:rsidP="002B7E26">
      <w:pPr>
        <w:pStyle w:val="textregular"/>
        <w:numPr>
          <w:ilvl w:val="0"/>
          <w:numId w:val="32"/>
        </w:numPr>
      </w:pPr>
      <w:r>
        <w:t>Import/export of balancing energy</w:t>
      </w:r>
      <w:r w:rsidRPr="009A4C44">
        <w:t>:</w:t>
      </w:r>
      <w:r w:rsidR="00677A26" w:rsidRPr="009A4C44">
        <w:t xml:space="preserve"> 20</w:t>
      </w:r>
      <w:r w:rsidR="00A25C66">
        <w:t xml:space="preserve"> </w:t>
      </w:r>
      <w:r w:rsidR="00677A26" w:rsidRPr="009A4C44">
        <w:t>MW</w:t>
      </w:r>
      <w:r w:rsidR="00A25C66">
        <w:t xml:space="preserve"> </w:t>
      </w:r>
      <w:r w:rsidR="00677A26" w:rsidRPr="009A4C44">
        <w:t>*</w:t>
      </w:r>
      <w:r w:rsidR="00A25C66">
        <w:t xml:space="preserve"> </w:t>
      </w:r>
      <w:r w:rsidR="00677A26" w:rsidRPr="009A4C44">
        <w:t>40</w:t>
      </w:r>
      <w:r w:rsidR="00A25C66">
        <w:t xml:space="preserve"> </w:t>
      </w:r>
      <w:r w:rsidR="00677A26" w:rsidRPr="009A4C44">
        <w:t>€/MWh</w:t>
      </w:r>
      <w:r w:rsidR="00A25C66">
        <w:t xml:space="preserve"> </w:t>
      </w:r>
      <w:r w:rsidR="00677A26" w:rsidRPr="009A4C44">
        <w:t>=</w:t>
      </w:r>
      <w:r w:rsidR="00A25C66">
        <w:t xml:space="preserve"> </w:t>
      </w:r>
      <w:r w:rsidR="00677A26" w:rsidRPr="009A4C44">
        <w:t>800 €</w:t>
      </w:r>
    </w:p>
    <w:p w:rsidR="00677A26" w:rsidRPr="009A4C44" w:rsidRDefault="00A25C66" w:rsidP="002B7E26">
      <w:pPr>
        <w:pStyle w:val="textregular"/>
        <w:numPr>
          <w:ilvl w:val="0"/>
          <w:numId w:val="32"/>
        </w:numPr>
      </w:pPr>
      <w:r>
        <w:t>System constraints: 0 MWh * 0 €/MWh (as TSO 3 neither requested activation for system constraints nor has selected bids with a higher bid price than the CBMP of this area)</w:t>
      </w:r>
      <w:r w:rsidR="00CF4969">
        <w:t>.</w:t>
      </w:r>
    </w:p>
    <w:p w:rsidR="00677A26" w:rsidRPr="009A4C44" w:rsidRDefault="00CF4969" w:rsidP="00CF4969">
      <w:pPr>
        <w:pStyle w:val="textregular"/>
        <w:jc w:val="center"/>
      </w:pPr>
      <w:r w:rsidRPr="00CF4969">
        <w:rPr>
          <w:noProof/>
          <w:lang w:val="ro-RO" w:eastAsia="ro-RO"/>
        </w:rPr>
        <w:drawing>
          <wp:inline distT="0" distB="0" distL="0" distR="0" wp14:anchorId="6E97646B" wp14:editId="40F45CEC">
            <wp:extent cx="5783593" cy="1508409"/>
            <wp:effectExtent l="0" t="0" r="7620" b="0"/>
            <wp:docPr id="248" name="Grafik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89802" cy="1510028"/>
                    </a:xfrm>
                    <a:prstGeom prst="rect">
                      <a:avLst/>
                    </a:prstGeom>
                    <a:noFill/>
                    <a:ln>
                      <a:noFill/>
                    </a:ln>
                  </pic:spPr>
                </pic:pic>
              </a:graphicData>
            </a:graphic>
          </wp:inline>
        </w:drawing>
      </w:r>
    </w:p>
    <w:p w:rsidR="00CA2308" w:rsidRPr="009A4C44" w:rsidRDefault="00CA2308" w:rsidP="00CA2308">
      <w:pPr>
        <w:pStyle w:val="Caption"/>
      </w:pPr>
      <w:bookmarkStart w:id="116" w:name="_Ref531792170"/>
      <w:bookmarkStart w:id="117" w:name="_Toc531799960"/>
      <w:r w:rsidRPr="009A4C44">
        <w:t xml:space="preserve">Figure </w:t>
      </w:r>
      <w:r w:rsidRPr="009A4C44">
        <w:fldChar w:fldCharType="begin"/>
      </w:r>
      <w:r w:rsidRPr="009A4C44">
        <w:instrText xml:space="preserve"> SEQ Figure \* ARABIC </w:instrText>
      </w:r>
      <w:r w:rsidRPr="009A4C44">
        <w:fldChar w:fldCharType="separate"/>
      </w:r>
      <w:r w:rsidR="002D564B">
        <w:rPr>
          <w:noProof/>
        </w:rPr>
        <w:t>7</w:t>
      </w:r>
      <w:r w:rsidRPr="009A4C44">
        <w:fldChar w:fldCharType="end"/>
      </w:r>
      <w:bookmarkEnd w:id="116"/>
      <w:r w:rsidRPr="009A4C44">
        <w:t>: TSO-TSO settlement result for constraint run</w:t>
      </w:r>
      <w:bookmarkEnd w:id="117"/>
    </w:p>
    <w:p w:rsidR="00C074FB" w:rsidRDefault="002245D8" w:rsidP="00C074FB">
      <w:pPr>
        <w:pStyle w:val="textregular"/>
        <w:rPr>
          <w:szCs w:val="22"/>
        </w:rPr>
      </w:pPr>
      <w:r>
        <w:rPr>
          <w:szCs w:val="22"/>
          <w:u w:val="single"/>
        </w:rPr>
        <w:fldChar w:fldCharType="begin"/>
      </w:r>
      <w:r>
        <w:rPr>
          <w:szCs w:val="22"/>
          <w:u w:val="single"/>
        </w:rPr>
        <w:instrText xml:space="preserve"> REF _Ref531796584 \h </w:instrText>
      </w:r>
      <w:r>
        <w:rPr>
          <w:szCs w:val="22"/>
          <w:u w:val="single"/>
        </w:rPr>
      </w:r>
      <w:r>
        <w:rPr>
          <w:szCs w:val="22"/>
          <w:u w:val="single"/>
        </w:rPr>
        <w:fldChar w:fldCharType="separate"/>
      </w:r>
      <w:r w:rsidR="002D564B" w:rsidRPr="009A4C44">
        <w:t xml:space="preserve">Table </w:t>
      </w:r>
      <w:r w:rsidR="002D564B">
        <w:rPr>
          <w:noProof/>
        </w:rPr>
        <w:t>6</w:t>
      </w:r>
      <w:r>
        <w:rPr>
          <w:szCs w:val="22"/>
          <w:u w:val="single"/>
        </w:rPr>
        <w:fldChar w:fldCharType="end"/>
      </w:r>
      <w:r w:rsidR="00C73774">
        <w:rPr>
          <w:szCs w:val="22"/>
          <w:u w:val="single"/>
        </w:rPr>
        <w:t xml:space="preserve"> </w:t>
      </w:r>
      <w:r w:rsidR="00C074FB">
        <w:rPr>
          <w:szCs w:val="22"/>
        </w:rPr>
        <w:t>show</w:t>
      </w:r>
      <w:r>
        <w:rPr>
          <w:szCs w:val="22"/>
        </w:rPr>
        <w:t>s</w:t>
      </w:r>
      <w:r w:rsidR="00C074FB">
        <w:rPr>
          <w:szCs w:val="22"/>
        </w:rPr>
        <w:t xml:space="preserve"> that TSO 1 which supplies the additional 30 MW for system constraints purposes is fully compensated by TSO 2:</w:t>
      </w:r>
    </w:p>
    <w:tbl>
      <w:tblPr>
        <w:tblStyle w:val="Tabellenraster1"/>
        <w:tblW w:w="4882" w:type="pct"/>
        <w:jc w:val="center"/>
        <w:tblCellMar>
          <w:left w:w="28" w:type="dxa"/>
          <w:right w:w="28" w:type="dxa"/>
        </w:tblCellMar>
        <w:tblLook w:val="0000" w:firstRow="0" w:lastRow="0" w:firstColumn="0" w:lastColumn="0" w:noHBand="0" w:noVBand="0"/>
      </w:tblPr>
      <w:tblGrid>
        <w:gridCol w:w="3118"/>
        <w:gridCol w:w="3118"/>
        <w:gridCol w:w="3118"/>
      </w:tblGrid>
      <w:tr w:rsidR="00E21F6E" w:rsidRPr="00A06CD1" w:rsidTr="00E21F6E">
        <w:trPr>
          <w:trHeight w:val="454"/>
          <w:jc w:val="center"/>
        </w:trPr>
        <w:tc>
          <w:tcPr>
            <w:tcW w:w="3118" w:type="dxa"/>
            <w:vAlign w:val="center"/>
          </w:tcPr>
          <w:p w:rsidR="00E21F6E" w:rsidRPr="00A06CD1" w:rsidRDefault="00E21F6E" w:rsidP="007B5370">
            <w:pPr>
              <w:pStyle w:val="textregular"/>
              <w:spacing w:after="0"/>
              <w:jc w:val="center"/>
              <w:rPr>
                <w:rFonts w:ascii="Times New Roman" w:hAnsi="Times New Roman" w:cs="Times New Roman"/>
                <w:b/>
                <w:sz w:val="20"/>
              </w:rPr>
            </w:pPr>
            <w:r w:rsidRPr="00A06CD1">
              <w:rPr>
                <w:rFonts w:ascii="Times New Roman" w:hAnsi="Times New Roman" w:cs="Times New Roman"/>
                <w:b/>
                <w:sz w:val="20"/>
              </w:rPr>
              <w:t>Payments</w:t>
            </w:r>
          </w:p>
        </w:tc>
        <w:tc>
          <w:tcPr>
            <w:tcW w:w="3118" w:type="dxa"/>
            <w:vAlign w:val="center"/>
          </w:tcPr>
          <w:p w:rsidR="00E21F6E" w:rsidRPr="00A06CD1" w:rsidRDefault="00E21F6E" w:rsidP="007B5370">
            <w:pPr>
              <w:pStyle w:val="textregular"/>
              <w:spacing w:after="0"/>
              <w:jc w:val="center"/>
              <w:rPr>
                <w:rFonts w:ascii="Times New Roman" w:hAnsi="Times New Roman" w:cs="Times New Roman"/>
                <w:b/>
                <w:sz w:val="20"/>
              </w:rPr>
            </w:pPr>
            <w:r w:rsidRPr="00A06CD1">
              <w:rPr>
                <w:rFonts w:ascii="Times New Roman" w:hAnsi="Times New Roman" w:cs="Times New Roman"/>
                <w:b/>
                <w:sz w:val="20"/>
              </w:rPr>
              <w:t>Without System Constraints</w:t>
            </w:r>
          </w:p>
        </w:tc>
        <w:tc>
          <w:tcPr>
            <w:tcW w:w="3118" w:type="dxa"/>
            <w:vAlign w:val="center"/>
          </w:tcPr>
          <w:p w:rsidR="00E21F6E" w:rsidRPr="00A06CD1" w:rsidRDefault="00E21F6E" w:rsidP="007B5370">
            <w:pPr>
              <w:pStyle w:val="textregular"/>
              <w:spacing w:after="0"/>
              <w:jc w:val="center"/>
              <w:rPr>
                <w:rFonts w:ascii="Times New Roman" w:hAnsi="Times New Roman" w:cs="Times New Roman"/>
                <w:b/>
                <w:sz w:val="20"/>
              </w:rPr>
            </w:pPr>
            <w:r w:rsidRPr="00A06CD1">
              <w:rPr>
                <w:rFonts w:ascii="Times New Roman" w:hAnsi="Times New Roman" w:cs="Times New Roman"/>
                <w:b/>
                <w:sz w:val="20"/>
              </w:rPr>
              <w:t>With System Constraints</w:t>
            </w:r>
          </w:p>
        </w:tc>
      </w:tr>
      <w:tr w:rsidR="00E21F6E" w:rsidRPr="0033349E" w:rsidTr="00E21F6E">
        <w:trPr>
          <w:trHeight w:val="454"/>
          <w:jc w:val="center"/>
        </w:trPr>
        <w:tc>
          <w:tcPr>
            <w:tcW w:w="3118" w:type="dxa"/>
            <w:vAlign w:val="center"/>
          </w:tcPr>
          <w:p w:rsidR="00E21F6E" w:rsidRPr="0033349E" w:rsidRDefault="00E21F6E" w:rsidP="007B5370">
            <w:pPr>
              <w:pStyle w:val="textregular"/>
              <w:spacing w:after="0"/>
              <w:jc w:val="center"/>
              <w:rPr>
                <w:rFonts w:ascii="Times New Roman" w:hAnsi="Times New Roman" w:cs="Times New Roman"/>
                <w:sz w:val="20"/>
              </w:rPr>
            </w:pPr>
            <w:r>
              <w:rPr>
                <w:rFonts w:ascii="Times New Roman" w:hAnsi="Times New Roman" w:cs="Times New Roman"/>
                <w:sz w:val="20"/>
              </w:rPr>
              <w:t>Payment to BSP 1</w:t>
            </w:r>
          </w:p>
        </w:tc>
        <w:tc>
          <w:tcPr>
            <w:tcW w:w="3118" w:type="dxa"/>
            <w:vAlign w:val="center"/>
          </w:tcPr>
          <w:p w:rsidR="00E21F6E" w:rsidRPr="0033349E" w:rsidRDefault="00E21F6E" w:rsidP="007B5370">
            <w:pPr>
              <w:pStyle w:val="textregular"/>
              <w:spacing w:after="0"/>
              <w:jc w:val="center"/>
              <w:rPr>
                <w:rFonts w:ascii="Times New Roman" w:hAnsi="Times New Roman" w:cs="Times New Roman"/>
                <w:sz w:val="20"/>
              </w:rPr>
            </w:pPr>
            <w:r w:rsidRPr="0033349E">
              <w:rPr>
                <w:rFonts w:ascii="Times New Roman" w:hAnsi="Times New Roman" w:cs="Times New Roman"/>
                <w:sz w:val="20"/>
              </w:rPr>
              <w:t>20 MWh</w:t>
            </w:r>
            <w:r>
              <w:rPr>
                <w:rFonts w:ascii="Times New Roman" w:hAnsi="Times New Roman" w:cs="Times New Roman"/>
                <w:sz w:val="20"/>
              </w:rPr>
              <w:t xml:space="preserve"> * 50 €/MW</w:t>
            </w:r>
            <w:r w:rsidR="004234DF">
              <w:rPr>
                <w:rFonts w:ascii="Times New Roman" w:hAnsi="Times New Roman" w:cs="Times New Roman"/>
                <w:sz w:val="20"/>
              </w:rPr>
              <w:t>h</w:t>
            </w:r>
            <w:r>
              <w:rPr>
                <w:rFonts w:ascii="Times New Roman" w:hAnsi="Times New Roman" w:cs="Times New Roman"/>
                <w:sz w:val="20"/>
              </w:rPr>
              <w:t xml:space="preserve"> = 1000 €</w:t>
            </w:r>
          </w:p>
        </w:tc>
        <w:tc>
          <w:tcPr>
            <w:tcW w:w="3118" w:type="dxa"/>
            <w:vAlign w:val="center"/>
          </w:tcPr>
          <w:p w:rsidR="00E21F6E" w:rsidRPr="0033349E" w:rsidRDefault="00E21F6E" w:rsidP="007B5370">
            <w:pPr>
              <w:pStyle w:val="textregular"/>
              <w:spacing w:after="0"/>
              <w:jc w:val="center"/>
              <w:rPr>
                <w:rFonts w:ascii="Times New Roman" w:hAnsi="Times New Roman" w:cs="Times New Roman"/>
                <w:sz w:val="20"/>
              </w:rPr>
            </w:pPr>
            <w:r>
              <w:rPr>
                <w:rFonts w:ascii="Times New Roman" w:hAnsi="Times New Roman" w:cs="Times New Roman"/>
                <w:sz w:val="20"/>
              </w:rPr>
              <w:t>4</w:t>
            </w:r>
            <w:r w:rsidRPr="0033349E">
              <w:rPr>
                <w:rFonts w:ascii="Times New Roman" w:hAnsi="Times New Roman" w:cs="Times New Roman"/>
                <w:sz w:val="20"/>
              </w:rPr>
              <w:t>0 MWh</w:t>
            </w:r>
            <w:r>
              <w:rPr>
                <w:rFonts w:ascii="Times New Roman" w:hAnsi="Times New Roman" w:cs="Times New Roman"/>
                <w:sz w:val="20"/>
              </w:rPr>
              <w:t xml:space="preserve"> * 50 €/MW = 2000 €</w:t>
            </w:r>
          </w:p>
        </w:tc>
      </w:tr>
      <w:tr w:rsidR="004234DF" w:rsidRPr="0033349E" w:rsidTr="007B5370">
        <w:trPr>
          <w:trHeight w:val="454"/>
          <w:jc w:val="center"/>
        </w:trPr>
        <w:tc>
          <w:tcPr>
            <w:tcW w:w="3118" w:type="dxa"/>
            <w:vAlign w:val="center"/>
          </w:tcPr>
          <w:p w:rsidR="004234DF" w:rsidRPr="0033349E" w:rsidRDefault="004234DF" w:rsidP="004234DF">
            <w:pPr>
              <w:pStyle w:val="textregular"/>
              <w:spacing w:after="0"/>
              <w:jc w:val="center"/>
              <w:rPr>
                <w:rFonts w:ascii="Times New Roman" w:hAnsi="Times New Roman" w:cs="Times New Roman"/>
                <w:sz w:val="20"/>
              </w:rPr>
            </w:pPr>
            <w:r>
              <w:rPr>
                <w:rFonts w:ascii="Times New Roman" w:hAnsi="Times New Roman" w:cs="Times New Roman"/>
                <w:sz w:val="20"/>
              </w:rPr>
              <w:t>Payment to BSP 2</w:t>
            </w:r>
          </w:p>
        </w:tc>
        <w:tc>
          <w:tcPr>
            <w:tcW w:w="3118" w:type="dxa"/>
            <w:vAlign w:val="center"/>
          </w:tcPr>
          <w:p w:rsidR="004234DF" w:rsidRPr="0033349E" w:rsidRDefault="004234DF" w:rsidP="004234DF">
            <w:pPr>
              <w:pStyle w:val="textregular"/>
              <w:spacing w:after="0"/>
              <w:jc w:val="center"/>
              <w:rPr>
                <w:rFonts w:ascii="Times New Roman" w:hAnsi="Times New Roman" w:cs="Times New Roman"/>
                <w:sz w:val="20"/>
              </w:rPr>
            </w:pPr>
            <w:r w:rsidRPr="0033349E">
              <w:rPr>
                <w:rFonts w:ascii="Times New Roman" w:hAnsi="Times New Roman" w:cs="Times New Roman"/>
                <w:sz w:val="20"/>
              </w:rPr>
              <w:t xml:space="preserve">0 MWh </w:t>
            </w:r>
            <w:r>
              <w:rPr>
                <w:rFonts w:ascii="Times New Roman" w:hAnsi="Times New Roman" w:cs="Times New Roman"/>
                <w:sz w:val="20"/>
              </w:rPr>
              <w:t xml:space="preserve">* 0 €/MWh </w:t>
            </w:r>
            <w:r w:rsidRPr="0033349E">
              <w:rPr>
                <w:rFonts w:ascii="Times New Roman" w:hAnsi="Times New Roman" w:cs="Times New Roman"/>
                <w:sz w:val="20"/>
              </w:rPr>
              <w:t xml:space="preserve">= </w:t>
            </w:r>
            <w:r>
              <w:rPr>
                <w:rFonts w:ascii="Times New Roman" w:hAnsi="Times New Roman" w:cs="Times New Roman"/>
                <w:sz w:val="20"/>
              </w:rPr>
              <w:t>0 €</w:t>
            </w:r>
          </w:p>
        </w:tc>
        <w:tc>
          <w:tcPr>
            <w:tcW w:w="3118" w:type="dxa"/>
            <w:vAlign w:val="center"/>
          </w:tcPr>
          <w:p w:rsidR="004234DF" w:rsidRPr="0033349E" w:rsidRDefault="004234DF" w:rsidP="004234DF">
            <w:pPr>
              <w:pStyle w:val="textregular"/>
              <w:spacing w:after="0"/>
              <w:jc w:val="center"/>
              <w:rPr>
                <w:rFonts w:ascii="Times New Roman" w:hAnsi="Times New Roman" w:cs="Times New Roman"/>
                <w:sz w:val="20"/>
              </w:rPr>
            </w:pPr>
            <w:r>
              <w:rPr>
                <w:rFonts w:ascii="Times New Roman" w:hAnsi="Times New Roman" w:cs="Times New Roman"/>
                <w:sz w:val="20"/>
              </w:rPr>
              <w:t>1</w:t>
            </w:r>
            <w:r w:rsidRPr="0033349E">
              <w:rPr>
                <w:rFonts w:ascii="Times New Roman" w:hAnsi="Times New Roman" w:cs="Times New Roman"/>
                <w:sz w:val="20"/>
              </w:rPr>
              <w:t>0 MWh</w:t>
            </w:r>
            <w:r>
              <w:rPr>
                <w:rFonts w:ascii="Times New Roman" w:hAnsi="Times New Roman" w:cs="Times New Roman"/>
                <w:sz w:val="20"/>
              </w:rPr>
              <w:t xml:space="preserve"> * 60 €/MW = 600 €</w:t>
            </w:r>
          </w:p>
        </w:tc>
      </w:tr>
      <w:tr w:rsidR="00E21F6E" w:rsidRPr="0033349E" w:rsidTr="00E21F6E">
        <w:trPr>
          <w:trHeight w:val="454"/>
          <w:jc w:val="center"/>
        </w:trPr>
        <w:tc>
          <w:tcPr>
            <w:tcW w:w="3118" w:type="dxa"/>
            <w:vAlign w:val="center"/>
          </w:tcPr>
          <w:p w:rsidR="00E21F6E" w:rsidRPr="0033349E" w:rsidRDefault="00D84CA0" w:rsidP="00D84CA0">
            <w:pPr>
              <w:pStyle w:val="textregular"/>
              <w:spacing w:after="0"/>
              <w:jc w:val="center"/>
              <w:rPr>
                <w:rFonts w:ascii="Times New Roman" w:hAnsi="Times New Roman" w:cs="Times New Roman"/>
                <w:sz w:val="20"/>
              </w:rPr>
            </w:pPr>
            <w:r>
              <w:rPr>
                <w:rFonts w:ascii="Times New Roman" w:hAnsi="Times New Roman" w:cs="Times New Roman"/>
                <w:sz w:val="20"/>
              </w:rPr>
              <w:t xml:space="preserve">TSO-TSO settlement due to </w:t>
            </w:r>
            <w:r w:rsidR="004234DF">
              <w:rPr>
                <w:rFonts w:ascii="Times New Roman" w:hAnsi="Times New Roman" w:cs="Times New Roman"/>
                <w:sz w:val="20"/>
              </w:rPr>
              <w:t>balancing energy</w:t>
            </w:r>
            <w:r>
              <w:rPr>
                <w:rFonts w:ascii="Times New Roman" w:hAnsi="Times New Roman" w:cs="Times New Roman"/>
                <w:sz w:val="20"/>
              </w:rPr>
              <w:t xml:space="preserve"> import/export</w:t>
            </w:r>
          </w:p>
        </w:tc>
        <w:tc>
          <w:tcPr>
            <w:tcW w:w="3118" w:type="dxa"/>
            <w:vAlign w:val="center"/>
          </w:tcPr>
          <w:p w:rsidR="00E21F6E" w:rsidRPr="0033349E" w:rsidRDefault="00E21F6E" w:rsidP="004234DF">
            <w:pPr>
              <w:pStyle w:val="textregular"/>
              <w:spacing w:after="0"/>
              <w:jc w:val="center"/>
              <w:rPr>
                <w:rFonts w:ascii="Times New Roman" w:hAnsi="Times New Roman" w:cs="Times New Roman"/>
                <w:sz w:val="20"/>
              </w:rPr>
            </w:pPr>
            <w:r w:rsidRPr="0033349E">
              <w:rPr>
                <w:rFonts w:ascii="Times New Roman" w:hAnsi="Times New Roman" w:cs="Times New Roman"/>
                <w:sz w:val="20"/>
              </w:rPr>
              <w:t xml:space="preserve">0 MWh </w:t>
            </w:r>
            <w:r w:rsidR="004234DF">
              <w:rPr>
                <w:rFonts w:ascii="Times New Roman" w:hAnsi="Times New Roman" w:cs="Times New Roman"/>
                <w:sz w:val="20"/>
              </w:rPr>
              <w:t xml:space="preserve">* 50 €/MWh </w:t>
            </w:r>
            <w:r w:rsidRPr="0033349E">
              <w:rPr>
                <w:rFonts w:ascii="Times New Roman" w:hAnsi="Times New Roman" w:cs="Times New Roman"/>
                <w:sz w:val="20"/>
              </w:rPr>
              <w:t xml:space="preserve">= 0 </w:t>
            </w:r>
            <w:r w:rsidR="00D84CA0">
              <w:rPr>
                <w:rFonts w:ascii="Times New Roman" w:hAnsi="Times New Roman" w:cs="Times New Roman"/>
                <w:sz w:val="20"/>
              </w:rPr>
              <w:t>€</w:t>
            </w:r>
          </w:p>
        </w:tc>
        <w:tc>
          <w:tcPr>
            <w:tcW w:w="3118" w:type="dxa"/>
            <w:vAlign w:val="center"/>
          </w:tcPr>
          <w:p w:rsidR="00E21F6E" w:rsidRPr="0033349E" w:rsidRDefault="00D84CA0" w:rsidP="00D84CA0">
            <w:pPr>
              <w:pStyle w:val="textregular"/>
              <w:spacing w:after="0"/>
              <w:jc w:val="center"/>
              <w:rPr>
                <w:rFonts w:ascii="Times New Roman" w:hAnsi="Times New Roman" w:cs="Times New Roman"/>
                <w:sz w:val="20"/>
              </w:rPr>
            </w:pPr>
            <w:r>
              <w:rPr>
                <w:rFonts w:ascii="Times New Roman" w:hAnsi="Times New Roman" w:cs="Times New Roman"/>
                <w:sz w:val="20"/>
              </w:rPr>
              <w:t xml:space="preserve"> - 3</w:t>
            </w:r>
            <w:r w:rsidR="00E21F6E" w:rsidRPr="0033349E">
              <w:rPr>
                <w:rFonts w:ascii="Times New Roman" w:hAnsi="Times New Roman" w:cs="Times New Roman"/>
                <w:sz w:val="20"/>
              </w:rPr>
              <w:t xml:space="preserve">0 MWh </w:t>
            </w:r>
            <w:r>
              <w:rPr>
                <w:rFonts w:ascii="Times New Roman" w:hAnsi="Times New Roman" w:cs="Times New Roman"/>
                <w:sz w:val="20"/>
              </w:rPr>
              <w:t xml:space="preserve">* </w:t>
            </w:r>
            <w:r w:rsidR="00E21F6E" w:rsidRPr="0033349E">
              <w:rPr>
                <w:rFonts w:ascii="Times New Roman" w:hAnsi="Times New Roman" w:cs="Times New Roman"/>
                <w:sz w:val="20"/>
              </w:rPr>
              <w:t xml:space="preserve">50 €/MWh = </w:t>
            </w:r>
            <w:r>
              <w:rPr>
                <w:rFonts w:ascii="Times New Roman" w:hAnsi="Times New Roman" w:cs="Times New Roman"/>
                <w:sz w:val="20"/>
              </w:rPr>
              <w:t>- 150</w:t>
            </w:r>
            <w:r w:rsidR="00E21F6E" w:rsidRPr="0033349E">
              <w:rPr>
                <w:rFonts w:ascii="Times New Roman" w:hAnsi="Times New Roman" w:cs="Times New Roman"/>
                <w:sz w:val="20"/>
              </w:rPr>
              <w:t>0 €</w:t>
            </w:r>
          </w:p>
        </w:tc>
      </w:tr>
      <w:tr w:rsidR="00D84CA0" w:rsidRPr="0033349E" w:rsidTr="00A06CD1">
        <w:trPr>
          <w:trHeight w:val="454"/>
          <w:jc w:val="center"/>
        </w:trPr>
        <w:tc>
          <w:tcPr>
            <w:tcW w:w="3118" w:type="dxa"/>
            <w:tcBorders>
              <w:bottom w:val="single" w:sz="24" w:space="0" w:color="000000"/>
            </w:tcBorders>
            <w:vAlign w:val="center"/>
          </w:tcPr>
          <w:p w:rsidR="00D84CA0" w:rsidRPr="0033349E" w:rsidRDefault="00D84CA0" w:rsidP="00D84CA0">
            <w:pPr>
              <w:pStyle w:val="textregular"/>
              <w:spacing w:after="0"/>
              <w:jc w:val="center"/>
              <w:rPr>
                <w:rFonts w:ascii="Times New Roman" w:hAnsi="Times New Roman" w:cs="Times New Roman"/>
                <w:sz w:val="20"/>
              </w:rPr>
            </w:pPr>
            <w:r>
              <w:rPr>
                <w:rFonts w:ascii="Times New Roman" w:hAnsi="Times New Roman" w:cs="Times New Roman"/>
                <w:sz w:val="20"/>
              </w:rPr>
              <w:t>TSO-TSO settlement due to system constraints</w:t>
            </w:r>
          </w:p>
        </w:tc>
        <w:tc>
          <w:tcPr>
            <w:tcW w:w="3118" w:type="dxa"/>
            <w:tcBorders>
              <w:bottom w:val="single" w:sz="24" w:space="0" w:color="000000"/>
            </w:tcBorders>
            <w:vAlign w:val="center"/>
          </w:tcPr>
          <w:p w:rsidR="00D84CA0" w:rsidRPr="0033349E" w:rsidRDefault="00D84CA0" w:rsidP="00D84CA0">
            <w:pPr>
              <w:pStyle w:val="textregular"/>
              <w:spacing w:after="0"/>
              <w:jc w:val="center"/>
              <w:rPr>
                <w:rFonts w:ascii="Times New Roman" w:hAnsi="Times New Roman" w:cs="Times New Roman"/>
                <w:sz w:val="20"/>
              </w:rPr>
            </w:pPr>
            <w:r w:rsidRPr="0033349E">
              <w:rPr>
                <w:rFonts w:ascii="Times New Roman" w:hAnsi="Times New Roman" w:cs="Times New Roman"/>
                <w:sz w:val="20"/>
              </w:rPr>
              <w:t xml:space="preserve">0 MWh </w:t>
            </w:r>
            <w:r>
              <w:rPr>
                <w:rFonts w:ascii="Times New Roman" w:hAnsi="Times New Roman" w:cs="Times New Roman"/>
                <w:sz w:val="20"/>
              </w:rPr>
              <w:t xml:space="preserve">* 0 €/MWh </w:t>
            </w:r>
            <w:r w:rsidRPr="0033349E">
              <w:rPr>
                <w:rFonts w:ascii="Times New Roman" w:hAnsi="Times New Roman" w:cs="Times New Roman"/>
                <w:sz w:val="20"/>
              </w:rPr>
              <w:t xml:space="preserve">= 0 </w:t>
            </w:r>
            <w:r>
              <w:rPr>
                <w:rFonts w:ascii="Times New Roman" w:hAnsi="Times New Roman" w:cs="Times New Roman"/>
                <w:sz w:val="20"/>
              </w:rPr>
              <w:t>€</w:t>
            </w:r>
          </w:p>
        </w:tc>
        <w:tc>
          <w:tcPr>
            <w:tcW w:w="3118" w:type="dxa"/>
            <w:tcBorders>
              <w:bottom w:val="single" w:sz="24" w:space="0" w:color="000000"/>
            </w:tcBorders>
            <w:vAlign w:val="center"/>
          </w:tcPr>
          <w:p w:rsidR="00D84CA0" w:rsidRPr="0033349E" w:rsidRDefault="00D84CA0" w:rsidP="00D84CA0">
            <w:pPr>
              <w:pStyle w:val="textregular"/>
              <w:spacing w:after="0"/>
              <w:jc w:val="center"/>
              <w:rPr>
                <w:rFonts w:ascii="Times New Roman" w:hAnsi="Times New Roman" w:cs="Times New Roman"/>
                <w:sz w:val="20"/>
              </w:rPr>
            </w:pPr>
            <w:r>
              <w:rPr>
                <w:rFonts w:ascii="Times New Roman" w:hAnsi="Times New Roman" w:cs="Times New Roman"/>
                <w:sz w:val="20"/>
              </w:rPr>
              <w:t xml:space="preserve">- 10 </w:t>
            </w:r>
            <w:r w:rsidRPr="0033349E">
              <w:rPr>
                <w:rFonts w:ascii="Times New Roman" w:hAnsi="Times New Roman" w:cs="Times New Roman"/>
                <w:sz w:val="20"/>
              </w:rPr>
              <w:t xml:space="preserve">MWh </w:t>
            </w:r>
            <w:r>
              <w:rPr>
                <w:rFonts w:ascii="Times New Roman" w:hAnsi="Times New Roman" w:cs="Times New Roman"/>
                <w:sz w:val="20"/>
              </w:rPr>
              <w:t>*</w:t>
            </w:r>
            <w:r w:rsidRPr="0033349E">
              <w:rPr>
                <w:rFonts w:ascii="Times New Roman" w:hAnsi="Times New Roman" w:cs="Times New Roman"/>
                <w:sz w:val="20"/>
              </w:rPr>
              <w:t xml:space="preserve"> </w:t>
            </w:r>
            <w:r>
              <w:rPr>
                <w:rFonts w:ascii="Times New Roman" w:hAnsi="Times New Roman" w:cs="Times New Roman"/>
                <w:sz w:val="20"/>
              </w:rPr>
              <w:t>1</w:t>
            </w:r>
            <w:r w:rsidRPr="0033349E">
              <w:rPr>
                <w:rFonts w:ascii="Times New Roman" w:hAnsi="Times New Roman" w:cs="Times New Roman"/>
                <w:sz w:val="20"/>
              </w:rPr>
              <w:t xml:space="preserve">0 €/MWh = </w:t>
            </w:r>
            <w:r>
              <w:rPr>
                <w:rFonts w:ascii="Times New Roman" w:hAnsi="Times New Roman" w:cs="Times New Roman"/>
                <w:sz w:val="20"/>
              </w:rPr>
              <w:t xml:space="preserve">- </w:t>
            </w:r>
            <w:r w:rsidRPr="0033349E">
              <w:rPr>
                <w:rFonts w:ascii="Times New Roman" w:hAnsi="Times New Roman" w:cs="Times New Roman"/>
                <w:sz w:val="20"/>
              </w:rPr>
              <w:t>10</w:t>
            </w:r>
            <w:r>
              <w:rPr>
                <w:rFonts w:ascii="Times New Roman" w:hAnsi="Times New Roman" w:cs="Times New Roman"/>
                <w:sz w:val="20"/>
              </w:rPr>
              <w:t>0</w:t>
            </w:r>
            <w:r w:rsidRPr="0033349E">
              <w:rPr>
                <w:rFonts w:ascii="Times New Roman" w:hAnsi="Times New Roman" w:cs="Times New Roman"/>
                <w:sz w:val="20"/>
              </w:rPr>
              <w:t xml:space="preserve"> €</w:t>
            </w:r>
          </w:p>
        </w:tc>
      </w:tr>
      <w:tr w:rsidR="00A06CD1" w:rsidRPr="0033349E" w:rsidTr="007B5370">
        <w:trPr>
          <w:trHeight w:val="454"/>
          <w:jc w:val="center"/>
        </w:trPr>
        <w:tc>
          <w:tcPr>
            <w:tcW w:w="3118" w:type="dxa"/>
            <w:vMerge w:val="restart"/>
            <w:tcBorders>
              <w:top w:val="single" w:sz="24" w:space="0" w:color="000000"/>
            </w:tcBorders>
            <w:vAlign w:val="center"/>
          </w:tcPr>
          <w:p w:rsidR="00A06CD1" w:rsidRPr="00A06CD1" w:rsidRDefault="00A06CD1" w:rsidP="00D84CA0">
            <w:pPr>
              <w:pStyle w:val="textregular"/>
              <w:spacing w:after="0"/>
              <w:jc w:val="center"/>
              <w:rPr>
                <w:rFonts w:ascii="Times New Roman" w:hAnsi="Times New Roman" w:cs="Times New Roman"/>
                <w:b/>
                <w:sz w:val="20"/>
              </w:rPr>
            </w:pPr>
            <w:r>
              <w:rPr>
                <w:rFonts w:ascii="Times New Roman" w:hAnsi="Times New Roman" w:cs="Times New Roman"/>
                <w:b/>
                <w:sz w:val="20"/>
              </w:rPr>
              <w:t>Total amount</w:t>
            </w:r>
          </w:p>
        </w:tc>
        <w:tc>
          <w:tcPr>
            <w:tcW w:w="3118" w:type="dxa"/>
            <w:tcBorders>
              <w:top w:val="single" w:sz="24" w:space="0" w:color="000000"/>
              <w:bottom w:val="single" w:sz="4" w:space="0" w:color="000000"/>
            </w:tcBorders>
            <w:vAlign w:val="center"/>
          </w:tcPr>
          <w:p w:rsidR="00A06CD1" w:rsidRPr="00A06CD1" w:rsidRDefault="00A06CD1" w:rsidP="00A06CD1">
            <w:pPr>
              <w:pStyle w:val="textregular"/>
              <w:spacing w:after="0"/>
              <w:jc w:val="center"/>
              <w:rPr>
                <w:rFonts w:ascii="Times New Roman" w:hAnsi="Times New Roman" w:cs="Times New Roman"/>
                <w:sz w:val="20"/>
              </w:rPr>
            </w:pPr>
            <w:r w:rsidRPr="00A06CD1">
              <w:rPr>
                <w:rFonts w:ascii="Times New Roman" w:hAnsi="Times New Roman" w:cs="Times New Roman"/>
                <w:sz w:val="20"/>
              </w:rPr>
              <w:t>1000 € + 0 € + 0 € + 0 €</w:t>
            </w:r>
          </w:p>
        </w:tc>
        <w:tc>
          <w:tcPr>
            <w:tcW w:w="3118" w:type="dxa"/>
            <w:tcBorders>
              <w:top w:val="single" w:sz="24" w:space="0" w:color="000000"/>
              <w:bottom w:val="single" w:sz="4" w:space="0" w:color="000000"/>
            </w:tcBorders>
            <w:vAlign w:val="center"/>
          </w:tcPr>
          <w:p w:rsidR="00A06CD1" w:rsidRPr="00A06CD1" w:rsidRDefault="00A06CD1" w:rsidP="00A06CD1">
            <w:pPr>
              <w:pStyle w:val="textregular"/>
              <w:spacing w:after="0"/>
              <w:jc w:val="center"/>
              <w:rPr>
                <w:rFonts w:ascii="Times New Roman" w:hAnsi="Times New Roman" w:cs="Times New Roman"/>
                <w:sz w:val="20"/>
              </w:rPr>
            </w:pPr>
            <w:r w:rsidRPr="00A06CD1">
              <w:rPr>
                <w:rFonts w:ascii="Times New Roman" w:hAnsi="Times New Roman" w:cs="Times New Roman"/>
                <w:sz w:val="20"/>
              </w:rPr>
              <w:t>2000 € + 600 € -1500 € - 100 €</w:t>
            </w:r>
          </w:p>
        </w:tc>
      </w:tr>
      <w:tr w:rsidR="00A06CD1" w:rsidRPr="0033349E" w:rsidTr="007B5370">
        <w:trPr>
          <w:trHeight w:val="454"/>
          <w:jc w:val="center"/>
        </w:trPr>
        <w:tc>
          <w:tcPr>
            <w:tcW w:w="3118" w:type="dxa"/>
            <w:vMerge/>
            <w:vAlign w:val="center"/>
          </w:tcPr>
          <w:p w:rsidR="00A06CD1" w:rsidRDefault="00A06CD1" w:rsidP="00D84CA0">
            <w:pPr>
              <w:pStyle w:val="textregular"/>
              <w:spacing w:after="0"/>
              <w:jc w:val="center"/>
              <w:rPr>
                <w:b/>
                <w:sz w:val="20"/>
              </w:rPr>
            </w:pPr>
          </w:p>
        </w:tc>
        <w:tc>
          <w:tcPr>
            <w:tcW w:w="3118" w:type="dxa"/>
            <w:tcBorders>
              <w:top w:val="single" w:sz="4" w:space="0" w:color="000000"/>
            </w:tcBorders>
            <w:vAlign w:val="center"/>
          </w:tcPr>
          <w:p w:rsidR="00A06CD1" w:rsidRPr="00A06CD1" w:rsidRDefault="00A06CD1" w:rsidP="00D84CA0">
            <w:pPr>
              <w:pStyle w:val="textregular"/>
              <w:spacing w:after="0"/>
              <w:jc w:val="center"/>
              <w:rPr>
                <w:rFonts w:ascii="Times New Roman" w:hAnsi="Times New Roman" w:cs="Times New Roman"/>
                <w:b/>
                <w:sz w:val="20"/>
              </w:rPr>
            </w:pPr>
            <w:r w:rsidRPr="00A06CD1">
              <w:rPr>
                <w:rFonts w:ascii="Times New Roman" w:hAnsi="Times New Roman" w:cs="Times New Roman"/>
                <w:b/>
                <w:sz w:val="20"/>
              </w:rPr>
              <w:t>= 1000 €</w:t>
            </w:r>
          </w:p>
        </w:tc>
        <w:tc>
          <w:tcPr>
            <w:tcW w:w="3118" w:type="dxa"/>
            <w:tcBorders>
              <w:top w:val="single" w:sz="4" w:space="0" w:color="000000"/>
            </w:tcBorders>
            <w:vAlign w:val="center"/>
          </w:tcPr>
          <w:p w:rsidR="00A06CD1" w:rsidRPr="00A06CD1" w:rsidRDefault="00A06CD1" w:rsidP="00A06CD1">
            <w:pPr>
              <w:pStyle w:val="textregular"/>
              <w:spacing w:after="0"/>
              <w:jc w:val="center"/>
              <w:rPr>
                <w:rFonts w:ascii="Times New Roman" w:hAnsi="Times New Roman" w:cs="Times New Roman"/>
                <w:b/>
                <w:sz w:val="20"/>
              </w:rPr>
            </w:pPr>
            <w:r w:rsidRPr="00A06CD1">
              <w:rPr>
                <w:rFonts w:ascii="Times New Roman" w:hAnsi="Times New Roman" w:cs="Times New Roman"/>
                <w:b/>
                <w:sz w:val="20"/>
              </w:rPr>
              <w:t>= 1000 €</w:t>
            </w:r>
          </w:p>
        </w:tc>
      </w:tr>
    </w:tbl>
    <w:p w:rsidR="002245D8" w:rsidRPr="009A4C44" w:rsidRDefault="002245D8" w:rsidP="002245D8">
      <w:pPr>
        <w:pStyle w:val="Caption"/>
      </w:pPr>
      <w:bookmarkStart w:id="118" w:name="_Ref531796584"/>
      <w:bookmarkStart w:id="119" w:name="_Toc531799974"/>
      <w:r w:rsidRPr="009A4C44">
        <w:t xml:space="preserve">Table </w:t>
      </w:r>
      <w:r w:rsidRPr="009A4C44">
        <w:fldChar w:fldCharType="begin"/>
      </w:r>
      <w:r w:rsidRPr="009A4C44">
        <w:instrText xml:space="preserve"> SEQ Table \* ARABIC </w:instrText>
      </w:r>
      <w:r w:rsidRPr="009A4C44">
        <w:fldChar w:fldCharType="separate"/>
      </w:r>
      <w:r w:rsidR="002D564B">
        <w:rPr>
          <w:noProof/>
        </w:rPr>
        <w:t>6</w:t>
      </w:r>
      <w:r w:rsidRPr="009A4C44">
        <w:fldChar w:fldCharType="end"/>
      </w:r>
      <w:bookmarkEnd w:id="118"/>
      <w:r w:rsidRPr="009A4C44">
        <w:t xml:space="preserve">: </w:t>
      </w:r>
      <w:r>
        <w:t>Balancing costs of a TSO delivering balancing energy for system constraints</w:t>
      </w:r>
      <w:bookmarkEnd w:id="119"/>
    </w:p>
    <w:p w:rsidR="00677A26" w:rsidRPr="009A4C44" w:rsidRDefault="007B5370" w:rsidP="00677A26">
      <w:pPr>
        <w:pStyle w:val="textregular"/>
      </w:pPr>
      <w:r>
        <w:t xml:space="preserve">The same approach applies in case several TSOs have requested activation of bids for system constraint purposes. In this case the additional costs are shared proportionally to the </w:t>
      </w:r>
      <w:r w:rsidRPr="00F1303D">
        <w:rPr>
          <w:lang w:eastAsia="en-US"/>
        </w:rPr>
        <w:t>impact of the requested activation of bids for system constraints on the balancing energy exchange on the concerned border or set of borders</w:t>
      </w:r>
      <w:r>
        <w:rPr>
          <w:lang w:eastAsia="en-US"/>
        </w:rPr>
        <w:t>.</w:t>
      </w:r>
    </w:p>
    <w:p w:rsidR="002D2F5B" w:rsidRPr="009A4C44" w:rsidRDefault="005209DB" w:rsidP="005779B7">
      <w:pPr>
        <w:pStyle w:val="Headline14pt"/>
        <w:numPr>
          <w:ilvl w:val="0"/>
          <w:numId w:val="8"/>
        </w:numPr>
        <w:jc w:val="both"/>
        <w:outlineLvl w:val="0"/>
      </w:pPr>
      <w:bookmarkStart w:id="120" w:name="_Toc520831478"/>
      <w:bookmarkStart w:id="121" w:name="_Toc522195292"/>
      <w:bookmarkStart w:id="122" w:name="_Toc520316957"/>
      <w:bookmarkStart w:id="123" w:name="_Ref520915222"/>
      <w:bookmarkStart w:id="124" w:name="_Ref520915226"/>
      <w:bookmarkStart w:id="125" w:name="_Toc520993129"/>
      <w:bookmarkStart w:id="126" w:name="_Toc520993451"/>
      <w:bookmarkStart w:id="127" w:name="_Ref520998412"/>
      <w:bookmarkStart w:id="128" w:name="_Toc520999268"/>
      <w:bookmarkStart w:id="129" w:name="_Ref521000884"/>
      <w:bookmarkStart w:id="130" w:name="_Toc522181355"/>
      <w:bookmarkStart w:id="131" w:name="_Toc523816561"/>
      <w:bookmarkStart w:id="132" w:name="_Toc531687678"/>
      <w:bookmarkStart w:id="133" w:name="_Toc531787031"/>
      <w:bookmarkStart w:id="134" w:name="_Toc531799940"/>
      <w:bookmarkEnd w:id="120"/>
      <w:r w:rsidRPr="009A4C44">
        <w:lastRenderedPageBreak/>
        <w:t>Settlement Methodology</w:t>
      </w:r>
      <w:r w:rsidR="002D2F5B" w:rsidRPr="009A4C44">
        <w:t xml:space="preserve"> for </w:t>
      </w:r>
      <w:proofErr w:type="spellStart"/>
      <w:r w:rsidR="002D2F5B" w:rsidRPr="009A4C44">
        <w:t>mFRR</w:t>
      </w:r>
      <w:proofErr w:type="spellEnd"/>
      <w:r w:rsidR="002D2F5B" w:rsidRPr="009A4C44">
        <w:t xml:space="preserve"> with </w:t>
      </w:r>
      <w:r w:rsidR="00834946" w:rsidRPr="009A4C44">
        <w:t>D</w:t>
      </w:r>
      <w:r w:rsidR="002D2F5B" w:rsidRPr="009A4C44">
        <w:t xml:space="preserve">irect </w:t>
      </w:r>
      <w:r w:rsidR="00834946" w:rsidRPr="009A4C44">
        <w:t>A</w:t>
      </w:r>
      <w:r w:rsidR="002D2F5B" w:rsidRPr="009A4C44">
        <w:t>ctivation</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224CA6" w:rsidRPr="009A4C44" w:rsidRDefault="008E2249" w:rsidP="00224CA6">
      <w:pPr>
        <w:pStyle w:val="textregular"/>
      </w:pPr>
      <w:r w:rsidRPr="009A4C44">
        <w:t xml:space="preserve">For </w:t>
      </w:r>
      <w:proofErr w:type="spellStart"/>
      <w:r w:rsidRPr="009A4C44">
        <w:t>mFRR</w:t>
      </w:r>
      <w:proofErr w:type="spellEnd"/>
      <w:r w:rsidRPr="009A4C44">
        <w:t xml:space="preserve"> with direct activation</w:t>
      </w:r>
      <w:r w:rsidR="00A31D70" w:rsidRPr="009A4C44">
        <w:t xml:space="preserve"> the same </w:t>
      </w:r>
      <w:r w:rsidRPr="009A4C44">
        <w:t xml:space="preserve">principles apply </w:t>
      </w:r>
      <w:r w:rsidR="00A31D70" w:rsidRPr="009A4C44">
        <w:t xml:space="preserve">as specified in chapter </w:t>
      </w:r>
      <w:r w:rsidR="00A31D70" w:rsidRPr="009A4C44">
        <w:fldChar w:fldCharType="begin"/>
      </w:r>
      <w:r w:rsidR="00A31D70" w:rsidRPr="009A4C44">
        <w:instrText xml:space="preserve"> REF _Ref531274477 \r \h </w:instrText>
      </w:r>
      <w:r w:rsidR="009A4C44">
        <w:instrText xml:space="preserve"> \* MERGEFORMAT </w:instrText>
      </w:r>
      <w:r w:rsidR="00A31D70" w:rsidRPr="009A4C44">
        <w:fldChar w:fldCharType="separate"/>
      </w:r>
      <w:r w:rsidR="002D564B">
        <w:t>4</w:t>
      </w:r>
      <w:r w:rsidR="00A31D70" w:rsidRPr="009A4C44">
        <w:fldChar w:fldCharType="end"/>
      </w:r>
      <w:r w:rsidR="0073229E" w:rsidRPr="009A4C44">
        <w:t>, however, b</w:t>
      </w:r>
      <w:r w:rsidR="00224CA6" w:rsidRPr="009A4C44">
        <w:t xml:space="preserve">ids capable of being directly activated can be activated within the </w:t>
      </w:r>
      <w:r w:rsidR="007B5370">
        <w:t>v</w:t>
      </w:r>
      <w:r w:rsidR="00224CA6" w:rsidRPr="009A4C44">
        <w:t xml:space="preserve">alidity </w:t>
      </w:r>
      <w:r w:rsidR="00361DF7">
        <w:t>p</w:t>
      </w:r>
      <w:r w:rsidR="00224CA6" w:rsidRPr="009A4C44">
        <w:t xml:space="preserve">eriod of 15 minutes (i.e. between 7,5 minutes before and 7,5 minutes after a BEPP). </w:t>
      </w:r>
      <w:r w:rsidR="0073229E" w:rsidRPr="009A4C44">
        <w:t>Therefore, t</w:t>
      </w:r>
      <w:r w:rsidR="00224CA6" w:rsidRPr="009A4C44">
        <w:t>he energy volume</w:t>
      </w:r>
      <w:r w:rsidR="00126D21" w:rsidRPr="009A4C44">
        <w:t xml:space="preserve"> of a direct activation to be settled between TSOs</w:t>
      </w:r>
      <w:r w:rsidR="00224CA6" w:rsidRPr="009A4C44">
        <w:t>, acc. to the specified standard exchange profile,</w:t>
      </w:r>
      <w:r w:rsidR="00126D21" w:rsidRPr="009A4C44">
        <w:t xml:space="preserve"> </w:t>
      </w:r>
      <w:r w:rsidR="00224CA6" w:rsidRPr="009A4C44">
        <w:t xml:space="preserve">is distributed over two BEPPs (i.e. </w:t>
      </w:r>
      <w:r w:rsidR="00361DF7">
        <w:t>q</w:t>
      </w:r>
      <w:r w:rsidR="00224CA6" w:rsidRPr="009A4C44">
        <w:t xml:space="preserve">uarter </w:t>
      </w:r>
      <w:r w:rsidR="00361DF7">
        <w:t>h</w:t>
      </w:r>
      <w:r w:rsidR="00224CA6" w:rsidRPr="009A4C44">
        <w:t xml:space="preserve">ours). For the subsequent, i.e. second, BEPP (i.e. QH+1) the assigned amount equals 15 minutes </w:t>
      </w:r>
      <w:r w:rsidR="00914C87" w:rsidRPr="009A4C44">
        <w:t xml:space="preserve">multiplied by </w:t>
      </w:r>
      <w:r w:rsidR="00224CA6" w:rsidRPr="009A4C44">
        <w:t>the requested power. The remaining volume (max. 14</w:t>
      </w:r>
      <w:proofErr w:type="gramStart"/>
      <w:r w:rsidR="00224CA6" w:rsidRPr="009A4C44">
        <w:t>,9</w:t>
      </w:r>
      <w:proofErr w:type="gramEnd"/>
      <w:r w:rsidR="00224CA6" w:rsidRPr="009A4C44">
        <w:t xml:space="preserve"> </w:t>
      </w:r>
      <w:r w:rsidR="00914C87" w:rsidRPr="009A4C44">
        <w:t>multiplied by</w:t>
      </w:r>
      <w:r w:rsidR="00224CA6" w:rsidRPr="009A4C44">
        <w:t xml:space="preserve"> the requested power (s. example shown in </w:t>
      </w:r>
      <w:r w:rsidR="005C56B7" w:rsidRPr="009A4C44">
        <w:fldChar w:fldCharType="begin"/>
      </w:r>
      <w:r w:rsidR="005C56B7" w:rsidRPr="009A4C44">
        <w:instrText xml:space="preserve"> REF _Ref530928519 \h </w:instrText>
      </w:r>
      <w:r w:rsidR="009A4C44">
        <w:instrText xml:space="preserve"> \* MERGEFORMAT </w:instrText>
      </w:r>
      <w:r w:rsidR="005C56B7" w:rsidRPr="009A4C44">
        <w:fldChar w:fldCharType="separate"/>
      </w:r>
      <w:r w:rsidR="002D564B" w:rsidRPr="009A4C44">
        <w:t xml:space="preserve">Figure </w:t>
      </w:r>
      <w:r w:rsidR="002D564B">
        <w:rPr>
          <w:noProof/>
        </w:rPr>
        <w:t>8</w:t>
      </w:r>
      <w:r w:rsidR="005C56B7" w:rsidRPr="009A4C44">
        <w:fldChar w:fldCharType="end"/>
      </w:r>
      <w:r w:rsidR="00224CA6" w:rsidRPr="009A4C44">
        <w:t xml:space="preserve">)) is attributed to the first (main) BEPP (i.e. </w:t>
      </w:r>
      <w:proofErr w:type="spellStart"/>
      <w:r w:rsidR="00224CA6" w:rsidRPr="009A4C44">
        <w:t>QHi</w:t>
      </w:r>
      <w:proofErr w:type="spellEnd"/>
      <w:r w:rsidR="00224CA6" w:rsidRPr="009A4C44">
        <w:t>).</w:t>
      </w:r>
    </w:p>
    <w:p w:rsidR="00224CA6" w:rsidRPr="009A4C44" w:rsidRDefault="00224CA6" w:rsidP="00224CA6">
      <w:pPr>
        <w:pStyle w:val="textregular"/>
      </w:pPr>
      <w:r w:rsidRPr="009A4C44">
        <w:t xml:space="preserve">Hence, </w:t>
      </w:r>
      <w:r w:rsidR="00361DF7">
        <w:t>two</w:t>
      </w:r>
      <w:r w:rsidRPr="009A4C44">
        <w:t xml:space="preserve"> blocks of volumes will be settled (and may be remunerated differently as specified in the all-TSOs </w:t>
      </w:r>
      <w:r w:rsidR="00361DF7">
        <w:t>p</w:t>
      </w:r>
      <w:r w:rsidRPr="009A4C44">
        <w:t xml:space="preserve">ricing </w:t>
      </w:r>
      <w:r w:rsidR="00361DF7">
        <w:t>p</w:t>
      </w:r>
      <w:r w:rsidRPr="009A4C44">
        <w:t>roposal).</w:t>
      </w:r>
      <w:r w:rsidR="00361DF7">
        <w:t xml:space="preserve"> </w:t>
      </w:r>
      <w:r w:rsidRPr="009A4C44">
        <w:t>Prices of QHi-1 and QHi+2 are not affected.</w:t>
      </w:r>
    </w:p>
    <w:p w:rsidR="00224CA6" w:rsidRPr="009A4C44" w:rsidRDefault="006849D5" w:rsidP="00224CA6">
      <w:pPr>
        <w:pStyle w:val="textregular"/>
        <w:keepNext/>
      </w:pPr>
      <w:r w:rsidRPr="009A4C44">
        <w:rPr>
          <w:noProof/>
          <w:lang w:val="ro-RO" w:eastAsia="ro-RO"/>
        </w:rPr>
        <w:drawing>
          <wp:inline distT="0" distB="0" distL="0" distR="0" wp14:anchorId="40D18B44" wp14:editId="41D88798">
            <wp:extent cx="6047740" cy="205994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047740" cy="2059940"/>
                    </a:xfrm>
                    <a:prstGeom prst="rect">
                      <a:avLst/>
                    </a:prstGeom>
                  </pic:spPr>
                </pic:pic>
              </a:graphicData>
            </a:graphic>
          </wp:inline>
        </w:drawing>
      </w:r>
    </w:p>
    <w:p w:rsidR="006849D5" w:rsidRPr="009A4C44" w:rsidRDefault="00224CA6" w:rsidP="00224CA6">
      <w:pPr>
        <w:pStyle w:val="Caption"/>
      </w:pPr>
      <w:bookmarkStart w:id="135" w:name="_Ref530928519"/>
      <w:bookmarkStart w:id="136" w:name="_Ref530928511"/>
      <w:bookmarkStart w:id="137" w:name="_Toc531367162"/>
      <w:bookmarkStart w:id="138" w:name="_Toc531799961"/>
      <w:r w:rsidRPr="009A4C44">
        <w:t xml:space="preserve">Figure </w:t>
      </w:r>
      <w:r w:rsidRPr="009A4C44">
        <w:fldChar w:fldCharType="begin"/>
      </w:r>
      <w:r w:rsidRPr="009A4C44">
        <w:instrText xml:space="preserve"> SEQ Figure \* ARABIC </w:instrText>
      </w:r>
      <w:r w:rsidRPr="009A4C44">
        <w:fldChar w:fldCharType="separate"/>
      </w:r>
      <w:r w:rsidR="002D564B">
        <w:rPr>
          <w:noProof/>
        </w:rPr>
        <w:t>8</w:t>
      </w:r>
      <w:r w:rsidRPr="009A4C44">
        <w:fldChar w:fldCharType="end"/>
      </w:r>
      <w:bookmarkEnd w:id="135"/>
      <w:r w:rsidRPr="009A4C44">
        <w:t>: Example for DA volume distribution</w:t>
      </w:r>
      <w:bookmarkEnd w:id="136"/>
      <w:bookmarkEnd w:id="137"/>
      <w:bookmarkEnd w:id="138"/>
    </w:p>
    <w:p w:rsidR="00D25DA8" w:rsidRDefault="00DF5311">
      <w:pPr>
        <w:pStyle w:val="textregular"/>
      </w:pPr>
      <w:r w:rsidRPr="009A4C44">
        <w:t>Another difference to be highlighted at this point</w:t>
      </w:r>
      <w:r w:rsidR="009E1117" w:rsidRPr="009A4C44">
        <w:t xml:space="preserve"> is that there is separate algorithm runs for positive and negative demands and the possible occurrence of positive and negative </w:t>
      </w:r>
      <w:r w:rsidR="00C73774">
        <w:t>C</w:t>
      </w:r>
      <w:r w:rsidR="00C73774" w:rsidRPr="009A4C44">
        <w:t xml:space="preserve">BMPs </w:t>
      </w:r>
      <w:r w:rsidR="009E1117" w:rsidRPr="009A4C44">
        <w:t xml:space="preserve">within a single BEPP (leading to import/export of positive </w:t>
      </w:r>
      <w:proofErr w:type="spellStart"/>
      <w:r w:rsidR="009E1117" w:rsidRPr="009A4C44">
        <w:t>mFRR</w:t>
      </w:r>
      <w:proofErr w:type="spellEnd"/>
      <w:r w:rsidR="009E1117" w:rsidRPr="009A4C44">
        <w:t xml:space="preserve"> and import/export of negative </w:t>
      </w:r>
      <w:proofErr w:type="spellStart"/>
      <w:r w:rsidR="009E1117" w:rsidRPr="009A4C44">
        <w:t>mFRR</w:t>
      </w:r>
      <w:proofErr w:type="spellEnd"/>
      <w:r w:rsidR="009E1117" w:rsidRPr="009A4C44">
        <w:t xml:space="preserve"> within a single BEPP), unlike </w:t>
      </w:r>
      <w:r w:rsidR="00361DF7">
        <w:t xml:space="preserve">in case of the </w:t>
      </w:r>
      <w:r w:rsidR="009E1117" w:rsidRPr="009A4C44">
        <w:t>schedule</w:t>
      </w:r>
      <w:r w:rsidR="00361DF7">
        <w:t>d</w:t>
      </w:r>
      <w:r w:rsidR="009E1117" w:rsidRPr="009A4C44">
        <w:t xml:space="preserve"> </w:t>
      </w:r>
      <w:r w:rsidR="00D25DA8" w:rsidRPr="009A4C44">
        <w:t>a</w:t>
      </w:r>
      <w:r w:rsidR="009E1117" w:rsidRPr="009A4C44">
        <w:t>ctivation.</w:t>
      </w:r>
    </w:p>
    <w:p w:rsidR="00030EA6" w:rsidRDefault="00030EA6" w:rsidP="00030EA6">
      <w:pPr>
        <w:pStyle w:val="textregular"/>
        <w:spacing w:after="260" w:line="260" w:lineRule="atLeast"/>
      </w:pPr>
      <w:r>
        <w:t xml:space="preserve">The settlement of netted demands follows the same approach as described for </w:t>
      </w:r>
      <w:proofErr w:type="spellStart"/>
      <w:r>
        <w:t>aFRR</w:t>
      </w:r>
      <w:proofErr w:type="spellEnd"/>
      <w:r>
        <w:t xml:space="preserve"> in chapter </w:t>
      </w:r>
      <w:r>
        <w:fldChar w:fldCharType="begin"/>
      </w:r>
      <w:r>
        <w:instrText xml:space="preserve"> REF _Ref531799089 \r \h </w:instrText>
      </w:r>
      <w:r>
        <w:fldChar w:fldCharType="separate"/>
      </w:r>
      <w:r w:rsidR="002D564B">
        <w:t>6</w:t>
      </w:r>
      <w:r>
        <w:fldChar w:fldCharType="end"/>
      </w:r>
      <w:r>
        <w:t>.</w:t>
      </w:r>
    </w:p>
    <w:p w:rsidR="00442F61" w:rsidRDefault="001B7D49" w:rsidP="005779B7">
      <w:pPr>
        <w:pStyle w:val="Headline14pt"/>
        <w:numPr>
          <w:ilvl w:val="0"/>
          <w:numId w:val="8"/>
        </w:numPr>
        <w:jc w:val="both"/>
        <w:outlineLvl w:val="0"/>
      </w:pPr>
      <w:bookmarkStart w:id="139" w:name="_Toc520831430"/>
      <w:bookmarkStart w:id="140" w:name="_Toc520831454"/>
      <w:bookmarkStart w:id="141" w:name="_Toc520831480"/>
      <w:bookmarkStart w:id="142" w:name="_Toc520316958"/>
      <w:bookmarkStart w:id="143" w:name="_Toc520993130"/>
      <w:bookmarkStart w:id="144" w:name="_Toc520993452"/>
      <w:bookmarkStart w:id="145" w:name="_Ref520998415"/>
      <w:bookmarkStart w:id="146" w:name="_Toc520999269"/>
      <w:bookmarkStart w:id="147" w:name="_Toc522181356"/>
      <w:bookmarkStart w:id="148" w:name="_Toc522195293"/>
      <w:bookmarkStart w:id="149" w:name="_Toc523816562"/>
      <w:bookmarkStart w:id="150" w:name="_Toc531687679"/>
      <w:bookmarkStart w:id="151" w:name="_Toc531787032"/>
      <w:bookmarkStart w:id="152" w:name="_Ref531799085"/>
      <w:bookmarkStart w:id="153" w:name="_Ref531799089"/>
      <w:bookmarkStart w:id="154" w:name="_Toc531799941"/>
      <w:bookmarkStart w:id="155" w:name="_Ref520998422"/>
      <w:bookmarkStart w:id="156" w:name="_Toc520999273"/>
      <w:bookmarkEnd w:id="139"/>
      <w:bookmarkEnd w:id="140"/>
      <w:bookmarkEnd w:id="141"/>
      <w:r w:rsidRPr="009A4C44">
        <w:lastRenderedPageBreak/>
        <w:t xml:space="preserve">Settlement </w:t>
      </w:r>
      <w:r w:rsidR="00442F61" w:rsidRPr="009A4C44">
        <w:t xml:space="preserve">Methodology for </w:t>
      </w:r>
      <w:proofErr w:type="spellStart"/>
      <w:r w:rsidR="00442F61" w:rsidRPr="009A4C44">
        <w:t>aFRR</w:t>
      </w:r>
      <w:bookmarkEnd w:id="142"/>
      <w:bookmarkEnd w:id="143"/>
      <w:bookmarkEnd w:id="144"/>
      <w:bookmarkEnd w:id="145"/>
      <w:bookmarkEnd w:id="146"/>
      <w:bookmarkEnd w:id="147"/>
      <w:bookmarkEnd w:id="148"/>
      <w:bookmarkEnd w:id="149"/>
      <w:bookmarkEnd w:id="150"/>
      <w:bookmarkEnd w:id="151"/>
      <w:bookmarkEnd w:id="152"/>
      <w:bookmarkEnd w:id="153"/>
      <w:bookmarkEnd w:id="154"/>
      <w:proofErr w:type="spellEnd"/>
    </w:p>
    <w:p w:rsidR="00030EA6" w:rsidRPr="009A4C44" w:rsidRDefault="00030EA6" w:rsidP="00030EA6">
      <w:pPr>
        <w:pStyle w:val="headline2"/>
        <w:numPr>
          <w:ilvl w:val="1"/>
          <w:numId w:val="8"/>
        </w:numPr>
        <w:spacing w:after="200" w:line="240" w:lineRule="auto"/>
        <w:jc w:val="both"/>
        <w:outlineLvl w:val="1"/>
      </w:pPr>
      <w:bookmarkStart w:id="157" w:name="_Toc531799942"/>
      <w:r>
        <w:t>Volume and Price Determination</w:t>
      </w:r>
      <w:bookmarkEnd w:id="157"/>
    </w:p>
    <w:p w:rsidR="004513E0" w:rsidRPr="009A4C44" w:rsidRDefault="004513E0" w:rsidP="004513E0">
      <w:pPr>
        <w:pStyle w:val="textregular"/>
      </w:pPr>
      <w:r w:rsidRPr="009A4C44">
        <w:t>In accordance with the general principles outlined in chapter</w:t>
      </w:r>
      <w:r w:rsidR="005318CA">
        <w:t xml:space="preserve"> </w:t>
      </w:r>
      <w:r w:rsidR="005318CA">
        <w:fldChar w:fldCharType="begin"/>
      </w:r>
      <w:r w:rsidR="005318CA">
        <w:instrText xml:space="preserve"> REF _Ref531797243 \r \h </w:instrText>
      </w:r>
      <w:r w:rsidR="005318CA">
        <w:fldChar w:fldCharType="separate"/>
      </w:r>
      <w:r w:rsidR="002D564B">
        <w:t>3</w:t>
      </w:r>
      <w:r w:rsidR="005318CA">
        <w:fldChar w:fldCharType="end"/>
      </w:r>
      <w:r w:rsidRPr="009A4C44">
        <w:t xml:space="preserve">, the TSO-TSO settlement for the </w:t>
      </w:r>
      <w:proofErr w:type="spellStart"/>
      <w:r w:rsidRPr="009A4C44">
        <w:t>aFRR</w:t>
      </w:r>
      <w:proofErr w:type="spellEnd"/>
      <w:r w:rsidRPr="009A4C44">
        <w:t xml:space="preserve"> process </w:t>
      </w:r>
      <w:r w:rsidR="005318CA">
        <w:t>is</w:t>
      </w:r>
      <w:r w:rsidRPr="009A4C44">
        <w:t xml:space="preserve"> based on the pricing of </w:t>
      </w:r>
      <w:proofErr w:type="spellStart"/>
      <w:r w:rsidRPr="009A4C44">
        <w:t>aFRR</w:t>
      </w:r>
      <w:proofErr w:type="spellEnd"/>
      <w:r w:rsidRPr="009A4C44">
        <w:t xml:space="preserve"> balancing energy in accordance with the pricing proposal and on the intended exchanged </w:t>
      </w:r>
      <w:proofErr w:type="spellStart"/>
      <w:r w:rsidRPr="009A4C44">
        <w:t>aFRR</w:t>
      </w:r>
      <w:proofErr w:type="spellEnd"/>
      <w:r w:rsidRPr="009A4C44">
        <w:t xml:space="preserve"> balancing energy volumes between TSOs on each </w:t>
      </w:r>
      <w:proofErr w:type="spellStart"/>
      <w:r w:rsidR="00B970D0" w:rsidRPr="009A4C44">
        <w:t>aFRR</w:t>
      </w:r>
      <w:proofErr w:type="spellEnd"/>
      <w:r w:rsidR="00B970D0" w:rsidRPr="009A4C44">
        <w:t xml:space="preserve"> balancing </w:t>
      </w:r>
      <w:r w:rsidRPr="009A4C44">
        <w:t>border</w:t>
      </w:r>
      <w:r w:rsidR="00B970D0" w:rsidRPr="009A4C44">
        <w:t xml:space="preserve"> (as defined in the </w:t>
      </w:r>
      <w:proofErr w:type="spellStart"/>
      <w:r w:rsidR="00B970D0" w:rsidRPr="009A4C44">
        <w:t>aFRR</w:t>
      </w:r>
      <w:proofErr w:type="spellEnd"/>
      <w:r w:rsidR="00B970D0" w:rsidRPr="009A4C44">
        <w:t xml:space="preserve"> Implementation Framework)</w:t>
      </w:r>
      <w:r w:rsidRPr="009A4C44">
        <w:t>,.</w:t>
      </w:r>
    </w:p>
    <w:p w:rsidR="004513E0" w:rsidRPr="009A4C44" w:rsidRDefault="004513E0" w:rsidP="004513E0">
      <w:pPr>
        <w:pStyle w:val="textregular"/>
      </w:pPr>
      <w:r w:rsidRPr="009A4C44">
        <w:t xml:space="preserve">This approach of determining TSO-TSO settlement volumes per </w:t>
      </w:r>
      <w:proofErr w:type="spellStart"/>
      <w:r w:rsidR="0026397C" w:rsidRPr="009A4C44">
        <w:t>aFRR</w:t>
      </w:r>
      <w:proofErr w:type="spellEnd"/>
      <w:r w:rsidR="0026397C" w:rsidRPr="009A4C44">
        <w:t xml:space="preserve"> balancing </w:t>
      </w:r>
      <w:r w:rsidRPr="009A4C44">
        <w:t xml:space="preserve">border based on available signals and to price them at the applicable </w:t>
      </w:r>
      <w:r w:rsidR="008D4B18" w:rsidRPr="009A4C44">
        <w:t>CBMP</w:t>
      </w:r>
      <w:r w:rsidRPr="009A4C44">
        <w:rPr>
          <w:rStyle w:val="FootnoteReference"/>
        </w:rPr>
        <w:footnoteReference w:id="2"/>
      </w:r>
      <w:r w:rsidRPr="009A4C44">
        <w:t xml:space="preserve"> is called the “volume-based” approach.</w:t>
      </w:r>
    </w:p>
    <w:p w:rsidR="004513E0" w:rsidRPr="009A4C44" w:rsidRDefault="004513E0" w:rsidP="004513E0">
      <w:pPr>
        <w:pStyle w:val="textregular"/>
      </w:pPr>
      <w:r w:rsidRPr="009A4C44">
        <w:t xml:space="preserve">Due to the specificities of the </w:t>
      </w:r>
      <w:proofErr w:type="spellStart"/>
      <w:r w:rsidRPr="009A4C44">
        <w:t>aFRR</w:t>
      </w:r>
      <w:proofErr w:type="spellEnd"/>
      <w:r w:rsidRPr="009A4C44">
        <w:t xml:space="preserve"> process there exist, similar to pricing, different options how to determine the volumes for TSO-TSO settlement. Those options are outlined in the following chapter.</w:t>
      </w:r>
    </w:p>
    <w:p w:rsidR="004513E0" w:rsidRPr="009A4C44" w:rsidRDefault="004513E0" w:rsidP="004513E0">
      <w:pPr>
        <w:pStyle w:val="textregular"/>
      </w:pPr>
      <w:r w:rsidRPr="009A4C44">
        <w:t xml:space="preserve">As outlined above, the proposal for pricing of </w:t>
      </w:r>
      <w:proofErr w:type="spellStart"/>
      <w:r w:rsidRPr="009A4C44">
        <w:t>aFRR</w:t>
      </w:r>
      <w:proofErr w:type="spellEnd"/>
      <w:r w:rsidRPr="009A4C44">
        <w:t xml:space="preserve"> balancing energy frames the proposal for the TSO-TSO settlement. After an evaluation of the potential pricing approaches, TSOs proposed to use a centralised price determination method, based on the AOF result from the </w:t>
      </w:r>
      <w:proofErr w:type="spellStart"/>
      <w:r w:rsidRPr="009A4C44">
        <w:t>aFRR</w:t>
      </w:r>
      <w:proofErr w:type="spellEnd"/>
      <w:r w:rsidRPr="009A4C44">
        <w:t xml:space="preserve"> Platform. In each optimisation cycle the </w:t>
      </w:r>
      <w:proofErr w:type="spellStart"/>
      <w:r w:rsidRPr="009A4C44">
        <w:t>aFRR</w:t>
      </w:r>
      <w:proofErr w:type="spellEnd"/>
      <w:r w:rsidRPr="009A4C44">
        <w:t xml:space="preserve"> platform generates the following output to be used for the settlement process: </w:t>
      </w:r>
    </w:p>
    <w:p w:rsidR="004513E0" w:rsidRPr="009A4C44" w:rsidRDefault="004513E0" w:rsidP="00DD58FA">
      <w:pPr>
        <w:pStyle w:val="textregular"/>
        <w:numPr>
          <w:ilvl w:val="0"/>
          <w:numId w:val="10"/>
        </w:numPr>
      </w:pPr>
      <w:r w:rsidRPr="009A4C44">
        <w:t xml:space="preserve">The </w:t>
      </w:r>
      <w:r w:rsidR="008D4B18" w:rsidRPr="009A4C44">
        <w:t>CBMP</w:t>
      </w:r>
      <w:r w:rsidRPr="009A4C44">
        <w:t xml:space="preserve"> for each LFC area (in €/MWh). </w:t>
      </w:r>
    </w:p>
    <w:p w:rsidR="004513E0" w:rsidRPr="009A4C44" w:rsidRDefault="004513E0" w:rsidP="00DD58FA">
      <w:pPr>
        <w:pStyle w:val="textregular"/>
        <w:numPr>
          <w:ilvl w:val="0"/>
          <w:numId w:val="10"/>
        </w:numPr>
      </w:pPr>
      <w:r w:rsidRPr="009A4C44">
        <w:t xml:space="preserve">The set(s) of LFC areas that form an uncongested area that will receive the same marginal price. </w:t>
      </w:r>
    </w:p>
    <w:p w:rsidR="004513E0" w:rsidRPr="009A4C44" w:rsidRDefault="004513E0" w:rsidP="00DD58FA">
      <w:pPr>
        <w:pStyle w:val="textregular"/>
        <w:numPr>
          <w:ilvl w:val="0"/>
          <w:numId w:val="10"/>
        </w:numPr>
      </w:pPr>
      <w:r w:rsidRPr="009A4C44">
        <w:t xml:space="preserve">The correction (in MW) of the </w:t>
      </w:r>
      <w:proofErr w:type="spellStart"/>
      <w:r w:rsidRPr="009A4C44">
        <w:t>aFRR</w:t>
      </w:r>
      <w:proofErr w:type="spellEnd"/>
      <w:r w:rsidRPr="009A4C44">
        <w:t xml:space="preserve"> demand for each LFC area reflecting total import/export of one LFC area. </w:t>
      </w:r>
    </w:p>
    <w:p w:rsidR="004513E0" w:rsidRPr="009A4C44" w:rsidRDefault="004513E0" w:rsidP="00DD58FA">
      <w:pPr>
        <w:pStyle w:val="textregular"/>
        <w:numPr>
          <w:ilvl w:val="0"/>
          <w:numId w:val="10"/>
        </w:numPr>
      </w:pPr>
      <w:r w:rsidRPr="009A4C44">
        <w:t xml:space="preserve">The market flow (in MW) per </w:t>
      </w:r>
      <w:proofErr w:type="spellStart"/>
      <w:r w:rsidR="0026397C" w:rsidRPr="009A4C44">
        <w:t>aFRR</w:t>
      </w:r>
      <w:proofErr w:type="spellEnd"/>
      <w:r w:rsidR="0026397C" w:rsidRPr="009A4C44">
        <w:t xml:space="preserve"> balancing </w:t>
      </w:r>
      <w:r w:rsidRPr="009A4C44">
        <w:t xml:space="preserve">border due to netting of </w:t>
      </w:r>
      <w:proofErr w:type="spellStart"/>
      <w:r w:rsidRPr="009A4C44">
        <w:t>aFRR</w:t>
      </w:r>
      <w:proofErr w:type="spellEnd"/>
      <w:r w:rsidRPr="009A4C44">
        <w:t xml:space="preserve"> demand and / or </w:t>
      </w:r>
      <w:proofErr w:type="spellStart"/>
      <w:r w:rsidRPr="009A4C44">
        <w:t>aFRR</w:t>
      </w:r>
      <w:proofErr w:type="spellEnd"/>
      <w:r w:rsidRPr="009A4C44">
        <w:t xml:space="preserve"> activation. </w:t>
      </w:r>
    </w:p>
    <w:p w:rsidR="004513E0" w:rsidRPr="009A4C44" w:rsidRDefault="004513E0" w:rsidP="004513E0">
      <w:pPr>
        <w:pStyle w:val="textregular"/>
      </w:pPr>
      <w:r w:rsidRPr="009A4C44">
        <w:t xml:space="preserve">For the </w:t>
      </w:r>
      <w:proofErr w:type="spellStart"/>
      <w:r w:rsidRPr="009A4C44">
        <w:t>aFRR</w:t>
      </w:r>
      <w:proofErr w:type="spellEnd"/>
      <w:r w:rsidRPr="009A4C44">
        <w:t xml:space="preserve"> process, each optimisation cycle of the AOF can be seen as an independent market clearing leading to setting a </w:t>
      </w:r>
      <w:r w:rsidR="008D4B18" w:rsidRPr="009A4C44">
        <w:t>CBMP</w:t>
      </w:r>
      <w:r w:rsidRPr="009A4C44">
        <w:t xml:space="preserve"> for each participating LFC area. Within a harmonised ISP of 15 minutes and a minimum optimisation cycle time of one second, there will be up to 900 </w:t>
      </w:r>
      <w:proofErr w:type="spellStart"/>
      <w:r w:rsidRPr="009A4C44">
        <w:t>aFRR</w:t>
      </w:r>
      <w:proofErr w:type="spellEnd"/>
      <w:r w:rsidRPr="009A4C44">
        <w:t xml:space="preserve"> market clearings and resulting </w:t>
      </w:r>
      <w:r w:rsidR="008D4B18" w:rsidRPr="009A4C44">
        <w:t>CBMP</w:t>
      </w:r>
      <w:r w:rsidRPr="009A4C44">
        <w:t xml:space="preserve">s as well as total import or export flows for each LFC area, depending on the duration of the </w:t>
      </w:r>
      <w:proofErr w:type="spellStart"/>
      <w:r w:rsidRPr="009A4C44">
        <w:t>aFRR</w:t>
      </w:r>
      <w:proofErr w:type="spellEnd"/>
      <w:r w:rsidRPr="009A4C44">
        <w:t xml:space="preserve"> optimisation cycle. Because there are multiple </w:t>
      </w:r>
      <w:r w:rsidR="0002233F" w:rsidRPr="009A4C44">
        <w:t>CBMP</w:t>
      </w:r>
      <w:r w:rsidRPr="009A4C44">
        <w:t xml:space="preserve">s available within the ISP, TSOs proposed to use the so-called “optimization-cycle balancing energy pricing period”, where for each optimization step of the AOF a </w:t>
      </w:r>
      <w:r w:rsidR="0002233F" w:rsidRPr="009A4C44">
        <w:t>CBMP</w:t>
      </w:r>
      <w:r w:rsidRPr="009A4C44">
        <w:t xml:space="preserve"> is determined. This also has a direct impact on the determination of volumes for the TSO-TSO settlement for consistency matter. Since the price information is available in each optimization cycle also the volumes will need to be defined in the same frequency. However, this does not necessarily preclude a settlement between TSOs on a higher granularity.</w:t>
      </w:r>
    </w:p>
    <w:p w:rsidR="004513E0" w:rsidRPr="009A4C44" w:rsidRDefault="004513E0" w:rsidP="004513E0">
      <w:pPr>
        <w:pStyle w:val="textregular"/>
      </w:pPr>
      <w:r w:rsidRPr="009A4C44">
        <w:t xml:space="preserve">For the volume determination for the intended exchange for the TSO-TSO settlement for </w:t>
      </w:r>
      <w:proofErr w:type="spellStart"/>
      <w:r w:rsidRPr="009A4C44">
        <w:t>aFRR</w:t>
      </w:r>
      <w:proofErr w:type="spellEnd"/>
      <w:r w:rsidRPr="009A4C44">
        <w:t xml:space="preserve">, the volumes defined by the AOF of the </w:t>
      </w:r>
      <w:proofErr w:type="spellStart"/>
      <w:r w:rsidRPr="009A4C44">
        <w:t>aFRR</w:t>
      </w:r>
      <w:proofErr w:type="spellEnd"/>
      <w:r w:rsidRPr="009A4C44">
        <w:t xml:space="preserve"> Platform were chosen. The option is illustrated in the figure below.</w:t>
      </w:r>
    </w:p>
    <w:p w:rsidR="004513E0" w:rsidRPr="009A4C44" w:rsidRDefault="004513E0" w:rsidP="004513E0">
      <w:pPr>
        <w:pStyle w:val="textregular"/>
        <w:keepNext/>
      </w:pPr>
      <w:r w:rsidRPr="009A4C44">
        <w:rPr>
          <w:noProof/>
          <w:lang w:val="ro-RO" w:eastAsia="ro-RO"/>
        </w:rPr>
        <w:lastRenderedPageBreak/>
        <w:drawing>
          <wp:inline distT="0" distB="0" distL="0" distR="0" wp14:anchorId="2AD6AE88" wp14:editId="08F268DB">
            <wp:extent cx="6047740" cy="1617980"/>
            <wp:effectExtent l="0" t="0" r="0" b="1270"/>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047740" cy="1617980"/>
                    </a:xfrm>
                    <a:prstGeom prst="rect">
                      <a:avLst/>
                    </a:prstGeom>
                  </pic:spPr>
                </pic:pic>
              </a:graphicData>
            </a:graphic>
          </wp:inline>
        </w:drawing>
      </w:r>
    </w:p>
    <w:p w:rsidR="004513E0" w:rsidRPr="009A4C44" w:rsidRDefault="004513E0" w:rsidP="004513E0">
      <w:pPr>
        <w:pStyle w:val="Caption"/>
      </w:pPr>
      <w:bookmarkStart w:id="158" w:name="_Toc531367163"/>
      <w:bookmarkStart w:id="159" w:name="_Toc531799962"/>
      <w:r w:rsidRPr="009A4C44">
        <w:t xml:space="preserve">Figure </w:t>
      </w:r>
      <w:r w:rsidRPr="009A4C44">
        <w:fldChar w:fldCharType="begin"/>
      </w:r>
      <w:r w:rsidRPr="009A4C44">
        <w:instrText xml:space="preserve"> SEQ Figure \* ARABIC </w:instrText>
      </w:r>
      <w:r w:rsidRPr="009A4C44">
        <w:fldChar w:fldCharType="separate"/>
      </w:r>
      <w:r w:rsidR="002D564B">
        <w:rPr>
          <w:noProof/>
        </w:rPr>
        <w:t>9</w:t>
      </w:r>
      <w:r w:rsidRPr="009A4C44">
        <w:fldChar w:fldCharType="end"/>
      </w:r>
      <w:r w:rsidRPr="009A4C44">
        <w:t>: TSO-TSO settlement Volume based on AOF result</w:t>
      </w:r>
      <w:bookmarkEnd w:id="158"/>
      <w:bookmarkEnd w:id="159"/>
    </w:p>
    <w:p w:rsidR="004513E0" w:rsidRPr="009A4C44" w:rsidRDefault="004513E0" w:rsidP="004513E0">
      <w:pPr>
        <w:pStyle w:val="textregular"/>
      </w:pPr>
      <w:r w:rsidRPr="009A4C44">
        <w:t xml:space="preserve">The AOF volume for the TSO-TSO settlement is equal to the market flows calculated by the AOF per </w:t>
      </w:r>
      <w:proofErr w:type="spellStart"/>
      <w:r w:rsidR="0026397C" w:rsidRPr="009A4C44">
        <w:t>aFRR</w:t>
      </w:r>
      <w:proofErr w:type="spellEnd"/>
      <w:r w:rsidR="0026397C" w:rsidRPr="009A4C44">
        <w:t xml:space="preserve"> balancing </w:t>
      </w:r>
      <w:r w:rsidRPr="009A4C44">
        <w:t xml:space="preserve">border (market flow per </w:t>
      </w:r>
      <w:proofErr w:type="spellStart"/>
      <w:r w:rsidR="0026397C" w:rsidRPr="009A4C44">
        <w:t>aFRR</w:t>
      </w:r>
      <w:proofErr w:type="spellEnd"/>
      <w:r w:rsidR="0026397C" w:rsidRPr="009A4C44">
        <w:t xml:space="preserve"> balancing </w:t>
      </w:r>
      <w:r w:rsidRPr="009A4C44">
        <w:t xml:space="preserve">border), which includes the volume requested for both </w:t>
      </w:r>
      <w:proofErr w:type="spellStart"/>
      <w:r w:rsidRPr="009A4C44">
        <w:t>aFRR</w:t>
      </w:r>
      <w:proofErr w:type="spellEnd"/>
      <w:r w:rsidRPr="009A4C44">
        <w:t xml:space="preserve"> activation and the implicit netting which is intended to flow on a specific </w:t>
      </w:r>
      <w:proofErr w:type="spellStart"/>
      <w:r w:rsidR="0026397C" w:rsidRPr="009A4C44">
        <w:t>aFRR</w:t>
      </w:r>
      <w:proofErr w:type="spellEnd"/>
      <w:r w:rsidR="0026397C" w:rsidRPr="009A4C44">
        <w:t xml:space="preserve"> balancing </w:t>
      </w:r>
      <w:r w:rsidRPr="009A4C44">
        <w:t xml:space="preserve">border. The sum of all market flows of one LFC area equals to the </w:t>
      </w:r>
      <w:proofErr w:type="spellStart"/>
      <w:r w:rsidRPr="009A4C44">
        <w:t>aFRR</w:t>
      </w:r>
      <w:proofErr w:type="spellEnd"/>
      <w:r w:rsidRPr="009A4C44">
        <w:t xml:space="preserve"> correction value (in MW) of the respective LFC area (in accordance with the control demand model)</w:t>
      </w:r>
      <w:r w:rsidR="00C73774">
        <w:t>.</w:t>
      </w:r>
    </w:p>
    <w:p w:rsidR="004513E0" w:rsidRPr="009A4C44" w:rsidRDefault="004513E0" w:rsidP="00E702B3">
      <w:pPr>
        <w:pStyle w:val="textregular"/>
      </w:pPr>
      <w:r w:rsidRPr="009A4C44">
        <w:t xml:space="preserve">The implicit netting includes the netting </w:t>
      </w:r>
      <w:r w:rsidR="006C55D8" w:rsidRPr="009A4C44">
        <w:t xml:space="preserve">determined </w:t>
      </w:r>
      <w:r w:rsidRPr="009A4C44">
        <w:t xml:space="preserve">by the AOF of the </w:t>
      </w:r>
      <w:proofErr w:type="spellStart"/>
      <w:r w:rsidRPr="009A4C44">
        <w:t>aFRR</w:t>
      </w:r>
      <w:proofErr w:type="spellEnd"/>
      <w:r w:rsidRPr="009A4C44">
        <w:t xml:space="preserve"> Platform directly. The AOF volume per optimisation cycle is defined with no ramping limitations. </w:t>
      </w:r>
    </w:p>
    <w:p w:rsidR="004513E0" w:rsidRPr="009A4C44" w:rsidRDefault="004513E0" w:rsidP="004513E0">
      <w:pPr>
        <w:pStyle w:val="textregular"/>
      </w:pPr>
      <w:r w:rsidRPr="009A4C44">
        <w:t xml:space="preserve">The AOF volume is unambiguously defined, and highly transparent, as it is a direct output from the optimisation process. As the figure shows, the AOF volumes deviate from the actual volume exchanged between LFC areas, highly dependent on the BSP profiles, </w:t>
      </w:r>
      <w:proofErr w:type="gramStart"/>
      <w:r w:rsidRPr="009A4C44">
        <w:t>which is the largest drawback of the approach.</w:t>
      </w:r>
      <w:proofErr w:type="gramEnd"/>
      <w:r w:rsidRPr="009A4C44">
        <w:t xml:space="preserve"> The TSO-TSO settlement based on the AOF volumes supports the desired incentive to react faster, as the discrepancy between TSO-TSO settlement and TSO-BSP settlement will be minimized by fast BSPs. </w:t>
      </w:r>
    </w:p>
    <w:p w:rsidR="004513E0" w:rsidRPr="009A4C44" w:rsidRDefault="004513E0" w:rsidP="004513E0">
      <w:pPr>
        <w:pStyle w:val="textregular"/>
      </w:pPr>
      <w:r w:rsidRPr="009A4C44">
        <w:t>For the volume determination for the TSO-TSO settlement some alternative options were discussed. These options can be summarised in the following two different main types:</w:t>
      </w:r>
    </w:p>
    <w:p w:rsidR="004513E0" w:rsidRPr="009A4C44" w:rsidRDefault="004513E0" w:rsidP="00DD58FA">
      <w:pPr>
        <w:pStyle w:val="textregular"/>
        <w:numPr>
          <w:ilvl w:val="0"/>
          <w:numId w:val="11"/>
        </w:numPr>
      </w:pPr>
      <w:r w:rsidRPr="009A4C44">
        <w:t xml:space="preserve">Simulated </w:t>
      </w:r>
      <w:proofErr w:type="spellStart"/>
      <w:r w:rsidRPr="009A4C44">
        <w:t>aFRR</w:t>
      </w:r>
      <w:proofErr w:type="spellEnd"/>
      <w:r w:rsidRPr="009A4C44">
        <w:t xml:space="preserve"> activation on the basis of estimated BSP response</w:t>
      </w:r>
    </w:p>
    <w:p w:rsidR="004513E0" w:rsidRPr="009A4C44" w:rsidRDefault="004513E0" w:rsidP="00DD58FA">
      <w:pPr>
        <w:pStyle w:val="textregular"/>
        <w:numPr>
          <w:ilvl w:val="0"/>
          <w:numId w:val="11"/>
        </w:numPr>
      </w:pPr>
      <w:r w:rsidRPr="009A4C44">
        <w:t xml:space="preserve">Effective </w:t>
      </w:r>
      <w:proofErr w:type="spellStart"/>
      <w:r w:rsidRPr="009A4C44">
        <w:t>aFRR</w:t>
      </w:r>
      <w:proofErr w:type="spellEnd"/>
      <w:r w:rsidRPr="009A4C44">
        <w:t xml:space="preserve"> activation based on the FRCE adjustment process (FAP)</w:t>
      </w:r>
    </w:p>
    <w:p w:rsidR="004513E0" w:rsidRPr="009A4C44" w:rsidRDefault="004513E0" w:rsidP="004513E0">
      <w:pPr>
        <w:pStyle w:val="textregular"/>
      </w:pPr>
      <w:r w:rsidRPr="009A4C44">
        <w:t>These alternative approaches for the TSO-TSO settlement volume determination are graphically illustrated in the figure below.</w:t>
      </w:r>
    </w:p>
    <w:tbl>
      <w:tblPr>
        <w:tblStyle w:val="PlainTable41"/>
        <w:tblW w:w="10139" w:type="dxa"/>
        <w:tblLook w:val="04A0" w:firstRow="1" w:lastRow="0" w:firstColumn="1" w:lastColumn="0" w:noHBand="0" w:noVBand="1"/>
      </w:tblPr>
      <w:tblGrid>
        <w:gridCol w:w="5391"/>
        <w:gridCol w:w="4748"/>
      </w:tblGrid>
      <w:tr w:rsidR="004513E0" w:rsidRPr="009A4C44" w:rsidTr="00E702B3">
        <w:trPr>
          <w:cnfStyle w:val="100000000000" w:firstRow="1" w:lastRow="0" w:firstColumn="0" w:lastColumn="0" w:oddVBand="0" w:evenVBand="0" w:oddHBand="0" w:evenHBand="0" w:firstRowFirstColumn="0" w:firstRowLastColumn="0" w:lastRowFirstColumn="0" w:lastRowLastColumn="0"/>
          <w:trHeight w:val="1937"/>
        </w:trPr>
        <w:tc>
          <w:tcPr>
            <w:cnfStyle w:val="001000000000" w:firstRow="0" w:lastRow="0" w:firstColumn="1" w:lastColumn="0" w:oddVBand="0" w:evenVBand="0" w:oddHBand="0" w:evenHBand="0" w:firstRowFirstColumn="0" w:firstRowLastColumn="0" w:lastRowFirstColumn="0" w:lastRowLastColumn="0"/>
            <w:tcW w:w="5391" w:type="dxa"/>
          </w:tcPr>
          <w:p w:rsidR="004513E0" w:rsidRPr="009A4C44" w:rsidRDefault="004513E0" w:rsidP="00E702B3">
            <w:pPr>
              <w:pStyle w:val="textregular"/>
            </w:pPr>
            <w:r w:rsidRPr="009A4C44">
              <w:rPr>
                <w:noProof/>
                <w:lang w:val="ro-RO" w:eastAsia="ro-RO"/>
              </w:rPr>
              <w:drawing>
                <wp:inline distT="0" distB="0" distL="0" distR="0" wp14:anchorId="56AD5E0B" wp14:editId="53FDA695">
                  <wp:extent cx="3286204" cy="1037749"/>
                  <wp:effectExtent l="0" t="0" r="0" b="0"/>
                  <wp:docPr id="43"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6"/>
                          <pic:cNvPicPr>
                            <a:picLocks noChangeAspect="1"/>
                          </pic:cNvPicPr>
                        </pic:nvPicPr>
                        <pic:blipFill>
                          <a:blip r:embed="rId24"/>
                          <a:stretch>
                            <a:fillRect/>
                          </a:stretch>
                        </pic:blipFill>
                        <pic:spPr>
                          <a:xfrm>
                            <a:off x="0" y="0"/>
                            <a:ext cx="3286204" cy="1037749"/>
                          </a:xfrm>
                          <a:prstGeom prst="rect">
                            <a:avLst/>
                          </a:prstGeom>
                        </pic:spPr>
                      </pic:pic>
                    </a:graphicData>
                  </a:graphic>
                </wp:inline>
              </w:drawing>
            </w:r>
          </w:p>
        </w:tc>
        <w:tc>
          <w:tcPr>
            <w:tcW w:w="4748" w:type="dxa"/>
          </w:tcPr>
          <w:p w:rsidR="004513E0" w:rsidRPr="009A4C44" w:rsidRDefault="004513E0" w:rsidP="00E702B3">
            <w:pPr>
              <w:pStyle w:val="textregular"/>
              <w:cnfStyle w:val="100000000000" w:firstRow="1" w:lastRow="0" w:firstColumn="0" w:lastColumn="0" w:oddVBand="0" w:evenVBand="0" w:oddHBand="0" w:evenHBand="0" w:firstRowFirstColumn="0" w:firstRowLastColumn="0" w:lastRowFirstColumn="0" w:lastRowLastColumn="0"/>
            </w:pPr>
            <w:r w:rsidRPr="009A4C44">
              <w:rPr>
                <w:noProof/>
                <w:lang w:val="ro-RO" w:eastAsia="ro-RO"/>
              </w:rPr>
              <w:drawing>
                <wp:inline distT="0" distB="0" distL="0" distR="0" wp14:anchorId="44EC931F" wp14:editId="42D4E2CE">
                  <wp:extent cx="2878438" cy="946004"/>
                  <wp:effectExtent l="0" t="0" r="0" b="6985"/>
                  <wp:docPr id="8"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7"/>
                          <pic:cNvPicPr>
                            <a:picLocks noChangeAspect="1"/>
                          </pic:cNvPicPr>
                        </pic:nvPicPr>
                        <pic:blipFill>
                          <a:blip r:embed="rId25"/>
                          <a:stretch>
                            <a:fillRect/>
                          </a:stretch>
                        </pic:blipFill>
                        <pic:spPr>
                          <a:xfrm>
                            <a:off x="0" y="0"/>
                            <a:ext cx="2878438" cy="946004"/>
                          </a:xfrm>
                          <a:prstGeom prst="rect">
                            <a:avLst/>
                          </a:prstGeom>
                        </pic:spPr>
                      </pic:pic>
                    </a:graphicData>
                  </a:graphic>
                </wp:inline>
              </w:drawing>
            </w:r>
          </w:p>
        </w:tc>
      </w:tr>
      <w:tr w:rsidR="004513E0" w:rsidRPr="009A4C44" w:rsidTr="00E702B3">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10139" w:type="dxa"/>
            <w:gridSpan w:val="2"/>
          </w:tcPr>
          <w:p w:rsidR="004513E0" w:rsidRPr="009A4C44" w:rsidRDefault="004513E0" w:rsidP="00E702B3">
            <w:pPr>
              <w:pStyle w:val="textregular"/>
              <w:keepNext/>
              <w:jc w:val="center"/>
            </w:pPr>
            <w:r w:rsidRPr="009A4C44">
              <w:rPr>
                <w:noProof/>
                <w:lang w:val="ro-RO" w:eastAsia="ro-RO"/>
              </w:rPr>
              <w:drawing>
                <wp:inline distT="0" distB="0" distL="0" distR="0" wp14:anchorId="7C0DCACE" wp14:editId="382A3619">
                  <wp:extent cx="5943600" cy="310515"/>
                  <wp:effectExtent l="0" t="0" r="0" b="0"/>
                  <wp:docPr id="45"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9"/>
                          <pic:cNvPicPr>
                            <a:picLocks noChangeAspect="1"/>
                          </pic:cNvPicPr>
                        </pic:nvPicPr>
                        <pic:blipFill>
                          <a:blip r:embed="rId26"/>
                          <a:stretch>
                            <a:fillRect/>
                          </a:stretch>
                        </pic:blipFill>
                        <pic:spPr>
                          <a:xfrm>
                            <a:off x="0" y="0"/>
                            <a:ext cx="5943600" cy="310515"/>
                          </a:xfrm>
                          <a:prstGeom prst="rect">
                            <a:avLst/>
                          </a:prstGeom>
                        </pic:spPr>
                      </pic:pic>
                    </a:graphicData>
                  </a:graphic>
                </wp:inline>
              </w:drawing>
            </w:r>
          </w:p>
        </w:tc>
      </w:tr>
    </w:tbl>
    <w:p w:rsidR="004513E0" w:rsidRPr="009A4C44" w:rsidRDefault="004513E0" w:rsidP="004513E0">
      <w:pPr>
        <w:pStyle w:val="Caption"/>
      </w:pPr>
      <w:bookmarkStart w:id="160" w:name="_Toc531367164"/>
      <w:bookmarkStart w:id="161" w:name="_Toc531799963"/>
      <w:r w:rsidRPr="009A4C44">
        <w:t xml:space="preserve">Figure </w:t>
      </w:r>
      <w:r w:rsidRPr="009A4C44">
        <w:fldChar w:fldCharType="begin"/>
      </w:r>
      <w:r w:rsidRPr="009A4C44">
        <w:instrText xml:space="preserve"> SEQ Figure \* ARABIC </w:instrText>
      </w:r>
      <w:r w:rsidRPr="009A4C44">
        <w:fldChar w:fldCharType="separate"/>
      </w:r>
      <w:r w:rsidR="002D564B">
        <w:rPr>
          <w:noProof/>
        </w:rPr>
        <w:t>10</w:t>
      </w:r>
      <w:r w:rsidRPr="009A4C44">
        <w:fldChar w:fldCharType="end"/>
      </w:r>
      <w:r w:rsidRPr="009A4C44">
        <w:t xml:space="preserve">: TSO-TSO settlement based on simulated and effective </w:t>
      </w:r>
      <w:proofErr w:type="spellStart"/>
      <w:r w:rsidRPr="009A4C44">
        <w:t>aFRR</w:t>
      </w:r>
      <w:proofErr w:type="spellEnd"/>
      <w:r w:rsidRPr="009A4C44">
        <w:t xml:space="preserve"> activation</w:t>
      </w:r>
      <w:bookmarkEnd w:id="160"/>
      <w:bookmarkEnd w:id="161"/>
    </w:p>
    <w:p w:rsidR="004513E0" w:rsidRPr="009A4C44" w:rsidRDefault="004513E0" w:rsidP="004513E0">
      <w:pPr>
        <w:pStyle w:val="textregular"/>
      </w:pPr>
      <w:r w:rsidRPr="009A4C44">
        <w:t xml:space="preserve">Both these options give results that more accurately correspond to the actual energy delivered. However, the chosen method – AOF volume – was favoured after thorough evaluation of pros and cons. The main </w:t>
      </w:r>
      <w:proofErr w:type="gramStart"/>
      <w:r w:rsidRPr="009A4C44">
        <w:t>arguments for choosing the AOF method is</w:t>
      </w:r>
      <w:proofErr w:type="gramEnd"/>
      <w:r w:rsidRPr="009A4C44">
        <w:t xml:space="preserve"> transparency and simplicity. The transparency is secured because the volume determination is not based on local procedures or data, and historic data is easily accessible from the AOF of the platform. The determination of AOF volumes is virtually incontestable. The simplicity comes by a much smaller amount of data and that the data comes from the platform itself, i.e. no </w:t>
      </w:r>
      <w:r w:rsidRPr="009A4C44">
        <w:lastRenderedPageBreak/>
        <w:t xml:space="preserve">dependence on local data being sent back to the platform. Moreover, the chosen method ensures the consistency between the determination of the </w:t>
      </w:r>
      <w:r w:rsidR="0002233F" w:rsidRPr="009A4C44">
        <w:t>CBMP</w:t>
      </w:r>
      <w:r w:rsidRPr="009A4C44">
        <w:t xml:space="preserve"> in accordance with the pricing proposal and the determination of TSO-TSO settlement volumes both in terms of frequency and source of the utilized signal.</w:t>
      </w:r>
    </w:p>
    <w:p w:rsidR="004513E0" w:rsidRPr="009A4C44" w:rsidRDefault="004513E0" w:rsidP="004513E0">
      <w:pPr>
        <w:pStyle w:val="textregular"/>
      </w:pPr>
      <w:r w:rsidRPr="009A4C44">
        <w:t>A serious complexity that would be added if volumes were to be determined by simulation, is the development of different methods for each LFC area, and making sure that these methods</w:t>
      </w:r>
      <w:r w:rsidRPr="009A4C44" w:rsidDel="005D3512">
        <w:t xml:space="preserve"> </w:t>
      </w:r>
      <w:r w:rsidRPr="009A4C44">
        <w:t>don`t violate principles of a level playing field.</w:t>
      </w:r>
    </w:p>
    <w:p w:rsidR="00AA782F" w:rsidRPr="009A4C44" w:rsidRDefault="004513E0" w:rsidP="00385CC3">
      <w:pPr>
        <w:pStyle w:val="textregular"/>
      </w:pPr>
      <w:r w:rsidRPr="009A4C44">
        <w:t>Also, the second alternative, to settle based on actual delivered volumes, adds complexity because it requires additional communication and indicative price signals. This alternative requires some sort of measurement of delivered volumes which is not available to all TSOs today. Moreover, TSOs agreed not to harmonize the TSO-BSP volume determination in a first stage. However, for a proper functioning of the alternative and proper incentives on BSPs, these measurements would ideally have to be harmonised if the platform implementation should be complete and equal to all participants.</w:t>
      </w:r>
    </w:p>
    <w:p w:rsidR="00AA782F" w:rsidRPr="009A4C44" w:rsidRDefault="00AA782F" w:rsidP="00051DB2">
      <w:pPr>
        <w:pStyle w:val="headline2"/>
        <w:numPr>
          <w:ilvl w:val="1"/>
          <w:numId w:val="8"/>
        </w:numPr>
        <w:spacing w:after="200" w:line="240" w:lineRule="auto"/>
        <w:jc w:val="both"/>
        <w:outlineLvl w:val="1"/>
      </w:pPr>
      <w:bookmarkStart w:id="162" w:name="_Toc531687681"/>
      <w:bookmarkStart w:id="163" w:name="_Toc531787034"/>
      <w:bookmarkStart w:id="164" w:name="_Toc531799943"/>
      <w:r w:rsidRPr="009A4C44">
        <w:t xml:space="preserve">Settlement of netted </w:t>
      </w:r>
      <w:r w:rsidR="00F532FB" w:rsidRPr="009A4C44">
        <w:t xml:space="preserve">volumes of </w:t>
      </w:r>
      <w:proofErr w:type="spellStart"/>
      <w:r w:rsidRPr="009A4C44">
        <w:t>aFRR</w:t>
      </w:r>
      <w:proofErr w:type="spellEnd"/>
      <w:r w:rsidRPr="009A4C44">
        <w:t xml:space="preserve"> </w:t>
      </w:r>
      <w:bookmarkEnd w:id="162"/>
      <w:r w:rsidR="00F532FB" w:rsidRPr="009A4C44">
        <w:t>demand</w:t>
      </w:r>
      <w:bookmarkEnd w:id="163"/>
      <w:bookmarkEnd w:id="164"/>
    </w:p>
    <w:p w:rsidR="00AA782F" w:rsidRPr="00051DB2" w:rsidRDefault="00AA782F" w:rsidP="00051DB2">
      <w:pPr>
        <w:pStyle w:val="Headline14pt"/>
        <w:pageBreakBefore w:val="0"/>
        <w:numPr>
          <w:ilvl w:val="2"/>
          <w:numId w:val="8"/>
        </w:numPr>
        <w:jc w:val="both"/>
        <w:outlineLvl w:val="2"/>
        <w:rPr>
          <w:sz w:val="28"/>
        </w:rPr>
      </w:pPr>
      <w:bookmarkStart w:id="165" w:name="_Toc531687682"/>
      <w:bookmarkStart w:id="166" w:name="_Toc531787035"/>
      <w:bookmarkStart w:id="167" w:name="_Toc531799944"/>
      <w:r w:rsidRPr="00051DB2">
        <w:rPr>
          <w:sz w:val="28"/>
        </w:rPr>
        <w:t>Definition of netted volumes</w:t>
      </w:r>
      <w:bookmarkEnd w:id="165"/>
      <w:r w:rsidR="00F532FB" w:rsidRPr="009A4C44">
        <w:rPr>
          <w:sz w:val="28"/>
        </w:rPr>
        <w:t xml:space="preserve"> of the </w:t>
      </w:r>
      <w:proofErr w:type="spellStart"/>
      <w:r w:rsidR="00F532FB" w:rsidRPr="009A4C44">
        <w:rPr>
          <w:sz w:val="28"/>
        </w:rPr>
        <w:t>aFRR</w:t>
      </w:r>
      <w:proofErr w:type="spellEnd"/>
      <w:r w:rsidR="00F532FB" w:rsidRPr="009A4C44">
        <w:rPr>
          <w:sz w:val="28"/>
        </w:rPr>
        <w:t xml:space="preserve"> demand</w:t>
      </w:r>
      <w:bookmarkEnd w:id="166"/>
      <w:bookmarkEnd w:id="167"/>
    </w:p>
    <w:p w:rsidR="00AA782F" w:rsidRPr="009A4C44" w:rsidRDefault="00F532FB" w:rsidP="00AA782F">
      <w:pPr>
        <w:spacing w:after="120" w:line="276" w:lineRule="auto"/>
        <w:jc w:val="both"/>
        <w:rPr>
          <w:rFonts w:ascii="Times New Roman" w:hAnsi="Times New Roman"/>
          <w:szCs w:val="19"/>
        </w:rPr>
      </w:pPr>
      <w:r w:rsidRPr="009A4C44">
        <w:rPr>
          <w:rFonts w:ascii="Times New Roman" w:hAnsi="Times New Roman"/>
          <w:szCs w:val="19"/>
        </w:rPr>
        <w:t>N</w:t>
      </w:r>
      <w:r w:rsidR="00AA782F" w:rsidRPr="009A4C44">
        <w:rPr>
          <w:rFonts w:ascii="Times New Roman" w:hAnsi="Times New Roman"/>
          <w:szCs w:val="19"/>
        </w:rPr>
        <w:t xml:space="preserve">etted volume </w:t>
      </w:r>
      <w:r w:rsidRPr="009A4C44">
        <w:rPr>
          <w:rFonts w:ascii="Times New Roman" w:hAnsi="Times New Roman"/>
          <w:szCs w:val="19"/>
        </w:rPr>
        <w:t xml:space="preserve">of the </w:t>
      </w:r>
      <w:proofErr w:type="spellStart"/>
      <w:r w:rsidRPr="009A4C44">
        <w:rPr>
          <w:rFonts w:ascii="Times New Roman" w:hAnsi="Times New Roman"/>
          <w:szCs w:val="19"/>
        </w:rPr>
        <w:t>aFRR</w:t>
      </w:r>
      <w:proofErr w:type="spellEnd"/>
      <w:r w:rsidRPr="009A4C44">
        <w:rPr>
          <w:rFonts w:ascii="Times New Roman" w:hAnsi="Times New Roman"/>
          <w:szCs w:val="19"/>
        </w:rPr>
        <w:t xml:space="preserve"> demand </w:t>
      </w:r>
      <w:r w:rsidR="00AA782F" w:rsidRPr="009A4C44">
        <w:rPr>
          <w:rFonts w:ascii="Times New Roman" w:hAnsi="Times New Roman"/>
          <w:szCs w:val="19"/>
        </w:rPr>
        <w:t xml:space="preserve">is a virtual exchange of </w:t>
      </w:r>
      <w:r w:rsidRPr="009A4C44">
        <w:rPr>
          <w:rFonts w:ascii="Times New Roman" w:hAnsi="Times New Roman"/>
          <w:szCs w:val="19"/>
        </w:rPr>
        <w:t>balancing</w:t>
      </w:r>
      <w:r w:rsidR="00AA782F" w:rsidRPr="009A4C44">
        <w:rPr>
          <w:rFonts w:ascii="Times New Roman" w:hAnsi="Times New Roman"/>
          <w:szCs w:val="19"/>
        </w:rPr>
        <w:t xml:space="preserve"> energy between cooperating LFC areas which results from netting of opposed </w:t>
      </w:r>
      <w:proofErr w:type="spellStart"/>
      <w:r w:rsidR="00AA782F" w:rsidRPr="009A4C44">
        <w:rPr>
          <w:rFonts w:ascii="Times New Roman" w:hAnsi="Times New Roman"/>
          <w:szCs w:val="19"/>
        </w:rPr>
        <w:t>aFRR</w:t>
      </w:r>
      <w:proofErr w:type="spellEnd"/>
      <w:r w:rsidR="00AA782F" w:rsidRPr="009A4C44">
        <w:rPr>
          <w:rFonts w:ascii="Times New Roman" w:hAnsi="Times New Roman"/>
          <w:szCs w:val="19"/>
        </w:rPr>
        <w:t xml:space="preserve"> demands. It means that an LFC area which is long supplies energy to an LFC area which is short. In that way, the netting process enables all participating TSOs to reduce their activation of </w:t>
      </w:r>
      <w:proofErr w:type="spellStart"/>
      <w:r w:rsidR="00AA782F" w:rsidRPr="009A4C44">
        <w:rPr>
          <w:rFonts w:ascii="Times New Roman" w:hAnsi="Times New Roman"/>
          <w:szCs w:val="19"/>
        </w:rPr>
        <w:t>aFRR</w:t>
      </w:r>
      <w:proofErr w:type="spellEnd"/>
      <w:r w:rsidR="00AA782F" w:rsidRPr="009A4C44">
        <w:rPr>
          <w:rFonts w:ascii="Times New Roman" w:hAnsi="Times New Roman"/>
          <w:szCs w:val="19"/>
        </w:rPr>
        <w:t xml:space="preserve"> balancing energy. </w:t>
      </w:r>
      <w:proofErr w:type="gramStart"/>
      <w:r w:rsidR="00AA782F" w:rsidRPr="009A4C44">
        <w:rPr>
          <w:rFonts w:ascii="Times New Roman" w:hAnsi="Times New Roman"/>
          <w:szCs w:val="19"/>
        </w:rPr>
        <w:t xml:space="preserve">As the </w:t>
      </w:r>
      <w:r w:rsidRPr="009A4C44">
        <w:rPr>
          <w:rFonts w:ascii="Times New Roman" w:hAnsi="Times New Roman"/>
          <w:szCs w:val="19"/>
        </w:rPr>
        <w:t xml:space="preserve">implicit </w:t>
      </w:r>
      <w:r w:rsidR="00AA782F" w:rsidRPr="009A4C44">
        <w:rPr>
          <w:rFonts w:ascii="Times New Roman" w:hAnsi="Times New Roman"/>
          <w:szCs w:val="19"/>
        </w:rPr>
        <w:t xml:space="preserve">netting </w:t>
      </w:r>
      <w:r w:rsidRPr="009A4C44">
        <w:rPr>
          <w:rFonts w:ascii="Times New Roman" w:hAnsi="Times New Roman"/>
          <w:szCs w:val="19"/>
        </w:rPr>
        <w:t xml:space="preserve">of the </w:t>
      </w:r>
      <w:proofErr w:type="spellStart"/>
      <w:r w:rsidRPr="009A4C44">
        <w:rPr>
          <w:rFonts w:ascii="Times New Roman" w:hAnsi="Times New Roman"/>
          <w:szCs w:val="19"/>
        </w:rPr>
        <w:t>aFRR</w:t>
      </w:r>
      <w:proofErr w:type="spellEnd"/>
      <w:r w:rsidR="00AA782F" w:rsidRPr="009A4C44">
        <w:rPr>
          <w:rFonts w:ascii="Times New Roman" w:hAnsi="Times New Roman"/>
          <w:szCs w:val="19"/>
        </w:rPr>
        <w:t xml:space="preserve"> process results in an intended exchange of balancing energy also the exchange of netted volumes needs to be settled under the framework of the TSO-TSO settlement proposal.</w:t>
      </w:r>
      <w:proofErr w:type="gramEnd"/>
      <w:r w:rsidR="000D091E" w:rsidRPr="009A4C44">
        <w:rPr>
          <w:rFonts w:ascii="Times New Roman" w:hAnsi="Times New Roman"/>
          <w:szCs w:val="19"/>
        </w:rPr>
        <w:t xml:space="preserve"> As outlined in chapter </w:t>
      </w:r>
      <w:r w:rsidR="000D091E" w:rsidRPr="009A4C44">
        <w:rPr>
          <w:rFonts w:ascii="Times New Roman" w:hAnsi="Times New Roman"/>
          <w:szCs w:val="19"/>
        </w:rPr>
        <w:fldChar w:fldCharType="begin"/>
      </w:r>
      <w:r w:rsidR="000D091E" w:rsidRPr="009A4C44">
        <w:rPr>
          <w:rFonts w:ascii="Times New Roman" w:hAnsi="Times New Roman"/>
          <w:szCs w:val="19"/>
        </w:rPr>
        <w:instrText xml:space="preserve"> REF _Ref531335006 \r \h </w:instrText>
      </w:r>
      <w:r w:rsidR="009A4C44">
        <w:rPr>
          <w:rFonts w:ascii="Times New Roman" w:hAnsi="Times New Roman"/>
          <w:szCs w:val="19"/>
        </w:rPr>
        <w:instrText xml:space="preserve"> \* MERGEFORMAT </w:instrText>
      </w:r>
      <w:r w:rsidR="000D091E" w:rsidRPr="009A4C44">
        <w:rPr>
          <w:rFonts w:ascii="Times New Roman" w:hAnsi="Times New Roman"/>
          <w:szCs w:val="19"/>
        </w:rPr>
        <w:fldChar w:fldCharType="separate"/>
      </w:r>
      <w:r w:rsidR="002D564B">
        <w:rPr>
          <w:rFonts w:ascii="Times New Roman" w:hAnsi="Times New Roman"/>
          <w:b/>
          <w:bCs/>
          <w:szCs w:val="19"/>
          <w:lang w:val="en-US"/>
        </w:rPr>
        <w:t>Error! Reference source not found.</w:t>
      </w:r>
      <w:r w:rsidR="000D091E" w:rsidRPr="009A4C44">
        <w:rPr>
          <w:rFonts w:ascii="Times New Roman" w:hAnsi="Times New Roman"/>
          <w:szCs w:val="19"/>
        </w:rPr>
        <w:fldChar w:fldCharType="end"/>
      </w:r>
      <w:r w:rsidR="000D091E" w:rsidRPr="009A4C44">
        <w:rPr>
          <w:rFonts w:ascii="Times New Roman" w:hAnsi="Times New Roman"/>
          <w:szCs w:val="19"/>
        </w:rPr>
        <w:t xml:space="preserve"> </w:t>
      </w:r>
      <w:proofErr w:type="gramStart"/>
      <w:r w:rsidR="000D091E" w:rsidRPr="009A4C44">
        <w:rPr>
          <w:rFonts w:ascii="Times New Roman" w:hAnsi="Times New Roman"/>
          <w:szCs w:val="19"/>
        </w:rPr>
        <w:t>the</w:t>
      </w:r>
      <w:proofErr w:type="gramEnd"/>
      <w:r w:rsidR="000D091E" w:rsidRPr="009A4C44">
        <w:rPr>
          <w:rFonts w:ascii="Times New Roman" w:hAnsi="Times New Roman"/>
          <w:szCs w:val="19"/>
        </w:rPr>
        <w:t xml:space="preserve"> AOF for the process within the control demand model does not differentiate between activated </w:t>
      </w:r>
      <w:proofErr w:type="spellStart"/>
      <w:r w:rsidRPr="009A4C44">
        <w:rPr>
          <w:rFonts w:ascii="Times New Roman" w:hAnsi="Times New Roman"/>
          <w:szCs w:val="19"/>
        </w:rPr>
        <w:t>aFRR</w:t>
      </w:r>
      <w:proofErr w:type="spellEnd"/>
      <w:r w:rsidRPr="009A4C44">
        <w:rPr>
          <w:rFonts w:ascii="Times New Roman" w:hAnsi="Times New Roman"/>
          <w:szCs w:val="19"/>
        </w:rPr>
        <w:t xml:space="preserve"> energy volumes </w:t>
      </w:r>
      <w:r w:rsidR="000D091E" w:rsidRPr="009A4C44">
        <w:rPr>
          <w:rFonts w:ascii="Times New Roman" w:hAnsi="Times New Roman"/>
          <w:szCs w:val="19"/>
        </w:rPr>
        <w:t xml:space="preserve">and netted </w:t>
      </w:r>
      <w:proofErr w:type="spellStart"/>
      <w:r w:rsidR="003D5306" w:rsidRPr="009A4C44">
        <w:rPr>
          <w:rFonts w:ascii="Times New Roman" w:hAnsi="Times New Roman"/>
          <w:szCs w:val="19"/>
        </w:rPr>
        <w:t>aFRR</w:t>
      </w:r>
      <w:proofErr w:type="spellEnd"/>
      <w:r w:rsidR="003D5306" w:rsidRPr="009A4C44">
        <w:rPr>
          <w:rFonts w:ascii="Times New Roman" w:hAnsi="Times New Roman"/>
          <w:szCs w:val="19"/>
        </w:rPr>
        <w:t xml:space="preserve"> demand</w:t>
      </w:r>
      <w:r w:rsidR="000D091E" w:rsidRPr="009A4C44">
        <w:rPr>
          <w:rFonts w:ascii="Times New Roman" w:hAnsi="Times New Roman"/>
          <w:szCs w:val="19"/>
        </w:rPr>
        <w:t xml:space="preserve">. Therefore the determination of settlement volumes </w:t>
      </w:r>
      <w:r w:rsidR="003D5306" w:rsidRPr="009A4C44">
        <w:rPr>
          <w:rFonts w:ascii="Times New Roman" w:hAnsi="Times New Roman"/>
          <w:szCs w:val="19"/>
        </w:rPr>
        <w:t xml:space="preserve">due to activated </w:t>
      </w:r>
      <w:proofErr w:type="spellStart"/>
      <w:r w:rsidR="003D5306" w:rsidRPr="009A4C44">
        <w:rPr>
          <w:rFonts w:ascii="Times New Roman" w:hAnsi="Times New Roman"/>
          <w:szCs w:val="19"/>
        </w:rPr>
        <w:t>aFRR</w:t>
      </w:r>
      <w:proofErr w:type="spellEnd"/>
      <w:r w:rsidR="003D5306" w:rsidRPr="009A4C44">
        <w:rPr>
          <w:rFonts w:ascii="Times New Roman" w:hAnsi="Times New Roman"/>
          <w:szCs w:val="19"/>
        </w:rPr>
        <w:t xml:space="preserve"> </w:t>
      </w:r>
      <w:r w:rsidR="000D091E" w:rsidRPr="009A4C44">
        <w:rPr>
          <w:rFonts w:ascii="Times New Roman" w:hAnsi="Times New Roman"/>
          <w:szCs w:val="19"/>
        </w:rPr>
        <w:t xml:space="preserve">and the settlement of netted </w:t>
      </w:r>
      <w:proofErr w:type="spellStart"/>
      <w:r w:rsidR="000D091E" w:rsidRPr="009A4C44">
        <w:rPr>
          <w:rFonts w:ascii="Times New Roman" w:hAnsi="Times New Roman"/>
          <w:szCs w:val="19"/>
        </w:rPr>
        <w:t>aFRR</w:t>
      </w:r>
      <w:proofErr w:type="spellEnd"/>
      <w:r w:rsidR="000D091E" w:rsidRPr="009A4C44">
        <w:rPr>
          <w:rFonts w:ascii="Times New Roman" w:hAnsi="Times New Roman"/>
          <w:szCs w:val="19"/>
        </w:rPr>
        <w:t xml:space="preserve"> </w:t>
      </w:r>
      <w:r w:rsidR="003D5306" w:rsidRPr="009A4C44">
        <w:rPr>
          <w:rFonts w:ascii="Times New Roman" w:hAnsi="Times New Roman"/>
          <w:szCs w:val="19"/>
        </w:rPr>
        <w:t xml:space="preserve">demand </w:t>
      </w:r>
      <w:r w:rsidR="000D091E" w:rsidRPr="009A4C44">
        <w:rPr>
          <w:rFonts w:ascii="Times New Roman" w:hAnsi="Times New Roman"/>
          <w:szCs w:val="19"/>
        </w:rPr>
        <w:t>is the same</w:t>
      </w:r>
      <w:r w:rsidR="003D5306" w:rsidRPr="009A4C44">
        <w:rPr>
          <w:rFonts w:ascii="Times New Roman" w:hAnsi="Times New Roman"/>
          <w:szCs w:val="19"/>
        </w:rPr>
        <w:t>.</w:t>
      </w:r>
    </w:p>
    <w:p w:rsidR="00AA782F" w:rsidRPr="009A4C44" w:rsidRDefault="00051DB2" w:rsidP="00AA782F">
      <w:pPr>
        <w:spacing w:after="120" w:line="276" w:lineRule="auto"/>
        <w:jc w:val="both"/>
        <w:rPr>
          <w:rFonts w:ascii="Times New Roman" w:hAnsi="Times New Roman"/>
          <w:szCs w:val="19"/>
        </w:rPr>
      </w:pPr>
      <w:r w:rsidRPr="00051DB2">
        <w:rPr>
          <w:rFonts w:ascii="Times New Roman" w:hAnsi="Times New Roman"/>
          <w:szCs w:val="19"/>
        </w:rPr>
        <w:fldChar w:fldCharType="begin"/>
      </w:r>
      <w:r w:rsidRPr="00DD58FA">
        <w:rPr>
          <w:rFonts w:ascii="Times New Roman" w:hAnsi="Times New Roman"/>
          <w:szCs w:val="19"/>
          <w:lang w:val="nb-NO"/>
        </w:rPr>
        <w:instrText xml:space="preserve"> REF _Ref531797395 \h  \* MERGEFORMAT </w:instrText>
      </w:r>
      <w:r w:rsidRPr="00051DB2">
        <w:rPr>
          <w:rFonts w:ascii="Times New Roman" w:hAnsi="Times New Roman"/>
          <w:szCs w:val="19"/>
        </w:rPr>
      </w:r>
      <w:r w:rsidRPr="00051DB2">
        <w:rPr>
          <w:rFonts w:ascii="Times New Roman" w:hAnsi="Times New Roman"/>
          <w:szCs w:val="19"/>
        </w:rPr>
        <w:fldChar w:fldCharType="separate"/>
      </w:r>
      <w:r w:rsidR="002D564B" w:rsidRPr="002D564B">
        <w:rPr>
          <w:rFonts w:ascii="Times New Roman" w:hAnsi="Times New Roman"/>
          <w:lang w:val="nb-NO"/>
        </w:rPr>
        <w:t xml:space="preserve">Table </w:t>
      </w:r>
      <w:r w:rsidR="002D564B" w:rsidRPr="002D564B">
        <w:rPr>
          <w:rFonts w:ascii="Times New Roman" w:hAnsi="Times New Roman"/>
          <w:noProof/>
          <w:lang w:val="nb-NO"/>
        </w:rPr>
        <w:t>7</w:t>
      </w:r>
      <w:r w:rsidRPr="00051DB2">
        <w:rPr>
          <w:rFonts w:ascii="Times New Roman" w:hAnsi="Times New Roman"/>
          <w:szCs w:val="19"/>
        </w:rPr>
        <w:fldChar w:fldCharType="end"/>
      </w:r>
      <w:r w:rsidR="00AA782F" w:rsidRPr="00051DB2">
        <w:rPr>
          <w:rFonts w:ascii="Times New Roman" w:hAnsi="Times New Roman"/>
          <w:szCs w:val="19"/>
        </w:rPr>
        <w:fldChar w:fldCharType="begin"/>
      </w:r>
      <w:r w:rsidR="00AA782F" w:rsidRPr="00DD58FA">
        <w:rPr>
          <w:rFonts w:ascii="Times New Roman" w:hAnsi="Times New Roman"/>
          <w:szCs w:val="19"/>
          <w:lang w:val="nb-NO"/>
        </w:rPr>
        <w:instrText xml:space="preserve"> REF _Ref530928705 \h  \* MERGEFORMAT </w:instrText>
      </w:r>
      <w:r w:rsidR="00AA782F" w:rsidRPr="00051DB2">
        <w:rPr>
          <w:rFonts w:ascii="Times New Roman" w:hAnsi="Times New Roman"/>
          <w:szCs w:val="19"/>
        </w:rPr>
        <w:fldChar w:fldCharType="separate"/>
      </w:r>
      <w:r w:rsidR="002D564B">
        <w:rPr>
          <w:rFonts w:ascii="Times New Roman" w:hAnsi="Times New Roman"/>
          <w:b/>
          <w:bCs/>
          <w:szCs w:val="19"/>
          <w:lang w:val="en-US"/>
        </w:rPr>
        <w:t>Error! Reference source not found.</w:t>
      </w:r>
      <w:r w:rsidR="00AA782F" w:rsidRPr="00051DB2">
        <w:rPr>
          <w:rFonts w:ascii="Times New Roman" w:hAnsi="Times New Roman"/>
          <w:szCs w:val="19"/>
        </w:rPr>
        <w:fldChar w:fldCharType="end"/>
      </w:r>
      <w:r w:rsidR="00AA782F" w:rsidRPr="00DD58FA">
        <w:rPr>
          <w:rFonts w:ascii="Times New Roman" w:hAnsi="Times New Roman"/>
          <w:szCs w:val="19"/>
          <w:lang w:val="nb-NO"/>
        </w:rPr>
        <w:t xml:space="preserve"> </w:t>
      </w:r>
      <w:proofErr w:type="gramStart"/>
      <w:r w:rsidR="00AA782F" w:rsidRPr="00051DB2">
        <w:rPr>
          <w:rFonts w:ascii="Times New Roman" w:hAnsi="Times New Roman"/>
          <w:szCs w:val="19"/>
        </w:rPr>
        <w:t>illustrates</w:t>
      </w:r>
      <w:proofErr w:type="gramEnd"/>
      <w:r w:rsidR="00AA782F" w:rsidRPr="00051DB2">
        <w:rPr>
          <w:rFonts w:ascii="Times New Roman" w:hAnsi="Times New Roman"/>
          <w:szCs w:val="19"/>
        </w:rPr>
        <w:t xml:space="preserve"> a possible netting process between four LFC areas. LFC area A is short and would activate 700 MWh positive </w:t>
      </w:r>
      <w:proofErr w:type="spellStart"/>
      <w:r w:rsidR="000D091E" w:rsidRPr="00051DB2">
        <w:rPr>
          <w:rFonts w:ascii="Times New Roman" w:hAnsi="Times New Roman"/>
          <w:szCs w:val="19"/>
        </w:rPr>
        <w:t>a</w:t>
      </w:r>
      <w:r w:rsidR="00AA782F" w:rsidRPr="00051DB2">
        <w:rPr>
          <w:rFonts w:ascii="Times New Roman" w:hAnsi="Times New Roman"/>
          <w:szCs w:val="19"/>
        </w:rPr>
        <w:t>FRR</w:t>
      </w:r>
      <w:proofErr w:type="spellEnd"/>
      <w:r w:rsidR="00AA782F" w:rsidRPr="00051DB2">
        <w:rPr>
          <w:rFonts w:ascii="Times New Roman" w:hAnsi="Times New Roman"/>
          <w:szCs w:val="19"/>
        </w:rPr>
        <w:t xml:space="preserve"> whereas LFC areas B, C and D are long and would activate in total 600 MWh </w:t>
      </w:r>
      <w:r w:rsidR="000D091E" w:rsidRPr="00051DB2">
        <w:rPr>
          <w:rFonts w:ascii="Times New Roman" w:hAnsi="Times New Roman"/>
          <w:szCs w:val="19"/>
        </w:rPr>
        <w:t>n</w:t>
      </w:r>
      <w:r w:rsidR="00AA782F" w:rsidRPr="00051DB2">
        <w:rPr>
          <w:rFonts w:ascii="Times New Roman" w:hAnsi="Times New Roman"/>
          <w:szCs w:val="19"/>
        </w:rPr>
        <w:t xml:space="preserve">egative </w:t>
      </w:r>
      <w:proofErr w:type="spellStart"/>
      <w:r w:rsidR="000D091E" w:rsidRPr="00051DB2">
        <w:rPr>
          <w:rFonts w:ascii="Times New Roman" w:hAnsi="Times New Roman"/>
          <w:szCs w:val="19"/>
        </w:rPr>
        <w:t>a</w:t>
      </w:r>
      <w:r w:rsidR="00AA782F" w:rsidRPr="00051DB2">
        <w:rPr>
          <w:rFonts w:ascii="Times New Roman" w:hAnsi="Times New Roman"/>
          <w:szCs w:val="19"/>
        </w:rPr>
        <w:t>FRR</w:t>
      </w:r>
      <w:proofErr w:type="spellEnd"/>
      <w:r w:rsidR="00AA782F" w:rsidRPr="00051DB2">
        <w:rPr>
          <w:rFonts w:ascii="Times New Roman" w:hAnsi="Times New Roman"/>
          <w:szCs w:val="19"/>
        </w:rPr>
        <w:t xml:space="preserve">. </w:t>
      </w:r>
      <w:r w:rsidR="000D091E" w:rsidRPr="00051DB2">
        <w:rPr>
          <w:rFonts w:ascii="Times New Roman" w:hAnsi="Times New Roman"/>
          <w:szCs w:val="19"/>
        </w:rPr>
        <w:t>For the sake of simplicity no congestions are assumed between the LFC areas. In this case</w:t>
      </w:r>
      <w:r w:rsidR="00AA782F" w:rsidRPr="00051DB2">
        <w:rPr>
          <w:rFonts w:ascii="Times New Roman" w:hAnsi="Times New Roman"/>
          <w:szCs w:val="19"/>
        </w:rPr>
        <w:t xml:space="preserve"> TSO A imports 600 MWh while TSO B exports 100 MWh, TSO C exports 200 MWh and TSO D</w:t>
      </w:r>
      <w:r w:rsidR="00AA782F" w:rsidRPr="009A4C44">
        <w:rPr>
          <w:rFonts w:ascii="Times New Roman" w:hAnsi="Times New Roman"/>
          <w:szCs w:val="19"/>
        </w:rPr>
        <w:t xml:space="preserve"> exports 300 MWh. The residual </w:t>
      </w:r>
      <w:proofErr w:type="spellStart"/>
      <w:r w:rsidR="000D091E" w:rsidRPr="009A4C44">
        <w:rPr>
          <w:rFonts w:ascii="Times New Roman" w:hAnsi="Times New Roman"/>
          <w:szCs w:val="19"/>
        </w:rPr>
        <w:t>a</w:t>
      </w:r>
      <w:r w:rsidR="00AA782F" w:rsidRPr="009A4C44">
        <w:rPr>
          <w:rFonts w:ascii="Times New Roman" w:hAnsi="Times New Roman"/>
          <w:szCs w:val="19"/>
        </w:rPr>
        <w:t>FRR</w:t>
      </w:r>
      <w:proofErr w:type="spellEnd"/>
      <w:r w:rsidR="00AA782F" w:rsidRPr="009A4C44">
        <w:rPr>
          <w:rFonts w:ascii="Times New Roman" w:hAnsi="Times New Roman"/>
          <w:szCs w:val="19"/>
        </w:rPr>
        <w:t xml:space="preserve"> demand of 100 MWh after netting is covered by activating the cheapest bids of the upward </w:t>
      </w:r>
      <w:r w:rsidR="000D091E" w:rsidRPr="009A4C44">
        <w:rPr>
          <w:rFonts w:ascii="Times New Roman" w:hAnsi="Times New Roman"/>
          <w:szCs w:val="19"/>
        </w:rPr>
        <w:t>CMOL</w:t>
      </w:r>
      <w:r w:rsidR="00AA782F" w:rsidRPr="009A4C44">
        <w:rPr>
          <w:rFonts w:ascii="Times New Roman" w:hAnsi="Times New Roman"/>
          <w:szCs w:val="19"/>
        </w:rPr>
        <w:t xml:space="preserve">. Thus due to the netting, the </w:t>
      </w:r>
      <w:proofErr w:type="spellStart"/>
      <w:r w:rsidR="000D091E" w:rsidRPr="009A4C44">
        <w:rPr>
          <w:rFonts w:ascii="Times New Roman" w:hAnsi="Times New Roman"/>
          <w:szCs w:val="19"/>
        </w:rPr>
        <w:t>a</w:t>
      </w:r>
      <w:r w:rsidR="00AA782F" w:rsidRPr="009A4C44">
        <w:rPr>
          <w:rFonts w:ascii="Times New Roman" w:hAnsi="Times New Roman"/>
          <w:szCs w:val="19"/>
        </w:rPr>
        <w:t>FRR</w:t>
      </w:r>
      <w:proofErr w:type="spellEnd"/>
      <w:r w:rsidR="00AA782F" w:rsidRPr="009A4C44">
        <w:rPr>
          <w:rFonts w:ascii="Times New Roman" w:hAnsi="Times New Roman"/>
          <w:szCs w:val="19"/>
        </w:rPr>
        <w:t xml:space="preserve"> demand can be reduced to 100 MWh and the netting process results in avoided </w:t>
      </w:r>
      <w:proofErr w:type="spellStart"/>
      <w:r w:rsidR="000D091E" w:rsidRPr="009A4C44">
        <w:rPr>
          <w:rFonts w:ascii="Times New Roman" w:hAnsi="Times New Roman"/>
          <w:szCs w:val="19"/>
        </w:rPr>
        <w:t>a</w:t>
      </w:r>
      <w:r w:rsidR="00AA782F" w:rsidRPr="009A4C44">
        <w:rPr>
          <w:rFonts w:ascii="Times New Roman" w:hAnsi="Times New Roman"/>
          <w:szCs w:val="19"/>
        </w:rPr>
        <w:t>FRR</w:t>
      </w:r>
      <w:proofErr w:type="spellEnd"/>
      <w:r w:rsidR="00AA782F" w:rsidRPr="009A4C44">
        <w:rPr>
          <w:rFonts w:ascii="Times New Roman" w:hAnsi="Times New Roman"/>
          <w:szCs w:val="19"/>
        </w:rPr>
        <w:t xml:space="preserve"> activation.</w:t>
      </w:r>
    </w:p>
    <w:tbl>
      <w:tblPr>
        <w:tblStyle w:val="TableauGrille4-Accentuation51"/>
        <w:tblW w:w="0" w:type="auto"/>
        <w:tblInd w:w="0" w:type="dxa"/>
        <w:tblLook w:val="0420" w:firstRow="1" w:lastRow="0" w:firstColumn="0" w:lastColumn="0" w:noHBand="0" w:noVBand="1"/>
      </w:tblPr>
      <w:tblGrid>
        <w:gridCol w:w="4902"/>
        <w:gridCol w:w="1219"/>
        <w:gridCol w:w="1064"/>
        <w:gridCol w:w="1000"/>
        <w:gridCol w:w="1000"/>
      </w:tblGrid>
      <w:tr w:rsidR="006114F2" w:rsidRPr="009A4C44" w:rsidTr="004F0CEC">
        <w:trPr>
          <w:cnfStyle w:val="100000000000" w:firstRow="1" w:lastRow="0" w:firstColumn="0" w:lastColumn="0" w:oddVBand="0" w:evenVBand="0" w:oddHBand="0" w:evenHBand="0" w:firstRowFirstColumn="0" w:firstRowLastColumn="0" w:lastRowFirstColumn="0" w:lastRowLastColumn="0"/>
          <w:trHeight w:val="170"/>
        </w:trPr>
        <w:tc>
          <w:tcPr>
            <w:tcW w:w="4902" w:type="dxa"/>
            <w:shd w:val="clear" w:color="auto" w:fill="1F497D" w:themeFill="text2"/>
            <w:noWrap/>
            <w:hideMark/>
          </w:tcPr>
          <w:p w:rsidR="00AA782F" w:rsidRPr="009A4C44" w:rsidRDefault="00AA782F" w:rsidP="00051DB2">
            <w:pPr>
              <w:keepNext/>
              <w:spacing w:after="40"/>
              <w:rPr>
                <w:rFonts w:ascii="Times New Roman" w:hAnsi="Times New Roman" w:cs="Times New Roman"/>
                <w:szCs w:val="19"/>
              </w:rPr>
            </w:pPr>
            <w:r w:rsidRPr="009A4C44">
              <w:rPr>
                <w:rFonts w:ascii="Times New Roman" w:hAnsi="Times New Roman" w:cs="Times New Roman"/>
                <w:szCs w:val="19"/>
              </w:rPr>
              <w:lastRenderedPageBreak/>
              <w:t>Indicator</w:t>
            </w:r>
          </w:p>
        </w:tc>
        <w:tc>
          <w:tcPr>
            <w:tcW w:w="1219" w:type="dxa"/>
            <w:shd w:val="clear" w:color="auto" w:fill="1F497D" w:themeFill="text2"/>
            <w:noWrap/>
            <w:hideMark/>
          </w:tcPr>
          <w:p w:rsidR="00AA782F" w:rsidRPr="009A4C44" w:rsidRDefault="00AA782F" w:rsidP="00051DB2">
            <w:pPr>
              <w:keepNext/>
              <w:spacing w:after="40"/>
              <w:rPr>
                <w:rFonts w:ascii="Times New Roman" w:hAnsi="Times New Roman" w:cs="Times New Roman"/>
                <w:szCs w:val="19"/>
              </w:rPr>
            </w:pPr>
            <w:r w:rsidRPr="009A4C44">
              <w:rPr>
                <w:rFonts w:ascii="Times New Roman" w:hAnsi="Times New Roman" w:cs="Times New Roman"/>
                <w:szCs w:val="19"/>
              </w:rPr>
              <w:t>TSO A</w:t>
            </w:r>
          </w:p>
        </w:tc>
        <w:tc>
          <w:tcPr>
            <w:tcW w:w="1064" w:type="dxa"/>
            <w:shd w:val="clear" w:color="auto" w:fill="1F497D" w:themeFill="text2"/>
            <w:hideMark/>
          </w:tcPr>
          <w:p w:rsidR="00AA782F" w:rsidRPr="009A4C44" w:rsidRDefault="00AA782F" w:rsidP="00051DB2">
            <w:pPr>
              <w:keepNext/>
              <w:spacing w:after="40"/>
              <w:rPr>
                <w:rFonts w:ascii="Times New Roman" w:hAnsi="Times New Roman" w:cs="Times New Roman"/>
                <w:szCs w:val="19"/>
              </w:rPr>
            </w:pPr>
            <w:r w:rsidRPr="009A4C44">
              <w:rPr>
                <w:rFonts w:ascii="Times New Roman" w:hAnsi="Times New Roman" w:cs="Times New Roman"/>
                <w:szCs w:val="19"/>
              </w:rPr>
              <w:t>TSO B</w:t>
            </w:r>
          </w:p>
        </w:tc>
        <w:tc>
          <w:tcPr>
            <w:tcW w:w="1000" w:type="dxa"/>
            <w:shd w:val="clear" w:color="auto" w:fill="1F497D" w:themeFill="text2"/>
            <w:hideMark/>
          </w:tcPr>
          <w:p w:rsidR="00AA782F" w:rsidRPr="009A4C44" w:rsidRDefault="00AA782F" w:rsidP="00051DB2">
            <w:pPr>
              <w:keepNext/>
              <w:spacing w:after="40"/>
              <w:rPr>
                <w:rFonts w:ascii="Times New Roman" w:hAnsi="Times New Roman" w:cs="Times New Roman"/>
                <w:szCs w:val="19"/>
              </w:rPr>
            </w:pPr>
            <w:r w:rsidRPr="009A4C44">
              <w:rPr>
                <w:rFonts w:ascii="Times New Roman" w:hAnsi="Times New Roman" w:cs="Times New Roman"/>
                <w:szCs w:val="19"/>
              </w:rPr>
              <w:t>TSO C</w:t>
            </w:r>
          </w:p>
        </w:tc>
        <w:tc>
          <w:tcPr>
            <w:tcW w:w="1000" w:type="dxa"/>
            <w:shd w:val="clear" w:color="auto" w:fill="1F497D" w:themeFill="text2"/>
            <w:hideMark/>
          </w:tcPr>
          <w:p w:rsidR="00AA782F" w:rsidRPr="009A4C44" w:rsidRDefault="00AA782F" w:rsidP="00051DB2">
            <w:pPr>
              <w:keepNext/>
              <w:spacing w:after="40"/>
              <w:rPr>
                <w:rFonts w:ascii="Times New Roman" w:hAnsi="Times New Roman" w:cs="Times New Roman"/>
                <w:szCs w:val="19"/>
              </w:rPr>
            </w:pPr>
            <w:r w:rsidRPr="009A4C44">
              <w:rPr>
                <w:rFonts w:ascii="Times New Roman" w:hAnsi="Times New Roman" w:cs="Times New Roman"/>
                <w:szCs w:val="19"/>
              </w:rPr>
              <w:t>TSO D</w:t>
            </w:r>
          </w:p>
        </w:tc>
      </w:tr>
      <w:tr w:rsidR="00AA782F" w:rsidRPr="009A4C44" w:rsidTr="00AA782F">
        <w:trPr>
          <w:cnfStyle w:val="000000100000" w:firstRow="0" w:lastRow="0" w:firstColumn="0" w:lastColumn="0" w:oddVBand="0" w:evenVBand="0" w:oddHBand="1" w:evenHBand="0" w:firstRowFirstColumn="0" w:firstRowLastColumn="0" w:lastRowFirstColumn="0" w:lastRowLastColumn="0"/>
          <w:trHeight w:val="170"/>
        </w:trPr>
        <w:tc>
          <w:tcPr>
            <w:tcW w:w="4902" w:type="dxa"/>
            <w:noWrap/>
            <w:hideMark/>
          </w:tcPr>
          <w:p w:rsidR="00AA782F" w:rsidRPr="009A4C44" w:rsidRDefault="000D091E" w:rsidP="00051DB2">
            <w:pPr>
              <w:keepNext/>
              <w:spacing w:after="40"/>
              <w:rPr>
                <w:rFonts w:ascii="Times New Roman" w:hAnsi="Times New Roman" w:cs="Times New Roman"/>
                <w:szCs w:val="19"/>
              </w:rPr>
            </w:pPr>
            <w:proofErr w:type="spellStart"/>
            <w:r w:rsidRPr="009A4C44">
              <w:rPr>
                <w:rFonts w:ascii="Times New Roman" w:hAnsi="Times New Roman" w:cs="Times New Roman"/>
                <w:szCs w:val="19"/>
              </w:rPr>
              <w:t>a</w:t>
            </w:r>
            <w:r w:rsidR="00AA782F" w:rsidRPr="009A4C44">
              <w:rPr>
                <w:rFonts w:ascii="Times New Roman" w:hAnsi="Times New Roman" w:cs="Times New Roman"/>
                <w:szCs w:val="19"/>
              </w:rPr>
              <w:t>FRR</w:t>
            </w:r>
            <w:proofErr w:type="spellEnd"/>
            <w:r w:rsidR="00AA782F" w:rsidRPr="009A4C44">
              <w:rPr>
                <w:rFonts w:ascii="Times New Roman" w:hAnsi="Times New Roman" w:cs="Times New Roman"/>
                <w:szCs w:val="19"/>
              </w:rPr>
              <w:t xml:space="preserve"> demand in MWh</w:t>
            </w:r>
          </w:p>
        </w:tc>
        <w:tc>
          <w:tcPr>
            <w:tcW w:w="1219" w:type="dxa"/>
            <w:noWrap/>
            <w:hideMark/>
          </w:tcPr>
          <w:p w:rsidR="00AA782F" w:rsidRPr="009A4C44" w:rsidRDefault="00AA782F" w:rsidP="00051DB2">
            <w:pPr>
              <w:keepNext/>
              <w:spacing w:after="40"/>
              <w:rPr>
                <w:rFonts w:ascii="Times New Roman" w:hAnsi="Times New Roman" w:cs="Times New Roman"/>
                <w:szCs w:val="19"/>
              </w:rPr>
            </w:pPr>
            <w:r w:rsidRPr="009A4C44">
              <w:rPr>
                <w:rFonts w:ascii="Times New Roman" w:hAnsi="Times New Roman" w:cs="Times New Roman"/>
                <w:szCs w:val="19"/>
              </w:rPr>
              <w:t>700</w:t>
            </w:r>
          </w:p>
        </w:tc>
        <w:tc>
          <w:tcPr>
            <w:tcW w:w="1064" w:type="dxa"/>
            <w:hideMark/>
          </w:tcPr>
          <w:p w:rsidR="00AA782F" w:rsidRPr="009A4C44" w:rsidRDefault="00AA782F" w:rsidP="00051DB2">
            <w:pPr>
              <w:keepNext/>
              <w:spacing w:after="40"/>
              <w:rPr>
                <w:rFonts w:ascii="Times New Roman" w:hAnsi="Times New Roman" w:cs="Times New Roman"/>
                <w:szCs w:val="19"/>
              </w:rPr>
            </w:pPr>
            <w:r w:rsidRPr="009A4C44">
              <w:rPr>
                <w:rFonts w:ascii="Times New Roman" w:hAnsi="Times New Roman" w:cs="Times New Roman"/>
                <w:szCs w:val="19"/>
              </w:rPr>
              <w:t>-100</w:t>
            </w:r>
          </w:p>
        </w:tc>
        <w:tc>
          <w:tcPr>
            <w:tcW w:w="1000" w:type="dxa"/>
            <w:hideMark/>
          </w:tcPr>
          <w:p w:rsidR="00AA782F" w:rsidRPr="009A4C44" w:rsidRDefault="00AA782F" w:rsidP="00051DB2">
            <w:pPr>
              <w:keepNext/>
              <w:spacing w:after="40"/>
              <w:rPr>
                <w:rFonts w:ascii="Times New Roman" w:hAnsi="Times New Roman" w:cs="Times New Roman"/>
                <w:szCs w:val="19"/>
              </w:rPr>
            </w:pPr>
            <w:r w:rsidRPr="009A4C44">
              <w:rPr>
                <w:rFonts w:ascii="Times New Roman" w:hAnsi="Times New Roman" w:cs="Times New Roman"/>
                <w:szCs w:val="19"/>
              </w:rPr>
              <w:t>-200</w:t>
            </w:r>
          </w:p>
        </w:tc>
        <w:tc>
          <w:tcPr>
            <w:tcW w:w="1000" w:type="dxa"/>
            <w:hideMark/>
          </w:tcPr>
          <w:p w:rsidR="00AA782F" w:rsidRPr="009A4C44" w:rsidRDefault="00AA782F" w:rsidP="00051DB2">
            <w:pPr>
              <w:keepNext/>
              <w:spacing w:after="40"/>
              <w:rPr>
                <w:rFonts w:ascii="Times New Roman" w:hAnsi="Times New Roman" w:cs="Times New Roman"/>
                <w:szCs w:val="19"/>
              </w:rPr>
            </w:pPr>
            <w:r w:rsidRPr="009A4C44">
              <w:rPr>
                <w:rFonts w:ascii="Times New Roman" w:hAnsi="Times New Roman" w:cs="Times New Roman"/>
                <w:szCs w:val="19"/>
              </w:rPr>
              <w:t>-300</w:t>
            </w:r>
          </w:p>
        </w:tc>
      </w:tr>
      <w:tr w:rsidR="00AA782F" w:rsidRPr="009A4C44" w:rsidTr="00AA782F">
        <w:trPr>
          <w:cnfStyle w:val="000000010000" w:firstRow="0" w:lastRow="0" w:firstColumn="0" w:lastColumn="0" w:oddVBand="0" w:evenVBand="0" w:oddHBand="0" w:evenHBand="1" w:firstRowFirstColumn="0" w:firstRowLastColumn="0" w:lastRowFirstColumn="0" w:lastRowLastColumn="0"/>
          <w:trHeight w:val="170"/>
        </w:trPr>
        <w:tc>
          <w:tcPr>
            <w:tcW w:w="4902" w:type="dxa"/>
            <w:noWrap/>
            <w:hideMark/>
          </w:tcPr>
          <w:p w:rsidR="00AA782F" w:rsidRPr="009A4C44" w:rsidRDefault="00AA782F" w:rsidP="00051DB2">
            <w:pPr>
              <w:keepNext/>
              <w:spacing w:after="40"/>
              <w:rPr>
                <w:rFonts w:ascii="Times New Roman" w:hAnsi="Times New Roman" w:cs="Times New Roman"/>
                <w:szCs w:val="19"/>
              </w:rPr>
            </w:pPr>
            <w:r w:rsidRPr="009A4C44">
              <w:rPr>
                <w:rFonts w:ascii="Times New Roman" w:hAnsi="Times New Roman" w:cs="Times New Roman"/>
                <w:szCs w:val="19"/>
              </w:rPr>
              <w:t xml:space="preserve">Correction in MWh </w:t>
            </w:r>
          </w:p>
        </w:tc>
        <w:tc>
          <w:tcPr>
            <w:tcW w:w="1219" w:type="dxa"/>
            <w:noWrap/>
            <w:hideMark/>
          </w:tcPr>
          <w:p w:rsidR="00AA782F" w:rsidRPr="009A4C44" w:rsidRDefault="00AA782F" w:rsidP="00051DB2">
            <w:pPr>
              <w:keepNext/>
              <w:spacing w:after="40"/>
              <w:rPr>
                <w:rFonts w:ascii="Times New Roman" w:hAnsi="Times New Roman" w:cs="Times New Roman"/>
                <w:szCs w:val="19"/>
              </w:rPr>
            </w:pPr>
            <w:r w:rsidRPr="009A4C44">
              <w:rPr>
                <w:rFonts w:ascii="Times New Roman" w:hAnsi="Times New Roman" w:cs="Times New Roman"/>
                <w:szCs w:val="19"/>
              </w:rPr>
              <w:t>-600</w:t>
            </w:r>
          </w:p>
        </w:tc>
        <w:tc>
          <w:tcPr>
            <w:tcW w:w="1064" w:type="dxa"/>
            <w:hideMark/>
          </w:tcPr>
          <w:p w:rsidR="00AA782F" w:rsidRPr="009A4C44" w:rsidRDefault="00AA782F" w:rsidP="00051DB2">
            <w:pPr>
              <w:keepNext/>
              <w:spacing w:after="40"/>
              <w:rPr>
                <w:rFonts w:ascii="Times New Roman" w:hAnsi="Times New Roman" w:cs="Times New Roman"/>
                <w:szCs w:val="19"/>
              </w:rPr>
            </w:pPr>
            <w:r w:rsidRPr="009A4C44">
              <w:rPr>
                <w:rFonts w:ascii="Times New Roman" w:hAnsi="Times New Roman" w:cs="Times New Roman"/>
                <w:szCs w:val="19"/>
              </w:rPr>
              <w:t>100</w:t>
            </w:r>
          </w:p>
        </w:tc>
        <w:tc>
          <w:tcPr>
            <w:tcW w:w="1000" w:type="dxa"/>
            <w:hideMark/>
          </w:tcPr>
          <w:p w:rsidR="00AA782F" w:rsidRPr="009A4C44" w:rsidRDefault="00AA782F" w:rsidP="00051DB2">
            <w:pPr>
              <w:keepNext/>
              <w:spacing w:after="40"/>
              <w:rPr>
                <w:rFonts w:ascii="Times New Roman" w:hAnsi="Times New Roman" w:cs="Times New Roman"/>
                <w:szCs w:val="19"/>
              </w:rPr>
            </w:pPr>
            <w:r w:rsidRPr="009A4C44">
              <w:rPr>
                <w:rFonts w:ascii="Times New Roman" w:hAnsi="Times New Roman" w:cs="Times New Roman"/>
                <w:szCs w:val="19"/>
              </w:rPr>
              <w:t>200</w:t>
            </w:r>
          </w:p>
        </w:tc>
        <w:tc>
          <w:tcPr>
            <w:tcW w:w="1000" w:type="dxa"/>
            <w:hideMark/>
          </w:tcPr>
          <w:p w:rsidR="00AA782F" w:rsidRPr="009A4C44" w:rsidRDefault="00AA782F" w:rsidP="00051DB2">
            <w:pPr>
              <w:keepNext/>
              <w:spacing w:after="40"/>
              <w:rPr>
                <w:rFonts w:ascii="Times New Roman" w:hAnsi="Times New Roman" w:cs="Times New Roman"/>
                <w:szCs w:val="19"/>
              </w:rPr>
            </w:pPr>
            <w:r w:rsidRPr="009A4C44">
              <w:rPr>
                <w:rFonts w:ascii="Times New Roman" w:hAnsi="Times New Roman" w:cs="Times New Roman"/>
                <w:szCs w:val="19"/>
              </w:rPr>
              <w:t>300</w:t>
            </w:r>
          </w:p>
        </w:tc>
      </w:tr>
      <w:tr w:rsidR="00AA782F" w:rsidRPr="009A4C44" w:rsidTr="00AA782F">
        <w:trPr>
          <w:cnfStyle w:val="000000100000" w:firstRow="0" w:lastRow="0" w:firstColumn="0" w:lastColumn="0" w:oddVBand="0" w:evenVBand="0" w:oddHBand="1" w:evenHBand="0" w:firstRowFirstColumn="0" w:firstRowLastColumn="0" w:lastRowFirstColumn="0" w:lastRowLastColumn="0"/>
          <w:trHeight w:val="170"/>
        </w:trPr>
        <w:tc>
          <w:tcPr>
            <w:tcW w:w="4902" w:type="dxa"/>
            <w:noWrap/>
            <w:hideMark/>
          </w:tcPr>
          <w:p w:rsidR="00AA782F" w:rsidRPr="009A4C44" w:rsidRDefault="000D091E" w:rsidP="00051DB2">
            <w:pPr>
              <w:keepNext/>
              <w:spacing w:after="40"/>
              <w:rPr>
                <w:rFonts w:ascii="Times New Roman" w:hAnsi="Times New Roman" w:cs="Times New Roman"/>
                <w:szCs w:val="19"/>
              </w:rPr>
            </w:pPr>
            <w:proofErr w:type="spellStart"/>
            <w:r w:rsidRPr="009A4C44">
              <w:rPr>
                <w:rFonts w:ascii="Times New Roman" w:hAnsi="Times New Roman" w:cs="Times New Roman"/>
                <w:szCs w:val="19"/>
              </w:rPr>
              <w:t>a</w:t>
            </w:r>
            <w:r w:rsidR="00AA782F" w:rsidRPr="009A4C44">
              <w:rPr>
                <w:rFonts w:ascii="Times New Roman" w:hAnsi="Times New Roman" w:cs="Times New Roman"/>
                <w:szCs w:val="19"/>
              </w:rPr>
              <w:t>FRR</w:t>
            </w:r>
            <w:proofErr w:type="spellEnd"/>
            <w:r w:rsidR="00AA782F" w:rsidRPr="009A4C44">
              <w:rPr>
                <w:rFonts w:ascii="Times New Roman" w:hAnsi="Times New Roman" w:cs="Times New Roman"/>
                <w:szCs w:val="19"/>
              </w:rPr>
              <w:t xml:space="preserve"> netting import in MWh</w:t>
            </w:r>
          </w:p>
        </w:tc>
        <w:tc>
          <w:tcPr>
            <w:tcW w:w="1219" w:type="dxa"/>
            <w:noWrap/>
            <w:hideMark/>
          </w:tcPr>
          <w:p w:rsidR="00AA782F" w:rsidRPr="009A4C44" w:rsidRDefault="00AA782F" w:rsidP="00051DB2">
            <w:pPr>
              <w:keepNext/>
              <w:spacing w:after="40"/>
              <w:rPr>
                <w:rFonts w:ascii="Times New Roman" w:hAnsi="Times New Roman" w:cs="Times New Roman"/>
                <w:szCs w:val="19"/>
              </w:rPr>
            </w:pPr>
            <w:r w:rsidRPr="009A4C44">
              <w:rPr>
                <w:rFonts w:ascii="Times New Roman" w:hAnsi="Times New Roman" w:cs="Times New Roman"/>
                <w:szCs w:val="19"/>
              </w:rPr>
              <w:t>600</w:t>
            </w:r>
          </w:p>
        </w:tc>
        <w:tc>
          <w:tcPr>
            <w:tcW w:w="1064" w:type="dxa"/>
            <w:hideMark/>
          </w:tcPr>
          <w:p w:rsidR="00AA782F" w:rsidRPr="009A4C44" w:rsidRDefault="00AA782F" w:rsidP="00051DB2">
            <w:pPr>
              <w:keepNext/>
              <w:spacing w:after="40"/>
              <w:rPr>
                <w:rFonts w:ascii="Times New Roman" w:hAnsi="Times New Roman" w:cs="Times New Roman"/>
                <w:szCs w:val="19"/>
              </w:rPr>
            </w:pPr>
            <w:r w:rsidRPr="009A4C44">
              <w:rPr>
                <w:rFonts w:ascii="Times New Roman" w:hAnsi="Times New Roman" w:cs="Times New Roman"/>
                <w:szCs w:val="19"/>
              </w:rPr>
              <w:t>0</w:t>
            </w:r>
          </w:p>
        </w:tc>
        <w:tc>
          <w:tcPr>
            <w:tcW w:w="1000" w:type="dxa"/>
            <w:hideMark/>
          </w:tcPr>
          <w:p w:rsidR="00AA782F" w:rsidRPr="009A4C44" w:rsidRDefault="00AA782F" w:rsidP="00051DB2">
            <w:pPr>
              <w:keepNext/>
              <w:spacing w:after="40"/>
              <w:rPr>
                <w:rFonts w:ascii="Times New Roman" w:hAnsi="Times New Roman" w:cs="Times New Roman"/>
                <w:szCs w:val="19"/>
              </w:rPr>
            </w:pPr>
            <w:r w:rsidRPr="009A4C44">
              <w:rPr>
                <w:rFonts w:ascii="Times New Roman" w:hAnsi="Times New Roman" w:cs="Times New Roman"/>
                <w:szCs w:val="19"/>
              </w:rPr>
              <w:t>0</w:t>
            </w:r>
          </w:p>
        </w:tc>
        <w:tc>
          <w:tcPr>
            <w:tcW w:w="1000" w:type="dxa"/>
            <w:hideMark/>
          </w:tcPr>
          <w:p w:rsidR="00AA782F" w:rsidRPr="009A4C44" w:rsidRDefault="00AA782F" w:rsidP="00051DB2">
            <w:pPr>
              <w:keepNext/>
              <w:spacing w:after="40"/>
              <w:rPr>
                <w:rFonts w:ascii="Times New Roman" w:hAnsi="Times New Roman" w:cs="Times New Roman"/>
                <w:szCs w:val="19"/>
              </w:rPr>
            </w:pPr>
            <w:r w:rsidRPr="009A4C44">
              <w:rPr>
                <w:rFonts w:ascii="Times New Roman" w:hAnsi="Times New Roman" w:cs="Times New Roman"/>
                <w:szCs w:val="19"/>
              </w:rPr>
              <w:t>0</w:t>
            </w:r>
          </w:p>
        </w:tc>
      </w:tr>
      <w:tr w:rsidR="00AA782F" w:rsidRPr="009A4C44" w:rsidTr="00AA782F">
        <w:trPr>
          <w:cnfStyle w:val="000000010000" w:firstRow="0" w:lastRow="0" w:firstColumn="0" w:lastColumn="0" w:oddVBand="0" w:evenVBand="0" w:oddHBand="0" w:evenHBand="1" w:firstRowFirstColumn="0" w:firstRowLastColumn="0" w:lastRowFirstColumn="0" w:lastRowLastColumn="0"/>
          <w:trHeight w:val="170"/>
        </w:trPr>
        <w:tc>
          <w:tcPr>
            <w:tcW w:w="4902" w:type="dxa"/>
            <w:noWrap/>
            <w:hideMark/>
          </w:tcPr>
          <w:p w:rsidR="00AA782F" w:rsidRPr="009A4C44" w:rsidRDefault="000D091E" w:rsidP="00051DB2">
            <w:pPr>
              <w:keepNext/>
              <w:spacing w:after="40"/>
              <w:rPr>
                <w:rFonts w:ascii="Times New Roman" w:hAnsi="Times New Roman" w:cs="Times New Roman"/>
                <w:szCs w:val="19"/>
              </w:rPr>
            </w:pPr>
            <w:proofErr w:type="spellStart"/>
            <w:r w:rsidRPr="009A4C44">
              <w:rPr>
                <w:rFonts w:ascii="Times New Roman" w:hAnsi="Times New Roman" w:cs="Times New Roman"/>
                <w:szCs w:val="19"/>
              </w:rPr>
              <w:t>a</w:t>
            </w:r>
            <w:r w:rsidR="00AA782F" w:rsidRPr="009A4C44">
              <w:rPr>
                <w:rFonts w:ascii="Times New Roman" w:hAnsi="Times New Roman" w:cs="Times New Roman"/>
                <w:szCs w:val="19"/>
              </w:rPr>
              <w:t>FRR</w:t>
            </w:r>
            <w:proofErr w:type="spellEnd"/>
            <w:r w:rsidR="00AA782F" w:rsidRPr="009A4C44">
              <w:rPr>
                <w:rFonts w:ascii="Times New Roman" w:hAnsi="Times New Roman" w:cs="Times New Roman"/>
                <w:szCs w:val="19"/>
              </w:rPr>
              <w:t xml:space="preserve"> netting export in MWh</w:t>
            </w:r>
          </w:p>
        </w:tc>
        <w:tc>
          <w:tcPr>
            <w:tcW w:w="1219" w:type="dxa"/>
            <w:noWrap/>
            <w:hideMark/>
          </w:tcPr>
          <w:p w:rsidR="00AA782F" w:rsidRPr="009A4C44" w:rsidRDefault="00AA782F" w:rsidP="00051DB2">
            <w:pPr>
              <w:keepNext/>
              <w:spacing w:after="40"/>
              <w:rPr>
                <w:rFonts w:ascii="Times New Roman" w:hAnsi="Times New Roman" w:cs="Times New Roman"/>
                <w:szCs w:val="19"/>
              </w:rPr>
            </w:pPr>
            <w:r w:rsidRPr="009A4C44">
              <w:rPr>
                <w:rFonts w:ascii="Times New Roman" w:hAnsi="Times New Roman" w:cs="Times New Roman"/>
                <w:szCs w:val="19"/>
              </w:rPr>
              <w:t>0</w:t>
            </w:r>
          </w:p>
        </w:tc>
        <w:tc>
          <w:tcPr>
            <w:tcW w:w="1064" w:type="dxa"/>
            <w:hideMark/>
          </w:tcPr>
          <w:p w:rsidR="00AA782F" w:rsidRPr="009A4C44" w:rsidRDefault="00AA782F" w:rsidP="00051DB2">
            <w:pPr>
              <w:keepNext/>
              <w:spacing w:after="40"/>
              <w:rPr>
                <w:rFonts w:ascii="Times New Roman" w:hAnsi="Times New Roman" w:cs="Times New Roman"/>
                <w:szCs w:val="19"/>
              </w:rPr>
            </w:pPr>
            <w:r w:rsidRPr="009A4C44">
              <w:rPr>
                <w:rFonts w:ascii="Times New Roman" w:hAnsi="Times New Roman" w:cs="Times New Roman"/>
                <w:szCs w:val="19"/>
              </w:rPr>
              <w:t>100</w:t>
            </w:r>
          </w:p>
        </w:tc>
        <w:tc>
          <w:tcPr>
            <w:tcW w:w="1000" w:type="dxa"/>
            <w:hideMark/>
          </w:tcPr>
          <w:p w:rsidR="00AA782F" w:rsidRPr="009A4C44" w:rsidRDefault="00AA782F" w:rsidP="00051DB2">
            <w:pPr>
              <w:keepNext/>
              <w:spacing w:after="40"/>
              <w:rPr>
                <w:rFonts w:ascii="Times New Roman" w:hAnsi="Times New Roman" w:cs="Times New Roman"/>
                <w:szCs w:val="19"/>
              </w:rPr>
            </w:pPr>
            <w:r w:rsidRPr="009A4C44">
              <w:rPr>
                <w:rFonts w:ascii="Times New Roman" w:hAnsi="Times New Roman" w:cs="Times New Roman"/>
                <w:szCs w:val="19"/>
              </w:rPr>
              <w:t>200</w:t>
            </w:r>
          </w:p>
        </w:tc>
        <w:tc>
          <w:tcPr>
            <w:tcW w:w="1000" w:type="dxa"/>
            <w:hideMark/>
          </w:tcPr>
          <w:p w:rsidR="00AA782F" w:rsidRPr="009A4C44" w:rsidRDefault="00AA782F" w:rsidP="00051DB2">
            <w:pPr>
              <w:keepNext/>
              <w:spacing w:after="40"/>
              <w:rPr>
                <w:rFonts w:ascii="Times New Roman" w:hAnsi="Times New Roman" w:cs="Times New Roman"/>
                <w:szCs w:val="19"/>
              </w:rPr>
            </w:pPr>
            <w:r w:rsidRPr="009A4C44">
              <w:rPr>
                <w:rFonts w:ascii="Times New Roman" w:hAnsi="Times New Roman" w:cs="Times New Roman"/>
                <w:szCs w:val="19"/>
              </w:rPr>
              <w:t>300</w:t>
            </w:r>
          </w:p>
        </w:tc>
      </w:tr>
      <w:tr w:rsidR="00AA782F" w:rsidRPr="009A4C44" w:rsidTr="00AA782F">
        <w:trPr>
          <w:cnfStyle w:val="000000100000" w:firstRow="0" w:lastRow="0" w:firstColumn="0" w:lastColumn="0" w:oddVBand="0" w:evenVBand="0" w:oddHBand="1" w:evenHBand="0" w:firstRowFirstColumn="0" w:firstRowLastColumn="0" w:lastRowFirstColumn="0" w:lastRowLastColumn="0"/>
          <w:trHeight w:val="170"/>
        </w:trPr>
        <w:tc>
          <w:tcPr>
            <w:tcW w:w="4902" w:type="dxa"/>
            <w:noWrap/>
            <w:hideMark/>
          </w:tcPr>
          <w:p w:rsidR="00AA782F" w:rsidRPr="009A4C44" w:rsidRDefault="000D091E" w:rsidP="00051DB2">
            <w:pPr>
              <w:keepNext/>
              <w:spacing w:after="40"/>
              <w:rPr>
                <w:rFonts w:ascii="Times New Roman" w:hAnsi="Times New Roman" w:cs="Times New Roman"/>
                <w:szCs w:val="19"/>
              </w:rPr>
            </w:pPr>
            <w:proofErr w:type="spellStart"/>
            <w:r w:rsidRPr="009A4C44">
              <w:rPr>
                <w:rFonts w:ascii="Times New Roman" w:hAnsi="Times New Roman" w:cs="Times New Roman"/>
                <w:szCs w:val="19"/>
              </w:rPr>
              <w:t>a</w:t>
            </w:r>
            <w:r w:rsidR="00AA782F" w:rsidRPr="009A4C44">
              <w:rPr>
                <w:rFonts w:ascii="Times New Roman" w:hAnsi="Times New Roman" w:cs="Times New Roman"/>
                <w:szCs w:val="19"/>
              </w:rPr>
              <w:t>FRR</w:t>
            </w:r>
            <w:proofErr w:type="spellEnd"/>
            <w:r w:rsidR="00AA782F" w:rsidRPr="009A4C44">
              <w:rPr>
                <w:rFonts w:ascii="Times New Roman" w:hAnsi="Times New Roman" w:cs="Times New Roman"/>
                <w:szCs w:val="19"/>
              </w:rPr>
              <w:t xml:space="preserve"> activation in MWh</w:t>
            </w:r>
          </w:p>
        </w:tc>
        <w:tc>
          <w:tcPr>
            <w:tcW w:w="1219" w:type="dxa"/>
            <w:noWrap/>
            <w:hideMark/>
          </w:tcPr>
          <w:p w:rsidR="00AA782F" w:rsidRPr="009A4C44" w:rsidRDefault="00AA782F" w:rsidP="00051DB2">
            <w:pPr>
              <w:keepNext/>
              <w:spacing w:after="40"/>
              <w:rPr>
                <w:rFonts w:ascii="Times New Roman" w:hAnsi="Times New Roman" w:cs="Times New Roman"/>
                <w:szCs w:val="19"/>
              </w:rPr>
            </w:pPr>
            <w:r w:rsidRPr="009A4C44">
              <w:rPr>
                <w:rFonts w:ascii="Times New Roman" w:hAnsi="Times New Roman" w:cs="Times New Roman"/>
                <w:szCs w:val="19"/>
              </w:rPr>
              <w:t>100</w:t>
            </w:r>
          </w:p>
        </w:tc>
        <w:tc>
          <w:tcPr>
            <w:tcW w:w="1064" w:type="dxa"/>
            <w:hideMark/>
          </w:tcPr>
          <w:p w:rsidR="00AA782F" w:rsidRPr="009A4C44" w:rsidRDefault="00AA782F" w:rsidP="00051DB2">
            <w:pPr>
              <w:keepNext/>
              <w:spacing w:after="40"/>
              <w:rPr>
                <w:rFonts w:ascii="Times New Roman" w:hAnsi="Times New Roman" w:cs="Times New Roman"/>
                <w:szCs w:val="19"/>
              </w:rPr>
            </w:pPr>
            <w:r w:rsidRPr="009A4C44">
              <w:rPr>
                <w:rFonts w:ascii="Times New Roman" w:hAnsi="Times New Roman" w:cs="Times New Roman"/>
                <w:szCs w:val="19"/>
              </w:rPr>
              <w:t>0</w:t>
            </w:r>
          </w:p>
        </w:tc>
        <w:tc>
          <w:tcPr>
            <w:tcW w:w="1000" w:type="dxa"/>
            <w:hideMark/>
          </w:tcPr>
          <w:p w:rsidR="00AA782F" w:rsidRPr="009A4C44" w:rsidRDefault="00AA782F" w:rsidP="00051DB2">
            <w:pPr>
              <w:keepNext/>
              <w:spacing w:after="40"/>
              <w:rPr>
                <w:rFonts w:ascii="Times New Roman" w:hAnsi="Times New Roman" w:cs="Times New Roman"/>
                <w:szCs w:val="19"/>
              </w:rPr>
            </w:pPr>
            <w:r w:rsidRPr="009A4C44">
              <w:rPr>
                <w:rFonts w:ascii="Times New Roman" w:hAnsi="Times New Roman" w:cs="Times New Roman"/>
                <w:szCs w:val="19"/>
              </w:rPr>
              <w:t>0</w:t>
            </w:r>
          </w:p>
        </w:tc>
        <w:tc>
          <w:tcPr>
            <w:tcW w:w="1000" w:type="dxa"/>
            <w:hideMark/>
          </w:tcPr>
          <w:p w:rsidR="00AA782F" w:rsidRPr="009A4C44" w:rsidRDefault="00AA782F" w:rsidP="00051DB2">
            <w:pPr>
              <w:keepNext/>
              <w:spacing w:after="40"/>
              <w:rPr>
                <w:rFonts w:ascii="Times New Roman" w:hAnsi="Times New Roman" w:cs="Times New Roman"/>
                <w:szCs w:val="19"/>
              </w:rPr>
            </w:pPr>
            <w:r w:rsidRPr="009A4C44">
              <w:rPr>
                <w:rFonts w:ascii="Times New Roman" w:hAnsi="Times New Roman" w:cs="Times New Roman"/>
                <w:szCs w:val="19"/>
              </w:rPr>
              <w:t>0</w:t>
            </w:r>
          </w:p>
        </w:tc>
      </w:tr>
    </w:tbl>
    <w:p w:rsidR="00292771" w:rsidRPr="009A4C44" w:rsidRDefault="00292771" w:rsidP="00292771">
      <w:pPr>
        <w:pStyle w:val="Caption"/>
        <w:keepNext/>
      </w:pPr>
      <w:bookmarkStart w:id="168" w:name="_Ref531797395"/>
      <w:bookmarkStart w:id="169" w:name="_Toc531799975"/>
      <w:bookmarkStart w:id="170" w:name="_Toc531687683"/>
      <w:r w:rsidRPr="009A4C44">
        <w:t xml:space="preserve">Table </w:t>
      </w:r>
      <w:r w:rsidRPr="009A4C44">
        <w:fldChar w:fldCharType="begin"/>
      </w:r>
      <w:r w:rsidRPr="009A4C44">
        <w:instrText xml:space="preserve"> SEQ Table \* ARABIC </w:instrText>
      </w:r>
      <w:r w:rsidRPr="009A4C44">
        <w:fldChar w:fldCharType="separate"/>
      </w:r>
      <w:r w:rsidR="002D564B">
        <w:rPr>
          <w:noProof/>
        </w:rPr>
        <w:t>7</w:t>
      </w:r>
      <w:r w:rsidRPr="009A4C44">
        <w:fldChar w:fldCharType="end"/>
      </w:r>
      <w:bookmarkEnd w:id="168"/>
      <w:r w:rsidRPr="009A4C44">
        <w:t>: Netting</w:t>
      </w:r>
      <w:r w:rsidRPr="00051DB2">
        <w:t xml:space="preserve"> </w:t>
      </w:r>
      <w:r w:rsidRPr="009A4C44">
        <w:t>opposed</w:t>
      </w:r>
      <w:r w:rsidRPr="00051DB2">
        <w:t xml:space="preserve"> </w:t>
      </w:r>
      <w:proofErr w:type="spellStart"/>
      <w:r w:rsidRPr="00051DB2">
        <w:t>aFRR</w:t>
      </w:r>
      <w:proofErr w:type="spellEnd"/>
      <w:r w:rsidRPr="00051DB2">
        <w:t xml:space="preserve"> </w:t>
      </w:r>
      <w:r w:rsidRPr="009A4C44">
        <w:t>demands</w:t>
      </w:r>
      <w:bookmarkEnd w:id="169"/>
    </w:p>
    <w:p w:rsidR="006114F2" w:rsidRPr="00051DB2" w:rsidRDefault="006114F2" w:rsidP="00051DB2">
      <w:pPr>
        <w:pStyle w:val="Headline14pt"/>
        <w:pageBreakBefore w:val="0"/>
        <w:numPr>
          <w:ilvl w:val="2"/>
          <w:numId w:val="8"/>
        </w:numPr>
        <w:jc w:val="both"/>
        <w:outlineLvl w:val="2"/>
        <w:rPr>
          <w:sz w:val="28"/>
        </w:rPr>
      </w:pPr>
      <w:bookmarkStart w:id="171" w:name="_Toc531787036"/>
      <w:bookmarkStart w:id="172" w:name="_Toc531799945"/>
      <w:bookmarkStart w:id="173" w:name="_Toc531695964"/>
      <w:r w:rsidRPr="00051DB2">
        <w:rPr>
          <w:sz w:val="28"/>
        </w:rPr>
        <w:t xml:space="preserve">Determination of settlement prices for netted </w:t>
      </w:r>
      <w:proofErr w:type="spellStart"/>
      <w:r w:rsidRPr="00051DB2">
        <w:rPr>
          <w:sz w:val="28"/>
        </w:rPr>
        <w:t>aFRR</w:t>
      </w:r>
      <w:proofErr w:type="spellEnd"/>
      <w:r w:rsidRPr="00051DB2">
        <w:rPr>
          <w:sz w:val="28"/>
        </w:rPr>
        <w:t xml:space="preserve"> demand</w:t>
      </w:r>
      <w:bookmarkEnd w:id="171"/>
      <w:bookmarkEnd w:id="172"/>
    </w:p>
    <w:p w:rsidR="00AA782F" w:rsidRPr="009A4C44" w:rsidRDefault="000D091E" w:rsidP="00051DB2">
      <w:pPr>
        <w:spacing w:after="120"/>
        <w:jc w:val="both"/>
      </w:pPr>
      <w:bookmarkStart w:id="174" w:name="_Toc531788836"/>
      <w:bookmarkEnd w:id="170"/>
      <w:bookmarkEnd w:id="173"/>
      <w:bookmarkEnd w:id="174"/>
      <w:r w:rsidRPr="00051DB2">
        <w:rPr>
          <w:rFonts w:ascii="Times New Roman" w:hAnsi="Times New Roman"/>
        </w:rPr>
        <w:t xml:space="preserve">In order to determine the settlement price for intended exchange of </w:t>
      </w:r>
      <w:proofErr w:type="spellStart"/>
      <w:r w:rsidRPr="00051DB2">
        <w:rPr>
          <w:rFonts w:ascii="Times New Roman" w:hAnsi="Times New Roman"/>
        </w:rPr>
        <w:t>aFRR</w:t>
      </w:r>
      <w:proofErr w:type="spellEnd"/>
      <w:r w:rsidRPr="00051DB2">
        <w:rPr>
          <w:rFonts w:ascii="Times New Roman" w:hAnsi="Times New Roman"/>
        </w:rPr>
        <w:t xml:space="preserve"> balancing energy one as to divide two cases of netted </w:t>
      </w:r>
      <w:proofErr w:type="spellStart"/>
      <w:r w:rsidR="008F39E7" w:rsidRPr="00051DB2">
        <w:rPr>
          <w:rFonts w:ascii="Times New Roman" w:hAnsi="Times New Roman"/>
        </w:rPr>
        <w:t>aFRR</w:t>
      </w:r>
      <w:proofErr w:type="spellEnd"/>
      <w:r w:rsidR="008F39E7" w:rsidRPr="00051DB2">
        <w:rPr>
          <w:rFonts w:ascii="Times New Roman" w:hAnsi="Times New Roman"/>
        </w:rPr>
        <w:t xml:space="preserve"> demands</w:t>
      </w:r>
      <w:r w:rsidR="00AA782F" w:rsidRPr="00051DB2">
        <w:rPr>
          <w:rFonts w:ascii="Times New Roman" w:hAnsi="Times New Roman"/>
        </w:rPr>
        <w:t xml:space="preserve">: Partially netted </w:t>
      </w:r>
      <w:proofErr w:type="spellStart"/>
      <w:r w:rsidR="008F39E7" w:rsidRPr="00051DB2">
        <w:rPr>
          <w:rFonts w:ascii="Times New Roman" w:hAnsi="Times New Roman"/>
        </w:rPr>
        <w:t>aFRR</w:t>
      </w:r>
      <w:proofErr w:type="spellEnd"/>
      <w:r w:rsidR="008F39E7" w:rsidRPr="00051DB2">
        <w:rPr>
          <w:rFonts w:ascii="Times New Roman" w:hAnsi="Times New Roman"/>
        </w:rPr>
        <w:t xml:space="preserve"> demand</w:t>
      </w:r>
      <w:r w:rsidR="00AA782F" w:rsidRPr="00051DB2">
        <w:rPr>
          <w:rFonts w:ascii="Times New Roman" w:hAnsi="Times New Roman"/>
        </w:rPr>
        <w:t xml:space="preserve">: netted </w:t>
      </w:r>
      <w:proofErr w:type="spellStart"/>
      <w:r w:rsidR="008F39E7" w:rsidRPr="00051DB2">
        <w:rPr>
          <w:rFonts w:ascii="Times New Roman" w:hAnsi="Times New Roman"/>
        </w:rPr>
        <w:t>aFRR</w:t>
      </w:r>
      <w:proofErr w:type="spellEnd"/>
      <w:r w:rsidR="008F39E7" w:rsidRPr="00051DB2">
        <w:rPr>
          <w:rFonts w:ascii="Times New Roman" w:hAnsi="Times New Roman"/>
        </w:rPr>
        <w:t xml:space="preserve"> demand</w:t>
      </w:r>
      <w:r w:rsidR="00AA782F" w:rsidRPr="00051DB2">
        <w:rPr>
          <w:rFonts w:ascii="Times New Roman" w:hAnsi="Times New Roman"/>
        </w:rPr>
        <w:t xml:space="preserve"> in case there is </w:t>
      </w:r>
      <w:r w:rsidRPr="00051DB2">
        <w:rPr>
          <w:rFonts w:ascii="Times New Roman" w:hAnsi="Times New Roman"/>
        </w:rPr>
        <w:t xml:space="preserve">subsequent </w:t>
      </w:r>
      <w:r w:rsidR="00AA782F" w:rsidRPr="00051DB2">
        <w:rPr>
          <w:rFonts w:ascii="Times New Roman" w:hAnsi="Times New Roman"/>
        </w:rPr>
        <w:t xml:space="preserve">activation of </w:t>
      </w:r>
      <w:proofErr w:type="spellStart"/>
      <w:r w:rsidRPr="00051DB2">
        <w:rPr>
          <w:rFonts w:ascii="Times New Roman" w:hAnsi="Times New Roman"/>
        </w:rPr>
        <w:t>a</w:t>
      </w:r>
      <w:r w:rsidR="00AA782F" w:rsidRPr="00051DB2">
        <w:rPr>
          <w:rFonts w:ascii="Times New Roman" w:hAnsi="Times New Roman"/>
        </w:rPr>
        <w:t>FRR</w:t>
      </w:r>
      <w:proofErr w:type="spellEnd"/>
      <w:r w:rsidR="00AA782F" w:rsidRPr="00051DB2">
        <w:rPr>
          <w:rFonts w:ascii="Times New Roman" w:hAnsi="Times New Roman"/>
        </w:rPr>
        <w:t xml:space="preserve"> bids and </w:t>
      </w:r>
      <w:r w:rsidRPr="00051DB2">
        <w:rPr>
          <w:rFonts w:ascii="Times New Roman" w:hAnsi="Times New Roman"/>
        </w:rPr>
        <w:t>p</w:t>
      </w:r>
      <w:r w:rsidR="00AA782F" w:rsidRPr="00051DB2">
        <w:rPr>
          <w:rFonts w:ascii="Times New Roman" w:hAnsi="Times New Roman"/>
        </w:rPr>
        <w:t xml:space="preserve">erfect netted volume: netted </w:t>
      </w:r>
      <w:proofErr w:type="spellStart"/>
      <w:r w:rsidR="008F39E7" w:rsidRPr="00051DB2">
        <w:rPr>
          <w:rFonts w:ascii="Times New Roman" w:hAnsi="Times New Roman"/>
        </w:rPr>
        <w:t>aFRR</w:t>
      </w:r>
      <w:proofErr w:type="spellEnd"/>
      <w:r w:rsidR="008F39E7" w:rsidRPr="00051DB2">
        <w:rPr>
          <w:rFonts w:ascii="Times New Roman" w:hAnsi="Times New Roman"/>
        </w:rPr>
        <w:t xml:space="preserve"> demand</w:t>
      </w:r>
      <w:r w:rsidR="00AA782F" w:rsidRPr="00051DB2">
        <w:rPr>
          <w:rFonts w:ascii="Times New Roman" w:hAnsi="Times New Roman"/>
        </w:rPr>
        <w:t xml:space="preserve"> in case there is no </w:t>
      </w:r>
      <w:r w:rsidRPr="00051DB2">
        <w:rPr>
          <w:rFonts w:ascii="Times New Roman" w:hAnsi="Times New Roman"/>
        </w:rPr>
        <w:t xml:space="preserve">subsequent </w:t>
      </w:r>
      <w:r w:rsidR="00AA782F" w:rsidRPr="00051DB2">
        <w:rPr>
          <w:rFonts w:ascii="Times New Roman" w:hAnsi="Times New Roman"/>
        </w:rPr>
        <w:t xml:space="preserve">activation of </w:t>
      </w:r>
      <w:proofErr w:type="spellStart"/>
      <w:r w:rsidRPr="00051DB2">
        <w:rPr>
          <w:rFonts w:ascii="Times New Roman" w:hAnsi="Times New Roman"/>
        </w:rPr>
        <w:t>a</w:t>
      </w:r>
      <w:r w:rsidR="00AA782F" w:rsidRPr="00051DB2">
        <w:rPr>
          <w:rFonts w:ascii="Times New Roman" w:hAnsi="Times New Roman"/>
        </w:rPr>
        <w:t>FRR</w:t>
      </w:r>
      <w:proofErr w:type="spellEnd"/>
      <w:r w:rsidR="00AA782F" w:rsidRPr="00051DB2">
        <w:rPr>
          <w:rFonts w:ascii="Times New Roman" w:hAnsi="Times New Roman"/>
        </w:rPr>
        <w:t xml:space="preserve"> bids.</w:t>
      </w:r>
    </w:p>
    <w:p w:rsidR="00AA782F" w:rsidRPr="009A4C44" w:rsidRDefault="00AA782F" w:rsidP="00DD58FA">
      <w:pPr>
        <w:pStyle w:val="textregular"/>
        <w:numPr>
          <w:ilvl w:val="0"/>
          <w:numId w:val="12"/>
        </w:numPr>
        <w:spacing w:line="276" w:lineRule="auto"/>
      </w:pPr>
      <w:r w:rsidRPr="009A4C44">
        <w:t>Partial netting</w:t>
      </w:r>
    </w:p>
    <w:p w:rsidR="00AA782F" w:rsidRPr="009A4C44" w:rsidRDefault="00AA782F" w:rsidP="00AA782F">
      <w:pPr>
        <w:pStyle w:val="textregular"/>
        <w:spacing w:line="276" w:lineRule="auto"/>
      </w:pPr>
      <w:r w:rsidRPr="009A4C44">
        <w:t xml:space="preserve">In this case, </w:t>
      </w:r>
      <w:r w:rsidR="000D091E" w:rsidRPr="009A4C44">
        <w:t xml:space="preserve">both </w:t>
      </w:r>
      <w:r w:rsidRPr="009A4C44">
        <w:t xml:space="preserve">netted </w:t>
      </w:r>
      <w:proofErr w:type="spellStart"/>
      <w:r w:rsidR="008F39E7" w:rsidRPr="009A4C44">
        <w:t>aFRR</w:t>
      </w:r>
      <w:proofErr w:type="spellEnd"/>
      <w:r w:rsidR="008F39E7" w:rsidRPr="009A4C44">
        <w:t xml:space="preserve"> demands </w:t>
      </w:r>
      <w:r w:rsidR="000D091E" w:rsidRPr="009A4C44">
        <w:t>and intended exchanges resulting from</w:t>
      </w:r>
      <w:r w:rsidRPr="009A4C44">
        <w:t xml:space="preserve"> activ</w:t>
      </w:r>
      <w:r w:rsidR="000D091E" w:rsidRPr="009A4C44">
        <w:t>ated volumes</w:t>
      </w:r>
      <w:r w:rsidRPr="009A4C44">
        <w:t xml:space="preserve"> will be </w:t>
      </w:r>
      <w:r w:rsidR="000D091E" w:rsidRPr="009A4C44">
        <w:t>settled</w:t>
      </w:r>
      <w:r w:rsidRPr="009A4C44">
        <w:t xml:space="preserve"> with the </w:t>
      </w:r>
      <w:r w:rsidR="000D091E" w:rsidRPr="009A4C44">
        <w:t xml:space="preserve">respective </w:t>
      </w:r>
      <w:r w:rsidRPr="009A4C44">
        <w:t xml:space="preserve">CBMP </w:t>
      </w:r>
      <w:r w:rsidR="000D091E" w:rsidRPr="009A4C44">
        <w:t>of the uncongested area</w:t>
      </w:r>
      <w:r w:rsidRPr="009A4C44">
        <w:t xml:space="preserve">. Since each uncongested area can have a different CBMP, a </w:t>
      </w:r>
      <w:r w:rsidR="004872E4" w:rsidRPr="009A4C44">
        <w:t xml:space="preserve">balancing </w:t>
      </w:r>
      <w:r w:rsidRPr="009A4C44">
        <w:t xml:space="preserve">congestion rent has to be calculated in case of </w:t>
      </w:r>
      <w:proofErr w:type="spellStart"/>
      <w:r w:rsidR="004872E4" w:rsidRPr="009A4C44">
        <w:t>a</w:t>
      </w:r>
      <w:r w:rsidRPr="009A4C44">
        <w:t>FRR</w:t>
      </w:r>
      <w:proofErr w:type="spellEnd"/>
      <w:r w:rsidRPr="009A4C44">
        <w:t xml:space="preserve"> </w:t>
      </w:r>
      <w:r w:rsidR="008F39E7" w:rsidRPr="009A4C44">
        <w:t xml:space="preserve">implicit </w:t>
      </w:r>
      <w:r w:rsidRPr="009A4C44">
        <w:t xml:space="preserve">netting between uncongested </w:t>
      </w:r>
      <w:r w:rsidR="004872E4" w:rsidRPr="009A4C44">
        <w:t xml:space="preserve">areas with different CBMPs. The balancing </w:t>
      </w:r>
      <w:r w:rsidRPr="009A4C44">
        <w:t xml:space="preserve">congestion rent </w:t>
      </w:r>
      <w:r w:rsidR="004872E4" w:rsidRPr="009A4C44">
        <w:t>will</w:t>
      </w:r>
      <w:r w:rsidRPr="009A4C44">
        <w:t xml:space="preserve"> be shared between the involved TSOs </w:t>
      </w:r>
      <w:r w:rsidR="004872E4" w:rsidRPr="009A4C44">
        <w:t>in accordance with the proposed methodology for the distribution balancing congestion income within this proposal.</w:t>
      </w:r>
    </w:p>
    <w:p w:rsidR="00AA782F" w:rsidRPr="009A4C44" w:rsidRDefault="00AA782F" w:rsidP="00DD58FA">
      <w:pPr>
        <w:pStyle w:val="textregular"/>
        <w:numPr>
          <w:ilvl w:val="0"/>
          <w:numId w:val="12"/>
        </w:numPr>
        <w:spacing w:line="276" w:lineRule="auto"/>
      </w:pPr>
      <w:r w:rsidRPr="009A4C44">
        <w:t xml:space="preserve">Perfect netting </w:t>
      </w:r>
    </w:p>
    <w:p w:rsidR="00AA782F" w:rsidRPr="009A4C44" w:rsidRDefault="00AA782F" w:rsidP="00AA0941">
      <w:pPr>
        <w:pStyle w:val="textregular"/>
        <w:spacing w:line="276" w:lineRule="auto"/>
      </w:pPr>
      <w:r w:rsidRPr="009A4C44">
        <w:t xml:space="preserve">In case of perfect netting, there is only netting of opposed </w:t>
      </w:r>
      <w:proofErr w:type="spellStart"/>
      <w:r w:rsidR="004872E4" w:rsidRPr="009A4C44">
        <w:t>a</w:t>
      </w:r>
      <w:r w:rsidRPr="009A4C44">
        <w:t>FRR</w:t>
      </w:r>
      <w:proofErr w:type="spellEnd"/>
      <w:r w:rsidRPr="009A4C44">
        <w:t xml:space="preserve"> demands </w:t>
      </w:r>
      <w:r w:rsidR="004872E4" w:rsidRPr="009A4C44">
        <w:t xml:space="preserve">resulting in no subsequent activation of </w:t>
      </w:r>
      <w:proofErr w:type="spellStart"/>
      <w:r w:rsidR="004872E4" w:rsidRPr="009A4C44">
        <w:t>aFRR</w:t>
      </w:r>
      <w:proofErr w:type="spellEnd"/>
      <w:r w:rsidR="004872E4" w:rsidRPr="009A4C44">
        <w:t xml:space="preserve"> balancing energy</w:t>
      </w:r>
      <w:r w:rsidRPr="009A4C44">
        <w:t xml:space="preserve">. The resulting CBMP </w:t>
      </w:r>
      <w:r w:rsidR="006B5733" w:rsidRPr="009A4C44">
        <w:t xml:space="preserve">will be determined in accordance with the price indeterminacy rule within the PP. </w:t>
      </w:r>
      <w:r w:rsidR="00F06056" w:rsidRPr="009A4C44">
        <w:t>Therefore,</w:t>
      </w:r>
      <w:r w:rsidRPr="009A4C44">
        <w:t xml:space="preserve"> the settlement price will be the average of the first ranked bid prices of the upward and downward CMOL</w:t>
      </w:r>
      <w:r w:rsidR="006B5733" w:rsidRPr="009A4C44">
        <w:t xml:space="preserve"> as shown in </w:t>
      </w:r>
      <w:r w:rsidR="006B5733" w:rsidRPr="009A4C44">
        <w:fldChar w:fldCharType="begin"/>
      </w:r>
      <w:r w:rsidR="006B5733" w:rsidRPr="009A4C44">
        <w:instrText xml:space="preserve"> REF _Ref531336041 \h </w:instrText>
      </w:r>
      <w:r w:rsidR="009A4C44">
        <w:instrText xml:space="preserve"> \* MERGEFORMAT </w:instrText>
      </w:r>
      <w:r w:rsidR="006B5733" w:rsidRPr="009A4C44">
        <w:fldChar w:fldCharType="separate"/>
      </w:r>
      <w:r w:rsidR="002D564B" w:rsidRPr="009A4C44">
        <w:t xml:space="preserve">Figure </w:t>
      </w:r>
      <w:r w:rsidR="002D564B">
        <w:rPr>
          <w:noProof/>
        </w:rPr>
        <w:t>11</w:t>
      </w:r>
      <w:r w:rsidR="006B5733" w:rsidRPr="009A4C44">
        <w:fldChar w:fldCharType="end"/>
      </w:r>
      <w:r w:rsidR="006B5733" w:rsidRPr="009A4C44">
        <w:t>.</w:t>
      </w:r>
    </w:p>
    <w:p w:rsidR="00AA782F" w:rsidRPr="009A4C44" w:rsidRDefault="00AA782F" w:rsidP="00AA782F">
      <w:pPr>
        <w:pStyle w:val="textregular"/>
        <w:keepNext/>
        <w:spacing w:line="276" w:lineRule="auto"/>
        <w:ind w:left="720"/>
        <w:jc w:val="center"/>
      </w:pPr>
      <w:r w:rsidRPr="009A4C44">
        <w:rPr>
          <w:noProof/>
          <w:lang w:val="ro-RO" w:eastAsia="ro-RO"/>
        </w:rPr>
        <w:drawing>
          <wp:inline distT="0" distB="0" distL="0" distR="0" wp14:anchorId="466A4143" wp14:editId="75567B8E">
            <wp:extent cx="2744364" cy="2854358"/>
            <wp:effectExtent l="0" t="0" r="0" b="3175"/>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763545" cy="2874308"/>
                    </a:xfrm>
                    <a:prstGeom prst="rect">
                      <a:avLst/>
                    </a:prstGeom>
                  </pic:spPr>
                </pic:pic>
              </a:graphicData>
            </a:graphic>
          </wp:inline>
        </w:drawing>
      </w:r>
    </w:p>
    <w:p w:rsidR="00AA782F" w:rsidRPr="009A4C44" w:rsidRDefault="00AA782F" w:rsidP="00AA0941">
      <w:pPr>
        <w:pStyle w:val="Caption"/>
      </w:pPr>
      <w:bookmarkStart w:id="175" w:name="_Ref531336041"/>
      <w:bookmarkStart w:id="176" w:name="_Toc531799964"/>
      <w:r w:rsidRPr="009A4C44">
        <w:t xml:space="preserve">Figure </w:t>
      </w:r>
      <w:r w:rsidRPr="009A4C44">
        <w:fldChar w:fldCharType="begin"/>
      </w:r>
      <w:r w:rsidRPr="009A4C44">
        <w:instrText xml:space="preserve"> SEQ Figure \* ARABIC </w:instrText>
      </w:r>
      <w:r w:rsidRPr="009A4C44">
        <w:fldChar w:fldCharType="separate"/>
      </w:r>
      <w:r w:rsidR="002D564B">
        <w:rPr>
          <w:noProof/>
        </w:rPr>
        <w:t>11</w:t>
      </w:r>
      <w:r w:rsidRPr="009A4C44">
        <w:fldChar w:fldCharType="end"/>
      </w:r>
      <w:bookmarkEnd w:id="175"/>
      <w:r w:rsidRPr="009A4C44">
        <w:t xml:space="preserve">: Determination of the settlement price </w:t>
      </w:r>
      <w:r w:rsidR="006B5733" w:rsidRPr="009A4C44">
        <w:t xml:space="preserve">in case of perfect netting for </w:t>
      </w:r>
      <w:proofErr w:type="spellStart"/>
      <w:r w:rsidR="00051DB2">
        <w:t>a</w:t>
      </w:r>
      <w:r w:rsidR="006B5733" w:rsidRPr="009A4C44">
        <w:t>FRR</w:t>
      </w:r>
      <w:proofErr w:type="spellEnd"/>
      <w:r w:rsidR="006B5733" w:rsidRPr="009A4C44">
        <w:t xml:space="preserve"> </w:t>
      </w:r>
      <w:r w:rsidRPr="009A4C44">
        <w:t>netted volumes</w:t>
      </w:r>
      <w:bookmarkEnd w:id="176"/>
    </w:p>
    <w:p w:rsidR="006318F7" w:rsidRPr="009A4C44" w:rsidRDefault="005779B7" w:rsidP="005779B7">
      <w:pPr>
        <w:pStyle w:val="Headline14pt"/>
        <w:numPr>
          <w:ilvl w:val="0"/>
          <w:numId w:val="8"/>
        </w:numPr>
        <w:jc w:val="both"/>
        <w:outlineLvl w:val="0"/>
      </w:pPr>
      <w:bookmarkStart w:id="177" w:name="_Toc531787037"/>
      <w:bookmarkStart w:id="178" w:name="_Toc531687684"/>
      <w:bookmarkStart w:id="179" w:name="_Toc531787038"/>
      <w:bookmarkStart w:id="180" w:name="_Toc531799946"/>
      <w:bookmarkEnd w:id="155"/>
      <w:bookmarkEnd w:id="156"/>
      <w:bookmarkEnd w:id="177"/>
      <w:r w:rsidRPr="009A4C44">
        <w:lastRenderedPageBreak/>
        <w:t>Imbalance Netting</w:t>
      </w:r>
      <w:bookmarkEnd w:id="178"/>
      <w:bookmarkEnd w:id="179"/>
      <w:bookmarkEnd w:id="180"/>
    </w:p>
    <w:p w:rsidR="00163BE0" w:rsidRPr="009A4C44" w:rsidRDefault="00163BE0" w:rsidP="00163BE0">
      <w:pPr>
        <w:pStyle w:val="textregular"/>
        <w:rPr>
          <w:lang w:eastAsia="en-US"/>
        </w:rPr>
      </w:pPr>
      <w:r w:rsidRPr="009A4C44">
        <w:rPr>
          <w:lang w:eastAsia="en-US"/>
        </w:rPr>
        <w:t xml:space="preserve">The objective of the IN settlement is to determine the IN settlement prices per IN Member per MWh for the IN energy quantities netted within IN, per IN </w:t>
      </w:r>
      <w:r w:rsidR="00A91D50">
        <w:rPr>
          <w:lang w:eastAsia="en-US"/>
        </w:rPr>
        <w:t>settlement period (15 minutes).</w:t>
      </w:r>
    </w:p>
    <w:p w:rsidR="00163BE0" w:rsidRDefault="00163BE0" w:rsidP="00163BE0">
      <w:pPr>
        <w:pStyle w:val="textregular"/>
        <w:rPr>
          <w:lang w:eastAsia="en-US"/>
        </w:rPr>
      </w:pPr>
      <w:r w:rsidRPr="00051DB2">
        <w:rPr>
          <w:lang w:eastAsia="en-US"/>
        </w:rPr>
        <w:t xml:space="preserve">First of all, each IN member determines its respective </w:t>
      </w:r>
      <w:r w:rsidR="00051DB2" w:rsidRPr="00051DB2">
        <w:rPr>
          <w:lang w:eastAsia="en-US"/>
        </w:rPr>
        <w:t xml:space="preserve">value of avoided </w:t>
      </w:r>
      <w:r w:rsidRPr="00051DB2">
        <w:rPr>
          <w:lang w:eastAsia="en-US"/>
        </w:rPr>
        <w:t xml:space="preserve">upward and downward </w:t>
      </w:r>
      <w:proofErr w:type="spellStart"/>
      <w:r w:rsidRPr="00051DB2">
        <w:rPr>
          <w:lang w:eastAsia="en-US"/>
        </w:rPr>
        <w:t>aFRR</w:t>
      </w:r>
      <w:proofErr w:type="spellEnd"/>
      <w:r w:rsidRPr="00051DB2">
        <w:rPr>
          <w:lang w:eastAsia="en-US"/>
        </w:rPr>
        <w:t xml:space="preserve"> activation that should reflect the avoided costs associated to avoided </w:t>
      </w:r>
      <w:proofErr w:type="spellStart"/>
      <w:r w:rsidRPr="00051DB2">
        <w:rPr>
          <w:lang w:eastAsia="en-US"/>
        </w:rPr>
        <w:t>aFRR</w:t>
      </w:r>
      <w:proofErr w:type="spellEnd"/>
      <w:r w:rsidRPr="00051DB2">
        <w:rPr>
          <w:lang w:eastAsia="en-US"/>
        </w:rPr>
        <w:t xml:space="preserve"> energy activation. Thus,</w:t>
      </w:r>
      <w:r w:rsidRPr="009A4C44">
        <w:rPr>
          <w:lang w:eastAsia="en-US"/>
        </w:rPr>
        <w:t xml:space="preserve"> the value of avoided</w:t>
      </w:r>
      <w:r w:rsidR="00207DEC" w:rsidRPr="009A4C44">
        <w:rPr>
          <w:lang w:eastAsia="en-US"/>
        </w:rPr>
        <w:t xml:space="preserve"> </w:t>
      </w:r>
      <w:proofErr w:type="spellStart"/>
      <w:r w:rsidRPr="009A4C44">
        <w:rPr>
          <w:lang w:eastAsia="en-US"/>
        </w:rPr>
        <w:t>aFRR</w:t>
      </w:r>
      <w:proofErr w:type="spellEnd"/>
      <w:r w:rsidRPr="009A4C44">
        <w:rPr>
          <w:lang w:eastAsia="en-US"/>
        </w:rPr>
        <w:t xml:space="preserve"> activation (upward and downward computed separately) will be equal to the netted upward/downward volume multiplied by the applicable (real) upward/downward </w:t>
      </w:r>
      <w:proofErr w:type="spellStart"/>
      <w:r w:rsidRPr="009A4C44">
        <w:rPr>
          <w:lang w:eastAsia="en-US"/>
        </w:rPr>
        <w:t>aFRR</w:t>
      </w:r>
      <w:proofErr w:type="spellEnd"/>
      <w:r w:rsidRPr="009A4C44">
        <w:rPr>
          <w:lang w:eastAsia="en-US"/>
        </w:rPr>
        <w:t xml:space="preserve"> price. The </w:t>
      </w:r>
      <w:r w:rsidR="00A91D50">
        <w:rPr>
          <w:lang w:eastAsia="en-US"/>
        </w:rPr>
        <w:t>v</w:t>
      </w:r>
      <w:r w:rsidRPr="009A4C44">
        <w:rPr>
          <w:lang w:eastAsia="en-US"/>
        </w:rPr>
        <w:t>alue of avoided</w:t>
      </w:r>
      <w:r w:rsidR="00207DEC" w:rsidRPr="009A4C44">
        <w:rPr>
          <w:lang w:eastAsia="en-US"/>
        </w:rPr>
        <w:t xml:space="preserve"> </w:t>
      </w:r>
      <w:proofErr w:type="spellStart"/>
      <w:r w:rsidRPr="009A4C44">
        <w:rPr>
          <w:lang w:eastAsia="en-US"/>
        </w:rPr>
        <w:t>aFRR</w:t>
      </w:r>
      <w:proofErr w:type="spellEnd"/>
      <w:r w:rsidRPr="009A4C44">
        <w:rPr>
          <w:lang w:eastAsia="en-US"/>
        </w:rPr>
        <w:t xml:space="preserve"> Activation shall be calculated ex-post, by each IN Member, for import (upward) an</w:t>
      </w:r>
      <w:r w:rsidR="00A91D50">
        <w:rPr>
          <w:lang w:eastAsia="en-US"/>
        </w:rPr>
        <w:t>d export (downward) separately.</w:t>
      </w:r>
    </w:p>
    <w:p w:rsidR="00A91D50" w:rsidRDefault="00A91D50" w:rsidP="00163BE0">
      <w:pPr>
        <w:pStyle w:val="textregular"/>
        <w:rPr>
          <w:lang w:eastAsia="en-US"/>
        </w:rPr>
      </w:pPr>
      <w:r>
        <w:rPr>
          <w:lang w:eastAsia="en-US"/>
        </w:rPr>
        <w:t xml:space="preserve">In the second step, </w:t>
      </w:r>
      <w:r w:rsidR="009741E6">
        <w:rPr>
          <w:lang w:eastAsia="en-US"/>
        </w:rPr>
        <w:t>a</w:t>
      </w:r>
      <w:r>
        <w:rPr>
          <w:lang w:eastAsia="en-US"/>
        </w:rPr>
        <w:t xml:space="preserve"> netting energy volume weighted average price</w:t>
      </w:r>
      <w:r w:rsidR="009741E6">
        <w:rPr>
          <w:lang w:eastAsia="en-US"/>
        </w:rPr>
        <w:t xml:space="preserve"> is calculated. The resulting average price serves as input to the third step.</w:t>
      </w:r>
    </w:p>
    <w:p w:rsidR="00A91D50" w:rsidRPr="009A4C44" w:rsidRDefault="00A91D50" w:rsidP="00163BE0">
      <w:pPr>
        <w:pStyle w:val="textregular"/>
        <w:rPr>
          <w:lang w:eastAsia="en-US"/>
        </w:rPr>
      </w:pPr>
      <w:r>
        <w:rPr>
          <w:lang w:eastAsia="en-US"/>
        </w:rPr>
        <w:t xml:space="preserve">In the third step, </w:t>
      </w:r>
      <w:r w:rsidR="009741E6">
        <w:rPr>
          <w:lang w:eastAsia="en-US"/>
        </w:rPr>
        <w:t xml:space="preserve">the price from the second step is compared to the prices of the avoided activations. The settlement amounts are adjusted so that no TSO pays a higher price to other TSOs than the price of avoided activation. </w:t>
      </w:r>
    </w:p>
    <w:p w:rsidR="00163BE0" w:rsidRPr="00051DB2" w:rsidRDefault="00163BE0" w:rsidP="00051DB2">
      <w:pPr>
        <w:pStyle w:val="headline2"/>
        <w:numPr>
          <w:ilvl w:val="1"/>
          <w:numId w:val="8"/>
        </w:numPr>
        <w:spacing w:after="200" w:line="240" w:lineRule="auto"/>
        <w:jc w:val="both"/>
        <w:outlineLvl w:val="1"/>
      </w:pPr>
      <w:bookmarkStart w:id="181" w:name="_Toc531787039"/>
      <w:bookmarkStart w:id="182" w:name="_Toc531799947"/>
      <w:r w:rsidRPr="009A4C44">
        <w:t xml:space="preserve">Examples of Determination of </w:t>
      </w:r>
      <w:r w:rsidRPr="00051DB2">
        <w:t>Value of avoided</w:t>
      </w:r>
      <w:r w:rsidR="008830B2" w:rsidRPr="00051DB2">
        <w:t xml:space="preserve"> </w:t>
      </w:r>
      <w:proofErr w:type="spellStart"/>
      <w:r w:rsidRPr="00051DB2">
        <w:t>aFRR</w:t>
      </w:r>
      <w:proofErr w:type="spellEnd"/>
      <w:r w:rsidRPr="00051DB2">
        <w:t xml:space="preserve"> Activation</w:t>
      </w:r>
      <w:bookmarkEnd w:id="181"/>
      <w:bookmarkEnd w:id="182"/>
    </w:p>
    <w:p w:rsidR="00163BE0" w:rsidRPr="00A91D50" w:rsidRDefault="00163BE0" w:rsidP="00A91D50">
      <w:pPr>
        <w:pStyle w:val="Headline14pt"/>
        <w:pageBreakBefore w:val="0"/>
        <w:numPr>
          <w:ilvl w:val="2"/>
          <w:numId w:val="8"/>
        </w:numPr>
        <w:jc w:val="both"/>
        <w:outlineLvl w:val="2"/>
        <w:rPr>
          <w:sz w:val="28"/>
        </w:rPr>
      </w:pPr>
      <w:bookmarkStart w:id="183" w:name="_Toc531787040"/>
      <w:bookmarkStart w:id="184" w:name="_Toc531799948"/>
      <w:r w:rsidRPr="00A91D50">
        <w:rPr>
          <w:sz w:val="28"/>
        </w:rPr>
        <w:t xml:space="preserve">Value of avoided </w:t>
      </w:r>
      <w:proofErr w:type="spellStart"/>
      <w:r w:rsidRPr="00A91D50">
        <w:rPr>
          <w:sz w:val="28"/>
        </w:rPr>
        <w:t>aFRR</w:t>
      </w:r>
      <w:proofErr w:type="spellEnd"/>
      <w:r w:rsidRPr="00A91D50">
        <w:rPr>
          <w:sz w:val="28"/>
        </w:rPr>
        <w:t xml:space="preserve"> for a IN member that uses pay as bid</w:t>
      </w:r>
      <w:bookmarkEnd w:id="183"/>
      <w:bookmarkEnd w:id="184"/>
    </w:p>
    <w:p w:rsidR="0056736B" w:rsidRPr="009A4C44" w:rsidRDefault="0056736B" w:rsidP="00163BE0">
      <w:pPr>
        <w:jc w:val="both"/>
        <w:rPr>
          <w:rFonts w:ascii="Times New Roman" w:hAnsi="Times New Roman"/>
          <w:szCs w:val="19"/>
          <w:lang w:eastAsia="en-US"/>
        </w:rPr>
      </w:pPr>
      <w:r w:rsidRPr="009A4C44">
        <w:rPr>
          <w:rFonts w:ascii="Times New Roman" w:hAnsi="Times New Roman"/>
          <w:szCs w:val="19"/>
          <w:lang w:eastAsia="en-US"/>
        </w:rPr>
        <w:t xml:space="preserve">The value of avoided upward/downward </w:t>
      </w:r>
      <w:proofErr w:type="spellStart"/>
      <w:r w:rsidRPr="009A4C44">
        <w:rPr>
          <w:rFonts w:ascii="Times New Roman" w:hAnsi="Times New Roman"/>
          <w:szCs w:val="19"/>
          <w:lang w:eastAsia="en-US"/>
        </w:rPr>
        <w:t>aFRR</w:t>
      </w:r>
      <w:proofErr w:type="spellEnd"/>
      <w:r w:rsidRPr="009A4C44">
        <w:rPr>
          <w:rFonts w:ascii="Times New Roman" w:hAnsi="Times New Roman"/>
          <w:szCs w:val="19"/>
          <w:lang w:eastAsia="en-US"/>
        </w:rPr>
        <w:t xml:space="preserve"> activation reflects the costs (upward activation) or revenues (downward activation) of the </w:t>
      </w:r>
      <w:proofErr w:type="spellStart"/>
      <w:r w:rsidRPr="009A4C44">
        <w:rPr>
          <w:rFonts w:ascii="Times New Roman" w:hAnsi="Times New Roman"/>
          <w:szCs w:val="19"/>
          <w:lang w:eastAsia="en-US"/>
        </w:rPr>
        <w:t>aFRR</w:t>
      </w:r>
      <w:proofErr w:type="spellEnd"/>
      <w:r w:rsidRPr="009A4C44">
        <w:rPr>
          <w:rFonts w:ascii="Times New Roman" w:hAnsi="Times New Roman"/>
          <w:szCs w:val="19"/>
          <w:lang w:eastAsia="en-US"/>
        </w:rPr>
        <w:t xml:space="preserve">, associated to </w:t>
      </w:r>
      <w:proofErr w:type="spellStart"/>
      <w:r w:rsidRPr="009A4C44">
        <w:rPr>
          <w:rFonts w:ascii="Times New Roman" w:hAnsi="Times New Roman"/>
          <w:szCs w:val="19"/>
          <w:lang w:eastAsia="en-US"/>
        </w:rPr>
        <w:t>aFRR</w:t>
      </w:r>
      <w:proofErr w:type="spellEnd"/>
      <w:r w:rsidRPr="009A4C44">
        <w:rPr>
          <w:rFonts w:ascii="Times New Roman" w:hAnsi="Times New Roman"/>
          <w:szCs w:val="19"/>
          <w:lang w:eastAsia="en-US"/>
        </w:rPr>
        <w:t xml:space="preserve"> additionally activated by each participating TSO without the INP.</w:t>
      </w:r>
      <w:r w:rsidR="00B0382D" w:rsidRPr="009A4C44">
        <w:rPr>
          <w:rFonts w:ascii="Times New Roman" w:hAnsi="Times New Roman"/>
          <w:szCs w:val="19"/>
          <w:lang w:eastAsia="en-US"/>
        </w:rPr>
        <w:t xml:space="preserve"> The value of avoided </w:t>
      </w:r>
      <w:proofErr w:type="spellStart"/>
      <w:r w:rsidR="00B0382D" w:rsidRPr="009A4C44">
        <w:rPr>
          <w:rFonts w:ascii="Times New Roman" w:hAnsi="Times New Roman"/>
          <w:szCs w:val="19"/>
          <w:lang w:eastAsia="en-US"/>
        </w:rPr>
        <w:t>aFRR</w:t>
      </w:r>
      <w:proofErr w:type="spellEnd"/>
      <w:r w:rsidR="00B0382D" w:rsidRPr="009A4C44">
        <w:rPr>
          <w:rFonts w:ascii="Times New Roman" w:hAnsi="Times New Roman"/>
          <w:szCs w:val="19"/>
          <w:lang w:eastAsia="en-US"/>
        </w:rPr>
        <w:t xml:space="preserve"> prices should be determined separately for positive and negative secondary control energy per each quarter of an hour.</w:t>
      </w:r>
    </w:p>
    <w:p w:rsidR="00163BE0" w:rsidRPr="009A4C44" w:rsidRDefault="00163BE0" w:rsidP="00163BE0">
      <w:pPr>
        <w:jc w:val="both"/>
        <w:rPr>
          <w:rFonts w:ascii="Times New Roman" w:hAnsi="Times New Roman"/>
          <w:szCs w:val="19"/>
          <w:lang w:eastAsia="en-US"/>
        </w:rPr>
      </w:pPr>
      <w:r w:rsidRPr="009A4C44">
        <w:rPr>
          <w:rFonts w:ascii="Times New Roman" w:hAnsi="Times New Roman"/>
          <w:szCs w:val="19"/>
          <w:lang w:eastAsia="en-US"/>
        </w:rPr>
        <w:t>For the calculation of the settlement price, the average price of secondary control energy exchanged in each balancing direction during a 15-minute interval is used.</w:t>
      </w:r>
      <w:r w:rsidR="00B0382D" w:rsidRPr="009A4C44">
        <w:rPr>
          <w:rFonts w:ascii="Times New Roman" w:hAnsi="Times New Roman"/>
          <w:szCs w:val="19"/>
          <w:lang w:eastAsia="en-US"/>
        </w:rPr>
        <w:t xml:space="preserve"> Prices for activated </w:t>
      </w:r>
      <w:proofErr w:type="spellStart"/>
      <w:r w:rsidR="00B0382D" w:rsidRPr="009A4C44">
        <w:rPr>
          <w:rFonts w:ascii="Times New Roman" w:hAnsi="Times New Roman"/>
          <w:szCs w:val="19"/>
          <w:lang w:eastAsia="en-US"/>
        </w:rPr>
        <w:t>aFRR</w:t>
      </w:r>
      <w:proofErr w:type="spellEnd"/>
      <w:r w:rsidR="00B0382D" w:rsidRPr="009A4C44">
        <w:rPr>
          <w:rFonts w:ascii="Times New Roman" w:hAnsi="Times New Roman"/>
          <w:szCs w:val="19"/>
          <w:lang w:eastAsia="en-US"/>
        </w:rPr>
        <w:t xml:space="preserve"> volumes are considered as reliable proxy for the value of avoided </w:t>
      </w:r>
      <w:proofErr w:type="spellStart"/>
      <w:r w:rsidR="00B0382D" w:rsidRPr="009A4C44">
        <w:rPr>
          <w:rFonts w:ascii="Times New Roman" w:hAnsi="Times New Roman"/>
          <w:szCs w:val="19"/>
          <w:lang w:eastAsia="en-US"/>
        </w:rPr>
        <w:t>aFRR</w:t>
      </w:r>
      <w:proofErr w:type="spellEnd"/>
      <w:r w:rsidR="00B0382D" w:rsidRPr="009A4C44">
        <w:rPr>
          <w:rFonts w:ascii="Times New Roman" w:hAnsi="Times New Roman"/>
          <w:szCs w:val="19"/>
          <w:lang w:eastAsia="en-US"/>
        </w:rPr>
        <w:t xml:space="preserve"> activation. The value of avoided </w:t>
      </w:r>
      <w:proofErr w:type="spellStart"/>
      <w:r w:rsidR="00B0382D" w:rsidRPr="009A4C44">
        <w:rPr>
          <w:rFonts w:ascii="Times New Roman" w:hAnsi="Times New Roman"/>
          <w:szCs w:val="19"/>
          <w:lang w:eastAsia="en-US"/>
        </w:rPr>
        <w:t>aFRR</w:t>
      </w:r>
      <w:proofErr w:type="spellEnd"/>
      <w:r w:rsidR="00B0382D" w:rsidRPr="009A4C44">
        <w:rPr>
          <w:rFonts w:ascii="Times New Roman" w:hAnsi="Times New Roman"/>
          <w:szCs w:val="19"/>
          <w:lang w:eastAsia="en-US"/>
        </w:rPr>
        <w:t xml:space="preserve"> activation</w:t>
      </w:r>
      <w:r w:rsidR="00B0382D" w:rsidRPr="009A4C44" w:rsidDel="001C5B1F">
        <w:rPr>
          <w:rFonts w:ascii="Times New Roman" w:hAnsi="Times New Roman"/>
          <w:szCs w:val="19"/>
          <w:lang w:eastAsia="en-US"/>
        </w:rPr>
        <w:t xml:space="preserve"> </w:t>
      </w:r>
      <w:r w:rsidR="00B0382D" w:rsidRPr="009A4C44">
        <w:rPr>
          <w:rFonts w:ascii="Times New Roman" w:hAnsi="Times New Roman"/>
          <w:szCs w:val="19"/>
          <w:lang w:eastAsia="en-US"/>
        </w:rPr>
        <w:t>shall be calculated ex-post by each participating TSO for import and export separately.</w:t>
      </w:r>
      <w:r w:rsidRPr="009A4C44">
        <w:rPr>
          <w:rFonts w:ascii="Times New Roman" w:hAnsi="Times New Roman"/>
          <w:szCs w:val="19"/>
          <w:lang w:eastAsia="en-US"/>
        </w:rPr>
        <w:t xml:space="preserve"> </w:t>
      </w:r>
    </w:p>
    <w:p w:rsidR="00163BE0" w:rsidRPr="009A4C44" w:rsidRDefault="00163BE0" w:rsidP="00163BE0">
      <w:pPr>
        <w:jc w:val="both"/>
        <w:rPr>
          <w:rFonts w:ascii="Times New Roman" w:hAnsi="Times New Roman"/>
          <w:szCs w:val="19"/>
          <w:lang w:eastAsia="en-US"/>
        </w:rPr>
      </w:pPr>
      <w:r w:rsidRPr="009A4C44">
        <w:rPr>
          <w:rFonts w:ascii="Times New Roman" w:hAnsi="Times New Roman"/>
          <w:szCs w:val="19"/>
          <w:lang w:eastAsia="en-US"/>
        </w:rPr>
        <w:t>In case positive secondary balancing is needed by this IN member, the value of avoided</w:t>
      </w:r>
      <w:r w:rsidR="009D1C00" w:rsidRPr="009A4C44">
        <w:rPr>
          <w:rFonts w:ascii="Times New Roman" w:hAnsi="Times New Roman"/>
          <w:szCs w:val="19"/>
          <w:lang w:eastAsia="en-US"/>
        </w:rPr>
        <w:t xml:space="preserve"> </w:t>
      </w:r>
      <w:proofErr w:type="spellStart"/>
      <w:r w:rsidRPr="009A4C44">
        <w:rPr>
          <w:rFonts w:ascii="Times New Roman" w:hAnsi="Times New Roman"/>
          <w:szCs w:val="19"/>
          <w:lang w:eastAsia="en-US"/>
        </w:rPr>
        <w:t>aFRR</w:t>
      </w:r>
      <w:proofErr w:type="spellEnd"/>
      <w:r w:rsidRPr="009A4C44">
        <w:rPr>
          <w:rFonts w:ascii="Times New Roman" w:hAnsi="Times New Roman"/>
          <w:szCs w:val="19"/>
          <w:lang w:eastAsia="en-US"/>
        </w:rPr>
        <w:t xml:space="preserve"> price</w:t>
      </w:r>
      <w:r w:rsidR="009D1C00" w:rsidRPr="009A4C44">
        <w:rPr>
          <w:rFonts w:ascii="Times New Roman" w:hAnsi="Times New Roman"/>
          <w:szCs w:val="19"/>
          <w:lang w:eastAsia="en-US"/>
        </w:rPr>
        <w:t xml:space="preserve"> </w:t>
      </w:r>
      <w:r w:rsidRPr="009A4C44">
        <w:rPr>
          <w:rFonts w:ascii="Times New Roman" w:hAnsi="Times New Roman"/>
          <w:szCs w:val="19"/>
          <w:lang w:eastAsia="en-US"/>
        </w:rPr>
        <w:t>corresponds with the quotient of the positive secondary control energy costs per 15 minutes and the positive secondary control energy volume per 15 minutes.</w:t>
      </w:r>
    </w:p>
    <w:p w:rsidR="00163BE0" w:rsidRPr="009A4C44" w:rsidRDefault="00163BE0" w:rsidP="00163BE0">
      <w:pPr>
        <w:jc w:val="both"/>
        <w:rPr>
          <w:rFonts w:ascii="Times New Roman" w:hAnsi="Times New Roman"/>
          <w:szCs w:val="19"/>
          <w:lang w:eastAsia="en-US"/>
        </w:rPr>
      </w:pPr>
      <w:r w:rsidRPr="009A4C44">
        <w:rPr>
          <w:rFonts w:ascii="Times New Roman" w:hAnsi="Times New Roman"/>
          <w:szCs w:val="19"/>
          <w:lang w:eastAsia="en-US"/>
        </w:rPr>
        <w:t>In case negative secondary control energy is needed by this IN member, the value of avoided</w:t>
      </w:r>
      <w:r w:rsidR="009D1C00" w:rsidRPr="009A4C44">
        <w:rPr>
          <w:rFonts w:ascii="Times New Roman" w:hAnsi="Times New Roman"/>
          <w:szCs w:val="19"/>
          <w:lang w:eastAsia="en-US"/>
        </w:rPr>
        <w:t xml:space="preserve"> </w:t>
      </w:r>
      <w:proofErr w:type="spellStart"/>
      <w:r w:rsidRPr="009A4C44">
        <w:rPr>
          <w:rFonts w:ascii="Times New Roman" w:hAnsi="Times New Roman"/>
          <w:szCs w:val="19"/>
          <w:lang w:eastAsia="en-US"/>
        </w:rPr>
        <w:t>aFRR</w:t>
      </w:r>
      <w:proofErr w:type="spellEnd"/>
      <w:r w:rsidRPr="009A4C44">
        <w:rPr>
          <w:rFonts w:ascii="Times New Roman" w:hAnsi="Times New Roman"/>
          <w:szCs w:val="19"/>
          <w:lang w:eastAsia="en-US"/>
        </w:rPr>
        <w:t xml:space="preserve"> price</w:t>
      </w:r>
      <w:r w:rsidR="009D1C00" w:rsidRPr="009A4C44">
        <w:rPr>
          <w:rFonts w:ascii="Times New Roman" w:hAnsi="Times New Roman"/>
          <w:szCs w:val="19"/>
          <w:lang w:eastAsia="en-US"/>
        </w:rPr>
        <w:t xml:space="preserve"> </w:t>
      </w:r>
      <w:r w:rsidRPr="009A4C44">
        <w:rPr>
          <w:rFonts w:ascii="Times New Roman" w:hAnsi="Times New Roman"/>
          <w:szCs w:val="19"/>
          <w:lang w:eastAsia="en-US"/>
        </w:rPr>
        <w:t>corresponds with the quotient of the negative secondary control energy costs or proceeds per 15 minutes and the negative secondary control energy volume per 15 minutes.</w:t>
      </w:r>
    </w:p>
    <w:p w:rsidR="00163BE0" w:rsidRDefault="00163BE0" w:rsidP="00163BE0">
      <w:pPr>
        <w:jc w:val="both"/>
        <w:rPr>
          <w:rFonts w:ascii="Times New Roman" w:hAnsi="Times New Roman"/>
          <w:szCs w:val="19"/>
          <w:lang w:eastAsia="en-US"/>
        </w:rPr>
      </w:pPr>
      <w:r w:rsidRPr="009A4C44">
        <w:rPr>
          <w:rFonts w:ascii="Times New Roman" w:hAnsi="Times New Roman"/>
          <w:szCs w:val="19"/>
          <w:lang w:eastAsia="en-US"/>
        </w:rPr>
        <w:t>If there was no demand in a certain direction, the lowest energy price of the merit order for that direction will be used as the opportunity price.</w:t>
      </w:r>
    </w:p>
    <w:p w:rsidR="00163BE0" w:rsidRPr="004E65E3" w:rsidRDefault="004E65E3" w:rsidP="004E65E3">
      <w:pPr>
        <w:jc w:val="both"/>
        <w:rPr>
          <w:rFonts w:ascii="Times New Roman" w:hAnsi="Times New Roman"/>
          <w:szCs w:val="19"/>
          <w:lang w:eastAsia="en-US"/>
        </w:rPr>
      </w:pPr>
      <w:r w:rsidRPr="004E65E3">
        <w:rPr>
          <w:noProof/>
          <w:lang w:val="ro-RO" w:eastAsia="ro-RO"/>
        </w:rPr>
        <w:lastRenderedPageBreak/>
        <w:drawing>
          <wp:inline distT="0" distB="0" distL="0" distR="0" wp14:anchorId="79533E45" wp14:editId="0988C6F2">
            <wp:extent cx="5724191" cy="3066415"/>
            <wp:effectExtent l="0" t="0" r="0" b="63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8">
                      <a:extLst>
                        <a:ext uri="{28A0092B-C50C-407E-A947-70E740481C1C}">
                          <a14:useLocalDpi xmlns:a14="http://schemas.microsoft.com/office/drawing/2010/main" val="0"/>
                        </a:ext>
                      </a:extLst>
                    </a:blip>
                    <a:srcRect l="5175" b="6089"/>
                    <a:stretch/>
                  </pic:blipFill>
                  <pic:spPr bwMode="auto">
                    <a:xfrm>
                      <a:off x="0" y="0"/>
                      <a:ext cx="5725154" cy="3066931"/>
                    </a:xfrm>
                    <a:prstGeom prst="rect">
                      <a:avLst/>
                    </a:prstGeom>
                    <a:noFill/>
                    <a:ln>
                      <a:noFill/>
                    </a:ln>
                    <a:extLst>
                      <a:ext uri="{53640926-AAD7-44D8-BBD7-CCE9431645EC}">
                        <a14:shadowObscured xmlns:a14="http://schemas.microsoft.com/office/drawing/2010/main"/>
                      </a:ext>
                    </a:extLst>
                  </pic:spPr>
                </pic:pic>
              </a:graphicData>
            </a:graphic>
          </wp:inline>
        </w:drawing>
      </w:r>
    </w:p>
    <w:p w:rsidR="00CA2308" w:rsidRPr="009A4C44" w:rsidRDefault="00CA2308" w:rsidP="00CA2308">
      <w:pPr>
        <w:pStyle w:val="Caption"/>
      </w:pPr>
      <w:bookmarkStart w:id="185" w:name="_Toc531799965"/>
      <w:r w:rsidRPr="009A4C44">
        <w:t xml:space="preserve">Figure </w:t>
      </w:r>
      <w:r w:rsidRPr="009A4C44">
        <w:fldChar w:fldCharType="begin"/>
      </w:r>
      <w:r w:rsidRPr="009A4C44">
        <w:instrText xml:space="preserve"> SEQ Figure \* ARABIC </w:instrText>
      </w:r>
      <w:r w:rsidRPr="009A4C44">
        <w:fldChar w:fldCharType="separate"/>
      </w:r>
      <w:r w:rsidR="002D564B">
        <w:rPr>
          <w:noProof/>
        </w:rPr>
        <w:t>12</w:t>
      </w:r>
      <w:r w:rsidRPr="009A4C44">
        <w:fldChar w:fldCharType="end"/>
      </w:r>
      <w:r w:rsidRPr="009A4C44">
        <w:t xml:space="preserve">: Example of pay-as-bid pricing: upward Value of Avoided </w:t>
      </w:r>
      <w:proofErr w:type="spellStart"/>
      <w:r w:rsidRPr="009A4C44">
        <w:t>aFRR</w:t>
      </w:r>
      <w:proofErr w:type="spellEnd"/>
      <w:r w:rsidRPr="009A4C44">
        <w:t xml:space="preserve"> activation</w:t>
      </w:r>
      <w:bookmarkEnd w:id="185"/>
    </w:p>
    <w:p w:rsidR="00163BE0" w:rsidRPr="009A4C44" w:rsidRDefault="004E65E3" w:rsidP="00163BE0">
      <w:pPr>
        <w:jc w:val="center"/>
        <w:rPr>
          <w:rFonts w:ascii="Times New Roman" w:hAnsi="Times New Roman"/>
          <w:sz w:val="20"/>
        </w:rPr>
      </w:pPr>
      <w:r w:rsidRPr="004E65E3">
        <w:rPr>
          <w:noProof/>
          <w:lang w:val="ro-RO" w:eastAsia="ro-RO"/>
        </w:rPr>
        <w:drawing>
          <wp:inline distT="0" distB="0" distL="0" distR="0" wp14:anchorId="5D0F4F01" wp14:editId="2F56B2C1">
            <wp:extent cx="6026150" cy="3134995"/>
            <wp:effectExtent l="0" t="0" r="0" b="8255"/>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26150" cy="3134995"/>
                    </a:xfrm>
                    <a:prstGeom prst="rect">
                      <a:avLst/>
                    </a:prstGeom>
                    <a:noFill/>
                    <a:ln>
                      <a:noFill/>
                    </a:ln>
                  </pic:spPr>
                </pic:pic>
              </a:graphicData>
            </a:graphic>
          </wp:inline>
        </w:drawing>
      </w:r>
    </w:p>
    <w:p w:rsidR="00DD5861" w:rsidRPr="009A4C44" w:rsidRDefault="00DD5861" w:rsidP="00DD5861">
      <w:pPr>
        <w:pStyle w:val="Caption"/>
      </w:pPr>
      <w:bookmarkStart w:id="186" w:name="_Toc531799966"/>
      <w:r w:rsidRPr="009A4C44">
        <w:t xml:space="preserve">Figure </w:t>
      </w:r>
      <w:r w:rsidRPr="009A4C44">
        <w:fldChar w:fldCharType="begin"/>
      </w:r>
      <w:r w:rsidRPr="009A4C44">
        <w:instrText xml:space="preserve"> SEQ Figure \* ARABIC </w:instrText>
      </w:r>
      <w:r w:rsidRPr="009A4C44">
        <w:fldChar w:fldCharType="separate"/>
      </w:r>
      <w:r w:rsidR="002D564B">
        <w:rPr>
          <w:noProof/>
        </w:rPr>
        <w:t>13</w:t>
      </w:r>
      <w:r w:rsidRPr="009A4C44">
        <w:fldChar w:fldCharType="end"/>
      </w:r>
      <w:r w:rsidRPr="009A4C44">
        <w:t xml:space="preserve">: Example of pay-as-bid pricing: downward Value of Avoided </w:t>
      </w:r>
      <w:proofErr w:type="spellStart"/>
      <w:r w:rsidRPr="009A4C44">
        <w:t>aFRR</w:t>
      </w:r>
      <w:proofErr w:type="spellEnd"/>
      <w:r w:rsidRPr="009A4C44">
        <w:t xml:space="preserve"> activation</w:t>
      </w:r>
      <w:bookmarkEnd w:id="186"/>
    </w:p>
    <w:p w:rsidR="00163BE0" w:rsidRPr="009A4C44" w:rsidRDefault="00163BE0" w:rsidP="00163BE0">
      <w:pPr>
        <w:jc w:val="both"/>
        <w:rPr>
          <w:rFonts w:ascii="Times New Roman" w:hAnsi="Times New Roman"/>
          <w:sz w:val="20"/>
        </w:rPr>
      </w:pPr>
    </w:p>
    <w:p w:rsidR="00163BE0" w:rsidRPr="009A4C44" w:rsidRDefault="00163BE0" w:rsidP="00163BE0">
      <w:pPr>
        <w:jc w:val="both"/>
        <w:rPr>
          <w:rFonts w:ascii="Times New Roman" w:hAnsi="Times New Roman"/>
          <w:sz w:val="20"/>
        </w:rPr>
      </w:pPr>
    </w:p>
    <w:p w:rsidR="009D1C00" w:rsidRPr="009A4C44" w:rsidRDefault="009D1C00" w:rsidP="00163BE0">
      <w:pPr>
        <w:jc w:val="both"/>
        <w:rPr>
          <w:rFonts w:ascii="Times New Roman" w:hAnsi="Times New Roman"/>
          <w:sz w:val="20"/>
        </w:rPr>
      </w:pPr>
    </w:p>
    <w:p w:rsidR="009D1C00" w:rsidRPr="009A4C44" w:rsidRDefault="009D1C00" w:rsidP="00163BE0">
      <w:pPr>
        <w:jc w:val="both"/>
        <w:rPr>
          <w:rFonts w:ascii="Times New Roman" w:hAnsi="Times New Roman"/>
          <w:sz w:val="20"/>
        </w:rPr>
      </w:pPr>
    </w:p>
    <w:p w:rsidR="009D1C00" w:rsidRPr="009A4C44" w:rsidRDefault="009D1C00" w:rsidP="00163BE0">
      <w:pPr>
        <w:jc w:val="both"/>
        <w:rPr>
          <w:rFonts w:ascii="Times New Roman" w:hAnsi="Times New Roman"/>
          <w:sz w:val="20"/>
        </w:rPr>
      </w:pPr>
    </w:p>
    <w:p w:rsidR="009D1C00" w:rsidRPr="009A4C44" w:rsidRDefault="009D1C00" w:rsidP="00163BE0">
      <w:pPr>
        <w:jc w:val="both"/>
        <w:rPr>
          <w:rFonts w:ascii="Times New Roman" w:hAnsi="Times New Roman"/>
          <w:sz w:val="20"/>
        </w:rPr>
      </w:pPr>
    </w:p>
    <w:p w:rsidR="009D1C00" w:rsidRPr="009A4C44" w:rsidRDefault="009D1C00" w:rsidP="00163BE0">
      <w:pPr>
        <w:jc w:val="both"/>
        <w:rPr>
          <w:rFonts w:ascii="Times New Roman" w:hAnsi="Times New Roman"/>
          <w:sz w:val="20"/>
        </w:rPr>
      </w:pPr>
    </w:p>
    <w:p w:rsidR="009D1C00" w:rsidRPr="009A4C44" w:rsidRDefault="009D1C00" w:rsidP="00163BE0">
      <w:pPr>
        <w:jc w:val="both"/>
        <w:rPr>
          <w:rFonts w:ascii="Times New Roman" w:hAnsi="Times New Roman"/>
          <w:sz w:val="20"/>
        </w:rPr>
      </w:pPr>
    </w:p>
    <w:p w:rsidR="009D1C00" w:rsidRPr="009A4C44" w:rsidRDefault="009D1C00" w:rsidP="00163BE0">
      <w:pPr>
        <w:jc w:val="both"/>
        <w:rPr>
          <w:rFonts w:ascii="Times New Roman" w:hAnsi="Times New Roman"/>
          <w:sz w:val="20"/>
        </w:rPr>
      </w:pPr>
    </w:p>
    <w:p w:rsidR="009D1C00" w:rsidRPr="009A4C44" w:rsidRDefault="009D1C00" w:rsidP="00163BE0">
      <w:pPr>
        <w:jc w:val="both"/>
        <w:rPr>
          <w:rFonts w:ascii="Times New Roman" w:hAnsi="Times New Roman"/>
          <w:sz w:val="20"/>
        </w:rPr>
      </w:pPr>
    </w:p>
    <w:p w:rsidR="00163BE0" w:rsidRPr="004E65E3" w:rsidRDefault="00163BE0" w:rsidP="00816B7B">
      <w:pPr>
        <w:pStyle w:val="Headline14pt"/>
        <w:pageBreakBefore w:val="0"/>
        <w:numPr>
          <w:ilvl w:val="2"/>
          <w:numId w:val="8"/>
        </w:numPr>
        <w:jc w:val="both"/>
        <w:outlineLvl w:val="2"/>
        <w:rPr>
          <w:sz w:val="24"/>
        </w:rPr>
      </w:pPr>
      <w:bookmarkStart w:id="187" w:name="_Toc531787041"/>
      <w:bookmarkStart w:id="188" w:name="_Toc531799949"/>
      <w:r w:rsidRPr="004E65E3">
        <w:rPr>
          <w:sz w:val="24"/>
        </w:rPr>
        <w:lastRenderedPageBreak/>
        <w:t xml:space="preserve">Value of avoided </w:t>
      </w:r>
      <w:proofErr w:type="spellStart"/>
      <w:r w:rsidRPr="004E65E3">
        <w:rPr>
          <w:sz w:val="24"/>
        </w:rPr>
        <w:t>aFRR</w:t>
      </w:r>
      <w:proofErr w:type="spellEnd"/>
      <w:r w:rsidRPr="004E65E3">
        <w:rPr>
          <w:sz w:val="24"/>
        </w:rPr>
        <w:t xml:space="preserve"> for a IN member that uses marginal pricing </w:t>
      </w:r>
      <w:proofErr w:type="spellStart"/>
      <w:r w:rsidRPr="004E65E3">
        <w:rPr>
          <w:sz w:val="24"/>
        </w:rPr>
        <w:t>aFRR</w:t>
      </w:r>
      <w:proofErr w:type="spellEnd"/>
      <w:r w:rsidRPr="004E65E3">
        <w:rPr>
          <w:sz w:val="24"/>
        </w:rPr>
        <w:t xml:space="preserve"> scheme</w:t>
      </w:r>
      <w:bookmarkEnd w:id="187"/>
      <w:bookmarkEnd w:id="188"/>
    </w:p>
    <w:p w:rsidR="00163BE0" w:rsidRPr="009A4C44" w:rsidRDefault="00163BE0" w:rsidP="00163BE0">
      <w:pPr>
        <w:jc w:val="both"/>
        <w:rPr>
          <w:rFonts w:ascii="Times New Roman" w:hAnsi="Times New Roman"/>
          <w:szCs w:val="19"/>
          <w:lang w:eastAsia="en-US"/>
        </w:rPr>
      </w:pPr>
      <w:r w:rsidRPr="009A4C44">
        <w:rPr>
          <w:rFonts w:ascii="Times New Roman" w:hAnsi="Times New Roman"/>
          <w:szCs w:val="19"/>
          <w:lang w:eastAsia="en-US"/>
        </w:rPr>
        <w:t xml:space="preserve">In general, should both upward and downward </w:t>
      </w:r>
      <w:proofErr w:type="spellStart"/>
      <w:r w:rsidRPr="009A4C44">
        <w:rPr>
          <w:rFonts w:ascii="Times New Roman" w:hAnsi="Times New Roman"/>
          <w:szCs w:val="19"/>
          <w:lang w:eastAsia="en-US"/>
        </w:rPr>
        <w:t>aFRR</w:t>
      </w:r>
      <w:proofErr w:type="spellEnd"/>
      <w:r w:rsidRPr="009A4C44">
        <w:rPr>
          <w:rFonts w:ascii="Times New Roman" w:hAnsi="Times New Roman"/>
          <w:szCs w:val="19"/>
          <w:lang w:eastAsia="en-US"/>
        </w:rPr>
        <w:t xml:space="preserve"> energy directions be activated within the same 15 minutes, an upward and a downward </w:t>
      </w:r>
      <w:proofErr w:type="spellStart"/>
      <w:r w:rsidRPr="009A4C44">
        <w:rPr>
          <w:rFonts w:ascii="Times New Roman" w:hAnsi="Times New Roman"/>
          <w:szCs w:val="19"/>
          <w:lang w:eastAsia="en-US"/>
        </w:rPr>
        <w:t>aFRR</w:t>
      </w:r>
      <w:proofErr w:type="spellEnd"/>
      <w:r w:rsidRPr="009A4C44">
        <w:rPr>
          <w:rFonts w:ascii="Times New Roman" w:hAnsi="Times New Roman"/>
          <w:szCs w:val="19"/>
          <w:lang w:eastAsia="en-US"/>
        </w:rPr>
        <w:t xml:space="preserve"> prices will be determined, published and invoiced for both </w:t>
      </w:r>
      <w:proofErr w:type="gramStart"/>
      <w:r w:rsidRPr="009A4C44">
        <w:rPr>
          <w:rFonts w:ascii="Times New Roman" w:hAnsi="Times New Roman"/>
          <w:szCs w:val="19"/>
          <w:lang w:eastAsia="en-US"/>
        </w:rPr>
        <w:t>directions.</w:t>
      </w:r>
      <w:proofErr w:type="gramEnd"/>
      <w:r w:rsidRPr="009A4C44">
        <w:rPr>
          <w:rFonts w:ascii="Times New Roman" w:hAnsi="Times New Roman"/>
          <w:szCs w:val="19"/>
          <w:lang w:eastAsia="en-US"/>
        </w:rPr>
        <w:t xml:space="preserve"> These 2 marginal upward/downward prices determine the value of avoided</w:t>
      </w:r>
      <w:r w:rsidR="00C73774">
        <w:rPr>
          <w:rFonts w:ascii="Times New Roman" w:hAnsi="Times New Roman"/>
          <w:szCs w:val="19"/>
          <w:lang w:eastAsia="en-US"/>
        </w:rPr>
        <w:t xml:space="preserve"> </w:t>
      </w:r>
      <w:proofErr w:type="spellStart"/>
      <w:r w:rsidRPr="009A4C44">
        <w:rPr>
          <w:rFonts w:ascii="Times New Roman" w:hAnsi="Times New Roman"/>
          <w:szCs w:val="19"/>
          <w:lang w:eastAsia="en-US"/>
        </w:rPr>
        <w:t>aFRR</w:t>
      </w:r>
      <w:proofErr w:type="spellEnd"/>
      <w:r w:rsidRPr="009A4C44">
        <w:rPr>
          <w:rFonts w:ascii="Times New Roman" w:hAnsi="Times New Roman"/>
          <w:szCs w:val="19"/>
          <w:lang w:eastAsia="en-US"/>
        </w:rPr>
        <w:t xml:space="preserve"> for a</w:t>
      </w:r>
      <w:r w:rsidR="00C73774">
        <w:rPr>
          <w:rFonts w:ascii="Times New Roman" w:hAnsi="Times New Roman"/>
          <w:szCs w:val="19"/>
          <w:lang w:eastAsia="en-US"/>
        </w:rPr>
        <w:t>n</w:t>
      </w:r>
      <w:r w:rsidRPr="009A4C44">
        <w:rPr>
          <w:rFonts w:ascii="Times New Roman" w:hAnsi="Times New Roman"/>
          <w:szCs w:val="19"/>
          <w:lang w:eastAsia="en-US"/>
        </w:rPr>
        <w:t xml:space="preserve"> IN member that uses marginal pricing </w:t>
      </w:r>
      <w:proofErr w:type="spellStart"/>
      <w:r w:rsidRPr="009A4C44">
        <w:rPr>
          <w:rFonts w:ascii="Times New Roman" w:hAnsi="Times New Roman"/>
          <w:szCs w:val="19"/>
          <w:lang w:eastAsia="en-US"/>
        </w:rPr>
        <w:t>aFRR</w:t>
      </w:r>
      <w:proofErr w:type="spellEnd"/>
      <w:r w:rsidRPr="009A4C44">
        <w:rPr>
          <w:rFonts w:ascii="Times New Roman" w:hAnsi="Times New Roman"/>
          <w:szCs w:val="19"/>
          <w:lang w:eastAsia="en-US"/>
        </w:rPr>
        <w:t xml:space="preserve"> scheme.</w:t>
      </w:r>
    </w:p>
    <w:p w:rsidR="00163BE0" w:rsidRPr="009A4C44" w:rsidRDefault="004E65E3" w:rsidP="004E65E3">
      <w:pPr>
        <w:jc w:val="center"/>
        <w:rPr>
          <w:rFonts w:ascii="Times New Roman" w:hAnsi="Times New Roman"/>
          <w:sz w:val="20"/>
        </w:rPr>
      </w:pPr>
      <w:r w:rsidRPr="004E65E3">
        <w:rPr>
          <w:noProof/>
          <w:lang w:val="ro-RO" w:eastAsia="ro-RO"/>
        </w:rPr>
        <w:drawing>
          <wp:inline distT="0" distB="0" distL="0" distR="0" wp14:anchorId="764C4D1E" wp14:editId="683764B1">
            <wp:extent cx="5901084" cy="3032760"/>
            <wp:effectExtent l="0" t="0" r="4445" b="0"/>
            <wp:docPr id="24" name="Grafik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0">
                      <a:extLst>
                        <a:ext uri="{28A0092B-C50C-407E-A947-70E740481C1C}">
                          <a14:useLocalDpi xmlns:a14="http://schemas.microsoft.com/office/drawing/2010/main" val="0"/>
                        </a:ext>
                      </a:extLst>
                    </a:blip>
                    <a:srcRect l="2258" b="8098"/>
                    <a:stretch/>
                  </pic:blipFill>
                  <pic:spPr bwMode="auto">
                    <a:xfrm>
                      <a:off x="0" y="0"/>
                      <a:ext cx="5901267" cy="3032854"/>
                    </a:xfrm>
                    <a:prstGeom prst="rect">
                      <a:avLst/>
                    </a:prstGeom>
                    <a:noFill/>
                    <a:ln>
                      <a:noFill/>
                    </a:ln>
                    <a:extLst>
                      <a:ext uri="{53640926-AAD7-44D8-BBD7-CCE9431645EC}">
                        <a14:shadowObscured xmlns:a14="http://schemas.microsoft.com/office/drawing/2010/main"/>
                      </a:ext>
                    </a:extLst>
                  </pic:spPr>
                </pic:pic>
              </a:graphicData>
            </a:graphic>
          </wp:inline>
        </w:drawing>
      </w:r>
    </w:p>
    <w:p w:rsidR="00DD5861" w:rsidRPr="009A4C44" w:rsidRDefault="00DD5861" w:rsidP="00DD5861">
      <w:pPr>
        <w:pStyle w:val="Caption"/>
      </w:pPr>
      <w:bookmarkStart w:id="189" w:name="_Toc531799967"/>
      <w:r w:rsidRPr="009A4C44">
        <w:t xml:space="preserve">Figure </w:t>
      </w:r>
      <w:r w:rsidRPr="009A4C44">
        <w:fldChar w:fldCharType="begin"/>
      </w:r>
      <w:r w:rsidRPr="009A4C44">
        <w:instrText xml:space="preserve"> SEQ Figure \* ARABIC </w:instrText>
      </w:r>
      <w:r w:rsidRPr="009A4C44">
        <w:fldChar w:fldCharType="separate"/>
      </w:r>
      <w:r w:rsidR="002D564B">
        <w:rPr>
          <w:noProof/>
        </w:rPr>
        <w:t>14</w:t>
      </w:r>
      <w:r w:rsidRPr="009A4C44">
        <w:fldChar w:fldCharType="end"/>
      </w:r>
      <w:r w:rsidRPr="009A4C44">
        <w:t xml:space="preserve">: Example of marginal pricing: upward Value of Avoided </w:t>
      </w:r>
      <w:proofErr w:type="spellStart"/>
      <w:r w:rsidRPr="009A4C44">
        <w:t>aFRR</w:t>
      </w:r>
      <w:proofErr w:type="spellEnd"/>
      <w:r w:rsidRPr="009A4C44">
        <w:t xml:space="preserve"> activation</w:t>
      </w:r>
      <w:bookmarkEnd w:id="189"/>
    </w:p>
    <w:p w:rsidR="00163BE0" w:rsidRPr="009A4C44" w:rsidRDefault="00163BE0" w:rsidP="00163BE0">
      <w:pPr>
        <w:jc w:val="both"/>
        <w:rPr>
          <w:rFonts w:ascii="Times New Roman" w:hAnsi="Times New Roman"/>
          <w:sz w:val="20"/>
        </w:rPr>
      </w:pPr>
    </w:p>
    <w:p w:rsidR="00163BE0" w:rsidRPr="009A4C44" w:rsidRDefault="00816B7B" w:rsidP="00163BE0">
      <w:pPr>
        <w:jc w:val="both"/>
        <w:rPr>
          <w:rFonts w:ascii="Times New Roman" w:hAnsi="Times New Roman"/>
          <w:sz w:val="20"/>
        </w:rPr>
      </w:pPr>
      <w:r w:rsidRPr="00816B7B">
        <w:rPr>
          <w:noProof/>
          <w:lang w:val="ro-RO" w:eastAsia="ro-RO"/>
        </w:rPr>
        <w:drawing>
          <wp:inline distT="0" distB="0" distL="0" distR="0" wp14:anchorId="301ED09D" wp14:editId="2935E99C">
            <wp:extent cx="6037580" cy="3146425"/>
            <wp:effectExtent l="0" t="0" r="1270" b="0"/>
            <wp:docPr id="25"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37580" cy="3146425"/>
                    </a:xfrm>
                    <a:prstGeom prst="rect">
                      <a:avLst/>
                    </a:prstGeom>
                    <a:noFill/>
                    <a:ln>
                      <a:noFill/>
                    </a:ln>
                  </pic:spPr>
                </pic:pic>
              </a:graphicData>
            </a:graphic>
          </wp:inline>
        </w:drawing>
      </w:r>
    </w:p>
    <w:p w:rsidR="00DD5861" w:rsidRPr="009A4C44" w:rsidRDefault="00DD5861" w:rsidP="00DD5861">
      <w:pPr>
        <w:pStyle w:val="Caption"/>
      </w:pPr>
      <w:bookmarkStart w:id="190" w:name="_Toc531799968"/>
      <w:r w:rsidRPr="009A4C44">
        <w:t xml:space="preserve">Figure </w:t>
      </w:r>
      <w:r w:rsidRPr="009A4C44">
        <w:fldChar w:fldCharType="begin"/>
      </w:r>
      <w:r w:rsidRPr="009A4C44">
        <w:instrText xml:space="preserve"> SEQ Figure \* ARABIC </w:instrText>
      </w:r>
      <w:r w:rsidRPr="009A4C44">
        <w:fldChar w:fldCharType="separate"/>
      </w:r>
      <w:r w:rsidR="002D564B">
        <w:rPr>
          <w:noProof/>
        </w:rPr>
        <w:t>15</w:t>
      </w:r>
      <w:r w:rsidRPr="009A4C44">
        <w:fldChar w:fldCharType="end"/>
      </w:r>
      <w:r w:rsidRPr="009A4C44">
        <w:t xml:space="preserve">: Example of marginal pricing: downward Value of Avoided </w:t>
      </w:r>
      <w:proofErr w:type="spellStart"/>
      <w:r w:rsidRPr="009A4C44">
        <w:t>aFRR</w:t>
      </w:r>
      <w:proofErr w:type="spellEnd"/>
      <w:r w:rsidRPr="009A4C44">
        <w:t xml:space="preserve"> activation</w:t>
      </w:r>
      <w:bookmarkEnd w:id="190"/>
    </w:p>
    <w:p w:rsidR="00163BE0" w:rsidRPr="009A4C44" w:rsidRDefault="00163BE0" w:rsidP="00163BE0">
      <w:pPr>
        <w:jc w:val="both"/>
        <w:rPr>
          <w:rFonts w:ascii="Times New Roman" w:hAnsi="Times New Roman"/>
          <w:sz w:val="20"/>
        </w:rPr>
      </w:pPr>
    </w:p>
    <w:p w:rsidR="00163BE0" w:rsidRPr="009A4C44" w:rsidRDefault="00163BE0" w:rsidP="00163BE0">
      <w:pPr>
        <w:jc w:val="both"/>
        <w:rPr>
          <w:rFonts w:ascii="Times New Roman" w:hAnsi="Times New Roman"/>
          <w:sz w:val="20"/>
        </w:rPr>
      </w:pPr>
    </w:p>
    <w:p w:rsidR="00163BE0" w:rsidRPr="009A4C44" w:rsidRDefault="00163BE0" w:rsidP="00163BE0">
      <w:pPr>
        <w:rPr>
          <w:rFonts w:ascii="Times New Roman" w:hAnsi="Times New Roman"/>
          <w:sz w:val="20"/>
        </w:rPr>
      </w:pPr>
      <w:r w:rsidRPr="009A4C44">
        <w:rPr>
          <w:rFonts w:ascii="Times New Roman" w:hAnsi="Times New Roman"/>
          <w:sz w:val="20"/>
        </w:rPr>
        <w:br w:type="page"/>
      </w:r>
    </w:p>
    <w:p w:rsidR="00163BE0" w:rsidRPr="009A4C44" w:rsidRDefault="00163BE0" w:rsidP="00163BE0">
      <w:pPr>
        <w:pStyle w:val="textregular"/>
      </w:pPr>
    </w:p>
    <w:p w:rsidR="00163BE0" w:rsidRPr="00816B7B" w:rsidRDefault="00163BE0" w:rsidP="00816B7B">
      <w:pPr>
        <w:pStyle w:val="Headline14pt"/>
        <w:pageBreakBefore w:val="0"/>
        <w:numPr>
          <w:ilvl w:val="2"/>
          <w:numId w:val="8"/>
        </w:numPr>
        <w:jc w:val="both"/>
        <w:outlineLvl w:val="2"/>
        <w:rPr>
          <w:sz w:val="24"/>
        </w:rPr>
      </w:pPr>
      <w:bookmarkStart w:id="191" w:name="_Hlk531785969"/>
      <w:bookmarkStart w:id="192" w:name="_Toc531787042"/>
      <w:bookmarkStart w:id="193" w:name="_Toc531799950"/>
      <w:r w:rsidRPr="00816B7B">
        <w:rPr>
          <w:sz w:val="24"/>
        </w:rPr>
        <w:t xml:space="preserve">Value of </w:t>
      </w:r>
      <w:bookmarkEnd w:id="191"/>
      <w:r w:rsidRPr="00816B7B">
        <w:rPr>
          <w:sz w:val="24"/>
        </w:rPr>
        <w:t xml:space="preserve">avoided </w:t>
      </w:r>
      <w:proofErr w:type="spellStart"/>
      <w:r w:rsidRPr="00816B7B">
        <w:rPr>
          <w:sz w:val="24"/>
        </w:rPr>
        <w:t>aFRR</w:t>
      </w:r>
      <w:proofErr w:type="spellEnd"/>
      <w:r w:rsidRPr="00816B7B">
        <w:rPr>
          <w:sz w:val="24"/>
        </w:rPr>
        <w:t xml:space="preserve"> price for a TSO participating in </w:t>
      </w:r>
      <w:proofErr w:type="spellStart"/>
      <w:r w:rsidRPr="00816B7B">
        <w:rPr>
          <w:sz w:val="24"/>
        </w:rPr>
        <w:t>aFRR</w:t>
      </w:r>
      <w:proofErr w:type="spellEnd"/>
      <w:r w:rsidRPr="00816B7B">
        <w:rPr>
          <w:sz w:val="24"/>
        </w:rPr>
        <w:t xml:space="preserve"> </w:t>
      </w:r>
      <w:proofErr w:type="spellStart"/>
      <w:r w:rsidRPr="00816B7B">
        <w:rPr>
          <w:sz w:val="24"/>
        </w:rPr>
        <w:t>cooperations</w:t>
      </w:r>
      <w:bookmarkEnd w:id="192"/>
      <w:bookmarkEnd w:id="193"/>
      <w:proofErr w:type="spellEnd"/>
      <w:r w:rsidRPr="00816B7B">
        <w:rPr>
          <w:sz w:val="24"/>
        </w:rPr>
        <w:t xml:space="preserve"> </w:t>
      </w:r>
    </w:p>
    <w:p w:rsidR="00163BE0" w:rsidRPr="009A4C44" w:rsidRDefault="00163BE0" w:rsidP="00163BE0">
      <w:pPr>
        <w:jc w:val="both"/>
        <w:rPr>
          <w:rFonts w:ascii="Times New Roman" w:hAnsi="Times New Roman"/>
          <w:szCs w:val="19"/>
          <w:lang w:eastAsia="en-US"/>
        </w:rPr>
      </w:pPr>
    </w:p>
    <w:p w:rsidR="005977AC" w:rsidRPr="009A4C44" w:rsidRDefault="005977AC" w:rsidP="00EE7504">
      <w:pPr>
        <w:jc w:val="both"/>
        <w:rPr>
          <w:rFonts w:ascii="Times New Roman" w:hAnsi="Times New Roman"/>
          <w:szCs w:val="19"/>
        </w:rPr>
      </w:pPr>
      <w:r w:rsidRPr="009A4C44">
        <w:rPr>
          <w:rFonts w:ascii="Times New Roman" w:hAnsi="Times New Roman"/>
          <w:szCs w:val="19"/>
        </w:rPr>
        <w:t xml:space="preserve">As long as there are TSOs participating in INP but still not participating at </w:t>
      </w:r>
      <w:proofErr w:type="spellStart"/>
      <w:r w:rsidRPr="009A4C44">
        <w:rPr>
          <w:rFonts w:ascii="Times New Roman" w:hAnsi="Times New Roman"/>
          <w:szCs w:val="19"/>
        </w:rPr>
        <w:t>aFRR</w:t>
      </w:r>
      <w:proofErr w:type="spellEnd"/>
      <w:r w:rsidRPr="009A4C44">
        <w:rPr>
          <w:rFonts w:ascii="Times New Roman" w:hAnsi="Times New Roman"/>
          <w:szCs w:val="19"/>
        </w:rPr>
        <w:t xml:space="preserve"> platform, both processes (</w:t>
      </w:r>
      <w:proofErr w:type="spellStart"/>
      <w:r w:rsidRPr="009A4C44">
        <w:rPr>
          <w:rFonts w:ascii="Times New Roman" w:hAnsi="Times New Roman"/>
          <w:szCs w:val="19"/>
        </w:rPr>
        <w:t>aFRR</w:t>
      </w:r>
      <w:proofErr w:type="spellEnd"/>
      <w:r w:rsidRPr="009A4C44">
        <w:rPr>
          <w:rFonts w:ascii="Times New Roman" w:hAnsi="Times New Roman"/>
          <w:szCs w:val="19"/>
        </w:rPr>
        <w:t xml:space="preserve"> and INP) will coexist. Examples of this situation are: a) TSOs that potentially derogate joining </w:t>
      </w:r>
      <w:proofErr w:type="spellStart"/>
      <w:r w:rsidRPr="009A4C44">
        <w:rPr>
          <w:rFonts w:ascii="Times New Roman" w:hAnsi="Times New Roman"/>
          <w:szCs w:val="19"/>
        </w:rPr>
        <w:t>aFRR</w:t>
      </w:r>
      <w:proofErr w:type="spellEnd"/>
      <w:r w:rsidRPr="009A4C44">
        <w:rPr>
          <w:rFonts w:ascii="Times New Roman" w:hAnsi="Times New Roman"/>
          <w:szCs w:val="19"/>
        </w:rPr>
        <w:t xml:space="preserve"> platform until EIF+6years (instead of EIF+4 years of go-live </w:t>
      </w:r>
      <w:proofErr w:type="spellStart"/>
      <w:r w:rsidRPr="009A4C44">
        <w:rPr>
          <w:rFonts w:ascii="Times New Roman" w:hAnsi="Times New Roman"/>
          <w:szCs w:val="19"/>
        </w:rPr>
        <w:t>aFRR</w:t>
      </w:r>
      <w:proofErr w:type="spellEnd"/>
      <w:r w:rsidRPr="009A4C44">
        <w:rPr>
          <w:rFonts w:ascii="Times New Roman" w:hAnsi="Times New Roman"/>
          <w:szCs w:val="19"/>
        </w:rPr>
        <w:t xml:space="preserve"> platform), b) TSOs that join INP platform but not </w:t>
      </w:r>
      <w:proofErr w:type="spellStart"/>
      <w:r w:rsidRPr="009A4C44">
        <w:rPr>
          <w:rFonts w:ascii="Times New Roman" w:hAnsi="Times New Roman"/>
          <w:szCs w:val="19"/>
        </w:rPr>
        <w:t>aFRR</w:t>
      </w:r>
      <w:proofErr w:type="spellEnd"/>
      <w:r w:rsidRPr="009A4C44">
        <w:rPr>
          <w:rFonts w:ascii="Times New Roman" w:hAnsi="Times New Roman"/>
          <w:szCs w:val="19"/>
        </w:rPr>
        <w:t xml:space="preserve"> platform (be</w:t>
      </w:r>
      <w:r w:rsidR="00E7786B" w:rsidRPr="009A4C44">
        <w:rPr>
          <w:rFonts w:ascii="Times New Roman" w:hAnsi="Times New Roman"/>
          <w:szCs w:val="19"/>
        </w:rPr>
        <w:t>c</w:t>
      </w:r>
      <w:r w:rsidRPr="009A4C44">
        <w:rPr>
          <w:rFonts w:ascii="Times New Roman" w:hAnsi="Times New Roman"/>
          <w:szCs w:val="19"/>
        </w:rPr>
        <w:t>ause</w:t>
      </w:r>
      <w:r w:rsidR="00E7786B" w:rsidRPr="009A4C44">
        <w:rPr>
          <w:rFonts w:ascii="Times New Roman" w:hAnsi="Times New Roman"/>
          <w:szCs w:val="19"/>
        </w:rPr>
        <w:t xml:space="preserve"> for example</w:t>
      </w:r>
      <w:r w:rsidRPr="009A4C44">
        <w:rPr>
          <w:rFonts w:ascii="Times New Roman" w:hAnsi="Times New Roman"/>
          <w:szCs w:val="19"/>
        </w:rPr>
        <w:t xml:space="preserve"> it is not mandatory</w:t>
      </w:r>
      <w:r w:rsidR="00E7786B" w:rsidRPr="009A4C44">
        <w:rPr>
          <w:rFonts w:ascii="Times New Roman" w:hAnsi="Times New Roman"/>
          <w:szCs w:val="19"/>
        </w:rPr>
        <w:t xml:space="preserve"> or it is not allowed</w:t>
      </w:r>
      <w:r w:rsidRPr="009A4C44">
        <w:rPr>
          <w:rFonts w:ascii="Times New Roman" w:hAnsi="Times New Roman"/>
          <w:szCs w:val="19"/>
        </w:rPr>
        <w:t xml:space="preserve"> to join</w:t>
      </w:r>
      <w:r w:rsidR="002154A9" w:rsidRPr="009A4C44">
        <w:rPr>
          <w:rFonts w:ascii="Times New Roman" w:hAnsi="Times New Roman"/>
          <w:szCs w:val="19"/>
        </w:rPr>
        <w:t xml:space="preserve"> for such TSOs</w:t>
      </w:r>
      <w:r w:rsidRPr="009A4C44">
        <w:rPr>
          <w:rFonts w:ascii="Times New Roman" w:hAnsi="Times New Roman"/>
          <w:szCs w:val="19"/>
        </w:rPr>
        <w:t>)</w:t>
      </w:r>
      <w:r w:rsidR="002154A9" w:rsidRPr="009A4C44">
        <w:rPr>
          <w:rFonts w:ascii="Times New Roman" w:hAnsi="Times New Roman"/>
          <w:szCs w:val="19"/>
        </w:rPr>
        <w:t>.</w:t>
      </w:r>
    </w:p>
    <w:p w:rsidR="002154A9" w:rsidRPr="009A4C44" w:rsidRDefault="002154A9" w:rsidP="00EE7504">
      <w:pPr>
        <w:jc w:val="both"/>
        <w:rPr>
          <w:rFonts w:ascii="Times New Roman" w:hAnsi="Times New Roman"/>
          <w:szCs w:val="19"/>
        </w:rPr>
      </w:pPr>
    </w:p>
    <w:p w:rsidR="00EE7504" w:rsidRPr="009A4C44" w:rsidRDefault="00EE7504" w:rsidP="00EE7504">
      <w:pPr>
        <w:jc w:val="both"/>
        <w:rPr>
          <w:rFonts w:ascii="Times New Roman" w:hAnsi="Times New Roman"/>
          <w:szCs w:val="19"/>
        </w:rPr>
      </w:pPr>
      <w:r w:rsidRPr="009A4C44">
        <w:rPr>
          <w:rFonts w:ascii="Times New Roman" w:hAnsi="Times New Roman"/>
          <w:szCs w:val="19"/>
        </w:rPr>
        <w:t xml:space="preserve">For the calculation of the TSO-TSO settlement of the imbalance netting process performed between </w:t>
      </w:r>
      <w:proofErr w:type="spellStart"/>
      <w:r w:rsidRPr="009A4C44">
        <w:rPr>
          <w:rFonts w:ascii="Times New Roman" w:hAnsi="Times New Roman"/>
          <w:szCs w:val="19"/>
        </w:rPr>
        <w:t>aFRR</w:t>
      </w:r>
      <w:proofErr w:type="spellEnd"/>
      <w:r w:rsidRPr="009A4C44">
        <w:rPr>
          <w:rFonts w:ascii="Times New Roman" w:hAnsi="Times New Roman"/>
          <w:szCs w:val="19"/>
        </w:rPr>
        <w:t xml:space="preserve">-Platform and IN-Platform, the value of avoided </w:t>
      </w:r>
      <w:proofErr w:type="spellStart"/>
      <w:r w:rsidRPr="009A4C44">
        <w:rPr>
          <w:rFonts w:ascii="Times New Roman" w:hAnsi="Times New Roman"/>
          <w:szCs w:val="19"/>
        </w:rPr>
        <w:t>aFRR</w:t>
      </w:r>
      <w:proofErr w:type="spellEnd"/>
      <w:r w:rsidRPr="009A4C44">
        <w:rPr>
          <w:rFonts w:ascii="Times New Roman" w:hAnsi="Times New Roman"/>
          <w:szCs w:val="19"/>
        </w:rPr>
        <w:t xml:space="preserve"> activation for TSOs participating in the </w:t>
      </w:r>
      <w:proofErr w:type="spellStart"/>
      <w:r w:rsidRPr="009A4C44">
        <w:rPr>
          <w:rFonts w:ascii="Times New Roman" w:hAnsi="Times New Roman"/>
          <w:szCs w:val="19"/>
        </w:rPr>
        <w:t>aFRR</w:t>
      </w:r>
      <w:proofErr w:type="spellEnd"/>
      <w:r w:rsidRPr="009A4C44">
        <w:rPr>
          <w:rFonts w:ascii="Times New Roman" w:hAnsi="Times New Roman"/>
          <w:szCs w:val="19"/>
        </w:rPr>
        <w:t xml:space="preserve">-Platform shall correspond to the prices of the standard products for frequency restoration reserves with automatic activation (“standard </w:t>
      </w:r>
      <w:proofErr w:type="spellStart"/>
      <w:r w:rsidRPr="009A4C44">
        <w:rPr>
          <w:rFonts w:ascii="Times New Roman" w:hAnsi="Times New Roman"/>
          <w:szCs w:val="19"/>
        </w:rPr>
        <w:t>aFRR</w:t>
      </w:r>
      <w:proofErr w:type="spellEnd"/>
      <w:r w:rsidRPr="009A4C44">
        <w:rPr>
          <w:rFonts w:ascii="Times New Roman" w:hAnsi="Times New Roman"/>
          <w:szCs w:val="19"/>
        </w:rPr>
        <w:t xml:space="preserve"> balancing energy product”) calculated by the activation optimisation function of the </w:t>
      </w:r>
      <w:proofErr w:type="spellStart"/>
      <w:r w:rsidRPr="009A4C44">
        <w:rPr>
          <w:rFonts w:ascii="Times New Roman" w:hAnsi="Times New Roman"/>
          <w:szCs w:val="19"/>
        </w:rPr>
        <w:t>aFRR</w:t>
      </w:r>
      <w:proofErr w:type="spellEnd"/>
      <w:r w:rsidRPr="009A4C44">
        <w:rPr>
          <w:rFonts w:ascii="Times New Roman" w:hAnsi="Times New Roman"/>
          <w:szCs w:val="19"/>
        </w:rPr>
        <w:t>-Platform.</w:t>
      </w:r>
    </w:p>
    <w:p w:rsidR="00163BE0" w:rsidRPr="00816B7B" w:rsidRDefault="00163BE0" w:rsidP="00816B7B">
      <w:pPr>
        <w:pStyle w:val="Headline14pt"/>
        <w:pageBreakBefore w:val="0"/>
        <w:numPr>
          <w:ilvl w:val="2"/>
          <w:numId w:val="8"/>
        </w:numPr>
        <w:jc w:val="both"/>
        <w:outlineLvl w:val="2"/>
        <w:rPr>
          <w:sz w:val="24"/>
        </w:rPr>
      </w:pPr>
      <w:bookmarkStart w:id="194" w:name="_Toc531799951"/>
      <w:r w:rsidRPr="00816B7B">
        <w:rPr>
          <w:sz w:val="24"/>
        </w:rPr>
        <w:t xml:space="preserve">Value of avoided </w:t>
      </w:r>
      <w:proofErr w:type="spellStart"/>
      <w:r w:rsidRPr="00816B7B">
        <w:rPr>
          <w:sz w:val="24"/>
        </w:rPr>
        <w:t>aFRR</w:t>
      </w:r>
      <w:proofErr w:type="spellEnd"/>
      <w:r w:rsidRPr="00816B7B">
        <w:rPr>
          <w:sz w:val="24"/>
        </w:rPr>
        <w:t xml:space="preserve"> in case of administrative and day ahead price</w:t>
      </w:r>
      <w:bookmarkEnd w:id="194"/>
    </w:p>
    <w:p w:rsidR="00163BE0" w:rsidRPr="009A4C44" w:rsidRDefault="00163BE0" w:rsidP="00163BE0">
      <w:pPr>
        <w:pStyle w:val="textregular"/>
      </w:pPr>
      <w:r w:rsidRPr="009A4C44">
        <w:t>In case a TSO uses administrat</w:t>
      </w:r>
      <w:r w:rsidR="001A0E77" w:rsidRPr="009A4C44">
        <w:t>ive price or day ahead price to</w:t>
      </w:r>
      <w:r w:rsidRPr="009A4C44">
        <w:t xml:space="preserve"> settle </w:t>
      </w:r>
      <w:proofErr w:type="spellStart"/>
      <w:r w:rsidRPr="009A4C44">
        <w:t>aFRR</w:t>
      </w:r>
      <w:proofErr w:type="spellEnd"/>
      <w:r w:rsidR="00E7786B" w:rsidRPr="009A4C44">
        <w:t xml:space="preserve"> balancing energy</w:t>
      </w:r>
      <w:r w:rsidRPr="009A4C44">
        <w:t xml:space="preserve">, these economic signals will be used as value of avoided </w:t>
      </w:r>
      <w:proofErr w:type="spellStart"/>
      <w:r w:rsidRPr="009A4C44">
        <w:t>aFRR</w:t>
      </w:r>
      <w:proofErr w:type="spellEnd"/>
      <w:r w:rsidRPr="009A4C44">
        <w:t xml:space="preserve"> activation.  </w:t>
      </w:r>
    </w:p>
    <w:p w:rsidR="00163BE0" w:rsidRPr="009A4C44" w:rsidRDefault="00163BE0" w:rsidP="00816B7B">
      <w:pPr>
        <w:pStyle w:val="headline2"/>
        <w:numPr>
          <w:ilvl w:val="1"/>
          <w:numId w:val="8"/>
        </w:numPr>
        <w:spacing w:after="200" w:line="240" w:lineRule="auto"/>
        <w:jc w:val="both"/>
        <w:outlineLvl w:val="1"/>
        <w:rPr>
          <w:lang w:eastAsia="en-US"/>
        </w:rPr>
      </w:pPr>
      <w:bookmarkStart w:id="195" w:name="_Toc531787043"/>
      <w:bookmarkStart w:id="196" w:name="_Toc531799952"/>
      <w:r w:rsidRPr="009A4C44">
        <w:rPr>
          <w:lang w:eastAsia="en-US"/>
        </w:rPr>
        <w:t>Determination of IN settlement price</w:t>
      </w:r>
      <w:bookmarkStart w:id="197" w:name="_Toc531787044"/>
      <w:bookmarkEnd w:id="195"/>
      <w:bookmarkEnd w:id="196"/>
      <w:bookmarkEnd w:id="197"/>
    </w:p>
    <w:p w:rsidR="00163BE0" w:rsidRPr="009A4C44" w:rsidRDefault="00816B7B" w:rsidP="00163BE0">
      <w:pPr>
        <w:pStyle w:val="textregular"/>
        <w:rPr>
          <w:lang w:eastAsia="en-US"/>
        </w:rPr>
      </w:pPr>
      <w:r>
        <w:rPr>
          <w:lang w:eastAsia="en-US"/>
        </w:rPr>
        <w:t>T</w:t>
      </w:r>
      <w:r w:rsidR="00163BE0" w:rsidRPr="009A4C44">
        <w:rPr>
          <w:lang w:eastAsia="en-US"/>
        </w:rPr>
        <w:t>he variables used to determine IN settlement</w:t>
      </w:r>
      <w:r>
        <w:rPr>
          <w:lang w:eastAsia="en-US"/>
        </w:rPr>
        <w:t xml:space="preserve"> amounts</w:t>
      </w:r>
      <w:r w:rsidR="00163BE0" w:rsidRPr="009A4C44">
        <w:rPr>
          <w:lang w:eastAsia="en-US"/>
        </w:rPr>
        <w:t xml:space="preserve"> are defined in the </w:t>
      </w:r>
      <w:r>
        <w:rPr>
          <w:lang w:eastAsia="en-US"/>
        </w:rPr>
        <w:t>following</w:t>
      </w:r>
      <w:r w:rsidR="00163BE0" w:rsidRPr="009A4C44">
        <w:rPr>
          <w:lang w:eastAsia="en-US"/>
        </w:rPr>
        <w:t xml:space="preserve"> table:</w:t>
      </w:r>
    </w:p>
    <w:tbl>
      <w:tblPr>
        <w:tblW w:w="90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A0" w:firstRow="1" w:lastRow="0" w:firstColumn="1" w:lastColumn="0" w:noHBand="0" w:noVBand="0"/>
      </w:tblPr>
      <w:tblGrid>
        <w:gridCol w:w="1129"/>
        <w:gridCol w:w="2571"/>
        <w:gridCol w:w="992"/>
        <w:gridCol w:w="4394"/>
      </w:tblGrid>
      <w:tr w:rsidR="006114F2" w:rsidRPr="009A4C44" w:rsidTr="00424F7E">
        <w:trPr>
          <w:cantSplit/>
          <w:trHeight w:val="20"/>
          <w:jc w:val="center"/>
        </w:trPr>
        <w:tc>
          <w:tcPr>
            <w:tcW w:w="1129" w:type="dxa"/>
            <w:shd w:val="clear" w:color="auto" w:fill="4F81BD" w:themeFill="accent1"/>
            <w:vAlign w:val="center"/>
          </w:tcPr>
          <w:p w:rsidR="00163BE0" w:rsidRPr="00816B7B" w:rsidRDefault="00163BE0" w:rsidP="00E702B3">
            <w:pPr>
              <w:keepNext/>
              <w:jc w:val="center"/>
              <w:rPr>
                <w:rFonts w:ascii="Times New Roman" w:hAnsi="Times New Roman"/>
                <w:color w:val="FFFFFF" w:themeColor="background1"/>
                <w:sz w:val="20"/>
              </w:rPr>
            </w:pPr>
            <w:r w:rsidRPr="00816B7B">
              <w:rPr>
                <w:rFonts w:ascii="Times New Roman" w:hAnsi="Times New Roman"/>
                <w:b/>
                <w:color w:val="FFFFFF" w:themeColor="background1"/>
                <w:sz w:val="20"/>
              </w:rPr>
              <w:t>Variable</w:t>
            </w:r>
          </w:p>
        </w:tc>
        <w:tc>
          <w:tcPr>
            <w:tcW w:w="2571" w:type="dxa"/>
            <w:shd w:val="clear" w:color="auto" w:fill="4F81BD" w:themeFill="accent1"/>
            <w:vAlign w:val="center"/>
          </w:tcPr>
          <w:p w:rsidR="00163BE0" w:rsidRPr="00816B7B" w:rsidRDefault="00163BE0" w:rsidP="00E702B3">
            <w:pPr>
              <w:keepNext/>
              <w:jc w:val="center"/>
              <w:rPr>
                <w:rFonts w:ascii="Times New Roman" w:hAnsi="Times New Roman"/>
                <w:color w:val="FFFFFF" w:themeColor="background1"/>
                <w:sz w:val="20"/>
              </w:rPr>
            </w:pPr>
            <w:r w:rsidRPr="00816B7B">
              <w:rPr>
                <w:rFonts w:ascii="Times New Roman" w:hAnsi="Times New Roman"/>
                <w:b/>
                <w:color w:val="FFFFFF" w:themeColor="background1"/>
                <w:sz w:val="20"/>
              </w:rPr>
              <w:t>Description</w:t>
            </w:r>
          </w:p>
        </w:tc>
        <w:tc>
          <w:tcPr>
            <w:tcW w:w="992" w:type="dxa"/>
            <w:shd w:val="clear" w:color="auto" w:fill="4F81BD" w:themeFill="accent1"/>
            <w:vAlign w:val="center"/>
          </w:tcPr>
          <w:p w:rsidR="00163BE0" w:rsidRPr="00816B7B" w:rsidRDefault="00163BE0" w:rsidP="00E702B3">
            <w:pPr>
              <w:keepNext/>
              <w:jc w:val="center"/>
              <w:rPr>
                <w:rFonts w:ascii="Times New Roman" w:hAnsi="Times New Roman"/>
                <w:b/>
                <w:color w:val="FFFFFF" w:themeColor="background1"/>
                <w:sz w:val="20"/>
              </w:rPr>
            </w:pPr>
            <w:r w:rsidRPr="00816B7B">
              <w:rPr>
                <w:rFonts w:ascii="Times New Roman" w:hAnsi="Times New Roman"/>
                <w:b/>
                <w:color w:val="FFFFFF" w:themeColor="background1"/>
                <w:sz w:val="20"/>
              </w:rPr>
              <w:t>Unit</w:t>
            </w:r>
          </w:p>
        </w:tc>
        <w:tc>
          <w:tcPr>
            <w:tcW w:w="4394" w:type="dxa"/>
            <w:shd w:val="clear" w:color="auto" w:fill="4F81BD" w:themeFill="accent1"/>
            <w:vAlign w:val="center"/>
          </w:tcPr>
          <w:p w:rsidR="00163BE0" w:rsidRPr="00816B7B" w:rsidRDefault="00163BE0" w:rsidP="00E702B3">
            <w:pPr>
              <w:keepNext/>
              <w:jc w:val="center"/>
              <w:rPr>
                <w:rFonts w:ascii="Times New Roman" w:hAnsi="Times New Roman"/>
                <w:color w:val="FFFFFF" w:themeColor="background1"/>
                <w:sz w:val="20"/>
              </w:rPr>
            </w:pPr>
            <w:r w:rsidRPr="00816B7B">
              <w:rPr>
                <w:rFonts w:ascii="Times New Roman" w:hAnsi="Times New Roman"/>
                <w:b/>
                <w:color w:val="FFFFFF" w:themeColor="background1"/>
                <w:sz w:val="20"/>
              </w:rPr>
              <w:t>Sign Convention</w:t>
            </w:r>
          </w:p>
        </w:tc>
      </w:tr>
      <w:tr w:rsidR="006114F2" w:rsidRPr="009A4C44" w:rsidTr="00424F7E">
        <w:trPr>
          <w:cantSplit/>
          <w:trHeight w:val="20"/>
          <w:jc w:val="center"/>
        </w:trPr>
        <w:tc>
          <w:tcPr>
            <w:tcW w:w="1129" w:type="dxa"/>
            <w:shd w:val="clear" w:color="auto" w:fill="C6D9F1" w:themeFill="text2" w:themeFillTint="33"/>
            <w:vAlign w:val="center"/>
          </w:tcPr>
          <w:p w:rsidR="00163BE0" w:rsidRPr="00816B7B" w:rsidRDefault="00163BE0" w:rsidP="00E702B3">
            <w:pPr>
              <w:keepNext/>
              <w:jc w:val="center"/>
              <w:rPr>
                <w:rFonts w:ascii="Times New Roman" w:hAnsi="Times New Roman"/>
                <w:sz w:val="20"/>
              </w:rPr>
            </w:pPr>
            <w:r w:rsidRPr="00816B7B">
              <w:rPr>
                <w:rFonts w:ascii="Times New Roman" w:hAnsi="Times New Roman"/>
                <w:i/>
                <w:sz w:val="20"/>
              </w:rPr>
              <w:t>M</w:t>
            </w:r>
          </w:p>
        </w:tc>
        <w:tc>
          <w:tcPr>
            <w:tcW w:w="2571" w:type="dxa"/>
            <w:vAlign w:val="center"/>
          </w:tcPr>
          <w:p w:rsidR="00163BE0" w:rsidRPr="00816B7B" w:rsidRDefault="00163BE0" w:rsidP="00E702B3">
            <w:pPr>
              <w:keepNext/>
              <w:rPr>
                <w:rFonts w:ascii="Times New Roman" w:hAnsi="Times New Roman"/>
                <w:sz w:val="20"/>
              </w:rPr>
            </w:pPr>
            <w:r w:rsidRPr="00816B7B">
              <w:rPr>
                <w:rFonts w:ascii="Times New Roman" w:hAnsi="Times New Roman"/>
                <w:sz w:val="20"/>
              </w:rPr>
              <w:t>Number of IN Members</w:t>
            </w:r>
          </w:p>
        </w:tc>
        <w:tc>
          <w:tcPr>
            <w:tcW w:w="992" w:type="dxa"/>
            <w:vAlign w:val="center"/>
          </w:tcPr>
          <w:p w:rsidR="00163BE0" w:rsidRPr="00816B7B" w:rsidRDefault="00163BE0" w:rsidP="00E702B3">
            <w:pPr>
              <w:keepNext/>
              <w:jc w:val="center"/>
              <w:rPr>
                <w:rFonts w:ascii="Times New Roman" w:hAnsi="Times New Roman"/>
                <w:sz w:val="20"/>
              </w:rPr>
            </w:pPr>
            <w:r w:rsidRPr="00816B7B">
              <w:rPr>
                <w:rFonts w:ascii="Times New Roman" w:hAnsi="Times New Roman"/>
                <w:sz w:val="20"/>
              </w:rPr>
              <w:t>-</w:t>
            </w:r>
          </w:p>
        </w:tc>
        <w:tc>
          <w:tcPr>
            <w:tcW w:w="4394" w:type="dxa"/>
            <w:vAlign w:val="center"/>
          </w:tcPr>
          <w:p w:rsidR="00163BE0" w:rsidRPr="00816B7B" w:rsidRDefault="00163BE0" w:rsidP="00E702B3">
            <w:pPr>
              <w:keepNext/>
              <w:rPr>
                <w:rFonts w:ascii="Times New Roman" w:hAnsi="Times New Roman"/>
                <w:sz w:val="20"/>
              </w:rPr>
            </w:pPr>
            <w:r w:rsidRPr="00816B7B">
              <w:rPr>
                <w:rFonts w:ascii="Times New Roman" w:hAnsi="Times New Roman"/>
                <w:sz w:val="20"/>
              </w:rPr>
              <w:t>-</w:t>
            </w:r>
          </w:p>
        </w:tc>
      </w:tr>
      <w:tr w:rsidR="006114F2" w:rsidRPr="009A4C44" w:rsidTr="00424F7E">
        <w:trPr>
          <w:cantSplit/>
          <w:trHeight w:val="20"/>
          <w:jc w:val="center"/>
        </w:trPr>
        <w:tc>
          <w:tcPr>
            <w:tcW w:w="1129" w:type="dxa"/>
            <w:shd w:val="clear" w:color="auto" w:fill="C6D9F1" w:themeFill="text2" w:themeFillTint="33"/>
            <w:vAlign w:val="center"/>
          </w:tcPr>
          <w:p w:rsidR="00163BE0" w:rsidRPr="00816B7B" w:rsidRDefault="00163BE0" w:rsidP="00E702B3">
            <w:pPr>
              <w:keepNext/>
              <w:jc w:val="center"/>
              <w:rPr>
                <w:rFonts w:ascii="Times New Roman" w:hAnsi="Times New Roman"/>
                <w:sz w:val="20"/>
              </w:rPr>
            </w:pPr>
            <w:r w:rsidRPr="00816B7B">
              <w:rPr>
                <w:rFonts w:ascii="Times New Roman" w:hAnsi="Times New Roman"/>
                <w:i/>
                <w:sz w:val="20"/>
              </w:rPr>
              <w:t>m</w:t>
            </w:r>
          </w:p>
        </w:tc>
        <w:tc>
          <w:tcPr>
            <w:tcW w:w="2571" w:type="dxa"/>
            <w:vAlign w:val="center"/>
          </w:tcPr>
          <w:p w:rsidR="00163BE0" w:rsidRPr="00816B7B" w:rsidRDefault="00163BE0" w:rsidP="00E702B3">
            <w:pPr>
              <w:keepNext/>
              <w:rPr>
                <w:rFonts w:ascii="Times New Roman" w:hAnsi="Times New Roman"/>
                <w:sz w:val="20"/>
              </w:rPr>
            </w:pPr>
            <w:r w:rsidRPr="00816B7B">
              <w:rPr>
                <w:rFonts w:ascii="Times New Roman" w:hAnsi="Times New Roman"/>
                <w:sz w:val="20"/>
              </w:rPr>
              <w:t>IN Member</w:t>
            </w:r>
          </w:p>
        </w:tc>
        <w:tc>
          <w:tcPr>
            <w:tcW w:w="992" w:type="dxa"/>
            <w:vAlign w:val="center"/>
          </w:tcPr>
          <w:p w:rsidR="00163BE0" w:rsidRPr="00816B7B" w:rsidRDefault="00163BE0" w:rsidP="00E702B3">
            <w:pPr>
              <w:keepNext/>
              <w:jc w:val="center"/>
              <w:rPr>
                <w:rFonts w:ascii="Times New Roman" w:hAnsi="Times New Roman"/>
                <w:sz w:val="20"/>
              </w:rPr>
            </w:pPr>
            <w:r w:rsidRPr="00816B7B">
              <w:rPr>
                <w:rFonts w:ascii="Times New Roman" w:hAnsi="Times New Roman"/>
                <w:sz w:val="20"/>
              </w:rPr>
              <w:t>-</w:t>
            </w:r>
          </w:p>
        </w:tc>
        <w:tc>
          <w:tcPr>
            <w:tcW w:w="4394" w:type="dxa"/>
            <w:vAlign w:val="center"/>
          </w:tcPr>
          <w:p w:rsidR="00163BE0" w:rsidRPr="00816B7B" w:rsidRDefault="00163BE0" w:rsidP="00E702B3">
            <w:pPr>
              <w:keepNext/>
              <w:rPr>
                <w:rFonts w:ascii="Times New Roman" w:hAnsi="Times New Roman"/>
                <w:sz w:val="20"/>
              </w:rPr>
            </w:pPr>
            <w:r w:rsidRPr="00816B7B">
              <w:rPr>
                <w:rFonts w:ascii="Times New Roman" w:hAnsi="Times New Roman"/>
                <w:sz w:val="20"/>
              </w:rPr>
              <w:t>-</w:t>
            </w:r>
          </w:p>
        </w:tc>
      </w:tr>
      <w:tr w:rsidR="006114F2" w:rsidRPr="009A4C44" w:rsidTr="00424F7E">
        <w:trPr>
          <w:cantSplit/>
          <w:trHeight w:val="20"/>
          <w:jc w:val="center"/>
        </w:trPr>
        <w:tc>
          <w:tcPr>
            <w:tcW w:w="1129" w:type="dxa"/>
            <w:shd w:val="clear" w:color="auto" w:fill="C6D9F1" w:themeFill="text2" w:themeFillTint="33"/>
            <w:vAlign w:val="center"/>
          </w:tcPr>
          <w:p w:rsidR="00163BE0" w:rsidRPr="00816B7B" w:rsidRDefault="00163BE0" w:rsidP="00E702B3">
            <w:pPr>
              <w:keepNext/>
              <w:jc w:val="center"/>
              <w:rPr>
                <w:rFonts w:ascii="Times New Roman" w:hAnsi="Times New Roman"/>
                <w:sz w:val="20"/>
              </w:rPr>
            </w:pPr>
            <w:r w:rsidRPr="00816B7B">
              <w:rPr>
                <w:rFonts w:ascii="Times New Roman" w:hAnsi="Times New Roman"/>
                <w:i/>
                <w:sz w:val="20"/>
              </w:rPr>
              <w:t>t</w:t>
            </w:r>
          </w:p>
        </w:tc>
        <w:tc>
          <w:tcPr>
            <w:tcW w:w="2571" w:type="dxa"/>
            <w:vAlign w:val="center"/>
          </w:tcPr>
          <w:p w:rsidR="00163BE0" w:rsidRPr="00816B7B" w:rsidRDefault="00163BE0" w:rsidP="00E702B3">
            <w:pPr>
              <w:keepNext/>
              <w:rPr>
                <w:rFonts w:ascii="Times New Roman" w:hAnsi="Times New Roman"/>
                <w:sz w:val="20"/>
              </w:rPr>
            </w:pPr>
            <w:r w:rsidRPr="00816B7B">
              <w:rPr>
                <w:rFonts w:ascii="Times New Roman" w:hAnsi="Times New Roman"/>
                <w:sz w:val="20"/>
              </w:rPr>
              <w:t>Settlement period (15 minutes)</w:t>
            </w:r>
          </w:p>
        </w:tc>
        <w:tc>
          <w:tcPr>
            <w:tcW w:w="992" w:type="dxa"/>
            <w:vAlign w:val="center"/>
          </w:tcPr>
          <w:p w:rsidR="00163BE0" w:rsidRPr="00816B7B" w:rsidRDefault="00163BE0" w:rsidP="00E702B3">
            <w:pPr>
              <w:keepNext/>
              <w:jc w:val="center"/>
              <w:rPr>
                <w:rFonts w:ascii="Times New Roman" w:hAnsi="Times New Roman"/>
                <w:sz w:val="20"/>
              </w:rPr>
            </w:pPr>
            <w:r w:rsidRPr="00816B7B">
              <w:rPr>
                <w:rStyle w:val="CommentReference"/>
                <w:rFonts w:ascii="Times New Roman" w:hAnsi="Times New Roman"/>
                <w:sz w:val="20"/>
              </w:rPr>
              <w:t>-</w:t>
            </w:r>
          </w:p>
        </w:tc>
        <w:tc>
          <w:tcPr>
            <w:tcW w:w="4394" w:type="dxa"/>
            <w:vAlign w:val="center"/>
          </w:tcPr>
          <w:p w:rsidR="00163BE0" w:rsidRPr="00816B7B" w:rsidRDefault="00163BE0" w:rsidP="00E702B3">
            <w:pPr>
              <w:keepNext/>
              <w:rPr>
                <w:rFonts w:ascii="Times New Roman" w:hAnsi="Times New Roman"/>
                <w:sz w:val="20"/>
              </w:rPr>
            </w:pPr>
            <w:r w:rsidRPr="00816B7B">
              <w:rPr>
                <w:rFonts w:ascii="Times New Roman" w:hAnsi="Times New Roman"/>
                <w:sz w:val="20"/>
              </w:rPr>
              <w:t>-</w:t>
            </w:r>
          </w:p>
        </w:tc>
      </w:tr>
      <w:tr w:rsidR="006114F2" w:rsidRPr="009A4C44" w:rsidTr="00424F7E">
        <w:trPr>
          <w:cantSplit/>
          <w:trHeight w:val="20"/>
          <w:jc w:val="center"/>
        </w:trPr>
        <w:tc>
          <w:tcPr>
            <w:tcW w:w="1129" w:type="dxa"/>
            <w:shd w:val="clear" w:color="auto" w:fill="C6D9F1" w:themeFill="text2" w:themeFillTint="33"/>
            <w:vAlign w:val="center"/>
          </w:tcPr>
          <w:p w:rsidR="00163BE0" w:rsidRPr="00816B7B" w:rsidRDefault="002D564B" w:rsidP="00E702B3">
            <w:pPr>
              <w:keepNext/>
              <w:jc w:val="center"/>
              <w:rPr>
                <w:rFonts w:ascii="Times New Roman" w:hAnsi="Times New Roman"/>
                <w:sz w:val="20"/>
              </w:rPr>
            </w:pPr>
            <m:oMathPara>
              <m:oMath>
                <m:sSub>
                  <m:sSubPr>
                    <m:ctrlPr>
                      <w:rPr>
                        <w:rFonts w:ascii="Cambria Math" w:hAnsi="Cambria Math"/>
                        <w:i/>
                        <w:sz w:val="20"/>
                      </w:rPr>
                    </m:ctrlPr>
                  </m:sSubPr>
                  <m:e>
                    <m:r>
                      <w:rPr>
                        <w:rFonts w:ascii="Cambria Math" w:hAnsi="Cambria Math"/>
                      </w:rPr>
                      <m:t>E</m:t>
                    </m:r>
                  </m:e>
                  <m:sub>
                    <m:r>
                      <w:rPr>
                        <w:rFonts w:ascii="Cambria Math" w:hAnsi="Cambria Math"/>
                      </w:rPr>
                      <m:t>Imp</m:t>
                    </m:r>
                  </m:sub>
                </m:sSub>
                <m:d>
                  <m:dPr>
                    <m:ctrlPr>
                      <w:rPr>
                        <w:rFonts w:ascii="Cambria Math" w:hAnsi="Cambria Math"/>
                        <w:i/>
                        <w:sz w:val="20"/>
                      </w:rPr>
                    </m:ctrlPr>
                  </m:dPr>
                  <m:e>
                    <m:r>
                      <w:rPr>
                        <w:rFonts w:ascii="Cambria Math" w:hAnsi="Cambria Math"/>
                      </w:rPr>
                      <m:t>t,m</m:t>
                    </m:r>
                  </m:e>
                </m:d>
              </m:oMath>
            </m:oMathPara>
          </w:p>
        </w:tc>
        <w:tc>
          <w:tcPr>
            <w:tcW w:w="2571" w:type="dxa"/>
            <w:vAlign w:val="center"/>
          </w:tcPr>
          <w:p w:rsidR="00163BE0" w:rsidRPr="00816B7B" w:rsidRDefault="00163BE0" w:rsidP="00E702B3">
            <w:pPr>
              <w:keepNext/>
              <w:rPr>
                <w:rFonts w:ascii="Times New Roman" w:hAnsi="Times New Roman"/>
                <w:sz w:val="20"/>
              </w:rPr>
            </w:pPr>
            <w:r w:rsidRPr="00816B7B">
              <w:rPr>
                <w:rFonts w:ascii="Times New Roman" w:hAnsi="Times New Roman"/>
                <w:sz w:val="20"/>
              </w:rPr>
              <w:t xml:space="preserve">IN import of IN Member </w:t>
            </w:r>
            <w:r w:rsidRPr="00816B7B">
              <w:rPr>
                <w:rFonts w:ascii="Times New Roman" w:hAnsi="Times New Roman"/>
                <w:i/>
                <w:sz w:val="20"/>
              </w:rPr>
              <w:t>m</w:t>
            </w:r>
          </w:p>
        </w:tc>
        <w:tc>
          <w:tcPr>
            <w:tcW w:w="992" w:type="dxa"/>
            <w:vAlign w:val="center"/>
          </w:tcPr>
          <w:p w:rsidR="00163BE0" w:rsidRPr="00816B7B" w:rsidRDefault="00163BE0" w:rsidP="00E702B3">
            <w:pPr>
              <w:keepNext/>
              <w:jc w:val="center"/>
              <w:rPr>
                <w:rFonts w:ascii="Times New Roman" w:hAnsi="Times New Roman"/>
                <w:sz w:val="20"/>
              </w:rPr>
            </w:pPr>
            <w:r w:rsidRPr="00816B7B">
              <w:rPr>
                <w:rFonts w:ascii="Times New Roman" w:hAnsi="Times New Roman"/>
                <w:sz w:val="20"/>
              </w:rPr>
              <w:t>MWh</w:t>
            </w:r>
          </w:p>
        </w:tc>
        <w:tc>
          <w:tcPr>
            <w:tcW w:w="4394" w:type="dxa"/>
            <w:vAlign w:val="center"/>
          </w:tcPr>
          <w:p w:rsidR="00163BE0" w:rsidRPr="00816B7B" w:rsidRDefault="00163BE0" w:rsidP="00E702B3">
            <w:pPr>
              <w:keepNext/>
              <w:rPr>
                <w:rFonts w:ascii="Times New Roman" w:hAnsi="Times New Roman"/>
                <w:sz w:val="20"/>
              </w:rPr>
            </w:pPr>
            <w:r w:rsidRPr="00816B7B">
              <w:rPr>
                <w:rFonts w:ascii="Times New Roman" w:hAnsi="Times New Roman"/>
                <w:sz w:val="20"/>
              </w:rPr>
              <w:t>Always positive</w:t>
            </w:r>
          </w:p>
        </w:tc>
      </w:tr>
      <w:tr w:rsidR="006114F2" w:rsidRPr="009A4C44" w:rsidTr="00424F7E">
        <w:trPr>
          <w:cantSplit/>
          <w:trHeight w:val="20"/>
          <w:jc w:val="center"/>
        </w:trPr>
        <w:tc>
          <w:tcPr>
            <w:tcW w:w="1129" w:type="dxa"/>
            <w:shd w:val="clear" w:color="auto" w:fill="C6D9F1" w:themeFill="text2" w:themeFillTint="33"/>
            <w:vAlign w:val="center"/>
          </w:tcPr>
          <w:p w:rsidR="00163BE0" w:rsidRPr="00816B7B" w:rsidRDefault="002D564B" w:rsidP="00E702B3">
            <w:pPr>
              <w:keepNext/>
              <w:jc w:val="center"/>
              <w:rPr>
                <w:rFonts w:ascii="Times New Roman" w:hAnsi="Times New Roman"/>
                <w:sz w:val="20"/>
              </w:rPr>
            </w:pPr>
            <m:oMathPara>
              <m:oMath>
                <m:sSub>
                  <m:sSubPr>
                    <m:ctrlPr>
                      <w:rPr>
                        <w:rFonts w:ascii="Cambria Math" w:hAnsi="Cambria Math"/>
                        <w:i/>
                        <w:sz w:val="20"/>
                      </w:rPr>
                    </m:ctrlPr>
                  </m:sSubPr>
                  <m:e>
                    <m:r>
                      <w:rPr>
                        <w:rFonts w:ascii="Cambria Math" w:hAnsi="Cambria Math"/>
                      </w:rPr>
                      <m:t>E</m:t>
                    </m:r>
                  </m:e>
                  <m:sub>
                    <m:r>
                      <w:rPr>
                        <w:rFonts w:ascii="Cambria Math" w:hAnsi="Cambria Math"/>
                      </w:rPr>
                      <m:t>Exp</m:t>
                    </m:r>
                  </m:sub>
                </m:sSub>
                <m:d>
                  <m:dPr>
                    <m:ctrlPr>
                      <w:rPr>
                        <w:rFonts w:ascii="Cambria Math" w:hAnsi="Cambria Math"/>
                        <w:i/>
                        <w:sz w:val="20"/>
                      </w:rPr>
                    </m:ctrlPr>
                  </m:dPr>
                  <m:e>
                    <m:r>
                      <w:rPr>
                        <w:rFonts w:ascii="Cambria Math" w:hAnsi="Cambria Math"/>
                      </w:rPr>
                      <m:t>t,m</m:t>
                    </m:r>
                  </m:e>
                </m:d>
              </m:oMath>
            </m:oMathPara>
          </w:p>
        </w:tc>
        <w:tc>
          <w:tcPr>
            <w:tcW w:w="2571" w:type="dxa"/>
            <w:vAlign w:val="center"/>
          </w:tcPr>
          <w:p w:rsidR="00163BE0" w:rsidRPr="00816B7B" w:rsidRDefault="00163BE0" w:rsidP="00E702B3">
            <w:pPr>
              <w:keepNext/>
              <w:rPr>
                <w:rFonts w:ascii="Times New Roman" w:hAnsi="Times New Roman"/>
                <w:sz w:val="20"/>
              </w:rPr>
            </w:pPr>
            <w:r w:rsidRPr="00816B7B">
              <w:rPr>
                <w:rFonts w:ascii="Times New Roman" w:hAnsi="Times New Roman"/>
                <w:sz w:val="20"/>
              </w:rPr>
              <w:t xml:space="preserve">IN export of IN Member </w:t>
            </w:r>
            <w:r w:rsidRPr="00816B7B">
              <w:rPr>
                <w:rFonts w:ascii="Times New Roman" w:hAnsi="Times New Roman"/>
                <w:i/>
                <w:sz w:val="20"/>
              </w:rPr>
              <w:t>m</w:t>
            </w:r>
          </w:p>
        </w:tc>
        <w:tc>
          <w:tcPr>
            <w:tcW w:w="992" w:type="dxa"/>
            <w:vAlign w:val="center"/>
          </w:tcPr>
          <w:p w:rsidR="00163BE0" w:rsidRPr="00816B7B" w:rsidRDefault="00163BE0" w:rsidP="00E702B3">
            <w:pPr>
              <w:keepNext/>
              <w:jc w:val="center"/>
              <w:rPr>
                <w:rFonts w:ascii="Times New Roman" w:hAnsi="Times New Roman"/>
                <w:sz w:val="20"/>
              </w:rPr>
            </w:pPr>
            <w:r w:rsidRPr="00816B7B">
              <w:rPr>
                <w:rFonts w:ascii="Times New Roman" w:hAnsi="Times New Roman"/>
                <w:sz w:val="20"/>
              </w:rPr>
              <w:t>MWh</w:t>
            </w:r>
          </w:p>
        </w:tc>
        <w:tc>
          <w:tcPr>
            <w:tcW w:w="4394" w:type="dxa"/>
            <w:vAlign w:val="center"/>
          </w:tcPr>
          <w:p w:rsidR="00163BE0" w:rsidRPr="00816B7B" w:rsidRDefault="00163BE0" w:rsidP="00E702B3">
            <w:pPr>
              <w:keepNext/>
              <w:rPr>
                <w:rFonts w:ascii="Times New Roman" w:hAnsi="Times New Roman"/>
                <w:sz w:val="20"/>
              </w:rPr>
            </w:pPr>
            <w:r w:rsidRPr="00816B7B">
              <w:rPr>
                <w:rFonts w:ascii="Times New Roman" w:hAnsi="Times New Roman"/>
                <w:sz w:val="20"/>
              </w:rPr>
              <w:t>Always positive</w:t>
            </w:r>
          </w:p>
        </w:tc>
      </w:tr>
      <w:tr w:rsidR="006114F2" w:rsidRPr="009A4C44" w:rsidTr="00424F7E">
        <w:trPr>
          <w:cantSplit/>
          <w:trHeight w:val="20"/>
          <w:jc w:val="center"/>
        </w:trPr>
        <w:tc>
          <w:tcPr>
            <w:tcW w:w="1129" w:type="dxa"/>
            <w:shd w:val="clear" w:color="auto" w:fill="C6D9F1" w:themeFill="text2" w:themeFillTint="33"/>
            <w:vAlign w:val="center"/>
          </w:tcPr>
          <w:p w:rsidR="00163BE0" w:rsidRPr="00816B7B" w:rsidRDefault="002D564B" w:rsidP="00E702B3">
            <w:pPr>
              <w:keepNext/>
              <w:jc w:val="center"/>
              <w:rPr>
                <w:rFonts w:ascii="Times New Roman" w:hAnsi="Times New Roman"/>
                <w:sz w:val="20"/>
              </w:rPr>
            </w:pPr>
            <m:oMathPara>
              <m:oMath>
                <m:sSub>
                  <m:sSubPr>
                    <m:ctrlPr>
                      <w:rPr>
                        <w:rFonts w:ascii="Cambria Math" w:hAnsi="Cambria Math"/>
                        <w:i/>
                        <w:sz w:val="20"/>
                      </w:rPr>
                    </m:ctrlPr>
                  </m:sSubPr>
                  <m:e>
                    <m:r>
                      <w:rPr>
                        <w:rFonts w:ascii="Cambria Math" w:hAnsi="Cambria Math"/>
                      </w:rPr>
                      <m:t>C</m:t>
                    </m:r>
                  </m:e>
                  <m:sub>
                    <m:r>
                      <w:rPr>
                        <w:rFonts w:ascii="Cambria Math" w:hAnsi="Cambria Math"/>
                      </w:rPr>
                      <m:t>Imp</m:t>
                    </m:r>
                  </m:sub>
                </m:sSub>
                <m:d>
                  <m:dPr>
                    <m:ctrlPr>
                      <w:rPr>
                        <w:rFonts w:ascii="Cambria Math" w:hAnsi="Cambria Math"/>
                        <w:i/>
                        <w:sz w:val="20"/>
                      </w:rPr>
                    </m:ctrlPr>
                  </m:dPr>
                  <m:e>
                    <m:r>
                      <w:rPr>
                        <w:rFonts w:ascii="Cambria Math" w:hAnsi="Cambria Math"/>
                      </w:rPr>
                      <m:t>t,m</m:t>
                    </m:r>
                  </m:e>
                </m:d>
              </m:oMath>
            </m:oMathPara>
          </w:p>
        </w:tc>
        <w:tc>
          <w:tcPr>
            <w:tcW w:w="2571" w:type="dxa"/>
            <w:vAlign w:val="center"/>
          </w:tcPr>
          <w:p w:rsidR="00163BE0" w:rsidRPr="00816B7B" w:rsidRDefault="00163BE0" w:rsidP="00E702B3">
            <w:pPr>
              <w:keepNext/>
              <w:rPr>
                <w:rFonts w:ascii="Times New Roman" w:hAnsi="Times New Roman"/>
                <w:sz w:val="20"/>
              </w:rPr>
            </w:pPr>
            <w:r w:rsidRPr="00816B7B">
              <w:rPr>
                <w:rFonts w:ascii="Times New Roman" w:hAnsi="Times New Roman"/>
                <w:sz w:val="20"/>
              </w:rPr>
              <w:t xml:space="preserve">IN Values of Avoided </w:t>
            </w:r>
            <w:proofErr w:type="spellStart"/>
            <w:r w:rsidRPr="00816B7B">
              <w:rPr>
                <w:rFonts w:ascii="Times New Roman" w:hAnsi="Times New Roman"/>
                <w:sz w:val="20"/>
              </w:rPr>
              <w:t>aFRR</w:t>
            </w:r>
            <w:proofErr w:type="spellEnd"/>
            <w:r w:rsidRPr="00816B7B">
              <w:rPr>
                <w:rFonts w:ascii="Times New Roman" w:hAnsi="Times New Roman"/>
                <w:sz w:val="20"/>
              </w:rPr>
              <w:t xml:space="preserve"> Activation for import of IN Member </w:t>
            </w:r>
            <w:r w:rsidRPr="00816B7B">
              <w:rPr>
                <w:rFonts w:ascii="Times New Roman" w:hAnsi="Times New Roman"/>
                <w:i/>
                <w:sz w:val="20"/>
              </w:rPr>
              <w:t>m</w:t>
            </w:r>
          </w:p>
        </w:tc>
        <w:tc>
          <w:tcPr>
            <w:tcW w:w="992" w:type="dxa"/>
            <w:vAlign w:val="center"/>
          </w:tcPr>
          <w:p w:rsidR="00163BE0" w:rsidRPr="00816B7B" w:rsidRDefault="00163BE0" w:rsidP="00E702B3">
            <w:pPr>
              <w:keepNext/>
              <w:jc w:val="center"/>
              <w:rPr>
                <w:rFonts w:ascii="Times New Roman" w:hAnsi="Times New Roman"/>
                <w:sz w:val="20"/>
              </w:rPr>
            </w:pPr>
            <w:r w:rsidRPr="00816B7B">
              <w:rPr>
                <w:rFonts w:ascii="Times New Roman" w:hAnsi="Times New Roman"/>
                <w:sz w:val="20"/>
              </w:rPr>
              <w:t>€/MWh</w:t>
            </w:r>
          </w:p>
        </w:tc>
        <w:tc>
          <w:tcPr>
            <w:tcW w:w="4394" w:type="dxa"/>
            <w:vAlign w:val="center"/>
          </w:tcPr>
          <w:p w:rsidR="00163BE0" w:rsidRPr="00816B7B" w:rsidRDefault="00163BE0" w:rsidP="00E702B3">
            <w:pPr>
              <w:keepNext/>
              <w:rPr>
                <w:rFonts w:ascii="Times New Roman" w:hAnsi="Times New Roman"/>
                <w:sz w:val="20"/>
              </w:rPr>
            </w:pPr>
            <w:r w:rsidRPr="00816B7B">
              <w:rPr>
                <w:rFonts w:ascii="Times New Roman" w:hAnsi="Times New Roman"/>
                <w:sz w:val="20"/>
              </w:rPr>
              <w:t xml:space="preserve">Positive, if the IN Member </w:t>
            </w:r>
            <w:r w:rsidRPr="00816B7B">
              <w:rPr>
                <w:rFonts w:ascii="Times New Roman" w:hAnsi="Times New Roman"/>
                <w:i/>
                <w:sz w:val="20"/>
              </w:rPr>
              <w:t>m</w:t>
            </w:r>
            <w:r w:rsidRPr="00816B7B">
              <w:rPr>
                <w:rFonts w:ascii="Times New Roman" w:hAnsi="Times New Roman"/>
                <w:sz w:val="20"/>
              </w:rPr>
              <w:t xml:space="preserve"> pays for activation of positive </w:t>
            </w:r>
            <w:proofErr w:type="spellStart"/>
            <w:r w:rsidRPr="00816B7B">
              <w:rPr>
                <w:rFonts w:ascii="Times New Roman" w:hAnsi="Times New Roman"/>
                <w:sz w:val="20"/>
              </w:rPr>
              <w:t>aFRR</w:t>
            </w:r>
            <w:proofErr w:type="spellEnd"/>
            <w:r w:rsidRPr="00816B7B">
              <w:rPr>
                <w:rFonts w:ascii="Times New Roman" w:hAnsi="Times New Roman"/>
                <w:sz w:val="20"/>
              </w:rPr>
              <w:t>.</w:t>
            </w:r>
          </w:p>
          <w:p w:rsidR="00163BE0" w:rsidRPr="00816B7B" w:rsidRDefault="00163BE0" w:rsidP="00E702B3">
            <w:pPr>
              <w:keepNext/>
              <w:rPr>
                <w:rFonts w:ascii="Times New Roman" w:hAnsi="Times New Roman"/>
                <w:sz w:val="20"/>
              </w:rPr>
            </w:pPr>
            <w:r w:rsidRPr="00816B7B">
              <w:rPr>
                <w:rFonts w:ascii="Times New Roman" w:hAnsi="Times New Roman"/>
                <w:sz w:val="20"/>
              </w:rPr>
              <w:t xml:space="preserve">Negative, if the IN Member </w:t>
            </w:r>
            <w:r w:rsidRPr="00816B7B">
              <w:rPr>
                <w:rFonts w:ascii="Times New Roman" w:hAnsi="Times New Roman"/>
                <w:i/>
                <w:sz w:val="20"/>
              </w:rPr>
              <w:t>m</w:t>
            </w:r>
            <w:r w:rsidRPr="00816B7B">
              <w:rPr>
                <w:rFonts w:ascii="Times New Roman" w:hAnsi="Times New Roman"/>
                <w:sz w:val="20"/>
              </w:rPr>
              <w:t xml:space="preserve"> is paid for activation of positive </w:t>
            </w:r>
            <w:proofErr w:type="spellStart"/>
            <w:r w:rsidRPr="00816B7B">
              <w:rPr>
                <w:rFonts w:ascii="Times New Roman" w:hAnsi="Times New Roman"/>
                <w:sz w:val="20"/>
              </w:rPr>
              <w:t>aFRR</w:t>
            </w:r>
            <w:proofErr w:type="spellEnd"/>
            <w:r w:rsidRPr="00816B7B">
              <w:rPr>
                <w:rFonts w:ascii="Times New Roman" w:hAnsi="Times New Roman"/>
                <w:sz w:val="20"/>
              </w:rPr>
              <w:t>.</w:t>
            </w:r>
          </w:p>
        </w:tc>
      </w:tr>
      <w:tr w:rsidR="006114F2" w:rsidRPr="009A4C44" w:rsidTr="00424F7E">
        <w:trPr>
          <w:cantSplit/>
          <w:trHeight w:val="20"/>
          <w:jc w:val="center"/>
        </w:trPr>
        <w:tc>
          <w:tcPr>
            <w:tcW w:w="1129" w:type="dxa"/>
            <w:shd w:val="clear" w:color="auto" w:fill="C6D9F1" w:themeFill="text2" w:themeFillTint="33"/>
            <w:vAlign w:val="center"/>
          </w:tcPr>
          <w:p w:rsidR="00163BE0" w:rsidRPr="00816B7B" w:rsidRDefault="002D564B" w:rsidP="00E702B3">
            <w:pPr>
              <w:keepNext/>
              <w:jc w:val="center"/>
              <w:rPr>
                <w:rFonts w:ascii="Times New Roman" w:hAnsi="Times New Roman"/>
                <w:sz w:val="20"/>
              </w:rPr>
            </w:pPr>
            <m:oMathPara>
              <m:oMath>
                <m:sSub>
                  <m:sSubPr>
                    <m:ctrlPr>
                      <w:rPr>
                        <w:rFonts w:ascii="Cambria Math" w:hAnsi="Cambria Math"/>
                        <w:i/>
                        <w:sz w:val="20"/>
                      </w:rPr>
                    </m:ctrlPr>
                  </m:sSubPr>
                  <m:e>
                    <m:r>
                      <w:rPr>
                        <w:rFonts w:ascii="Cambria Math" w:hAnsi="Cambria Math"/>
                      </w:rPr>
                      <m:t>C</m:t>
                    </m:r>
                  </m:e>
                  <m:sub>
                    <m:r>
                      <w:rPr>
                        <w:rFonts w:ascii="Cambria Math" w:hAnsi="Cambria Math"/>
                      </w:rPr>
                      <m:t>Exp</m:t>
                    </m:r>
                  </m:sub>
                </m:sSub>
                <m:d>
                  <m:dPr>
                    <m:ctrlPr>
                      <w:rPr>
                        <w:rFonts w:ascii="Cambria Math" w:hAnsi="Cambria Math"/>
                        <w:i/>
                        <w:sz w:val="20"/>
                      </w:rPr>
                    </m:ctrlPr>
                  </m:dPr>
                  <m:e>
                    <m:r>
                      <w:rPr>
                        <w:rFonts w:ascii="Cambria Math" w:hAnsi="Cambria Math"/>
                      </w:rPr>
                      <m:t>t,m</m:t>
                    </m:r>
                  </m:e>
                </m:d>
              </m:oMath>
            </m:oMathPara>
          </w:p>
        </w:tc>
        <w:tc>
          <w:tcPr>
            <w:tcW w:w="2571" w:type="dxa"/>
            <w:vAlign w:val="center"/>
          </w:tcPr>
          <w:p w:rsidR="00163BE0" w:rsidRPr="00816B7B" w:rsidRDefault="00163BE0" w:rsidP="00E702B3">
            <w:pPr>
              <w:keepNext/>
              <w:rPr>
                <w:rFonts w:ascii="Times New Roman" w:hAnsi="Times New Roman"/>
                <w:sz w:val="20"/>
              </w:rPr>
            </w:pPr>
            <w:r w:rsidRPr="00816B7B">
              <w:rPr>
                <w:rFonts w:ascii="Times New Roman" w:hAnsi="Times New Roman"/>
                <w:sz w:val="20"/>
              </w:rPr>
              <w:t xml:space="preserve">IN Values of Avoided </w:t>
            </w:r>
            <w:proofErr w:type="spellStart"/>
            <w:r w:rsidRPr="00816B7B">
              <w:rPr>
                <w:rFonts w:ascii="Times New Roman" w:hAnsi="Times New Roman"/>
                <w:sz w:val="20"/>
              </w:rPr>
              <w:t>aFRR</w:t>
            </w:r>
            <w:proofErr w:type="spellEnd"/>
            <w:r w:rsidRPr="00816B7B">
              <w:rPr>
                <w:rFonts w:ascii="Times New Roman" w:hAnsi="Times New Roman"/>
                <w:sz w:val="20"/>
              </w:rPr>
              <w:t xml:space="preserve"> Activation</w:t>
            </w:r>
            <w:r w:rsidRPr="00816B7B" w:rsidDel="001C5B1F">
              <w:rPr>
                <w:rFonts w:ascii="Times New Roman" w:hAnsi="Times New Roman"/>
                <w:sz w:val="20"/>
              </w:rPr>
              <w:t xml:space="preserve"> </w:t>
            </w:r>
            <w:r w:rsidRPr="00816B7B">
              <w:rPr>
                <w:rFonts w:ascii="Times New Roman" w:hAnsi="Times New Roman"/>
                <w:sz w:val="20"/>
              </w:rPr>
              <w:t xml:space="preserve">for export of IN Member </w:t>
            </w:r>
            <w:r w:rsidRPr="00816B7B">
              <w:rPr>
                <w:rFonts w:ascii="Times New Roman" w:hAnsi="Times New Roman"/>
                <w:i/>
                <w:sz w:val="20"/>
              </w:rPr>
              <w:t>m</w:t>
            </w:r>
          </w:p>
        </w:tc>
        <w:tc>
          <w:tcPr>
            <w:tcW w:w="992" w:type="dxa"/>
            <w:vAlign w:val="center"/>
          </w:tcPr>
          <w:p w:rsidR="00163BE0" w:rsidRPr="00816B7B" w:rsidRDefault="00163BE0" w:rsidP="00E702B3">
            <w:pPr>
              <w:keepNext/>
              <w:jc w:val="center"/>
              <w:rPr>
                <w:rFonts w:ascii="Times New Roman" w:hAnsi="Times New Roman"/>
                <w:sz w:val="20"/>
              </w:rPr>
            </w:pPr>
            <w:r w:rsidRPr="00816B7B">
              <w:rPr>
                <w:rFonts w:ascii="Times New Roman" w:hAnsi="Times New Roman"/>
                <w:sz w:val="20"/>
              </w:rPr>
              <w:t>€/MWh</w:t>
            </w:r>
          </w:p>
        </w:tc>
        <w:tc>
          <w:tcPr>
            <w:tcW w:w="4394" w:type="dxa"/>
            <w:vAlign w:val="center"/>
          </w:tcPr>
          <w:p w:rsidR="00163BE0" w:rsidRPr="00816B7B" w:rsidRDefault="00163BE0" w:rsidP="00E702B3">
            <w:pPr>
              <w:keepNext/>
              <w:rPr>
                <w:rFonts w:ascii="Times New Roman" w:hAnsi="Times New Roman"/>
                <w:sz w:val="20"/>
              </w:rPr>
            </w:pPr>
            <w:r w:rsidRPr="00816B7B">
              <w:rPr>
                <w:rFonts w:ascii="Times New Roman" w:hAnsi="Times New Roman"/>
                <w:sz w:val="20"/>
              </w:rPr>
              <w:t xml:space="preserve">Positive, if the IN Member </w:t>
            </w:r>
            <w:r w:rsidRPr="00816B7B">
              <w:rPr>
                <w:rFonts w:ascii="Times New Roman" w:hAnsi="Times New Roman"/>
                <w:i/>
                <w:sz w:val="20"/>
              </w:rPr>
              <w:t>m</w:t>
            </w:r>
            <w:r w:rsidRPr="00816B7B">
              <w:rPr>
                <w:rFonts w:ascii="Times New Roman" w:hAnsi="Times New Roman"/>
                <w:sz w:val="20"/>
              </w:rPr>
              <w:t xml:space="preserve"> is paid for activation of negative </w:t>
            </w:r>
            <w:proofErr w:type="spellStart"/>
            <w:r w:rsidRPr="00816B7B">
              <w:rPr>
                <w:rFonts w:ascii="Times New Roman" w:hAnsi="Times New Roman"/>
                <w:sz w:val="20"/>
              </w:rPr>
              <w:t>aFRR</w:t>
            </w:r>
            <w:proofErr w:type="spellEnd"/>
            <w:r w:rsidRPr="00816B7B">
              <w:rPr>
                <w:rFonts w:ascii="Times New Roman" w:hAnsi="Times New Roman"/>
                <w:sz w:val="20"/>
              </w:rPr>
              <w:t>.</w:t>
            </w:r>
          </w:p>
          <w:p w:rsidR="00163BE0" w:rsidRPr="00816B7B" w:rsidRDefault="00163BE0" w:rsidP="00E702B3">
            <w:pPr>
              <w:keepNext/>
              <w:rPr>
                <w:rFonts w:ascii="Times New Roman" w:hAnsi="Times New Roman"/>
                <w:sz w:val="20"/>
              </w:rPr>
            </w:pPr>
            <w:r w:rsidRPr="00816B7B">
              <w:rPr>
                <w:rFonts w:ascii="Times New Roman" w:hAnsi="Times New Roman"/>
                <w:sz w:val="20"/>
              </w:rPr>
              <w:t xml:space="preserve">Negative, if the IN Member </w:t>
            </w:r>
            <w:r w:rsidRPr="00816B7B">
              <w:rPr>
                <w:rFonts w:ascii="Times New Roman" w:hAnsi="Times New Roman"/>
                <w:i/>
                <w:sz w:val="20"/>
              </w:rPr>
              <w:t>m</w:t>
            </w:r>
            <w:r w:rsidRPr="00816B7B">
              <w:rPr>
                <w:rFonts w:ascii="Times New Roman" w:hAnsi="Times New Roman"/>
                <w:sz w:val="20"/>
              </w:rPr>
              <w:t xml:space="preserve"> pays for activation of negative </w:t>
            </w:r>
            <w:proofErr w:type="spellStart"/>
            <w:r w:rsidRPr="00816B7B">
              <w:rPr>
                <w:rFonts w:ascii="Times New Roman" w:hAnsi="Times New Roman"/>
                <w:sz w:val="20"/>
              </w:rPr>
              <w:t>aFRR</w:t>
            </w:r>
            <w:proofErr w:type="spellEnd"/>
            <w:r w:rsidRPr="00816B7B">
              <w:rPr>
                <w:rFonts w:ascii="Times New Roman" w:hAnsi="Times New Roman"/>
                <w:sz w:val="20"/>
              </w:rPr>
              <w:t>.</w:t>
            </w:r>
          </w:p>
        </w:tc>
      </w:tr>
      <w:tr w:rsidR="006114F2" w:rsidRPr="009A4C44" w:rsidTr="00424F7E">
        <w:trPr>
          <w:cantSplit/>
          <w:trHeight w:val="20"/>
          <w:jc w:val="center"/>
        </w:trPr>
        <w:tc>
          <w:tcPr>
            <w:tcW w:w="1129" w:type="dxa"/>
            <w:shd w:val="clear" w:color="auto" w:fill="C6D9F1" w:themeFill="text2" w:themeFillTint="33"/>
            <w:vAlign w:val="center"/>
          </w:tcPr>
          <w:p w:rsidR="00163BE0" w:rsidRPr="00816B7B" w:rsidRDefault="002D564B" w:rsidP="00E702B3">
            <w:pPr>
              <w:keepNext/>
              <w:jc w:val="center"/>
              <w:rPr>
                <w:rFonts w:ascii="Times New Roman" w:hAnsi="Times New Roman"/>
                <w:sz w:val="20"/>
              </w:rPr>
            </w:pPr>
            <m:oMathPara>
              <m:oMath>
                <m:sSub>
                  <m:sSubPr>
                    <m:ctrlPr>
                      <w:rPr>
                        <w:rFonts w:ascii="Cambria Math" w:hAnsi="Cambria Math"/>
                        <w:i/>
                        <w:sz w:val="20"/>
                      </w:rPr>
                    </m:ctrlPr>
                  </m:sSubPr>
                  <m:e>
                    <m:r>
                      <w:rPr>
                        <w:rFonts w:ascii="Cambria Math" w:hAnsi="Cambria Math"/>
                      </w:rPr>
                      <m:t>P</m:t>
                    </m:r>
                  </m:e>
                  <m:sub>
                    <m:r>
                      <w:rPr>
                        <w:rFonts w:ascii="Cambria Math" w:hAnsi="Cambria Math"/>
                      </w:rPr>
                      <m:t>IN</m:t>
                    </m:r>
                  </m:sub>
                </m:sSub>
                <m:d>
                  <m:dPr>
                    <m:ctrlPr>
                      <w:rPr>
                        <w:rFonts w:ascii="Cambria Math" w:hAnsi="Cambria Math"/>
                        <w:i/>
                        <w:sz w:val="20"/>
                      </w:rPr>
                    </m:ctrlPr>
                  </m:dPr>
                  <m:e>
                    <m:r>
                      <w:rPr>
                        <w:rFonts w:ascii="Cambria Math" w:hAnsi="Cambria Math"/>
                      </w:rPr>
                      <m:t>t</m:t>
                    </m:r>
                  </m:e>
                </m:d>
              </m:oMath>
            </m:oMathPara>
          </w:p>
        </w:tc>
        <w:tc>
          <w:tcPr>
            <w:tcW w:w="2571" w:type="dxa"/>
            <w:vAlign w:val="center"/>
          </w:tcPr>
          <w:p w:rsidR="00163BE0" w:rsidRPr="00816B7B" w:rsidRDefault="00163BE0" w:rsidP="00E702B3">
            <w:pPr>
              <w:keepNext/>
              <w:rPr>
                <w:rFonts w:ascii="Times New Roman" w:hAnsi="Times New Roman"/>
                <w:sz w:val="20"/>
              </w:rPr>
            </w:pPr>
            <w:r w:rsidRPr="00816B7B">
              <w:rPr>
                <w:rFonts w:ascii="Times New Roman" w:hAnsi="Times New Roman"/>
                <w:sz w:val="20"/>
              </w:rPr>
              <w:t xml:space="preserve">IN settlement price </w:t>
            </w:r>
          </w:p>
        </w:tc>
        <w:tc>
          <w:tcPr>
            <w:tcW w:w="992" w:type="dxa"/>
            <w:vAlign w:val="center"/>
          </w:tcPr>
          <w:p w:rsidR="00163BE0" w:rsidRPr="00816B7B" w:rsidRDefault="00163BE0" w:rsidP="00E702B3">
            <w:pPr>
              <w:keepNext/>
              <w:jc w:val="center"/>
              <w:rPr>
                <w:rFonts w:ascii="Times New Roman" w:hAnsi="Times New Roman"/>
                <w:sz w:val="20"/>
              </w:rPr>
            </w:pPr>
            <w:r w:rsidRPr="00816B7B">
              <w:rPr>
                <w:rFonts w:ascii="Times New Roman" w:hAnsi="Times New Roman"/>
                <w:sz w:val="20"/>
              </w:rPr>
              <w:t>€/MWh</w:t>
            </w:r>
          </w:p>
        </w:tc>
        <w:tc>
          <w:tcPr>
            <w:tcW w:w="4394" w:type="dxa"/>
            <w:vAlign w:val="center"/>
          </w:tcPr>
          <w:p w:rsidR="00163BE0" w:rsidRPr="00816B7B" w:rsidRDefault="00163BE0" w:rsidP="00E702B3">
            <w:pPr>
              <w:keepNext/>
              <w:rPr>
                <w:rFonts w:ascii="Times New Roman" w:hAnsi="Times New Roman"/>
                <w:sz w:val="20"/>
              </w:rPr>
            </w:pPr>
            <w:r w:rsidRPr="00816B7B">
              <w:rPr>
                <w:rFonts w:ascii="Times New Roman" w:hAnsi="Times New Roman"/>
                <w:sz w:val="20"/>
              </w:rPr>
              <w:t>Positive or negative</w:t>
            </w:r>
          </w:p>
        </w:tc>
      </w:tr>
      <w:tr w:rsidR="006114F2" w:rsidRPr="009A4C44" w:rsidTr="00424F7E">
        <w:trPr>
          <w:cantSplit/>
          <w:trHeight w:val="20"/>
          <w:jc w:val="center"/>
        </w:trPr>
        <w:tc>
          <w:tcPr>
            <w:tcW w:w="1129" w:type="dxa"/>
            <w:shd w:val="clear" w:color="auto" w:fill="C6D9F1" w:themeFill="text2" w:themeFillTint="33"/>
            <w:vAlign w:val="center"/>
          </w:tcPr>
          <w:p w:rsidR="00163BE0" w:rsidRPr="00816B7B" w:rsidRDefault="00163BE0" w:rsidP="00E702B3">
            <w:pPr>
              <w:jc w:val="center"/>
              <w:rPr>
                <w:rFonts w:ascii="Times New Roman" w:hAnsi="Times New Roman"/>
                <w:i/>
                <w:sz w:val="20"/>
              </w:rPr>
            </w:pPr>
            <m:oMathPara>
              <m:oMath>
                <m:r>
                  <w:rPr>
                    <w:rFonts w:ascii="Cambria Math" w:hAnsi="Cambria Math"/>
                    <w:sz w:val="20"/>
                  </w:rPr>
                  <m:t>S</m:t>
                </m:r>
                <m:d>
                  <m:dPr>
                    <m:ctrlPr>
                      <w:rPr>
                        <w:rFonts w:ascii="Cambria Math" w:hAnsi="Cambria Math"/>
                        <w:i/>
                        <w:sz w:val="20"/>
                      </w:rPr>
                    </m:ctrlPr>
                  </m:dPr>
                  <m:e>
                    <m:r>
                      <w:rPr>
                        <w:rFonts w:ascii="Cambria Math" w:hAnsi="Cambria Math"/>
                        <w:sz w:val="20"/>
                      </w:rPr>
                      <m:t>t,m</m:t>
                    </m:r>
                  </m:e>
                </m:d>
              </m:oMath>
            </m:oMathPara>
          </w:p>
        </w:tc>
        <w:tc>
          <w:tcPr>
            <w:tcW w:w="2571" w:type="dxa"/>
            <w:vAlign w:val="center"/>
          </w:tcPr>
          <w:p w:rsidR="00163BE0" w:rsidRPr="00816B7B" w:rsidRDefault="00163BE0" w:rsidP="00E702B3">
            <w:pPr>
              <w:rPr>
                <w:rFonts w:ascii="Times New Roman" w:hAnsi="Times New Roman"/>
                <w:sz w:val="20"/>
              </w:rPr>
            </w:pPr>
            <w:r w:rsidRPr="00816B7B">
              <w:rPr>
                <w:rFonts w:ascii="Times New Roman" w:hAnsi="Times New Roman"/>
                <w:sz w:val="20"/>
              </w:rPr>
              <w:t xml:space="preserve">Settlement amount of IN Member </w:t>
            </w:r>
            <w:r w:rsidRPr="00816B7B">
              <w:rPr>
                <w:rFonts w:ascii="Times New Roman" w:hAnsi="Times New Roman"/>
                <w:i/>
                <w:sz w:val="20"/>
              </w:rPr>
              <w:t>m</w:t>
            </w:r>
            <w:r w:rsidRPr="00816B7B">
              <w:rPr>
                <w:rFonts w:ascii="Times New Roman" w:hAnsi="Times New Roman"/>
                <w:sz w:val="20"/>
              </w:rPr>
              <w:t xml:space="preserve"> </w:t>
            </w:r>
          </w:p>
        </w:tc>
        <w:tc>
          <w:tcPr>
            <w:tcW w:w="992" w:type="dxa"/>
            <w:vAlign w:val="center"/>
          </w:tcPr>
          <w:p w:rsidR="00163BE0" w:rsidRPr="00816B7B" w:rsidRDefault="00163BE0" w:rsidP="00E702B3">
            <w:pPr>
              <w:jc w:val="center"/>
              <w:rPr>
                <w:rStyle w:val="CommentReference"/>
                <w:rFonts w:ascii="Times New Roman" w:hAnsi="Times New Roman"/>
                <w:sz w:val="20"/>
              </w:rPr>
            </w:pPr>
            <w:r w:rsidRPr="00816B7B">
              <w:rPr>
                <w:rFonts w:ascii="Times New Roman" w:hAnsi="Times New Roman"/>
                <w:sz w:val="20"/>
              </w:rPr>
              <w:t>€</w:t>
            </w:r>
          </w:p>
        </w:tc>
        <w:tc>
          <w:tcPr>
            <w:tcW w:w="4394" w:type="dxa"/>
            <w:vAlign w:val="center"/>
          </w:tcPr>
          <w:p w:rsidR="00163BE0" w:rsidRPr="00816B7B" w:rsidRDefault="00163BE0" w:rsidP="00E702B3">
            <w:pPr>
              <w:rPr>
                <w:rFonts w:ascii="Times New Roman" w:hAnsi="Times New Roman"/>
                <w:sz w:val="20"/>
              </w:rPr>
            </w:pPr>
            <w:r w:rsidRPr="00816B7B">
              <w:rPr>
                <w:rFonts w:ascii="Times New Roman" w:hAnsi="Times New Roman"/>
                <w:sz w:val="20"/>
              </w:rPr>
              <w:t xml:space="preserve">Positive in case of a payment by the IN Member </w:t>
            </w:r>
            <w:r w:rsidRPr="00816B7B">
              <w:rPr>
                <w:rFonts w:ascii="Times New Roman" w:hAnsi="Times New Roman"/>
                <w:i/>
                <w:sz w:val="20"/>
              </w:rPr>
              <w:t>m</w:t>
            </w:r>
            <w:r w:rsidRPr="00816B7B">
              <w:rPr>
                <w:rFonts w:ascii="Times New Roman" w:hAnsi="Times New Roman"/>
                <w:sz w:val="20"/>
              </w:rPr>
              <w:t>.</w:t>
            </w:r>
          </w:p>
          <w:p w:rsidR="00163BE0" w:rsidRPr="00816B7B" w:rsidRDefault="00163BE0" w:rsidP="00E702B3">
            <w:pPr>
              <w:rPr>
                <w:rFonts w:ascii="Times New Roman" w:hAnsi="Times New Roman"/>
                <w:sz w:val="20"/>
              </w:rPr>
            </w:pPr>
            <w:r w:rsidRPr="00816B7B">
              <w:rPr>
                <w:rFonts w:ascii="Times New Roman" w:hAnsi="Times New Roman"/>
                <w:sz w:val="20"/>
              </w:rPr>
              <w:t xml:space="preserve">Negative in case of a claim by the IN Member </w:t>
            </w:r>
            <w:r w:rsidRPr="00816B7B">
              <w:rPr>
                <w:rFonts w:ascii="Times New Roman" w:hAnsi="Times New Roman"/>
                <w:i/>
                <w:sz w:val="20"/>
              </w:rPr>
              <w:t>m</w:t>
            </w:r>
            <w:r w:rsidRPr="00816B7B">
              <w:rPr>
                <w:rFonts w:ascii="Times New Roman" w:hAnsi="Times New Roman"/>
                <w:sz w:val="20"/>
              </w:rPr>
              <w:t>.</w:t>
            </w:r>
          </w:p>
        </w:tc>
      </w:tr>
      <w:tr w:rsidR="006114F2" w:rsidRPr="009A4C44" w:rsidTr="00424F7E">
        <w:trPr>
          <w:cantSplit/>
          <w:trHeight w:val="20"/>
          <w:jc w:val="center"/>
        </w:trPr>
        <w:tc>
          <w:tcPr>
            <w:tcW w:w="1129" w:type="dxa"/>
            <w:shd w:val="clear" w:color="auto" w:fill="C6D9F1" w:themeFill="text2" w:themeFillTint="33"/>
            <w:vAlign w:val="center"/>
          </w:tcPr>
          <w:p w:rsidR="00163BE0" w:rsidRPr="00816B7B" w:rsidRDefault="00163BE0" w:rsidP="00E702B3">
            <w:pPr>
              <w:jc w:val="center"/>
              <w:rPr>
                <w:rFonts w:ascii="Times New Roman" w:hAnsi="Times New Roman"/>
                <w:sz w:val="20"/>
              </w:rPr>
            </w:pPr>
            <m:oMathPara>
              <m:oMath>
                <m:r>
                  <w:rPr>
                    <w:rFonts w:ascii="Cambria Math" w:hAnsi="Cambria Math"/>
                    <w:sz w:val="20"/>
                  </w:rPr>
                  <m:t>B</m:t>
                </m:r>
                <m:d>
                  <m:dPr>
                    <m:ctrlPr>
                      <w:rPr>
                        <w:rFonts w:ascii="Cambria Math" w:hAnsi="Cambria Math"/>
                        <w:i/>
                        <w:sz w:val="20"/>
                      </w:rPr>
                    </m:ctrlPr>
                  </m:dPr>
                  <m:e>
                    <m:r>
                      <w:rPr>
                        <w:rFonts w:ascii="Cambria Math" w:hAnsi="Cambria Math"/>
                        <w:sz w:val="20"/>
                      </w:rPr>
                      <m:t>t,m</m:t>
                    </m:r>
                  </m:e>
                </m:d>
              </m:oMath>
            </m:oMathPara>
          </w:p>
        </w:tc>
        <w:tc>
          <w:tcPr>
            <w:tcW w:w="2571" w:type="dxa"/>
            <w:vAlign w:val="center"/>
          </w:tcPr>
          <w:p w:rsidR="00163BE0" w:rsidRPr="00816B7B" w:rsidRDefault="00163BE0" w:rsidP="00E702B3">
            <w:pPr>
              <w:rPr>
                <w:rFonts w:ascii="Times New Roman" w:hAnsi="Times New Roman"/>
                <w:sz w:val="20"/>
              </w:rPr>
            </w:pPr>
            <w:r w:rsidRPr="00816B7B">
              <w:rPr>
                <w:rFonts w:ascii="Times New Roman" w:hAnsi="Times New Roman"/>
                <w:sz w:val="20"/>
              </w:rPr>
              <w:t>Rent  of IN Member m</w:t>
            </w:r>
          </w:p>
        </w:tc>
        <w:tc>
          <w:tcPr>
            <w:tcW w:w="992" w:type="dxa"/>
            <w:vAlign w:val="center"/>
          </w:tcPr>
          <w:p w:rsidR="00163BE0" w:rsidRPr="00816B7B" w:rsidRDefault="00163BE0" w:rsidP="00E702B3">
            <w:pPr>
              <w:jc w:val="center"/>
              <w:rPr>
                <w:rFonts w:ascii="Times New Roman" w:hAnsi="Times New Roman"/>
                <w:sz w:val="20"/>
              </w:rPr>
            </w:pPr>
            <w:r w:rsidRPr="00816B7B">
              <w:rPr>
                <w:rFonts w:ascii="Times New Roman" w:hAnsi="Times New Roman"/>
                <w:sz w:val="20"/>
              </w:rPr>
              <w:t>€</w:t>
            </w:r>
          </w:p>
        </w:tc>
        <w:tc>
          <w:tcPr>
            <w:tcW w:w="4394" w:type="dxa"/>
            <w:vAlign w:val="center"/>
          </w:tcPr>
          <w:p w:rsidR="00163BE0" w:rsidRPr="00816B7B" w:rsidRDefault="00163BE0" w:rsidP="00E702B3">
            <w:pPr>
              <w:rPr>
                <w:rFonts w:ascii="Times New Roman" w:hAnsi="Times New Roman"/>
                <w:sz w:val="20"/>
              </w:rPr>
            </w:pPr>
            <w:r w:rsidRPr="00816B7B">
              <w:rPr>
                <w:rFonts w:ascii="Times New Roman" w:hAnsi="Times New Roman"/>
                <w:sz w:val="20"/>
              </w:rPr>
              <w:t>Positive or negative</w:t>
            </w:r>
          </w:p>
        </w:tc>
      </w:tr>
      <w:tr w:rsidR="006114F2" w:rsidRPr="009A4C44" w:rsidTr="00424F7E">
        <w:trPr>
          <w:cantSplit/>
          <w:trHeight w:val="20"/>
          <w:jc w:val="center"/>
        </w:trPr>
        <w:tc>
          <w:tcPr>
            <w:tcW w:w="1129" w:type="dxa"/>
            <w:shd w:val="clear" w:color="auto" w:fill="C6D9F1" w:themeFill="text2" w:themeFillTint="33"/>
            <w:vAlign w:val="center"/>
          </w:tcPr>
          <w:p w:rsidR="00163BE0" w:rsidRPr="00816B7B" w:rsidRDefault="002D564B" w:rsidP="00E702B3">
            <w:pPr>
              <w:jc w:val="center"/>
              <w:rPr>
                <w:rFonts w:ascii="Times New Roman" w:hAnsi="Times New Roman"/>
                <w:sz w:val="20"/>
              </w:rPr>
            </w:pPr>
            <m:oMathPara>
              <m:oMath>
                <m:sSub>
                  <m:sSubPr>
                    <m:ctrlPr>
                      <w:rPr>
                        <w:rFonts w:ascii="Cambria Math" w:hAnsi="Cambria Math"/>
                        <w:i/>
                        <w:sz w:val="20"/>
                      </w:rPr>
                    </m:ctrlPr>
                  </m:sSubPr>
                  <m:e>
                    <m:r>
                      <w:rPr>
                        <w:rFonts w:ascii="Cambria Math" w:hAnsi="Cambria Math"/>
                      </w:rPr>
                      <m:t>B</m:t>
                    </m:r>
                  </m:e>
                  <m:sub>
                    <m:r>
                      <w:rPr>
                        <w:rFonts w:ascii="Cambria Math" w:hAnsi="Cambria Math"/>
                      </w:rPr>
                      <m:t>IGCC</m:t>
                    </m:r>
                  </m:sub>
                </m:sSub>
                <m:d>
                  <m:dPr>
                    <m:ctrlPr>
                      <w:rPr>
                        <w:rFonts w:ascii="Cambria Math" w:hAnsi="Cambria Math"/>
                        <w:i/>
                        <w:sz w:val="20"/>
                      </w:rPr>
                    </m:ctrlPr>
                  </m:dPr>
                  <m:e>
                    <m:r>
                      <w:rPr>
                        <w:rFonts w:ascii="Cambria Math" w:hAnsi="Cambria Math"/>
                      </w:rPr>
                      <m:t>t,m</m:t>
                    </m:r>
                  </m:e>
                </m:d>
              </m:oMath>
            </m:oMathPara>
          </w:p>
        </w:tc>
        <w:tc>
          <w:tcPr>
            <w:tcW w:w="2571" w:type="dxa"/>
            <w:vAlign w:val="center"/>
          </w:tcPr>
          <w:p w:rsidR="00163BE0" w:rsidRPr="00816B7B" w:rsidRDefault="00163BE0" w:rsidP="00E702B3">
            <w:pPr>
              <w:rPr>
                <w:rFonts w:ascii="Times New Roman" w:hAnsi="Times New Roman"/>
                <w:sz w:val="20"/>
              </w:rPr>
            </w:pPr>
            <w:r w:rsidRPr="00816B7B">
              <w:rPr>
                <w:rFonts w:ascii="Times New Roman" w:hAnsi="Times New Roman"/>
                <w:sz w:val="20"/>
              </w:rPr>
              <w:t xml:space="preserve">IN overall </w:t>
            </w:r>
          </w:p>
        </w:tc>
        <w:tc>
          <w:tcPr>
            <w:tcW w:w="992" w:type="dxa"/>
            <w:vAlign w:val="center"/>
          </w:tcPr>
          <w:p w:rsidR="00163BE0" w:rsidRPr="00816B7B" w:rsidRDefault="00163BE0" w:rsidP="00E702B3">
            <w:pPr>
              <w:jc w:val="center"/>
              <w:rPr>
                <w:rFonts w:ascii="Times New Roman" w:hAnsi="Times New Roman"/>
                <w:sz w:val="20"/>
              </w:rPr>
            </w:pPr>
            <w:r w:rsidRPr="00816B7B">
              <w:rPr>
                <w:rFonts w:ascii="Times New Roman" w:hAnsi="Times New Roman"/>
                <w:sz w:val="20"/>
              </w:rPr>
              <w:t>€</w:t>
            </w:r>
          </w:p>
        </w:tc>
        <w:tc>
          <w:tcPr>
            <w:tcW w:w="4394" w:type="dxa"/>
            <w:vAlign w:val="center"/>
          </w:tcPr>
          <w:p w:rsidR="00163BE0" w:rsidRPr="00816B7B" w:rsidRDefault="00163BE0" w:rsidP="00E702B3">
            <w:pPr>
              <w:rPr>
                <w:rFonts w:ascii="Times New Roman" w:hAnsi="Times New Roman"/>
                <w:sz w:val="20"/>
              </w:rPr>
            </w:pPr>
            <w:r w:rsidRPr="00816B7B">
              <w:rPr>
                <w:rFonts w:ascii="Times New Roman" w:hAnsi="Times New Roman"/>
                <w:sz w:val="20"/>
              </w:rPr>
              <w:t>Positive or negative</w:t>
            </w:r>
          </w:p>
        </w:tc>
      </w:tr>
      <w:tr w:rsidR="006114F2" w:rsidRPr="009A4C44" w:rsidTr="00424F7E">
        <w:trPr>
          <w:cantSplit/>
          <w:trHeight w:val="20"/>
          <w:jc w:val="center"/>
        </w:trPr>
        <w:tc>
          <w:tcPr>
            <w:tcW w:w="1129" w:type="dxa"/>
            <w:shd w:val="clear" w:color="auto" w:fill="C6D9F1" w:themeFill="text2" w:themeFillTint="33"/>
            <w:vAlign w:val="center"/>
          </w:tcPr>
          <w:p w:rsidR="00163BE0" w:rsidRPr="00816B7B" w:rsidRDefault="002D564B" w:rsidP="00E702B3">
            <w:pPr>
              <w:jc w:val="center"/>
              <w:rPr>
                <w:rFonts w:ascii="Times New Roman" w:hAnsi="Times New Roman"/>
                <w:sz w:val="20"/>
              </w:rPr>
            </w:pPr>
            <m:oMathPara>
              <m:oMath>
                <m:sSup>
                  <m:sSupPr>
                    <m:ctrlPr>
                      <w:rPr>
                        <w:rFonts w:ascii="Cambria Math" w:hAnsi="Cambria Math"/>
                        <w:i/>
                        <w:sz w:val="20"/>
                      </w:rPr>
                    </m:ctrlPr>
                  </m:sSupPr>
                  <m:e>
                    <m:r>
                      <w:rPr>
                        <w:rFonts w:ascii="Cambria Math" w:hAnsi="Cambria Math"/>
                      </w:rPr>
                      <m:t>S</m:t>
                    </m:r>
                  </m:e>
                  <m:sup>
                    <m:r>
                      <w:rPr>
                        <w:rFonts w:ascii="Cambria Math" w:hAnsi="Cambria Math"/>
                      </w:rPr>
                      <m:t>'</m:t>
                    </m:r>
                  </m:sup>
                </m:sSup>
                <m:d>
                  <m:dPr>
                    <m:ctrlPr>
                      <w:rPr>
                        <w:rFonts w:ascii="Cambria Math" w:hAnsi="Cambria Math"/>
                        <w:i/>
                        <w:sz w:val="20"/>
                      </w:rPr>
                    </m:ctrlPr>
                  </m:dPr>
                  <m:e>
                    <m:r>
                      <w:rPr>
                        <w:rFonts w:ascii="Cambria Math" w:hAnsi="Cambria Math"/>
                      </w:rPr>
                      <m:t>t,m</m:t>
                    </m:r>
                  </m:e>
                </m:d>
              </m:oMath>
            </m:oMathPara>
          </w:p>
        </w:tc>
        <w:tc>
          <w:tcPr>
            <w:tcW w:w="2571" w:type="dxa"/>
            <w:vAlign w:val="center"/>
          </w:tcPr>
          <w:p w:rsidR="00163BE0" w:rsidRPr="00816B7B" w:rsidRDefault="00163BE0" w:rsidP="00E702B3">
            <w:pPr>
              <w:rPr>
                <w:rFonts w:ascii="Times New Roman" w:hAnsi="Times New Roman"/>
                <w:sz w:val="20"/>
              </w:rPr>
            </w:pPr>
            <w:r w:rsidRPr="00816B7B">
              <w:rPr>
                <w:rFonts w:ascii="Times New Roman" w:hAnsi="Times New Roman"/>
                <w:sz w:val="20"/>
              </w:rPr>
              <w:t>Adjusted settlement amount of IN Member m</w:t>
            </w:r>
          </w:p>
        </w:tc>
        <w:tc>
          <w:tcPr>
            <w:tcW w:w="992" w:type="dxa"/>
            <w:vAlign w:val="center"/>
          </w:tcPr>
          <w:p w:rsidR="00163BE0" w:rsidRPr="00816B7B" w:rsidRDefault="00163BE0" w:rsidP="00E702B3">
            <w:pPr>
              <w:jc w:val="center"/>
              <w:rPr>
                <w:rFonts w:ascii="Times New Roman" w:hAnsi="Times New Roman"/>
                <w:sz w:val="20"/>
              </w:rPr>
            </w:pPr>
            <w:r w:rsidRPr="00816B7B">
              <w:rPr>
                <w:rFonts w:ascii="Times New Roman" w:hAnsi="Times New Roman"/>
                <w:sz w:val="20"/>
              </w:rPr>
              <w:t>€</w:t>
            </w:r>
          </w:p>
        </w:tc>
        <w:tc>
          <w:tcPr>
            <w:tcW w:w="4394" w:type="dxa"/>
            <w:vAlign w:val="center"/>
          </w:tcPr>
          <w:p w:rsidR="00163BE0" w:rsidRPr="00816B7B" w:rsidRDefault="00163BE0" w:rsidP="00E702B3">
            <w:pPr>
              <w:rPr>
                <w:rFonts w:ascii="Times New Roman" w:hAnsi="Times New Roman"/>
                <w:sz w:val="20"/>
              </w:rPr>
            </w:pPr>
            <w:r w:rsidRPr="00816B7B">
              <w:rPr>
                <w:rFonts w:ascii="Times New Roman" w:hAnsi="Times New Roman"/>
                <w:sz w:val="20"/>
              </w:rPr>
              <w:t>Positive in case of a payment by the IN Member m.</w:t>
            </w:r>
          </w:p>
          <w:p w:rsidR="00163BE0" w:rsidRPr="00816B7B" w:rsidRDefault="00163BE0" w:rsidP="00E702B3">
            <w:pPr>
              <w:rPr>
                <w:rFonts w:ascii="Times New Roman" w:hAnsi="Times New Roman"/>
                <w:sz w:val="20"/>
              </w:rPr>
            </w:pPr>
            <w:r w:rsidRPr="00816B7B">
              <w:rPr>
                <w:rFonts w:ascii="Times New Roman" w:hAnsi="Times New Roman"/>
                <w:sz w:val="20"/>
              </w:rPr>
              <w:t>Negative in case of a claim by the IN Member m.</w:t>
            </w:r>
          </w:p>
        </w:tc>
      </w:tr>
      <w:tr w:rsidR="006114F2" w:rsidRPr="009A4C44" w:rsidTr="00424F7E">
        <w:trPr>
          <w:cantSplit/>
          <w:trHeight w:val="20"/>
          <w:jc w:val="center"/>
        </w:trPr>
        <w:tc>
          <w:tcPr>
            <w:tcW w:w="1129" w:type="dxa"/>
            <w:shd w:val="clear" w:color="auto" w:fill="C6D9F1" w:themeFill="text2" w:themeFillTint="33"/>
            <w:vAlign w:val="center"/>
          </w:tcPr>
          <w:p w:rsidR="00163BE0" w:rsidRPr="00816B7B" w:rsidRDefault="002D564B" w:rsidP="00E702B3">
            <w:pPr>
              <w:jc w:val="center"/>
              <w:rPr>
                <w:rFonts w:ascii="Times New Roman" w:hAnsi="Times New Roman"/>
                <w:sz w:val="20"/>
              </w:rPr>
            </w:pPr>
            <m:oMathPara>
              <m:oMath>
                <m:sSub>
                  <m:sSubPr>
                    <m:ctrlPr>
                      <w:rPr>
                        <w:rFonts w:ascii="Cambria Math" w:hAnsi="Cambria Math"/>
                        <w:i/>
                        <w:sz w:val="20"/>
                      </w:rPr>
                    </m:ctrlPr>
                  </m:sSubPr>
                  <m:e>
                    <m:r>
                      <w:rPr>
                        <w:rFonts w:ascii="Cambria Math" w:hAnsi="Cambria Math"/>
                      </w:rPr>
                      <m:t>P'</m:t>
                    </m:r>
                  </m:e>
                  <m:sub>
                    <m:r>
                      <w:rPr>
                        <w:rFonts w:ascii="Cambria Math" w:hAnsi="Cambria Math"/>
                      </w:rPr>
                      <m:t>IN</m:t>
                    </m:r>
                  </m:sub>
                </m:sSub>
              </m:oMath>
            </m:oMathPara>
          </w:p>
        </w:tc>
        <w:tc>
          <w:tcPr>
            <w:tcW w:w="2571" w:type="dxa"/>
            <w:vAlign w:val="center"/>
          </w:tcPr>
          <w:p w:rsidR="00163BE0" w:rsidRPr="00816B7B" w:rsidRDefault="00163BE0" w:rsidP="00E702B3">
            <w:pPr>
              <w:rPr>
                <w:rFonts w:ascii="Times New Roman" w:hAnsi="Times New Roman"/>
                <w:sz w:val="20"/>
              </w:rPr>
            </w:pPr>
            <w:r w:rsidRPr="00816B7B">
              <w:rPr>
                <w:rFonts w:ascii="Times New Roman" w:hAnsi="Times New Roman"/>
                <w:sz w:val="20"/>
              </w:rPr>
              <w:t>Adjusted settlement price of IN Member m</w:t>
            </w:r>
          </w:p>
        </w:tc>
        <w:tc>
          <w:tcPr>
            <w:tcW w:w="992" w:type="dxa"/>
            <w:vAlign w:val="center"/>
          </w:tcPr>
          <w:p w:rsidR="00163BE0" w:rsidRPr="00816B7B" w:rsidRDefault="00163BE0" w:rsidP="00E702B3">
            <w:pPr>
              <w:jc w:val="center"/>
              <w:rPr>
                <w:rFonts w:ascii="Times New Roman" w:hAnsi="Times New Roman"/>
                <w:sz w:val="20"/>
              </w:rPr>
            </w:pPr>
            <w:r w:rsidRPr="00816B7B">
              <w:rPr>
                <w:rFonts w:ascii="Times New Roman" w:hAnsi="Times New Roman"/>
                <w:sz w:val="20"/>
              </w:rPr>
              <w:t>€/MWh</w:t>
            </w:r>
          </w:p>
        </w:tc>
        <w:tc>
          <w:tcPr>
            <w:tcW w:w="4394" w:type="dxa"/>
            <w:vAlign w:val="center"/>
          </w:tcPr>
          <w:p w:rsidR="00163BE0" w:rsidRPr="00816B7B" w:rsidRDefault="00163BE0" w:rsidP="00E702B3">
            <w:pPr>
              <w:rPr>
                <w:rFonts w:ascii="Times New Roman" w:hAnsi="Times New Roman"/>
                <w:sz w:val="20"/>
              </w:rPr>
            </w:pPr>
            <w:r w:rsidRPr="00816B7B">
              <w:rPr>
                <w:rFonts w:ascii="Times New Roman" w:hAnsi="Times New Roman"/>
                <w:sz w:val="20"/>
              </w:rPr>
              <w:t>Positive or negative</w:t>
            </w:r>
          </w:p>
        </w:tc>
      </w:tr>
      <w:tr w:rsidR="006114F2" w:rsidRPr="009A4C44" w:rsidTr="00424F7E">
        <w:trPr>
          <w:cantSplit/>
          <w:trHeight w:val="20"/>
          <w:jc w:val="center"/>
        </w:trPr>
        <w:tc>
          <w:tcPr>
            <w:tcW w:w="1129" w:type="dxa"/>
            <w:shd w:val="clear" w:color="auto" w:fill="C6D9F1" w:themeFill="text2" w:themeFillTint="33"/>
            <w:vAlign w:val="center"/>
          </w:tcPr>
          <w:p w:rsidR="00163BE0" w:rsidRPr="00816B7B" w:rsidRDefault="00163BE0" w:rsidP="00E702B3">
            <w:pPr>
              <w:jc w:val="center"/>
              <w:rPr>
                <w:rFonts w:ascii="Times New Roman" w:hAnsi="Times New Roman"/>
                <w:sz w:val="20"/>
              </w:rPr>
            </w:pPr>
            <w:r w:rsidRPr="00816B7B">
              <w:rPr>
                <w:rFonts w:ascii="Times New Roman" w:hAnsi="Times New Roman"/>
                <w:sz w:val="20"/>
              </w:rPr>
              <w:t>NZM</w:t>
            </w:r>
          </w:p>
        </w:tc>
        <w:tc>
          <w:tcPr>
            <w:tcW w:w="2571" w:type="dxa"/>
            <w:vAlign w:val="center"/>
          </w:tcPr>
          <w:p w:rsidR="00163BE0" w:rsidRPr="00816B7B" w:rsidRDefault="00163BE0" w:rsidP="00E702B3">
            <w:pPr>
              <w:rPr>
                <w:rFonts w:ascii="Times New Roman" w:hAnsi="Times New Roman"/>
                <w:sz w:val="20"/>
              </w:rPr>
            </w:pPr>
            <w:r w:rsidRPr="00816B7B">
              <w:rPr>
                <w:rFonts w:ascii="Times New Roman" w:hAnsi="Times New Roman"/>
                <w:sz w:val="20"/>
              </w:rPr>
              <w:t>NZM = Non-Zero Members (i.e. imported energy ≠ exported energy</w:t>
            </w:r>
          </w:p>
        </w:tc>
        <w:tc>
          <w:tcPr>
            <w:tcW w:w="992" w:type="dxa"/>
            <w:vAlign w:val="center"/>
          </w:tcPr>
          <w:p w:rsidR="00163BE0" w:rsidRPr="00816B7B" w:rsidRDefault="00163BE0" w:rsidP="00E702B3">
            <w:pPr>
              <w:jc w:val="center"/>
              <w:rPr>
                <w:rFonts w:ascii="Times New Roman" w:hAnsi="Times New Roman"/>
                <w:sz w:val="20"/>
              </w:rPr>
            </w:pPr>
            <w:r w:rsidRPr="00816B7B">
              <w:rPr>
                <w:rFonts w:ascii="Times New Roman" w:hAnsi="Times New Roman"/>
                <w:sz w:val="20"/>
              </w:rPr>
              <w:t>-</w:t>
            </w:r>
          </w:p>
        </w:tc>
        <w:tc>
          <w:tcPr>
            <w:tcW w:w="4394" w:type="dxa"/>
            <w:vAlign w:val="center"/>
          </w:tcPr>
          <w:p w:rsidR="00163BE0" w:rsidRPr="00816B7B" w:rsidRDefault="00163BE0" w:rsidP="00E702B3">
            <w:pPr>
              <w:rPr>
                <w:rFonts w:ascii="Times New Roman" w:hAnsi="Times New Roman"/>
                <w:sz w:val="20"/>
              </w:rPr>
            </w:pPr>
            <w:r w:rsidRPr="00816B7B">
              <w:rPr>
                <w:rFonts w:ascii="Times New Roman" w:hAnsi="Times New Roman"/>
                <w:sz w:val="20"/>
              </w:rPr>
              <w:t>-</w:t>
            </w:r>
          </w:p>
        </w:tc>
      </w:tr>
      <w:tr w:rsidR="006114F2" w:rsidRPr="009A4C44" w:rsidTr="00424F7E">
        <w:trPr>
          <w:cantSplit/>
          <w:trHeight w:val="20"/>
          <w:jc w:val="center"/>
        </w:trPr>
        <w:tc>
          <w:tcPr>
            <w:tcW w:w="1129" w:type="dxa"/>
            <w:shd w:val="clear" w:color="auto" w:fill="C6D9F1" w:themeFill="text2" w:themeFillTint="33"/>
            <w:vAlign w:val="center"/>
          </w:tcPr>
          <w:p w:rsidR="00163BE0" w:rsidRPr="00816B7B" w:rsidRDefault="002D564B" w:rsidP="00E702B3">
            <w:pPr>
              <w:jc w:val="center"/>
              <w:rPr>
                <w:rFonts w:ascii="Times New Roman" w:hAnsi="Times New Roman"/>
                <w:sz w:val="20"/>
              </w:rPr>
            </w:pPr>
            <m:oMathPara>
              <m:oMath>
                <m:sSup>
                  <m:sSupPr>
                    <m:ctrlPr>
                      <w:rPr>
                        <w:rFonts w:ascii="Cambria Math" w:hAnsi="Cambria Math"/>
                        <w:i/>
                        <w:sz w:val="20"/>
                        <w:lang w:val="de-DE"/>
                      </w:rPr>
                    </m:ctrlPr>
                  </m:sSupPr>
                  <m:e>
                    <m:r>
                      <w:rPr>
                        <w:rFonts w:ascii="Cambria Math" w:hAnsi="Cambria Math"/>
                        <w:lang w:val="de-DE"/>
                      </w:rPr>
                      <m:t>B</m:t>
                    </m:r>
                  </m:e>
                  <m:sup>
                    <m:r>
                      <w:rPr>
                        <w:rFonts w:ascii="Cambria Math" w:hAnsi="Cambria Math"/>
                        <w:lang w:val="de-DE"/>
                      </w:rPr>
                      <m:t>'</m:t>
                    </m:r>
                  </m:sup>
                </m:sSup>
                <m:r>
                  <w:rPr>
                    <w:rFonts w:ascii="Cambria Math" w:hAnsi="Cambria Math"/>
                    <w:lang w:val="de-DE"/>
                  </w:rPr>
                  <m:t>(t,m)</m:t>
                </m:r>
              </m:oMath>
            </m:oMathPara>
          </w:p>
        </w:tc>
        <w:tc>
          <w:tcPr>
            <w:tcW w:w="2571" w:type="dxa"/>
            <w:vAlign w:val="center"/>
          </w:tcPr>
          <w:p w:rsidR="00163BE0" w:rsidRPr="00816B7B" w:rsidRDefault="00163BE0" w:rsidP="00E702B3">
            <w:pPr>
              <w:rPr>
                <w:rFonts w:ascii="Times New Roman" w:hAnsi="Times New Roman"/>
                <w:sz w:val="20"/>
              </w:rPr>
            </w:pPr>
            <w:r w:rsidRPr="00816B7B">
              <w:rPr>
                <w:rFonts w:ascii="Times New Roman" w:hAnsi="Times New Roman"/>
                <w:sz w:val="20"/>
              </w:rPr>
              <w:t>Adjusted rent of IN Member m</w:t>
            </w:r>
          </w:p>
        </w:tc>
        <w:tc>
          <w:tcPr>
            <w:tcW w:w="992" w:type="dxa"/>
            <w:vAlign w:val="center"/>
          </w:tcPr>
          <w:p w:rsidR="00163BE0" w:rsidRPr="00816B7B" w:rsidRDefault="00163BE0" w:rsidP="00E702B3">
            <w:pPr>
              <w:jc w:val="center"/>
              <w:rPr>
                <w:rFonts w:ascii="Times New Roman" w:hAnsi="Times New Roman"/>
                <w:sz w:val="20"/>
              </w:rPr>
            </w:pPr>
            <w:r w:rsidRPr="00816B7B">
              <w:rPr>
                <w:rFonts w:ascii="Times New Roman" w:hAnsi="Times New Roman"/>
                <w:sz w:val="20"/>
              </w:rPr>
              <w:t>€</w:t>
            </w:r>
          </w:p>
        </w:tc>
        <w:tc>
          <w:tcPr>
            <w:tcW w:w="4394" w:type="dxa"/>
            <w:vAlign w:val="center"/>
          </w:tcPr>
          <w:p w:rsidR="00163BE0" w:rsidRPr="00816B7B" w:rsidRDefault="00163BE0" w:rsidP="00E702B3">
            <w:pPr>
              <w:rPr>
                <w:rFonts w:ascii="Times New Roman" w:hAnsi="Times New Roman"/>
                <w:sz w:val="20"/>
              </w:rPr>
            </w:pPr>
            <w:r w:rsidRPr="00816B7B">
              <w:rPr>
                <w:rFonts w:ascii="Times New Roman" w:hAnsi="Times New Roman"/>
                <w:sz w:val="20"/>
              </w:rPr>
              <w:t>Positive or negative</w:t>
            </w:r>
          </w:p>
        </w:tc>
      </w:tr>
    </w:tbl>
    <w:p w:rsidR="00DD5861" w:rsidRPr="009A4C44" w:rsidRDefault="00DD5861" w:rsidP="00DD5861">
      <w:pPr>
        <w:pStyle w:val="Caption"/>
        <w:keepNext/>
      </w:pPr>
      <w:bookmarkStart w:id="198" w:name="_Toc531799976"/>
      <w:r w:rsidRPr="009A4C44">
        <w:t xml:space="preserve">Table </w:t>
      </w:r>
      <w:r w:rsidRPr="009A4C44">
        <w:fldChar w:fldCharType="begin"/>
      </w:r>
      <w:r w:rsidRPr="009A4C44">
        <w:instrText xml:space="preserve"> SEQ Table \* ARABIC </w:instrText>
      </w:r>
      <w:r w:rsidRPr="009A4C44">
        <w:fldChar w:fldCharType="separate"/>
      </w:r>
      <w:r w:rsidR="002D564B">
        <w:rPr>
          <w:noProof/>
        </w:rPr>
        <w:t>8</w:t>
      </w:r>
      <w:r w:rsidRPr="009A4C44">
        <w:fldChar w:fldCharType="end"/>
      </w:r>
      <w:r w:rsidRPr="009A4C44">
        <w:t>: variables and sign conventions for the following calculations</w:t>
      </w:r>
      <w:bookmarkEnd w:id="198"/>
    </w:p>
    <w:p w:rsidR="00163BE0" w:rsidRPr="009A4C44" w:rsidRDefault="00163BE0" w:rsidP="00163BE0">
      <w:pPr>
        <w:pStyle w:val="textregular"/>
        <w:rPr>
          <w:lang w:eastAsia="en-US"/>
        </w:rPr>
      </w:pPr>
      <w:r w:rsidRPr="009A4C44">
        <w:rPr>
          <w:lang w:eastAsia="en-US"/>
        </w:rPr>
        <w:t xml:space="preserve">Values of avoided </w:t>
      </w:r>
      <w:proofErr w:type="spellStart"/>
      <w:r w:rsidRPr="009A4C44">
        <w:rPr>
          <w:lang w:eastAsia="en-US"/>
        </w:rPr>
        <w:t>aFRR</w:t>
      </w:r>
      <w:proofErr w:type="spellEnd"/>
      <w:r w:rsidRPr="009A4C44">
        <w:rPr>
          <w:lang w:eastAsia="en-US"/>
        </w:rPr>
        <w:t xml:space="preserve"> activation</w:t>
      </w:r>
      <w:r w:rsidRPr="009A4C44" w:rsidDel="001C5B1F">
        <w:rPr>
          <w:lang w:eastAsia="en-US"/>
        </w:rPr>
        <w:t xml:space="preserve"> </w:t>
      </w:r>
      <w:r w:rsidRPr="009A4C44">
        <w:rPr>
          <w:lang w:eastAsia="en-US"/>
        </w:rPr>
        <w:t xml:space="preserve">are used as an input to determine the IN settlement price defined as the weighted average of all values of avoided </w:t>
      </w:r>
      <w:proofErr w:type="spellStart"/>
      <w:r w:rsidRPr="009A4C44">
        <w:rPr>
          <w:lang w:eastAsia="en-US"/>
        </w:rPr>
        <w:t>aFRR</w:t>
      </w:r>
      <w:proofErr w:type="spellEnd"/>
      <w:r w:rsidRPr="009A4C44">
        <w:rPr>
          <w:lang w:eastAsia="en-US"/>
        </w:rPr>
        <w:t xml:space="preserve"> activation</w:t>
      </w:r>
      <w:r w:rsidRPr="009A4C44" w:rsidDel="001C5B1F">
        <w:rPr>
          <w:lang w:eastAsia="en-US"/>
        </w:rPr>
        <w:t xml:space="preserve"> </w:t>
      </w:r>
      <w:r w:rsidRPr="009A4C44">
        <w:rPr>
          <w:lang w:eastAsia="en-US"/>
        </w:rPr>
        <w:t xml:space="preserve">(both upward and downward) of all IN Members with the imported and exported volumes (positive quantities) as a weighting factor. </w:t>
      </w:r>
    </w:p>
    <w:p w:rsidR="00163BE0" w:rsidRPr="009A4C44" w:rsidRDefault="00163BE0" w:rsidP="00163BE0">
      <w:pPr>
        <w:pStyle w:val="textregular"/>
        <w:rPr>
          <w:lang w:eastAsia="en-US"/>
        </w:rPr>
      </w:pPr>
      <w:proofErr w:type="gramStart"/>
      <w:r w:rsidRPr="009A4C44">
        <w:rPr>
          <w:lang w:eastAsia="en-US"/>
        </w:rPr>
        <w:t>This results</w:t>
      </w:r>
      <w:proofErr w:type="gramEnd"/>
      <w:r w:rsidRPr="009A4C44">
        <w:rPr>
          <w:lang w:eastAsia="en-US"/>
        </w:rPr>
        <w:t xml:space="preserve"> in determination of unique IN settlement price of imported and exported volumes, given by the following formula (if there is no negative rent generated, this unique price is going to be used for settlement):</w:t>
      </w:r>
    </w:p>
    <w:p w:rsidR="00163BE0" w:rsidRPr="009A4C44" w:rsidRDefault="002D564B" w:rsidP="00163BE0">
      <w:pPr>
        <w:pStyle w:val="textregular"/>
        <w:rPr>
          <w:lang w:eastAsia="en-US"/>
        </w:rPr>
      </w:pPr>
      <m:oMathPara>
        <m:oMath>
          <m:sSub>
            <m:sSubPr>
              <m:ctrlPr>
                <w:rPr>
                  <w:rFonts w:ascii="Cambria Math" w:hAnsi="Cambria Math"/>
                  <w:i/>
                  <w:iCs/>
                </w:rPr>
              </m:ctrlPr>
            </m:sSubPr>
            <m:e>
              <m:r>
                <w:rPr>
                  <w:rFonts w:ascii="Cambria Math" w:hAnsi="Cambria Math"/>
                </w:rPr>
                <m:t>P</m:t>
              </m:r>
            </m:e>
            <m:sub>
              <m:r>
                <w:rPr>
                  <w:rFonts w:ascii="Cambria Math" w:hAnsi="Cambria Math"/>
                </w:rPr>
                <m:t>IN</m:t>
              </m:r>
            </m:sub>
          </m:sSub>
          <m:d>
            <m:dPr>
              <m:ctrlPr>
                <w:rPr>
                  <w:rFonts w:ascii="Cambria Math" w:hAnsi="Cambria Math"/>
                  <w:i/>
                  <w:iCs/>
                </w:rPr>
              </m:ctrlPr>
            </m:dPr>
            <m:e>
              <m:r>
                <w:rPr>
                  <w:rFonts w:ascii="Cambria Math" w:hAnsi="Cambria Math"/>
                </w:rPr>
                <m:t>t</m:t>
              </m:r>
            </m:e>
          </m:d>
          <m:r>
            <w:rPr>
              <w:rFonts w:ascii="Cambria Math" w:hAnsi="Cambria Math"/>
            </w:rPr>
            <m:t>=</m:t>
          </m:r>
          <m:f>
            <m:fPr>
              <m:ctrlPr>
                <w:rPr>
                  <w:rFonts w:ascii="Cambria Math" w:hAnsi="Cambria Math"/>
                  <w:i/>
                  <w:iCs/>
                </w:rPr>
              </m:ctrlPr>
            </m:fPr>
            <m:num>
              <m:nary>
                <m:naryPr>
                  <m:chr m:val="∑"/>
                  <m:limLoc m:val="undOvr"/>
                  <m:ctrlPr>
                    <w:rPr>
                      <w:rFonts w:ascii="Cambria Math" w:hAnsi="Cambria Math"/>
                      <w:i/>
                      <w:iCs/>
                    </w:rPr>
                  </m:ctrlPr>
                </m:naryPr>
                <m:sub>
                  <m:r>
                    <w:rPr>
                      <w:rFonts w:ascii="Cambria Math" w:hAnsi="Cambria Math"/>
                    </w:rPr>
                    <m:t>m=1</m:t>
                  </m:r>
                </m:sub>
                <m:sup>
                  <m:r>
                    <w:rPr>
                      <w:rFonts w:ascii="Cambria Math" w:hAnsi="Cambria Math"/>
                    </w:rPr>
                    <m:t>M</m:t>
                  </m:r>
                </m:sup>
                <m:e>
                  <m:sSub>
                    <m:sSubPr>
                      <m:ctrlPr>
                        <w:rPr>
                          <w:rFonts w:ascii="Cambria Math" w:hAnsi="Cambria Math"/>
                          <w:i/>
                          <w:iCs/>
                        </w:rPr>
                      </m:ctrlPr>
                    </m:sSubPr>
                    <m:e>
                      <m:r>
                        <w:rPr>
                          <w:rFonts w:ascii="Cambria Math" w:hAnsi="Cambria Math"/>
                        </w:rPr>
                        <m:t>E</m:t>
                      </m:r>
                    </m:e>
                    <m:sub>
                      <m:r>
                        <w:rPr>
                          <w:rFonts w:ascii="Cambria Math" w:hAnsi="Cambria Math"/>
                        </w:rPr>
                        <m:t>Imp</m:t>
                      </m:r>
                    </m:sub>
                  </m:sSub>
                  <m:d>
                    <m:dPr>
                      <m:ctrlPr>
                        <w:rPr>
                          <w:rFonts w:ascii="Cambria Math" w:hAnsi="Cambria Math"/>
                          <w:i/>
                          <w:iCs/>
                        </w:rPr>
                      </m:ctrlPr>
                    </m:dPr>
                    <m:e>
                      <m:r>
                        <w:rPr>
                          <w:rFonts w:ascii="Cambria Math" w:hAnsi="Cambria Math"/>
                        </w:rPr>
                        <m:t>t,m</m:t>
                      </m:r>
                    </m:e>
                  </m:d>
                  <m:r>
                    <w:rPr>
                      <w:rFonts w:ascii="Cambria Math" w:hAnsi="Cambria Math"/>
                    </w:rPr>
                    <m:t>*</m:t>
                  </m:r>
                  <m:sSub>
                    <m:sSubPr>
                      <m:ctrlPr>
                        <w:rPr>
                          <w:rFonts w:ascii="Cambria Math" w:hAnsi="Cambria Math"/>
                          <w:i/>
                          <w:iCs/>
                        </w:rPr>
                      </m:ctrlPr>
                    </m:sSubPr>
                    <m:e>
                      <m:r>
                        <w:rPr>
                          <w:rFonts w:ascii="Cambria Math" w:hAnsi="Cambria Math"/>
                        </w:rPr>
                        <m:t>C</m:t>
                      </m:r>
                    </m:e>
                    <m:sub>
                      <m:r>
                        <w:rPr>
                          <w:rFonts w:ascii="Cambria Math" w:hAnsi="Cambria Math"/>
                        </w:rPr>
                        <m:t>Imp</m:t>
                      </m:r>
                    </m:sub>
                  </m:sSub>
                  <m:d>
                    <m:dPr>
                      <m:ctrlPr>
                        <w:rPr>
                          <w:rFonts w:ascii="Cambria Math" w:hAnsi="Cambria Math"/>
                          <w:i/>
                          <w:iCs/>
                        </w:rPr>
                      </m:ctrlPr>
                    </m:dPr>
                    <m:e>
                      <m:r>
                        <w:rPr>
                          <w:rFonts w:ascii="Cambria Math" w:hAnsi="Cambria Math"/>
                        </w:rPr>
                        <m:t>t,m</m:t>
                      </m:r>
                    </m:e>
                  </m:d>
                </m:e>
              </m:nary>
              <m:r>
                <w:rPr>
                  <w:rFonts w:ascii="Cambria Math" w:hAnsi="Cambria Math"/>
                </w:rPr>
                <m:t>+</m:t>
              </m:r>
              <m:nary>
                <m:naryPr>
                  <m:chr m:val="∑"/>
                  <m:limLoc m:val="undOvr"/>
                  <m:ctrlPr>
                    <w:rPr>
                      <w:rFonts w:ascii="Cambria Math" w:hAnsi="Cambria Math"/>
                      <w:i/>
                      <w:iCs/>
                    </w:rPr>
                  </m:ctrlPr>
                </m:naryPr>
                <m:sub>
                  <m:r>
                    <w:rPr>
                      <w:rFonts w:ascii="Cambria Math" w:hAnsi="Cambria Math"/>
                    </w:rPr>
                    <m:t>m=1</m:t>
                  </m:r>
                </m:sub>
                <m:sup>
                  <m:r>
                    <w:rPr>
                      <w:rFonts w:ascii="Cambria Math" w:hAnsi="Cambria Math"/>
                    </w:rPr>
                    <m:t>M</m:t>
                  </m:r>
                </m:sup>
                <m:e>
                  <m:sSub>
                    <m:sSubPr>
                      <m:ctrlPr>
                        <w:rPr>
                          <w:rFonts w:ascii="Cambria Math" w:hAnsi="Cambria Math"/>
                          <w:i/>
                          <w:iCs/>
                        </w:rPr>
                      </m:ctrlPr>
                    </m:sSubPr>
                    <m:e>
                      <m:r>
                        <w:rPr>
                          <w:rFonts w:ascii="Cambria Math" w:hAnsi="Cambria Math"/>
                        </w:rPr>
                        <m:t>E</m:t>
                      </m:r>
                    </m:e>
                    <m:sub>
                      <m:r>
                        <w:rPr>
                          <w:rFonts w:ascii="Cambria Math" w:hAnsi="Cambria Math"/>
                        </w:rPr>
                        <m:t>Exp</m:t>
                      </m:r>
                    </m:sub>
                  </m:sSub>
                  <m:d>
                    <m:dPr>
                      <m:ctrlPr>
                        <w:rPr>
                          <w:rFonts w:ascii="Cambria Math" w:hAnsi="Cambria Math"/>
                          <w:i/>
                          <w:iCs/>
                        </w:rPr>
                      </m:ctrlPr>
                    </m:dPr>
                    <m:e>
                      <m:r>
                        <w:rPr>
                          <w:rFonts w:ascii="Cambria Math" w:hAnsi="Cambria Math"/>
                        </w:rPr>
                        <m:t>t,m</m:t>
                      </m:r>
                    </m:e>
                  </m:d>
                  <m:r>
                    <w:rPr>
                      <w:rFonts w:ascii="Cambria Math" w:hAnsi="Cambria Math"/>
                    </w:rPr>
                    <m:t>*</m:t>
                  </m:r>
                  <m:sSub>
                    <m:sSubPr>
                      <m:ctrlPr>
                        <w:rPr>
                          <w:rFonts w:ascii="Cambria Math" w:hAnsi="Cambria Math"/>
                          <w:i/>
                          <w:iCs/>
                        </w:rPr>
                      </m:ctrlPr>
                    </m:sSubPr>
                    <m:e>
                      <m:r>
                        <w:rPr>
                          <w:rFonts w:ascii="Cambria Math" w:hAnsi="Cambria Math"/>
                        </w:rPr>
                        <m:t>C</m:t>
                      </m:r>
                    </m:e>
                    <m:sub>
                      <m:r>
                        <w:rPr>
                          <w:rFonts w:ascii="Cambria Math" w:hAnsi="Cambria Math"/>
                        </w:rPr>
                        <m:t>Exp</m:t>
                      </m:r>
                    </m:sub>
                  </m:sSub>
                  <m:d>
                    <m:dPr>
                      <m:ctrlPr>
                        <w:rPr>
                          <w:rFonts w:ascii="Cambria Math" w:hAnsi="Cambria Math"/>
                          <w:i/>
                          <w:iCs/>
                        </w:rPr>
                      </m:ctrlPr>
                    </m:dPr>
                    <m:e>
                      <m:r>
                        <w:rPr>
                          <w:rFonts w:ascii="Cambria Math" w:hAnsi="Cambria Math"/>
                        </w:rPr>
                        <m:t>t,m</m:t>
                      </m:r>
                    </m:e>
                  </m:d>
                </m:e>
              </m:nary>
            </m:num>
            <m:den>
              <m:nary>
                <m:naryPr>
                  <m:chr m:val="∑"/>
                  <m:limLoc m:val="undOvr"/>
                  <m:ctrlPr>
                    <w:rPr>
                      <w:rFonts w:ascii="Cambria Math" w:hAnsi="Cambria Math"/>
                      <w:i/>
                      <w:iCs/>
                    </w:rPr>
                  </m:ctrlPr>
                </m:naryPr>
                <m:sub>
                  <m:r>
                    <w:rPr>
                      <w:rFonts w:ascii="Cambria Math" w:hAnsi="Cambria Math"/>
                    </w:rPr>
                    <m:t>m=1</m:t>
                  </m:r>
                </m:sub>
                <m:sup>
                  <m:r>
                    <w:rPr>
                      <w:rFonts w:ascii="Cambria Math" w:hAnsi="Cambria Math"/>
                    </w:rPr>
                    <m:t>M</m:t>
                  </m:r>
                </m:sup>
                <m:e>
                  <m:sSub>
                    <m:sSubPr>
                      <m:ctrlPr>
                        <w:rPr>
                          <w:rFonts w:ascii="Cambria Math" w:hAnsi="Cambria Math"/>
                          <w:i/>
                          <w:iCs/>
                        </w:rPr>
                      </m:ctrlPr>
                    </m:sSubPr>
                    <m:e>
                      <m:r>
                        <w:rPr>
                          <w:rFonts w:ascii="Cambria Math" w:hAnsi="Cambria Math"/>
                        </w:rPr>
                        <m:t>E</m:t>
                      </m:r>
                    </m:e>
                    <m:sub>
                      <m:r>
                        <w:rPr>
                          <w:rFonts w:ascii="Cambria Math" w:hAnsi="Cambria Math"/>
                        </w:rPr>
                        <m:t>Imp</m:t>
                      </m:r>
                    </m:sub>
                  </m:sSub>
                  <m:d>
                    <m:dPr>
                      <m:ctrlPr>
                        <w:rPr>
                          <w:rFonts w:ascii="Cambria Math" w:hAnsi="Cambria Math"/>
                          <w:i/>
                          <w:iCs/>
                        </w:rPr>
                      </m:ctrlPr>
                    </m:dPr>
                    <m:e>
                      <m:r>
                        <w:rPr>
                          <w:rFonts w:ascii="Cambria Math" w:hAnsi="Cambria Math"/>
                        </w:rPr>
                        <m:t>t,m</m:t>
                      </m:r>
                    </m:e>
                  </m:d>
                </m:e>
              </m:nary>
              <m:r>
                <w:rPr>
                  <w:rFonts w:ascii="Cambria Math" w:hAnsi="Cambria Math"/>
                </w:rPr>
                <m:t>+</m:t>
              </m:r>
              <m:nary>
                <m:naryPr>
                  <m:chr m:val="∑"/>
                  <m:limLoc m:val="undOvr"/>
                  <m:ctrlPr>
                    <w:rPr>
                      <w:rFonts w:ascii="Cambria Math" w:hAnsi="Cambria Math"/>
                      <w:i/>
                      <w:iCs/>
                    </w:rPr>
                  </m:ctrlPr>
                </m:naryPr>
                <m:sub>
                  <m:r>
                    <w:rPr>
                      <w:rFonts w:ascii="Cambria Math" w:hAnsi="Cambria Math"/>
                    </w:rPr>
                    <m:t>m=1</m:t>
                  </m:r>
                </m:sub>
                <m:sup>
                  <m:r>
                    <w:rPr>
                      <w:rFonts w:ascii="Cambria Math" w:hAnsi="Cambria Math"/>
                    </w:rPr>
                    <m:t>M</m:t>
                  </m:r>
                </m:sup>
                <m:e>
                  <m:sSub>
                    <m:sSubPr>
                      <m:ctrlPr>
                        <w:rPr>
                          <w:rFonts w:ascii="Cambria Math" w:hAnsi="Cambria Math"/>
                          <w:i/>
                          <w:iCs/>
                        </w:rPr>
                      </m:ctrlPr>
                    </m:sSubPr>
                    <m:e>
                      <m:r>
                        <w:rPr>
                          <w:rFonts w:ascii="Cambria Math" w:hAnsi="Cambria Math"/>
                        </w:rPr>
                        <m:t>E</m:t>
                      </m:r>
                    </m:e>
                    <m:sub>
                      <m:r>
                        <w:rPr>
                          <w:rFonts w:ascii="Cambria Math" w:hAnsi="Cambria Math"/>
                        </w:rPr>
                        <m:t>Exp</m:t>
                      </m:r>
                    </m:sub>
                  </m:sSub>
                  <m:d>
                    <m:dPr>
                      <m:ctrlPr>
                        <w:rPr>
                          <w:rFonts w:ascii="Cambria Math" w:hAnsi="Cambria Math"/>
                          <w:i/>
                          <w:iCs/>
                        </w:rPr>
                      </m:ctrlPr>
                    </m:dPr>
                    <m:e>
                      <m:r>
                        <w:rPr>
                          <w:rFonts w:ascii="Cambria Math" w:hAnsi="Cambria Math"/>
                        </w:rPr>
                        <m:t>t,m</m:t>
                      </m:r>
                    </m:e>
                  </m:d>
                </m:e>
              </m:nary>
            </m:den>
          </m:f>
        </m:oMath>
      </m:oMathPara>
    </w:p>
    <w:p w:rsidR="00163BE0" w:rsidRPr="009A4C44" w:rsidRDefault="00163BE0" w:rsidP="00163BE0">
      <w:pPr>
        <w:pStyle w:val="textregular"/>
        <w:rPr>
          <w:szCs w:val="22"/>
          <w:lang w:eastAsia="en-US"/>
        </w:rPr>
      </w:pPr>
    </w:p>
    <w:p w:rsidR="00163BE0" w:rsidRPr="009A4C44" w:rsidRDefault="00163BE0" w:rsidP="00163BE0">
      <w:pPr>
        <w:pStyle w:val="textregular"/>
        <w:rPr>
          <w:lang w:eastAsia="en-US"/>
        </w:rPr>
      </w:pPr>
      <w:r w:rsidRPr="009A4C44">
        <w:rPr>
          <w:lang w:eastAsia="en-US"/>
        </w:rPr>
        <w:t>The IN settlement price is used to determine a settlement amount of each IN Member defined as the IN settlement price multiplied by the difference between amounts of imported and exported volumes of the respective IN Member:</w:t>
      </w:r>
    </w:p>
    <w:p w:rsidR="00163BE0" w:rsidRPr="009A4C44" w:rsidRDefault="00163BE0" w:rsidP="00163BE0">
      <w:pPr>
        <w:rPr>
          <w:rFonts w:ascii="Times New Roman" w:hAnsi="Times New Roman"/>
          <w:iCs/>
        </w:rPr>
      </w:pPr>
      <m:oMathPara>
        <m:oMathParaPr>
          <m:jc m:val="center"/>
        </m:oMathParaPr>
        <m:oMath>
          <m:r>
            <w:rPr>
              <w:rFonts w:ascii="Cambria Math" w:hAnsi="Cambria Math"/>
            </w:rPr>
            <m:t>S</m:t>
          </m:r>
          <m:d>
            <m:dPr>
              <m:ctrlPr>
                <w:rPr>
                  <w:rFonts w:ascii="Cambria Math" w:hAnsi="Cambria Math"/>
                  <w:i/>
                  <w:iCs/>
                </w:rPr>
              </m:ctrlPr>
            </m:dPr>
            <m:e>
              <m:r>
                <w:rPr>
                  <w:rFonts w:ascii="Cambria Math" w:hAnsi="Cambria Math"/>
                </w:rPr>
                <m:t>t,m</m:t>
              </m:r>
            </m:e>
          </m:d>
          <m:r>
            <w:rPr>
              <w:rFonts w:ascii="Cambria Math" w:hAnsi="Cambria Math"/>
            </w:rPr>
            <m:t>=</m:t>
          </m:r>
          <m:d>
            <m:dPr>
              <m:begChr m:val="["/>
              <m:endChr m:val="]"/>
              <m:ctrlPr>
                <w:rPr>
                  <w:rFonts w:ascii="Cambria Math" w:hAnsi="Cambria Math"/>
                  <w:i/>
                  <w:iCs/>
                </w:rPr>
              </m:ctrlPr>
            </m:dPr>
            <m:e>
              <m:sSub>
                <m:sSubPr>
                  <m:ctrlPr>
                    <w:rPr>
                      <w:rFonts w:ascii="Cambria Math" w:hAnsi="Cambria Math"/>
                      <w:i/>
                      <w:iCs/>
                    </w:rPr>
                  </m:ctrlPr>
                </m:sSubPr>
                <m:e>
                  <m:r>
                    <w:rPr>
                      <w:rFonts w:ascii="Cambria Math" w:hAnsi="Cambria Math"/>
                    </w:rPr>
                    <m:t>E</m:t>
                  </m:r>
                </m:e>
                <m:sub>
                  <m:r>
                    <w:rPr>
                      <w:rFonts w:ascii="Cambria Math" w:hAnsi="Cambria Math"/>
                    </w:rPr>
                    <m:t>Imp</m:t>
                  </m:r>
                </m:sub>
              </m:sSub>
              <m:d>
                <m:dPr>
                  <m:ctrlPr>
                    <w:rPr>
                      <w:rFonts w:ascii="Cambria Math" w:hAnsi="Cambria Math"/>
                      <w:i/>
                      <w:iCs/>
                    </w:rPr>
                  </m:ctrlPr>
                </m:dPr>
                <m:e>
                  <m:r>
                    <w:rPr>
                      <w:rFonts w:ascii="Cambria Math" w:hAnsi="Cambria Math"/>
                    </w:rPr>
                    <m:t>t,m</m:t>
                  </m:r>
                </m:e>
              </m:d>
              <m:r>
                <w:rPr>
                  <w:rFonts w:ascii="Cambria Math" w:hAnsi="Cambria Math"/>
                </w:rPr>
                <m:t>-</m:t>
              </m:r>
              <m:sSub>
                <m:sSubPr>
                  <m:ctrlPr>
                    <w:rPr>
                      <w:rFonts w:ascii="Cambria Math" w:hAnsi="Cambria Math"/>
                      <w:i/>
                      <w:iCs/>
                    </w:rPr>
                  </m:ctrlPr>
                </m:sSubPr>
                <m:e>
                  <m:r>
                    <w:rPr>
                      <w:rFonts w:ascii="Cambria Math" w:hAnsi="Cambria Math"/>
                    </w:rPr>
                    <m:t>E</m:t>
                  </m:r>
                </m:e>
                <m:sub>
                  <m:r>
                    <w:rPr>
                      <w:rFonts w:ascii="Cambria Math" w:hAnsi="Cambria Math"/>
                    </w:rPr>
                    <m:t>Exp</m:t>
                  </m:r>
                </m:sub>
              </m:sSub>
              <m:d>
                <m:dPr>
                  <m:ctrlPr>
                    <w:rPr>
                      <w:rFonts w:ascii="Cambria Math" w:hAnsi="Cambria Math"/>
                      <w:i/>
                      <w:iCs/>
                    </w:rPr>
                  </m:ctrlPr>
                </m:dPr>
                <m:e>
                  <m:r>
                    <w:rPr>
                      <w:rFonts w:ascii="Cambria Math" w:hAnsi="Cambria Math"/>
                    </w:rPr>
                    <m:t>t,m</m:t>
                  </m:r>
                </m:e>
              </m:d>
            </m:e>
          </m:d>
          <m:r>
            <w:rPr>
              <w:rFonts w:ascii="Cambria Math" w:hAnsi="Cambria Math"/>
            </w:rPr>
            <m:t>*</m:t>
          </m:r>
          <m:sSub>
            <m:sSubPr>
              <m:ctrlPr>
                <w:rPr>
                  <w:rFonts w:ascii="Cambria Math" w:hAnsi="Cambria Math"/>
                  <w:i/>
                  <w:iCs/>
                </w:rPr>
              </m:ctrlPr>
            </m:sSubPr>
            <m:e>
              <m:r>
                <w:rPr>
                  <w:rFonts w:ascii="Cambria Math" w:hAnsi="Cambria Math"/>
                </w:rPr>
                <m:t>P</m:t>
              </m:r>
            </m:e>
            <m:sub>
              <m:r>
                <w:rPr>
                  <w:rFonts w:ascii="Cambria Math" w:hAnsi="Cambria Math"/>
                </w:rPr>
                <m:t>IN</m:t>
              </m:r>
            </m:sub>
          </m:sSub>
          <m:d>
            <m:dPr>
              <m:ctrlPr>
                <w:rPr>
                  <w:rFonts w:ascii="Cambria Math" w:hAnsi="Cambria Math"/>
                  <w:i/>
                  <w:iCs/>
                </w:rPr>
              </m:ctrlPr>
            </m:dPr>
            <m:e>
              <m:r>
                <w:rPr>
                  <w:rFonts w:ascii="Cambria Math" w:hAnsi="Cambria Math"/>
                </w:rPr>
                <m:t>t</m:t>
              </m:r>
            </m:e>
          </m:d>
        </m:oMath>
      </m:oMathPara>
    </w:p>
    <w:p w:rsidR="00163BE0" w:rsidRPr="009A4C44" w:rsidRDefault="00163BE0" w:rsidP="00163BE0">
      <w:pPr>
        <w:pStyle w:val="textregular"/>
        <w:rPr>
          <w:szCs w:val="22"/>
          <w:lang w:eastAsia="en-US"/>
        </w:rPr>
      </w:pPr>
    </w:p>
    <w:p w:rsidR="00163BE0" w:rsidRPr="009A4C44" w:rsidRDefault="00163BE0" w:rsidP="00163BE0">
      <w:pPr>
        <w:pStyle w:val="textregular"/>
        <w:rPr>
          <w:szCs w:val="22"/>
          <w:lang w:eastAsia="en-US"/>
        </w:rPr>
      </w:pPr>
      <w:r w:rsidRPr="009A4C44">
        <w:rPr>
          <w:lang w:eastAsia="en-US"/>
        </w:rPr>
        <w:t xml:space="preserve">The settlement amount of each IN Member shall be used to determine a rent </w:t>
      </w:r>
      <w:proofErr w:type="gramStart"/>
      <w:r w:rsidRPr="009A4C44">
        <w:rPr>
          <w:lang w:eastAsia="en-US"/>
        </w:rPr>
        <w:t>B(</w:t>
      </w:r>
      <w:proofErr w:type="spellStart"/>
      <w:proofErr w:type="gramEnd"/>
      <w:r w:rsidRPr="009A4C44">
        <w:rPr>
          <w:lang w:eastAsia="en-US"/>
        </w:rPr>
        <w:t>t,m</w:t>
      </w:r>
      <w:proofErr w:type="spellEnd"/>
      <w:r w:rsidRPr="009A4C44">
        <w:rPr>
          <w:lang w:eastAsia="en-US"/>
        </w:rPr>
        <w:t>) of each IN Member. The rent of each IN Member is defined as a difference between:</w:t>
      </w:r>
      <w:r w:rsidRPr="009A4C44">
        <w:rPr>
          <w:szCs w:val="22"/>
          <w:lang w:eastAsia="en-US"/>
        </w:rPr>
        <w:t xml:space="preserve"> </w:t>
      </w:r>
    </w:p>
    <w:p w:rsidR="00163BE0" w:rsidRPr="009A4C44" w:rsidRDefault="00163BE0" w:rsidP="00DD58FA">
      <w:pPr>
        <w:pStyle w:val="textregular"/>
        <w:numPr>
          <w:ilvl w:val="1"/>
          <w:numId w:val="15"/>
        </w:numPr>
        <w:rPr>
          <w:lang w:eastAsia="en-US"/>
        </w:rPr>
      </w:pPr>
      <w:r w:rsidRPr="009A4C44">
        <w:rPr>
          <w:lang w:eastAsia="en-US"/>
        </w:rPr>
        <w:t xml:space="preserve">the import Value of avoided </w:t>
      </w:r>
      <w:proofErr w:type="spellStart"/>
      <w:r w:rsidRPr="009A4C44">
        <w:rPr>
          <w:lang w:eastAsia="en-US"/>
        </w:rPr>
        <w:t>aFRR</w:t>
      </w:r>
      <w:proofErr w:type="spellEnd"/>
      <w:r w:rsidRPr="009A4C44">
        <w:rPr>
          <w:lang w:eastAsia="en-US"/>
        </w:rPr>
        <w:t xml:space="preserve"> Activation</w:t>
      </w:r>
      <w:r w:rsidRPr="009A4C44" w:rsidDel="001C5B1F">
        <w:rPr>
          <w:lang w:eastAsia="en-US"/>
        </w:rPr>
        <w:t xml:space="preserve"> </w:t>
      </w:r>
      <w:r w:rsidRPr="009A4C44">
        <w:rPr>
          <w:lang w:eastAsia="en-US"/>
        </w:rPr>
        <w:t>multiplied by imported volume minus the export Value of avoided</w:t>
      </w:r>
      <w:r w:rsidR="00943E50">
        <w:rPr>
          <w:lang w:eastAsia="en-US"/>
        </w:rPr>
        <w:t xml:space="preserve"> </w:t>
      </w:r>
      <w:proofErr w:type="spellStart"/>
      <w:r w:rsidRPr="009A4C44">
        <w:rPr>
          <w:lang w:eastAsia="en-US"/>
        </w:rPr>
        <w:t>aFRR</w:t>
      </w:r>
      <w:proofErr w:type="spellEnd"/>
      <w:r w:rsidRPr="009A4C44">
        <w:rPr>
          <w:lang w:eastAsia="en-US"/>
        </w:rPr>
        <w:t xml:space="preserve"> Activation</w:t>
      </w:r>
      <w:r w:rsidRPr="009A4C44" w:rsidDel="001C5B1F">
        <w:rPr>
          <w:lang w:eastAsia="en-US"/>
        </w:rPr>
        <w:t xml:space="preserve"> </w:t>
      </w:r>
      <w:r w:rsidRPr="009A4C44">
        <w:rPr>
          <w:lang w:eastAsia="en-US"/>
        </w:rPr>
        <w:t xml:space="preserve">multiplied by exported volume of the respective IN Member, and </w:t>
      </w:r>
    </w:p>
    <w:p w:rsidR="00163BE0" w:rsidRPr="009A4C44" w:rsidRDefault="00163BE0" w:rsidP="00DD58FA">
      <w:pPr>
        <w:pStyle w:val="textregular"/>
        <w:numPr>
          <w:ilvl w:val="1"/>
          <w:numId w:val="15"/>
        </w:numPr>
        <w:rPr>
          <w:szCs w:val="22"/>
          <w:lang w:eastAsia="en-US"/>
        </w:rPr>
      </w:pPr>
      <w:proofErr w:type="gramStart"/>
      <w:r w:rsidRPr="009A4C44">
        <w:rPr>
          <w:lang w:eastAsia="en-US"/>
        </w:rPr>
        <w:t>the</w:t>
      </w:r>
      <w:proofErr w:type="gramEnd"/>
      <w:r w:rsidRPr="009A4C44">
        <w:rPr>
          <w:lang w:eastAsia="en-US"/>
        </w:rPr>
        <w:t xml:space="preserve"> settlement amount of each IN Member</w:t>
      </w:r>
      <w:r w:rsidRPr="009A4C44">
        <w:rPr>
          <w:szCs w:val="22"/>
          <w:lang w:eastAsia="en-US"/>
        </w:rPr>
        <w:t>.</w:t>
      </w:r>
    </w:p>
    <w:p w:rsidR="00163BE0" w:rsidRPr="009A4C44" w:rsidRDefault="00163BE0" w:rsidP="00163BE0">
      <w:pPr>
        <w:rPr>
          <w:rFonts w:ascii="Times New Roman" w:hAnsi="Times New Roman"/>
          <w:szCs w:val="19"/>
          <w:lang w:eastAsia="en-US"/>
        </w:rPr>
      </w:pPr>
      <w:r w:rsidRPr="009A4C44">
        <w:rPr>
          <w:rFonts w:ascii="Times New Roman" w:hAnsi="Times New Roman"/>
          <w:szCs w:val="19"/>
          <w:lang w:eastAsia="en-US"/>
        </w:rPr>
        <w:t xml:space="preserve">Thus, rent </w:t>
      </w:r>
      <w:proofErr w:type="gramStart"/>
      <w:r w:rsidRPr="009A4C44">
        <w:rPr>
          <w:rFonts w:ascii="Times New Roman" w:hAnsi="Times New Roman"/>
          <w:szCs w:val="19"/>
          <w:lang w:eastAsia="en-US"/>
        </w:rPr>
        <w:t>B(</w:t>
      </w:r>
      <w:proofErr w:type="spellStart"/>
      <w:proofErr w:type="gramEnd"/>
      <w:r w:rsidRPr="009A4C44">
        <w:rPr>
          <w:rFonts w:ascii="Times New Roman" w:hAnsi="Times New Roman"/>
          <w:szCs w:val="19"/>
          <w:lang w:eastAsia="en-US"/>
        </w:rPr>
        <w:t>t,m</w:t>
      </w:r>
      <w:proofErr w:type="spellEnd"/>
      <w:r w:rsidRPr="009A4C44">
        <w:rPr>
          <w:rFonts w:ascii="Times New Roman" w:hAnsi="Times New Roman"/>
          <w:szCs w:val="19"/>
          <w:lang w:eastAsia="en-US"/>
        </w:rPr>
        <w:t>) is calculated according to the following formula:</w:t>
      </w:r>
    </w:p>
    <w:p w:rsidR="00163BE0" w:rsidRPr="009A4C44" w:rsidRDefault="00163BE0" w:rsidP="00163BE0">
      <w:pPr>
        <w:rPr>
          <w:rFonts w:ascii="Times New Roman" w:hAnsi="Times New Roman"/>
          <w:szCs w:val="19"/>
          <w:lang w:eastAsia="en-US"/>
        </w:rPr>
      </w:pPr>
    </w:p>
    <w:p w:rsidR="00163BE0" w:rsidRPr="009A4C44" w:rsidRDefault="00163BE0" w:rsidP="00163BE0">
      <w:pPr>
        <w:rPr>
          <w:rFonts w:ascii="Times New Roman" w:hAnsi="Times New Roman"/>
          <w:iCs/>
        </w:rPr>
      </w:pPr>
      <m:oMathPara>
        <m:oMath>
          <m:r>
            <w:rPr>
              <w:rFonts w:ascii="Cambria Math" w:hAnsi="Cambria Math"/>
            </w:rPr>
            <m:t>B</m:t>
          </m:r>
          <m:d>
            <m:dPr>
              <m:ctrlPr>
                <w:rPr>
                  <w:rFonts w:ascii="Cambria Math" w:hAnsi="Cambria Math"/>
                  <w:i/>
                  <w:iCs/>
                </w:rPr>
              </m:ctrlPr>
            </m:dPr>
            <m:e>
              <m:r>
                <w:rPr>
                  <w:rFonts w:ascii="Cambria Math" w:hAnsi="Cambria Math"/>
                </w:rPr>
                <m:t>t,m</m:t>
              </m:r>
            </m:e>
          </m:d>
          <m:r>
            <w:rPr>
              <w:rFonts w:ascii="Cambria Math" w:hAnsi="Cambria Math"/>
            </w:rPr>
            <m:t>=</m:t>
          </m:r>
          <m:d>
            <m:dPr>
              <m:begChr m:val="["/>
              <m:endChr m:val="]"/>
              <m:ctrlPr>
                <w:rPr>
                  <w:rFonts w:ascii="Cambria Math" w:hAnsi="Cambria Math"/>
                  <w:i/>
                  <w:iCs/>
                </w:rPr>
              </m:ctrlPr>
            </m:dPr>
            <m:e>
              <m:sSub>
                <m:sSubPr>
                  <m:ctrlPr>
                    <w:rPr>
                      <w:rFonts w:ascii="Cambria Math" w:hAnsi="Cambria Math"/>
                      <w:i/>
                      <w:iCs/>
                    </w:rPr>
                  </m:ctrlPr>
                </m:sSubPr>
                <m:e>
                  <m:r>
                    <w:rPr>
                      <w:rFonts w:ascii="Cambria Math" w:hAnsi="Cambria Math"/>
                    </w:rPr>
                    <m:t>E</m:t>
                  </m:r>
                </m:e>
                <m:sub>
                  <m:r>
                    <w:rPr>
                      <w:rFonts w:ascii="Cambria Math" w:hAnsi="Cambria Math"/>
                    </w:rPr>
                    <m:t>Imp</m:t>
                  </m:r>
                </m:sub>
              </m:sSub>
              <m:d>
                <m:dPr>
                  <m:ctrlPr>
                    <w:rPr>
                      <w:rFonts w:ascii="Cambria Math" w:hAnsi="Cambria Math"/>
                      <w:i/>
                      <w:iCs/>
                    </w:rPr>
                  </m:ctrlPr>
                </m:dPr>
                <m:e>
                  <m:r>
                    <w:rPr>
                      <w:rFonts w:ascii="Cambria Math" w:hAnsi="Cambria Math"/>
                    </w:rPr>
                    <m:t>t,m</m:t>
                  </m:r>
                </m:e>
              </m:d>
              <m:r>
                <w:rPr>
                  <w:rFonts w:ascii="Cambria Math" w:hAnsi="Cambria Math"/>
                </w:rPr>
                <m:t>*</m:t>
              </m:r>
              <m:sSub>
                <m:sSubPr>
                  <m:ctrlPr>
                    <w:rPr>
                      <w:rFonts w:ascii="Cambria Math" w:hAnsi="Cambria Math"/>
                      <w:i/>
                      <w:iCs/>
                    </w:rPr>
                  </m:ctrlPr>
                </m:sSubPr>
                <m:e>
                  <m:r>
                    <w:rPr>
                      <w:rFonts w:ascii="Cambria Math" w:hAnsi="Cambria Math"/>
                    </w:rPr>
                    <m:t>C</m:t>
                  </m:r>
                </m:e>
                <m:sub>
                  <m:r>
                    <w:rPr>
                      <w:rFonts w:ascii="Cambria Math" w:hAnsi="Cambria Math"/>
                    </w:rPr>
                    <m:t>Imp</m:t>
                  </m:r>
                </m:sub>
              </m:sSub>
              <m:d>
                <m:dPr>
                  <m:ctrlPr>
                    <w:rPr>
                      <w:rFonts w:ascii="Cambria Math" w:hAnsi="Cambria Math"/>
                      <w:i/>
                      <w:iCs/>
                    </w:rPr>
                  </m:ctrlPr>
                </m:dPr>
                <m:e>
                  <m:r>
                    <w:rPr>
                      <w:rFonts w:ascii="Cambria Math" w:hAnsi="Cambria Math"/>
                    </w:rPr>
                    <m:t>t,m</m:t>
                  </m:r>
                </m:e>
              </m:d>
              <m:r>
                <w:rPr>
                  <w:rFonts w:ascii="Cambria Math" w:hAnsi="Cambria Math"/>
                </w:rPr>
                <m:t>-</m:t>
              </m:r>
              <m:sSub>
                <m:sSubPr>
                  <m:ctrlPr>
                    <w:rPr>
                      <w:rFonts w:ascii="Cambria Math" w:hAnsi="Cambria Math"/>
                      <w:i/>
                      <w:iCs/>
                    </w:rPr>
                  </m:ctrlPr>
                </m:sSubPr>
                <m:e>
                  <m:r>
                    <w:rPr>
                      <w:rFonts w:ascii="Cambria Math" w:hAnsi="Cambria Math"/>
                    </w:rPr>
                    <m:t>E</m:t>
                  </m:r>
                </m:e>
                <m:sub>
                  <m:r>
                    <w:rPr>
                      <w:rFonts w:ascii="Cambria Math" w:hAnsi="Cambria Math"/>
                    </w:rPr>
                    <m:t>Exp</m:t>
                  </m:r>
                </m:sub>
              </m:sSub>
              <m:d>
                <m:dPr>
                  <m:ctrlPr>
                    <w:rPr>
                      <w:rFonts w:ascii="Cambria Math" w:hAnsi="Cambria Math"/>
                      <w:i/>
                      <w:iCs/>
                    </w:rPr>
                  </m:ctrlPr>
                </m:dPr>
                <m:e>
                  <m:r>
                    <w:rPr>
                      <w:rFonts w:ascii="Cambria Math" w:hAnsi="Cambria Math"/>
                    </w:rPr>
                    <m:t>t,m</m:t>
                  </m:r>
                </m:e>
              </m:d>
              <m:r>
                <w:rPr>
                  <w:rFonts w:ascii="Cambria Math" w:hAnsi="Cambria Math"/>
                </w:rPr>
                <m:t>*</m:t>
              </m:r>
              <m:sSub>
                <m:sSubPr>
                  <m:ctrlPr>
                    <w:rPr>
                      <w:rFonts w:ascii="Cambria Math" w:hAnsi="Cambria Math"/>
                      <w:i/>
                      <w:iCs/>
                    </w:rPr>
                  </m:ctrlPr>
                </m:sSubPr>
                <m:e>
                  <m:r>
                    <w:rPr>
                      <w:rFonts w:ascii="Cambria Math" w:hAnsi="Cambria Math"/>
                    </w:rPr>
                    <m:t>C</m:t>
                  </m:r>
                </m:e>
                <m:sub>
                  <m:r>
                    <w:rPr>
                      <w:rFonts w:ascii="Cambria Math" w:hAnsi="Cambria Math"/>
                    </w:rPr>
                    <m:t>Exp</m:t>
                  </m:r>
                </m:sub>
              </m:sSub>
              <m:d>
                <m:dPr>
                  <m:ctrlPr>
                    <w:rPr>
                      <w:rFonts w:ascii="Cambria Math" w:hAnsi="Cambria Math"/>
                      <w:i/>
                      <w:iCs/>
                    </w:rPr>
                  </m:ctrlPr>
                </m:dPr>
                <m:e>
                  <m:r>
                    <w:rPr>
                      <w:rFonts w:ascii="Cambria Math" w:hAnsi="Cambria Math"/>
                    </w:rPr>
                    <m:t>t,m</m:t>
                  </m:r>
                </m:e>
              </m:d>
            </m:e>
          </m:d>
          <m:r>
            <w:rPr>
              <w:rFonts w:ascii="Cambria Math" w:hAnsi="Cambria Math"/>
            </w:rPr>
            <m:t>-S</m:t>
          </m:r>
          <m:d>
            <m:dPr>
              <m:ctrlPr>
                <w:rPr>
                  <w:rFonts w:ascii="Cambria Math" w:hAnsi="Cambria Math"/>
                  <w:i/>
                  <w:iCs/>
                </w:rPr>
              </m:ctrlPr>
            </m:dPr>
            <m:e>
              <m:r>
                <w:rPr>
                  <w:rFonts w:ascii="Cambria Math" w:hAnsi="Cambria Math"/>
                </w:rPr>
                <m:t>t,m</m:t>
              </m:r>
            </m:e>
          </m:d>
        </m:oMath>
      </m:oMathPara>
    </w:p>
    <w:p w:rsidR="00163BE0" w:rsidRPr="009A4C44" w:rsidRDefault="002D564B" w:rsidP="00163BE0">
      <w:pPr>
        <w:rPr>
          <w:rFonts w:ascii="Times New Roman" w:hAnsi="Times New Roman"/>
        </w:rPr>
      </w:pPr>
      <m:oMathPara>
        <m:oMath>
          <m:sSub>
            <m:sSubPr>
              <m:ctrlPr>
                <w:rPr>
                  <w:rFonts w:ascii="Cambria Math" w:hAnsi="Cambria Math"/>
                  <w:i/>
                </w:rPr>
              </m:ctrlPr>
            </m:sSubPr>
            <m:e>
              <m:r>
                <w:rPr>
                  <w:rFonts w:ascii="Cambria Math" w:hAnsi="Cambria Math"/>
                </w:rPr>
                <m:t>B</m:t>
              </m:r>
            </m:e>
            <m:sub>
              <m:r>
                <w:rPr>
                  <w:rFonts w:ascii="Cambria Math" w:hAnsi="Cambria Math"/>
                </w:rPr>
                <m:t>IN</m:t>
              </m:r>
              <m:r>
                <w:rPr>
                  <w:rFonts w:ascii="Cambria Math" w:hAnsi="Cambria Math"/>
                </w:rPr>
                <m:t>P</m:t>
              </m:r>
            </m:sub>
          </m:sSub>
          <m:d>
            <m:dPr>
              <m:ctrlPr>
                <w:rPr>
                  <w:rFonts w:ascii="Cambria Math" w:hAnsi="Cambria Math"/>
                  <w:i/>
                </w:rPr>
              </m:ctrlPr>
            </m:dPr>
            <m:e>
              <m:r>
                <w:rPr>
                  <w:rFonts w:ascii="Cambria Math" w:hAnsi="Cambria Math"/>
                </w:rPr>
                <m:t>t</m:t>
              </m:r>
            </m:e>
          </m:d>
          <m:r>
            <w:rPr>
              <w:rFonts w:ascii="Cambria Math" w:hAnsi="Cambria Math"/>
            </w:rPr>
            <m:t>=</m:t>
          </m:r>
          <m:nary>
            <m:naryPr>
              <m:chr m:val="∑"/>
              <m:limLoc m:val="undOvr"/>
              <m:ctrlPr>
                <w:rPr>
                  <w:rFonts w:ascii="Cambria Math" w:hAnsi="Cambria Math"/>
                  <w:i/>
                </w:rPr>
              </m:ctrlPr>
            </m:naryPr>
            <m:sub>
              <m:r>
                <w:rPr>
                  <w:rFonts w:ascii="Cambria Math" w:hAnsi="Cambria Math"/>
                </w:rPr>
                <m:t>m=1</m:t>
              </m:r>
            </m:sub>
            <m:sup>
              <m:r>
                <w:rPr>
                  <w:rFonts w:ascii="Cambria Math" w:hAnsi="Cambria Math"/>
                </w:rPr>
                <m:t>M</m:t>
              </m:r>
            </m:sup>
            <m:e>
              <m:r>
                <w:rPr>
                  <w:rFonts w:ascii="Cambria Math" w:hAnsi="Cambria Math"/>
                </w:rPr>
                <m:t>B(t,m)</m:t>
              </m:r>
            </m:e>
          </m:nary>
        </m:oMath>
      </m:oMathPara>
    </w:p>
    <w:p w:rsidR="00163BE0" w:rsidRPr="009A4C44" w:rsidRDefault="00163BE0" w:rsidP="00163BE0">
      <w:pPr>
        <w:pStyle w:val="textregular"/>
        <w:rPr>
          <w:szCs w:val="22"/>
          <w:lang w:eastAsia="en-US"/>
        </w:rPr>
      </w:pPr>
    </w:p>
    <w:p w:rsidR="00163BE0" w:rsidRPr="009A4C44" w:rsidRDefault="00163BE0" w:rsidP="00955BB7">
      <w:pPr>
        <w:pStyle w:val="textregular"/>
        <w:rPr>
          <w:szCs w:val="22"/>
          <w:lang w:eastAsia="en-US"/>
        </w:rPr>
      </w:pPr>
      <w:r w:rsidRPr="009A4C44">
        <w:rPr>
          <w:lang w:eastAsia="en-US"/>
        </w:rPr>
        <w:t xml:space="preserve">The settlement procedure may result in negative rent for some IN Member(s). The reason of this potential negative rent is that INP does not consider economic information when performing netting of </w:t>
      </w:r>
      <w:proofErr w:type="spellStart"/>
      <w:r w:rsidRPr="009A4C44">
        <w:rPr>
          <w:lang w:eastAsia="en-US"/>
        </w:rPr>
        <w:t>aFRR</w:t>
      </w:r>
      <w:proofErr w:type="spellEnd"/>
      <w:r w:rsidRPr="009A4C44">
        <w:rPr>
          <w:lang w:eastAsia="en-US"/>
        </w:rPr>
        <w:t xml:space="preserve"> needs. A negative rent for </w:t>
      </w:r>
      <w:proofErr w:type="gramStart"/>
      <w:r w:rsidRPr="009A4C44">
        <w:rPr>
          <w:lang w:eastAsia="en-US"/>
        </w:rPr>
        <w:t>a</w:t>
      </w:r>
      <w:proofErr w:type="gramEnd"/>
      <w:r w:rsidRPr="009A4C44">
        <w:rPr>
          <w:lang w:eastAsia="en-US"/>
        </w:rPr>
        <w:t xml:space="preserve"> IN Member may occur in one of the following scenarios:</w:t>
      </w:r>
    </w:p>
    <w:p w:rsidR="00163BE0" w:rsidRPr="009A4C44" w:rsidRDefault="00163BE0" w:rsidP="00DD58FA">
      <w:pPr>
        <w:pStyle w:val="ListParagraph"/>
        <w:numPr>
          <w:ilvl w:val="1"/>
          <w:numId w:val="16"/>
        </w:numPr>
        <w:spacing w:after="120" w:line="252" w:lineRule="auto"/>
        <w:ind w:left="938"/>
        <w:contextualSpacing w:val="0"/>
        <w:jc w:val="both"/>
        <w:rPr>
          <w:rFonts w:ascii="Times New Roman" w:hAnsi="Times New Roman"/>
          <w:szCs w:val="19"/>
          <w:lang w:eastAsia="en-US"/>
        </w:rPr>
      </w:pPr>
      <w:r w:rsidRPr="009A4C44">
        <w:rPr>
          <w:rFonts w:ascii="Times New Roman" w:hAnsi="Times New Roman"/>
          <w:szCs w:val="19"/>
          <w:lang w:eastAsia="en-US"/>
        </w:rPr>
        <w:t>The initial IN settlement price is higher than the Value of avoided</w:t>
      </w:r>
      <w:r w:rsidR="006F36EA" w:rsidRPr="009A4C44">
        <w:rPr>
          <w:rFonts w:ascii="Times New Roman" w:hAnsi="Times New Roman"/>
          <w:szCs w:val="19"/>
          <w:lang w:eastAsia="en-US"/>
        </w:rPr>
        <w:t xml:space="preserve"> </w:t>
      </w:r>
      <w:r w:rsidRPr="009A4C44">
        <w:rPr>
          <w:rFonts w:ascii="Times New Roman" w:hAnsi="Times New Roman"/>
          <w:szCs w:val="19"/>
          <w:lang w:eastAsia="en-US"/>
        </w:rPr>
        <w:t xml:space="preserve">positive </w:t>
      </w:r>
      <w:proofErr w:type="spellStart"/>
      <w:r w:rsidRPr="009A4C44">
        <w:rPr>
          <w:rFonts w:ascii="Times New Roman" w:hAnsi="Times New Roman"/>
          <w:szCs w:val="19"/>
          <w:lang w:eastAsia="en-US"/>
        </w:rPr>
        <w:t>aFRR</w:t>
      </w:r>
      <w:proofErr w:type="spellEnd"/>
      <w:r w:rsidRPr="009A4C44">
        <w:rPr>
          <w:rFonts w:ascii="Times New Roman" w:hAnsi="Times New Roman"/>
          <w:szCs w:val="19"/>
          <w:lang w:eastAsia="en-US"/>
        </w:rPr>
        <w:t xml:space="preserve"> Activation </w:t>
      </w:r>
    </w:p>
    <w:p w:rsidR="00163BE0" w:rsidRPr="009A4C44" w:rsidRDefault="00163BE0" w:rsidP="00DD58FA">
      <w:pPr>
        <w:pStyle w:val="ListParagraph"/>
        <w:numPr>
          <w:ilvl w:val="1"/>
          <w:numId w:val="16"/>
        </w:numPr>
        <w:spacing w:after="120" w:line="252" w:lineRule="auto"/>
        <w:ind w:left="938"/>
        <w:contextualSpacing w:val="0"/>
        <w:jc w:val="both"/>
        <w:rPr>
          <w:rFonts w:ascii="Times New Roman" w:hAnsi="Times New Roman"/>
          <w:szCs w:val="22"/>
          <w:lang w:eastAsia="en-US"/>
        </w:rPr>
      </w:pPr>
      <w:r w:rsidRPr="009A4C44">
        <w:rPr>
          <w:rFonts w:ascii="Times New Roman" w:hAnsi="Times New Roman"/>
          <w:szCs w:val="19"/>
          <w:lang w:eastAsia="en-US"/>
        </w:rPr>
        <w:t>The initial IN settlement price is lower than the Value of avoided</w:t>
      </w:r>
      <w:r w:rsidR="006F36EA" w:rsidRPr="009A4C44">
        <w:rPr>
          <w:rFonts w:ascii="Times New Roman" w:hAnsi="Times New Roman"/>
          <w:szCs w:val="19"/>
          <w:lang w:eastAsia="en-US"/>
        </w:rPr>
        <w:t xml:space="preserve"> </w:t>
      </w:r>
      <w:r w:rsidRPr="009A4C44">
        <w:rPr>
          <w:rFonts w:ascii="Times New Roman" w:hAnsi="Times New Roman"/>
          <w:szCs w:val="19"/>
          <w:lang w:eastAsia="en-US"/>
        </w:rPr>
        <w:t xml:space="preserve">negative </w:t>
      </w:r>
      <w:proofErr w:type="spellStart"/>
      <w:r w:rsidRPr="009A4C44">
        <w:rPr>
          <w:rFonts w:ascii="Times New Roman" w:hAnsi="Times New Roman"/>
          <w:szCs w:val="19"/>
          <w:lang w:eastAsia="en-US"/>
        </w:rPr>
        <w:t>aFRR</w:t>
      </w:r>
      <w:proofErr w:type="spellEnd"/>
      <w:r w:rsidRPr="009A4C44">
        <w:rPr>
          <w:rFonts w:ascii="Times New Roman" w:hAnsi="Times New Roman"/>
          <w:szCs w:val="19"/>
          <w:lang w:eastAsia="en-US"/>
        </w:rPr>
        <w:t xml:space="preserve"> Activation</w:t>
      </w:r>
      <w:r w:rsidRPr="009A4C44">
        <w:rPr>
          <w:rFonts w:ascii="Times New Roman" w:hAnsi="Times New Roman"/>
          <w:szCs w:val="22"/>
          <w:lang w:eastAsia="en-US"/>
        </w:rPr>
        <w:t xml:space="preserve"> </w:t>
      </w:r>
    </w:p>
    <w:p w:rsidR="00163BE0" w:rsidRPr="009A4C44" w:rsidRDefault="00163BE0" w:rsidP="00955BB7">
      <w:pPr>
        <w:pStyle w:val="textregular"/>
        <w:rPr>
          <w:szCs w:val="22"/>
          <w:lang w:eastAsia="en-US"/>
        </w:rPr>
      </w:pPr>
      <w:r w:rsidRPr="009A4C44">
        <w:rPr>
          <w:lang w:eastAsia="en-US"/>
        </w:rPr>
        <w:t xml:space="preserve">In case of a negative rent for some IN Members and a positive IN overall rent in the same settlement period, the settlement amounts are subject to an adjustment. Negative rents are shifted to zero. Positive rents are reduced proportionally while preserving the IN overall rent. IN Members with equal IN import and export </w:t>
      </w:r>
      <w:r w:rsidRPr="009A4C44">
        <w:rPr>
          <w:lang w:eastAsia="en-US"/>
        </w:rPr>
        <w:lastRenderedPageBreak/>
        <w:t>in a given settlement period are excluded from this adjustment. The adjustment results in the following adjusted settlement prices for negative rent IN Members in the affected settlement periods</w:t>
      </w:r>
      <w:r w:rsidRPr="009A4C44">
        <w:rPr>
          <w:szCs w:val="22"/>
          <w:lang w:eastAsia="en-US"/>
        </w:rPr>
        <w:t>:</w:t>
      </w:r>
    </w:p>
    <w:p w:rsidR="00163BE0" w:rsidRPr="009A4C44" w:rsidRDefault="00163BE0" w:rsidP="00DD58FA">
      <w:pPr>
        <w:pStyle w:val="textregular"/>
        <w:numPr>
          <w:ilvl w:val="1"/>
          <w:numId w:val="17"/>
        </w:numPr>
        <w:ind w:left="938"/>
        <w:rPr>
          <w:lang w:eastAsia="en-US"/>
        </w:rPr>
      </w:pPr>
      <w:r w:rsidRPr="009A4C44">
        <w:rPr>
          <w:lang w:eastAsia="en-US"/>
        </w:rPr>
        <w:t>In case of initial IN settlement price higher than the Value of avoided</w:t>
      </w:r>
      <w:r w:rsidR="001230EE" w:rsidRPr="009A4C44">
        <w:rPr>
          <w:lang w:eastAsia="en-US"/>
        </w:rPr>
        <w:t xml:space="preserve"> </w:t>
      </w:r>
      <w:r w:rsidRPr="009A4C44">
        <w:rPr>
          <w:lang w:eastAsia="en-US"/>
        </w:rPr>
        <w:t xml:space="preserve">positive </w:t>
      </w:r>
      <w:proofErr w:type="spellStart"/>
      <w:r w:rsidRPr="009A4C44">
        <w:rPr>
          <w:lang w:eastAsia="en-US"/>
        </w:rPr>
        <w:t>aFRR</w:t>
      </w:r>
      <w:proofErr w:type="spellEnd"/>
      <w:r w:rsidRPr="009A4C44">
        <w:rPr>
          <w:lang w:eastAsia="en-US"/>
        </w:rPr>
        <w:t xml:space="preserve"> Activation, the settlement price for intended energy import as result of the INP for this IN Member shall be equal to its Value of avoided</w:t>
      </w:r>
      <w:r w:rsidR="001230EE" w:rsidRPr="009A4C44">
        <w:rPr>
          <w:lang w:eastAsia="en-US"/>
        </w:rPr>
        <w:t xml:space="preserve"> </w:t>
      </w:r>
      <w:r w:rsidRPr="009A4C44">
        <w:rPr>
          <w:lang w:eastAsia="en-US"/>
        </w:rPr>
        <w:t xml:space="preserve">positive </w:t>
      </w:r>
      <w:proofErr w:type="spellStart"/>
      <w:r w:rsidRPr="009A4C44">
        <w:rPr>
          <w:lang w:eastAsia="en-US"/>
        </w:rPr>
        <w:t>aFRR</w:t>
      </w:r>
      <w:proofErr w:type="spellEnd"/>
      <w:r w:rsidRPr="009A4C44">
        <w:rPr>
          <w:lang w:eastAsia="en-US"/>
        </w:rPr>
        <w:t xml:space="preserve"> Activation</w:t>
      </w:r>
    </w:p>
    <w:p w:rsidR="00163BE0" w:rsidRPr="009A4C44" w:rsidRDefault="00163BE0" w:rsidP="00DD58FA">
      <w:pPr>
        <w:pStyle w:val="textregular"/>
        <w:numPr>
          <w:ilvl w:val="1"/>
          <w:numId w:val="17"/>
        </w:numPr>
        <w:ind w:left="938"/>
        <w:rPr>
          <w:lang w:eastAsia="en-US"/>
        </w:rPr>
      </w:pPr>
      <w:r w:rsidRPr="009A4C44">
        <w:rPr>
          <w:lang w:eastAsia="en-US"/>
        </w:rPr>
        <w:t>In case of initial IN settlement price lower than the Value of avoided</w:t>
      </w:r>
      <w:r w:rsidR="001230EE" w:rsidRPr="009A4C44">
        <w:rPr>
          <w:lang w:eastAsia="en-US"/>
        </w:rPr>
        <w:t xml:space="preserve"> </w:t>
      </w:r>
      <w:r w:rsidRPr="009A4C44">
        <w:rPr>
          <w:lang w:eastAsia="en-US"/>
        </w:rPr>
        <w:t xml:space="preserve">negative </w:t>
      </w:r>
      <w:proofErr w:type="spellStart"/>
      <w:r w:rsidRPr="009A4C44">
        <w:rPr>
          <w:lang w:eastAsia="en-US"/>
        </w:rPr>
        <w:t>aFRR</w:t>
      </w:r>
      <w:proofErr w:type="spellEnd"/>
      <w:r w:rsidRPr="009A4C44">
        <w:rPr>
          <w:lang w:eastAsia="en-US"/>
        </w:rPr>
        <w:t xml:space="preserve"> Activation, the settlement price for intended energy export as result of the INP for this IN Member shall be equal to its Value of avoided</w:t>
      </w:r>
      <w:r w:rsidR="001230EE" w:rsidRPr="009A4C44">
        <w:rPr>
          <w:lang w:eastAsia="en-US"/>
        </w:rPr>
        <w:t xml:space="preserve"> </w:t>
      </w:r>
      <w:r w:rsidRPr="009A4C44">
        <w:rPr>
          <w:lang w:eastAsia="en-US"/>
        </w:rPr>
        <w:t xml:space="preserve">negative </w:t>
      </w:r>
      <w:proofErr w:type="spellStart"/>
      <w:r w:rsidRPr="009A4C44">
        <w:rPr>
          <w:lang w:eastAsia="en-US"/>
        </w:rPr>
        <w:t>aFRR</w:t>
      </w:r>
      <w:proofErr w:type="spellEnd"/>
      <w:r w:rsidRPr="009A4C44">
        <w:rPr>
          <w:lang w:eastAsia="en-US"/>
        </w:rPr>
        <w:t xml:space="preserve"> Activation</w:t>
      </w:r>
    </w:p>
    <w:p w:rsidR="00163BE0" w:rsidRPr="009A4C44" w:rsidRDefault="00163BE0" w:rsidP="00955BB7">
      <w:pPr>
        <w:rPr>
          <w:rFonts w:ascii="Times New Roman" w:hAnsi="Times New Roman"/>
        </w:rPr>
      </w:pPr>
      <w:r w:rsidRPr="009A4C44">
        <w:rPr>
          <w:rFonts w:ascii="Times New Roman" w:hAnsi="Times New Roman"/>
          <w:szCs w:val="19"/>
          <w:lang w:eastAsia="en-US"/>
        </w:rPr>
        <w:t xml:space="preserve">Thus, the procedure to calculate the adjusted settlement </w:t>
      </w:r>
      <w:proofErr w:type="gramStart"/>
      <w:r w:rsidRPr="009A4C44">
        <w:rPr>
          <w:rFonts w:ascii="Times New Roman" w:hAnsi="Times New Roman"/>
          <w:szCs w:val="19"/>
          <w:lang w:eastAsia="en-US"/>
        </w:rPr>
        <w:t xml:space="preserve">amounts </w:t>
      </w:r>
      <w:proofErr w:type="gramEnd"/>
      <m:oMath>
        <m:sSup>
          <m:sSupPr>
            <m:ctrlPr>
              <w:rPr>
                <w:rFonts w:ascii="Cambria Math" w:hAnsi="Cambria Math"/>
                <w:szCs w:val="19"/>
                <w:lang w:eastAsia="en-US"/>
              </w:rPr>
            </m:ctrlPr>
          </m:sSupPr>
          <m:e>
            <m:r>
              <w:rPr>
                <w:rFonts w:ascii="Cambria Math" w:hAnsi="Cambria Math"/>
                <w:szCs w:val="19"/>
                <w:lang w:eastAsia="en-US"/>
              </w:rPr>
              <m:t>S</m:t>
            </m:r>
          </m:e>
          <m:sup>
            <m:r>
              <m:rPr>
                <m:sty m:val="p"/>
              </m:rPr>
              <w:rPr>
                <w:rFonts w:ascii="Cambria Math" w:hAnsi="Cambria Math"/>
                <w:szCs w:val="19"/>
                <w:lang w:eastAsia="en-US"/>
              </w:rPr>
              <m:t>'</m:t>
            </m:r>
          </m:sup>
        </m:sSup>
        <m:d>
          <m:dPr>
            <m:ctrlPr>
              <w:rPr>
                <w:rFonts w:ascii="Cambria Math" w:hAnsi="Cambria Math"/>
                <w:szCs w:val="19"/>
                <w:lang w:eastAsia="en-US"/>
              </w:rPr>
            </m:ctrlPr>
          </m:dPr>
          <m:e>
            <m:r>
              <w:rPr>
                <w:rFonts w:ascii="Cambria Math" w:hAnsi="Cambria Math"/>
                <w:szCs w:val="19"/>
                <w:lang w:eastAsia="en-US"/>
              </w:rPr>
              <m:t>t</m:t>
            </m:r>
            <m:r>
              <m:rPr>
                <m:sty m:val="p"/>
              </m:rPr>
              <w:rPr>
                <w:rFonts w:ascii="Cambria Math" w:hAnsi="Cambria Math"/>
                <w:szCs w:val="19"/>
                <w:lang w:eastAsia="en-US"/>
              </w:rPr>
              <m:t>,</m:t>
            </m:r>
            <m:r>
              <w:rPr>
                <w:rFonts w:ascii="Cambria Math" w:hAnsi="Cambria Math"/>
                <w:szCs w:val="19"/>
                <w:lang w:eastAsia="en-US"/>
              </w:rPr>
              <m:t>m</m:t>
            </m:r>
          </m:e>
        </m:d>
      </m:oMath>
      <w:r w:rsidRPr="009A4C44">
        <w:rPr>
          <w:rFonts w:ascii="Times New Roman" w:hAnsi="Times New Roman"/>
          <w:szCs w:val="19"/>
          <w:lang w:eastAsia="en-US"/>
        </w:rPr>
        <w:t>, in the case of negative rent occur for one or several INP members, is shown in the following formulas</w:t>
      </w:r>
      <w:r w:rsidRPr="009A4C44">
        <w:rPr>
          <w:rFonts w:ascii="Times New Roman" w:hAnsi="Times New Roman"/>
        </w:rPr>
        <w:t>:</w:t>
      </w:r>
    </w:p>
    <w:p w:rsidR="00163BE0" w:rsidRPr="009A4C44" w:rsidRDefault="00163BE0" w:rsidP="00163BE0">
      <w:pPr>
        <w:rPr>
          <w:rFonts w:ascii="Times New Roman" w:hAnsi="Times New Roman"/>
        </w:rPr>
      </w:pPr>
    </w:p>
    <w:p w:rsidR="00163BE0" w:rsidRPr="009A4C44" w:rsidRDefault="00163BE0" w:rsidP="00DD58FA">
      <w:pPr>
        <w:pStyle w:val="ListParagraph"/>
        <w:numPr>
          <w:ilvl w:val="0"/>
          <w:numId w:val="13"/>
        </w:numPr>
        <w:spacing w:after="200" w:line="360" w:lineRule="auto"/>
        <w:jc w:val="both"/>
        <w:rPr>
          <w:rFonts w:ascii="Times New Roman" w:hAnsi="Times New Roman"/>
        </w:rPr>
      </w:pPr>
      <w:r w:rsidRPr="009A4C44">
        <w:rPr>
          <w:rFonts w:ascii="Times New Roman" w:hAnsi="Times New Roman"/>
          <w:szCs w:val="19"/>
          <w:lang w:eastAsia="en-US"/>
        </w:rPr>
        <w:t>For IN Member with negative rent and not equal import and export</w:t>
      </w:r>
      <w:r w:rsidRPr="009A4C44">
        <w:rPr>
          <w:rFonts w:ascii="Times New Roman" w:hAnsi="Times New Roman"/>
        </w:rPr>
        <w:t>:</w:t>
      </w:r>
    </w:p>
    <w:p w:rsidR="00163BE0" w:rsidRPr="009A4C44" w:rsidRDefault="002D564B" w:rsidP="00163BE0">
      <w:pPr>
        <w:rPr>
          <w:rFonts w:ascii="Times New Roman" w:hAnsi="Times New Roman"/>
          <w:lang w:val="de-DE"/>
        </w:rPr>
      </w:pPr>
      <m:oMathPara>
        <m:oMath>
          <m:sSup>
            <m:sSupPr>
              <m:ctrlPr>
                <w:rPr>
                  <w:rFonts w:ascii="Cambria Math" w:hAnsi="Cambria Math"/>
                  <w:i/>
                  <w:iCs/>
                </w:rPr>
              </m:ctrlPr>
            </m:sSupPr>
            <m:e>
              <m:r>
                <w:rPr>
                  <w:rFonts w:ascii="Cambria Math" w:hAnsi="Cambria Math"/>
                </w:rPr>
                <m:t>S</m:t>
              </m:r>
            </m:e>
            <m:sup>
              <m:r>
                <w:rPr>
                  <w:rFonts w:ascii="Cambria Math" w:hAnsi="Cambria Math"/>
                </w:rPr>
                <m:t>'</m:t>
              </m:r>
            </m:sup>
          </m:sSup>
          <m:d>
            <m:dPr>
              <m:ctrlPr>
                <w:rPr>
                  <w:rFonts w:ascii="Cambria Math" w:hAnsi="Cambria Math"/>
                  <w:i/>
                  <w:iCs/>
                </w:rPr>
              </m:ctrlPr>
            </m:dPr>
            <m:e>
              <m:r>
                <w:rPr>
                  <w:rFonts w:ascii="Cambria Math" w:hAnsi="Cambria Math"/>
                </w:rPr>
                <m:t>t,m</m:t>
              </m:r>
            </m:e>
          </m:d>
          <m:r>
            <w:rPr>
              <w:rFonts w:ascii="Cambria Math" w:hAnsi="Cambria Math"/>
            </w:rPr>
            <m:t>=S</m:t>
          </m:r>
          <m:d>
            <m:dPr>
              <m:ctrlPr>
                <w:rPr>
                  <w:rFonts w:ascii="Cambria Math" w:hAnsi="Cambria Math"/>
                  <w:i/>
                  <w:iCs/>
                </w:rPr>
              </m:ctrlPr>
            </m:dPr>
            <m:e>
              <m:r>
                <w:rPr>
                  <w:rFonts w:ascii="Cambria Math" w:hAnsi="Cambria Math"/>
                </w:rPr>
                <m:t>t,m</m:t>
              </m:r>
            </m:e>
          </m:d>
          <m:r>
            <w:rPr>
              <w:rFonts w:ascii="Cambria Math" w:hAnsi="Cambria Math"/>
            </w:rPr>
            <m:t>+</m:t>
          </m:r>
          <m:r>
            <w:rPr>
              <w:rFonts w:ascii="Cambria Math" w:hAnsi="Cambria Math"/>
              <w:lang w:val="de-DE"/>
            </w:rPr>
            <m:t>B(t,m)</m:t>
          </m:r>
        </m:oMath>
      </m:oMathPara>
    </w:p>
    <w:p w:rsidR="00163BE0" w:rsidRPr="009A4C44" w:rsidRDefault="00163BE0" w:rsidP="00163BE0">
      <w:pPr>
        <w:rPr>
          <w:rFonts w:ascii="Times New Roman" w:hAnsi="Times New Roman"/>
        </w:rPr>
      </w:pPr>
    </w:p>
    <w:p w:rsidR="00163BE0" w:rsidRPr="009A4C44" w:rsidRDefault="00163BE0" w:rsidP="00DD58FA">
      <w:pPr>
        <w:pStyle w:val="ListParagraph"/>
        <w:numPr>
          <w:ilvl w:val="0"/>
          <w:numId w:val="13"/>
        </w:numPr>
        <w:spacing w:after="200" w:line="360" w:lineRule="auto"/>
        <w:jc w:val="both"/>
        <w:rPr>
          <w:rFonts w:ascii="Times New Roman" w:hAnsi="Times New Roman"/>
        </w:rPr>
      </w:pPr>
      <w:r w:rsidRPr="009A4C44">
        <w:rPr>
          <w:rFonts w:ascii="Times New Roman" w:hAnsi="Times New Roman"/>
          <w:szCs w:val="19"/>
          <w:lang w:eastAsia="en-US"/>
        </w:rPr>
        <w:t>For IN Member with positive rent and not equal import and export</w:t>
      </w:r>
      <w:r w:rsidRPr="009A4C44">
        <w:rPr>
          <w:rFonts w:ascii="Times New Roman" w:hAnsi="Times New Roman"/>
        </w:rPr>
        <w:t>:</w:t>
      </w:r>
    </w:p>
    <w:p w:rsidR="00163BE0" w:rsidRPr="009A4C44" w:rsidRDefault="002D564B" w:rsidP="00163BE0">
      <w:pPr>
        <w:pStyle w:val="textregular"/>
        <w:rPr>
          <w:lang w:eastAsia="en-US"/>
        </w:rPr>
      </w:pPr>
      <m:oMathPara>
        <m:oMath>
          <m:sSup>
            <m:sSupPr>
              <m:ctrlPr>
                <w:rPr>
                  <w:rFonts w:ascii="Cambria Math" w:hAnsi="Cambria Math"/>
                  <w:i/>
                  <w:iCs/>
                </w:rPr>
              </m:ctrlPr>
            </m:sSupPr>
            <m:e>
              <m:r>
                <w:rPr>
                  <w:rFonts w:ascii="Cambria Math" w:hAnsi="Cambria Math"/>
                </w:rPr>
                <m:t>S</m:t>
              </m:r>
            </m:e>
            <m:sup>
              <m:r>
                <w:rPr>
                  <w:rFonts w:ascii="Cambria Math" w:hAnsi="Cambria Math"/>
                </w:rPr>
                <m:t>'</m:t>
              </m:r>
            </m:sup>
          </m:sSup>
          <m:d>
            <m:dPr>
              <m:ctrlPr>
                <w:rPr>
                  <w:rFonts w:ascii="Cambria Math" w:hAnsi="Cambria Math"/>
                  <w:i/>
                  <w:iCs/>
                </w:rPr>
              </m:ctrlPr>
            </m:dPr>
            <m:e>
              <m:r>
                <w:rPr>
                  <w:rFonts w:ascii="Cambria Math" w:hAnsi="Cambria Math"/>
                </w:rPr>
                <m:t>t,m</m:t>
              </m:r>
            </m:e>
          </m:d>
          <m:r>
            <w:rPr>
              <w:rFonts w:ascii="Cambria Math" w:hAnsi="Cambria Math"/>
            </w:rPr>
            <m:t>=S</m:t>
          </m:r>
          <m:d>
            <m:dPr>
              <m:ctrlPr>
                <w:rPr>
                  <w:rFonts w:ascii="Cambria Math" w:hAnsi="Cambria Math"/>
                  <w:i/>
                  <w:iCs/>
                </w:rPr>
              </m:ctrlPr>
            </m:dPr>
            <m:e>
              <m:r>
                <w:rPr>
                  <w:rFonts w:ascii="Cambria Math" w:hAnsi="Cambria Math"/>
                </w:rPr>
                <m:t>t,m</m:t>
              </m:r>
            </m:e>
          </m:d>
          <m:r>
            <w:rPr>
              <w:rFonts w:ascii="Cambria Math" w:hAnsi="Cambria Math"/>
              <w:lang w:val="de-DE"/>
            </w:rPr>
            <m:t>-</m:t>
          </m:r>
          <m:nary>
            <m:naryPr>
              <m:chr m:val="∑"/>
              <m:supHide m:val="1"/>
              <m:ctrlPr>
                <w:rPr>
                  <w:rFonts w:ascii="Cambria Math" w:hAnsi="Cambria Math"/>
                  <w:i/>
                  <w:iCs/>
                  <w:lang w:val="de-DE"/>
                </w:rPr>
              </m:ctrlPr>
            </m:naryPr>
            <m:sub>
              <m:r>
                <w:rPr>
                  <w:rFonts w:ascii="Cambria Math" w:hAnsi="Cambria Math"/>
                  <w:lang w:val="de-DE"/>
                </w:rPr>
                <m:t>i∈NZM(t)</m:t>
              </m:r>
            </m:sub>
            <m:sup/>
            <m:e>
              <m:func>
                <m:funcPr>
                  <m:ctrlPr>
                    <w:rPr>
                      <w:rFonts w:ascii="Cambria Math" w:hAnsi="Cambria Math"/>
                      <w:i/>
                      <w:iCs/>
                      <w:lang w:val="de-DE"/>
                    </w:rPr>
                  </m:ctrlPr>
                </m:funcPr>
                <m:fName>
                  <m:r>
                    <w:rPr>
                      <w:rFonts w:ascii="Cambria Math" w:hAnsi="Cambria Math"/>
                      <w:lang w:val="de-DE"/>
                    </w:rPr>
                    <m:t>min</m:t>
                  </m:r>
                </m:fName>
                <m:e>
                  <m:d>
                    <m:dPr>
                      <m:begChr m:val="["/>
                      <m:endChr m:val="]"/>
                      <m:ctrlPr>
                        <w:rPr>
                          <w:rFonts w:ascii="Cambria Math" w:hAnsi="Cambria Math"/>
                          <w:i/>
                          <w:iCs/>
                          <w:lang w:val="de-DE"/>
                        </w:rPr>
                      </m:ctrlPr>
                    </m:dPr>
                    <m:e>
                      <m:r>
                        <w:rPr>
                          <w:rFonts w:ascii="Cambria Math" w:hAnsi="Cambria Math"/>
                          <w:lang w:val="de-DE"/>
                        </w:rPr>
                        <m:t>0,B</m:t>
                      </m:r>
                      <m:d>
                        <m:dPr>
                          <m:ctrlPr>
                            <w:rPr>
                              <w:rFonts w:ascii="Cambria Math" w:hAnsi="Cambria Math"/>
                              <w:i/>
                              <w:iCs/>
                              <w:lang w:val="de-DE"/>
                            </w:rPr>
                          </m:ctrlPr>
                        </m:dPr>
                        <m:e>
                          <m:r>
                            <w:rPr>
                              <w:rFonts w:ascii="Cambria Math" w:hAnsi="Cambria Math"/>
                              <w:lang w:val="de-DE"/>
                            </w:rPr>
                            <m:t>t,i</m:t>
                          </m:r>
                        </m:e>
                      </m:d>
                    </m:e>
                  </m:d>
                </m:e>
              </m:func>
            </m:e>
          </m:nary>
          <m:r>
            <w:rPr>
              <w:rFonts w:ascii="Cambria Math" w:hAnsi="Cambria Math"/>
              <w:lang w:val="de-DE"/>
            </w:rPr>
            <m:t>*</m:t>
          </m:r>
          <m:f>
            <m:fPr>
              <m:ctrlPr>
                <w:rPr>
                  <w:rFonts w:ascii="Cambria Math" w:hAnsi="Cambria Math"/>
                  <w:i/>
                  <w:iCs/>
                  <w:lang w:val="de-DE"/>
                </w:rPr>
              </m:ctrlPr>
            </m:fPr>
            <m:num>
              <m:r>
                <w:rPr>
                  <w:rFonts w:ascii="Cambria Math" w:hAnsi="Cambria Math"/>
                  <w:lang w:val="de-DE"/>
                </w:rPr>
                <m:t>B(t,m)</m:t>
              </m:r>
            </m:num>
            <m:den>
              <m:nary>
                <m:naryPr>
                  <m:chr m:val="∑"/>
                  <m:supHide m:val="1"/>
                  <m:ctrlPr>
                    <w:rPr>
                      <w:rFonts w:ascii="Cambria Math" w:hAnsi="Cambria Math"/>
                      <w:i/>
                      <w:iCs/>
                      <w:lang w:val="de-DE"/>
                    </w:rPr>
                  </m:ctrlPr>
                </m:naryPr>
                <m:sub>
                  <m:r>
                    <w:rPr>
                      <w:rFonts w:ascii="Cambria Math" w:hAnsi="Cambria Math"/>
                      <w:lang w:val="de-DE"/>
                    </w:rPr>
                    <m:t>i∈NZM(t)</m:t>
                  </m:r>
                </m:sub>
                <m:sup/>
                <m:e>
                  <m:func>
                    <m:funcPr>
                      <m:ctrlPr>
                        <w:rPr>
                          <w:rFonts w:ascii="Cambria Math" w:hAnsi="Cambria Math"/>
                          <w:i/>
                          <w:iCs/>
                          <w:lang w:val="de-DE"/>
                        </w:rPr>
                      </m:ctrlPr>
                    </m:funcPr>
                    <m:fName>
                      <m:r>
                        <w:rPr>
                          <w:rFonts w:ascii="Cambria Math" w:hAnsi="Cambria Math"/>
                          <w:lang w:val="de-DE"/>
                        </w:rPr>
                        <m:t>max</m:t>
                      </m:r>
                    </m:fName>
                    <m:e>
                      <m:d>
                        <m:dPr>
                          <m:ctrlPr>
                            <w:rPr>
                              <w:rFonts w:ascii="Cambria Math" w:hAnsi="Cambria Math"/>
                              <w:i/>
                              <w:iCs/>
                              <w:lang w:val="de-DE"/>
                            </w:rPr>
                          </m:ctrlPr>
                        </m:dPr>
                        <m:e>
                          <m:r>
                            <w:rPr>
                              <w:rFonts w:ascii="Cambria Math" w:hAnsi="Cambria Math"/>
                              <w:lang w:val="de-DE"/>
                            </w:rPr>
                            <m:t>0,B</m:t>
                          </m:r>
                          <m:d>
                            <m:dPr>
                              <m:ctrlPr>
                                <w:rPr>
                                  <w:rFonts w:ascii="Cambria Math" w:hAnsi="Cambria Math"/>
                                  <w:i/>
                                  <w:iCs/>
                                  <w:lang w:val="de-DE"/>
                                </w:rPr>
                              </m:ctrlPr>
                            </m:dPr>
                            <m:e>
                              <m:r>
                                <w:rPr>
                                  <w:rFonts w:ascii="Cambria Math" w:hAnsi="Cambria Math"/>
                                  <w:lang w:val="de-DE"/>
                                </w:rPr>
                                <m:t>t,i</m:t>
                              </m:r>
                            </m:e>
                          </m:d>
                        </m:e>
                      </m:d>
                    </m:e>
                  </m:func>
                </m:e>
              </m:nary>
            </m:den>
          </m:f>
        </m:oMath>
      </m:oMathPara>
    </w:p>
    <w:p w:rsidR="00163BE0" w:rsidRPr="009A4C44" w:rsidRDefault="00163BE0" w:rsidP="00163BE0">
      <w:pPr>
        <w:rPr>
          <w:rFonts w:ascii="Times New Roman" w:hAnsi="Times New Roman"/>
        </w:rPr>
      </w:pPr>
    </w:p>
    <w:p w:rsidR="00163BE0" w:rsidRPr="009A4C44" w:rsidRDefault="00163BE0" w:rsidP="00163BE0">
      <w:pPr>
        <w:jc w:val="both"/>
        <w:rPr>
          <w:rFonts w:ascii="Times New Roman" w:hAnsi="Times New Roman"/>
          <w:szCs w:val="19"/>
          <w:lang w:eastAsia="en-US"/>
        </w:rPr>
      </w:pPr>
      <w:r w:rsidRPr="009A4C44" w:rsidDel="00914F27">
        <w:rPr>
          <w:rFonts w:ascii="Times New Roman" w:hAnsi="Times New Roman"/>
          <w:szCs w:val="19"/>
          <w:lang w:eastAsia="en-US"/>
        </w:rPr>
        <w:t xml:space="preserve">All </w:t>
      </w:r>
      <w:r w:rsidRPr="009A4C44">
        <w:rPr>
          <w:rFonts w:ascii="Times New Roman" w:hAnsi="Times New Roman"/>
          <w:szCs w:val="19"/>
          <w:lang w:eastAsia="en-US"/>
        </w:rPr>
        <w:t>IN</w:t>
      </w:r>
      <w:r w:rsidRPr="009A4C44" w:rsidDel="00914F27">
        <w:rPr>
          <w:rFonts w:ascii="Times New Roman" w:hAnsi="Times New Roman"/>
          <w:szCs w:val="19"/>
          <w:lang w:eastAsia="en-US"/>
        </w:rPr>
        <w:t xml:space="preserve"> imports and </w:t>
      </w:r>
      <w:r w:rsidRPr="009A4C44">
        <w:rPr>
          <w:rFonts w:ascii="Times New Roman" w:hAnsi="Times New Roman"/>
          <w:szCs w:val="19"/>
          <w:lang w:eastAsia="en-US"/>
        </w:rPr>
        <w:t>IN</w:t>
      </w:r>
      <w:r w:rsidRPr="009A4C44" w:rsidDel="00914F27">
        <w:rPr>
          <w:rFonts w:ascii="Times New Roman" w:hAnsi="Times New Roman"/>
          <w:szCs w:val="19"/>
          <w:lang w:eastAsia="en-US"/>
        </w:rPr>
        <w:t xml:space="preserve"> exports are settled with the </w:t>
      </w:r>
      <w:r w:rsidRPr="009A4C44">
        <w:rPr>
          <w:rFonts w:ascii="Times New Roman" w:hAnsi="Times New Roman"/>
          <w:szCs w:val="19"/>
          <w:lang w:eastAsia="en-US"/>
        </w:rPr>
        <w:t>final IN</w:t>
      </w:r>
      <w:r w:rsidRPr="009A4C44" w:rsidDel="00914F27">
        <w:rPr>
          <w:rFonts w:ascii="Times New Roman" w:hAnsi="Times New Roman"/>
          <w:szCs w:val="19"/>
          <w:lang w:eastAsia="en-US"/>
        </w:rPr>
        <w:t xml:space="preserve"> settlement price</w:t>
      </w:r>
      <w:r w:rsidRPr="009A4C44">
        <w:rPr>
          <w:rFonts w:ascii="Times New Roman" w:hAnsi="Times New Roman"/>
          <w:szCs w:val="19"/>
          <w:lang w:eastAsia="en-US"/>
        </w:rPr>
        <w:t>s of each IN Member</w:t>
      </w:r>
      <w:r w:rsidRPr="009A4C44" w:rsidDel="00914F27">
        <w:rPr>
          <w:rFonts w:ascii="Times New Roman" w:hAnsi="Times New Roman"/>
          <w:szCs w:val="19"/>
          <w:lang w:eastAsia="en-US"/>
        </w:rPr>
        <w:t>.</w:t>
      </w:r>
    </w:p>
    <w:p w:rsidR="00163BE0" w:rsidRPr="009A4C44" w:rsidRDefault="00163BE0" w:rsidP="00163BE0">
      <w:pPr>
        <w:jc w:val="both"/>
        <w:rPr>
          <w:rFonts w:ascii="Times New Roman" w:hAnsi="Times New Roman"/>
          <w:szCs w:val="19"/>
          <w:lang w:eastAsia="en-US"/>
        </w:rPr>
      </w:pPr>
    </w:p>
    <w:p w:rsidR="00163BE0" w:rsidRPr="009A4C44" w:rsidRDefault="00163BE0" w:rsidP="00163BE0">
      <w:pPr>
        <w:jc w:val="both"/>
        <w:rPr>
          <w:rFonts w:ascii="Times New Roman" w:hAnsi="Times New Roman"/>
          <w:szCs w:val="19"/>
          <w:lang w:eastAsia="en-US"/>
        </w:rPr>
      </w:pPr>
    </w:p>
    <w:p w:rsidR="00163BE0" w:rsidRPr="009A4C44" w:rsidRDefault="002D564B" w:rsidP="00163BE0">
      <w:pPr>
        <w:jc w:val="both"/>
        <w:rPr>
          <w:rFonts w:ascii="Times New Roman" w:hAnsi="Times New Roman"/>
          <w:szCs w:val="19"/>
          <w:lang w:eastAsia="en-US"/>
        </w:rPr>
      </w:pPr>
      <m:oMathPara>
        <m:oMath>
          <m:sSub>
            <m:sSubPr>
              <m:ctrlPr>
                <w:rPr>
                  <w:rFonts w:ascii="Cambria Math" w:hAnsi="Cambria Math"/>
                  <w:i/>
                  <w:iCs/>
                  <w:szCs w:val="19"/>
                  <w:lang w:eastAsia="en-US"/>
                </w:rPr>
              </m:ctrlPr>
            </m:sSubPr>
            <m:e>
              <m:r>
                <w:rPr>
                  <w:rFonts w:ascii="Cambria Math" w:hAnsi="Cambria Math"/>
                  <w:szCs w:val="19"/>
                  <w:lang w:val="en-US" w:eastAsia="en-US"/>
                </w:rPr>
                <m:t>P</m:t>
              </m:r>
              <m:r>
                <w:rPr>
                  <w:rFonts w:ascii="Cambria Math" w:hAnsi="Cambria Math"/>
                  <w:szCs w:val="19"/>
                  <w:lang w:eastAsia="en-US"/>
                </w:rPr>
                <m:t>'</m:t>
              </m:r>
            </m:e>
            <m:sub>
              <m:r>
                <w:rPr>
                  <w:rFonts w:ascii="Cambria Math" w:hAnsi="Cambria Math"/>
                  <w:szCs w:val="19"/>
                  <w:lang w:val="en-US" w:eastAsia="en-US"/>
                </w:rPr>
                <m:t>IGCC</m:t>
              </m:r>
            </m:sub>
          </m:sSub>
          <m:d>
            <m:dPr>
              <m:ctrlPr>
                <w:rPr>
                  <w:rFonts w:ascii="Cambria Math" w:hAnsi="Cambria Math"/>
                  <w:i/>
                  <w:iCs/>
                  <w:szCs w:val="19"/>
                  <w:lang w:eastAsia="en-US"/>
                </w:rPr>
              </m:ctrlPr>
            </m:dPr>
            <m:e>
              <m:r>
                <w:rPr>
                  <w:rFonts w:ascii="Cambria Math" w:hAnsi="Cambria Math"/>
                  <w:szCs w:val="19"/>
                  <w:lang w:val="en-US" w:eastAsia="en-US"/>
                </w:rPr>
                <m:t>t,m</m:t>
              </m:r>
            </m:e>
          </m:d>
          <m:r>
            <w:rPr>
              <w:rFonts w:ascii="Cambria Math" w:hAnsi="Cambria Math"/>
              <w:szCs w:val="19"/>
              <w:lang w:val="en-US" w:eastAsia="en-US"/>
            </w:rPr>
            <m:t>=</m:t>
          </m:r>
          <m:d>
            <m:dPr>
              <m:begChr m:val="{"/>
              <m:endChr m:val=""/>
              <m:ctrlPr>
                <w:rPr>
                  <w:rFonts w:ascii="Cambria Math" w:hAnsi="Cambria Math"/>
                  <w:i/>
                  <w:iCs/>
                  <w:szCs w:val="19"/>
                  <w:lang w:val="en-US" w:eastAsia="en-US"/>
                </w:rPr>
              </m:ctrlPr>
            </m:dPr>
            <m:e>
              <m:m>
                <m:mPr>
                  <m:mcs>
                    <m:mc>
                      <m:mcPr>
                        <m:count m:val="3"/>
                        <m:mcJc m:val="center"/>
                      </m:mcPr>
                    </m:mc>
                  </m:mcs>
                  <m:ctrlPr>
                    <w:rPr>
                      <w:rFonts w:ascii="Cambria Math" w:hAnsi="Cambria Math"/>
                      <w:i/>
                      <w:iCs/>
                      <w:szCs w:val="19"/>
                      <w:lang w:val="en-US" w:eastAsia="en-US"/>
                    </w:rPr>
                  </m:ctrlPr>
                </m:mPr>
                <m:mr>
                  <m:e>
                    <m:m>
                      <m:mPr>
                        <m:mcs>
                          <m:mc>
                            <m:mcPr>
                              <m:count m:val="1"/>
                              <m:mcJc m:val="center"/>
                            </m:mcPr>
                          </m:mc>
                        </m:mcs>
                        <m:ctrlPr>
                          <w:rPr>
                            <w:rFonts w:ascii="Cambria Math" w:hAnsi="Cambria Math"/>
                            <w:i/>
                            <w:iCs/>
                            <w:szCs w:val="19"/>
                            <w:lang w:val="en-US" w:eastAsia="en-US"/>
                          </w:rPr>
                        </m:ctrlPr>
                      </m:mPr>
                      <m:mr>
                        <m:e>
                          <m:sSub>
                            <m:sSubPr>
                              <m:ctrlPr>
                                <w:rPr>
                                  <w:rFonts w:ascii="Cambria Math" w:hAnsi="Cambria Math"/>
                                  <w:i/>
                                  <w:iCs/>
                                  <w:szCs w:val="19"/>
                                  <w:lang w:val="en-US" w:eastAsia="en-US"/>
                                </w:rPr>
                              </m:ctrlPr>
                            </m:sSubPr>
                            <m:e>
                              <m:r>
                                <w:rPr>
                                  <w:rFonts w:ascii="Cambria Math" w:hAnsi="Cambria Math"/>
                                  <w:szCs w:val="19"/>
                                  <w:lang w:eastAsia="en-US"/>
                                </w:rPr>
                                <m:t>P</m:t>
                              </m:r>
                            </m:e>
                            <m:sub>
                              <m:r>
                                <w:rPr>
                                  <w:rFonts w:ascii="Cambria Math" w:hAnsi="Cambria Math"/>
                                  <w:szCs w:val="19"/>
                                  <w:lang w:eastAsia="en-US"/>
                                </w:rPr>
                                <m:t>IGCC</m:t>
                              </m:r>
                            </m:sub>
                          </m:sSub>
                          <m:d>
                            <m:dPr>
                              <m:ctrlPr>
                                <w:rPr>
                                  <w:rFonts w:ascii="Cambria Math" w:hAnsi="Cambria Math"/>
                                  <w:i/>
                                  <w:szCs w:val="19"/>
                                  <w:lang w:eastAsia="en-US"/>
                                </w:rPr>
                              </m:ctrlPr>
                            </m:dPr>
                            <m:e>
                              <m:r>
                                <w:rPr>
                                  <w:rFonts w:ascii="Cambria Math" w:hAnsi="Cambria Math"/>
                                  <w:szCs w:val="19"/>
                                  <w:lang w:eastAsia="en-US"/>
                                </w:rPr>
                                <m:t>t,m</m:t>
                              </m:r>
                            </m:e>
                          </m:d>
                          <m:r>
                            <w:rPr>
                              <w:rFonts w:ascii="Cambria Math" w:hAnsi="Cambria Math"/>
                              <w:szCs w:val="19"/>
                              <w:lang w:eastAsia="en-US"/>
                            </w:rPr>
                            <m:t>, if m ∉NZM(t)</m:t>
                          </m:r>
                        </m:e>
                      </m:mr>
                      <m:mr>
                        <m:e>
                          <m:f>
                            <m:fPr>
                              <m:ctrlPr>
                                <w:rPr>
                                  <w:rFonts w:ascii="Cambria Math" w:hAnsi="Cambria Math"/>
                                  <w:i/>
                                  <w:iCs/>
                                  <w:szCs w:val="19"/>
                                  <w:lang w:val="en-US" w:eastAsia="en-US"/>
                                </w:rPr>
                              </m:ctrlPr>
                            </m:fPr>
                            <m:num>
                              <m:sSup>
                                <m:sSupPr>
                                  <m:ctrlPr>
                                    <w:rPr>
                                      <w:rFonts w:ascii="Cambria Math" w:hAnsi="Cambria Math"/>
                                      <w:i/>
                                      <w:iCs/>
                                      <w:szCs w:val="19"/>
                                      <w:lang w:eastAsia="en-US"/>
                                    </w:rPr>
                                  </m:ctrlPr>
                                </m:sSupPr>
                                <m:e>
                                  <m:r>
                                    <w:rPr>
                                      <w:rFonts w:ascii="Cambria Math" w:hAnsi="Cambria Math"/>
                                      <w:szCs w:val="19"/>
                                      <w:lang w:val="en-US" w:eastAsia="en-US"/>
                                    </w:rPr>
                                    <m:t>S</m:t>
                                  </m:r>
                                </m:e>
                                <m:sup>
                                  <m:r>
                                    <w:rPr>
                                      <w:rFonts w:ascii="Cambria Math" w:hAnsi="Cambria Math"/>
                                      <w:szCs w:val="19"/>
                                      <w:lang w:val="en-US" w:eastAsia="en-US"/>
                                    </w:rPr>
                                    <m:t>'</m:t>
                                  </m:r>
                                </m:sup>
                              </m:sSup>
                              <m:d>
                                <m:dPr>
                                  <m:ctrlPr>
                                    <w:rPr>
                                      <w:rFonts w:ascii="Cambria Math" w:hAnsi="Cambria Math"/>
                                      <w:i/>
                                      <w:iCs/>
                                      <w:szCs w:val="19"/>
                                      <w:lang w:eastAsia="en-US"/>
                                    </w:rPr>
                                  </m:ctrlPr>
                                </m:dPr>
                                <m:e>
                                  <m:r>
                                    <w:rPr>
                                      <w:rFonts w:ascii="Cambria Math" w:hAnsi="Cambria Math"/>
                                      <w:szCs w:val="19"/>
                                      <w:lang w:val="en-US" w:eastAsia="en-US"/>
                                    </w:rPr>
                                    <m:t>t,m</m:t>
                                  </m:r>
                                </m:e>
                              </m:d>
                            </m:num>
                            <m:den>
                              <m:sSub>
                                <m:sSubPr>
                                  <m:ctrlPr>
                                    <w:rPr>
                                      <w:rFonts w:ascii="Cambria Math" w:hAnsi="Cambria Math"/>
                                      <w:i/>
                                      <w:iCs/>
                                      <w:szCs w:val="19"/>
                                      <w:lang w:eastAsia="en-US"/>
                                    </w:rPr>
                                  </m:ctrlPr>
                                </m:sSubPr>
                                <m:e>
                                  <m:r>
                                    <w:rPr>
                                      <w:rFonts w:ascii="Cambria Math" w:hAnsi="Cambria Math"/>
                                      <w:szCs w:val="19"/>
                                      <w:lang w:val="en-US" w:eastAsia="en-US"/>
                                    </w:rPr>
                                    <m:t>E</m:t>
                                  </m:r>
                                </m:e>
                                <m:sub>
                                  <m:r>
                                    <w:rPr>
                                      <w:rFonts w:ascii="Cambria Math" w:hAnsi="Cambria Math"/>
                                      <w:szCs w:val="19"/>
                                      <w:lang w:val="en-US" w:eastAsia="en-US"/>
                                    </w:rPr>
                                    <m:t>Imp</m:t>
                                  </m:r>
                                </m:sub>
                              </m:sSub>
                              <m:d>
                                <m:dPr>
                                  <m:ctrlPr>
                                    <w:rPr>
                                      <w:rFonts w:ascii="Cambria Math" w:hAnsi="Cambria Math"/>
                                      <w:i/>
                                      <w:iCs/>
                                      <w:szCs w:val="19"/>
                                      <w:lang w:eastAsia="en-US"/>
                                    </w:rPr>
                                  </m:ctrlPr>
                                </m:dPr>
                                <m:e>
                                  <m:r>
                                    <w:rPr>
                                      <w:rFonts w:ascii="Cambria Math" w:hAnsi="Cambria Math"/>
                                      <w:szCs w:val="19"/>
                                      <w:lang w:val="en-US" w:eastAsia="en-US"/>
                                    </w:rPr>
                                    <m:t>t,m</m:t>
                                  </m:r>
                                </m:e>
                              </m:d>
                              <m:r>
                                <w:rPr>
                                  <w:rFonts w:ascii="Cambria Math" w:hAnsi="Cambria Math"/>
                                  <w:szCs w:val="19"/>
                                  <w:lang w:val="en-US" w:eastAsia="en-US"/>
                                </w:rPr>
                                <m:t>-</m:t>
                              </m:r>
                              <m:sSub>
                                <m:sSubPr>
                                  <m:ctrlPr>
                                    <w:rPr>
                                      <w:rFonts w:ascii="Cambria Math" w:hAnsi="Cambria Math"/>
                                      <w:i/>
                                      <w:iCs/>
                                      <w:szCs w:val="19"/>
                                      <w:lang w:eastAsia="en-US"/>
                                    </w:rPr>
                                  </m:ctrlPr>
                                </m:sSubPr>
                                <m:e>
                                  <m:r>
                                    <w:rPr>
                                      <w:rFonts w:ascii="Cambria Math" w:hAnsi="Cambria Math"/>
                                      <w:szCs w:val="19"/>
                                      <w:lang w:val="en-US" w:eastAsia="en-US"/>
                                    </w:rPr>
                                    <m:t>E</m:t>
                                  </m:r>
                                </m:e>
                                <m:sub>
                                  <m:r>
                                    <w:rPr>
                                      <w:rFonts w:ascii="Cambria Math" w:hAnsi="Cambria Math"/>
                                      <w:szCs w:val="19"/>
                                      <w:lang w:val="en-US" w:eastAsia="en-US"/>
                                    </w:rPr>
                                    <m:t>Exp</m:t>
                                  </m:r>
                                </m:sub>
                              </m:sSub>
                              <m:d>
                                <m:dPr>
                                  <m:ctrlPr>
                                    <w:rPr>
                                      <w:rFonts w:ascii="Cambria Math" w:hAnsi="Cambria Math"/>
                                      <w:i/>
                                      <w:iCs/>
                                      <w:szCs w:val="19"/>
                                      <w:lang w:eastAsia="en-US"/>
                                    </w:rPr>
                                  </m:ctrlPr>
                                </m:dPr>
                                <m:e>
                                  <m:r>
                                    <w:rPr>
                                      <w:rFonts w:ascii="Cambria Math" w:hAnsi="Cambria Math"/>
                                      <w:szCs w:val="19"/>
                                      <w:lang w:val="en-US" w:eastAsia="en-US"/>
                                    </w:rPr>
                                    <m:t>t,m</m:t>
                                  </m:r>
                                </m:e>
                              </m:d>
                            </m:den>
                          </m:f>
                          <m:r>
                            <w:rPr>
                              <w:rFonts w:ascii="Cambria Math" w:hAnsi="Cambria Math"/>
                              <w:szCs w:val="19"/>
                              <w:lang w:val="en-US" w:eastAsia="en-US"/>
                            </w:rPr>
                            <m:t xml:space="preserve"> , if </m:t>
                          </m:r>
                          <m:r>
                            <w:rPr>
                              <w:rFonts w:ascii="Cambria Math" w:hAnsi="Cambria Math"/>
                              <w:szCs w:val="19"/>
                              <w:lang w:eastAsia="en-US"/>
                            </w:rPr>
                            <m:t>m∈NZM(t)</m:t>
                          </m:r>
                          <m:r>
                            <w:rPr>
                              <w:rFonts w:ascii="Cambria Math" w:hAnsi="Cambria Math"/>
                              <w:szCs w:val="19"/>
                              <w:lang w:val="en-US" w:eastAsia="en-US"/>
                            </w:rPr>
                            <m:t xml:space="preserve"> </m:t>
                          </m:r>
                        </m:e>
                      </m:mr>
                    </m:m>
                  </m:e>
                  <m:e/>
                  <m:e>
                    <m:m>
                      <m:mPr>
                        <m:mcs>
                          <m:mc>
                            <m:mcPr>
                              <m:count m:val="1"/>
                              <m:mcJc m:val="center"/>
                            </m:mcPr>
                          </m:mc>
                        </m:mcs>
                        <m:ctrlPr>
                          <w:rPr>
                            <w:rFonts w:ascii="Cambria Math" w:hAnsi="Cambria Math"/>
                            <w:i/>
                            <w:iCs/>
                            <w:szCs w:val="19"/>
                            <w:lang w:val="en-US" w:eastAsia="en-US"/>
                          </w:rPr>
                        </m:ctrlPr>
                      </m:mPr>
                      <m:mr>
                        <m:e/>
                      </m:mr>
                      <m:mr>
                        <m:e/>
                      </m:mr>
                    </m:m>
                  </m:e>
                </m:mr>
              </m:m>
            </m:e>
          </m:d>
        </m:oMath>
      </m:oMathPara>
    </w:p>
    <w:p w:rsidR="00163BE0" w:rsidRPr="009A4C44" w:rsidRDefault="00163BE0" w:rsidP="00163BE0">
      <w:pPr>
        <w:jc w:val="both"/>
        <w:rPr>
          <w:rFonts w:ascii="Times New Roman" w:hAnsi="Times New Roman"/>
          <w:szCs w:val="19"/>
          <w:lang w:eastAsia="en-US"/>
        </w:rPr>
      </w:pPr>
    </w:p>
    <w:p w:rsidR="00163BE0" w:rsidRPr="009A4C44" w:rsidRDefault="00163BE0" w:rsidP="00955BB7">
      <w:pPr>
        <w:pStyle w:val="textregular"/>
        <w:rPr>
          <w:lang w:eastAsia="en-US"/>
        </w:rPr>
      </w:pPr>
      <w:r w:rsidRPr="009A4C44">
        <w:rPr>
          <w:lang w:eastAsia="en-US"/>
        </w:rPr>
        <w:t>In case of a IN negative overall rent but with both positive and negative individual IN members rent it will be applied an equivalent procedure to the one described above, netting to zero all individual positive rent and thus reducing in a pro-rata basis the individual negative rent of affected IN members.</w:t>
      </w:r>
    </w:p>
    <w:p w:rsidR="00163BE0" w:rsidRPr="009A4C44" w:rsidRDefault="00163BE0" w:rsidP="00955BB7">
      <w:pPr>
        <w:pStyle w:val="textregular"/>
        <w:rPr>
          <w:lang w:eastAsia="en-US"/>
        </w:rPr>
      </w:pPr>
      <w:r w:rsidRPr="009A4C44">
        <w:rPr>
          <w:lang w:eastAsia="en-US"/>
        </w:rPr>
        <w:t>In case of negative IN overall rent and with all negative individual IN members, no adjustment will be carried out.</w:t>
      </w:r>
    </w:p>
    <w:p w:rsidR="00E33AE4" w:rsidRPr="009A4C44" w:rsidRDefault="00E33AE4" w:rsidP="00955BB7">
      <w:pPr>
        <w:pStyle w:val="textregular"/>
        <w:rPr>
          <w:lang w:eastAsia="en-US"/>
        </w:rPr>
      </w:pPr>
      <w:proofErr w:type="gramStart"/>
      <w:r w:rsidRPr="009A4C44">
        <w:rPr>
          <w:lang w:eastAsia="en-US"/>
        </w:rPr>
        <w:t>in</w:t>
      </w:r>
      <w:proofErr w:type="gramEnd"/>
      <w:r w:rsidRPr="009A4C44">
        <w:rPr>
          <w:lang w:eastAsia="en-US"/>
        </w:rPr>
        <w:t xml:space="preserve"> case of overall rent equal to zero, it will be necessary to shift all rents to 0 (in order to avoid the potential scenario of negative rent members flowing towards positive rent members).</w:t>
      </w:r>
    </w:p>
    <w:p w:rsidR="00163BE0" w:rsidRPr="009A4C44" w:rsidRDefault="00163BE0" w:rsidP="00955BB7">
      <w:pPr>
        <w:pStyle w:val="textregular"/>
      </w:pPr>
      <w:r w:rsidRPr="009A4C44">
        <w:rPr>
          <w:lang w:eastAsia="en-US"/>
        </w:rPr>
        <w:t>The following table shows a full example for the calculation of the settlement prices, settlement amounts, rents, adjusted settlement amounts, adjusted rents and adjusted settlement prices</w:t>
      </w:r>
      <w:r w:rsidR="00955BB7">
        <w:t>.</w:t>
      </w:r>
    </w:p>
    <w:tbl>
      <w:tblPr>
        <w:tblW w:w="8248" w:type="dxa"/>
        <w:jc w:val="center"/>
        <w:tblCellMar>
          <w:top w:w="57" w:type="dxa"/>
          <w:left w:w="70" w:type="dxa"/>
          <w:bottom w:w="57" w:type="dxa"/>
          <w:right w:w="70" w:type="dxa"/>
        </w:tblCellMar>
        <w:tblLook w:val="04A0" w:firstRow="1" w:lastRow="0" w:firstColumn="1" w:lastColumn="0" w:noHBand="0" w:noVBand="1"/>
      </w:tblPr>
      <w:tblGrid>
        <w:gridCol w:w="898"/>
        <w:gridCol w:w="971"/>
        <w:gridCol w:w="1365"/>
        <w:gridCol w:w="1253"/>
        <w:gridCol w:w="1365"/>
        <w:gridCol w:w="1253"/>
        <w:gridCol w:w="1253"/>
      </w:tblGrid>
      <w:tr w:rsidR="006114F2" w:rsidRPr="009A4C44" w:rsidTr="00E702B3">
        <w:trPr>
          <w:trHeight w:val="20"/>
          <w:jc w:val="center"/>
        </w:trPr>
        <w:tc>
          <w:tcPr>
            <w:tcW w:w="874" w:type="dxa"/>
            <w:tcBorders>
              <w:top w:val="single" w:sz="4" w:space="0" w:color="auto"/>
              <w:left w:val="single" w:sz="4" w:space="0" w:color="auto"/>
              <w:bottom w:val="single" w:sz="4" w:space="0" w:color="auto"/>
              <w:right w:val="nil"/>
            </w:tcBorders>
            <w:shd w:val="clear" w:color="auto" w:fill="auto"/>
            <w:vAlign w:val="center"/>
            <w:hideMark/>
          </w:tcPr>
          <w:p w:rsidR="00163BE0" w:rsidRPr="00955BB7" w:rsidRDefault="00163BE0" w:rsidP="00E702B3">
            <w:pPr>
              <w:keepNext/>
              <w:jc w:val="center"/>
              <w:rPr>
                <w:rFonts w:ascii="Times New Roman" w:hAnsi="Times New Roman"/>
              </w:rPr>
            </w:pPr>
            <w:r w:rsidRPr="00955BB7">
              <w:rPr>
                <w:rFonts w:ascii="Times New Roman" w:hAnsi="Times New Roman"/>
              </w:rPr>
              <w:lastRenderedPageBreak/>
              <w:t>Variable</w:t>
            </w:r>
          </w:p>
        </w:tc>
        <w:tc>
          <w:tcPr>
            <w:tcW w:w="8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3BE0" w:rsidRPr="00955BB7" w:rsidRDefault="00163BE0" w:rsidP="00E702B3">
            <w:pPr>
              <w:keepNext/>
              <w:jc w:val="center"/>
              <w:rPr>
                <w:rFonts w:ascii="Times New Roman" w:hAnsi="Times New Roman"/>
              </w:rPr>
            </w:pPr>
            <w:r w:rsidRPr="00955BB7">
              <w:rPr>
                <w:rFonts w:ascii="Times New Roman" w:hAnsi="Times New Roman"/>
              </w:rPr>
              <w:t>Unit</w:t>
            </w:r>
          </w:p>
        </w:tc>
        <w:tc>
          <w:tcPr>
            <w:tcW w:w="1365" w:type="dxa"/>
            <w:tcBorders>
              <w:top w:val="single" w:sz="4" w:space="0" w:color="auto"/>
              <w:left w:val="nil"/>
              <w:bottom w:val="single" w:sz="4" w:space="0" w:color="auto"/>
              <w:right w:val="single" w:sz="4" w:space="0" w:color="auto"/>
            </w:tcBorders>
            <w:shd w:val="clear" w:color="000000" w:fill="DAEEF3"/>
            <w:vAlign w:val="center"/>
            <w:hideMark/>
          </w:tcPr>
          <w:p w:rsidR="00163BE0" w:rsidRPr="00955BB7" w:rsidRDefault="00163BE0" w:rsidP="00E702B3">
            <w:pPr>
              <w:keepNext/>
              <w:jc w:val="center"/>
              <w:rPr>
                <w:rFonts w:ascii="Times New Roman" w:hAnsi="Times New Roman"/>
                <w:lang w:val="de-DE"/>
              </w:rPr>
            </w:pPr>
            <w:r w:rsidRPr="00955BB7">
              <w:rPr>
                <w:rFonts w:ascii="Times New Roman" w:hAnsi="Times New Roman"/>
                <w:lang w:val="de-DE"/>
              </w:rPr>
              <w:t>Member 1</w:t>
            </w:r>
          </w:p>
        </w:tc>
        <w:tc>
          <w:tcPr>
            <w:tcW w:w="1253" w:type="dxa"/>
            <w:tcBorders>
              <w:top w:val="single" w:sz="4" w:space="0" w:color="auto"/>
              <w:left w:val="nil"/>
              <w:bottom w:val="single" w:sz="4" w:space="0" w:color="auto"/>
              <w:right w:val="single" w:sz="4" w:space="0" w:color="auto"/>
            </w:tcBorders>
            <w:shd w:val="clear" w:color="000000" w:fill="DAEEF3"/>
            <w:vAlign w:val="center"/>
            <w:hideMark/>
          </w:tcPr>
          <w:p w:rsidR="00163BE0" w:rsidRPr="00955BB7" w:rsidRDefault="00163BE0" w:rsidP="00E702B3">
            <w:pPr>
              <w:keepNext/>
              <w:jc w:val="center"/>
              <w:rPr>
                <w:rFonts w:ascii="Times New Roman" w:hAnsi="Times New Roman"/>
                <w:lang w:val="de-DE"/>
              </w:rPr>
            </w:pPr>
            <w:r w:rsidRPr="00955BB7">
              <w:rPr>
                <w:rFonts w:ascii="Times New Roman" w:hAnsi="Times New Roman"/>
                <w:lang w:val="de-DE"/>
              </w:rPr>
              <w:t>Member 2</w:t>
            </w:r>
          </w:p>
        </w:tc>
        <w:tc>
          <w:tcPr>
            <w:tcW w:w="1365" w:type="dxa"/>
            <w:tcBorders>
              <w:top w:val="single" w:sz="4" w:space="0" w:color="auto"/>
              <w:left w:val="nil"/>
              <w:bottom w:val="single" w:sz="4" w:space="0" w:color="auto"/>
              <w:right w:val="single" w:sz="4" w:space="0" w:color="auto"/>
            </w:tcBorders>
            <w:shd w:val="clear" w:color="000000" w:fill="DAEEF3"/>
            <w:vAlign w:val="center"/>
            <w:hideMark/>
          </w:tcPr>
          <w:p w:rsidR="00163BE0" w:rsidRPr="00955BB7" w:rsidRDefault="00163BE0" w:rsidP="00E702B3">
            <w:pPr>
              <w:keepNext/>
              <w:jc w:val="center"/>
              <w:rPr>
                <w:rFonts w:ascii="Times New Roman" w:hAnsi="Times New Roman"/>
                <w:lang w:val="de-DE"/>
              </w:rPr>
            </w:pPr>
            <w:r w:rsidRPr="00955BB7">
              <w:rPr>
                <w:rFonts w:ascii="Times New Roman" w:hAnsi="Times New Roman"/>
                <w:lang w:val="de-DE"/>
              </w:rPr>
              <w:t>Member 3</w:t>
            </w:r>
          </w:p>
        </w:tc>
        <w:tc>
          <w:tcPr>
            <w:tcW w:w="1253" w:type="dxa"/>
            <w:tcBorders>
              <w:top w:val="single" w:sz="4" w:space="0" w:color="auto"/>
              <w:left w:val="nil"/>
              <w:bottom w:val="single" w:sz="4" w:space="0" w:color="auto"/>
              <w:right w:val="single" w:sz="4" w:space="0" w:color="auto"/>
            </w:tcBorders>
            <w:shd w:val="clear" w:color="000000" w:fill="DAEEF3"/>
            <w:vAlign w:val="center"/>
            <w:hideMark/>
          </w:tcPr>
          <w:p w:rsidR="00163BE0" w:rsidRPr="00955BB7" w:rsidRDefault="00163BE0" w:rsidP="00E702B3">
            <w:pPr>
              <w:keepNext/>
              <w:jc w:val="center"/>
              <w:rPr>
                <w:rFonts w:ascii="Times New Roman" w:hAnsi="Times New Roman"/>
                <w:lang w:val="de-DE"/>
              </w:rPr>
            </w:pPr>
            <w:r w:rsidRPr="00955BB7">
              <w:rPr>
                <w:rFonts w:ascii="Times New Roman" w:hAnsi="Times New Roman"/>
                <w:lang w:val="de-DE"/>
              </w:rPr>
              <w:t>Member 4</w:t>
            </w:r>
          </w:p>
        </w:tc>
        <w:tc>
          <w:tcPr>
            <w:tcW w:w="1253" w:type="dxa"/>
            <w:tcBorders>
              <w:top w:val="single" w:sz="4" w:space="0" w:color="auto"/>
              <w:left w:val="nil"/>
              <w:bottom w:val="single" w:sz="4" w:space="0" w:color="auto"/>
              <w:right w:val="single" w:sz="4" w:space="0" w:color="auto"/>
            </w:tcBorders>
            <w:shd w:val="clear" w:color="000000" w:fill="DAEEF3"/>
            <w:vAlign w:val="center"/>
            <w:hideMark/>
          </w:tcPr>
          <w:p w:rsidR="00163BE0" w:rsidRPr="00955BB7" w:rsidRDefault="00163BE0" w:rsidP="00E702B3">
            <w:pPr>
              <w:keepNext/>
              <w:jc w:val="center"/>
              <w:rPr>
                <w:rFonts w:ascii="Times New Roman" w:hAnsi="Times New Roman"/>
                <w:lang w:val="de-DE"/>
              </w:rPr>
            </w:pPr>
            <w:r w:rsidRPr="00955BB7">
              <w:rPr>
                <w:rFonts w:ascii="Times New Roman" w:hAnsi="Times New Roman"/>
                <w:lang w:val="de-DE"/>
              </w:rPr>
              <w:t>Member 5</w:t>
            </w:r>
          </w:p>
        </w:tc>
      </w:tr>
      <w:tr w:rsidR="00163BE0" w:rsidRPr="009A4C44" w:rsidTr="00E702B3">
        <w:trPr>
          <w:trHeight w:val="300"/>
          <w:jc w:val="center"/>
        </w:trPr>
        <w:tc>
          <w:tcPr>
            <w:tcW w:w="874" w:type="dxa"/>
            <w:tcBorders>
              <w:top w:val="nil"/>
              <w:left w:val="single" w:sz="4" w:space="0" w:color="auto"/>
              <w:bottom w:val="nil"/>
              <w:right w:val="nil"/>
            </w:tcBorders>
            <w:shd w:val="clear" w:color="000000" w:fill="CCC0DA"/>
            <w:vAlign w:val="center"/>
            <w:hideMark/>
          </w:tcPr>
          <w:p w:rsidR="00163BE0" w:rsidRPr="00955BB7" w:rsidRDefault="002D564B" w:rsidP="00E702B3">
            <w:pPr>
              <w:keepNext/>
              <w:rPr>
                <w:rFonts w:ascii="Times New Roman" w:hAnsi="Times New Roman"/>
                <w:lang w:val="de-DE"/>
              </w:rPr>
            </w:pPr>
            <m:oMathPara>
              <m:oMath>
                <m:sSub>
                  <m:sSubPr>
                    <m:ctrlPr>
                      <w:rPr>
                        <w:rFonts w:ascii="Cambria Math" w:hAnsi="Cambria Math"/>
                        <w:i/>
                        <w:iCs/>
                        <w:szCs w:val="22"/>
                      </w:rPr>
                    </m:ctrlPr>
                  </m:sSubPr>
                  <m:e>
                    <m:r>
                      <w:rPr>
                        <w:rFonts w:ascii="Cambria Math" w:hAnsi="Cambria Math"/>
                        <w:szCs w:val="22"/>
                      </w:rPr>
                      <m:t>E</m:t>
                    </m:r>
                  </m:e>
                  <m:sub>
                    <m:r>
                      <w:rPr>
                        <w:rFonts w:ascii="Cambria Math" w:hAnsi="Cambria Math"/>
                        <w:szCs w:val="22"/>
                      </w:rPr>
                      <m:t>Imp</m:t>
                    </m:r>
                  </m:sub>
                </m:sSub>
              </m:oMath>
            </m:oMathPara>
          </w:p>
        </w:tc>
        <w:tc>
          <w:tcPr>
            <w:tcW w:w="885" w:type="dxa"/>
            <w:tcBorders>
              <w:top w:val="nil"/>
              <w:left w:val="single" w:sz="4" w:space="0" w:color="auto"/>
              <w:bottom w:val="nil"/>
              <w:right w:val="single" w:sz="4" w:space="0" w:color="auto"/>
            </w:tcBorders>
            <w:shd w:val="clear" w:color="000000" w:fill="CCC0DA"/>
            <w:vAlign w:val="center"/>
            <w:hideMark/>
          </w:tcPr>
          <w:p w:rsidR="00163BE0" w:rsidRPr="00955BB7" w:rsidRDefault="00163BE0" w:rsidP="00E702B3">
            <w:pPr>
              <w:keepNext/>
              <w:jc w:val="center"/>
              <w:rPr>
                <w:rFonts w:ascii="Times New Roman" w:hAnsi="Times New Roman"/>
                <w:lang w:val="de-DE"/>
              </w:rPr>
            </w:pPr>
            <w:r w:rsidRPr="00955BB7">
              <w:rPr>
                <w:rFonts w:ascii="Times New Roman" w:hAnsi="Times New Roman"/>
                <w:lang w:val="de-DE"/>
              </w:rPr>
              <w:t>[MWh]</w:t>
            </w:r>
          </w:p>
        </w:tc>
        <w:tc>
          <w:tcPr>
            <w:tcW w:w="1365" w:type="dxa"/>
            <w:tcBorders>
              <w:top w:val="nil"/>
              <w:left w:val="nil"/>
              <w:bottom w:val="nil"/>
              <w:right w:val="single" w:sz="4" w:space="0" w:color="auto"/>
            </w:tcBorders>
            <w:shd w:val="clear" w:color="auto" w:fill="auto"/>
            <w:vAlign w:val="center"/>
            <w:hideMark/>
          </w:tcPr>
          <w:p w:rsidR="00163BE0" w:rsidRPr="00955BB7" w:rsidRDefault="00163BE0" w:rsidP="00955BB7">
            <w:pPr>
              <w:keepNext/>
              <w:jc w:val="center"/>
              <w:rPr>
                <w:rFonts w:ascii="Times New Roman" w:hAnsi="Times New Roman"/>
                <w:lang w:val="de-DE"/>
              </w:rPr>
            </w:pPr>
            <w:r w:rsidRPr="00955BB7">
              <w:rPr>
                <w:rFonts w:ascii="Times New Roman" w:hAnsi="Times New Roman"/>
                <w:lang w:val="de-DE"/>
              </w:rPr>
              <w:t>6,57</w:t>
            </w:r>
          </w:p>
        </w:tc>
        <w:tc>
          <w:tcPr>
            <w:tcW w:w="1253" w:type="dxa"/>
            <w:tcBorders>
              <w:top w:val="nil"/>
              <w:left w:val="nil"/>
              <w:bottom w:val="nil"/>
              <w:right w:val="single" w:sz="4" w:space="0" w:color="auto"/>
            </w:tcBorders>
            <w:shd w:val="clear" w:color="auto" w:fill="auto"/>
            <w:vAlign w:val="center"/>
            <w:hideMark/>
          </w:tcPr>
          <w:p w:rsidR="00163BE0" w:rsidRPr="00955BB7" w:rsidRDefault="00163BE0" w:rsidP="00955BB7">
            <w:pPr>
              <w:keepNext/>
              <w:jc w:val="center"/>
              <w:rPr>
                <w:rFonts w:ascii="Times New Roman" w:hAnsi="Times New Roman"/>
                <w:lang w:val="de-DE"/>
              </w:rPr>
            </w:pPr>
            <w:r w:rsidRPr="00955BB7">
              <w:rPr>
                <w:rFonts w:ascii="Times New Roman" w:hAnsi="Times New Roman"/>
                <w:lang w:val="de-DE"/>
              </w:rPr>
              <w:t>1,40</w:t>
            </w:r>
          </w:p>
        </w:tc>
        <w:tc>
          <w:tcPr>
            <w:tcW w:w="1365" w:type="dxa"/>
            <w:tcBorders>
              <w:top w:val="nil"/>
              <w:left w:val="nil"/>
              <w:bottom w:val="nil"/>
              <w:right w:val="single" w:sz="4" w:space="0" w:color="auto"/>
            </w:tcBorders>
            <w:shd w:val="clear" w:color="auto" w:fill="auto"/>
            <w:vAlign w:val="center"/>
            <w:hideMark/>
          </w:tcPr>
          <w:p w:rsidR="00163BE0" w:rsidRPr="00955BB7" w:rsidRDefault="00163BE0" w:rsidP="00955BB7">
            <w:pPr>
              <w:keepNext/>
              <w:jc w:val="center"/>
              <w:rPr>
                <w:rFonts w:ascii="Times New Roman" w:hAnsi="Times New Roman"/>
                <w:lang w:val="de-DE"/>
              </w:rPr>
            </w:pPr>
            <w:r w:rsidRPr="00955BB7">
              <w:rPr>
                <w:rFonts w:ascii="Times New Roman" w:hAnsi="Times New Roman"/>
                <w:lang w:val="de-DE"/>
              </w:rPr>
              <w:t>2,00</w:t>
            </w:r>
          </w:p>
        </w:tc>
        <w:tc>
          <w:tcPr>
            <w:tcW w:w="1253" w:type="dxa"/>
            <w:tcBorders>
              <w:top w:val="nil"/>
              <w:left w:val="nil"/>
              <w:bottom w:val="nil"/>
              <w:right w:val="single" w:sz="4" w:space="0" w:color="auto"/>
            </w:tcBorders>
            <w:shd w:val="clear" w:color="auto" w:fill="auto"/>
            <w:vAlign w:val="center"/>
            <w:hideMark/>
          </w:tcPr>
          <w:p w:rsidR="00163BE0" w:rsidRPr="00955BB7" w:rsidRDefault="00163BE0" w:rsidP="00955BB7">
            <w:pPr>
              <w:keepNext/>
              <w:jc w:val="center"/>
              <w:rPr>
                <w:rFonts w:ascii="Times New Roman" w:hAnsi="Times New Roman"/>
                <w:lang w:val="de-DE"/>
              </w:rPr>
            </w:pPr>
            <w:r w:rsidRPr="00955BB7">
              <w:rPr>
                <w:rFonts w:ascii="Times New Roman" w:hAnsi="Times New Roman"/>
                <w:lang w:val="de-DE"/>
              </w:rPr>
              <w:t>3,40</w:t>
            </w:r>
          </w:p>
        </w:tc>
        <w:tc>
          <w:tcPr>
            <w:tcW w:w="1253" w:type="dxa"/>
            <w:tcBorders>
              <w:top w:val="nil"/>
              <w:left w:val="nil"/>
              <w:bottom w:val="nil"/>
              <w:right w:val="single" w:sz="4" w:space="0" w:color="auto"/>
            </w:tcBorders>
            <w:shd w:val="clear" w:color="auto" w:fill="auto"/>
            <w:vAlign w:val="center"/>
            <w:hideMark/>
          </w:tcPr>
          <w:p w:rsidR="00163BE0" w:rsidRPr="00955BB7" w:rsidRDefault="00163BE0" w:rsidP="00955BB7">
            <w:pPr>
              <w:keepNext/>
              <w:jc w:val="center"/>
              <w:rPr>
                <w:rFonts w:ascii="Times New Roman" w:hAnsi="Times New Roman"/>
                <w:lang w:val="de-DE"/>
              </w:rPr>
            </w:pPr>
            <w:r w:rsidRPr="00955BB7">
              <w:rPr>
                <w:rFonts w:ascii="Times New Roman" w:hAnsi="Times New Roman"/>
                <w:lang w:val="de-DE"/>
              </w:rPr>
              <w:t>0,50</w:t>
            </w:r>
          </w:p>
        </w:tc>
      </w:tr>
      <w:tr w:rsidR="00163BE0" w:rsidRPr="009A4C44" w:rsidTr="00E702B3">
        <w:trPr>
          <w:trHeight w:val="300"/>
          <w:jc w:val="center"/>
        </w:trPr>
        <w:tc>
          <w:tcPr>
            <w:tcW w:w="874" w:type="dxa"/>
            <w:tcBorders>
              <w:top w:val="nil"/>
              <w:left w:val="single" w:sz="4" w:space="0" w:color="auto"/>
              <w:bottom w:val="single" w:sz="4" w:space="0" w:color="auto"/>
              <w:right w:val="nil"/>
            </w:tcBorders>
            <w:shd w:val="clear" w:color="000000" w:fill="CCC0DA"/>
            <w:vAlign w:val="center"/>
            <w:hideMark/>
          </w:tcPr>
          <w:p w:rsidR="00163BE0" w:rsidRPr="00955BB7" w:rsidRDefault="002D564B" w:rsidP="00E702B3">
            <w:pPr>
              <w:keepNext/>
              <w:rPr>
                <w:rFonts w:ascii="Times New Roman" w:hAnsi="Times New Roman"/>
                <w:lang w:val="de-DE"/>
              </w:rPr>
            </w:pPr>
            <m:oMathPara>
              <m:oMath>
                <m:sSub>
                  <m:sSubPr>
                    <m:ctrlPr>
                      <w:rPr>
                        <w:rFonts w:ascii="Cambria Math" w:hAnsi="Cambria Math"/>
                        <w:i/>
                        <w:iCs/>
                        <w:szCs w:val="22"/>
                      </w:rPr>
                    </m:ctrlPr>
                  </m:sSubPr>
                  <m:e>
                    <m:r>
                      <w:rPr>
                        <w:rFonts w:ascii="Cambria Math" w:hAnsi="Cambria Math"/>
                        <w:szCs w:val="22"/>
                      </w:rPr>
                      <m:t>E</m:t>
                    </m:r>
                  </m:e>
                  <m:sub>
                    <m:r>
                      <w:rPr>
                        <w:rFonts w:ascii="Cambria Math" w:hAnsi="Cambria Math"/>
                        <w:szCs w:val="22"/>
                      </w:rPr>
                      <m:t>Exp</m:t>
                    </m:r>
                  </m:sub>
                </m:sSub>
              </m:oMath>
            </m:oMathPara>
          </w:p>
        </w:tc>
        <w:tc>
          <w:tcPr>
            <w:tcW w:w="885" w:type="dxa"/>
            <w:tcBorders>
              <w:top w:val="nil"/>
              <w:left w:val="single" w:sz="4" w:space="0" w:color="auto"/>
              <w:bottom w:val="single" w:sz="4" w:space="0" w:color="auto"/>
              <w:right w:val="single" w:sz="4" w:space="0" w:color="auto"/>
            </w:tcBorders>
            <w:shd w:val="clear" w:color="000000" w:fill="CCC0DA"/>
            <w:vAlign w:val="center"/>
            <w:hideMark/>
          </w:tcPr>
          <w:p w:rsidR="00163BE0" w:rsidRPr="00955BB7" w:rsidRDefault="00163BE0" w:rsidP="00E702B3">
            <w:pPr>
              <w:keepNext/>
              <w:jc w:val="center"/>
              <w:rPr>
                <w:rFonts w:ascii="Times New Roman" w:hAnsi="Times New Roman"/>
                <w:lang w:val="de-DE"/>
              </w:rPr>
            </w:pPr>
            <w:r w:rsidRPr="00955BB7">
              <w:rPr>
                <w:rFonts w:ascii="Times New Roman" w:hAnsi="Times New Roman"/>
                <w:lang w:val="de-DE"/>
              </w:rPr>
              <w:t>[MWh]</w:t>
            </w:r>
          </w:p>
        </w:tc>
        <w:tc>
          <w:tcPr>
            <w:tcW w:w="1365" w:type="dxa"/>
            <w:tcBorders>
              <w:top w:val="nil"/>
              <w:left w:val="nil"/>
              <w:bottom w:val="single" w:sz="4" w:space="0" w:color="auto"/>
              <w:right w:val="single" w:sz="4" w:space="0" w:color="auto"/>
            </w:tcBorders>
            <w:shd w:val="clear" w:color="auto" w:fill="auto"/>
            <w:vAlign w:val="center"/>
            <w:hideMark/>
          </w:tcPr>
          <w:p w:rsidR="00163BE0" w:rsidRPr="00955BB7" w:rsidRDefault="00163BE0" w:rsidP="00955BB7">
            <w:pPr>
              <w:keepNext/>
              <w:jc w:val="center"/>
              <w:rPr>
                <w:rFonts w:ascii="Times New Roman" w:hAnsi="Times New Roman"/>
                <w:lang w:val="de-DE"/>
              </w:rPr>
            </w:pPr>
            <w:r w:rsidRPr="00955BB7">
              <w:rPr>
                <w:rFonts w:ascii="Times New Roman" w:hAnsi="Times New Roman"/>
                <w:lang w:val="de-DE"/>
              </w:rPr>
              <w:t>2,00</w:t>
            </w:r>
          </w:p>
        </w:tc>
        <w:tc>
          <w:tcPr>
            <w:tcW w:w="1253" w:type="dxa"/>
            <w:tcBorders>
              <w:top w:val="nil"/>
              <w:left w:val="nil"/>
              <w:bottom w:val="single" w:sz="4" w:space="0" w:color="auto"/>
              <w:right w:val="single" w:sz="4" w:space="0" w:color="auto"/>
            </w:tcBorders>
            <w:shd w:val="clear" w:color="auto" w:fill="auto"/>
            <w:vAlign w:val="center"/>
            <w:hideMark/>
          </w:tcPr>
          <w:p w:rsidR="00163BE0" w:rsidRPr="00955BB7" w:rsidRDefault="00163BE0" w:rsidP="00955BB7">
            <w:pPr>
              <w:keepNext/>
              <w:jc w:val="center"/>
              <w:rPr>
                <w:rFonts w:ascii="Times New Roman" w:hAnsi="Times New Roman"/>
                <w:lang w:val="de-DE"/>
              </w:rPr>
            </w:pPr>
            <w:r w:rsidRPr="00955BB7">
              <w:rPr>
                <w:rFonts w:ascii="Times New Roman" w:hAnsi="Times New Roman"/>
                <w:lang w:val="de-DE"/>
              </w:rPr>
              <w:t>1,40</w:t>
            </w:r>
          </w:p>
        </w:tc>
        <w:tc>
          <w:tcPr>
            <w:tcW w:w="1365" w:type="dxa"/>
            <w:tcBorders>
              <w:top w:val="nil"/>
              <w:left w:val="nil"/>
              <w:bottom w:val="single" w:sz="4" w:space="0" w:color="auto"/>
              <w:right w:val="single" w:sz="4" w:space="0" w:color="auto"/>
            </w:tcBorders>
            <w:shd w:val="clear" w:color="auto" w:fill="auto"/>
            <w:vAlign w:val="center"/>
            <w:hideMark/>
          </w:tcPr>
          <w:p w:rsidR="00163BE0" w:rsidRPr="00955BB7" w:rsidRDefault="00163BE0" w:rsidP="00955BB7">
            <w:pPr>
              <w:keepNext/>
              <w:jc w:val="center"/>
              <w:rPr>
                <w:rFonts w:ascii="Times New Roman" w:hAnsi="Times New Roman"/>
                <w:lang w:val="de-DE"/>
              </w:rPr>
            </w:pPr>
            <w:r w:rsidRPr="00955BB7">
              <w:rPr>
                <w:rFonts w:ascii="Times New Roman" w:hAnsi="Times New Roman"/>
                <w:lang w:val="de-DE"/>
              </w:rPr>
              <w:t>4,17</w:t>
            </w:r>
          </w:p>
        </w:tc>
        <w:tc>
          <w:tcPr>
            <w:tcW w:w="1253" w:type="dxa"/>
            <w:tcBorders>
              <w:top w:val="nil"/>
              <w:left w:val="nil"/>
              <w:bottom w:val="single" w:sz="4" w:space="0" w:color="auto"/>
              <w:right w:val="single" w:sz="4" w:space="0" w:color="auto"/>
            </w:tcBorders>
            <w:shd w:val="clear" w:color="auto" w:fill="auto"/>
            <w:vAlign w:val="center"/>
            <w:hideMark/>
          </w:tcPr>
          <w:p w:rsidR="00163BE0" w:rsidRPr="00955BB7" w:rsidRDefault="00163BE0" w:rsidP="00955BB7">
            <w:pPr>
              <w:keepNext/>
              <w:jc w:val="center"/>
              <w:rPr>
                <w:rFonts w:ascii="Times New Roman" w:hAnsi="Times New Roman"/>
                <w:lang w:val="de-DE"/>
              </w:rPr>
            </w:pPr>
            <w:r w:rsidRPr="00955BB7">
              <w:rPr>
                <w:rFonts w:ascii="Times New Roman" w:hAnsi="Times New Roman"/>
                <w:lang w:val="de-DE"/>
              </w:rPr>
              <w:t>5,80</w:t>
            </w:r>
          </w:p>
        </w:tc>
        <w:tc>
          <w:tcPr>
            <w:tcW w:w="1253" w:type="dxa"/>
            <w:tcBorders>
              <w:top w:val="nil"/>
              <w:left w:val="nil"/>
              <w:bottom w:val="single" w:sz="4" w:space="0" w:color="auto"/>
              <w:right w:val="single" w:sz="4" w:space="0" w:color="auto"/>
            </w:tcBorders>
            <w:shd w:val="clear" w:color="auto" w:fill="auto"/>
            <w:vAlign w:val="center"/>
            <w:hideMark/>
          </w:tcPr>
          <w:p w:rsidR="00163BE0" w:rsidRPr="00955BB7" w:rsidRDefault="00163BE0" w:rsidP="00955BB7">
            <w:pPr>
              <w:keepNext/>
              <w:jc w:val="center"/>
              <w:rPr>
                <w:rFonts w:ascii="Times New Roman" w:hAnsi="Times New Roman"/>
                <w:lang w:val="de-DE"/>
              </w:rPr>
            </w:pPr>
            <w:r w:rsidRPr="00955BB7">
              <w:rPr>
                <w:rFonts w:ascii="Times New Roman" w:hAnsi="Times New Roman"/>
                <w:lang w:val="de-DE"/>
              </w:rPr>
              <w:t>0,50</w:t>
            </w:r>
          </w:p>
        </w:tc>
      </w:tr>
      <w:tr w:rsidR="00163BE0" w:rsidRPr="009A4C44" w:rsidTr="00E702B3">
        <w:trPr>
          <w:trHeight w:val="300"/>
          <w:jc w:val="center"/>
        </w:trPr>
        <w:tc>
          <w:tcPr>
            <w:tcW w:w="874" w:type="dxa"/>
            <w:tcBorders>
              <w:top w:val="nil"/>
              <w:left w:val="single" w:sz="4" w:space="0" w:color="auto"/>
              <w:bottom w:val="nil"/>
              <w:right w:val="nil"/>
            </w:tcBorders>
            <w:shd w:val="clear" w:color="000000" w:fill="CCC0DA"/>
            <w:vAlign w:val="center"/>
            <w:hideMark/>
          </w:tcPr>
          <w:p w:rsidR="00163BE0" w:rsidRPr="00955BB7" w:rsidRDefault="002D564B" w:rsidP="00E702B3">
            <w:pPr>
              <w:keepNext/>
              <w:rPr>
                <w:rFonts w:ascii="Times New Roman" w:hAnsi="Times New Roman"/>
                <w:lang w:val="de-DE"/>
              </w:rPr>
            </w:pPr>
            <m:oMathPara>
              <m:oMath>
                <m:sSub>
                  <m:sSubPr>
                    <m:ctrlPr>
                      <w:rPr>
                        <w:rFonts w:ascii="Cambria Math" w:hAnsi="Cambria Math"/>
                        <w:i/>
                        <w:iCs/>
                        <w:szCs w:val="22"/>
                      </w:rPr>
                    </m:ctrlPr>
                  </m:sSubPr>
                  <m:e>
                    <m:r>
                      <w:rPr>
                        <w:rFonts w:ascii="Cambria Math" w:hAnsi="Cambria Math"/>
                        <w:szCs w:val="22"/>
                      </w:rPr>
                      <m:t>C</m:t>
                    </m:r>
                  </m:e>
                  <m:sub>
                    <m:r>
                      <w:rPr>
                        <w:rFonts w:ascii="Cambria Math" w:hAnsi="Cambria Math"/>
                        <w:szCs w:val="22"/>
                      </w:rPr>
                      <m:t>Imp</m:t>
                    </m:r>
                  </m:sub>
                </m:sSub>
              </m:oMath>
            </m:oMathPara>
          </w:p>
        </w:tc>
        <w:tc>
          <w:tcPr>
            <w:tcW w:w="885" w:type="dxa"/>
            <w:tcBorders>
              <w:top w:val="nil"/>
              <w:left w:val="single" w:sz="4" w:space="0" w:color="auto"/>
              <w:bottom w:val="nil"/>
              <w:right w:val="single" w:sz="4" w:space="0" w:color="auto"/>
            </w:tcBorders>
            <w:shd w:val="clear" w:color="000000" w:fill="CCC0DA"/>
            <w:vAlign w:val="center"/>
            <w:hideMark/>
          </w:tcPr>
          <w:p w:rsidR="00163BE0" w:rsidRPr="00955BB7" w:rsidRDefault="00163BE0" w:rsidP="00E702B3">
            <w:pPr>
              <w:keepNext/>
              <w:jc w:val="center"/>
              <w:rPr>
                <w:rFonts w:ascii="Times New Roman" w:hAnsi="Times New Roman"/>
                <w:lang w:val="de-DE"/>
              </w:rPr>
            </w:pPr>
            <w:r w:rsidRPr="00955BB7">
              <w:rPr>
                <w:rFonts w:ascii="Times New Roman" w:hAnsi="Times New Roman"/>
                <w:lang w:val="de-DE"/>
              </w:rPr>
              <w:t>[€/MWh]</w:t>
            </w:r>
          </w:p>
        </w:tc>
        <w:tc>
          <w:tcPr>
            <w:tcW w:w="1365" w:type="dxa"/>
            <w:tcBorders>
              <w:top w:val="nil"/>
              <w:left w:val="nil"/>
              <w:bottom w:val="nil"/>
              <w:right w:val="single" w:sz="4" w:space="0" w:color="auto"/>
            </w:tcBorders>
            <w:shd w:val="clear" w:color="auto" w:fill="auto"/>
            <w:vAlign w:val="center"/>
            <w:hideMark/>
          </w:tcPr>
          <w:p w:rsidR="00163BE0" w:rsidRPr="00955BB7" w:rsidRDefault="00163BE0" w:rsidP="00955BB7">
            <w:pPr>
              <w:keepNext/>
              <w:jc w:val="center"/>
              <w:rPr>
                <w:rFonts w:ascii="Times New Roman" w:hAnsi="Times New Roman"/>
                <w:lang w:val="de-DE"/>
              </w:rPr>
            </w:pPr>
            <w:r w:rsidRPr="00955BB7">
              <w:rPr>
                <w:rFonts w:ascii="Times New Roman" w:hAnsi="Times New Roman"/>
                <w:lang w:val="de-DE"/>
              </w:rPr>
              <w:t>59,50</w:t>
            </w:r>
          </w:p>
        </w:tc>
        <w:tc>
          <w:tcPr>
            <w:tcW w:w="1253" w:type="dxa"/>
            <w:tcBorders>
              <w:top w:val="nil"/>
              <w:left w:val="nil"/>
              <w:bottom w:val="nil"/>
              <w:right w:val="single" w:sz="4" w:space="0" w:color="auto"/>
            </w:tcBorders>
            <w:shd w:val="clear" w:color="auto" w:fill="auto"/>
            <w:vAlign w:val="center"/>
            <w:hideMark/>
          </w:tcPr>
          <w:p w:rsidR="00163BE0" w:rsidRPr="00955BB7" w:rsidRDefault="00163BE0" w:rsidP="00955BB7">
            <w:pPr>
              <w:keepNext/>
              <w:jc w:val="center"/>
              <w:rPr>
                <w:rFonts w:ascii="Times New Roman" w:hAnsi="Times New Roman"/>
                <w:lang w:val="de-DE"/>
              </w:rPr>
            </w:pPr>
            <w:r w:rsidRPr="00955BB7">
              <w:rPr>
                <w:rFonts w:ascii="Times New Roman" w:hAnsi="Times New Roman"/>
                <w:lang w:val="de-DE"/>
              </w:rPr>
              <w:t>51,00</w:t>
            </w:r>
          </w:p>
        </w:tc>
        <w:tc>
          <w:tcPr>
            <w:tcW w:w="1365" w:type="dxa"/>
            <w:tcBorders>
              <w:top w:val="nil"/>
              <w:left w:val="nil"/>
              <w:bottom w:val="nil"/>
              <w:right w:val="single" w:sz="4" w:space="0" w:color="auto"/>
            </w:tcBorders>
            <w:shd w:val="clear" w:color="auto" w:fill="auto"/>
            <w:vAlign w:val="center"/>
            <w:hideMark/>
          </w:tcPr>
          <w:p w:rsidR="00163BE0" w:rsidRPr="00955BB7" w:rsidRDefault="00163BE0" w:rsidP="00955BB7">
            <w:pPr>
              <w:keepNext/>
              <w:jc w:val="center"/>
              <w:rPr>
                <w:rFonts w:ascii="Times New Roman" w:hAnsi="Times New Roman"/>
                <w:lang w:val="de-DE"/>
              </w:rPr>
            </w:pPr>
            <w:r w:rsidRPr="00955BB7">
              <w:rPr>
                <w:rFonts w:ascii="Times New Roman" w:hAnsi="Times New Roman"/>
                <w:lang w:val="de-DE"/>
              </w:rPr>
              <w:t>75,95</w:t>
            </w:r>
          </w:p>
        </w:tc>
        <w:tc>
          <w:tcPr>
            <w:tcW w:w="1253" w:type="dxa"/>
            <w:tcBorders>
              <w:top w:val="nil"/>
              <w:left w:val="nil"/>
              <w:bottom w:val="nil"/>
              <w:right w:val="single" w:sz="4" w:space="0" w:color="auto"/>
            </w:tcBorders>
            <w:shd w:val="clear" w:color="auto" w:fill="auto"/>
            <w:vAlign w:val="center"/>
            <w:hideMark/>
          </w:tcPr>
          <w:p w:rsidR="00163BE0" w:rsidRPr="00955BB7" w:rsidRDefault="00163BE0" w:rsidP="00955BB7">
            <w:pPr>
              <w:keepNext/>
              <w:jc w:val="center"/>
              <w:rPr>
                <w:rFonts w:ascii="Times New Roman" w:hAnsi="Times New Roman"/>
                <w:lang w:val="de-DE"/>
              </w:rPr>
            </w:pPr>
            <w:r w:rsidRPr="00955BB7">
              <w:rPr>
                <w:rFonts w:ascii="Times New Roman" w:hAnsi="Times New Roman"/>
                <w:lang w:val="de-DE"/>
              </w:rPr>
              <w:t>67,69</w:t>
            </w:r>
          </w:p>
        </w:tc>
        <w:tc>
          <w:tcPr>
            <w:tcW w:w="1253" w:type="dxa"/>
            <w:tcBorders>
              <w:top w:val="nil"/>
              <w:left w:val="nil"/>
              <w:bottom w:val="nil"/>
              <w:right w:val="single" w:sz="4" w:space="0" w:color="auto"/>
            </w:tcBorders>
            <w:shd w:val="clear" w:color="auto" w:fill="auto"/>
            <w:vAlign w:val="center"/>
            <w:hideMark/>
          </w:tcPr>
          <w:p w:rsidR="00163BE0" w:rsidRPr="00955BB7" w:rsidRDefault="00163BE0" w:rsidP="00955BB7">
            <w:pPr>
              <w:keepNext/>
              <w:jc w:val="center"/>
              <w:rPr>
                <w:rFonts w:ascii="Times New Roman" w:hAnsi="Times New Roman"/>
                <w:lang w:val="de-DE"/>
              </w:rPr>
            </w:pPr>
            <w:r w:rsidRPr="00955BB7">
              <w:rPr>
                <w:rFonts w:ascii="Times New Roman" w:hAnsi="Times New Roman"/>
                <w:lang w:val="de-DE"/>
              </w:rPr>
              <w:t>10,00</w:t>
            </w:r>
          </w:p>
        </w:tc>
      </w:tr>
      <w:tr w:rsidR="00163BE0" w:rsidRPr="009A4C44" w:rsidTr="00E702B3">
        <w:trPr>
          <w:trHeight w:val="300"/>
          <w:jc w:val="center"/>
        </w:trPr>
        <w:tc>
          <w:tcPr>
            <w:tcW w:w="874" w:type="dxa"/>
            <w:tcBorders>
              <w:top w:val="nil"/>
              <w:left w:val="single" w:sz="4" w:space="0" w:color="auto"/>
              <w:bottom w:val="single" w:sz="4" w:space="0" w:color="auto"/>
              <w:right w:val="nil"/>
            </w:tcBorders>
            <w:shd w:val="clear" w:color="000000" w:fill="CCC0DA"/>
            <w:vAlign w:val="center"/>
            <w:hideMark/>
          </w:tcPr>
          <w:p w:rsidR="00163BE0" w:rsidRPr="00955BB7" w:rsidRDefault="002D564B" w:rsidP="00E702B3">
            <w:pPr>
              <w:keepNext/>
              <w:rPr>
                <w:rFonts w:ascii="Times New Roman" w:hAnsi="Times New Roman"/>
                <w:lang w:val="de-DE"/>
              </w:rPr>
            </w:pPr>
            <m:oMathPara>
              <m:oMath>
                <m:sSub>
                  <m:sSubPr>
                    <m:ctrlPr>
                      <w:rPr>
                        <w:rFonts w:ascii="Cambria Math" w:hAnsi="Cambria Math"/>
                        <w:i/>
                        <w:iCs/>
                        <w:szCs w:val="22"/>
                      </w:rPr>
                    </m:ctrlPr>
                  </m:sSubPr>
                  <m:e>
                    <m:r>
                      <w:rPr>
                        <w:rFonts w:ascii="Cambria Math" w:hAnsi="Cambria Math"/>
                        <w:szCs w:val="22"/>
                      </w:rPr>
                      <m:t>C</m:t>
                    </m:r>
                  </m:e>
                  <m:sub>
                    <m:r>
                      <w:rPr>
                        <w:rFonts w:ascii="Cambria Math" w:hAnsi="Cambria Math"/>
                        <w:szCs w:val="22"/>
                      </w:rPr>
                      <m:t>Exp</m:t>
                    </m:r>
                  </m:sub>
                </m:sSub>
              </m:oMath>
            </m:oMathPara>
          </w:p>
        </w:tc>
        <w:tc>
          <w:tcPr>
            <w:tcW w:w="885" w:type="dxa"/>
            <w:tcBorders>
              <w:top w:val="nil"/>
              <w:left w:val="single" w:sz="4" w:space="0" w:color="auto"/>
              <w:bottom w:val="single" w:sz="4" w:space="0" w:color="auto"/>
              <w:right w:val="single" w:sz="4" w:space="0" w:color="auto"/>
            </w:tcBorders>
            <w:shd w:val="clear" w:color="000000" w:fill="CCC0DA"/>
            <w:vAlign w:val="center"/>
            <w:hideMark/>
          </w:tcPr>
          <w:p w:rsidR="00163BE0" w:rsidRPr="00955BB7" w:rsidRDefault="00163BE0" w:rsidP="00E702B3">
            <w:pPr>
              <w:keepNext/>
              <w:jc w:val="center"/>
              <w:rPr>
                <w:rFonts w:ascii="Times New Roman" w:hAnsi="Times New Roman"/>
                <w:lang w:val="de-DE"/>
              </w:rPr>
            </w:pPr>
            <w:r w:rsidRPr="00955BB7">
              <w:rPr>
                <w:rFonts w:ascii="Times New Roman" w:hAnsi="Times New Roman"/>
                <w:lang w:val="de-DE"/>
              </w:rPr>
              <w:t>[€/MWh]</w:t>
            </w:r>
          </w:p>
        </w:tc>
        <w:tc>
          <w:tcPr>
            <w:tcW w:w="1365" w:type="dxa"/>
            <w:tcBorders>
              <w:top w:val="nil"/>
              <w:left w:val="nil"/>
              <w:bottom w:val="single" w:sz="4" w:space="0" w:color="auto"/>
              <w:right w:val="single" w:sz="4" w:space="0" w:color="auto"/>
            </w:tcBorders>
            <w:shd w:val="clear" w:color="auto" w:fill="auto"/>
            <w:vAlign w:val="center"/>
            <w:hideMark/>
          </w:tcPr>
          <w:p w:rsidR="00163BE0" w:rsidRPr="00955BB7" w:rsidRDefault="00163BE0" w:rsidP="00955BB7">
            <w:pPr>
              <w:keepNext/>
              <w:jc w:val="center"/>
              <w:rPr>
                <w:rFonts w:ascii="Times New Roman" w:hAnsi="Times New Roman"/>
                <w:lang w:val="de-DE"/>
              </w:rPr>
            </w:pPr>
            <w:r w:rsidRPr="00955BB7">
              <w:rPr>
                <w:rFonts w:ascii="Times New Roman" w:hAnsi="Times New Roman"/>
                <w:lang w:val="de-DE"/>
              </w:rPr>
              <w:t>12,00</w:t>
            </w:r>
          </w:p>
        </w:tc>
        <w:tc>
          <w:tcPr>
            <w:tcW w:w="1253" w:type="dxa"/>
            <w:tcBorders>
              <w:top w:val="nil"/>
              <w:left w:val="nil"/>
              <w:bottom w:val="single" w:sz="4" w:space="0" w:color="auto"/>
              <w:right w:val="single" w:sz="4" w:space="0" w:color="auto"/>
            </w:tcBorders>
            <w:shd w:val="clear" w:color="auto" w:fill="auto"/>
            <w:vAlign w:val="center"/>
            <w:hideMark/>
          </w:tcPr>
          <w:p w:rsidR="00163BE0" w:rsidRPr="00955BB7" w:rsidRDefault="00163BE0" w:rsidP="00955BB7">
            <w:pPr>
              <w:keepNext/>
              <w:jc w:val="center"/>
              <w:rPr>
                <w:rFonts w:ascii="Times New Roman" w:hAnsi="Times New Roman"/>
                <w:lang w:val="de-DE"/>
              </w:rPr>
            </w:pPr>
            <w:r w:rsidRPr="00955BB7">
              <w:rPr>
                <w:rFonts w:ascii="Times New Roman" w:hAnsi="Times New Roman"/>
                <w:lang w:val="de-DE"/>
              </w:rPr>
              <w:t>35,20</w:t>
            </w:r>
          </w:p>
        </w:tc>
        <w:tc>
          <w:tcPr>
            <w:tcW w:w="1365" w:type="dxa"/>
            <w:tcBorders>
              <w:top w:val="nil"/>
              <w:left w:val="nil"/>
              <w:bottom w:val="single" w:sz="4" w:space="0" w:color="auto"/>
              <w:right w:val="single" w:sz="4" w:space="0" w:color="auto"/>
            </w:tcBorders>
            <w:shd w:val="clear" w:color="auto" w:fill="auto"/>
            <w:vAlign w:val="center"/>
            <w:hideMark/>
          </w:tcPr>
          <w:p w:rsidR="00163BE0" w:rsidRPr="00955BB7" w:rsidRDefault="00163BE0" w:rsidP="00955BB7">
            <w:pPr>
              <w:keepNext/>
              <w:jc w:val="center"/>
              <w:rPr>
                <w:rFonts w:ascii="Times New Roman" w:hAnsi="Times New Roman"/>
                <w:lang w:val="de-DE"/>
              </w:rPr>
            </w:pPr>
            <w:r w:rsidRPr="00955BB7">
              <w:rPr>
                <w:rFonts w:ascii="Times New Roman" w:hAnsi="Times New Roman"/>
                <w:lang w:val="de-DE"/>
              </w:rPr>
              <w:t>29,94</w:t>
            </w:r>
          </w:p>
        </w:tc>
        <w:tc>
          <w:tcPr>
            <w:tcW w:w="1253" w:type="dxa"/>
            <w:tcBorders>
              <w:top w:val="nil"/>
              <w:left w:val="nil"/>
              <w:bottom w:val="single" w:sz="4" w:space="0" w:color="auto"/>
              <w:right w:val="single" w:sz="4" w:space="0" w:color="auto"/>
            </w:tcBorders>
            <w:shd w:val="clear" w:color="auto" w:fill="auto"/>
            <w:vAlign w:val="center"/>
            <w:hideMark/>
          </w:tcPr>
          <w:p w:rsidR="00163BE0" w:rsidRPr="00955BB7" w:rsidRDefault="00163BE0" w:rsidP="00955BB7">
            <w:pPr>
              <w:keepNext/>
              <w:jc w:val="center"/>
              <w:rPr>
                <w:rFonts w:ascii="Times New Roman" w:hAnsi="Times New Roman"/>
                <w:lang w:val="de-DE"/>
              </w:rPr>
            </w:pPr>
            <w:r w:rsidRPr="00955BB7">
              <w:rPr>
                <w:rFonts w:ascii="Times New Roman" w:hAnsi="Times New Roman"/>
                <w:lang w:val="de-DE"/>
              </w:rPr>
              <w:t>67,69</w:t>
            </w:r>
          </w:p>
        </w:tc>
        <w:tc>
          <w:tcPr>
            <w:tcW w:w="1253" w:type="dxa"/>
            <w:tcBorders>
              <w:top w:val="nil"/>
              <w:left w:val="nil"/>
              <w:bottom w:val="single" w:sz="4" w:space="0" w:color="auto"/>
              <w:right w:val="single" w:sz="4" w:space="0" w:color="auto"/>
            </w:tcBorders>
            <w:shd w:val="clear" w:color="auto" w:fill="auto"/>
            <w:vAlign w:val="center"/>
            <w:hideMark/>
          </w:tcPr>
          <w:p w:rsidR="00163BE0" w:rsidRPr="00955BB7" w:rsidRDefault="00163BE0" w:rsidP="00955BB7">
            <w:pPr>
              <w:keepNext/>
              <w:jc w:val="center"/>
              <w:rPr>
                <w:rFonts w:ascii="Times New Roman" w:hAnsi="Times New Roman"/>
                <w:lang w:val="de-DE"/>
              </w:rPr>
            </w:pPr>
            <w:r w:rsidRPr="00955BB7">
              <w:rPr>
                <w:rFonts w:ascii="Times New Roman" w:hAnsi="Times New Roman"/>
                <w:lang w:val="de-DE"/>
              </w:rPr>
              <w:t>55,00</w:t>
            </w:r>
          </w:p>
        </w:tc>
      </w:tr>
      <w:tr w:rsidR="00163BE0" w:rsidRPr="009A4C44" w:rsidTr="00E702B3">
        <w:trPr>
          <w:trHeight w:val="20"/>
          <w:jc w:val="center"/>
        </w:trPr>
        <w:tc>
          <w:tcPr>
            <w:tcW w:w="874" w:type="dxa"/>
            <w:tcBorders>
              <w:top w:val="nil"/>
              <w:left w:val="single" w:sz="4" w:space="0" w:color="auto"/>
              <w:bottom w:val="single" w:sz="4" w:space="0" w:color="auto"/>
              <w:right w:val="nil"/>
            </w:tcBorders>
            <w:shd w:val="clear" w:color="000000" w:fill="CCC0DA"/>
            <w:vAlign w:val="center"/>
            <w:hideMark/>
          </w:tcPr>
          <w:p w:rsidR="00163BE0" w:rsidRPr="00955BB7" w:rsidRDefault="002D564B" w:rsidP="00E702B3">
            <w:pPr>
              <w:keepNext/>
              <w:rPr>
                <w:rFonts w:ascii="Times New Roman" w:hAnsi="Times New Roman"/>
                <w:lang w:val="de-DE"/>
              </w:rPr>
            </w:pPr>
            <m:oMathPara>
              <m:oMath>
                <m:sSub>
                  <m:sSubPr>
                    <m:ctrlPr>
                      <w:rPr>
                        <w:rFonts w:ascii="Cambria Math" w:hAnsi="Cambria Math"/>
                        <w:i/>
                        <w:iCs/>
                        <w:szCs w:val="22"/>
                      </w:rPr>
                    </m:ctrlPr>
                  </m:sSubPr>
                  <m:e>
                    <m:r>
                      <w:rPr>
                        <w:rFonts w:ascii="Cambria Math" w:hAnsi="Cambria Math"/>
                        <w:szCs w:val="22"/>
                      </w:rPr>
                      <m:t>P</m:t>
                    </m:r>
                  </m:e>
                  <m:sub>
                    <m:r>
                      <w:rPr>
                        <w:rFonts w:ascii="Cambria Math" w:hAnsi="Cambria Math"/>
                        <w:szCs w:val="22"/>
                      </w:rPr>
                      <m:t>IGCC</m:t>
                    </m:r>
                  </m:sub>
                </m:sSub>
              </m:oMath>
            </m:oMathPara>
          </w:p>
        </w:tc>
        <w:tc>
          <w:tcPr>
            <w:tcW w:w="885" w:type="dxa"/>
            <w:tcBorders>
              <w:top w:val="nil"/>
              <w:left w:val="single" w:sz="4" w:space="0" w:color="auto"/>
              <w:bottom w:val="single" w:sz="4" w:space="0" w:color="auto"/>
              <w:right w:val="single" w:sz="4" w:space="0" w:color="auto"/>
            </w:tcBorders>
            <w:shd w:val="clear" w:color="000000" w:fill="CCC0DA"/>
            <w:vAlign w:val="center"/>
            <w:hideMark/>
          </w:tcPr>
          <w:p w:rsidR="00163BE0" w:rsidRPr="00955BB7" w:rsidRDefault="00163BE0" w:rsidP="00E702B3">
            <w:pPr>
              <w:keepNext/>
              <w:jc w:val="center"/>
              <w:rPr>
                <w:rFonts w:ascii="Times New Roman" w:hAnsi="Times New Roman"/>
                <w:lang w:val="de-DE"/>
              </w:rPr>
            </w:pPr>
            <w:r w:rsidRPr="00955BB7">
              <w:rPr>
                <w:rFonts w:ascii="Times New Roman" w:hAnsi="Times New Roman"/>
                <w:lang w:val="de-DE"/>
              </w:rPr>
              <w:t>[€/MWh]</w:t>
            </w:r>
          </w:p>
        </w:tc>
        <w:tc>
          <w:tcPr>
            <w:tcW w:w="1365" w:type="dxa"/>
            <w:tcBorders>
              <w:top w:val="nil"/>
              <w:left w:val="nil"/>
              <w:bottom w:val="single" w:sz="4" w:space="0" w:color="auto"/>
              <w:right w:val="single" w:sz="4" w:space="0" w:color="auto"/>
            </w:tcBorders>
            <w:shd w:val="clear" w:color="000000" w:fill="D8E4BC"/>
            <w:noWrap/>
            <w:vAlign w:val="bottom"/>
            <w:hideMark/>
          </w:tcPr>
          <w:p w:rsidR="00163BE0" w:rsidRPr="00955BB7" w:rsidRDefault="00163BE0" w:rsidP="00955BB7">
            <w:pPr>
              <w:keepNext/>
              <w:jc w:val="center"/>
              <w:rPr>
                <w:rFonts w:ascii="Times New Roman" w:hAnsi="Times New Roman"/>
                <w:lang w:val="de-DE"/>
              </w:rPr>
            </w:pPr>
            <w:r w:rsidRPr="00955BB7">
              <w:rPr>
                <w:rFonts w:ascii="Times New Roman" w:hAnsi="Times New Roman"/>
              </w:rPr>
              <w:t>52,905</w:t>
            </w:r>
          </w:p>
        </w:tc>
        <w:tc>
          <w:tcPr>
            <w:tcW w:w="1253" w:type="dxa"/>
            <w:tcBorders>
              <w:top w:val="nil"/>
              <w:left w:val="nil"/>
              <w:bottom w:val="single" w:sz="4" w:space="0" w:color="auto"/>
              <w:right w:val="single" w:sz="4" w:space="0" w:color="auto"/>
            </w:tcBorders>
            <w:shd w:val="clear" w:color="000000" w:fill="D8E4BC"/>
            <w:noWrap/>
            <w:vAlign w:val="bottom"/>
            <w:hideMark/>
          </w:tcPr>
          <w:p w:rsidR="00163BE0" w:rsidRPr="00955BB7" w:rsidRDefault="00163BE0" w:rsidP="00955BB7">
            <w:pPr>
              <w:keepNext/>
              <w:jc w:val="center"/>
              <w:rPr>
                <w:rFonts w:ascii="Times New Roman" w:hAnsi="Times New Roman"/>
                <w:lang w:val="de-DE"/>
              </w:rPr>
            </w:pPr>
            <w:r w:rsidRPr="00955BB7">
              <w:rPr>
                <w:rFonts w:ascii="Times New Roman" w:hAnsi="Times New Roman"/>
              </w:rPr>
              <w:t>52,905</w:t>
            </w:r>
          </w:p>
        </w:tc>
        <w:tc>
          <w:tcPr>
            <w:tcW w:w="1365" w:type="dxa"/>
            <w:tcBorders>
              <w:top w:val="nil"/>
              <w:left w:val="nil"/>
              <w:bottom w:val="single" w:sz="4" w:space="0" w:color="auto"/>
              <w:right w:val="single" w:sz="4" w:space="0" w:color="auto"/>
            </w:tcBorders>
            <w:shd w:val="clear" w:color="000000" w:fill="D8E4BC"/>
            <w:noWrap/>
            <w:vAlign w:val="bottom"/>
            <w:hideMark/>
          </w:tcPr>
          <w:p w:rsidR="00163BE0" w:rsidRPr="00955BB7" w:rsidRDefault="00163BE0" w:rsidP="00955BB7">
            <w:pPr>
              <w:keepNext/>
              <w:jc w:val="center"/>
              <w:rPr>
                <w:rFonts w:ascii="Times New Roman" w:hAnsi="Times New Roman"/>
                <w:lang w:val="de-DE"/>
              </w:rPr>
            </w:pPr>
            <w:r w:rsidRPr="00955BB7">
              <w:rPr>
                <w:rFonts w:ascii="Times New Roman" w:hAnsi="Times New Roman"/>
              </w:rPr>
              <w:t>52,905</w:t>
            </w:r>
          </w:p>
        </w:tc>
        <w:tc>
          <w:tcPr>
            <w:tcW w:w="1253" w:type="dxa"/>
            <w:tcBorders>
              <w:top w:val="nil"/>
              <w:left w:val="nil"/>
              <w:bottom w:val="single" w:sz="4" w:space="0" w:color="auto"/>
              <w:right w:val="single" w:sz="4" w:space="0" w:color="auto"/>
            </w:tcBorders>
            <w:shd w:val="clear" w:color="000000" w:fill="D8E4BC"/>
            <w:noWrap/>
            <w:vAlign w:val="bottom"/>
            <w:hideMark/>
          </w:tcPr>
          <w:p w:rsidR="00163BE0" w:rsidRPr="00955BB7" w:rsidRDefault="00163BE0" w:rsidP="00955BB7">
            <w:pPr>
              <w:keepNext/>
              <w:jc w:val="center"/>
              <w:rPr>
                <w:rFonts w:ascii="Times New Roman" w:hAnsi="Times New Roman"/>
                <w:lang w:val="de-DE"/>
              </w:rPr>
            </w:pPr>
            <w:r w:rsidRPr="00955BB7">
              <w:rPr>
                <w:rFonts w:ascii="Times New Roman" w:hAnsi="Times New Roman"/>
              </w:rPr>
              <w:t>52,905</w:t>
            </w:r>
          </w:p>
        </w:tc>
        <w:tc>
          <w:tcPr>
            <w:tcW w:w="1253" w:type="dxa"/>
            <w:tcBorders>
              <w:top w:val="nil"/>
              <w:left w:val="nil"/>
              <w:bottom w:val="single" w:sz="4" w:space="0" w:color="auto"/>
              <w:right w:val="single" w:sz="4" w:space="0" w:color="auto"/>
            </w:tcBorders>
            <w:shd w:val="clear" w:color="000000" w:fill="D8E4BC"/>
            <w:noWrap/>
            <w:vAlign w:val="bottom"/>
            <w:hideMark/>
          </w:tcPr>
          <w:p w:rsidR="00163BE0" w:rsidRPr="00955BB7" w:rsidRDefault="00163BE0" w:rsidP="00955BB7">
            <w:pPr>
              <w:keepNext/>
              <w:jc w:val="center"/>
              <w:rPr>
                <w:rFonts w:ascii="Times New Roman" w:hAnsi="Times New Roman"/>
                <w:lang w:val="de-DE"/>
              </w:rPr>
            </w:pPr>
            <w:r w:rsidRPr="00955BB7">
              <w:rPr>
                <w:rFonts w:ascii="Times New Roman" w:hAnsi="Times New Roman"/>
              </w:rPr>
              <w:t>52,905</w:t>
            </w:r>
          </w:p>
        </w:tc>
      </w:tr>
      <w:tr w:rsidR="006114F2" w:rsidRPr="009A4C44" w:rsidTr="00E702B3">
        <w:trPr>
          <w:trHeight w:val="20"/>
          <w:jc w:val="center"/>
        </w:trPr>
        <w:tc>
          <w:tcPr>
            <w:tcW w:w="874" w:type="dxa"/>
            <w:tcBorders>
              <w:top w:val="nil"/>
              <w:left w:val="single" w:sz="4" w:space="0" w:color="auto"/>
              <w:bottom w:val="single" w:sz="4" w:space="0" w:color="auto"/>
              <w:right w:val="nil"/>
            </w:tcBorders>
            <w:shd w:val="clear" w:color="000000" w:fill="CCC0DA"/>
            <w:vAlign w:val="center"/>
            <w:hideMark/>
          </w:tcPr>
          <w:p w:rsidR="00163BE0" w:rsidRPr="00955BB7" w:rsidRDefault="00163BE0" w:rsidP="00E702B3">
            <w:pPr>
              <w:keepNext/>
              <w:rPr>
                <w:rFonts w:ascii="Times New Roman" w:hAnsi="Times New Roman"/>
                <w:lang w:val="de-DE"/>
              </w:rPr>
            </w:pPr>
            <m:oMathPara>
              <m:oMath>
                <m:r>
                  <w:rPr>
                    <w:rFonts w:ascii="Cambria Math" w:hAnsi="Cambria Math"/>
                    <w:szCs w:val="22"/>
                  </w:rPr>
                  <m:t>S</m:t>
                </m:r>
              </m:oMath>
            </m:oMathPara>
          </w:p>
        </w:tc>
        <w:tc>
          <w:tcPr>
            <w:tcW w:w="885" w:type="dxa"/>
            <w:tcBorders>
              <w:top w:val="nil"/>
              <w:left w:val="single" w:sz="4" w:space="0" w:color="auto"/>
              <w:bottom w:val="single" w:sz="4" w:space="0" w:color="auto"/>
              <w:right w:val="single" w:sz="4" w:space="0" w:color="auto"/>
            </w:tcBorders>
            <w:shd w:val="clear" w:color="000000" w:fill="CCC0DA"/>
            <w:vAlign w:val="center"/>
            <w:hideMark/>
          </w:tcPr>
          <w:p w:rsidR="00163BE0" w:rsidRPr="00955BB7" w:rsidRDefault="00163BE0" w:rsidP="00E702B3">
            <w:pPr>
              <w:keepNext/>
              <w:jc w:val="center"/>
              <w:rPr>
                <w:rFonts w:ascii="Times New Roman" w:hAnsi="Times New Roman"/>
                <w:lang w:val="de-DE"/>
              </w:rPr>
            </w:pPr>
            <w:r w:rsidRPr="00955BB7">
              <w:rPr>
                <w:rFonts w:ascii="Times New Roman" w:hAnsi="Times New Roman"/>
                <w:lang w:val="de-DE"/>
              </w:rPr>
              <w:t>[€]</w:t>
            </w:r>
          </w:p>
        </w:tc>
        <w:tc>
          <w:tcPr>
            <w:tcW w:w="1365" w:type="dxa"/>
            <w:tcBorders>
              <w:top w:val="nil"/>
              <w:left w:val="nil"/>
              <w:bottom w:val="single" w:sz="4" w:space="0" w:color="auto"/>
              <w:right w:val="single" w:sz="4" w:space="0" w:color="auto"/>
            </w:tcBorders>
            <w:shd w:val="clear" w:color="000000" w:fill="D8E4BC"/>
            <w:noWrap/>
            <w:vAlign w:val="bottom"/>
            <w:hideMark/>
          </w:tcPr>
          <w:p w:rsidR="00163BE0" w:rsidRPr="00955BB7" w:rsidRDefault="00163BE0" w:rsidP="00955BB7">
            <w:pPr>
              <w:keepNext/>
              <w:jc w:val="center"/>
              <w:rPr>
                <w:rFonts w:ascii="Times New Roman" w:hAnsi="Times New Roman"/>
                <w:lang w:val="de-DE"/>
              </w:rPr>
            </w:pPr>
            <w:r w:rsidRPr="00955BB7">
              <w:rPr>
                <w:rFonts w:ascii="Times New Roman" w:hAnsi="Times New Roman"/>
              </w:rPr>
              <w:t>241,78</w:t>
            </w:r>
          </w:p>
        </w:tc>
        <w:tc>
          <w:tcPr>
            <w:tcW w:w="1253" w:type="dxa"/>
            <w:tcBorders>
              <w:top w:val="nil"/>
              <w:left w:val="nil"/>
              <w:bottom w:val="single" w:sz="4" w:space="0" w:color="auto"/>
              <w:right w:val="single" w:sz="4" w:space="0" w:color="auto"/>
            </w:tcBorders>
            <w:shd w:val="clear" w:color="000000" w:fill="D8E4BC"/>
            <w:noWrap/>
            <w:vAlign w:val="bottom"/>
            <w:hideMark/>
          </w:tcPr>
          <w:p w:rsidR="00163BE0" w:rsidRPr="00955BB7" w:rsidRDefault="00163BE0" w:rsidP="00955BB7">
            <w:pPr>
              <w:keepNext/>
              <w:jc w:val="center"/>
              <w:rPr>
                <w:rFonts w:ascii="Times New Roman" w:hAnsi="Times New Roman"/>
                <w:lang w:val="de-DE"/>
              </w:rPr>
            </w:pPr>
            <w:r w:rsidRPr="00955BB7">
              <w:rPr>
                <w:rFonts w:ascii="Times New Roman" w:hAnsi="Times New Roman"/>
              </w:rPr>
              <w:t>0,00</w:t>
            </w:r>
          </w:p>
        </w:tc>
        <w:tc>
          <w:tcPr>
            <w:tcW w:w="1365" w:type="dxa"/>
            <w:tcBorders>
              <w:top w:val="nil"/>
              <w:left w:val="nil"/>
              <w:bottom w:val="single" w:sz="4" w:space="0" w:color="auto"/>
              <w:right w:val="single" w:sz="4" w:space="0" w:color="auto"/>
            </w:tcBorders>
            <w:shd w:val="clear" w:color="000000" w:fill="D8E4BC"/>
            <w:noWrap/>
            <w:vAlign w:val="bottom"/>
            <w:hideMark/>
          </w:tcPr>
          <w:p w:rsidR="00163BE0" w:rsidRPr="00955BB7" w:rsidRDefault="00163BE0" w:rsidP="00955BB7">
            <w:pPr>
              <w:keepNext/>
              <w:jc w:val="center"/>
              <w:rPr>
                <w:rFonts w:ascii="Times New Roman" w:hAnsi="Times New Roman"/>
                <w:lang w:val="de-DE"/>
              </w:rPr>
            </w:pPr>
            <w:r w:rsidRPr="00955BB7">
              <w:rPr>
                <w:rFonts w:ascii="Times New Roman" w:hAnsi="Times New Roman"/>
              </w:rPr>
              <w:t>-114,80</w:t>
            </w:r>
          </w:p>
        </w:tc>
        <w:tc>
          <w:tcPr>
            <w:tcW w:w="1253" w:type="dxa"/>
            <w:tcBorders>
              <w:top w:val="nil"/>
              <w:left w:val="nil"/>
              <w:bottom w:val="single" w:sz="4" w:space="0" w:color="auto"/>
              <w:right w:val="single" w:sz="4" w:space="0" w:color="auto"/>
            </w:tcBorders>
            <w:shd w:val="clear" w:color="000000" w:fill="D8E4BC"/>
            <w:noWrap/>
            <w:vAlign w:val="bottom"/>
            <w:hideMark/>
          </w:tcPr>
          <w:p w:rsidR="00163BE0" w:rsidRPr="00955BB7" w:rsidRDefault="00163BE0" w:rsidP="00955BB7">
            <w:pPr>
              <w:keepNext/>
              <w:jc w:val="center"/>
              <w:rPr>
                <w:rFonts w:ascii="Times New Roman" w:hAnsi="Times New Roman"/>
                <w:lang w:val="de-DE"/>
              </w:rPr>
            </w:pPr>
            <w:r w:rsidRPr="00955BB7">
              <w:rPr>
                <w:rFonts w:ascii="Times New Roman" w:hAnsi="Times New Roman"/>
              </w:rPr>
              <w:t>-126,97</w:t>
            </w:r>
          </w:p>
        </w:tc>
        <w:tc>
          <w:tcPr>
            <w:tcW w:w="1253" w:type="dxa"/>
            <w:tcBorders>
              <w:top w:val="nil"/>
              <w:left w:val="nil"/>
              <w:bottom w:val="single" w:sz="4" w:space="0" w:color="auto"/>
              <w:right w:val="single" w:sz="4" w:space="0" w:color="auto"/>
            </w:tcBorders>
            <w:shd w:val="clear" w:color="000000" w:fill="D8E4BC"/>
            <w:noWrap/>
            <w:vAlign w:val="bottom"/>
            <w:hideMark/>
          </w:tcPr>
          <w:p w:rsidR="00163BE0" w:rsidRPr="00955BB7" w:rsidRDefault="00163BE0" w:rsidP="00955BB7">
            <w:pPr>
              <w:keepNext/>
              <w:jc w:val="center"/>
              <w:rPr>
                <w:rFonts w:ascii="Times New Roman" w:hAnsi="Times New Roman"/>
                <w:lang w:val="de-DE"/>
              </w:rPr>
            </w:pPr>
            <w:r w:rsidRPr="00955BB7">
              <w:rPr>
                <w:rFonts w:ascii="Times New Roman" w:hAnsi="Times New Roman"/>
              </w:rPr>
              <w:t>0,00</w:t>
            </w:r>
          </w:p>
        </w:tc>
      </w:tr>
      <w:tr w:rsidR="006114F2" w:rsidRPr="009A4C44" w:rsidTr="00E702B3">
        <w:trPr>
          <w:trHeight w:val="20"/>
          <w:jc w:val="center"/>
        </w:trPr>
        <w:tc>
          <w:tcPr>
            <w:tcW w:w="874" w:type="dxa"/>
            <w:tcBorders>
              <w:top w:val="single" w:sz="4" w:space="0" w:color="auto"/>
              <w:left w:val="single" w:sz="4" w:space="0" w:color="auto"/>
              <w:bottom w:val="single" w:sz="4" w:space="0" w:color="auto"/>
              <w:right w:val="nil"/>
            </w:tcBorders>
            <w:shd w:val="clear" w:color="000000" w:fill="CCC0DA"/>
            <w:vAlign w:val="center"/>
            <w:hideMark/>
          </w:tcPr>
          <w:p w:rsidR="00163BE0" w:rsidRPr="00955BB7" w:rsidRDefault="00163BE0" w:rsidP="00E702B3">
            <w:pPr>
              <w:keepNext/>
              <w:rPr>
                <w:rFonts w:ascii="Times New Roman" w:hAnsi="Times New Roman"/>
                <w:lang w:val="de-DE"/>
              </w:rPr>
            </w:pPr>
            <m:oMathPara>
              <m:oMath>
                <m:r>
                  <w:rPr>
                    <w:rFonts w:ascii="Cambria Math" w:hAnsi="Cambria Math"/>
                    <w:szCs w:val="22"/>
                    <w:lang w:val="de-DE"/>
                  </w:rPr>
                  <m:t>B</m:t>
                </m:r>
              </m:oMath>
            </m:oMathPara>
          </w:p>
        </w:tc>
        <w:tc>
          <w:tcPr>
            <w:tcW w:w="885" w:type="dxa"/>
            <w:tcBorders>
              <w:top w:val="single" w:sz="4" w:space="0" w:color="auto"/>
              <w:left w:val="single" w:sz="4" w:space="0" w:color="auto"/>
              <w:bottom w:val="single" w:sz="4" w:space="0" w:color="auto"/>
              <w:right w:val="single" w:sz="4" w:space="0" w:color="auto"/>
            </w:tcBorders>
            <w:shd w:val="clear" w:color="000000" w:fill="CCC0DA"/>
            <w:vAlign w:val="center"/>
            <w:hideMark/>
          </w:tcPr>
          <w:p w:rsidR="00163BE0" w:rsidRPr="00955BB7" w:rsidRDefault="00163BE0" w:rsidP="00E702B3">
            <w:pPr>
              <w:keepNext/>
              <w:jc w:val="center"/>
              <w:rPr>
                <w:rFonts w:ascii="Times New Roman" w:hAnsi="Times New Roman"/>
                <w:lang w:val="de-DE"/>
              </w:rPr>
            </w:pPr>
            <w:r w:rsidRPr="00955BB7">
              <w:rPr>
                <w:rFonts w:ascii="Times New Roman" w:hAnsi="Times New Roman"/>
                <w:lang w:val="de-DE"/>
              </w:rPr>
              <w:t>[€]</w:t>
            </w:r>
          </w:p>
        </w:tc>
        <w:tc>
          <w:tcPr>
            <w:tcW w:w="1365" w:type="dxa"/>
            <w:tcBorders>
              <w:top w:val="single" w:sz="4" w:space="0" w:color="auto"/>
              <w:left w:val="nil"/>
              <w:bottom w:val="single" w:sz="4" w:space="0" w:color="auto"/>
              <w:right w:val="single" w:sz="4" w:space="0" w:color="auto"/>
            </w:tcBorders>
            <w:shd w:val="clear" w:color="000000" w:fill="D8E4BC"/>
            <w:noWrap/>
            <w:vAlign w:val="bottom"/>
            <w:hideMark/>
          </w:tcPr>
          <w:p w:rsidR="00163BE0" w:rsidRPr="00955BB7" w:rsidRDefault="00163BE0" w:rsidP="00955BB7">
            <w:pPr>
              <w:keepNext/>
              <w:jc w:val="center"/>
              <w:rPr>
                <w:rFonts w:ascii="Times New Roman" w:hAnsi="Times New Roman"/>
                <w:lang w:val="de-DE"/>
              </w:rPr>
            </w:pPr>
            <w:r w:rsidRPr="00955BB7">
              <w:rPr>
                <w:rFonts w:ascii="Times New Roman" w:hAnsi="Times New Roman"/>
              </w:rPr>
              <w:t>125,14</w:t>
            </w:r>
          </w:p>
        </w:tc>
        <w:tc>
          <w:tcPr>
            <w:tcW w:w="1253" w:type="dxa"/>
            <w:tcBorders>
              <w:top w:val="single" w:sz="4" w:space="0" w:color="auto"/>
              <w:left w:val="nil"/>
              <w:bottom w:val="single" w:sz="4" w:space="0" w:color="auto"/>
              <w:right w:val="single" w:sz="4" w:space="0" w:color="auto"/>
            </w:tcBorders>
            <w:shd w:val="clear" w:color="000000" w:fill="D8E4BC"/>
            <w:noWrap/>
            <w:vAlign w:val="bottom"/>
            <w:hideMark/>
          </w:tcPr>
          <w:p w:rsidR="00163BE0" w:rsidRPr="00955BB7" w:rsidRDefault="00163BE0" w:rsidP="00955BB7">
            <w:pPr>
              <w:keepNext/>
              <w:jc w:val="center"/>
              <w:rPr>
                <w:rFonts w:ascii="Times New Roman" w:hAnsi="Times New Roman"/>
                <w:lang w:val="de-DE"/>
              </w:rPr>
            </w:pPr>
            <w:r w:rsidRPr="00955BB7">
              <w:rPr>
                <w:rFonts w:ascii="Times New Roman" w:hAnsi="Times New Roman"/>
              </w:rPr>
              <w:t>22,12</w:t>
            </w:r>
          </w:p>
        </w:tc>
        <w:tc>
          <w:tcPr>
            <w:tcW w:w="1365" w:type="dxa"/>
            <w:tcBorders>
              <w:top w:val="single" w:sz="4" w:space="0" w:color="auto"/>
              <w:left w:val="nil"/>
              <w:bottom w:val="single" w:sz="4" w:space="0" w:color="auto"/>
              <w:right w:val="single" w:sz="4" w:space="0" w:color="auto"/>
            </w:tcBorders>
            <w:shd w:val="clear" w:color="000000" w:fill="D8E4BC"/>
            <w:noWrap/>
            <w:vAlign w:val="bottom"/>
            <w:hideMark/>
          </w:tcPr>
          <w:p w:rsidR="00163BE0" w:rsidRPr="00955BB7" w:rsidRDefault="00163BE0" w:rsidP="00955BB7">
            <w:pPr>
              <w:keepNext/>
              <w:jc w:val="center"/>
              <w:rPr>
                <w:rFonts w:ascii="Times New Roman" w:hAnsi="Times New Roman"/>
                <w:lang w:val="de-DE"/>
              </w:rPr>
            </w:pPr>
            <w:r w:rsidRPr="00955BB7">
              <w:rPr>
                <w:rFonts w:ascii="Times New Roman" w:hAnsi="Times New Roman"/>
              </w:rPr>
              <w:t>141,85</w:t>
            </w:r>
          </w:p>
        </w:tc>
        <w:tc>
          <w:tcPr>
            <w:tcW w:w="1253" w:type="dxa"/>
            <w:tcBorders>
              <w:top w:val="single" w:sz="4" w:space="0" w:color="auto"/>
              <w:left w:val="nil"/>
              <w:bottom w:val="single" w:sz="4" w:space="0" w:color="auto"/>
              <w:right w:val="single" w:sz="4" w:space="0" w:color="auto"/>
            </w:tcBorders>
            <w:shd w:val="clear" w:color="000000" w:fill="D8E4BC"/>
            <w:noWrap/>
            <w:vAlign w:val="bottom"/>
            <w:hideMark/>
          </w:tcPr>
          <w:p w:rsidR="00163BE0" w:rsidRPr="00955BB7" w:rsidRDefault="00163BE0" w:rsidP="00955BB7">
            <w:pPr>
              <w:keepNext/>
              <w:jc w:val="center"/>
              <w:rPr>
                <w:rFonts w:ascii="Times New Roman" w:hAnsi="Times New Roman"/>
                <w:lang w:val="de-DE"/>
              </w:rPr>
            </w:pPr>
            <w:r w:rsidRPr="00955BB7">
              <w:rPr>
                <w:rFonts w:ascii="Times New Roman" w:hAnsi="Times New Roman"/>
              </w:rPr>
              <w:t>-35,48</w:t>
            </w:r>
          </w:p>
        </w:tc>
        <w:tc>
          <w:tcPr>
            <w:tcW w:w="1253" w:type="dxa"/>
            <w:tcBorders>
              <w:top w:val="single" w:sz="4" w:space="0" w:color="auto"/>
              <w:left w:val="nil"/>
              <w:bottom w:val="single" w:sz="4" w:space="0" w:color="auto"/>
              <w:right w:val="single" w:sz="4" w:space="0" w:color="auto"/>
            </w:tcBorders>
            <w:shd w:val="clear" w:color="000000" w:fill="D8E4BC"/>
            <w:noWrap/>
            <w:vAlign w:val="bottom"/>
            <w:hideMark/>
          </w:tcPr>
          <w:p w:rsidR="00163BE0" w:rsidRPr="00955BB7" w:rsidRDefault="00163BE0" w:rsidP="00955BB7">
            <w:pPr>
              <w:keepNext/>
              <w:jc w:val="center"/>
              <w:rPr>
                <w:rFonts w:ascii="Times New Roman" w:hAnsi="Times New Roman"/>
                <w:lang w:val="de-DE"/>
              </w:rPr>
            </w:pPr>
            <w:r w:rsidRPr="00955BB7">
              <w:rPr>
                <w:rFonts w:ascii="Times New Roman" w:hAnsi="Times New Roman"/>
              </w:rPr>
              <w:t>-22,50</w:t>
            </w:r>
          </w:p>
        </w:tc>
      </w:tr>
      <w:tr w:rsidR="00163BE0" w:rsidRPr="009A4C44" w:rsidTr="00E702B3">
        <w:trPr>
          <w:trHeight w:val="300"/>
          <w:jc w:val="center"/>
        </w:trPr>
        <w:tc>
          <w:tcPr>
            <w:tcW w:w="874" w:type="dxa"/>
            <w:tcBorders>
              <w:top w:val="nil"/>
              <w:left w:val="single" w:sz="4" w:space="0" w:color="auto"/>
              <w:bottom w:val="single" w:sz="4" w:space="0" w:color="auto"/>
              <w:right w:val="nil"/>
            </w:tcBorders>
            <w:shd w:val="clear" w:color="000000" w:fill="CCC0DA"/>
            <w:vAlign w:val="center"/>
          </w:tcPr>
          <w:p w:rsidR="00163BE0" w:rsidRPr="00955BB7" w:rsidRDefault="002D564B" w:rsidP="00E702B3">
            <w:pPr>
              <w:keepNext/>
              <w:rPr>
                <w:rFonts w:ascii="Times New Roman" w:hAnsi="Times New Roman"/>
                <w:lang w:val="de-DE"/>
              </w:rPr>
            </w:pPr>
            <m:oMathPara>
              <m:oMath>
                <m:sSub>
                  <m:sSubPr>
                    <m:ctrlPr>
                      <w:rPr>
                        <w:rFonts w:ascii="Cambria Math" w:hAnsi="Cambria Math"/>
                        <w:i/>
                        <w:szCs w:val="22"/>
                        <w:lang w:val="de-DE"/>
                      </w:rPr>
                    </m:ctrlPr>
                  </m:sSubPr>
                  <m:e>
                    <m:r>
                      <w:rPr>
                        <w:rFonts w:ascii="Cambria Math" w:hAnsi="Cambria Math"/>
                        <w:szCs w:val="22"/>
                        <w:lang w:val="de-DE"/>
                      </w:rPr>
                      <m:t>B</m:t>
                    </m:r>
                  </m:e>
                  <m:sub>
                    <m:r>
                      <w:rPr>
                        <w:rFonts w:ascii="Cambria Math" w:hAnsi="Cambria Math"/>
                        <w:szCs w:val="22"/>
                        <w:lang w:val="de-DE"/>
                      </w:rPr>
                      <m:t>IGCC</m:t>
                    </m:r>
                  </m:sub>
                </m:sSub>
              </m:oMath>
            </m:oMathPara>
          </w:p>
        </w:tc>
        <w:tc>
          <w:tcPr>
            <w:tcW w:w="885" w:type="dxa"/>
            <w:tcBorders>
              <w:top w:val="nil"/>
              <w:left w:val="single" w:sz="4" w:space="0" w:color="auto"/>
              <w:bottom w:val="single" w:sz="4" w:space="0" w:color="auto"/>
              <w:right w:val="single" w:sz="4" w:space="0" w:color="auto"/>
            </w:tcBorders>
            <w:shd w:val="clear" w:color="000000" w:fill="CCC0DA"/>
            <w:vAlign w:val="center"/>
          </w:tcPr>
          <w:p w:rsidR="00163BE0" w:rsidRPr="00955BB7" w:rsidRDefault="00163BE0" w:rsidP="00E702B3">
            <w:pPr>
              <w:keepNext/>
              <w:jc w:val="center"/>
              <w:rPr>
                <w:rFonts w:ascii="Times New Roman" w:hAnsi="Times New Roman"/>
                <w:lang w:val="de-DE"/>
              </w:rPr>
            </w:pPr>
            <w:r w:rsidRPr="00955BB7">
              <w:rPr>
                <w:rFonts w:ascii="Times New Roman" w:hAnsi="Times New Roman"/>
                <w:lang w:val="de-DE"/>
              </w:rPr>
              <w:t>[€]</w:t>
            </w:r>
          </w:p>
        </w:tc>
        <w:tc>
          <w:tcPr>
            <w:tcW w:w="6489" w:type="dxa"/>
            <w:gridSpan w:val="5"/>
            <w:tcBorders>
              <w:top w:val="nil"/>
              <w:left w:val="nil"/>
              <w:bottom w:val="single" w:sz="4" w:space="0" w:color="auto"/>
              <w:right w:val="single" w:sz="4" w:space="0" w:color="auto"/>
            </w:tcBorders>
            <w:shd w:val="clear" w:color="000000" w:fill="D8E4BC"/>
            <w:noWrap/>
            <w:vAlign w:val="bottom"/>
          </w:tcPr>
          <w:p w:rsidR="00163BE0" w:rsidRPr="00955BB7" w:rsidRDefault="00163BE0" w:rsidP="00DE1DDE">
            <w:pPr>
              <w:keepNext/>
              <w:jc w:val="center"/>
              <w:rPr>
                <w:rFonts w:ascii="Times New Roman" w:hAnsi="Times New Roman"/>
                <w:lang w:val="de-DE"/>
              </w:rPr>
            </w:pPr>
            <w:r w:rsidRPr="00955BB7">
              <w:rPr>
                <w:rFonts w:ascii="Times New Roman" w:hAnsi="Times New Roman"/>
              </w:rPr>
              <w:t>231,13</w:t>
            </w:r>
          </w:p>
        </w:tc>
      </w:tr>
      <w:tr w:rsidR="00163BE0" w:rsidRPr="009A4C44" w:rsidTr="00E702B3">
        <w:trPr>
          <w:trHeight w:val="20"/>
          <w:jc w:val="center"/>
        </w:trPr>
        <w:tc>
          <w:tcPr>
            <w:tcW w:w="874" w:type="dxa"/>
            <w:tcBorders>
              <w:top w:val="nil"/>
              <w:left w:val="single" w:sz="4" w:space="0" w:color="auto"/>
              <w:bottom w:val="single" w:sz="4" w:space="0" w:color="auto"/>
              <w:right w:val="nil"/>
            </w:tcBorders>
            <w:shd w:val="clear" w:color="000000" w:fill="CCC0DA"/>
            <w:vAlign w:val="center"/>
            <w:hideMark/>
          </w:tcPr>
          <w:p w:rsidR="00163BE0" w:rsidRPr="00955BB7" w:rsidRDefault="002D564B" w:rsidP="00E702B3">
            <w:pPr>
              <w:keepNext/>
              <w:rPr>
                <w:rFonts w:ascii="Times New Roman" w:hAnsi="Times New Roman"/>
                <w:lang w:val="de-DE"/>
              </w:rPr>
            </w:pPr>
            <m:oMathPara>
              <m:oMath>
                <m:sSup>
                  <m:sSupPr>
                    <m:ctrlPr>
                      <w:rPr>
                        <w:rFonts w:ascii="Cambria Math" w:hAnsi="Cambria Math"/>
                        <w:i/>
                        <w:iCs/>
                        <w:szCs w:val="22"/>
                      </w:rPr>
                    </m:ctrlPr>
                  </m:sSupPr>
                  <m:e>
                    <m:r>
                      <w:rPr>
                        <w:rFonts w:ascii="Cambria Math" w:hAnsi="Cambria Math"/>
                        <w:szCs w:val="22"/>
                      </w:rPr>
                      <m:t>S</m:t>
                    </m:r>
                  </m:e>
                  <m:sup>
                    <m:r>
                      <w:rPr>
                        <w:rFonts w:ascii="Cambria Math" w:hAnsi="Cambria Math"/>
                        <w:szCs w:val="22"/>
                      </w:rPr>
                      <m:t>'</m:t>
                    </m:r>
                  </m:sup>
                </m:sSup>
              </m:oMath>
            </m:oMathPara>
          </w:p>
        </w:tc>
        <w:tc>
          <w:tcPr>
            <w:tcW w:w="885" w:type="dxa"/>
            <w:tcBorders>
              <w:top w:val="nil"/>
              <w:left w:val="single" w:sz="4" w:space="0" w:color="auto"/>
              <w:bottom w:val="single" w:sz="4" w:space="0" w:color="auto"/>
              <w:right w:val="single" w:sz="4" w:space="0" w:color="auto"/>
            </w:tcBorders>
            <w:shd w:val="clear" w:color="000000" w:fill="CCC0DA"/>
            <w:vAlign w:val="center"/>
            <w:hideMark/>
          </w:tcPr>
          <w:p w:rsidR="00163BE0" w:rsidRPr="00955BB7" w:rsidRDefault="00163BE0" w:rsidP="00E702B3">
            <w:pPr>
              <w:keepNext/>
              <w:jc w:val="center"/>
              <w:rPr>
                <w:rFonts w:ascii="Times New Roman" w:hAnsi="Times New Roman"/>
                <w:lang w:val="de-DE"/>
              </w:rPr>
            </w:pPr>
            <w:r w:rsidRPr="00955BB7">
              <w:rPr>
                <w:rFonts w:ascii="Times New Roman" w:hAnsi="Times New Roman"/>
                <w:lang w:val="de-DE"/>
              </w:rPr>
              <w:t>[€]</w:t>
            </w:r>
          </w:p>
        </w:tc>
        <w:tc>
          <w:tcPr>
            <w:tcW w:w="1365" w:type="dxa"/>
            <w:tcBorders>
              <w:top w:val="nil"/>
              <w:left w:val="nil"/>
              <w:bottom w:val="single" w:sz="4" w:space="0" w:color="auto"/>
              <w:right w:val="single" w:sz="4" w:space="0" w:color="auto"/>
            </w:tcBorders>
            <w:shd w:val="clear" w:color="000000" w:fill="FABF8F"/>
            <w:noWrap/>
            <w:vAlign w:val="bottom"/>
            <w:hideMark/>
          </w:tcPr>
          <w:p w:rsidR="00163BE0" w:rsidRPr="00955BB7" w:rsidRDefault="00163BE0" w:rsidP="00955BB7">
            <w:pPr>
              <w:keepNext/>
              <w:jc w:val="center"/>
              <w:rPr>
                <w:rFonts w:ascii="Times New Roman" w:hAnsi="Times New Roman"/>
                <w:lang w:val="de-DE"/>
              </w:rPr>
            </w:pPr>
            <w:r w:rsidRPr="00955BB7">
              <w:rPr>
                <w:rFonts w:ascii="Times New Roman" w:hAnsi="Times New Roman"/>
              </w:rPr>
              <w:t>258,41</w:t>
            </w:r>
          </w:p>
        </w:tc>
        <w:tc>
          <w:tcPr>
            <w:tcW w:w="1253" w:type="dxa"/>
            <w:tcBorders>
              <w:top w:val="nil"/>
              <w:left w:val="nil"/>
              <w:bottom w:val="single" w:sz="4" w:space="0" w:color="auto"/>
              <w:right w:val="single" w:sz="4" w:space="0" w:color="auto"/>
            </w:tcBorders>
            <w:shd w:val="clear" w:color="000000" w:fill="D8E4BC"/>
            <w:noWrap/>
            <w:vAlign w:val="bottom"/>
            <w:hideMark/>
          </w:tcPr>
          <w:p w:rsidR="00163BE0" w:rsidRPr="00955BB7" w:rsidRDefault="00163BE0" w:rsidP="00955BB7">
            <w:pPr>
              <w:keepNext/>
              <w:jc w:val="center"/>
              <w:rPr>
                <w:rFonts w:ascii="Times New Roman" w:hAnsi="Times New Roman"/>
                <w:lang w:val="de-DE"/>
              </w:rPr>
            </w:pPr>
            <w:r w:rsidRPr="00955BB7">
              <w:rPr>
                <w:rFonts w:ascii="Times New Roman" w:hAnsi="Times New Roman"/>
              </w:rPr>
              <w:t>0</w:t>
            </w:r>
          </w:p>
        </w:tc>
        <w:tc>
          <w:tcPr>
            <w:tcW w:w="1365" w:type="dxa"/>
            <w:tcBorders>
              <w:top w:val="nil"/>
              <w:left w:val="nil"/>
              <w:bottom w:val="single" w:sz="4" w:space="0" w:color="auto"/>
              <w:right w:val="single" w:sz="4" w:space="0" w:color="auto"/>
            </w:tcBorders>
            <w:shd w:val="clear" w:color="000000" w:fill="FABF8F"/>
            <w:noWrap/>
            <w:vAlign w:val="bottom"/>
            <w:hideMark/>
          </w:tcPr>
          <w:p w:rsidR="00163BE0" w:rsidRPr="00955BB7" w:rsidRDefault="00163BE0" w:rsidP="00955BB7">
            <w:pPr>
              <w:keepNext/>
              <w:jc w:val="center"/>
              <w:rPr>
                <w:rFonts w:ascii="Times New Roman" w:hAnsi="Times New Roman"/>
                <w:lang w:val="de-DE"/>
              </w:rPr>
            </w:pPr>
            <w:r w:rsidRPr="00955BB7">
              <w:rPr>
                <w:rFonts w:ascii="Times New Roman" w:hAnsi="Times New Roman"/>
                <w:lang w:val="de-DE"/>
              </w:rPr>
              <w:t>-95,95</w:t>
            </w:r>
          </w:p>
        </w:tc>
        <w:tc>
          <w:tcPr>
            <w:tcW w:w="1253" w:type="dxa"/>
            <w:tcBorders>
              <w:top w:val="nil"/>
              <w:left w:val="nil"/>
              <w:bottom w:val="single" w:sz="4" w:space="0" w:color="auto"/>
              <w:right w:val="single" w:sz="4" w:space="0" w:color="auto"/>
            </w:tcBorders>
            <w:shd w:val="clear" w:color="000000" w:fill="FABF8F"/>
            <w:noWrap/>
            <w:vAlign w:val="bottom"/>
            <w:hideMark/>
          </w:tcPr>
          <w:p w:rsidR="00163BE0" w:rsidRPr="00955BB7" w:rsidRDefault="00163BE0" w:rsidP="00955BB7">
            <w:pPr>
              <w:keepNext/>
              <w:jc w:val="center"/>
              <w:rPr>
                <w:rFonts w:ascii="Times New Roman" w:hAnsi="Times New Roman"/>
                <w:lang w:val="de-DE"/>
              </w:rPr>
            </w:pPr>
            <w:r w:rsidRPr="00955BB7">
              <w:rPr>
                <w:rFonts w:ascii="Times New Roman" w:hAnsi="Times New Roman"/>
              </w:rPr>
              <w:t>-162,46</w:t>
            </w:r>
          </w:p>
        </w:tc>
        <w:tc>
          <w:tcPr>
            <w:tcW w:w="1253" w:type="dxa"/>
            <w:tcBorders>
              <w:top w:val="nil"/>
              <w:left w:val="nil"/>
              <w:bottom w:val="single" w:sz="4" w:space="0" w:color="auto"/>
              <w:right w:val="single" w:sz="4" w:space="0" w:color="auto"/>
            </w:tcBorders>
            <w:shd w:val="clear" w:color="000000" w:fill="D8E4BC"/>
            <w:noWrap/>
            <w:vAlign w:val="bottom"/>
            <w:hideMark/>
          </w:tcPr>
          <w:p w:rsidR="00163BE0" w:rsidRPr="00955BB7" w:rsidRDefault="00163BE0" w:rsidP="00955BB7">
            <w:pPr>
              <w:keepNext/>
              <w:jc w:val="center"/>
              <w:rPr>
                <w:rFonts w:ascii="Times New Roman" w:hAnsi="Times New Roman"/>
                <w:lang w:val="de-DE"/>
              </w:rPr>
            </w:pPr>
            <w:r w:rsidRPr="00955BB7">
              <w:rPr>
                <w:rFonts w:ascii="Times New Roman" w:hAnsi="Times New Roman"/>
              </w:rPr>
              <w:t>0</w:t>
            </w:r>
          </w:p>
        </w:tc>
      </w:tr>
      <w:tr w:rsidR="00163BE0" w:rsidRPr="009A4C44" w:rsidTr="00E702B3">
        <w:trPr>
          <w:trHeight w:val="20"/>
          <w:jc w:val="center"/>
        </w:trPr>
        <w:tc>
          <w:tcPr>
            <w:tcW w:w="874" w:type="dxa"/>
            <w:tcBorders>
              <w:top w:val="single" w:sz="4" w:space="0" w:color="auto"/>
              <w:left w:val="single" w:sz="4" w:space="0" w:color="auto"/>
              <w:bottom w:val="single" w:sz="4" w:space="0" w:color="auto"/>
              <w:right w:val="nil"/>
            </w:tcBorders>
            <w:shd w:val="clear" w:color="000000" w:fill="CCC0DA"/>
            <w:vAlign w:val="center"/>
            <w:hideMark/>
          </w:tcPr>
          <w:p w:rsidR="00163BE0" w:rsidRPr="00955BB7" w:rsidRDefault="002D564B" w:rsidP="00E702B3">
            <w:pPr>
              <w:rPr>
                <w:rFonts w:ascii="Times New Roman" w:hAnsi="Times New Roman"/>
                <w:lang w:val="de-DE"/>
              </w:rPr>
            </w:pPr>
            <m:oMathPara>
              <m:oMath>
                <m:sSub>
                  <m:sSubPr>
                    <m:ctrlPr>
                      <w:rPr>
                        <w:rFonts w:ascii="Cambria Math" w:hAnsi="Cambria Math"/>
                        <w:i/>
                        <w:iCs/>
                        <w:szCs w:val="22"/>
                      </w:rPr>
                    </m:ctrlPr>
                  </m:sSubPr>
                  <m:e>
                    <m:r>
                      <w:rPr>
                        <w:rFonts w:ascii="Cambria Math" w:hAnsi="Cambria Math"/>
                        <w:szCs w:val="22"/>
                      </w:rPr>
                      <m:t>P'</m:t>
                    </m:r>
                  </m:e>
                  <m:sub>
                    <m:r>
                      <w:rPr>
                        <w:rFonts w:ascii="Cambria Math" w:hAnsi="Cambria Math"/>
                        <w:szCs w:val="22"/>
                      </w:rPr>
                      <m:t>IGCC</m:t>
                    </m:r>
                  </m:sub>
                </m:sSub>
              </m:oMath>
            </m:oMathPara>
          </w:p>
        </w:tc>
        <w:tc>
          <w:tcPr>
            <w:tcW w:w="885" w:type="dxa"/>
            <w:tcBorders>
              <w:top w:val="single" w:sz="4" w:space="0" w:color="auto"/>
              <w:left w:val="single" w:sz="4" w:space="0" w:color="auto"/>
              <w:bottom w:val="single" w:sz="4" w:space="0" w:color="auto"/>
              <w:right w:val="single" w:sz="4" w:space="0" w:color="auto"/>
            </w:tcBorders>
            <w:shd w:val="clear" w:color="000000" w:fill="CCC0DA"/>
            <w:vAlign w:val="center"/>
            <w:hideMark/>
          </w:tcPr>
          <w:p w:rsidR="00163BE0" w:rsidRPr="00955BB7" w:rsidRDefault="00163BE0" w:rsidP="00E702B3">
            <w:pPr>
              <w:jc w:val="center"/>
              <w:rPr>
                <w:rFonts w:ascii="Times New Roman" w:hAnsi="Times New Roman"/>
                <w:lang w:val="de-DE"/>
              </w:rPr>
            </w:pPr>
            <w:r w:rsidRPr="00955BB7">
              <w:rPr>
                <w:rFonts w:ascii="Times New Roman" w:hAnsi="Times New Roman"/>
                <w:lang w:val="de-DE"/>
              </w:rPr>
              <w:t>[€/MWh]</w:t>
            </w:r>
          </w:p>
        </w:tc>
        <w:tc>
          <w:tcPr>
            <w:tcW w:w="1365" w:type="dxa"/>
            <w:tcBorders>
              <w:top w:val="single" w:sz="4" w:space="0" w:color="auto"/>
              <w:left w:val="nil"/>
              <w:bottom w:val="single" w:sz="4" w:space="0" w:color="auto"/>
              <w:right w:val="single" w:sz="4" w:space="0" w:color="auto"/>
            </w:tcBorders>
            <w:shd w:val="clear" w:color="000000" w:fill="FABF8F"/>
            <w:vAlign w:val="bottom"/>
            <w:hideMark/>
          </w:tcPr>
          <w:p w:rsidR="00163BE0" w:rsidRPr="00955BB7" w:rsidRDefault="00163BE0" w:rsidP="00955BB7">
            <w:pPr>
              <w:jc w:val="center"/>
              <w:rPr>
                <w:rFonts w:ascii="Times New Roman" w:hAnsi="Times New Roman"/>
                <w:lang w:val="de-DE"/>
              </w:rPr>
            </w:pPr>
            <w:r w:rsidRPr="00955BB7">
              <w:rPr>
                <w:rFonts w:ascii="Times New Roman" w:hAnsi="Times New Roman"/>
              </w:rPr>
              <w:t>56,545</w:t>
            </w:r>
          </w:p>
        </w:tc>
        <w:tc>
          <w:tcPr>
            <w:tcW w:w="1253" w:type="dxa"/>
            <w:tcBorders>
              <w:top w:val="single" w:sz="4" w:space="0" w:color="auto"/>
              <w:left w:val="nil"/>
              <w:bottom w:val="single" w:sz="4" w:space="0" w:color="auto"/>
              <w:right w:val="single" w:sz="4" w:space="0" w:color="auto"/>
            </w:tcBorders>
            <w:shd w:val="clear" w:color="000000" w:fill="D8E4BC"/>
            <w:vAlign w:val="bottom"/>
            <w:hideMark/>
          </w:tcPr>
          <w:p w:rsidR="00163BE0" w:rsidRPr="00955BB7" w:rsidRDefault="00163BE0" w:rsidP="00955BB7">
            <w:pPr>
              <w:jc w:val="center"/>
              <w:rPr>
                <w:rFonts w:ascii="Times New Roman" w:hAnsi="Times New Roman"/>
                <w:lang w:val="de-DE"/>
              </w:rPr>
            </w:pPr>
            <w:r w:rsidRPr="00955BB7">
              <w:rPr>
                <w:rFonts w:ascii="Times New Roman" w:hAnsi="Times New Roman"/>
              </w:rPr>
              <w:t>52,905</w:t>
            </w:r>
          </w:p>
        </w:tc>
        <w:tc>
          <w:tcPr>
            <w:tcW w:w="1365" w:type="dxa"/>
            <w:tcBorders>
              <w:top w:val="single" w:sz="4" w:space="0" w:color="auto"/>
              <w:left w:val="nil"/>
              <w:bottom w:val="single" w:sz="4" w:space="0" w:color="auto"/>
              <w:right w:val="single" w:sz="4" w:space="0" w:color="auto"/>
            </w:tcBorders>
            <w:shd w:val="clear" w:color="000000" w:fill="FABF8F"/>
            <w:vAlign w:val="bottom"/>
            <w:hideMark/>
          </w:tcPr>
          <w:p w:rsidR="00163BE0" w:rsidRPr="00955BB7" w:rsidRDefault="00163BE0" w:rsidP="00955BB7">
            <w:pPr>
              <w:jc w:val="center"/>
              <w:rPr>
                <w:rFonts w:ascii="Times New Roman" w:hAnsi="Times New Roman"/>
                <w:lang w:val="de-DE"/>
              </w:rPr>
            </w:pPr>
            <w:r w:rsidRPr="00955BB7">
              <w:rPr>
                <w:rFonts w:ascii="Times New Roman" w:hAnsi="Times New Roman"/>
              </w:rPr>
              <w:t>44,217</w:t>
            </w:r>
          </w:p>
        </w:tc>
        <w:tc>
          <w:tcPr>
            <w:tcW w:w="1253" w:type="dxa"/>
            <w:tcBorders>
              <w:top w:val="single" w:sz="4" w:space="0" w:color="auto"/>
              <w:left w:val="nil"/>
              <w:bottom w:val="single" w:sz="4" w:space="0" w:color="auto"/>
              <w:right w:val="single" w:sz="4" w:space="0" w:color="auto"/>
            </w:tcBorders>
            <w:shd w:val="clear" w:color="000000" w:fill="FABF8F"/>
            <w:vAlign w:val="bottom"/>
            <w:hideMark/>
          </w:tcPr>
          <w:p w:rsidR="00163BE0" w:rsidRPr="00955BB7" w:rsidRDefault="00163BE0" w:rsidP="00955BB7">
            <w:pPr>
              <w:jc w:val="center"/>
              <w:rPr>
                <w:rFonts w:ascii="Times New Roman" w:hAnsi="Times New Roman"/>
                <w:lang w:val="de-DE"/>
              </w:rPr>
            </w:pPr>
            <w:r w:rsidRPr="00955BB7">
              <w:rPr>
                <w:rFonts w:ascii="Times New Roman" w:hAnsi="Times New Roman"/>
              </w:rPr>
              <w:t>67,692</w:t>
            </w:r>
          </w:p>
        </w:tc>
        <w:tc>
          <w:tcPr>
            <w:tcW w:w="1253" w:type="dxa"/>
            <w:tcBorders>
              <w:top w:val="single" w:sz="4" w:space="0" w:color="auto"/>
              <w:left w:val="nil"/>
              <w:bottom w:val="single" w:sz="4" w:space="0" w:color="auto"/>
              <w:right w:val="single" w:sz="4" w:space="0" w:color="auto"/>
            </w:tcBorders>
            <w:shd w:val="clear" w:color="000000" w:fill="D8E4BC"/>
            <w:vAlign w:val="bottom"/>
            <w:hideMark/>
          </w:tcPr>
          <w:p w:rsidR="00163BE0" w:rsidRPr="00955BB7" w:rsidRDefault="00163BE0" w:rsidP="00955BB7">
            <w:pPr>
              <w:jc w:val="center"/>
              <w:rPr>
                <w:rFonts w:ascii="Times New Roman" w:hAnsi="Times New Roman"/>
                <w:lang w:val="de-DE"/>
              </w:rPr>
            </w:pPr>
            <w:r w:rsidRPr="00955BB7">
              <w:rPr>
                <w:rFonts w:ascii="Times New Roman" w:hAnsi="Times New Roman"/>
              </w:rPr>
              <w:t>52,905</w:t>
            </w:r>
          </w:p>
        </w:tc>
      </w:tr>
      <w:tr w:rsidR="006114F2" w:rsidRPr="009A4C44" w:rsidTr="00E702B3">
        <w:trPr>
          <w:trHeight w:val="20"/>
          <w:jc w:val="center"/>
        </w:trPr>
        <w:tc>
          <w:tcPr>
            <w:tcW w:w="874" w:type="dxa"/>
            <w:tcBorders>
              <w:top w:val="single" w:sz="4" w:space="0" w:color="auto"/>
              <w:left w:val="single" w:sz="4" w:space="0" w:color="auto"/>
              <w:bottom w:val="single" w:sz="4" w:space="0" w:color="auto"/>
              <w:right w:val="nil"/>
            </w:tcBorders>
            <w:shd w:val="clear" w:color="000000" w:fill="CCC0DA"/>
            <w:vAlign w:val="center"/>
          </w:tcPr>
          <w:p w:rsidR="00163BE0" w:rsidRPr="00955BB7" w:rsidRDefault="00163BE0" w:rsidP="00E702B3">
            <w:pPr>
              <w:keepNext/>
              <w:jc w:val="right"/>
              <w:rPr>
                <w:rFonts w:ascii="Times New Roman" w:hAnsi="Times New Roman"/>
                <w:lang w:val="de-DE"/>
              </w:rPr>
            </w:pPr>
            <m:oMathPara>
              <m:oMath>
                <m:r>
                  <w:rPr>
                    <w:rFonts w:ascii="Cambria Math" w:hAnsi="Cambria Math"/>
                    <w:szCs w:val="22"/>
                    <w:lang w:val="de-DE"/>
                  </w:rPr>
                  <m:t>B'</m:t>
                </m:r>
              </m:oMath>
            </m:oMathPara>
          </w:p>
        </w:tc>
        <w:tc>
          <w:tcPr>
            <w:tcW w:w="885" w:type="dxa"/>
            <w:tcBorders>
              <w:top w:val="single" w:sz="4" w:space="0" w:color="auto"/>
              <w:left w:val="single" w:sz="4" w:space="0" w:color="auto"/>
              <w:bottom w:val="single" w:sz="4" w:space="0" w:color="auto"/>
              <w:right w:val="single" w:sz="4" w:space="0" w:color="auto"/>
            </w:tcBorders>
            <w:shd w:val="clear" w:color="000000" w:fill="CCC0DA"/>
            <w:vAlign w:val="center"/>
          </w:tcPr>
          <w:p w:rsidR="00163BE0" w:rsidRPr="00955BB7" w:rsidRDefault="00163BE0" w:rsidP="00E702B3">
            <w:pPr>
              <w:keepNext/>
              <w:jc w:val="center"/>
              <w:rPr>
                <w:rFonts w:ascii="Times New Roman" w:hAnsi="Times New Roman"/>
                <w:lang w:val="de-DE"/>
              </w:rPr>
            </w:pPr>
            <w:r w:rsidRPr="00955BB7">
              <w:rPr>
                <w:rFonts w:ascii="Times New Roman" w:hAnsi="Times New Roman"/>
                <w:lang w:val="de-DE"/>
              </w:rPr>
              <w:t>[€]</w:t>
            </w:r>
          </w:p>
        </w:tc>
        <w:tc>
          <w:tcPr>
            <w:tcW w:w="1365" w:type="dxa"/>
            <w:tcBorders>
              <w:top w:val="single" w:sz="4" w:space="0" w:color="auto"/>
              <w:left w:val="nil"/>
              <w:bottom w:val="single" w:sz="4" w:space="0" w:color="auto"/>
              <w:right w:val="single" w:sz="4" w:space="0" w:color="auto"/>
            </w:tcBorders>
            <w:shd w:val="clear" w:color="000000" w:fill="FABF8F"/>
            <w:vAlign w:val="bottom"/>
          </w:tcPr>
          <w:p w:rsidR="00163BE0" w:rsidRPr="00955BB7" w:rsidRDefault="00163BE0" w:rsidP="00955BB7">
            <w:pPr>
              <w:keepNext/>
              <w:jc w:val="center"/>
              <w:rPr>
                <w:rFonts w:ascii="Times New Roman" w:hAnsi="Times New Roman"/>
                <w:lang w:val="de-DE"/>
              </w:rPr>
            </w:pPr>
            <w:r w:rsidRPr="00955BB7">
              <w:rPr>
                <w:rFonts w:ascii="Times New Roman" w:hAnsi="Times New Roman"/>
              </w:rPr>
              <w:t>108,51</w:t>
            </w:r>
          </w:p>
        </w:tc>
        <w:tc>
          <w:tcPr>
            <w:tcW w:w="1253" w:type="dxa"/>
            <w:tcBorders>
              <w:top w:val="single" w:sz="4" w:space="0" w:color="auto"/>
              <w:left w:val="nil"/>
              <w:bottom w:val="single" w:sz="4" w:space="0" w:color="auto"/>
              <w:right w:val="single" w:sz="4" w:space="0" w:color="auto"/>
            </w:tcBorders>
            <w:shd w:val="clear" w:color="000000" w:fill="D8E4BC"/>
            <w:vAlign w:val="bottom"/>
          </w:tcPr>
          <w:p w:rsidR="00163BE0" w:rsidRPr="00955BB7" w:rsidRDefault="00163BE0" w:rsidP="00955BB7">
            <w:pPr>
              <w:keepNext/>
              <w:jc w:val="center"/>
              <w:rPr>
                <w:rFonts w:ascii="Times New Roman" w:hAnsi="Times New Roman"/>
                <w:lang w:val="de-DE"/>
              </w:rPr>
            </w:pPr>
            <w:r w:rsidRPr="00955BB7">
              <w:rPr>
                <w:rFonts w:ascii="Times New Roman" w:hAnsi="Times New Roman"/>
              </w:rPr>
              <w:t>22,12</w:t>
            </w:r>
          </w:p>
        </w:tc>
        <w:tc>
          <w:tcPr>
            <w:tcW w:w="1365" w:type="dxa"/>
            <w:tcBorders>
              <w:top w:val="single" w:sz="4" w:space="0" w:color="auto"/>
              <w:left w:val="nil"/>
              <w:bottom w:val="single" w:sz="4" w:space="0" w:color="auto"/>
              <w:right w:val="single" w:sz="4" w:space="0" w:color="auto"/>
            </w:tcBorders>
            <w:shd w:val="clear" w:color="000000" w:fill="FABF8F"/>
            <w:vAlign w:val="bottom"/>
          </w:tcPr>
          <w:p w:rsidR="00163BE0" w:rsidRPr="00955BB7" w:rsidRDefault="00163BE0" w:rsidP="00955BB7">
            <w:pPr>
              <w:keepNext/>
              <w:jc w:val="center"/>
              <w:rPr>
                <w:rFonts w:ascii="Times New Roman" w:hAnsi="Times New Roman"/>
                <w:lang w:val="de-DE"/>
              </w:rPr>
            </w:pPr>
            <w:r w:rsidRPr="00955BB7">
              <w:rPr>
                <w:rFonts w:ascii="Times New Roman" w:hAnsi="Times New Roman"/>
              </w:rPr>
              <w:t>123,00</w:t>
            </w:r>
          </w:p>
        </w:tc>
        <w:tc>
          <w:tcPr>
            <w:tcW w:w="1253" w:type="dxa"/>
            <w:tcBorders>
              <w:top w:val="single" w:sz="4" w:space="0" w:color="auto"/>
              <w:left w:val="nil"/>
              <w:bottom w:val="single" w:sz="4" w:space="0" w:color="auto"/>
              <w:right w:val="single" w:sz="4" w:space="0" w:color="auto"/>
            </w:tcBorders>
            <w:shd w:val="clear" w:color="000000" w:fill="FABF8F"/>
            <w:vAlign w:val="bottom"/>
          </w:tcPr>
          <w:p w:rsidR="00163BE0" w:rsidRPr="00955BB7" w:rsidRDefault="00163BE0" w:rsidP="00955BB7">
            <w:pPr>
              <w:keepNext/>
              <w:jc w:val="center"/>
              <w:rPr>
                <w:rFonts w:ascii="Times New Roman" w:hAnsi="Times New Roman"/>
                <w:lang w:val="de-DE"/>
              </w:rPr>
            </w:pPr>
            <w:r w:rsidRPr="00955BB7">
              <w:rPr>
                <w:rFonts w:ascii="Times New Roman" w:hAnsi="Times New Roman"/>
              </w:rPr>
              <w:t>0,00</w:t>
            </w:r>
          </w:p>
        </w:tc>
        <w:tc>
          <w:tcPr>
            <w:tcW w:w="1253" w:type="dxa"/>
            <w:tcBorders>
              <w:top w:val="single" w:sz="4" w:space="0" w:color="auto"/>
              <w:left w:val="nil"/>
              <w:bottom w:val="single" w:sz="4" w:space="0" w:color="auto"/>
              <w:right w:val="single" w:sz="4" w:space="0" w:color="auto"/>
            </w:tcBorders>
            <w:shd w:val="clear" w:color="000000" w:fill="D8E4BC"/>
            <w:vAlign w:val="bottom"/>
          </w:tcPr>
          <w:p w:rsidR="00163BE0" w:rsidRPr="00955BB7" w:rsidRDefault="00163BE0" w:rsidP="00955BB7">
            <w:pPr>
              <w:keepNext/>
              <w:jc w:val="center"/>
              <w:rPr>
                <w:rFonts w:ascii="Times New Roman" w:hAnsi="Times New Roman"/>
                <w:lang w:val="de-DE"/>
              </w:rPr>
            </w:pPr>
            <w:r w:rsidRPr="00955BB7">
              <w:rPr>
                <w:rFonts w:ascii="Times New Roman" w:hAnsi="Times New Roman"/>
              </w:rPr>
              <w:t>-22,50</w:t>
            </w:r>
          </w:p>
        </w:tc>
      </w:tr>
    </w:tbl>
    <w:p w:rsidR="00DD5861" w:rsidRPr="009A4C44" w:rsidRDefault="00DD5861" w:rsidP="00DD5861">
      <w:pPr>
        <w:pStyle w:val="Caption"/>
        <w:keepNext/>
      </w:pPr>
      <w:bookmarkStart w:id="199" w:name="_Toc531799977"/>
      <w:r w:rsidRPr="009A4C44">
        <w:t xml:space="preserve">Table </w:t>
      </w:r>
      <w:r w:rsidRPr="009A4C44">
        <w:fldChar w:fldCharType="begin"/>
      </w:r>
      <w:r w:rsidRPr="009A4C44">
        <w:instrText xml:space="preserve"> SEQ Table \* ARABIC </w:instrText>
      </w:r>
      <w:r w:rsidRPr="009A4C44">
        <w:fldChar w:fldCharType="separate"/>
      </w:r>
      <w:r w:rsidR="002D564B">
        <w:rPr>
          <w:noProof/>
        </w:rPr>
        <w:t>9</w:t>
      </w:r>
      <w:r w:rsidRPr="009A4C44">
        <w:fldChar w:fldCharType="end"/>
      </w:r>
      <w:r w:rsidRPr="009A4C44">
        <w:t>: Full Example for the adjusted settlement</w:t>
      </w:r>
      <w:bookmarkEnd w:id="199"/>
    </w:p>
    <w:p w:rsidR="00163BE0" w:rsidRPr="009A4C44" w:rsidRDefault="00163BE0" w:rsidP="00955BB7">
      <w:pPr>
        <w:pStyle w:val="textregular"/>
        <w:rPr>
          <w:lang w:eastAsia="en-US"/>
        </w:rPr>
      </w:pPr>
      <w:r w:rsidRPr="009A4C44">
        <w:rPr>
          <w:lang w:eastAsia="en-US"/>
        </w:rPr>
        <w:t>Since the IN settlement price can be positive, negative or zero, IN imports and IN exports</w:t>
      </w:r>
      <w:r w:rsidRPr="009A4C44" w:rsidDel="007A10DB">
        <w:rPr>
          <w:lang w:eastAsia="en-US"/>
        </w:rPr>
        <w:t xml:space="preserve"> </w:t>
      </w:r>
      <w:r w:rsidRPr="009A4C44">
        <w:rPr>
          <w:lang w:eastAsia="en-US"/>
        </w:rPr>
        <w:t>can lead to claims and debts. For this reason invoices or credit notes will be issued by the Invoicing TSO. These will include the following positions (from the perspective of the Invoicing TSO):</w:t>
      </w:r>
    </w:p>
    <w:p w:rsidR="00163BE0" w:rsidRPr="009A4C44" w:rsidRDefault="00163BE0" w:rsidP="00DD58FA">
      <w:pPr>
        <w:widowControl w:val="0"/>
        <w:numPr>
          <w:ilvl w:val="0"/>
          <w:numId w:val="14"/>
        </w:numPr>
        <w:adjustRightInd w:val="0"/>
        <w:spacing w:line="360" w:lineRule="auto"/>
        <w:ind w:left="714" w:hanging="357"/>
        <w:jc w:val="both"/>
        <w:rPr>
          <w:rFonts w:ascii="Times New Roman" w:hAnsi="Times New Roman"/>
          <w:szCs w:val="19"/>
          <w:lang w:eastAsia="en-US"/>
        </w:rPr>
      </w:pPr>
      <w:r w:rsidRPr="009A4C44">
        <w:rPr>
          <w:rFonts w:ascii="Times New Roman" w:hAnsi="Times New Roman"/>
          <w:szCs w:val="19"/>
          <w:lang w:eastAsia="en-US"/>
        </w:rPr>
        <w:t>IN Member exports to IN with positive or zero IN settlement price (IN Member receives payment)</w:t>
      </w:r>
    </w:p>
    <w:p w:rsidR="00163BE0" w:rsidRPr="009A4C44" w:rsidRDefault="00163BE0" w:rsidP="00DD58FA">
      <w:pPr>
        <w:widowControl w:val="0"/>
        <w:numPr>
          <w:ilvl w:val="0"/>
          <w:numId w:val="14"/>
        </w:numPr>
        <w:adjustRightInd w:val="0"/>
        <w:spacing w:line="360" w:lineRule="auto"/>
        <w:ind w:left="714" w:hanging="357"/>
        <w:jc w:val="both"/>
        <w:rPr>
          <w:rFonts w:ascii="Times New Roman" w:hAnsi="Times New Roman"/>
          <w:szCs w:val="19"/>
          <w:lang w:eastAsia="en-US"/>
        </w:rPr>
      </w:pPr>
      <w:r w:rsidRPr="009A4C44">
        <w:rPr>
          <w:rFonts w:ascii="Times New Roman" w:hAnsi="Times New Roman"/>
          <w:szCs w:val="19"/>
          <w:lang w:eastAsia="en-US"/>
        </w:rPr>
        <w:t>IN Member exports to IN with negative IN settlement price (IN Member pays)</w:t>
      </w:r>
    </w:p>
    <w:p w:rsidR="00163BE0" w:rsidRPr="009A4C44" w:rsidRDefault="00163BE0" w:rsidP="00DD58FA">
      <w:pPr>
        <w:widowControl w:val="0"/>
        <w:numPr>
          <w:ilvl w:val="0"/>
          <w:numId w:val="14"/>
        </w:numPr>
        <w:adjustRightInd w:val="0"/>
        <w:spacing w:line="360" w:lineRule="auto"/>
        <w:ind w:left="714" w:hanging="357"/>
        <w:jc w:val="both"/>
        <w:rPr>
          <w:rFonts w:ascii="Times New Roman" w:hAnsi="Times New Roman"/>
          <w:szCs w:val="19"/>
          <w:lang w:eastAsia="en-US"/>
        </w:rPr>
      </w:pPr>
      <w:r w:rsidRPr="009A4C44">
        <w:rPr>
          <w:rFonts w:ascii="Times New Roman" w:hAnsi="Times New Roman"/>
          <w:szCs w:val="19"/>
          <w:lang w:eastAsia="en-US"/>
        </w:rPr>
        <w:t>IN Member imports from IN with negative IN settlement price (IN Member receives payment)</w:t>
      </w:r>
    </w:p>
    <w:p w:rsidR="00163BE0" w:rsidRPr="00955BB7" w:rsidRDefault="00163BE0" w:rsidP="00955BB7">
      <w:pPr>
        <w:pStyle w:val="textregular"/>
      </w:pPr>
      <w:r w:rsidRPr="00955BB7">
        <w:t>IN Member imports from IN with positive or zero IN settlement price (IN Member pays)</w:t>
      </w:r>
    </w:p>
    <w:p w:rsidR="002C754B" w:rsidRPr="009A4C44" w:rsidRDefault="00537E5F" w:rsidP="002C754B">
      <w:pPr>
        <w:pStyle w:val="Headline14pt"/>
        <w:numPr>
          <w:ilvl w:val="0"/>
          <w:numId w:val="8"/>
        </w:numPr>
        <w:jc w:val="both"/>
        <w:outlineLvl w:val="0"/>
      </w:pPr>
      <w:bookmarkStart w:id="200" w:name="_Toc531687686"/>
      <w:bookmarkStart w:id="201" w:name="_Toc531787046"/>
      <w:bookmarkStart w:id="202" w:name="_Toc531799953"/>
      <w:bookmarkEnd w:id="200"/>
      <w:bookmarkEnd w:id="201"/>
      <w:r>
        <w:lastRenderedPageBreak/>
        <w:t>Settlement</w:t>
      </w:r>
      <w:r w:rsidR="00437863">
        <w:t xml:space="preserve"> of </w:t>
      </w:r>
      <w:r>
        <w:t xml:space="preserve">the </w:t>
      </w:r>
      <w:r w:rsidR="00437863">
        <w:t>Balancing Congestion Income</w:t>
      </w:r>
      <w:bookmarkEnd w:id="202"/>
    </w:p>
    <w:p w:rsidR="002C754B" w:rsidRDefault="002C754B" w:rsidP="00437863">
      <w:pPr>
        <w:pStyle w:val="textregular"/>
      </w:pPr>
      <w:r w:rsidRPr="009A4C44">
        <w:t xml:space="preserve">A </w:t>
      </w:r>
      <w:r w:rsidR="00437863">
        <w:t xml:space="preserve">balancing </w:t>
      </w:r>
      <w:r w:rsidRPr="009A4C44">
        <w:t xml:space="preserve">congestion </w:t>
      </w:r>
      <w:r w:rsidR="00437863">
        <w:t xml:space="preserve">income </w:t>
      </w:r>
      <w:r w:rsidRPr="009A4C44">
        <w:t xml:space="preserve">originates in the situation where </w:t>
      </w:r>
      <w:r w:rsidR="00437863">
        <w:t xml:space="preserve">the </w:t>
      </w:r>
      <w:r w:rsidRPr="009A4C44">
        <w:t xml:space="preserve">transmission capacity available between locations is not sufficient to accommodate all economically </w:t>
      </w:r>
      <w:r w:rsidR="00437863">
        <w:t>optimal cross-border exchanges. The differences in CBMPs between the uncongested areas result in rents which must be settled between the TSOs.</w:t>
      </w:r>
    </w:p>
    <w:p w:rsidR="0029600A" w:rsidRPr="009A4C44" w:rsidRDefault="0029600A" w:rsidP="00437863">
      <w:pPr>
        <w:pStyle w:val="textregular"/>
      </w:pPr>
      <w:r>
        <w:t xml:space="preserve">The TSOs </w:t>
      </w:r>
      <w:r w:rsidR="00D10119">
        <w:t xml:space="preserve">propose to </w:t>
      </w:r>
      <w:r>
        <w:t>apply the same methodology for sharing the balancing congestion income as proposed for the sharing of the congestion rent in the day-ahead energy market.</w:t>
      </w:r>
    </w:p>
    <w:sectPr w:rsidR="0029600A" w:rsidRPr="009A4C44" w:rsidSect="003E30AC">
      <w:headerReference w:type="default" r:id="rId32"/>
      <w:footerReference w:type="default" r:id="rId33"/>
      <w:endnotePr>
        <w:numFmt w:val="decimal"/>
      </w:endnotePr>
      <w:pgSz w:w="11906" w:h="16838" w:code="9"/>
      <w:pgMar w:top="1843" w:right="1021" w:bottom="1701" w:left="1361"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0358D62" w15:done="0"/>
  <w15:commentEx w15:paraId="04F6444C" w15:done="0"/>
  <w15:commentEx w15:paraId="75BD9FD8" w15:done="0"/>
  <w15:commentEx w15:paraId="431E85C9" w15:done="0"/>
  <w15:commentEx w15:paraId="5E9C9308" w15:done="0"/>
  <w15:commentEx w15:paraId="42857773" w15:done="0"/>
  <w15:commentEx w15:paraId="5374D601" w15:done="0"/>
  <w15:commentEx w15:paraId="39992A8A" w15:done="0"/>
  <w15:commentEx w15:paraId="7611C39A" w15:done="0"/>
  <w15:commentEx w15:paraId="2FDEA2AB" w15:done="0"/>
  <w15:commentEx w15:paraId="742D7B62" w15:done="0"/>
  <w15:commentEx w15:paraId="001F3834" w15:done="0"/>
  <w15:commentEx w15:paraId="3E89E519" w15:done="0"/>
  <w15:commentEx w15:paraId="1D7BAA01" w15:done="0"/>
  <w15:commentEx w15:paraId="23F4B7C3" w15:done="0"/>
  <w15:commentEx w15:paraId="3FF446D3" w15:done="0"/>
  <w15:commentEx w15:paraId="481B5E85" w15:done="0"/>
  <w15:commentEx w15:paraId="7ED7C98E" w15:done="0"/>
  <w15:commentEx w15:paraId="07F0CA3F" w15:done="0"/>
  <w15:commentEx w15:paraId="46903577" w15:done="0"/>
  <w15:commentEx w15:paraId="2D3C77C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FA22265" w16cid:durableId="1FB253A8"/>
  <w16cid:commentId w16cid:paraId="34142B03" w16cid:durableId="1FB0F26A"/>
  <w16cid:commentId w16cid:paraId="76C82960" w16cid:durableId="1FB26585"/>
  <w16cid:commentId w16cid:paraId="660A5F84" w16cid:durableId="1FAA868F"/>
  <w16cid:commentId w16cid:paraId="36C4A30F" w16cid:durableId="1FAA8690"/>
  <w16cid:commentId w16cid:paraId="62E0B375" w16cid:durableId="1FAC058F"/>
  <w16cid:commentId w16cid:paraId="6EB8C187" w16cid:durableId="1FAC0590"/>
  <w16cid:commentId w16cid:paraId="6151812B" w16cid:durableId="1FAC0591"/>
  <w16cid:commentId w16cid:paraId="19386430" w16cid:durableId="1FB267D1"/>
  <w16cid:commentId w16cid:paraId="6B474D11" w16cid:durableId="1FAA8698"/>
  <w16cid:commentId w16cid:paraId="29646C0E" w16cid:durableId="1FAA8699"/>
  <w16cid:commentId w16cid:paraId="622F4E18" w16cid:durableId="1FB26989"/>
  <w16cid:commentId w16cid:paraId="2240EBA8" w16cid:durableId="1FB16A37"/>
  <w16cid:commentId w16cid:paraId="26F7FEF9" w16cid:durableId="1FB26911"/>
  <w16cid:commentId w16cid:paraId="26EEAECE" w16cid:durableId="1FB26971"/>
  <w16cid:commentId w16cid:paraId="7A394F42" w16cid:durableId="1FAA86A0"/>
  <w16cid:commentId w16cid:paraId="0D3BFD47" w16cid:durableId="1FAA86A1"/>
  <w16cid:commentId w16cid:paraId="3EE3BDFF" w16cid:durableId="1FAA86A2"/>
  <w16cid:commentId w16cid:paraId="61496588" w16cid:durableId="1FAA86A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5F1F" w:rsidRDefault="00935F1F">
      <w:r>
        <w:separator/>
      </w:r>
    </w:p>
    <w:p w:rsidR="00935F1F" w:rsidRDefault="00935F1F"/>
    <w:p w:rsidR="00935F1F" w:rsidRDefault="00935F1F"/>
    <w:p w:rsidR="00935F1F" w:rsidRDefault="00935F1F"/>
    <w:p w:rsidR="00935F1F" w:rsidRDefault="00935F1F"/>
  </w:endnote>
  <w:endnote w:type="continuationSeparator" w:id="0">
    <w:p w:rsidR="00935F1F" w:rsidRDefault="00935F1F">
      <w:r>
        <w:continuationSeparator/>
      </w:r>
    </w:p>
    <w:p w:rsidR="00935F1F" w:rsidRDefault="00935F1F"/>
    <w:p w:rsidR="00935F1F" w:rsidRDefault="00935F1F"/>
    <w:p w:rsidR="00935F1F" w:rsidRDefault="00935F1F"/>
    <w:p w:rsidR="00935F1F" w:rsidRDefault="00935F1F"/>
  </w:endnote>
  <w:endnote w:type="continuationNotice" w:id="1">
    <w:p w:rsidR="00935F1F" w:rsidRDefault="00935F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EUAlbertina">
    <w:altName w:val="Arial"/>
    <w:panose1 w:val="00000000000000000000"/>
    <w:charset w:val="00"/>
    <w:family w:val="roman"/>
    <w:notTrueType/>
    <w:pitch w:val="default"/>
    <w:sig w:usb0="00000003" w:usb1="00000000" w:usb2="00000000" w:usb3="00000000" w:csb0="00000001" w:csb1="00000000"/>
  </w:font>
  <w:font w:name="AvenirNext LT Com Regular">
    <w:altName w:val="Arial"/>
    <w:charset w:val="00"/>
    <w:family w:val="swiss"/>
    <w:pitch w:val="variable"/>
    <w:sig w:usb0="00000001" w:usb1="5000204A" w:usb2="00000000" w:usb3="00000000" w:csb0="0000009B"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0653503"/>
      <w:docPartObj>
        <w:docPartGallery w:val="Page Numbers (Bottom of Page)"/>
        <w:docPartUnique/>
      </w:docPartObj>
    </w:sdtPr>
    <w:sdtEndPr>
      <w:rPr>
        <w:noProof/>
      </w:rPr>
    </w:sdtEndPr>
    <w:sdtContent>
      <w:p w:rsidR="00632EA0" w:rsidRDefault="00632EA0">
        <w:pPr>
          <w:pStyle w:val="Footer"/>
          <w:jc w:val="right"/>
        </w:pPr>
        <w:r>
          <w:fldChar w:fldCharType="begin"/>
        </w:r>
        <w:r>
          <w:instrText xml:space="preserve"> PAGE   \* MERGEFORMAT </w:instrText>
        </w:r>
        <w:r>
          <w:fldChar w:fldCharType="separate"/>
        </w:r>
        <w:r w:rsidR="002D564B">
          <w:rPr>
            <w:noProof/>
          </w:rPr>
          <w:t>4</w:t>
        </w:r>
        <w:r>
          <w:rPr>
            <w:noProof/>
          </w:rPr>
          <w:fldChar w:fldCharType="end"/>
        </w:r>
      </w:p>
    </w:sdtContent>
  </w:sdt>
  <w:p w:rsidR="00632EA0" w:rsidRDefault="00632E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5F1F" w:rsidRDefault="00935F1F">
      <w:r>
        <w:separator/>
      </w:r>
    </w:p>
    <w:p w:rsidR="00935F1F" w:rsidRDefault="00935F1F"/>
    <w:p w:rsidR="00935F1F" w:rsidRDefault="00935F1F"/>
    <w:p w:rsidR="00935F1F" w:rsidRDefault="00935F1F"/>
    <w:p w:rsidR="00935F1F" w:rsidRDefault="00935F1F"/>
  </w:footnote>
  <w:footnote w:type="continuationSeparator" w:id="0">
    <w:p w:rsidR="00935F1F" w:rsidRDefault="00935F1F">
      <w:r>
        <w:continuationSeparator/>
      </w:r>
    </w:p>
    <w:p w:rsidR="00935F1F" w:rsidRDefault="00935F1F"/>
    <w:p w:rsidR="00935F1F" w:rsidRDefault="00935F1F"/>
    <w:p w:rsidR="00935F1F" w:rsidRDefault="00935F1F"/>
    <w:p w:rsidR="00935F1F" w:rsidRDefault="00935F1F"/>
  </w:footnote>
  <w:footnote w:type="continuationNotice" w:id="1">
    <w:p w:rsidR="00935F1F" w:rsidRDefault="00935F1F"/>
  </w:footnote>
  <w:footnote w:id="2">
    <w:p w:rsidR="00632EA0" w:rsidRPr="007D7FC9" w:rsidRDefault="00632EA0" w:rsidP="004513E0">
      <w:pPr>
        <w:pStyle w:val="FootnoteText"/>
      </w:pPr>
      <w:r>
        <w:rPr>
          <w:rStyle w:val="FootnoteReference"/>
        </w:rPr>
        <w:footnoteRef/>
      </w:r>
      <w:r>
        <w:t xml:space="preserve"> </w:t>
      </w:r>
      <w:r w:rsidRPr="00EA5837">
        <w:t xml:space="preserve">For the determination of </w:t>
      </w:r>
      <w:r>
        <w:t>CBMP</w:t>
      </w:r>
      <w:r w:rsidRPr="00EA5837">
        <w:t xml:space="preserve"> in the </w:t>
      </w:r>
      <w:proofErr w:type="spellStart"/>
      <w:r w:rsidRPr="00EA5837">
        <w:t>aFRR</w:t>
      </w:r>
      <w:proofErr w:type="spellEnd"/>
      <w:r w:rsidRPr="00EA5837">
        <w:t xml:space="preserve"> process the interested reader is referred to the pricing proposal.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EA0" w:rsidRDefault="00632EA0" w:rsidP="008550A3">
    <w:pPr>
      <w:pStyle w:val="Header"/>
      <w:tabs>
        <w:tab w:val="clear" w:pos="4536"/>
        <w:tab w:val="clear" w:pos="9072"/>
        <w:tab w:val="left" w:pos="8238"/>
      </w:tabs>
    </w:pPr>
    <w:r>
      <w:rPr>
        <w:noProof/>
        <w:lang w:val="ro-RO" w:eastAsia="ro-RO"/>
      </w:rPr>
      <mc:AlternateContent>
        <mc:Choice Requires="wps">
          <w:drawing>
            <wp:anchor distT="45720" distB="45720" distL="114300" distR="114300" simplePos="0" relativeHeight="251658240" behindDoc="0" locked="0" layoutInCell="1" allowOverlap="1" wp14:anchorId="531A8744" wp14:editId="7502199A">
              <wp:simplePos x="0" y="0"/>
              <wp:positionH relativeFrom="margin">
                <wp:align>right</wp:align>
              </wp:positionH>
              <wp:positionV relativeFrom="paragraph">
                <wp:posOffset>-124460</wp:posOffset>
              </wp:positionV>
              <wp:extent cx="6035040" cy="449580"/>
              <wp:effectExtent l="0" t="0" r="381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5040" cy="449580"/>
                      </a:xfrm>
                      <a:prstGeom prst="rect">
                        <a:avLst/>
                      </a:prstGeom>
                      <a:solidFill>
                        <a:srgbClr val="FFFFFF"/>
                      </a:solidFill>
                      <a:ln w="9525">
                        <a:noFill/>
                        <a:miter lim="800000"/>
                        <a:headEnd/>
                        <a:tailEnd/>
                      </a:ln>
                    </wps:spPr>
                    <wps:txbx>
                      <w:txbxContent>
                        <w:p w:rsidR="00632EA0" w:rsidRPr="00420A2D" w:rsidRDefault="00632EA0">
                          <w:r w:rsidRPr="0089195C">
                            <w:rPr>
                              <w:rFonts w:ascii="Times New Roman" w:hAnsi="Times New Roman"/>
                              <w:sz w:val="16"/>
                              <w:szCs w:val="16"/>
                            </w:rPr>
                            <w:t xml:space="preserve">Explanatory Document to all TSOs’ proposal </w:t>
                          </w:r>
                          <w:r>
                            <w:rPr>
                              <w:rFonts w:ascii="Times New Roman" w:hAnsi="Times New Roman"/>
                              <w:sz w:val="16"/>
                              <w:szCs w:val="16"/>
                            </w:rPr>
                            <w:t xml:space="preserve">for a methodology to determine prices for the balancing energy and cross-zonal capacity used for exchange of balancing energy or for operating the imbalance netting process in accordance with Article 30 of Commission Regulation </w:t>
                          </w:r>
                          <w:r w:rsidRPr="0084214B">
                            <w:rPr>
                              <w:rFonts w:ascii="Times New Roman" w:hAnsi="Times New Roman"/>
                              <w:sz w:val="16"/>
                              <w:szCs w:val="16"/>
                            </w:rPr>
                            <w:t>(EU) 2017/2195 of 23 November 2017 establishing a guideline on electricity balancing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24pt;margin-top:-9.8pt;width:475.2pt;height:35.4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" stroked="f">
              <v:textbox>
                <w:txbxContent>
                  <w:p w14:paraId="5C7DEFC1" w14:textId="67741930" w:rsidR="00632EA0" w:rsidRPr="00420A2D" w:rsidRDefault="00632EA0">
                    <w:r w:rsidRPr="0089195C">
                      <w:rPr>
                        <w:rFonts w:ascii="Times New Roman" w:hAnsi="Times New Roman"/>
                        <w:sz w:val="16"/>
                        <w:szCs w:val="16"/>
                      </w:rPr>
                      <w:t xml:space="preserve">Explanatory Document to all TSOs’ proposal </w:t>
                    </w:r>
                    <w:r>
                      <w:rPr>
                        <w:rFonts w:ascii="Times New Roman" w:hAnsi="Times New Roman"/>
                        <w:sz w:val="16"/>
                        <w:szCs w:val="16"/>
                      </w:rPr>
                      <w:t xml:space="preserve">for a methodology to determine prices for the balancing energy and cross-zonal capacity used for exchange of balancing energy or for operating the imbalance netting process in accordance with Article 30 of Commission Regulation </w:t>
                    </w:r>
                    <w:r w:rsidRPr="0084214B">
                      <w:rPr>
                        <w:rFonts w:ascii="Times New Roman" w:hAnsi="Times New Roman"/>
                        <w:sz w:val="16"/>
                        <w:szCs w:val="16"/>
                      </w:rPr>
                      <w:t>(EU) 2017/2195 of 23 November 2017 establishing a guideline on electricity balancing</w:t>
                    </w:r>
                  </w:p>
                </w:txbxContent>
              </v:textbox>
              <w10:wrap type="square" anchorx="margin"/>
            </v:shape>
          </w:pict>
        </mc:Fallback>
      </mc:AlternateContent>
    </w:r>
    <w:r w:rsidRPr="000E4230">
      <w:tab/>
    </w:r>
    <w:r>
      <w:rPr>
        <w:noProof/>
        <w:lang w:val="ro-RO" w:eastAsia="ro-RO"/>
      </w:rPr>
      <mc:AlternateContent>
        <mc:Choice Requires="wps">
          <w:drawing>
            <wp:anchor distT="0" distB="0" distL="114300" distR="114300" simplePos="0" relativeHeight="251658241" behindDoc="0" locked="1" layoutInCell="1" allowOverlap="1" wp14:anchorId="5B4DF8A2" wp14:editId="26E85DA9">
              <wp:simplePos x="0" y="0"/>
              <wp:positionH relativeFrom="page">
                <wp:posOffset>1080135</wp:posOffset>
              </wp:positionH>
              <wp:positionV relativeFrom="page">
                <wp:posOffset>768350</wp:posOffset>
              </wp:positionV>
              <wp:extent cx="8531860" cy="0"/>
              <wp:effectExtent l="0" t="0" r="21590" b="19050"/>
              <wp:wrapNone/>
              <wp:docPr id="57"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1860" cy="0"/>
                      </a:xfrm>
                      <a:prstGeom prst="straightConnector1">
                        <a:avLst/>
                      </a:prstGeom>
                      <a:noFill/>
                      <a:ln w="12700">
                        <a:solidFill>
                          <a:schemeClr val="tx2">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60014BCF" id="_x0000_t32" coordsize="21600,21600" o:spt="32" o:oned="t" path="m,l21600,21600e" filled="f">
              <v:path arrowok="t" fillok="f" o:connecttype="none"/>
              <o:lock v:ext="edit" shapetype="t"/>
            </v:shapetype>
            <v:shape id="AutoShape 8" o:spid="_x0000_s1026" type="#_x0000_t32" style="position:absolute;margin-left:85.05pt;margin-top:60.5pt;width:671.8pt;height:0;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" strokecolor="#1f497d [3215]" strokeweight="1pt">
              <w10:wrap anchorx="page" anchory="page"/>
              <w10:anchorlock/>
            </v:shape>
          </w:pict>
        </mc:Fallback>
      </mc:AlternateContent>
    </w:r>
    <w:r w:rsidRPr="008550A3">
      <w:rPr>
        <w:noProof/>
        <w:lang w:val="ro-RO" w:eastAsia="ro-RO"/>
      </w:rPr>
      <w:drawing>
        <wp:anchor distT="0" distB="0" distL="114300" distR="114300" simplePos="0" relativeHeight="251658242" behindDoc="0" locked="1" layoutInCell="1" allowOverlap="1" wp14:anchorId="2421DC27" wp14:editId="3B5DDC29">
          <wp:simplePos x="0" y="0"/>
          <wp:positionH relativeFrom="page">
            <wp:posOffset>7948295</wp:posOffset>
          </wp:positionH>
          <wp:positionV relativeFrom="page">
            <wp:posOffset>320675</wp:posOffset>
          </wp:positionV>
          <wp:extent cx="1514475" cy="381000"/>
          <wp:effectExtent l="0" t="0" r="9525" b="0"/>
          <wp:wrapNone/>
          <wp:docPr id="26" name="Grafik 5" descr="Logo.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wmf"/>
                  <pic:cNvPicPr/>
                </pic:nvPicPr>
                <pic:blipFill>
                  <a:blip r:embed="rId1"/>
                  <a:srcRect l="48293"/>
                  <a:stretch>
                    <a:fillRect/>
                  </a:stretch>
                </pic:blipFill>
                <pic:spPr>
                  <a:xfrm>
                    <a:off x="0" y="0"/>
                    <a:ext cx="1514475" cy="381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0.9pt;height:10.9pt" o:bullet="t">
        <v:imagedata r:id="rId1" o:title="mso74EE"/>
      </v:shape>
    </w:pict>
  </w:numPicBullet>
  <w:abstractNum w:abstractNumId="0">
    <w:nsid w:val="FFFFFF88"/>
    <w:multiLevelType w:val="singleLevel"/>
    <w:tmpl w:val="1554B636"/>
    <w:lvl w:ilvl="0">
      <w:start w:val="1"/>
      <w:numFmt w:val="decimal"/>
      <w:pStyle w:val="ListNumber"/>
      <w:lvlText w:val="%1."/>
      <w:lvlJc w:val="left"/>
      <w:pPr>
        <w:tabs>
          <w:tab w:val="num" w:pos="360"/>
        </w:tabs>
        <w:ind w:left="360" w:hanging="360"/>
      </w:pPr>
    </w:lvl>
  </w:abstractNum>
  <w:abstractNum w:abstractNumId="1">
    <w:nsid w:val="028012AD"/>
    <w:multiLevelType w:val="hybridMultilevel"/>
    <w:tmpl w:val="5F547D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33B1199"/>
    <w:multiLevelType w:val="multilevel"/>
    <w:tmpl w:val="B420AF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0D5363EE"/>
    <w:multiLevelType w:val="hybridMultilevel"/>
    <w:tmpl w:val="C5A6228C"/>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nsid w:val="144A1E39"/>
    <w:multiLevelType w:val="hybridMultilevel"/>
    <w:tmpl w:val="16C2748E"/>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nsid w:val="15A3479F"/>
    <w:multiLevelType w:val="hybridMultilevel"/>
    <w:tmpl w:val="FE3AC4E8"/>
    <w:lvl w:ilvl="0" w:tplc="029462EA">
      <w:start w:val="1"/>
      <w:numFmt w:val="decimal"/>
      <w:lvlText w:val="%1)"/>
      <w:lvlJc w:val="left"/>
      <w:pPr>
        <w:ind w:left="360" w:hanging="360"/>
      </w:pPr>
      <w:rPr>
        <w:rFonts w:asciiTheme="majorHAnsi" w:hAnsiTheme="majorHAnsi" w:hint="default"/>
        <w:b w:val="0"/>
        <w:i w:val="0"/>
        <w:sz w:val="22"/>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6">
    <w:nsid w:val="163E70F5"/>
    <w:multiLevelType w:val="hybridMultilevel"/>
    <w:tmpl w:val="155E10E8"/>
    <w:lvl w:ilvl="0" w:tplc="0407000F">
      <w:start w:val="1"/>
      <w:numFmt w:val="decimal"/>
      <w:lvlText w:val="%1."/>
      <w:lvlJc w:val="left"/>
      <w:pPr>
        <w:tabs>
          <w:tab w:val="num" w:pos="720"/>
        </w:tabs>
        <w:ind w:left="720" w:hanging="360"/>
      </w:pPr>
      <w:rPr>
        <w:rFonts w:cs="Times New Roman" w:hint="default"/>
      </w:rPr>
    </w:lvl>
    <w:lvl w:ilvl="1" w:tplc="04070005">
      <w:start w:val="1"/>
      <w:numFmt w:val="bullet"/>
      <w:lvlText w:val=""/>
      <w:lvlJc w:val="left"/>
      <w:pPr>
        <w:tabs>
          <w:tab w:val="num" w:pos="1440"/>
        </w:tabs>
        <w:ind w:left="1440" w:hanging="360"/>
      </w:pPr>
      <w:rPr>
        <w:rFonts w:ascii="Wingdings" w:hAnsi="Wingdings"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nsid w:val="1B3C78B8"/>
    <w:multiLevelType w:val="multilevel"/>
    <w:tmpl w:val="2ED4F4D0"/>
    <w:name w:val="4.708505E-02"/>
    <w:lvl w:ilvl="0">
      <w:start w:val="1"/>
      <w:numFmt w:val="decimal"/>
      <w:lvlRestart w:val="0"/>
      <w:lvlText w:val="(%1)"/>
      <w:lvlJc w:val="left"/>
      <w:pPr>
        <w:tabs>
          <w:tab w:val="num" w:pos="850"/>
        </w:tabs>
        <w:ind w:left="850" w:hanging="850"/>
      </w:pPr>
    </w:lvl>
    <w:lvl w:ilvl="1">
      <w:start w:val="1"/>
      <w:numFmt w:val="lowerLetter"/>
      <w:lvlText w:val="(%2)"/>
      <w:lvlJc w:val="left"/>
      <w:pPr>
        <w:tabs>
          <w:tab w:val="num" w:pos="850"/>
        </w:tabs>
        <w:ind w:left="850" w:hanging="850"/>
      </w:pPr>
    </w:lvl>
    <w:lvl w:ilvl="2">
      <w:start w:val="1"/>
      <w:numFmt w:val="decimal"/>
      <w:lvlText w:val="(%3)"/>
      <w:lvlJc w:val="left"/>
      <w:pPr>
        <w:tabs>
          <w:tab w:val="num" w:pos="1417"/>
        </w:tabs>
        <w:ind w:left="1417" w:hanging="567"/>
      </w:pPr>
    </w:lvl>
    <w:lvl w:ilvl="3">
      <w:start w:val="1"/>
      <w:numFmt w:val="lowerLetter"/>
      <w:lvlText w:val="(%4)"/>
      <w:lvlJc w:val="left"/>
      <w:pPr>
        <w:tabs>
          <w:tab w:val="num" w:pos="1417"/>
        </w:tabs>
        <w:ind w:left="1417" w:hanging="567"/>
      </w:pPr>
    </w:lvl>
    <w:lvl w:ilvl="4">
      <w:start w:val="1"/>
      <w:numFmt w:val="decimal"/>
      <w:lvlText w:val="(%5)"/>
      <w:lvlJc w:val="left"/>
      <w:pPr>
        <w:tabs>
          <w:tab w:val="num" w:pos="1984"/>
        </w:tabs>
        <w:ind w:left="1984" w:hanging="567"/>
      </w:pPr>
    </w:lvl>
    <w:lvl w:ilvl="5">
      <w:start w:val="1"/>
      <w:numFmt w:val="lowerLetter"/>
      <w:lvlText w:val="(%6)"/>
      <w:lvlJc w:val="left"/>
      <w:pPr>
        <w:tabs>
          <w:tab w:val="num" w:pos="1984"/>
        </w:tabs>
        <w:ind w:left="1984" w:hanging="567"/>
      </w:pPr>
    </w:lvl>
    <w:lvl w:ilvl="6">
      <w:start w:val="1"/>
      <w:numFmt w:val="decimal"/>
      <w:lvlText w:val="(%7)"/>
      <w:lvlJc w:val="left"/>
      <w:pPr>
        <w:tabs>
          <w:tab w:val="num" w:pos="2551"/>
        </w:tabs>
        <w:ind w:left="2551" w:hanging="567"/>
      </w:pPr>
    </w:lvl>
    <w:lvl w:ilvl="7">
      <w:start w:val="1"/>
      <w:numFmt w:val="lowerLetter"/>
      <w:lvlText w:val="(%8)"/>
      <w:lvlJc w:val="left"/>
      <w:pPr>
        <w:tabs>
          <w:tab w:val="num" w:pos="2551"/>
        </w:tabs>
        <w:ind w:left="2551" w:hanging="567"/>
      </w:pPr>
    </w:lvl>
    <w:lvl w:ilvl="8">
      <w:start w:val="1"/>
      <w:numFmt w:val="lowerLetter"/>
      <w:lvlText w:val="(%9)"/>
      <w:lvlJc w:val="left"/>
      <w:pPr>
        <w:tabs>
          <w:tab w:val="num" w:pos="3118"/>
        </w:tabs>
        <w:ind w:left="3118" w:hanging="567"/>
      </w:pPr>
    </w:lvl>
  </w:abstractNum>
  <w:abstractNum w:abstractNumId="8">
    <w:nsid w:val="22E44180"/>
    <w:multiLevelType w:val="multilevel"/>
    <w:tmpl w:val="059EC5A4"/>
    <w:name w:val="0.3918988"/>
    <w:lvl w:ilvl="0">
      <w:start w:val="1"/>
      <w:numFmt w:val="decimal"/>
      <w:lvlRestart w:val="0"/>
      <w:lvlText w:val="%1."/>
      <w:lvlJc w:val="left"/>
      <w:pPr>
        <w:tabs>
          <w:tab w:val="num" w:pos="850"/>
        </w:tabs>
        <w:ind w:left="850" w:hanging="850"/>
      </w:pPr>
      <w:rPr>
        <w:rFonts w:ascii="Times New Roman" w:hAnsi="Times New Roman" w:cs="Times New Roman" w:hint="default"/>
        <w:sz w:val="24"/>
        <w:szCs w:val="24"/>
      </w:r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7B63A52"/>
    <w:multiLevelType w:val="hybridMultilevel"/>
    <w:tmpl w:val="257EC04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289F1EE3"/>
    <w:multiLevelType w:val="hybridMultilevel"/>
    <w:tmpl w:val="6180DF7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2BCA276D"/>
    <w:multiLevelType w:val="hybridMultilevel"/>
    <w:tmpl w:val="B7A0196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2C433BC8"/>
    <w:multiLevelType w:val="multilevel"/>
    <w:tmpl w:val="26C6E29E"/>
    <w:lvl w:ilvl="0">
      <w:start w:val="1"/>
      <w:numFmt w:val="bullet"/>
      <w:pStyle w:val="textbullets"/>
      <w:lvlText w:val="‒"/>
      <w:lvlJc w:val="left"/>
      <w:pPr>
        <w:ind w:left="397" w:hanging="397"/>
      </w:pPr>
      <w:rPr>
        <w:rFonts w:ascii="Times New Roman" w:hAnsi="Times New Roman" w:cs="Times New Roman" w:hint="default"/>
      </w:rPr>
    </w:lvl>
    <w:lvl w:ilvl="1">
      <w:start w:val="1"/>
      <w:numFmt w:val="bullet"/>
      <w:lvlText w:val="‒"/>
      <w:lvlJc w:val="left"/>
      <w:pPr>
        <w:ind w:left="794" w:hanging="397"/>
      </w:pPr>
      <w:rPr>
        <w:rFonts w:ascii="Times New Roman" w:hAnsi="Times New Roman" w:cs="Times New Roman" w:hint="default"/>
      </w:rPr>
    </w:lvl>
    <w:lvl w:ilvl="2">
      <w:start w:val="1"/>
      <w:numFmt w:val="bullet"/>
      <w:lvlText w:val=""/>
      <w:lvlJc w:val="left"/>
      <w:pPr>
        <w:ind w:left="1191" w:hanging="397"/>
      </w:pPr>
      <w:rPr>
        <w:rFonts w:ascii="Symbol" w:hAnsi="Symbol" w:hint="default"/>
      </w:rPr>
    </w:lvl>
    <w:lvl w:ilvl="3">
      <w:start w:val="1"/>
      <w:numFmt w:val="bullet"/>
      <w:lvlText w:val="‒"/>
      <w:lvlJc w:val="left"/>
      <w:pPr>
        <w:ind w:left="1588" w:hanging="397"/>
      </w:pPr>
      <w:rPr>
        <w:rFonts w:ascii="Times New Roman" w:hAnsi="Times New Roman" w:cs="Times New Roman" w:hint="default"/>
      </w:rPr>
    </w:lvl>
    <w:lvl w:ilvl="4">
      <w:start w:val="1"/>
      <w:numFmt w:val="bullet"/>
      <w:lvlText w:val="‒"/>
      <w:lvlJc w:val="left"/>
      <w:pPr>
        <w:ind w:left="1985" w:hanging="397"/>
      </w:pPr>
      <w:rPr>
        <w:rFonts w:ascii="Times New Roman" w:hAnsi="Times New Roman" w:cs="Times New Roman" w:hint="default"/>
      </w:rPr>
    </w:lvl>
    <w:lvl w:ilvl="5">
      <w:start w:val="1"/>
      <w:numFmt w:val="bullet"/>
      <w:lvlText w:val="‒"/>
      <w:lvlJc w:val="left"/>
      <w:pPr>
        <w:ind w:left="2382" w:hanging="397"/>
      </w:pPr>
      <w:rPr>
        <w:rFonts w:ascii="Times New Roman" w:hAnsi="Times New Roman" w:cs="Times New Roman" w:hint="default"/>
      </w:rPr>
    </w:lvl>
    <w:lvl w:ilvl="6">
      <w:start w:val="1"/>
      <w:numFmt w:val="bullet"/>
      <w:lvlText w:val="‒"/>
      <w:lvlJc w:val="left"/>
      <w:pPr>
        <w:ind w:left="2779" w:hanging="397"/>
      </w:pPr>
      <w:rPr>
        <w:rFonts w:ascii="Times New Roman" w:hAnsi="Times New Roman" w:cs="Times New Roman" w:hint="default"/>
      </w:rPr>
    </w:lvl>
    <w:lvl w:ilvl="7">
      <w:start w:val="1"/>
      <w:numFmt w:val="bullet"/>
      <w:lvlText w:val="‒"/>
      <w:lvlJc w:val="left"/>
      <w:pPr>
        <w:ind w:left="3176" w:hanging="397"/>
      </w:pPr>
      <w:rPr>
        <w:rFonts w:ascii="Times New Roman" w:hAnsi="Times New Roman" w:cs="Times New Roman" w:hint="default"/>
      </w:rPr>
    </w:lvl>
    <w:lvl w:ilvl="8">
      <w:start w:val="1"/>
      <w:numFmt w:val="bullet"/>
      <w:lvlRestart w:val="4"/>
      <w:lvlText w:val="̶"/>
      <w:lvlJc w:val="left"/>
      <w:pPr>
        <w:ind w:left="3573" w:hanging="397"/>
      </w:pPr>
      <w:rPr>
        <w:rFonts w:ascii="Times New Roman" w:hAnsi="Times New Roman" w:cs="Times New Roman" w:hint="default"/>
      </w:rPr>
    </w:lvl>
  </w:abstractNum>
  <w:abstractNum w:abstractNumId="13">
    <w:nsid w:val="2C893C0B"/>
    <w:multiLevelType w:val="hybridMultilevel"/>
    <w:tmpl w:val="4CBE6254"/>
    <w:lvl w:ilvl="0" w:tplc="4FB2C9E4">
      <w:start w:val="1"/>
      <w:numFmt w:val="lowerLetter"/>
      <w:lvlText w:val="(%1)"/>
      <w:lvlJc w:val="left"/>
      <w:pPr>
        <w:ind w:left="502" w:hanging="360"/>
      </w:pPr>
      <w:rPr>
        <w:rFonts w:hint="default"/>
        <w:b w:val="0"/>
        <w:i w:val="0"/>
      </w:rPr>
    </w:lvl>
    <w:lvl w:ilvl="1" w:tplc="040B001B">
      <w:start w:val="1"/>
      <w:numFmt w:val="lowerRoman"/>
      <w:lvlText w:val="%2."/>
      <w:lvlJc w:val="righ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335629DC"/>
    <w:multiLevelType w:val="hybridMultilevel"/>
    <w:tmpl w:val="61207402"/>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37E260A"/>
    <w:multiLevelType w:val="hybridMultilevel"/>
    <w:tmpl w:val="E9BA29AA"/>
    <w:lvl w:ilvl="0" w:tplc="4FB2C9E4">
      <w:start w:val="1"/>
      <w:numFmt w:val="lowerLetter"/>
      <w:lvlText w:val="(%1)"/>
      <w:lvlJc w:val="left"/>
      <w:pPr>
        <w:ind w:left="502" w:hanging="360"/>
      </w:pPr>
      <w:rPr>
        <w:rFonts w:hint="default"/>
        <w:b w:val="0"/>
        <w:i w:val="0"/>
      </w:rPr>
    </w:lvl>
    <w:lvl w:ilvl="1" w:tplc="040B001B">
      <w:start w:val="1"/>
      <w:numFmt w:val="lowerRoman"/>
      <w:lvlText w:val="%2."/>
      <w:lvlJc w:val="righ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376E2404"/>
    <w:multiLevelType w:val="hybridMultilevel"/>
    <w:tmpl w:val="1D38467C"/>
    <w:lvl w:ilvl="0" w:tplc="71DED4FA">
      <w:start w:val="1"/>
      <w:numFmt w:val="bullet"/>
      <w:pStyle w:val="decisionbullet1"/>
      <w:lvlText w:val="‒"/>
      <w:lvlJc w:val="left"/>
      <w:pPr>
        <w:ind w:left="530" w:hanging="360"/>
      </w:pPr>
      <w:rPr>
        <w:rFonts w:ascii="Times New Roman" w:hAnsi="Times New Roman" w:cs="Times New Roman" w:hint="default"/>
      </w:rPr>
    </w:lvl>
    <w:lvl w:ilvl="1" w:tplc="71DED4FA">
      <w:start w:val="1"/>
      <w:numFmt w:val="bullet"/>
      <w:lvlText w:val="‒"/>
      <w:lvlJc w:val="left"/>
      <w:pPr>
        <w:ind w:left="1440" w:hanging="360"/>
      </w:pPr>
      <w:rPr>
        <w:rFonts w:ascii="Times New Roman" w:hAnsi="Times New Roman" w:cs="Times New Roman"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nsid w:val="3997242A"/>
    <w:multiLevelType w:val="hybridMultilevel"/>
    <w:tmpl w:val="32369B84"/>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nsid w:val="3ED07D13"/>
    <w:multiLevelType w:val="multilevel"/>
    <w:tmpl w:val="B776DF66"/>
    <w:styleLink w:val="Style2"/>
    <w:lvl w:ilvl="0">
      <w:start w:val="2"/>
      <w:numFmt w:val="decimal"/>
      <w:lvlText w:val="%1."/>
      <w:lvlJc w:val="left"/>
      <w:pPr>
        <w:ind w:left="360" w:hanging="360"/>
      </w:pPr>
      <w:rPr>
        <w:rFonts w:hint="default"/>
      </w:rPr>
    </w:lvl>
    <w:lvl w:ilvl="1">
      <w:start w:val="1"/>
      <w:numFmt w:val="decimal"/>
      <w:lvlText w:val="%1.%2."/>
      <w:lvlJc w:val="left"/>
      <w:pPr>
        <w:ind w:left="1283"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426E340E"/>
    <w:multiLevelType w:val="hybridMultilevel"/>
    <w:tmpl w:val="6C20A45C"/>
    <w:lvl w:ilvl="0" w:tplc="AD0A04AA">
      <w:start w:val="3"/>
      <w:numFmt w:val="bullet"/>
      <w:lvlText w:val="-"/>
      <w:lvlJc w:val="left"/>
      <w:pPr>
        <w:ind w:left="720" w:hanging="360"/>
      </w:pPr>
      <w:rPr>
        <w:rFonts w:ascii="Calibri" w:eastAsia="Calibri" w:hAnsi="Calibri" w:cs="Calibri"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20">
    <w:nsid w:val="43F54D03"/>
    <w:multiLevelType w:val="hybridMultilevel"/>
    <w:tmpl w:val="3BB8666A"/>
    <w:lvl w:ilvl="0" w:tplc="0406000F">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1">
    <w:nsid w:val="46697BDB"/>
    <w:multiLevelType w:val="multilevel"/>
    <w:tmpl w:val="4DDEC57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nsid w:val="47D87F2F"/>
    <w:multiLevelType w:val="hybridMultilevel"/>
    <w:tmpl w:val="0408E5E2"/>
    <w:lvl w:ilvl="0" w:tplc="3988815C">
      <w:start w:val="6"/>
      <w:numFmt w:val="bullet"/>
      <w:lvlText w:val=""/>
      <w:lvlJc w:val="left"/>
      <w:pPr>
        <w:ind w:left="720" w:hanging="360"/>
      </w:pPr>
      <w:rPr>
        <w:rFonts w:ascii="Wingdings" w:eastAsia="Times New Roman" w:hAnsi="Wingdings"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3">
    <w:nsid w:val="48B87953"/>
    <w:multiLevelType w:val="hybridMultilevel"/>
    <w:tmpl w:val="66A2E3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4F7C081F"/>
    <w:multiLevelType w:val="multilevel"/>
    <w:tmpl w:val="6CFA0A5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5">
    <w:nsid w:val="51894164"/>
    <w:multiLevelType w:val="hybridMultilevel"/>
    <w:tmpl w:val="9292710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6">
    <w:nsid w:val="564C7CAC"/>
    <w:multiLevelType w:val="hybridMultilevel"/>
    <w:tmpl w:val="71F2DA2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7">
    <w:nsid w:val="5CAC0186"/>
    <w:multiLevelType w:val="hybridMultilevel"/>
    <w:tmpl w:val="4A6A361A"/>
    <w:lvl w:ilvl="0" w:tplc="E6027530">
      <w:start w:val="1"/>
      <w:numFmt w:val="decimal"/>
      <w:pStyle w:val="textenumeration"/>
      <w:lvlText w:val="%1."/>
      <w:lvlJc w:val="left"/>
      <w:pPr>
        <w:ind w:left="360"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8">
    <w:nsid w:val="5CF14156"/>
    <w:multiLevelType w:val="hybridMultilevel"/>
    <w:tmpl w:val="72F483D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9">
    <w:nsid w:val="606437BF"/>
    <w:multiLevelType w:val="hybridMultilevel"/>
    <w:tmpl w:val="A74ECC50"/>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0">
    <w:nsid w:val="61635C8C"/>
    <w:multiLevelType w:val="multilevel"/>
    <w:tmpl w:val="B69CFB3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63590BF1"/>
    <w:multiLevelType w:val="hybridMultilevel"/>
    <w:tmpl w:val="947832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nsid w:val="64B076BC"/>
    <w:multiLevelType w:val="hybridMultilevel"/>
    <w:tmpl w:val="D3A272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nsid w:val="6BD92D09"/>
    <w:multiLevelType w:val="hybridMultilevel"/>
    <w:tmpl w:val="FA26464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4">
    <w:nsid w:val="75FC18FB"/>
    <w:multiLevelType w:val="hybridMultilevel"/>
    <w:tmpl w:val="495EEEBA"/>
    <w:lvl w:ilvl="0" w:tplc="CC72EED6">
      <w:start w:val="6"/>
      <w:numFmt w:val="bullet"/>
      <w:lvlText w:val=""/>
      <w:lvlJc w:val="left"/>
      <w:pPr>
        <w:ind w:left="720" w:hanging="360"/>
      </w:pPr>
      <w:rPr>
        <w:rFonts w:ascii="Wingdings" w:eastAsia="Times New Roman" w:hAnsi="Wingdings"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5">
    <w:nsid w:val="799B7DAD"/>
    <w:multiLevelType w:val="multilevel"/>
    <w:tmpl w:val="A1B4EC02"/>
    <w:styleLink w:val="Headline-Structur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7A875FA2"/>
    <w:multiLevelType w:val="hybridMultilevel"/>
    <w:tmpl w:val="13307F4C"/>
    <w:lvl w:ilvl="0" w:tplc="4FB2C9E4">
      <w:start w:val="1"/>
      <w:numFmt w:val="lowerLetter"/>
      <w:lvlText w:val="(%1)"/>
      <w:lvlJc w:val="left"/>
      <w:pPr>
        <w:ind w:left="502" w:hanging="360"/>
      </w:pPr>
      <w:rPr>
        <w:rFonts w:hint="default"/>
        <w:b w:val="0"/>
        <w:i w:val="0"/>
      </w:rPr>
    </w:lvl>
    <w:lvl w:ilvl="1" w:tplc="0405001B">
      <w:start w:val="1"/>
      <w:numFmt w:val="lowerRoman"/>
      <w:lvlText w:val="%2."/>
      <w:lvlJc w:val="righ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6"/>
  </w:num>
  <w:num w:numId="2">
    <w:abstractNumId w:val="27"/>
  </w:num>
  <w:num w:numId="3">
    <w:abstractNumId w:val="12"/>
  </w:num>
  <w:num w:numId="4">
    <w:abstractNumId w:val="35"/>
  </w:num>
  <w:num w:numId="5">
    <w:abstractNumId w:val="0"/>
  </w:num>
  <w:num w:numId="6">
    <w:abstractNumId w:val="30"/>
  </w:num>
  <w:num w:numId="7">
    <w:abstractNumId w:val="18"/>
  </w:num>
  <w:num w:numId="8">
    <w:abstractNumId w:val="24"/>
  </w:num>
  <w:num w:numId="9">
    <w:abstractNumId w:val="14"/>
  </w:num>
  <w:num w:numId="10">
    <w:abstractNumId w:val="21"/>
  </w:num>
  <w:num w:numId="11">
    <w:abstractNumId w:val="20"/>
  </w:num>
  <w:num w:numId="12">
    <w:abstractNumId w:val="5"/>
  </w:num>
  <w:num w:numId="13">
    <w:abstractNumId w:val="11"/>
  </w:num>
  <w:num w:numId="14">
    <w:abstractNumId w:val="6"/>
  </w:num>
  <w:num w:numId="15">
    <w:abstractNumId w:val="13"/>
  </w:num>
  <w:num w:numId="16">
    <w:abstractNumId w:val="15"/>
  </w:num>
  <w:num w:numId="17">
    <w:abstractNumId w:val="36"/>
  </w:num>
  <w:num w:numId="18">
    <w:abstractNumId w:val="31"/>
  </w:num>
  <w:num w:numId="19">
    <w:abstractNumId w:val="23"/>
  </w:num>
  <w:num w:numId="20">
    <w:abstractNumId w:val="1"/>
  </w:num>
  <w:num w:numId="21">
    <w:abstractNumId w:val="32"/>
  </w:num>
  <w:num w:numId="22">
    <w:abstractNumId w:val="10"/>
  </w:num>
  <w:num w:numId="23">
    <w:abstractNumId w:val="9"/>
  </w:num>
  <w:num w:numId="24">
    <w:abstractNumId w:val="4"/>
  </w:num>
  <w:num w:numId="25">
    <w:abstractNumId w:val="17"/>
  </w:num>
  <w:num w:numId="26">
    <w:abstractNumId w:val="3"/>
  </w:num>
  <w:num w:numId="27">
    <w:abstractNumId w:val="26"/>
  </w:num>
  <w:num w:numId="28">
    <w:abstractNumId w:val="25"/>
  </w:num>
  <w:num w:numId="29">
    <w:abstractNumId w:val="33"/>
  </w:num>
  <w:num w:numId="30">
    <w:abstractNumId w:val="28"/>
  </w:num>
  <w:num w:numId="31">
    <w:abstractNumId w:val="29"/>
  </w:num>
  <w:num w:numId="32">
    <w:abstractNumId w:val="19"/>
  </w:num>
  <w:num w:numId="33">
    <w:abstractNumId w:val="2"/>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num>
  <w:num w:numId="42">
    <w:abstractNumId w:val="22"/>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tha Marie Øberg">
    <w15:presenceInfo w15:providerId="AD" w15:userId="S-1-5-21-1123561945-1292428093-725345543-213092"/>
  </w15:person>
  <w15:person w15:author="Karpuk Radian">
    <w15:presenceInfo w15:providerId="AD" w15:userId="S-1-5-21-2361265742-293840967-3830639147-202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activeWritingStyle w:appName="MSWord" w:lang="de-DE" w:vendorID="64" w:dllVersion="6" w:nlCheck="1" w:checkStyle="0"/>
  <w:activeWritingStyle w:appName="MSWord" w:lang="en-GB" w:vendorID="64" w:dllVersion="6" w:nlCheck="1" w:checkStyle="1"/>
  <w:activeWritingStyle w:appName="MSWord" w:lang="fr-FR" w:vendorID="64" w:dllVersion="6" w:nlCheck="1" w:checkStyle="0"/>
  <w:activeWritingStyle w:appName="MSWord" w:lang="en-US" w:vendorID="64" w:dllVersion="6" w:nlCheck="1" w:checkStyle="1"/>
  <w:activeWritingStyle w:appName="MSWord" w:lang="fr-BE" w:vendorID="64" w:dllVersion="6" w:nlCheck="1" w:checkStyle="0"/>
  <w:activeWritingStyle w:appName="MSWord" w:lang="nb-NO" w:vendorID="64" w:dllVersion="6" w:nlCheck="1" w:checkStyle="0"/>
  <w:activeWritingStyle w:appName="MSWord" w:lang="de-CH" w:vendorID="64" w:dllVersion="6" w:nlCheck="1" w:checkStyle="0"/>
  <w:activeWritingStyle w:appName="MSWord" w:lang="en-CA" w:vendorID="64" w:dllVersion="6" w:nlCheck="1" w:checkStyle="0"/>
  <w:activeWritingStyle w:appName="MSWord" w:lang="fi-FI" w:vendorID="64" w:dllVersion="6" w:nlCheck="1" w:checkStyle="0"/>
  <w:activeWritingStyle w:appName="MSWord" w:lang="en-GB" w:vendorID="64" w:dllVersion="0" w:nlCheck="1" w:checkStyle="0"/>
  <w:activeWritingStyle w:appName="MSWord" w:lang="en-US" w:vendorID="64" w:dllVersion="0" w:nlCheck="1" w:checkStyle="0"/>
  <w:activeWritingStyle w:appName="MSWord" w:lang="fr-BE" w:vendorID="64" w:dllVersion="0" w:nlCheck="1" w:checkStyle="0"/>
  <w:activeWritingStyle w:appName="MSWord" w:lang="de-AT" w:vendorID="64" w:dllVersion="6" w:nlCheck="1" w:checkStyle="0"/>
  <w:activeWritingStyle w:appName="MSWord" w:lang="fr-CH" w:vendorID="64" w:dllVersion="0" w:nlCheck="1" w:checkStyle="0"/>
  <w:activeWritingStyle w:appName="MSWord" w:lang="es-ES" w:vendorID="64" w:dllVersion="0" w:nlCheck="1" w:checkStyle="0"/>
  <w:activeWritingStyle w:appName="MSWord" w:lang="en-GB" w:vendorID="64" w:dllVersion="4096" w:nlCheck="1" w:checkStyle="0"/>
  <w:activeWritingStyle w:appName="MSWord" w:lang="es-ES" w:vendorID="64" w:dllVersion="6" w:nlCheck="1" w:checkStyle="0"/>
  <w:activeWritingStyle w:appName="MSWord" w:lang="fr-FR" w:vendorID="64" w:dllVersion="0" w:nlCheck="1" w:checkStyle="0"/>
  <w:activeWritingStyle w:appName="MSWord" w:lang="en-GB" w:vendorID="64" w:dllVersion="131078" w:nlCheck="1" w:checkStyle="1"/>
  <w:activeWritingStyle w:appName="MSWord" w:lang="en-US" w:vendorID="64" w:dllVersion="131078" w:nlCheck="1" w:checkStyle="1"/>
  <w:activeWritingStyle w:appName="MSWord" w:lang="de-DE" w:vendorID="64" w:dllVersion="131078" w:nlCheck="1" w:checkStyle="0"/>
  <w:activeWritingStyle w:appName="MSWord" w:lang="fr-BE" w:vendorID="64" w:dllVersion="131078" w:nlCheck="1" w:checkStyle="0"/>
  <w:activeWritingStyle w:appName="MSWord" w:lang="fr-FR" w:vendorID="64" w:dllVersion="131078" w:nlCheck="1" w:checkStyle="0"/>
  <w:activeWritingStyle w:appName="MSWord" w:lang="nb-NO" w:vendorID="64" w:dllVersion="131078" w:nlCheck="1" w:checkStyle="0"/>
  <w:proofState w:spelling="clean" w:grammar="clean"/>
  <w:attachedTemplate r:id="rId1"/>
  <w:stylePaneFormatFilter w:val="F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1"/>
  <w:defaultTabStop w:val="709"/>
  <w:hyphenationZone w:val="425"/>
  <w:characterSpacingControl w:val="doNotCompress"/>
  <w:hdrShapeDefaults>
    <o:shapedefaults v:ext="edit" spidmax="2049">
      <o:colormru v:ext="edit" colors="#23236e"/>
    </o:shapedefaults>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zczNzQxMzGxtDAyNjFU0lEKTi0uzszPAykwrgUApToBECwAAAA="/>
  </w:docVars>
  <w:rsids>
    <w:rsidRoot w:val="00CB63D9"/>
    <w:rsid w:val="00000263"/>
    <w:rsid w:val="000003B8"/>
    <w:rsid w:val="000010A1"/>
    <w:rsid w:val="0000117F"/>
    <w:rsid w:val="00001A00"/>
    <w:rsid w:val="000024C4"/>
    <w:rsid w:val="00002594"/>
    <w:rsid w:val="0000318A"/>
    <w:rsid w:val="0000397C"/>
    <w:rsid w:val="000045F1"/>
    <w:rsid w:val="0000495B"/>
    <w:rsid w:val="00004DE5"/>
    <w:rsid w:val="00005B0E"/>
    <w:rsid w:val="00006785"/>
    <w:rsid w:val="000077C9"/>
    <w:rsid w:val="00007961"/>
    <w:rsid w:val="00007D3A"/>
    <w:rsid w:val="000103DD"/>
    <w:rsid w:val="00010BCB"/>
    <w:rsid w:val="00011385"/>
    <w:rsid w:val="000114DB"/>
    <w:rsid w:val="0001167E"/>
    <w:rsid w:val="00011B58"/>
    <w:rsid w:val="0001274A"/>
    <w:rsid w:val="00012FFB"/>
    <w:rsid w:val="00013A82"/>
    <w:rsid w:val="000141C0"/>
    <w:rsid w:val="000152E1"/>
    <w:rsid w:val="00015592"/>
    <w:rsid w:val="00015A04"/>
    <w:rsid w:val="000164A8"/>
    <w:rsid w:val="000167DE"/>
    <w:rsid w:val="000168A8"/>
    <w:rsid w:val="0001699D"/>
    <w:rsid w:val="000170DE"/>
    <w:rsid w:val="00020347"/>
    <w:rsid w:val="00020D96"/>
    <w:rsid w:val="0002105A"/>
    <w:rsid w:val="00021D5B"/>
    <w:rsid w:val="0002233F"/>
    <w:rsid w:val="00024373"/>
    <w:rsid w:val="000256E7"/>
    <w:rsid w:val="000259A2"/>
    <w:rsid w:val="000260B8"/>
    <w:rsid w:val="000266DD"/>
    <w:rsid w:val="00026B9A"/>
    <w:rsid w:val="00026D5D"/>
    <w:rsid w:val="00027F93"/>
    <w:rsid w:val="00030230"/>
    <w:rsid w:val="000302C2"/>
    <w:rsid w:val="00030850"/>
    <w:rsid w:val="00030EA6"/>
    <w:rsid w:val="00031386"/>
    <w:rsid w:val="0003165C"/>
    <w:rsid w:val="000317D1"/>
    <w:rsid w:val="000318D4"/>
    <w:rsid w:val="00031B39"/>
    <w:rsid w:val="000329B4"/>
    <w:rsid w:val="000336A9"/>
    <w:rsid w:val="000348F0"/>
    <w:rsid w:val="00034C71"/>
    <w:rsid w:val="00034C99"/>
    <w:rsid w:val="000358E2"/>
    <w:rsid w:val="00035907"/>
    <w:rsid w:val="00035D08"/>
    <w:rsid w:val="00035D4F"/>
    <w:rsid w:val="00036421"/>
    <w:rsid w:val="000372AB"/>
    <w:rsid w:val="0003772D"/>
    <w:rsid w:val="00037C21"/>
    <w:rsid w:val="00037FF0"/>
    <w:rsid w:val="0004051E"/>
    <w:rsid w:val="00040607"/>
    <w:rsid w:val="00040D7D"/>
    <w:rsid w:val="000436AD"/>
    <w:rsid w:val="000459A3"/>
    <w:rsid w:val="0004643D"/>
    <w:rsid w:val="00046700"/>
    <w:rsid w:val="00046859"/>
    <w:rsid w:val="000516A9"/>
    <w:rsid w:val="00051749"/>
    <w:rsid w:val="00051D3A"/>
    <w:rsid w:val="00051DB2"/>
    <w:rsid w:val="00051E18"/>
    <w:rsid w:val="0005248A"/>
    <w:rsid w:val="0005268A"/>
    <w:rsid w:val="00052AAE"/>
    <w:rsid w:val="00052D21"/>
    <w:rsid w:val="000537BE"/>
    <w:rsid w:val="00054F19"/>
    <w:rsid w:val="00055BFA"/>
    <w:rsid w:val="00056AC4"/>
    <w:rsid w:val="00056CBC"/>
    <w:rsid w:val="00056E41"/>
    <w:rsid w:val="000612FC"/>
    <w:rsid w:val="0006135E"/>
    <w:rsid w:val="00062548"/>
    <w:rsid w:val="00062979"/>
    <w:rsid w:val="00062A1F"/>
    <w:rsid w:val="00062D5E"/>
    <w:rsid w:val="000645EB"/>
    <w:rsid w:val="0006590E"/>
    <w:rsid w:val="00065B74"/>
    <w:rsid w:val="00066293"/>
    <w:rsid w:val="00066C59"/>
    <w:rsid w:val="00067862"/>
    <w:rsid w:val="00067D87"/>
    <w:rsid w:val="000703F5"/>
    <w:rsid w:val="0007092C"/>
    <w:rsid w:val="00070ABB"/>
    <w:rsid w:val="00070FCA"/>
    <w:rsid w:val="00071012"/>
    <w:rsid w:val="000711A7"/>
    <w:rsid w:val="00071DDF"/>
    <w:rsid w:val="00071E57"/>
    <w:rsid w:val="00071F4D"/>
    <w:rsid w:val="000725CB"/>
    <w:rsid w:val="00072C39"/>
    <w:rsid w:val="00073039"/>
    <w:rsid w:val="000735F9"/>
    <w:rsid w:val="00073899"/>
    <w:rsid w:val="00073CEB"/>
    <w:rsid w:val="000745E8"/>
    <w:rsid w:val="00074C13"/>
    <w:rsid w:val="00074D9F"/>
    <w:rsid w:val="00075AC9"/>
    <w:rsid w:val="00075F1D"/>
    <w:rsid w:val="000767B3"/>
    <w:rsid w:val="00076AF8"/>
    <w:rsid w:val="00076F1E"/>
    <w:rsid w:val="000771A5"/>
    <w:rsid w:val="0007756F"/>
    <w:rsid w:val="0007774F"/>
    <w:rsid w:val="00080166"/>
    <w:rsid w:val="00080370"/>
    <w:rsid w:val="00080702"/>
    <w:rsid w:val="00080A33"/>
    <w:rsid w:val="00081815"/>
    <w:rsid w:val="00082176"/>
    <w:rsid w:val="00082E1E"/>
    <w:rsid w:val="00083401"/>
    <w:rsid w:val="00083BCD"/>
    <w:rsid w:val="00083CD1"/>
    <w:rsid w:val="00083EAA"/>
    <w:rsid w:val="0008444C"/>
    <w:rsid w:val="00084557"/>
    <w:rsid w:val="00084944"/>
    <w:rsid w:val="00084E16"/>
    <w:rsid w:val="0008503D"/>
    <w:rsid w:val="00086060"/>
    <w:rsid w:val="00086C96"/>
    <w:rsid w:val="00086F2D"/>
    <w:rsid w:val="00086FAF"/>
    <w:rsid w:val="00087118"/>
    <w:rsid w:val="00087411"/>
    <w:rsid w:val="00087D83"/>
    <w:rsid w:val="00090033"/>
    <w:rsid w:val="00090A80"/>
    <w:rsid w:val="00090D1F"/>
    <w:rsid w:val="000911E7"/>
    <w:rsid w:val="00091775"/>
    <w:rsid w:val="00091C73"/>
    <w:rsid w:val="00092031"/>
    <w:rsid w:val="00092CD6"/>
    <w:rsid w:val="00092FBA"/>
    <w:rsid w:val="000934E7"/>
    <w:rsid w:val="00093FDA"/>
    <w:rsid w:val="000940C9"/>
    <w:rsid w:val="000949BB"/>
    <w:rsid w:val="00094E0D"/>
    <w:rsid w:val="00094F0D"/>
    <w:rsid w:val="000950E6"/>
    <w:rsid w:val="0009548F"/>
    <w:rsid w:val="000A00D6"/>
    <w:rsid w:val="000A02E5"/>
    <w:rsid w:val="000A05CE"/>
    <w:rsid w:val="000A08B0"/>
    <w:rsid w:val="000A1FE7"/>
    <w:rsid w:val="000A21A6"/>
    <w:rsid w:val="000A38D5"/>
    <w:rsid w:val="000A41D6"/>
    <w:rsid w:val="000A4585"/>
    <w:rsid w:val="000A6402"/>
    <w:rsid w:val="000A66A1"/>
    <w:rsid w:val="000A7004"/>
    <w:rsid w:val="000B01B7"/>
    <w:rsid w:val="000B1B03"/>
    <w:rsid w:val="000B1C00"/>
    <w:rsid w:val="000B1DAC"/>
    <w:rsid w:val="000B294C"/>
    <w:rsid w:val="000B344E"/>
    <w:rsid w:val="000B4DAB"/>
    <w:rsid w:val="000B52A2"/>
    <w:rsid w:val="000B553B"/>
    <w:rsid w:val="000B5EEF"/>
    <w:rsid w:val="000B63BC"/>
    <w:rsid w:val="000B6496"/>
    <w:rsid w:val="000B6600"/>
    <w:rsid w:val="000C0201"/>
    <w:rsid w:val="000C0270"/>
    <w:rsid w:val="000C04DD"/>
    <w:rsid w:val="000C0FC2"/>
    <w:rsid w:val="000C178C"/>
    <w:rsid w:val="000C1D4B"/>
    <w:rsid w:val="000C1FCF"/>
    <w:rsid w:val="000C304C"/>
    <w:rsid w:val="000C3359"/>
    <w:rsid w:val="000C3490"/>
    <w:rsid w:val="000C3782"/>
    <w:rsid w:val="000C397D"/>
    <w:rsid w:val="000C3D26"/>
    <w:rsid w:val="000C3EDA"/>
    <w:rsid w:val="000C4C1C"/>
    <w:rsid w:val="000C566C"/>
    <w:rsid w:val="000C5B67"/>
    <w:rsid w:val="000C5DA8"/>
    <w:rsid w:val="000C5DDD"/>
    <w:rsid w:val="000C799A"/>
    <w:rsid w:val="000C79F9"/>
    <w:rsid w:val="000C7C86"/>
    <w:rsid w:val="000C7CC3"/>
    <w:rsid w:val="000D091E"/>
    <w:rsid w:val="000D12C4"/>
    <w:rsid w:val="000D1BB2"/>
    <w:rsid w:val="000D20D1"/>
    <w:rsid w:val="000D2BDF"/>
    <w:rsid w:val="000D2EE2"/>
    <w:rsid w:val="000D3097"/>
    <w:rsid w:val="000D340C"/>
    <w:rsid w:val="000D3658"/>
    <w:rsid w:val="000D3A7B"/>
    <w:rsid w:val="000D4065"/>
    <w:rsid w:val="000D4B89"/>
    <w:rsid w:val="000D5AAA"/>
    <w:rsid w:val="000D6A25"/>
    <w:rsid w:val="000D6D73"/>
    <w:rsid w:val="000D705F"/>
    <w:rsid w:val="000D7977"/>
    <w:rsid w:val="000D797C"/>
    <w:rsid w:val="000E06EA"/>
    <w:rsid w:val="000E0751"/>
    <w:rsid w:val="000E2076"/>
    <w:rsid w:val="000E2A4E"/>
    <w:rsid w:val="000E4230"/>
    <w:rsid w:val="000E5063"/>
    <w:rsid w:val="000E5DD1"/>
    <w:rsid w:val="000E7131"/>
    <w:rsid w:val="000E7488"/>
    <w:rsid w:val="000E7BF7"/>
    <w:rsid w:val="000F025D"/>
    <w:rsid w:val="000F0C1A"/>
    <w:rsid w:val="000F19BC"/>
    <w:rsid w:val="000F206A"/>
    <w:rsid w:val="000F2762"/>
    <w:rsid w:val="000F2767"/>
    <w:rsid w:val="000F315A"/>
    <w:rsid w:val="000F31C7"/>
    <w:rsid w:val="000F340C"/>
    <w:rsid w:val="000F453F"/>
    <w:rsid w:val="000F4722"/>
    <w:rsid w:val="000F4D0C"/>
    <w:rsid w:val="000F564B"/>
    <w:rsid w:val="000F5659"/>
    <w:rsid w:val="000F5F68"/>
    <w:rsid w:val="000F5F9E"/>
    <w:rsid w:val="000F6578"/>
    <w:rsid w:val="000F6D79"/>
    <w:rsid w:val="000F6FEA"/>
    <w:rsid w:val="000F71DE"/>
    <w:rsid w:val="000F7313"/>
    <w:rsid w:val="000F7517"/>
    <w:rsid w:val="000F7CB1"/>
    <w:rsid w:val="000F7D5E"/>
    <w:rsid w:val="00100250"/>
    <w:rsid w:val="00100360"/>
    <w:rsid w:val="001009D9"/>
    <w:rsid w:val="00100ADC"/>
    <w:rsid w:val="00101729"/>
    <w:rsid w:val="001029A2"/>
    <w:rsid w:val="00103E7F"/>
    <w:rsid w:val="00103EED"/>
    <w:rsid w:val="00104E67"/>
    <w:rsid w:val="00104FF2"/>
    <w:rsid w:val="001066C4"/>
    <w:rsid w:val="001067C8"/>
    <w:rsid w:val="00106C8B"/>
    <w:rsid w:val="00111F96"/>
    <w:rsid w:val="0011288A"/>
    <w:rsid w:val="00114478"/>
    <w:rsid w:val="00114C93"/>
    <w:rsid w:val="00114E21"/>
    <w:rsid w:val="001164D4"/>
    <w:rsid w:val="0011665C"/>
    <w:rsid w:val="001168D9"/>
    <w:rsid w:val="00116A2E"/>
    <w:rsid w:val="00116DA9"/>
    <w:rsid w:val="001171AB"/>
    <w:rsid w:val="001176CE"/>
    <w:rsid w:val="0011793D"/>
    <w:rsid w:val="001205D7"/>
    <w:rsid w:val="00120EDB"/>
    <w:rsid w:val="00120EE3"/>
    <w:rsid w:val="0012183D"/>
    <w:rsid w:val="00122ADB"/>
    <w:rsid w:val="00122D4D"/>
    <w:rsid w:val="001230EE"/>
    <w:rsid w:val="00124227"/>
    <w:rsid w:val="00124343"/>
    <w:rsid w:val="001258E3"/>
    <w:rsid w:val="00125CA9"/>
    <w:rsid w:val="001266B4"/>
    <w:rsid w:val="0012692B"/>
    <w:rsid w:val="00126D21"/>
    <w:rsid w:val="00126D3F"/>
    <w:rsid w:val="00126EED"/>
    <w:rsid w:val="00127235"/>
    <w:rsid w:val="001275C3"/>
    <w:rsid w:val="00130D8E"/>
    <w:rsid w:val="00131080"/>
    <w:rsid w:val="001314E8"/>
    <w:rsid w:val="00131A0D"/>
    <w:rsid w:val="0013249A"/>
    <w:rsid w:val="00132ED3"/>
    <w:rsid w:val="00132F85"/>
    <w:rsid w:val="001330E2"/>
    <w:rsid w:val="00134483"/>
    <w:rsid w:val="001359FE"/>
    <w:rsid w:val="00137A9E"/>
    <w:rsid w:val="00137C91"/>
    <w:rsid w:val="00137F14"/>
    <w:rsid w:val="00140757"/>
    <w:rsid w:val="0014075E"/>
    <w:rsid w:val="001409EA"/>
    <w:rsid w:val="0014145B"/>
    <w:rsid w:val="00141AD5"/>
    <w:rsid w:val="00142B9F"/>
    <w:rsid w:val="00143125"/>
    <w:rsid w:val="00143899"/>
    <w:rsid w:val="00143F61"/>
    <w:rsid w:val="0014508C"/>
    <w:rsid w:val="001451A9"/>
    <w:rsid w:val="0014540F"/>
    <w:rsid w:val="0014578D"/>
    <w:rsid w:val="0014620F"/>
    <w:rsid w:val="00146850"/>
    <w:rsid w:val="00147233"/>
    <w:rsid w:val="0014768D"/>
    <w:rsid w:val="001478E7"/>
    <w:rsid w:val="00147F02"/>
    <w:rsid w:val="00151CE0"/>
    <w:rsid w:val="00152801"/>
    <w:rsid w:val="00153C4F"/>
    <w:rsid w:val="0015450D"/>
    <w:rsid w:val="00154A44"/>
    <w:rsid w:val="001553AD"/>
    <w:rsid w:val="001557FE"/>
    <w:rsid w:val="00156A77"/>
    <w:rsid w:val="00156D3A"/>
    <w:rsid w:val="00157CA1"/>
    <w:rsid w:val="0016052C"/>
    <w:rsid w:val="001609AA"/>
    <w:rsid w:val="00160E42"/>
    <w:rsid w:val="00161114"/>
    <w:rsid w:val="00162ACD"/>
    <w:rsid w:val="00162BE7"/>
    <w:rsid w:val="00162FEE"/>
    <w:rsid w:val="0016374C"/>
    <w:rsid w:val="00163BE0"/>
    <w:rsid w:val="00163C76"/>
    <w:rsid w:val="00163DDB"/>
    <w:rsid w:val="00164F52"/>
    <w:rsid w:val="001652D0"/>
    <w:rsid w:val="001655D7"/>
    <w:rsid w:val="0016567E"/>
    <w:rsid w:val="00166058"/>
    <w:rsid w:val="00166624"/>
    <w:rsid w:val="0016668D"/>
    <w:rsid w:val="00166993"/>
    <w:rsid w:val="00166A0F"/>
    <w:rsid w:val="00166AFB"/>
    <w:rsid w:val="00166B51"/>
    <w:rsid w:val="00166E37"/>
    <w:rsid w:val="001670ED"/>
    <w:rsid w:val="001678AB"/>
    <w:rsid w:val="0017004A"/>
    <w:rsid w:val="001705A5"/>
    <w:rsid w:val="001709F0"/>
    <w:rsid w:val="00171660"/>
    <w:rsid w:val="00171F7E"/>
    <w:rsid w:val="0017200E"/>
    <w:rsid w:val="00172806"/>
    <w:rsid w:val="00172F02"/>
    <w:rsid w:val="00173FC7"/>
    <w:rsid w:val="001744D6"/>
    <w:rsid w:val="0017523C"/>
    <w:rsid w:val="00175974"/>
    <w:rsid w:val="00175CE3"/>
    <w:rsid w:val="00177D89"/>
    <w:rsid w:val="001801C1"/>
    <w:rsid w:val="0018044B"/>
    <w:rsid w:val="001818B5"/>
    <w:rsid w:val="00181CA5"/>
    <w:rsid w:val="00183199"/>
    <w:rsid w:val="001835C8"/>
    <w:rsid w:val="0018393A"/>
    <w:rsid w:val="00183F41"/>
    <w:rsid w:val="001842C5"/>
    <w:rsid w:val="00185183"/>
    <w:rsid w:val="0018602C"/>
    <w:rsid w:val="00186B4E"/>
    <w:rsid w:val="00187391"/>
    <w:rsid w:val="0018794B"/>
    <w:rsid w:val="00187A96"/>
    <w:rsid w:val="00191737"/>
    <w:rsid w:val="00191864"/>
    <w:rsid w:val="0019189C"/>
    <w:rsid w:val="00191D83"/>
    <w:rsid w:val="00191EA1"/>
    <w:rsid w:val="00192352"/>
    <w:rsid w:val="0019348B"/>
    <w:rsid w:val="00193F43"/>
    <w:rsid w:val="00194697"/>
    <w:rsid w:val="001949EF"/>
    <w:rsid w:val="00194DF3"/>
    <w:rsid w:val="00194EE1"/>
    <w:rsid w:val="001968CE"/>
    <w:rsid w:val="001969DC"/>
    <w:rsid w:val="001973C1"/>
    <w:rsid w:val="0019745D"/>
    <w:rsid w:val="00197C9D"/>
    <w:rsid w:val="001A0E77"/>
    <w:rsid w:val="001A1DA8"/>
    <w:rsid w:val="001A23C6"/>
    <w:rsid w:val="001A353E"/>
    <w:rsid w:val="001A3DB9"/>
    <w:rsid w:val="001A4CAD"/>
    <w:rsid w:val="001A5739"/>
    <w:rsid w:val="001A5E51"/>
    <w:rsid w:val="001A5F9C"/>
    <w:rsid w:val="001A6B8B"/>
    <w:rsid w:val="001A7519"/>
    <w:rsid w:val="001A780A"/>
    <w:rsid w:val="001A7C92"/>
    <w:rsid w:val="001B0179"/>
    <w:rsid w:val="001B03CF"/>
    <w:rsid w:val="001B0495"/>
    <w:rsid w:val="001B0B84"/>
    <w:rsid w:val="001B10A6"/>
    <w:rsid w:val="001B1851"/>
    <w:rsid w:val="001B1D79"/>
    <w:rsid w:val="001B1F53"/>
    <w:rsid w:val="001B2A0E"/>
    <w:rsid w:val="001B2B47"/>
    <w:rsid w:val="001B3317"/>
    <w:rsid w:val="001B3738"/>
    <w:rsid w:val="001B3CA2"/>
    <w:rsid w:val="001B47CD"/>
    <w:rsid w:val="001B4DE5"/>
    <w:rsid w:val="001B51A8"/>
    <w:rsid w:val="001B592D"/>
    <w:rsid w:val="001B6473"/>
    <w:rsid w:val="001B6673"/>
    <w:rsid w:val="001B7134"/>
    <w:rsid w:val="001B72F0"/>
    <w:rsid w:val="001B7CE6"/>
    <w:rsid w:val="001B7D49"/>
    <w:rsid w:val="001C02F7"/>
    <w:rsid w:val="001C1BAE"/>
    <w:rsid w:val="001C2504"/>
    <w:rsid w:val="001C2720"/>
    <w:rsid w:val="001C2769"/>
    <w:rsid w:val="001C2A4D"/>
    <w:rsid w:val="001C3DD2"/>
    <w:rsid w:val="001C4F8E"/>
    <w:rsid w:val="001C51FF"/>
    <w:rsid w:val="001C6385"/>
    <w:rsid w:val="001C6B85"/>
    <w:rsid w:val="001C74CC"/>
    <w:rsid w:val="001C7776"/>
    <w:rsid w:val="001D11EF"/>
    <w:rsid w:val="001D27C7"/>
    <w:rsid w:val="001D2A63"/>
    <w:rsid w:val="001D2D8D"/>
    <w:rsid w:val="001D3498"/>
    <w:rsid w:val="001D35FB"/>
    <w:rsid w:val="001D450B"/>
    <w:rsid w:val="001D4B4C"/>
    <w:rsid w:val="001D4F27"/>
    <w:rsid w:val="001D519D"/>
    <w:rsid w:val="001D53C3"/>
    <w:rsid w:val="001D558B"/>
    <w:rsid w:val="001D5BC2"/>
    <w:rsid w:val="001D6011"/>
    <w:rsid w:val="001D66E9"/>
    <w:rsid w:val="001D6857"/>
    <w:rsid w:val="001D775F"/>
    <w:rsid w:val="001E176C"/>
    <w:rsid w:val="001E21B0"/>
    <w:rsid w:val="001E3910"/>
    <w:rsid w:val="001E4136"/>
    <w:rsid w:val="001E46AF"/>
    <w:rsid w:val="001E52FC"/>
    <w:rsid w:val="001E5D3C"/>
    <w:rsid w:val="001E5EA2"/>
    <w:rsid w:val="001E6795"/>
    <w:rsid w:val="001E6F57"/>
    <w:rsid w:val="001E6F66"/>
    <w:rsid w:val="001E6FDF"/>
    <w:rsid w:val="001E703B"/>
    <w:rsid w:val="001E7C0B"/>
    <w:rsid w:val="001F03E0"/>
    <w:rsid w:val="001F1BBB"/>
    <w:rsid w:val="001F1EA6"/>
    <w:rsid w:val="001F1F84"/>
    <w:rsid w:val="001F221F"/>
    <w:rsid w:val="001F28FA"/>
    <w:rsid w:val="001F3455"/>
    <w:rsid w:val="001F3D7C"/>
    <w:rsid w:val="001F3E9E"/>
    <w:rsid w:val="001F4054"/>
    <w:rsid w:val="001F5D9A"/>
    <w:rsid w:val="001F6AFE"/>
    <w:rsid w:val="00200740"/>
    <w:rsid w:val="00200BBD"/>
    <w:rsid w:val="00200F0A"/>
    <w:rsid w:val="0020130B"/>
    <w:rsid w:val="0020264B"/>
    <w:rsid w:val="0020269E"/>
    <w:rsid w:val="002035A9"/>
    <w:rsid w:val="0020548F"/>
    <w:rsid w:val="002057E1"/>
    <w:rsid w:val="002059C8"/>
    <w:rsid w:val="00205E3D"/>
    <w:rsid w:val="002069A4"/>
    <w:rsid w:val="00206DB8"/>
    <w:rsid w:val="002075B1"/>
    <w:rsid w:val="00207DEC"/>
    <w:rsid w:val="002102CA"/>
    <w:rsid w:val="00210400"/>
    <w:rsid w:val="0021069F"/>
    <w:rsid w:val="002119AA"/>
    <w:rsid w:val="0021329C"/>
    <w:rsid w:val="00213C4D"/>
    <w:rsid w:val="00213F05"/>
    <w:rsid w:val="002142E0"/>
    <w:rsid w:val="00214941"/>
    <w:rsid w:val="002154A9"/>
    <w:rsid w:val="00215B13"/>
    <w:rsid w:val="00216E57"/>
    <w:rsid w:val="0021711D"/>
    <w:rsid w:val="0022033F"/>
    <w:rsid w:val="0022063C"/>
    <w:rsid w:val="0022068F"/>
    <w:rsid w:val="00220DDE"/>
    <w:rsid w:val="00221C03"/>
    <w:rsid w:val="00222340"/>
    <w:rsid w:val="002223B2"/>
    <w:rsid w:val="00222A4A"/>
    <w:rsid w:val="00222A65"/>
    <w:rsid w:val="00222BF8"/>
    <w:rsid w:val="00223943"/>
    <w:rsid w:val="00223954"/>
    <w:rsid w:val="0022399A"/>
    <w:rsid w:val="00224159"/>
    <w:rsid w:val="002243C7"/>
    <w:rsid w:val="002245D8"/>
    <w:rsid w:val="00224CA6"/>
    <w:rsid w:val="00225238"/>
    <w:rsid w:val="00225E42"/>
    <w:rsid w:val="00227C9A"/>
    <w:rsid w:val="00227CEE"/>
    <w:rsid w:val="0023095C"/>
    <w:rsid w:val="0023106C"/>
    <w:rsid w:val="00232363"/>
    <w:rsid w:val="00232618"/>
    <w:rsid w:val="00232A45"/>
    <w:rsid w:val="0023322A"/>
    <w:rsid w:val="00234003"/>
    <w:rsid w:val="0023402C"/>
    <w:rsid w:val="002347AA"/>
    <w:rsid w:val="00235466"/>
    <w:rsid w:val="00235605"/>
    <w:rsid w:val="00235748"/>
    <w:rsid w:val="002364F7"/>
    <w:rsid w:val="0023679B"/>
    <w:rsid w:val="00237805"/>
    <w:rsid w:val="00237DA3"/>
    <w:rsid w:val="00240228"/>
    <w:rsid w:val="002402E9"/>
    <w:rsid w:val="00240C73"/>
    <w:rsid w:val="002413CD"/>
    <w:rsid w:val="0024142C"/>
    <w:rsid w:val="002423FF"/>
    <w:rsid w:val="00242990"/>
    <w:rsid w:val="0024308D"/>
    <w:rsid w:val="00243ADA"/>
    <w:rsid w:val="002458AC"/>
    <w:rsid w:val="0024590D"/>
    <w:rsid w:val="00245A1C"/>
    <w:rsid w:val="00245EDE"/>
    <w:rsid w:val="00246BFD"/>
    <w:rsid w:val="00246C34"/>
    <w:rsid w:val="002470A1"/>
    <w:rsid w:val="00247AC5"/>
    <w:rsid w:val="0025065B"/>
    <w:rsid w:val="00250EF7"/>
    <w:rsid w:val="00251514"/>
    <w:rsid w:val="002519A0"/>
    <w:rsid w:val="002525F0"/>
    <w:rsid w:val="002529BB"/>
    <w:rsid w:val="00252E6B"/>
    <w:rsid w:val="00252F23"/>
    <w:rsid w:val="002532C9"/>
    <w:rsid w:val="002532E7"/>
    <w:rsid w:val="00253AAC"/>
    <w:rsid w:val="00254C2E"/>
    <w:rsid w:val="00256742"/>
    <w:rsid w:val="00256B68"/>
    <w:rsid w:val="00257ECA"/>
    <w:rsid w:val="0026060B"/>
    <w:rsid w:val="0026097E"/>
    <w:rsid w:val="00260D49"/>
    <w:rsid w:val="00260EA7"/>
    <w:rsid w:val="0026133B"/>
    <w:rsid w:val="00262868"/>
    <w:rsid w:val="00262AE5"/>
    <w:rsid w:val="00262AF8"/>
    <w:rsid w:val="00262D31"/>
    <w:rsid w:val="00263219"/>
    <w:rsid w:val="00263359"/>
    <w:rsid w:val="0026397C"/>
    <w:rsid w:val="00263B72"/>
    <w:rsid w:val="0026415D"/>
    <w:rsid w:val="002642D3"/>
    <w:rsid w:val="00264BEC"/>
    <w:rsid w:val="00264FEB"/>
    <w:rsid w:val="002656C1"/>
    <w:rsid w:val="00265908"/>
    <w:rsid w:val="00265A1D"/>
    <w:rsid w:val="00266539"/>
    <w:rsid w:val="002668ED"/>
    <w:rsid w:val="002676D2"/>
    <w:rsid w:val="002678BE"/>
    <w:rsid w:val="0027132B"/>
    <w:rsid w:val="002713B4"/>
    <w:rsid w:val="00272276"/>
    <w:rsid w:val="00272368"/>
    <w:rsid w:val="00272832"/>
    <w:rsid w:val="00273180"/>
    <w:rsid w:val="0027365B"/>
    <w:rsid w:val="0027451B"/>
    <w:rsid w:val="0027634D"/>
    <w:rsid w:val="00277966"/>
    <w:rsid w:val="0028062F"/>
    <w:rsid w:val="00280D89"/>
    <w:rsid w:val="00281078"/>
    <w:rsid w:val="0028319C"/>
    <w:rsid w:val="002849A9"/>
    <w:rsid w:val="00286B87"/>
    <w:rsid w:val="00286B8F"/>
    <w:rsid w:val="0028790B"/>
    <w:rsid w:val="00290B5E"/>
    <w:rsid w:val="00290C30"/>
    <w:rsid w:val="00291127"/>
    <w:rsid w:val="0029117C"/>
    <w:rsid w:val="00291291"/>
    <w:rsid w:val="00291401"/>
    <w:rsid w:val="00291AA6"/>
    <w:rsid w:val="00292771"/>
    <w:rsid w:val="002928CA"/>
    <w:rsid w:val="002931DC"/>
    <w:rsid w:val="00293EF0"/>
    <w:rsid w:val="00294637"/>
    <w:rsid w:val="00294D2C"/>
    <w:rsid w:val="00295268"/>
    <w:rsid w:val="002958C5"/>
    <w:rsid w:val="002958F2"/>
    <w:rsid w:val="0029600A"/>
    <w:rsid w:val="00296628"/>
    <w:rsid w:val="0029684F"/>
    <w:rsid w:val="002A01A0"/>
    <w:rsid w:val="002A0305"/>
    <w:rsid w:val="002A0CD0"/>
    <w:rsid w:val="002A0E05"/>
    <w:rsid w:val="002A144E"/>
    <w:rsid w:val="002A2ADE"/>
    <w:rsid w:val="002A2FBF"/>
    <w:rsid w:val="002A454E"/>
    <w:rsid w:val="002A46E0"/>
    <w:rsid w:val="002A4B57"/>
    <w:rsid w:val="002A6084"/>
    <w:rsid w:val="002A641E"/>
    <w:rsid w:val="002A716F"/>
    <w:rsid w:val="002B092E"/>
    <w:rsid w:val="002B0952"/>
    <w:rsid w:val="002B130B"/>
    <w:rsid w:val="002B1899"/>
    <w:rsid w:val="002B2170"/>
    <w:rsid w:val="002B2192"/>
    <w:rsid w:val="002B250E"/>
    <w:rsid w:val="002B4226"/>
    <w:rsid w:val="002B42B7"/>
    <w:rsid w:val="002B53AB"/>
    <w:rsid w:val="002B62D8"/>
    <w:rsid w:val="002B6900"/>
    <w:rsid w:val="002B6BF5"/>
    <w:rsid w:val="002B7E26"/>
    <w:rsid w:val="002C218D"/>
    <w:rsid w:val="002C2195"/>
    <w:rsid w:val="002C2326"/>
    <w:rsid w:val="002C29FE"/>
    <w:rsid w:val="002C3211"/>
    <w:rsid w:val="002C3A7B"/>
    <w:rsid w:val="002C4AEF"/>
    <w:rsid w:val="002C50DB"/>
    <w:rsid w:val="002C64E3"/>
    <w:rsid w:val="002C706F"/>
    <w:rsid w:val="002C754B"/>
    <w:rsid w:val="002D04FA"/>
    <w:rsid w:val="002D1B11"/>
    <w:rsid w:val="002D270E"/>
    <w:rsid w:val="002D2895"/>
    <w:rsid w:val="002D2AA9"/>
    <w:rsid w:val="002D2EA5"/>
    <w:rsid w:val="002D2F5B"/>
    <w:rsid w:val="002D41E1"/>
    <w:rsid w:val="002D4277"/>
    <w:rsid w:val="002D42A1"/>
    <w:rsid w:val="002D4453"/>
    <w:rsid w:val="002D4C05"/>
    <w:rsid w:val="002D55B0"/>
    <w:rsid w:val="002D564B"/>
    <w:rsid w:val="002D568C"/>
    <w:rsid w:val="002D572B"/>
    <w:rsid w:val="002D58DE"/>
    <w:rsid w:val="002D6034"/>
    <w:rsid w:val="002D6C46"/>
    <w:rsid w:val="002D7238"/>
    <w:rsid w:val="002D75FF"/>
    <w:rsid w:val="002D7857"/>
    <w:rsid w:val="002D7BC5"/>
    <w:rsid w:val="002D7EAB"/>
    <w:rsid w:val="002E00EE"/>
    <w:rsid w:val="002E0481"/>
    <w:rsid w:val="002E04A7"/>
    <w:rsid w:val="002E0FF7"/>
    <w:rsid w:val="002E10F5"/>
    <w:rsid w:val="002E12B7"/>
    <w:rsid w:val="002E146C"/>
    <w:rsid w:val="002E15A9"/>
    <w:rsid w:val="002E1A28"/>
    <w:rsid w:val="002E2092"/>
    <w:rsid w:val="002E20F8"/>
    <w:rsid w:val="002E275A"/>
    <w:rsid w:val="002E2F3D"/>
    <w:rsid w:val="002E3B69"/>
    <w:rsid w:val="002E49B0"/>
    <w:rsid w:val="002E49CD"/>
    <w:rsid w:val="002E4E0C"/>
    <w:rsid w:val="002E51DD"/>
    <w:rsid w:val="002E6A32"/>
    <w:rsid w:val="002E7017"/>
    <w:rsid w:val="002E77DC"/>
    <w:rsid w:val="002F0723"/>
    <w:rsid w:val="002F0FE5"/>
    <w:rsid w:val="002F11D4"/>
    <w:rsid w:val="002F139C"/>
    <w:rsid w:val="002F15EE"/>
    <w:rsid w:val="002F1C72"/>
    <w:rsid w:val="002F23A6"/>
    <w:rsid w:val="002F256C"/>
    <w:rsid w:val="002F406E"/>
    <w:rsid w:val="002F4552"/>
    <w:rsid w:val="002F455C"/>
    <w:rsid w:val="002F4859"/>
    <w:rsid w:val="002F49DA"/>
    <w:rsid w:val="002F4F41"/>
    <w:rsid w:val="002F55A9"/>
    <w:rsid w:val="002F5C45"/>
    <w:rsid w:val="002F5C6C"/>
    <w:rsid w:val="002F5D94"/>
    <w:rsid w:val="002F6188"/>
    <w:rsid w:val="002F702A"/>
    <w:rsid w:val="002F719F"/>
    <w:rsid w:val="002F793C"/>
    <w:rsid w:val="002F7948"/>
    <w:rsid w:val="003003CC"/>
    <w:rsid w:val="003011BE"/>
    <w:rsid w:val="00301467"/>
    <w:rsid w:val="00303B39"/>
    <w:rsid w:val="003044F0"/>
    <w:rsid w:val="00305EE0"/>
    <w:rsid w:val="0030738B"/>
    <w:rsid w:val="0030794B"/>
    <w:rsid w:val="00307C9E"/>
    <w:rsid w:val="00307E59"/>
    <w:rsid w:val="00307FA8"/>
    <w:rsid w:val="003106F4"/>
    <w:rsid w:val="0031155A"/>
    <w:rsid w:val="00311A21"/>
    <w:rsid w:val="00311A2E"/>
    <w:rsid w:val="00312108"/>
    <w:rsid w:val="00312188"/>
    <w:rsid w:val="00313A48"/>
    <w:rsid w:val="00314090"/>
    <w:rsid w:val="00314135"/>
    <w:rsid w:val="003144D8"/>
    <w:rsid w:val="00314849"/>
    <w:rsid w:val="00314B62"/>
    <w:rsid w:val="00315100"/>
    <w:rsid w:val="003158A2"/>
    <w:rsid w:val="00315EA1"/>
    <w:rsid w:val="003164A9"/>
    <w:rsid w:val="00316843"/>
    <w:rsid w:val="00316925"/>
    <w:rsid w:val="00316C2D"/>
    <w:rsid w:val="003171B2"/>
    <w:rsid w:val="00317267"/>
    <w:rsid w:val="00317583"/>
    <w:rsid w:val="00317E44"/>
    <w:rsid w:val="00320DA3"/>
    <w:rsid w:val="003221C4"/>
    <w:rsid w:val="0032291E"/>
    <w:rsid w:val="00322AAF"/>
    <w:rsid w:val="00323089"/>
    <w:rsid w:val="00323DA1"/>
    <w:rsid w:val="003246D5"/>
    <w:rsid w:val="003247E6"/>
    <w:rsid w:val="00324948"/>
    <w:rsid w:val="00324E5C"/>
    <w:rsid w:val="00324FF9"/>
    <w:rsid w:val="00325366"/>
    <w:rsid w:val="003253F1"/>
    <w:rsid w:val="0032565B"/>
    <w:rsid w:val="00326100"/>
    <w:rsid w:val="00326FB5"/>
    <w:rsid w:val="0032701F"/>
    <w:rsid w:val="00327FD1"/>
    <w:rsid w:val="003301DE"/>
    <w:rsid w:val="003315CF"/>
    <w:rsid w:val="003323CA"/>
    <w:rsid w:val="0033349E"/>
    <w:rsid w:val="00334162"/>
    <w:rsid w:val="003344A5"/>
    <w:rsid w:val="003345A9"/>
    <w:rsid w:val="00334851"/>
    <w:rsid w:val="00337CA6"/>
    <w:rsid w:val="00340F3C"/>
    <w:rsid w:val="00341082"/>
    <w:rsid w:val="00341C00"/>
    <w:rsid w:val="00341FBE"/>
    <w:rsid w:val="0034212C"/>
    <w:rsid w:val="00342892"/>
    <w:rsid w:val="0034490A"/>
    <w:rsid w:val="0034586E"/>
    <w:rsid w:val="00346A9F"/>
    <w:rsid w:val="00346F04"/>
    <w:rsid w:val="00347672"/>
    <w:rsid w:val="00350092"/>
    <w:rsid w:val="003503A4"/>
    <w:rsid w:val="00351A87"/>
    <w:rsid w:val="00351C58"/>
    <w:rsid w:val="00351EF7"/>
    <w:rsid w:val="0035216E"/>
    <w:rsid w:val="00352322"/>
    <w:rsid w:val="003537CF"/>
    <w:rsid w:val="003537F4"/>
    <w:rsid w:val="003549CE"/>
    <w:rsid w:val="003550E7"/>
    <w:rsid w:val="003552E7"/>
    <w:rsid w:val="003553FD"/>
    <w:rsid w:val="0035612F"/>
    <w:rsid w:val="003562AA"/>
    <w:rsid w:val="00356872"/>
    <w:rsid w:val="00357C97"/>
    <w:rsid w:val="00360311"/>
    <w:rsid w:val="00360D08"/>
    <w:rsid w:val="003613AC"/>
    <w:rsid w:val="00361CFE"/>
    <w:rsid w:val="00361DF7"/>
    <w:rsid w:val="00361E69"/>
    <w:rsid w:val="00362190"/>
    <w:rsid w:val="003621E8"/>
    <w:rsid w:val="00362718"/>
    <w:rsid w:val="00362E5D"/>
    <w:rsid w:val="00364142"/>
    <w:rsid w:val="003663A8"/>
    <w:rsid w:val="00366AC0"/>
    <w:rsid w:val="00366C1C"/>
    <w:rsid w:val="00367458"/>
    <w:rsid w:val="00367C6C"/>
    <w:rsid w:val="00370313"/>
    <w:rsid w:val="003703FE"/>
    <w:rsid w:val="0037098A"/>
    <w:rsid w:val="00371607"/>
    <w:rsid w:val="00371843"/>
    <w:rsid w:val="003726EE"/>
    <w:rsid w:val="00372706"/>
    <w:rsid w:val="00373A4B"/>
    <w:rsid w:val="00373F28"/>
    <w:rsid w:val="00374AE6"/>
    <w:rsid w:val="003759CD"/>
    <w:rsid w:val="00377248"/>
    <w:rsid w:val="0037732A"/>
    <w:rsid w:val="00377387"/>
    <w:rsid w:val="00377DA9"/>
    <w:rsid w:val="00380082"/>
    <w:rsid w:val="003823CE"/>
    <w:rsid w:val="003824C6"/>
    <w:rsid w:val="0038279F"/>
    <w:rsid w:val="00383279"/>
    <w:rsid w:val="00383813"/>
    <w:rsid w:val="00383BF4"/>
    <w:rsid w:val="00383E7A"/>
    <w:rsid w:val="00384C71"/>
    <w:rsid w:val="00385CC3"/>
    <w:rsid w:val="00385FC9"/>
    <w:rsid w:val="00385FDC"/>
    <w:rsid w:val="00386151"/>
    <w:rsid w:val="003865AD"/>
    <w:rsid w:val="003871BA"/>
    <w:rsid w:val="00387E4E"/>
    <w:rsid w:val="0039038B"/>
    <w:rsid w:val="003904EB"/>
    <w:rsid w:val="0039058F"/>
    <w:rsid w:val="00390A6A"/>
    <w:rsid w:val="003911D0"/>
    <w:rsid w:val="0039230B"/>
    <w:rsid w:val="003924A9"/>
    <w:rsid w:val="003935E0"/>
    <w:rsid w:val="00393E07"/>
    <w:rsid w:val="003948E1"/>
    <w:rsid w:val="00396DA7"/>
    <w:rsid w:val="003977F5"/>
    <w:rsid w:val="00397A71"/>
    <w:rsid w:val="003A0A60"/>
    <w:rsid w:val="003A0EBE"/>
    <w:rsid w:val="003A1759"/>
    <w:rsid w:val="003A2751"/>
    <w:rsid w:val="003A3657"/>
    <w:rsid w:val="003A4E94"/>
    <w:rsid w:val="003A4FB9"/>
    <w:rsid w:val="003A508D"/>
    <w:rsid w:val="003A54B3"/>
    <w:rsid w:val="003A592C"/>
    <w:rsid w:val="003A5E0E"/>
    <w:rsid w:val="003A6A47"/>
    <w:rsid w:val="003A6D47"/>
    <w:rsid w:val="003A6E77"/>
    <w:rsid w:val="003A715C"/>
    <w:rsid w:val="003A7A53"/>
    <w:rsid w:val="003A7CCC"/>
    <w:rsid w:val="003B02E8"/>
    <w:rsid w:val="003B086F"/>
    <w:rsid w:val="003B08E7"/>
    <w:rsid w:val="003B09F7"/>
    <w:rsid w:val="003B13F3"/>
    <w:rsid w:val="003B1458"/>
    <w:rsid w:val="003B1744"/>
    <w:rsid w:val="003B19B6"/>
    <w:rsid w:val="003B236A"/>
    <w:rsid w:val="003B2429"/>
    <w:rsid w:val="003B25DE"/>
    <w:rsid w:val="003B2AF1"/>
    <w:rsid w:val="003B2F42"/>
    <w:rsid w:val="003B334C"/>
    <w:rsid w:val="003B3DC6"/>
    <w:rsid w:val="003B4CE5"/>
    <w:rsid w:val="003B57B0"/>
    <w:rsid w:val="003B6D93"/>
    <w:rsid w:val="003B6FC7"/>
    <w:rsid w:val="003B730F"/>
    <w:rsid w:val="003B742E"/>
    <w:rsid w:val="003B7652"/>
    <w:rsid w:val="003B7BEC"/>
    <w:rsid w:val="003C0003"/>
    <w:rsid w:val="003C04EF"/>
    <w:rsid w:val="003C0797"/>
    <w:rsid w:val="003C0D7A"/>
    <w:rsid w:val="003C19F8"/>
    <w:rsid w:val="003C30D1"/>
    <w:rsid w:val="003C340A"/>
    <w:rsid w:val="003C3F42"/>
    <w:rsid w:val="003C4681"/>
    <w:rsid w:val="003C4696"/>
    <w:rsid w:val="003C4B1C"/>
    <w:rsid w:val="003C586B"/>
    <w:rsid w:val="003C59C3"/>
    <w:rsid w:val="003C5BFD"/>
    <w:rsid w:val="003C5F3E"/>
    <w:rsid w:val="003C7088"/>
    <w:rsid w:val="003C726B"/>
    <w:rsid w:val="003D07D6"/>
    <w:rsid w:val="003D15D9"/>
    <w:rsid w:val="003D1996"/>
    <w:rsid w:val="003D3279"/>
    <w:rsid w:val="003D3ED2"/>
    <w:rsid w:val="003D408B"/>
    <w:rsid w:val="003D41B8"/>
    <w:rsid w:val="003D5006"/>
    <w:rsid w:val="003D5306"/>
    <w:rsid w:val="003D5B4B"/>
    <w:rsid w:val="003D67F5"/>
    <w:rsid w:val="003D6912"/>
    <w:rsid w:val="003D6FEB"/>
    <w:rsid w:val="003D761F"/>
    <w:rsid w:val="003D7658"/>
    <w:rsid w:val="003E086E"/>
    <w:rsid w:val="003E089B"/>
    <w:rsid w:val="003E091D"/>
    <w:rsid w:val="003E10B4"/>
    <w:rsid w:val="003E20D3"/>
    <w:rsid w:val="003E21E9"/>
    <w:rsid w:val="003E30AC"/>
    <w:rsid w:val="003E3788"/>
    <w:rsid w:val="003E39EC"/>
    <w:rsid w:val="003E3A40"/>
    <w:rsid w:val="003E3F5B"/>
    <w:rsid w:val="003E4182"/>
    <w:rsid w:val="003E4A68"/>
    <w:rsid w:val="003E4A8D"/>
    <w:rsid w:val="003E53A0"/>
    <w:rsid w:val="003E58DB"/>
    <w:rsid w:val="003E5C17"/>
    <w:rsid w:val="003E5E85"/>
    <w:rsid w:val="003E6316"/>
    <w:rsid w:val="003E691F"/>
    <w:rsid w:val="003E6A79"/>
    <w:rsid w:val="003E6C11"/>
    <w:rsid w:val="003E6E78"/>
    <w:rsid w:val="003E7307"/>
    <w:rsid w:val="003E7C6C"/>
    <w:rsid w:val="003E7D21"/>
    <w:rsid w:val="003F04FD"/>
    <w:rsid w:val="003F0945"/>
    <w:rsid w:val="003F0B91"/>
    <w:rsid w:val="003F0E6D"/>
    <w:rsid w:val="003F160F"/>
    <w:rsid w:val="003F1DA1"/>
    <w:rsid w:val="003F28DC"/>
    <w:rsid w:val="003F29E1"/>
    <w:rsid w:val="003F3C6F"/>
    <w:rsid w:val="003F3E49"/>
    <w:rsid w:val="003F438D"/>
    <w:rsid w:val="003F587E"/>
    <w:rsid w:val="003F594A"/>
    <w:rsid w:val="003F7B02"/>
    <w:rsid w:val="003F7D97"/>
    <w:rsid w:val="00400433"/>
    <w:rsid w:val="00400853"/>
    <w:rsid w:val="00400952"/>
    <w:rsid w:val="00400CD6"/>
    <w:rsid w:val="004014E7"/>
    <w:rsid w:val="00401C9E"/>
    <w:rsid w:val="00401EC7"/>
    <w:rsid w:val="00403570"/>
    <w:rsid w:val="00404D44"/>
    <w:rsid w:val="00404DB6"/>
    <w:rsid w:val="00404E9C"/>
    <w:rsid w:val="00404F18"/>
    <w:rsid w:val="004057F9"/>
    <w:rsid w:val="00405973"/>
    <w:rsid w:val="00405AAE"/>
    <w:rsid w:val="00405B4B"/>
    <w:rsid w:val="00406442"/>
    <w:rsid w:val="004069A4"/>
    <w:rsid w:val="00406A42"/>
    <w:rsid w:val="00407204"/>
    <w:rsid w:val="00407AE4"/>
    <w:rsid w:val="00407E62"/>
    <w:rsid w:val="0041007F"/>
    <w:rsid w:val="00410C7D"/>
    <w:rsid w:val="00411156"/>
    <w:rsid w:val="00411794"/>
    <w:rsid w:val="00411857"/>
    <w:rsid w:val="00411FEC"/>
    <w:rsid w:val="00412CB7"/>
    <w:rsid w:val="00412EB3"/>
    <w:rsid w:val="00414378"/>
    <w:rsid w:val="004148CF"/>
    <w:rsid w:val="00414AC7"/>
    <w:rsid w:val="0041501A"/>
    <w:rsid w:val="00415340"/>
    <w:rsid w:val="004165AC"/>
    <w:rsid w:val="004176B4"/>
    <w:rsid w:val="00417B63"/>
    <w:rsid w:val="00417CCA"/>
    <w:rsid w:val="00420A2D"/>
    <w:rsid w:val="00421119"/>
    <w:rsid w:val="0042154F"/>
    <w:rsid w:val="00421FA9"/>
    <w:rsid w:val="00422A80"/>
    <w:rsid w:val="0042315D"/>
    <w:rsid w:val="004234DF"/>
    <w:rsid w:val="00423B23"/>
    <w:rsid w:val="00423B81"/>
    <w:rsid w:val="00423BF2"/>
    <w:rsid w:val="004247C4"/>
    <w:rsid w:val="00424CBC"/>
    <w:rsid w:val="00424F7E"/>
    <w:rsid w:val="004250B4"/>
    <w:rsid w:val="00425253"/>
    <w:rsid w:val="00425727"/>
    <w:rsid w:val="004259D1"/>
    <w:rsid w:val="00425B67"/>
    <w:rsid w:val="00426AD5"/>
    <w:rsid w:val="00426B5A"/>
    <w:rsid w:val="0042768D"/>
    <w:rsid w:val="004276F5"/>
    <w:rsid w:val="0042781E"/>
    <w:rsid w:val="004278BD"/>
    <w:rsid w:val="004300E2"/>
    <w:rsid w:val="00431446"/>
    <w:rsid w:val="00432E82"/>
    <w:rsid w:val="00433610"/>
    <w:rsid w:val="0043379B"/>
    <w:rsid w:val="0043396D"/>
    <w:rsid w:val="004340FA"/>
    <w:rsid w:val="00434851"/>
    <w:rsid w:val="004355E0"/>
    <w:rsid w:val="00435840"/>
    <w:rsid w:val="00435AF4"/>
    <w:rsid w:val="0043640E"/>
    <w:rsid w:val="0043668D"/>
    <w:rsid w:val="00436E88"/>
    <w:rsid w:val="00437059"/>
    <w:rsid w:val="004370E1"/>
    <w:rsid w:val="00437863"/>
    <w:rsid w:val="00437C27"/>
    <w:rsid w:val="0044026C"/>
    <w:rsid w:val="00440AA7"/>
    <w:rsid w:val="00440D2A"/>
    <w:rsid w:val="004417DD"/>
    <w:rsid w:val="00441DD7"/>
    <w:rsid w:val="00442C30"/>
    <w:rsid w:val="00442F61"/>
    <w:rsid w:val="0044416C"/>
    <w:rsid w:val="0044529E"/>
    <w:rsid w:val="0044683F"/>
    <w:rsid w:val="00446AF7"/>
    <w:rsid w:val="00447360"/>
    <w:rsid w:val="00447729"/>
    <w:rsid w:val="004506AE"/>
    <w:rsid w:val="004509D7"/>
    <w:rsid w:val="0045113C"/>
    <w:rsid w:val="004513E0"/>
    <w:rsid w:val="004538F4"/>
    <w:rsid w:val="00453AB1"/>
    <w:rsid w:val="00454746"/>
    <w:rsid w:val="00455091"/>
    <w:rsid w:val="0045547E"/>
    <w:rsid w:val="00455CA7"/>
    <w:rsid w:val="00455CC4"/>
    <w:rsid w:val="00457BB2"/>
    <w:rsid w:val="0046112B"/>
    <w:rsid w:val="00461420"/>
    <w:rsid w:val="00462F5D"/>
    <w:rsid w:val="00463EE1"/>
    <w:rsid w:val="0046419F"/>
    <w:rsid w:val="00464253"/>
    <w:rsid w:val="00464357"/>
    <w:rsid w:val="00464521"/>
    <w:rsid w:val="00465191"/>
    <w:rsid w:val="00466D7E"/>
    <w:rsid w:val="004675F9"/>
    <w:rsid w:val="0047039A"/>
    <w:rsid w:val="004705F9"/>
    <w:rsid w:val="00472509"/>
    <w:rsid w:val="00472D54"/>
    <w:rsid w:val="00473278"/>
    <w:rsid w:val="0047354E"/>
    <w:rsid w:val="00474613"/>
    <w:rsid w:val="00475005"/>
    <w:rsid w:val="0047550D"/>
    <w:rsid w:val="00475974"/>
    <w:rsid w:val="00475CEE"/>
    <w:rsid w:val="00475E2C"/>
    <w:rsid w:val="00475E30"/>
    <w:rsid w:val="004776A4"/>
    <w:rsid w:val="0047794C"/>
    <w:rsid w:val="00477C58"/>
    <w:rsid w:val="00477E47"/>
    <w:rsid w:val="00481240"/>
    <w:rsid w:val="0048165A"/>
    <w:rsid w:val="004819FE"/>
    <w:rsid w:val="004821B5"/>
    <w:rsid w:val="004821FF"/>
    <w:rsid w:val="0048227B"/>
    <w:rsid w:val="00482887"/>
    <w:rsid w:val="00482AAD"/>
    <w:rsid w:val="00483722"/>
    <w:rsid w:val="00483EAF"/>
    <w:rsid w:val="004840E9"/>
    <w:rsid w:val="004846B2"/>
    <w:rsid w:val="0048473B"/>
    <w:rsid w:val="00485CCC"/>
    <w:rsid w:val="004872E4"/>
    <w:rsid w:val="004873AE"/>
    <w:rsid w:val="00487EE8"/>
    <w:rsid w:val="00490099"/>
    <w:rsid w:val="00491056"/>
    <w:rsid w:val="00491435"/>
    <w:rsid w:val="00491566"/>
    <w:rsid w:val="00491621"/>
    <w:rsid w:val="004918AA"/>
    <w:rsid w:val="004929D0"/>
    <w:rsid w:val="00493300"/>
    <w:rsid w:val="00493D49"/>
    <w:rsid w:val="0049516B"/>
    <w:rsid w:val="00495CF2"/>
    <w:rsid w:val="00495FE3"/>
    <w:rsid w:val="004962A8"/>
    <w:rsid w:val="00496353"/>
    <w:rsid w:val="00496799"/>
    <w:rsid w:val="004A0421"/>
    <w:rsid w:val="004A04E8"/>
    <w:rsid w:val="004A084A"/>
    <w:rsid w:val="004A193B"/>
    <w:rsid w:val="004A1C1E"/>
    <w:rsid w:val="004A1FF0"/>
    <w:rsid w:val="004A2896"/>
    <w:rsid w:val="004A28EF"/>
    <w:rsid w:val="004A3EBA"/>
    <w:rsid w:val="004A4ADF"/>
    <w:rsid w:val="004A551E"/>
    <w:rsid w:val="004A5562"/>
    <w:rsid w:val="004A5B3B"/>
    <w:rsid w:val="004A5C9D"/>
    <w:rsid w:val="004A5DDA"/>
    <w:rsid w:val="004A5EB5"/>
    <w:rsid w:val="004A687C"/>
    <w:rsid w:val="004A7141"/>
    <w:rsid w:val="004A7BDE"/>
    <w:rsid w:val="004B103B"/>
    <w:rsid w:val="004B209D"/>
    <w:rsid w:val="004B2225"/>
    <w:rsid w:val="004B2385"/>
    <w:rsid w:val="004B2C18"/>
    <w:rsid w:val="004B3159"/>
    <w:rsid w:val="004B3667"/>
    <w:rsid w:val="004B3784"/>
    <w:rsid w:val="004B391C"/>
    <w:rsid w:val="004B4034"/>
    <w:rsid w:val="004B43A8"/>
    <w:rsid w:val="004B5A0A"/>
    <w:rsid w:val="004B5DC8"/>
    <w:rsid w:val="004B6192"/>
    <w:rsid w:val="004B6268"/>
    <w:rsid w:val="004B7797"/>
    <w:rsid w:val="004B7B04"/>
    <w:rsid w:val="004B7BC4"/>
    <w:rsid w:val="004C0356"/>
    <w:rsid w:val="004C1A96"/>
    <w:rsid w:val="004C2AD7"/>
    <w:rsid w:val="004C3AB6"/>
    <w:rsid w:val="004C3D4D"/>
    <w:rsid w:val="004C4F1C"/>
    <w:rsid w:val="004C5439"/>
    <w:rsid w:val="004C5FAF"/>
    <w:rsid w:val="004C60E1"/>
    <w:rsid w:val="004C7832"/>
    <w:rsid w:val="004C7E10"/>
    <w:rsid w:val="004D0648"/>
    <w:rsid w:val="004D17D5"/>
    <w:rsid w:val="004D1E01"/>
    <w:rsid w:val="004D1EA1"/>
    <w:rsid w:val="004D24F5"/>
    <w:rsid w:val="004D3B93"/>
    <w:rsid w:val="004D4825"/>
    <w:rsid w:val="004D4AB0"/>
    <w:rsid w:val="004D4E15"/>
    <w:rsid w:val="004D5751"/>
    <w:rsid w:val="004D6193"/>
    <w:rsid w:val="004D6840"/>
    <w:rsid w:val="004D7F7D"/>
    <w:rsid w:val="004D7FD5"/>
    <w:rsid w:val="004E054F"/>
    <w:rsid w:val="004E060C"/>
    <w:rsid w:val="004E0D2E"/>
    <w:rsid w:val="004E257F"/>
    <w:rsid w:val="004E2D7E"/>
    <w:rsid w:val="004E391C"/>
    <w:rsid w:val="004E3C91"/>
    <w:rsid w:val="004E4881"/>
    <w:rsid w:val="004E4B1A"/>
    <w:rsid w:val="004E50F3"/>
    <w:rsid w:val="004E5352"/>
    <w:rsid w:val="004E65E3"/>
    <w:rsid w:val="004E6623"/>
    <w:rsid w:val="004E6711"/>
    <w:rsid w:val="004E683A"/>
    <w:rsid w:val="004E6897"/>
    <w:rsid w:val="004E6B07"/>
    <w:rsid w:val="004E75DA"/>
    <w:rsid w:val="004E770C"/>
    <w:rsid w:val="004E7ED7"/>
    <w:rsid w:val="004F025A"/>
    <w:rsid w:val="004F039F"/>
    <w:rsid w:val="004F0CEC"/>
    <w:rsid w:val="004F1592"/>
    <w:rsid w:val="004F1D99"/>
    <w:rsid w:val="004F1DA1"/>
    <w:rsid w:val="004F285F"/>
    <w:rsid w:val="004F28FB"/>
    <w:rsid w:val="004F2F00"/>
    <w:rsid w:val="004F2FA9"/>
    <w:rsid w:val="004F34EE"/>
    <w:rsid w:val="004F4059"/>
    <w:rsid w:val="004F570C"/>
    <w:rsid w:val="004F58A1"/>
    <w:rsid w:val="004F6B1E"/>
    <w:rsid w:val="004F701C"/>
    <w:rsid w:val="004F7153"/>
    <w:rsid w:val="004F73B7"/>
    <w:rsid w:val="004F75CE"/>
    <w:rsid w:val="004F77B3"/>
    <w:rsid w:val="004F7FD7"/>
    <w:rsid w:val="004F7FDA"/>
    <w:rsid w:val="005003FF"/>
    <w:rsid w:val="00501573"/>
    <w:rsid w:val="00501FB2"/>
    <w:rsid w:val="0050274A"/>
    <w:rsid w:val="00502F73"/>
    <w:rsid w:val="00503978"/>
    <w:rsid w:val="00503F57"/>
    <w:rsid w:val="00504559"/>
    <w:rsid w:val="005051B9"/>
    <w:rsid w:val="005054EB"/>
    <w:rsid w:val="005058C6"/>
    <w:rsid w:val="00505ACB"/>
    <w:rsid w:val="0050633E"/>
    <w:rsid w:val="00510983"/>
    <w:rsid w:val="005111BC"/>
    <w:rsid w:val="005135EC"/>
    <w:rsid w:val="00514EA8"/>
    <w:rsid w:val="00515535"/>
    <w:rsid w:val="005156F7"/>
    <w:rsid w:val="00515985"/>
    <w:rsid w:val="00515ACF"/>
    <w:rsid w:val="00516033"/>
    <w:rsid w:val="005162F3"/>
    <w:rsid w:val="005163A4"/>
    <w:rsid w:val="0051656A"/>
    <w:rsid w:val="00516B97"/>
    <w:rsid w:val="00516E07"/>
    <w:rsid w:val="00517396"/>
    <w:rsid w:val="0051765B"/>
    <w:rsid w:val="0052039C"/>
    <w:rsid w:val="005209DB"/>
    <w:rsid w:val="005213DD"/>
    <w:rsid w:val="00521D10"/>
    <w:rsid w:val="0052289C"/>
    <w:rsid w:val="00522ACA"/>
    <w:rsid w:val="005239B0"/>
    <w:rsid w:val="00523D67"/>
    <w:rsid w:val="0052519D"/>
    <w:rsid w:val="005269A8"/>
    <w:rsid w:val="00530892"/>
    <w:rsid w:val="00530F80"/>
    <w:rsid w:val="005318CA"/>
    <w:rsid w:val="00531E01"/>
    <w:rsid w:val="005322E0"/>
    <w:rsid w:val="005341FF"/>
    <w:rsid w:val="0053558B"/>
    <w:rsid w:val="00535A29"/>
    <w:rsid w:val="005364F2"/>
    <w:rsid w:val="00536C54"/>
    <w:rsid w:val="00537E5F"/>
    <w:rsid w:val="00537FE9"/>
    <w:rsid w:val="00542E5D"/>
    <w:rsid w:val="00543252"/>
    <w:rsid w:val="005439DD"/>
    <w:rsid w:val="00543AD5"/>
    <w:rsid w:val="00544CFF"/>
    <w:rsid w:val="005450B7"/>
    <w:rsid w:val="005456D6"/>
    <w:rsid w:val="005460FF"/>
    <w:rsid w:val="00546D03"/>
    <w:rsid w:val="00546FA4"/>
    <w:rsid w:val="00547860"/>
    <w:rsid w:val="00547974"/>
    <w:rsid w:val="005479CC"/>
    <w:rsid w:val="00550141"/>
    <w:rsid w:val="005504D7"/>
    <w:rsid w:val="0055173F"/>
    <w:rsid w:val="005518BA"/>
    <w:rsid w:val="005518DB"/>
    <w:rsid w:val="00552B04"/>
    <w:rsid w:val="00552DB9"/>
    <w:rsid w:val="005544A7"/>
    <w:rsid w:val="005546E5"/>
    <w:rsid w:val="00555A9F"/>
    <w:rsid w:val="00556066"/>
    <w:rsid w:val="00556F52"/>
    <w:rsid w:val="005572F2"/>
    <w:rsid w:val="00560DF3"/>
    <w:rsid w:val="005611DD"/>
    <w:rsid w:val="00561715"/>
    <w:rsid w:val="00561DF8"/>
    <w:rsid w:val="00562FCA"/>
    <w:rsid w:val="00564E29"/>
    <w:rsid w:val="00565AD4"/>
    <w:rsid w:val="005670E5"/>
    <w:rsid w:val="0056736B"/>
    <w:rsid w:val="00567B75"/>
    <w:rsid w:val="00567F80"/>
    <w:rsid w:val="00570021"/>
    <w:rsid w:val="005701B7"/>
    <w:rsid w:val="005701DC"/>
    <w:rsid w:val="005702CA"/>
    <w:rsid w:val="00570D78"/>
    <w:rsid w:val="00572904"/>
    <w:rsid w:val="00574A2F"/>
    <w:rsid w:val="00574B71"/>
    <w:rsid w:val="00575139"/>
    <w:rsid w:val="00575BC5"/>
    <w:rsid w:val="00575EA2"/>
    <w:rsid w:val="00576823"/>
    <w:rsid w:val="00576A5B"/>
    <w:rsid w:val="00576F37"/>
    <w:rsid w:val="005771A2"/>
    <w:rsid w:val="0057722B"/>
    <w:rsid w:val="005779B7"/>
    <w:rsid w:val="00577E50"/>
    <w:rsid w:val="00580036"/>
    <w:rsid w:val="00580774"/>
    <w:rsid w:val="00580D86"/>
    <w:rsid w:val="00580D89"/>
    <w:rsid w:val="005813B5"/>
    <w:rsid w:val="0058190C"/>
    <w:rsid w:val="00582329"/>
    <w:rsid w:val="00582C1D"/>
    <w:rsid w:val="005830D1"/>
    <w:rsid w:val="00583325"/>
    <w:rsid w:val="0058349A"/>
    <w:rsid w:val="005834C6"/>
    <w:rsid w:val="00584A68"/>
    <w:rsid w:val="00585D42"/>
    <w:rsid w:val="00586413"/>
    <w:rsid w:val="00586954"/>
    <w:rsid w:val="00587608"/>
    <w:rsid w:val="00587D17"/>
    <w:rsid w:val="00587EC6"/>
    <w:rsid w:val="00590011"/>
    <w:rsid w:val="00590520"/>
    <w:rsid w:val="00590B67"/>
    <w:rsid w:val="00591B6F"/>
    <w:rsid w:val="00591F14"/>
    <w:rsid w:val="00593418"/>
    <w:rsid w:val="005936D8"/>
    <w:rsid w:val="005937C2"/>
    <w:rsid w:val="00594140"/>
    <w:rsid w:val="00594160"/>
    <w:rsid w:val="00594956"/>
    <w:rsid w:val="005957D5"/>
    <w:rsid w:val="005959C4"/>
    <w:rsid w:val="005968B5"/>
    <w:rsid w:val="005971A2"/>
    <w:rsid w:val="005977AC"/>
    <w:rsid w:val="005A0C9F"/>
    <w:rsid w:val="005A1045"/>
    <w:rsid w:val="005A14DF"/>
    <w:rsid w:val="005A1545"/>
    <w:rsid w:val="005A163E"/>
    <w:rsid w:val="005A3659"/>
    <w:rsid w:val="005A3FD3"/>
    <w:rsid w:val="005A4F54"/>
    <w:rsid w:val="005A68DB"/>
    <w:rsid w:val="005A7A28"/>
    <w:rsid w:val="005B0050"/>
    <w:rsid w:val="005B053C"/>
    <w:rsid w:val="005B1DC6"/>
    <w:rsid w:val="005B2EA8"/>
    <w:rsid w:val="005B2FA4"/>
    <w:rsid w:val="005B35A7"/>
    <w:rsid w:val="005B36DD"/>
    <w:rsid w:val="005B378F"/>
    <w:rsid w:val="005B3BF0"/>
    <w:rsid w:val="005B4541"/>
    <w:rsid w:val="005B47B5"/>
    <w:rsid w:val="005B4C00"/>
    <w:rsid w:val="005B5AB0"/>
    <w:rsid w:val="005B5D4A"/>
    <w:rsid w:val="005B5E33"/>
    <w:rsid w:val="005B69D6"/>
    <w:rsid w:val="005B6CB2"/>
    <w:rsid w:val="005B702F"/>
    <w:rsid w:val="005B713F"/>
    <w:rsid w:val="005B752E"/>
    <w:rsid w:val="005B7D31"/>
    <w:rsid w:val="005C1645"/>
    <w:rsid w:val="005C18C2"/>
    <w:rsid w:val="005C1EED"/>
    <w:rsid w:val="005C1F88"/>
    <w:rsid w:val="005C2BF1"/>
    <w:rsid w:val="005C41F4"/>
    <w:rsid w:val="005C56B7"/>
    <w:rsid w:val="005C579B"/>
    <w:rsid w:val="005C57B9"/>
    <w:rsid w:val="005C57CF"/>
    <w:rsid w:val="005C5B28"/>
    <w:rsid w:val="005C5FA0"/>
    <w:rsid w:val="005C5FFF"/>
    <w:rsid w:val="005C6842"/>
    <w:rsid w:val="005C7BE3"/>
    <w:rsid w:val="005D04F4"/>
    <w:rsid w:val="005D0D14"/>
    <w:rsid w:val="005D0DB9"/>
    <w:rsid w:val="005D0E3F"/>
    <w:rsid w:val="005D113F"/>
    <w:rsid w:val="005D12B7"/>
    <w:rsid w:val="005D174B"/>
    <w:rsid w:val="005D2E74"/>
    <w:rsid w:val="005D2FBC"/>
    <w:rsid w:val="005D3512"/>
    <w:rsid w:val="005D36F1"/>
    <w:rsid w:val="005D3703"/>
    <w:rsid w:val="005D4116"/>
    <w:rsid w:val="005D4256"/>
    <w:rsid w:val="005D42C8"/>
    <w:rsid w:val="005D43AE"/>
    <w:rsid w:val="005D5780"/>
    <w:rsid w:val="005D57D0"/>
    <w:rsid w:val="005D5DF6"/>
    <w:rsid w:val="005D61C3"/>
    <w:rsid w:val="005D6213"/>
    <w:rsid w:val="005D6816"/>
    <w:rsid w:val="005D7B69"/>
    <w:rsid w:val="005E038B"/>
    <w:rsid w:val="005E14B5"/>
    <w:rsid w:val="005E2053"/>
    <w:rsid w:val="005E348A"/>
    <w:rsid w:val="005E400E"/>
    <w:rsid w:val="005E49EB"/>
    <w:rsid w:val="005E5939"/>
    <w:rsid w:val="005E5F28"/>
    <w:rsid w:val="005E626E"/>
    <w:rsid w:val="005E68D2"/>
    <w:rsid w:val="005E7702"/>
    <w:rsid w:val="005E796A"/>
    <w:rsid w:val="005F0B94"/>
    <w:rsid w:val="005F1054"/>
    <w:rsid w:val="005F14A7"/>
    <w:rsid w:val="005F1E95"/>
    <w:rsid w:val="005F206D"/>
    <w:rsid w:val="005F364D"/>
    <w:rsid w:val="005F3C16"/>
    <w:rsid w:val="005F42B9"/>
    <w:rsid w:val="005F44E2"/>
    <w:rsid w:val="005F4769"/>
    <w:rsid w:val="005F53C2"/>
    <w:rsid w:val="005F53EB"/>
    <w:rsid w:val="005F7B59"/>
    <w:rsid w:val="00600096"/>
    <w:rsid w:val="006000F3"/>
    <w:rsid w:val="0060082E"/>
    <w:rsid w:val="00600E15"/>
    <w:rsid w:val="00600E83"/>
    <w:rsid w:val="00601063"/>
    <w:rsid w:val="006014C2"/>
    <w:rsid w:val="00601AE9"/>
    <w:rsid w:val="00601C5F"/>
    <w:rsid w:val="00602759"/>
    <w:rsid w:val="00602939"/>
    <w:rsid w:val="0060298F"/>
    <w:rsid w:val="00602AF3"/>
    <w:rsid w:val="00603D33"/>
    <w:rsid w:val="0060404C"/>
    <w:rsid w:val="006046CB"/>
    <w:rsid w:val="0060661C"/>
    <w:rsid w:val="00606C07"/>
    <w:rsid w:val="00607C46"/>
    <w:rsid w:val="00610C29"/>
    <w:rsid w:val="006110CF"/>
    <w:rsid w:val="006111A7"/>
    <w:rsid w:val="006114F2"/>
    <w:rsid w:val="00611DD5"/>
    <w:rsid w:val="00613011"/>
    <w:rsid w:val="00613531"/>
    <w:rsid w:val="00613AA1"/>
    <w:rsid w:val="00613BCC"/>
    <w:rsid w:val="00614302"/>
    <w:rsid w:val="00614881"/>
    <w:rsid w:val="00615A6F"/>
    <w:rsid w:val="00615CB5"/>
    <w:rsid w:val="006162B9"/>
    <w:rsid w:val="0061659A"/>
    <w:rsid w:val="0061689E"/>
    <w:rsid w:val="00616A4E"/>
    <w:rsid w:val="006211D0"/>
    <w:rsid w:val="006213D8"/>
    <w:rsid w:val="00621716"/>
    <w:rsid w:val="00621AD8"/>
    <w:rsid w:val="0062210D"/>
    <w:rsid w:val="00622775"/>
    <w:rsid w:val="006239D2"/>
    <w:rsid w:val="00624658"/>
    <w:rsid w:val="006249AA"/>
    <w:rsid w:val="00624B5F"/>
    <w:rsid w:val="00624FA8"/>
    <w:rsid w:val="00626432"/>
    <w:rsid w:val="00626B10"/>
    <w:rsid w:val="00626BBD"/>
    <w:rsid w:val="00627BD8"/>
    <w:rsid w:val="00627ECB"/>
    <w:rsid w:val="00630D8C"/>
    <w:rsid w:val="0063170B"/>
    <w:rsid w:val="006318F7"/>
    <w:rsid w:val="006319FE"/>
    <w:rsid w:val="00632EA0"/>
    <w:rsid w:val="006335E3"/>
    <w:rsid w:val="00633CD8"/>
    <w:rsid w:val="00633D59"/>
    <w:rsid w:val="00634E7E"/>
    <w:rsid w:val="0063532F"/>
    <w:rsid w:val="0063561B"/>
    <w:rsid w:val="00636C5B"/>
    <w:rsid w:val="00636E9D"/>
    <w:rsid w:val="006374C4"/>
    <w:rsid w:val="00637636"/>
    <w:rsid w:val="00637C49"/>
    <w:rsid w:val="00640FAE"/>
    <w:rsid w:val="006410B3"/>
    <w:rsid w:val="006413DC"/>
    <w:rsid w:val="006417B5"/>
    <w:rsid w:val="006418EE"/>
    <w:rsid w:val="00641A56"/>
    <w:rsid w:val="00641DB9"/>
    <w:rsid w:val="00642978"/>
    <w:rsid w:val="006429C3"/>
    <w:rsid w:val="00643553"/>
    <w:rsid w:val="00643C9E"/>
    <w:rsid w:val="006443C1"/>
    <w:rsid w:val="00644FBD"/>
    <w:rsid w:val="00646C98"/>
    <w:rsid w:val="00646FD6"/>
    <w:rsid w:val="0064723C"/>
    <w:rsid w:val="00647B3A"/>
    <w:rsid w:val="00647BBE"/>
    <w:rsid w:val="0065018E"/>
    <w:rsid w:val="00650E48"/>
    <w:rsid w:val="006516FD"/>
    <w:rsid w:val="00652179"/>
    <w:rsid w:val="00652BCD"/>
    <w:rsid w:val="0065387B"/>
    <w:rsid w:val="00653884"/>
    <w:rsid w:val="006539C9"/>
    <w:rsid w:val="00653C9C"/>
    <w:rsid w:val="00654CFE"/>
    <w:rsid w:val="006551F2"/>
    <w:rsid w:val="006556FB"/>
    <w:rsid w:val="006569A0"/>
    <w:rsid w:val="00657237"/>
    <w:rsid w:val="006572C6"/>
    <w:rsid w:val="0066068F"/>
    <w:rsid w:val="00661B72"/>
    <w:rsid w:val="00662667"/>
    <w:rsid w:val="00662827"/>
    <w:rsid w:val="0066360F"/>
    <w:rsid w:val="006637B4"/>
    <w:rsid w:val="0066420A"/>
    <w:rsid w:val="00664530"/>
    <w:rsid w:val="006648F3"/>
    <w:rsid w:val="00664C0F"/>
    <w:rsid w:val="00665988"/>
    <w:rsid w:val="00665C21"/>
    <w:rsid w:val="00665E45"/>
    <w:rsid w:val="00666207"/>
    <w:rsid w:val="00666A07"/>
    <w:rsid w:val="006672F4"/>
    <w:rsid w:val="0066746D"/>
    <w:rsid w:val="0066761C"/>
    <w:rsid w:val="00671204"/>
    <w:rsid w:val="006712A8"/>
    <w:rsid w:val="00671453"/>
    <w:rsid w:val="0067153F"/>
    <w:rsid w:val="00671727"/>
    <w:rsid w:val="00671755"/>
    <w:rsid w:val="00671A3E"/>
    <w:rsid w:val="00671A6C"/>
    <w:rsid w:val="00672A61"/>
    <w:rsid w:val="00672D9D"/>
    <w:rsid w:val="006733D1"/>
    <w:rsid w:val="006739AA"/>
    <w:rsid w:val="00673AC5"/>
    <w:rsid w:val="00673B4B"/>
    <w:rsid w:val="00674401"/>
    <w:rsid w:val="00675BE0"/>
    <w:rsid w:val="00676633"/>
    <w:rsid w:val="006771DF"/>
    <w:rsid w:val="00677905"/>
    <w:rsid w:val="00677A26"/>
    <w:rsid w:val="00677F39"/>
    <w:rsid w:val="00680AFD"/>
    <w:rsid w:val="00680D13"/>
    <w:rsid w:val="00681834"/>
    <w:rsid w:val="00681F79"/>
    <w:rsid w:val="006820F8"/>
    <w:rsid w:val="00682AA0"/>
    <w:rsid w:val="0068332E"/>
    <w:rsid w:val="00684937"/>
    <w:rsid w:val="006849D5"/>
    <w:rsid w:val="00684D8A"/>
    <w:rsid w:val="00684DF0"/>
    <w:rsid w:val="006850D4"/>
    <w:rsid w:val="006851B4"/>
    <w:rsid w:val="0068530A"/>
    <w:rsid w:val="00685F6B"/>
    <w:rsid w:val="006863E1"/>
    <w:rsid w:val="00686DB6"/>
    <w:rsid w:val="00690B69"/>
    <w:rsid w:val="00690EA8"/>
    <w:rsid w:val="00691748"/>
    <w:rsid w:val="00691873"/>
    <w:rsid w:val="00692B56"/>
    <w:rsid w:val="0069328C"/>
    <w:rsid w:val="00693E2B"/>
    <w:rsid w:val="006945B8"/>
    <w:rsid w:val="00695BCA"/>
    <w:rsid w:val="006962FB"/>
    <w:rsid w:val="006A026D"/>
    <w:rsid w:val="006A0E91"/>
    <w:rsid w:val="006A1D78"/>
    <w:rsid w:val="006A1D9F"/>
    <w:rsid w:val="006A1E99"/>
    <w:rsid w:val="006A3F1B"/>
    <w:rsid w:val="006A493D"/>
    <w:rsid w:val="006A5C46"/>
    <w:rsid w:val="006A6A32"/>
    <w:rsid w:val="006A6D48"/>
    <w:rsid w:val="006A6E4F"/>
    <w:rsid w:val="006B0B6C"/>
    <w:rsid w:val="006B10D4"/>
    <w:rsid w:val="006B1A6F"/>
    <w:rsid w:val="006B1A70"/>
    <w:rsid w:val="006B1D19"/>
    <w:rsid w:val="006B37DD"/>
    <w:rsid w:val="006B3E69"/>
    <w:rsid w:val="006B3FEE"/>
    <w:rsid w:val="006B4D3D"/>
    <w:rsid w:val="006B4E27"/>
    <w:rsid w:val="006B5733"/>
    <w:rsid w:val="006B5DAC"/>
    <w:rsid w:val="006B5DC9"/>
    <w:rsid w:val="006B7BC4"/>
    <w:rsid w:val="006C0FBA"/>
    <w:rsid w:val="006C13DF"/>
    <w:rsid w:val="006C1965"/>
    <w:rsid w:val="006C27D5"/>
    <w:rsid w:val="006C4A3D"/>
    <w:rsid w:val="006C4DE4"/>
    <w:rsid w:val="006C50F2"/>
    <w:rsid w:val="006C55D8"/>
    <w:rsid w:val="006C59B4"/>
    <w:rsid w:val="006C746B"/>
    <w:rsid w:val="006D0147"/>
    <w:rsid w:val="006D0D66"/>
    <w:rsid w:val="006D0E5E"/>
    <w:rsid w:val="006D0EF2"/>
    <w:rsid w:val="006D3A79"/>
    <w:rsid w:val="006D3ACF"/>
    <w:rsid w:val="006D4151"/>
    <w:rsid w:val="006D46AF"/>
    <w:rsid w:val="006D46B6"/>
    <w:rsid w:val="006D57F8"/>
    <w:rsid w:val="006D703B"/>
    <w:rsid w:val="006D71AE"/>
    <w:rsid w:val="006E01BD"/>
    <w:rsid w:val="006E01F2"/>
    <w:rsid w:val="006E02BB"/>
    <w:rsid w:val="006E1B67"/>
    <w:rsid w:val="006E2C3F"/>
    <w:rsid w:val="006E2EA7"/>
    <w:rsid w:val="006E30B9"/>
    <w:rsid w:val="006E3270"/>
    <w:rsid w:val="006E354C"/>
    <w:rsid w:val="006E4012"/>
    <w:rsid w:val="006E43C6"/>
    <w:rsid w:val="006E51CB"/>
    <w:rsid w:val="006E57FD"/>
    <w:rsid w:val="006E5E6E"/>
    <w:rsid w:val="006E6AD8"/>
    <w:rsid w:val="006E76D0"/>
    <w:rsid w:val="006E76E8"/>
    <w:rsid w:val="006E7955"/>
    <w:rsid w:val="006E7AA2"/>
    <w:rsid w:val="006E7EA6"/>
    <w:rsid w:val="006F043A"/>
    <w:rsid w:val="006F054B"/>
    <w:rsid w:val="006F056C"/>
    <w:rsid w:val="006F0ACB"/>
    <w:rsid w:val="006F10F0"/>
    <w:rsid w:val="006F11D6"/>
    <w:rsid w:val="006F2AB6"/>
    <w:rsid w:val="006F31A6"/>
    <w:rsid w:val="006F36EA"/>
    <w:rsid w:val="006F3AD3"/>
    <w:rsid w:val="006F3BCF"/>
    <w:rsid w:val="006F3D51"/>
    <w:rsid w:val="006F588F"/>
    <w:rsid w:val="006F5C08"/>
    <w:rsid w:val="006F5E0A"/>
    <w:rsid w:val="006F767E"/>
    <w:rsid w:val="00700A77"/>
    <w:rsid w:val="00700FF1"/>
    <w:rsid w:val="007011CC"/>
    <w:rsid w:val="00702005"/>
    <w:rsid w:val="007020B6"/>
    <w:rsid w:val="0070249A"/>
    <w:rsid w:val="007026ED"/>
    <w:rsid w:val="00703138"/>
    <w:rsid w:val="007031BB"/>
    <w:rsid w:val="00705494"/>
    <w:rsid w:val="007055CA"/>
    <w:rsid w:val="0070587B"/>
    <w:rsid w:val="0070595D"/>
    <w:rsid w:val="00705B8E"/>
    <w:rsid w:val="0070656B"/>
    <w:rsid w:val="0070792C"/>
    <w:rsid w:val="00707AD4"/>
    <w:rsid w:val="00707B3D"/>
    <w:rsid w:val="00707D4A"/>
    <w:rsid w:val="00710950"/>
    <w:rsid w:val="0071166E"/>
    <w:rsid w:val="007118CE"/>
    <w:rsid w:val="00711D86"/>
    <w:rsid w:val="00712B33"/>
    <w:rsid w:val="0071419B"/>
    <w:rsid w:val="00716AB5"/>
    <w:rsid w:val="007179F9"/>
    <w:rsid w:val="0072048D"/>
    <w:rsid w:val="0072167F"/>
    <w:rsid w:val="007219DD"/>
    <w:rsid w:val="0072203F"/>
    <w:rsid w:val="00722521"/>
    <w:rsid w:val="00722630"/>
    <w:rsid w:val="007226C6"/>
    <w:rsid w:val="0072276D"/>
    <w:rsid w:val="00723B7A"/>
    <w:rsid w:val="00724916"/>
    <w:rsid w:val="0072578F"/>
    <w:rsid w:val="00725A74"/>
    <w:rsid w:val="00725DD3"/>
    <w:rsid w:val="00726FF0"/>
    <w:rsid w:val="007272C0"/>
    <w:rsid w:val="007277F0"/>
    <w:rsid w:val="00727B88"/>
    <w:rsid w:val="00727CBC"/>
    <w:rsid w:val="007305F0"/>
    <w:rsid w:val="00730B01"/>
    <w:rsid w:val="00730B68"/>
    <w:rsid w:val="00730B7A"/>
    <w:rsid w:val="0073143C"/>
    <w:rsid w:val="0073166C"/>
    <w:rsid w:val="0073223B"/>
    <w:rsid w:val="0073229E"/>
    <w:rsid w:val="00732416"/>
    <w:rsid w:val="00732633"/>
    <w:rsid w:val="007330F7"/>
    <w:rsid w:val="00733B37"/>
    <w:rsid w:val="00734103"/>
    <w:rsid w:val="007342B6"/>
    <w:rsid w:val="00734D91"/>
    <w:rsid w:val="00734EB2"/>
    <w:rsid w:val="00735575"/>
    <w:rsid w:val="00735789"/>
    <w:rsid w:val="0073580E"/>
    <w:rsid w:val="00735BA0"/>
    <w:rsid w:val="00736617"/>
    <w:rsid w:val="0073778D"/>
    <w:rsid w:val="007400D5"/>
    <w:rsid w:val="00740195"/>
    <w:rsid w:val="007417D1"/>
    <w:rsid w:val="007420AA"/>
    <w:rsid w:val="0074372B"/>
    <w:rsid w:val="00743988"/>
    <w:rsid w:val="0074408F"/>
    <w:rsid w:val="007448E6"/>
    <w:rsid w:val="00744E37"/>
    <w:rsid w:val="00745632"/>
    <w:rsid w:val="007459F9"/>
    <w:rsid w:val="007468BA"/>
    <w:rsid w:val="007469C4"/>
    <w:rsid w:val="007471C0"/>
    <w:rsid w:val="0074724E"/>
    <w:rsid w:val="00747D5C"/>
    <w:rsid w:val="0075021C"/>
    <w:rsid w:val="00751F23"/>
    <w:rsid w:val="00752125"/>
    <w:rsid w:val="00752574"/>
    <w:rsid w:val="007532D6"/>
    <w:rsid w:val="00753505"/>
    <w:rsid w:val="00753C48"/>
    <w:rsid w:val="00753F6A"/>
    <w:rsid w:val="00755B42"/>
    <w:rsid w:val="00755B81"/>
    <w:rsid w:val="007564EF"/>
    <w:rsid w:val="00756920"/>
    <w:rsid w:val="00756D27"/>
    <w:rsid w:val="007573D3"/>
    <w:rsid w:val="00757B51"/>
    <w:rsid w:val="007616AC"/>
    <w:rsid w:val="0076230F"/>
    <w:rsid w:val="00762CCC"/>
    <w:rsid w:val="0076338B"/>
    <w:rsid w:val="0076352D"/>
    <w:rsid w:val="007635DB"/>
    <w:rsid w:val="00763B08"/>
    <w:rsid w:val="00765046"/>
    <w:rsid w:val="00765436"/>
    <w:rsid w:val="00765C51"/>
    <w:rsid w:val="00765D9E"/>
    <w:rsid w:val="007661C4"/>
    <w:rsid w:val="00766377"/>
    <w:rsid w:val="007669CF"/>
    <w:rsid w:val="00766ABE"/>
    <w:rsid w:val="00766CF1"/>
    <w:rsid w:val="00767EB7"/>
    <w:rsid w:val="0077040B"/>
    <w:rsid w:val="007707C3"/>
    <w:rsid w:val="00771550"/>
    <w:rsid w:val="00771C90"/>
    <w:rsid w:val="0077267C"/>
    <w:rsid w:val="00772CEC"/>
    <w:rsid w:val="0077329B"/>
    <w:rsid w:val="00773F6E"/>
    <w:rsid w:val="0077442B"/>
    <w:rsid w:val="0077586C"/>
    <w:rsid w:val="0077588A"/>
    <w:rsid w:val="007773DB"/>
    <w:rsid w:val="00777486"/>
    <w:rsid w:val="00777DD9"/>
    <w:rsid w:val="00780253"/>
    <w:rsid w:val="00780329"/>
    <w:rsid w:val="007806BE"/>
    <w:rsid w:val="00780708"/>
    <w:rsid w:val="00780D9B"/>
    <w:rsid w:val="00781719"/>
    <w:rsid w:val="00781D79"/>
    <w:rsid w:val="00782D37"/>
    <w:rsid w:val="00783630"/>
    <w:rsid w:val="0078380A"/>
    <w:rsid w:val="00783ECA"/>
    <w:rsid w:val="0078447D"/>
    <w:rsid w:val="007847F9"/>
    <w:rsid w:val="00786AAF"/>
    <w:rsid w:val="0078791E"/>
    <w:rsid w:val="00787F66"/>
    <w:rsid w:val="00790BBE"/>
    <w:rsid w:val="00790C0A"/>
    <w:rsid w:val="00791D03"/>
    <w:rsid w:val="007935D3"/>
    <w:rsid w:val="007937A7"/>
    <w:rsid w:val="00794551"/>
    <w:rsid w:val="00794C9E"/>
    <w:rsid w:val="00795596"/>
    <w:rsid w:val="00796199"/>
    <w:rsid w:val="00796651"/>
    <w:rsid w:val="00797017"/>
    <w:rsid w:val="0079729E"/>
    <w:rsid w:val="007975B6"/>
    <w:rsid w:val="007A0025"/>
    <w:rsid w:val="007A08F5"/>
    <w:rsid w:val="007A0F55"/>
    <w:rsid w:val="007A299A"/>
    <w:rsid w:val="007A3428"/>
    <w:rsid w:val="007A3598"/>
    <w:rsid w:val="007A3D9A"/>
    <w:rsid w:val="007A4350"/>
    <w:rsid w:val="007A5226"/>
    <w:rsid w:val="007A5A19"/>
    <w:rsid w:val="007A5E3D"/>
    <w:rsid w:val="007B0BF9"/>
    <w:rsid w:val="007B21DC"/>
    <w:rsid w:val="007B3299"/>
    <w:rsid w:val="007B3FD4"/>
    <w:rsid w:val="007B420D"/>
    <w:rsid w:val="007B4858"/>
    <w:rsid w:val="007B4BFB"/>
    <w:rsid w:val="007B5370"/>
    <w:rsid w:val="007B541E"/>
    <w:rsid w:val="007B5458"/>
    <w:rsid w:val="007B613A"/>
    <w:rsid w:val="007B63E2"/>
    <w:rsid w:val="007B680E"/>
    <w:rsid w:val="007B6B5D"/>
    <w:rsid w:val="007B79CC"/>
    <w:rsid w:val="007B7F0A"/>
    <w:rsid w:val="007C0B36"/>
    <w:rsid w:val="007C0B4C"/>
    <w:rsid w:val="007C1806"/>
    <w:rsid w:val="007C18F2"/>
    <w:rsid w:val="007C1A85"/>
    <w:rsid w:val="007C2056"/>
    <w:rsid w:val="007C223B"/>
    <w:rsid w:val="007C3706"/>
    <w:rsid w:val="007C38A4"/>
    <w:rsid w:val="007C45AA"/>
    <w:rsid w:val="007C45EC"/>
    <w:rsid w:val="007C4E00"/>
    <w:rsid w:val="007C5698"/>
    <w:rsid w:val="007C5754"/>
    <w:rsid w:val="007C582A"/>
    <w:rsid w:val="007C65C1"/>
    <w:rsid w:val="007C7178"/>
    <w:rsid w:val="007D0283"/>
    <w:rsid w:val="007D0FDB"/>
    <w:rsid w:val="007D1125"/>
    <w:rsid w:val="007D15EE"/>
    <w:rsid w:val="007D29D2"/>
    <w:rsid w:val="007D2AF4"/>
    <w:rsid w:val="007D30F9"/>
    <w:rsid w:val="007D501E"/>
    <w:rsid w:val="007D5CF3"/>
    <w:rsid w:val="007D5D51"/>
    <w:rsid w:val="007D71E4"/>
    <w:rsid w:val="007D72D0"/>
    <w:rsid w:val="007D7422"/>
    <w:rsid w:val="007D794F"/>
    <w:rsid w:val="007E00C4"/>
    <w:rsid w:val="007E065B"/>
    <w:rsid w:val="007E1682"/>
    <w:rsid w:val="007E1B9E"/>
    <w:rsid w:val="007E1C79"/>
    <w:rsid w:val="007E1DBE"/>
    <w:rsid w:val="007E1E75"/>
    <w:rsid w:val="007E2CA4"/>
    <w:rsid w:val="007E308C"/>
    <w:rsid w:val="007E312C"/>
    <w:rsid w:val="007E3152"/>
    <w:rsid w:val="007E38E0"/>
    <w:rsid w:val="007E3AA4"/>
    <w:rsid w:val="007E3B00"/>
    <w:rsid w:val="007E4879"/>
    <w:rsid w:val="007E5A13"/>
    <w:rsid w:val="007E5AA6"/>
    <w:rsid w:val="007E5AA9"/>
    <w:rsid w:val="007E690D"/>
    <w:rsid w:val="007E7474"/>
    <w:rsid w:val="007E750B"/>
    <w:rsid w:val="007F0D52"/>
    <w:rsid w:val="007F1250"/>
    <w:rsid w:val="007F156A"/>
    <w:rsid w:val="007F199C"/>
    <w:rsid w:val="007F23BF"/>
    <w:rsid w:val="007F4299"/>
    <w:rsid w:val="007F456D"/>
    <w:rsid w:val="007F539D"/>
    <w:rsid w:val="007F5CC8"/>
    <w:rsid w:val="007F5D47"/>
    <w:rsid w:val="007F6377"/>
    <w:rsid w:val="007F64C6"/>
    <w:rsid w:val="007F67B1"/>
    <w:rsid w:val="007F6F62"/>
    <w:rsid w:val="007F792B"/>
    <w:rsid w:val="007F7B88"/>
    <w:rsid w:val="008010F9"/>
    <w:rsid w:val="008012A6"/>
    <w:rsid w:val="008019A7"/>
    <w:rsid w:val="00801ECF"/>
    <w:rsid w:val="00801EFE"/>
    <w:rsid w:val="008028CF"/>
    <w:rsid w:val="008035D0"/>
    <w:rsid w:val="00803827"/>
    <w:rsid w:val="00803A1C"/>
    <w:rsid w:val="00804593"/>
    <w:rsid w:val="00804A42"/>
    <w:rsid w:val="0080540A"/>
    <w:rsid w:val="0080604F"/>
    <w:rsid w:val="008062B2"/>
    <w:rsid w:val="00807B34"/>
    <w:rsid w:val="00807F35"/>
    <w:rsid w:val="00810BD3"/>
    <w:rsid w:val="008111DA"/>
    <w:rsid w:val="00811706"/>
    <w:rsid w:val="0081203F"/>
    <w:rsid w:val="008127B9"/>
    <w:rsid w:val="00812D22"/>
    <w:rsid w:val="0081559C"/>
    <w:rsid w:val="00815F58"/>
    <w:rsid w:val="008162EC"/>
    <w:rsid w:val="0081630A"/>
    <w:rsid w:val="00816477"/>
    <w:rsid w:val="00816B7B"/>
    <w:rsid w:val="008171D0"/>
    <w:rsid w:val="008176B3"/>
    <w:rsid w:val="008209F2"/>
    <w:rsid w:val="00821044"/>
    <w:rsid w:val="0082197B"/>
    <w:rsid w:val="0082254D"/>
    <w:rsid w:val="008242BC"/>
    <w:rsid w:val="00824D21"/>
    <w:rsid w:val="00824D68"/>
    <w:rsid w:val="00824FC5"/>
    <w:rsid w:val="00825C7B"/>
    <w:rsid w:val="00825DD7"/>
    <w:rsid w:val="00826D83"/>
    <w:rsid w:val="00826E9D"/>
    <w:rsid w:val="008278D1"/>
    <w:rsid w:val="008301FB"/>
    <w:rsid w:val="00830584"/>
    <w:rsid w:val="00830A8E"/>
    <w:rsid w:val="00830DF7"/>
    <w:rsid w:val="008318DC"/>
    <w:rsid w:val="00831C45"/>
    <w:rsid w:val="00831D55"/>
    <w:rsid w:val="0083306D"/>
    <w:rsid w:val="008332BB"/>
    <w:rsid w:val="00834946"/>
    <w:rsid w:val="0083547D"/>
    <w:rsid w:val="00835C28"/>
    <w:rsid w:val="008361CB"/>
    <w:rsid w:val="00836E91"/>
    <w:rsid w:val="0084060A"/>
    <w:rsid w:val="008408BB"/>
    <w:rsid w:val="00840A13"/>
    <w:rsid w:val="00840F20"/>
    <w:rsid w:val="00841049"/>
    <w:rsid w:val="00841C51"/>
    <w:rsid w:val="00841E52"/>
    <w:rsid w:val="00841F0A"/>
    <w:rsid w:val="0084214B"/>
    <w:rsid w:val="0084349B"/>
    <w:rsid w:val="008442FA"/>
    <w:rsid w:val="00844432"/>
    <w:rsid w:val="0084497B"/>
    <w:rsid w:val="0084514A"/>
    <w:rsid w:val="008452AC"/>
    <w:rsid w:val="008453D4"/>
    <w:rsid w:val="00845A31"/>
    <w:rsid w:val="00846877"/>
    <w:rsid w:val="00846FA0"/>
    <w:rsid w:val="008473AF"/>
    <w:rsid w:val="00847F54"/>
    <w:rsid w:val="00850E40"/>
    <w:rsid w:val="00850EA8"/>
    <w:rsid w:val="008515CD"/>
    <w:rsid w:val="00851DD9"/>
    <w:rsid w:val="0085299F"/>
    <w:rsid w:val="00853517"/>
    <w:rsid w:val="00853C03"/>
    <w:rsid w:val="0085500D"/>
    <w:rsid w:val="008550A3"/>
    <w:rsid w:val="008552A2"/>
    <w:rsid w:val="008553CA"/>
    <w:rsid w:val="0085579D"/>
    <w:rsid w:val="00855C69"/>
    <w:rsid w:val="00856768"/>
    <w:rsid w:val="00856B42"/>
    <w:rsid w:val="00857B0E"/>
    <w:rsid w:val="00860B94"/>
    <w:rsid w:val="00860D1A"/>
    <w:rsid w:val="00861F4C"/>
    <w:rsid w:val="00862C35"/>
    <w:rsid w:val="00862D32"/>
    <w:rsid w:val="00863305"/>
    <w:rsid w:val="00863B33"/>
    <w:rsid w:val="008640B5"/>
    <w:rsid w:val="00864E7B"/>
    <w:rsid w:val="00864EDA"/>
    <w:rsid w:val="00865F30"/>
    <w:rsid w:val="00866B29"/>
    <w:rsid w:val="00866C65"/>
    <w:rsid w:val="008672F8"/>
    <w:rsid w:val="00867452"/>
    <w:rsid w:val="00867746"/>
    <w:rsid w:val="008679B8"/>
    <w:rsid w:val="00867DF4"/>
    <w:rsid w:val="008704EB"/>
    <w:rsid w:val="00870BD8"/>
    <w:rsid w:val="00870D04"/>
    <w:rsid w:val="00870DDB"/>
    <w:rsid w:val="008711C2"/>
    <w:rsid w:val="00871DA0"/>
    <w:rsid w:val="0087354A"/>
    <w:rsid w:val="008743DB"/>
    <w:rsid w:val="00874544"/>
    <w:rsid w:val="0087544C"/>
    <w:rsid w:val="00875495"/>
    <w:rsid w:val="0087598D"/>
    <w:rsid w:val="00875CD3"/>
    <w:rsid w:val="00875E8A"/>
    <w:rsid w:val="00876131"/>
    <w:rsid w:val="008764E2"/>
    <w:rsid w:val="008767BC"/>
    <w:rsid w:val="00876892"/>
    <w:rsid w:val="008770B7"/>
    <w:rsid w:val="0087775B"/>
    <w:rsid w:val="00877B8B"/>
    <w:rsid w:val="00880470"/>
    <w:rsid w:val="00880B5A"/>
    <w:rsid w:val="00880CC5"/>
    <w:rsid w:val="00881A4D"/>
    <w:rsid w:val="00881DBA"/>
    <w:rsid w:val="00882126"/>
    <w:rsid w:val="00882BFC"/>
    <w:rsid w:val="00882EA8"/>
    <w:rsid w:val="008830B2"/>
    <w:rsid w:val="0088391D"/>
    <w:rsid w:val="00883C5F"/>
    <w:rsid w:val="008842E3"/>
    <w:rsid w:val="00884786"/>
    <w:rsid w:val="008847E8"/>
    <w:rsid w:val="00885686"/>
    <w:rsid w:val="00886DA5"/>
    <w:rsid w:val="00886F3D"/>
    <w:rsid w:val="0088798C"/>
    <w:rsid w:val="0089092C"/>
    <w:rsid w:val="008910DE"/>
    <w:rsid w:val="008912A9"/>
    <w:rsid w:val="0089195C"/>
    <w:rsid w:val="00892011"/>
    <w:rsid w:val="0089377D"/>
    <w:rsid w:val="00894558"/>
    <w:rsid w:val="00894D91"/>
    <w:rsid w:val="00896481"/>
    <w:rsid w:val="0089683F"/>
    <w:rsid w:val="008974A4"/>
    <w:rsid w:val="00897520"/>
    <w:rsid w:val="00897587"/>
    <w:rsid w:val="0089769F"/>
    <w:rsid w:val="008A0D95"/>
    <w:rsid w:val="008A2649"/>
    <w:rsid w:val="008A2679"/>
    <w:rsid w:val="008A3104"/>
    <w:rsid w:val="008A3987"/>
    <w:rsid w:val="008A39E0"/>
    <w:rsid w:val="008A43A1"/>
    <w:rsid w:val="008A4BF0"/>
    <w:rsid w:val="008A529E"/>
    <w:rsid w:val="008A5EE3"/>
    <w:rsid w:val="008A6A02"/>
    <w:rsid w:val="008A6D54"/>
    <w:rsid w:val="008A72A2"/>
    <w:rsid w:val="008A7A44"/>
    <w:rsid w:val="008A7A78"/>
    <w:rsid w:val="008B0281"/>
    <w:rsid w:val="008B1367"/>
    <w:rsid w:val="008B1994"/>
    <w:rsid w:val="008B3CCC"/>
    <w:rsid w:val="008B4246"/>
    <w:rsid w:val="008B48FB"/>
    <w:rsid w:val="008B4AC0"/>
    <w:rsid w:val="008B5631"/>
    <w:rsid w:val="008B5962"/>
    <w:rsid w:val="008B67AC"/>
    <w:rsid w:val="008B6D69"/>
    <w:rsid w:val="008B6E4E"/>
    <w:rsid w:val="008B74E3"/>
    <w:rsid w:val="008B7A7D"/>
    <w:rsid w:val="008B7DDB"/>
    <w:rsid w:val="008C0923"/>
    <w:rsid w:val="008C1243"/>
    <w:rsid w:val="008C1689"/>
    <w:rsid w:val="008C16DB"/>
    <w:rsid w:val="008C1A82"/>
    <w:rsid w:val="008C31CE"/>
    <w:rsid w:val="008C324C"/>
    <w:rsid w:val="008C3A43"/>
    <w:rsid w:val="008C3E8A"/>
    <w:rsid w:val="008C479E"/>
    <w:rsid w:val="008C4801"/>
    <w:rsid w:val="008C4AC3"/>
    <w:rsid w:val="008C4D70"/>
    <w:rsid w:val="008C4E05"/>
    <w:rsid w:val="008C4E69"/>
    <w:rsid w:val="008C55CE"/>
    <w:rsid w:val="008C640E"/>
    <w:rsid w:val="008C69DB"/>
    <w:rsid w:val="008C6B4B"/>
    <w:rsid w:val="008C6ECE"/>
    <w:rsid w:val="008C7026"/>
    <w:rsid w:val="008C7281"/>
    <w:rsid w:val="008C78D0"/>
    <w:rsid w:val="008C7B6A"/>
    <w:rsid w:val="008C7CD1"/>
    <w:rsid w:val="008D03AA"/>
    <w:rsid w:val="008D046E"/>
    <w:rsid w:val="008D075B"/>
    <w:rsid w:val="008D0D92"/>
    <w:rsid w:val="008D0FA5"/>
    <w:rsid w:val="008D1105"/>
    <w:rsid w:val="008D1B9B"/>
    <w:rsid w:val="008D1F52"/>
    <w:rsid w:val="008D30B6"/>
    <w:rsid w:val="008D3372"/>
    <w:rsid w:val="008D39FB"/>
    <w:rsid w:val="008D3B81"/>
    <w:rsid w:val="008D3B84"/>
    <w:rsid w:val="008D3C3B"/>
    <w:rsid w:val="008D4310"/>
    <w:rsid w:val="008D4B18"/>
    <w:rsid w:val="008D565E"/>
    <w:rsid w:val="008D5720"/>
    <w:rsid w:val="008D601C"/>
    <w:rsid w:val="008D62FF"/>
    <w:rsid w:val="008D6CE6"/>
    <w:rsid w:val="008D7387"/>
    <w:rsid w:val="008D7EFD"/>
    <w:rsid w:val="008E092F"/>
    <w:rsid w:val="008E1FB5"/>
    <w:rsid w:val="008E2249"/>
    <w:rsid w:val="008E2967"/>
    <w:rsid w:val="008E327A"/>
    <w:rsid w:val="008E3823"/>
    <w:rsid w:val="008E39CD"/>
    <w:rsid w:val="008E3D47"/>
    <w:rsid w:val="008E3D86"/>
    <w:rsid w:val="008E3F31"/>
    <w:rsid w:val="008E54A5"/>
    <w:rsid w:val="008E5D46"/>
    <w:rsid w:val="008E5E2B"/>
    <w:rsid w:val="008E6135"/>
    <w:rsid w:val="008E634D"/>
    <w:rsid w:val="008E6E81"/>
    <w:rsid w:val="008E7B14"/>
    <w:rsid w:val="008F0B54"/>
    <w:rsid w:val="008F1692"/>
    <w:rsid w:val="008F1CBC"/>
    <w:rsid w:val="008F290B"/>
    <w:rsid w:val="008F2CFD"/>
    <w:rsid w:val="008F2E93"/>
    <w:rsid w:val="008F39E7"/>
    <w:rsid w:val="008F3A37"/>
    <w:rsid w:val="008F3B9E"/>
    <w:rsid w:val="008F3EA0"/>
    <w:rsid w:val="008F40B4"/>
    <w:rsid w:val="008F48F4"/>
    <w:rsid w:val="008F5F23"/>
    <w:rsid w:val="008F65FC"/>
    <w:rsid w:val="008F6A14"/>
    <w:rsid w:val="0090075A"/>
    <w:rsid w:val="00901091"/>
    <w:rsid w:val="0090182E"/>
    <w:rsid w:val="009018B6"/>
    <w:rsid w:val="00901DAA"/>
    <w:rsid w:val="0090255D"/>
    <w:rsid w:val="00902AB8"/>
    <w:rsid w:val="00904068"/>
    <w:rsid w:val="0090452F"/>
    <w:rsid w:val="0090464B"/>
    <w:rsid w:val="00904919"/>
    <w:rsid w:val="0090551E"/>
    <w:rsid w:val="0090570C"/>
    <w:rsid w:val="00905FEA"/>
    <w:rsid w:val="00906151"/>
    <w:rsid w:val="00906E13"/>
    <w:rsid w:val="00907033"/>
    <w:rsid w:val="009075A6"/>
    <w:rsid w:val="0090761D"/>
    <w:rsid w:val="00910569"/>
    <w:rsid w:val="00911A46"/>
    <w:rsid w:val="00911EF2"/>
    <w:rsid w:val="0091309C"/>
    <w:rsid w:val="00913124"/>
    <w:rsid w:val="009135F5"/>
    <w:rsid w:val="009138BB"/>
    <w:rsid w:val="00913A13"/>
    <w:rsid w:val="00913B77"/>
    <w:rsid w:val="00914356"/>
    <w:rsid w:val="00914C87"/>
    <w:rsid w:val="00915080"/>
    <w:rsid w:val="009155C9"/>
    <w:rsid w:val="00915FF3"/>
    <w:rsid w:val="009161E0"/>
    <w:rsid w:val="00916A09"/>
    <w:rsid w:val="00916CC5"/>
    <w:rsid w:val="00916F0C"/>
    <w:rsid w:val="009172B5"/>
    <w:rsid w:val="00917601"/>
    <w:rsid w:val="00920853"/>
    <w:rsid w:val="00920D94"/>
    <w:rsid w:val="00922401"/>
    <w:rsid w:val="00923301"/>
    <w:rsid w:val="00923418"/>
    <w:rsid w:val="00924DED"/>
    <w:rsid w:val="00925A48"/>
    <w:rsid w:val="0092658F"/>
    <w:rsid w:val="00926F5D"/>
    <w:rsid w:val="0092700E"/>
    <w:rsid w:val="00927A17"/>
    <w:rsid w:val="00927DFE"/>
    <w:rsid w:val="00930A8E"/>
    <w:rsid w:val="00930E0D"/>
    <w:rsid w:val="00931906"/>
    <w:rsid w:val="009326AF"/>
    <w:rsid w:val="0093290F"/>
    <w:rsid w:val="0093321F"/>
    <w:rsid w:val="009333E6"/>
    <w:rsid w:val="0093350B"/>
    <w:rsid w:val="00933553"/>
    <w:rsid w:val="009345DE"/>
    <w:rsid w:val="00935314"/>
    <w:rsid w:val="0093531E"/>
    <w:rsid w:val="009357B5"/>
    <w:rsid w:val="0093598C"/>
    <w:rsid w:val="00935B8C"/>
    <w:rsid w:val="00935F1F"/>
    <w:rsid w:val="0093637F"/>
    <w:rsid w:val="00936C33"/>
    <w:rsid w:val="00936DE8"/>
    <w:rsid w:val="00937384"/>
    <w:rsid w:val="009373DE"/>
    <w:rsid w:val="009416E6"/>
    <w:rsid w:val="00941FA4"/>
    <w:rsid w:val="00942E0F"/>
    <w:rsid w:val="00942F97"/>
    <w:rsid w:val="00943443"/>
    <w:rsid w:val="00943B39"/>
    <w:rsid w:val="00943E50"/>
    <w:rsid w:val="00944A19"/>
    <w:rsid w:val="00944D50"/>
    <w:rsid w:val="00944FB0"/>
    <w:rsid w:val="0094533E"/>
    <w:rsid w:val="00946C00"/>
    <w:rsid w:val="00946E77"/>
    <w:rsid w:val="009501E2"/>
    <w:rsid w:val="00950CB4"/>
    <w:rsid w:val="00950EB6"/>
    <w:rsid w:val="00951284"/>
    <w:rsid w:val="0095172E"/>
    <w:rsid w:val="00952B06"/>
    <w:rsid w:val="00953F5A"/>
    <w:rsid w:val="00953FC7"/>
    <w:rsid w:val="00954039"/>
    <w:rsid w:val="00954505"/>
    <w:rsid w:val="00954CE3"/>
    <w:rsid w:val="0095513C"/>
    <w:rsid w:val="0095561E"/>
    <w:rsid w:val="00955673"/>
    <w:rsid w:val="00955BB7"/>
    <w:rsid w:val="00956AE4"/>
    <w:rsid w:val="00957C44"/>
    <w:rsid w:val="00957C98"/>
    <w:rsid w:val="00957E40"/>
    <w:rsid w:val="0096001B"/>
    <w:rsid w:val="00960854"/>
    <w:rsid w:val="009611AC"/>
    <w:rsid w:val="009613B0"/>
    <w:rsid w:val="00961F2C"/>
    <w:rsid w:val="0096336F"/>
    <w:rsid w:val="009635F4"/>
    <w:rsid w:val="00963C8B"/>
    <w:rsid w:val="00964240"/>
    <w:rsid w:val="00964662"/>
    <w:rsid w:val="00964A1A"/>
    <w:rsid w:val="00965B95"/>
    <w:rsid w:val="00966EB8"/>
    <w:rsid w:val="00967ABF"/>
    <w:rsid w:val="00967C22"/>
    <w:rsid w:val="00967D62"/>
    <w:rsid w:val="00967E81"/>
    <w:rsid w:val="009706DF"/>
    <w:rsid w:val="00971005"/>
    <w:rsid w:val="00972163"/>
    <w:rsid w:val="00972290"/>
    <w:rsid w:val="009727ED"/>
    <w:rsid w:val="00972BF0"/>
    <w:rsid w:val="009736AC"/>
    <w:rsid w:val="00973F25"/>
    <w:rsid w:val="009740AB"/>
    <w:rsid w:val="009741E6"/>
    <w:rsid w:val="009742BF"/>
    <w:rsid w:val="009745E5"/>
    <w:rsid w:val="00975794"/>
    <w:rsid w:val="00975817"/>
    <w:rsid w:val="00977172"/>
    <w:rsid w:val="009775D2"/>
    <w:rsid w:val="00977B2F"/>
    <w:rsid w:val="009809B6"/>
    <w:rsid w:val="00981ADF"/>
    <w:rsid w:val="00983B12"/>
    <w:rsid w:val="00984183"/>
    <w:rsid w:val="00984427"/>
    <w:rsid w:val="0098458E"/>
    <w:rsid w:val="00984598"/>
    <w:rsid w:val="009846AE"/>
    <w:rsid w:val="009853EF"/>
    <w:rsid w:val="00985C4E"/>
    <w:rsid w:val="0098612A"/>
    <w:rsid w:val="00986C05"/>
    <w:rsid w:val="00987A5D"/>
    <w:rsid w:val="00987F0C"/>
    <w:rsid w:val="00990643"/>
    <w:rsid w:val="0099174E"/>
    <w:rsid w:val="009919DE"/>
    <w:rsid w:val="00992BD9"/>
    <w:rsid w:val="00993D45"/>
    <w:rsid w:val="00993FCF"/>
    <w:rsid w:val="00994CB2"/>
    <w:rsid w:val="00996830"/>
    <w:rsid w:val="009969F8"/>
    <w:rsid w:val="00997220"/>
    <w:rsid w:val="009A0C37"/>
    <w:rsid w:val="009A3010"/>
    <w:rsid w:val="009A3059"/>
    <w:rsid w:val="009A3141"/>
    <w:rsid w:val="009A3659"/>
    <w:rsid w:val="009A3FF3"/>
    <w:rsid w:val="009A4BA3"/>
    <w:rsid w:val="009A4C44"/>
    <w:rsid w:val="009A55FE"/>
    <w:rsid w:val="009A562E"/>
    <w:rsid w:val="009A5BF1"/>
    <w:rsid w:val="009A6644"/>
    <w:rsid w:val="009A693A"/>
    <w:rsid w:val="009A6B5A"/>
    <w:rsid w:val="009A7179"/>
    <w:rsid w:val="009A7E0C"/>
    <w:rsid w:val="009B0D2F"/>
    <w:rsid w:val="009B1152"/>
    <w:rsid w:val="009B25FD"/>
    <w:rsid w:val="009B3439"/>
    <w:rsid w:val="009B4124"/>
    <w:rsid w:val="009B4F2B"/>
    <w:rsid w:val="009B5447"/>
    <w:rsid w:val="009B59AD"/>
    <w:rsid w:val="009B5F87"/>
    <w:rsid w:val="009B6FC0"/>
    <w:rsid w:val="009B7C2B"/>
    <w:rsid w:val="009B7D39"/>
    <w:rsid w:val="009C03E9"/>
    <w:rsid w:val="009C1189"/>
    <w:rsid w:val="009C1497"/>
    <w:rsid w:val="009C1C61"/>
    <w:rsid w:val="009C382B"/>
    <w:rsid w:val="009C4AA3"/>
    <w:rsid w:val="009C5A06"/>
    <w:rsid w:val="009C5BEE"/>
    <w:rsid w:val="009C6242"/>
    <w:rsid w:val="009C6BED"/>
    <w:rsid w:val="009C71CE"/>
    <w:rsid w:val="009C7586"/>
    <w:rsid w:val="009C75CC"/>
    <w:rsid w:val="009C79E1"/>
    <w:rsid w:val="009C7C83"/>
    <w:rsid w:val="009D0126"/>
    <w:rsid w:val="009D1454"/>
    <w:rsid w:val="009D1C00"/>
    <w:rsid w:val="009D1CBD"/>
    <w:rsid w:val="009D2042"/>
    <w:rsid w:val="009D2DD4"/>
    <w:rsid w:val="009D3293"/>
    <w:rsid w:val="009D3452"/>
    <w:rsid w:val="009D382C"/>
    <w:rsid w:val="009D3B9B"/>
    <w:rsid w:val="009D42F2"/>
    <w:rsid w:val="009D5D3D"/>
    <w:rsid w:val="009D671B"/>
    <w:rsid w:val="009D6A61"/>
    <w:rsid w:val="009D6DD0"/>
    <w:rsid w:val="009E01E3"/>
    <w:rsid w:val="009E0FF3"/>
    <w:rsid w:val="009E1117"/>
    <w:rsid w:val="009E2786"/>
    <w:rsid w:val="009E2B21"/>
    <w:rsid w:val="009E2D89"/>
    <w:rsid w:val="009E3BC1"/>
    <w:rsid w:val="009E41C8"/>
    <w:rsid w:val="009E45CF"/>
    <w:rsid w:val="009E4611"/>
    <w:rsid w:val="009E48C7"/>
    <w:rsid w:val="009E568B"/>
    <w:rsid w:val="009E57E6"/>
    <w:rsid w:val="009E6607"/>
    <w:rsid w:val="009E6B29"/>
    <w:rsid w:val="009E771F"/>
    <w:rsid w:val="009F0A29"/>
    <w:rsid w:val="009F136D"/>
    <w:rsid w:val="009F24AB"/>
    <w:rsid w:val="009F34FD"/>
    <w:rsid w:val="009F3897"/>
    <w:rsid w:val="009F4150"/>
    <w:rsid w:val="009F48E0"/>
    <w:rsid w:val="009F64C2"/>
    <w:rsid w:val="009F742D"/>
    <w:rsid w:val="009F74CC"/>
    <w:rsid w:val="009F7A29"/>
    <w:rsid w:val="009F7D67"/>
    <w:rsid w:val="00A0068E"/>
    <w:rsid w:val="00A00FE6"/>
    <w:rsid w:val="00A01F3B"/>
    <w:rsid w:val="00A020AF"/>
    <w:rsid w:val="00A02382"/>
    <w:rsid w:val="00A02B9E"/>
    <w:rsid w:val="00A03085"/>
    <w:rsid w:val="00A03D83"/>
    <w:rsid w:val="00A04655"/>
    <w:rsid w:val="00A0643F"/>
    <w:rsid w:val="00A069C4"/>
    <w:rsid w:val="00A06CD1"/>
    <w:rsid w:val="00A06DA7"/>
    <w:rsid w:val="00A07C69"/>
    <w:rsid w:val="00A07E9B"/>
    <w:rsid w:val="00A116CF"/>
    <w:rsid w:val="00A11796"/>
    <w:rsid w:val="00A12315"/>
    <w:rsid w:val="00A13326"/>
    <w:rsid w:val="00A13329"/>
    <w:rsid w:val="00A138F0"/>
    <w:rsid w:val="00A14226"/>
    <w:rsid w:val="00A14768"/>
    <w:rsid w:val="00A148F6"/>
    <w:rsid w:val="00A14F67"/>
    <w:rsid w:val="00A15451"/>
    <w:rsid w:val="00A15D14"/>
    <w:rsid w:val="00A16051"/>
    <w:rsid w:val="00A16FEE"/>
    <w:rsid w:val="00A173C4"/>
    <w:rsid w:val="00A178E2"/>
    <w:rsid w:val="00A17BD1"/>
    <w:rsid w:val="00A21960"/>
    <w:rsid w:val="00A21AFD"/>
    <w:rsid w:val="00A21CD0"/>
    <w:rsid w:val="00A22F86"/>
    <w:rsid w:val="00A23310"/>
    <w:rsid w:val="00A23905"/>
    <w:rsid w:val="00A23E1C"/>
    <w:rsid w:val="00A24AA2"/>
    <w:rsid w:val="00A25C66"/>
    <w:rsid w:val="00A26610"/>
    <w:rsid w:val="00A26D50"/>
    <w:rsid w:val="00A26EC8"/>
    <w:rsid w:val="00A27C27"/>
    <w:rsid w:val="00A27C93"/>
    <w:rsid w:val="00A30019"/>
    <w:rsid w:val="00A30771"/>
    <w:rsid w:val="00A3084E"/>
    <w:rsid w:val="00A30AB1"/>
    <w:rsid w:val="00A30EF3"/>
    <w:rsid w:val="00A30FAE"/>
    <w:rsid w:val="00A31A17"/>
    <w:rsid w:val="00A31D70"/>
    <w:rsid w:val="00A31FF5"/>
    <w:rsid w:val="00A32B28"/>
    <w:rsid w:val="00A32D04"/>
    <w:rsid w:val="00A332F8"/>
    <w:rsid w:val="00A333F7"/>
    <w:rsid w:val="00A33FBB"/>
    <w:rsid w:val="00A343D5"/>
    <w:rsid w:val="00A347F0"/>
    <w:rsid w:val="00A348E6"/>
    <w:rsid w:val="00A36B08"/>
    <w:rsid w:val="00A36EA6"/>
    <w:rsid w:val="00A370C9"/>
    <w:rsid w:val="00A3761E"/>
    <w:rsid w:val="00A37755"/>
    <w:rsid w:val="00A40534"/>
    <w:rsid w:val="00A40D44"/>
    <w:rsid w:val="00A41438"/>
    <w:rsid w:val="00A4144C"/>
    <w:rsid w:val="00A41517"/>
    <w:rsid w:val="00A41664"/>
    <w:rsid w:val="00A41DF3"/>
    <w:rsid w:val="00A42105"/>
    <w:rsid w:val="00A42D4F"/>
    <w:rsid w:val="00A430ED"/>
    <w:rsid w:val="00A432B3"/>
    <w:rsid w:val="00A43F8E"/>
    <w:rsid w:val="00A44344"/>
    <w:rsid w:val="00A447B3"/>
    <w:rsid w:val="00A447BA"/>
    <w:rsid w:val="00A45207"/>
    <w:rsid w:val="00A45885"/>
    <w:rsid w:val="00A45AD0"/>
    <w:rsid w:val="00A46C26"/>
    <w:rsid w:val="00A509E9"/>
    <w:rsid w:val="00A50B03"/>
    <w:rsid w:val="00A5120F"/>
    <w:rsid w:val="00A5142A"/>
    <w:rsid w:val="00A52139"/>
    <w:rsid w:val="00A5222B"/>
    <w:rsid w:val="00A52DD6"/>
    <w:rsid w:val="00A53FA2"/>
    <w:rsid w:val="00A55355"/>
    <w:rsid w:val="00A55411"/>
    <w:rsid w:val="00A575DF"/>
    <w:rsid w:val="00A60365"/>
    <w:rsid w:val="00A60789"/>
    <w:rsid w:val="00A60B99"/>
    <w:rsid w:val="00A612B0"/>
    <w:rsid w:val="00A61C71"/>
    <w:rsid w:val="00A620DA"/>
    <w:rsid w:val="00A62B42"/>
    <w:rsid w:val="00A63364"/>
    <w:rsid w:val="00A63523"/>
    <w:rsid w:val="00A64372"/>
    <w:rsid w:val="00A64409"/>
    <w:rsid w:val="00A644E7"/>
    <w:rsid w:val="00A6480D"/>
    <w:rsid w:val="00A660B3"/>
    <w:rsid w:val="00A668A4"/>
    <w:rsid w:val="00A668B6"/>
    <w:rsid w:val="00A668BF"/>
    <w:rsid w:val="00A7023E"/>
    <w:rsid w:val="00A70847"/>
    <w:rsid w:val="00A70895"/>
    <w:rsid w:val="00A70B61"/>
    <w:rsid w:val="00A7117F"/>
    <w:rsid w:val="00A711F6"/>
    <w:rsid w:val="00A723A1"/>
    <w:rsid w:val="00A72CBC"/>
    <w:rsid w:val="00A72F80"/>
    <w:rsid w:val="00A73C5F"/>
    <w:rsid w:val="00A74002"/>
    <w:rsid w:val="00A74A06"/>
    <w:rsid w:val="00A75774"/>
    <w:rsid w:val="00A758ED"/>
    <w:rsid w:val="00A75D34"/>
    <w:rsid w:val="00A76340"/>
    <w:rsid w:val="00A76F5B"/>
    <w:rsid w:val="00A770B7"/>
    <w:rsid w:val="00A771BF"/>
    <w:rsid w:val="00A7796C"/>
    <w:rsid w:val="00A77AD5"/>
    <w:rsid w:val="00A801A6"/>
    <w:rsid w:val="00A809A0"/>
    <w:rsid w:val="00A80C81"/>
    <w:rsid w:val="00A80F61"/>
    <w:rsid w:val="00A82242"/>
    <w:rsid w:val="00A826D0"/>
    <w:rsid w:val="00A82A7A"/>
    <w:rsid w:val="00A84D3F"/>
    <w:rsid w:val="00A85674"/>
    <w:rsid w:val="00A861C3"/>
    <w:rsid w:val="00A863A5"/>
    <w:rsid w:val="00A8661A"/>
    <w:rsid w:val="00A86637"/>
    <w:rsid w:val="00A869A6"/>
    <w:rsid w:val="00A9074A"/>
    <w:rsid w:val="00A90B2F"/>
    <w:rsid w:val="00A90EBE"/>
    <w:rsid w:val="00A913D7"/>
    <w:rsid w:val="00A91D50"/>
    <w:rsid w:val="00A9356E"/>
    <w:rsid w:val="00A93592"/>
    <w:rsid w:val="00A936FD"/>
    <w:rsid w:val="00A93F5A"/>
    <w:rsid w:val="00A9415B"/>
    <w:rsid w:val="00A94205"/>
    <w:rsid w:val="00A943BF"/>
    <w:rsid w:val="00A94839"/>
    <w:rsid w:val="00A94A99"/>
    <w:rsid w:val="00A94F33"/>
    <w:rsid w:val="00A9652C"/>
    <w:rsid w:val="00A970FF"/>
    <w:rsid w:val="00A97300"/>
    <w:rsid w:val="00AA02E0"/>
    <w:rsid w:val="00AA0941"/>
    <w:rsid w:val="00AA141D"/>
    <w:rsid w:val="00AA1AE2"/>
    <w:rsid w:val="00AA264D"/>
    <w:rsid w:val="00AA34F5"/>
    <w:rsid w:val="00AA3ADA"/>
    <w:rsid w:val="00AA41CE"/>
    <w:rsid w:val="00AA4346"/>
    <w:rsid w:val="00AA44D8"/>
    <w:rsid w:val="00AA4BD2"/>
    <w:rsid w:val="00AA782F"/>
    <w:rsid w:val="00AA7FDE"/>
    <w:rsid w:val="00AB124D"/>
    <w:rsid w:val="00AB1336"/>
    <w:rsid w:val="00AB1C69"/>
    <w:rsid w:val="00AB2D96"/>
    <w:rsid w:val="00AB343B"/>
    <w:rsid w:val="00AB3533"/>
    <w:rsid w:val="00AB45CC"/>
    <w:rsid w:val="00AB46FF"/>
    <w:rsid w:val="00AB4978"/>
    <w:rsid w:val="00AB4B53"/>
    <w:rsid w:val="00AB5236"/>
    <w:rsid w:val="00AB683E"/>
    <w:rsid w:val="00AB688C"/>
    <w:rsid w:val="00AB740B"/>
    <w:rsid w:val="00AB7DC5"/>
    <w:rsid w:val="00AB7EEB"/>
    <w:rsid w:val="00AC0636"/>
    <w:rsid w:val="00AC19B1"/>
    <w:rsid w:val="00AC1E04"/>
    <w:rsid w:val="00AC1FCD"/>
    <w:rsid w:val="00AC2142"/>
    <w:rsid w:val="00AC3AE0"/>
    <w:rsid w:val="00AC3C25"/>
    <w:rsid w:val="00AC3D1B"/>
    <w:rsid w:val="00AC40F4"/>
    <w:rsid w:val="00AC46C3"/>
    <w:rsid w:val="00AC4E91"/>
    <w:rsid w:val="00AC50BB"/>
    <w:rsid w:val="00AC51DD"/>
    <w:rsid w:val="00AC5B5F"/>
    <w:rsid w:val="00AC674D"/>
    <w:rsid w:val="00AC6994"/>
    <w:rsid w:val="00AD0062"/>
    <w:rsid w:val="00AD00B2"/>
    <w:rsid w:val="00AD1E48"/>
    <w:rsid w:val="00AD3590"/>
    <w:rsid w:val="00AD3756"/>
    <w:rsid w:val="00AD3947"/>
    <w:rsid w:val="00AD3B16"/>
    <w:rsid w:val="00AD3D9F"/>
    <w:rsid w:val="00AD44D9"/>
    <w:rsid w:val="00AD4F7F"/>
    <w:rsid w:val="00AD74EE"/>
    <w:rsid w:val="00AD77C2"/>
    <w:rsid w:val="00AD78EF"/>
    <w:rsid w:val="00AD7D12"/>
    <w:rsid w:val="00AD7DCA"/>
    <w:rsid w:val="00AE05AD"/>
    <w:rsid w:val="00AE1835"/>
    <w:rsid w:val="00AE18CF"/>
    <w:rsid w:val="00AE1D72"/>
    <w:rsid w:val="00AE27A6"/>
    <w:rsid w:val="00AE31E9"/>
    <w:rsid w:val="00AE35A4"/>
    <w:rsid w:val="00AE35CB"/>
    <w:rsid w:val="00AE364D"/>
    <w:rsid w:val="00AE3D1B"/>
    <w:rsid w:val="00AE4151"/>
    <w:rsid w:val="00AE5B98"/>
    <w:rsid w:val="00AE6228"/>
    <w:rsid w:val="00AE7227"/>
    <w:rsid w:val="00AE7236"/>
    <w:rsid w:val="00AE7B77"/>
    <w:rsid w:val="00AE7CE8"/>
    <w:rsid w:val="00AF05F1"/>
    <w:rsid w:val="00AF098F"/>
    <w:rsid w:val="00AF0E0C"/>
    <w:rsid w:val="00AF2861"/>
    <w:rsid w:val="00AF32B3"/>
    <w:rsid w:val="00AF5ABC"/>
    <w:rsid w:val="00AF5F4E"/>
    <w:rsid w:val="00AF616D"/>
    <w:rsid w:val="00AF6523"/>
    <w:rsid w:val="00AF65F3"/>
    <w:rsid w:val="00AF6629"/>
    <w:rsid w:val="00AF73B0"/>
    <w:rsid w:val="00AF79BA"/>
    <w:rsid w:val="00B00057"/>
    <w:rsid w:val="00B00A19"/>
    <w:rsid w:val="00B015A4"/>
    <w:rsid w:val="00B01B4B"/>
    <w:rsid w:val="00B01FB9"/>
    <w:rsid w:val="00B02449"/>
    <w:rsid w:val="00B025BE"/>
    <w:rsid w:val="00B0382D"/>
    <w:rsid w:val="00B04212"/>
    <w:rsid w:val="00B062D6"/>
    <w:rsid w:val="00B0679D"/>
    <w:rsid w:val="00B06F22"/>
    <w:rsid w:val="00B07373"/>
    <w:rsid w:val="00B106B1"/>
    <w:rsid w:val="00B108E4"/>
    <w:rsid w:val="00B10DB4"/>
    <w:rsid w:val="00B11620"/>
    <w:rsid w:val="00B12CE3"/>
    <w:rsid w:val="00B131AE"/>
    <w:rsid w:val="00B137CB"/>
    <w:rsid w:val="00B14A89"/>
    <w:rsid w:val="00B14CFC"/>
    <w:rsid w:val="00B15EA9"/>
    <w:rsid w:val="00B16519"/>
    <w:rsid w:val="00B17013"/>
    <w:rsid w:val="00B17303"/>
    <w:rsid w:val="00B17657"/>
    <w:rsid w:val="00B2058A"/>
    <w:rsid w:val="00B20D7B"/>
    <w:rsid w:val="00B215DC"/>
    <w:rsid w:val="00B22670"/>
    <w:rsid w:val="00B22D2D"/>
    <w:rsid w:val="00B236D7"/>
    <w:rsid w:val="00B23BA6"/>
    <w:rsid w:val="00B23C41"/>
    <w:rsid w:val="00B2571B"/>
    <w:rsid w:val="00B26A8B"/>
    <w:rsid w:val="00B27509"/>
    <w:rsid w:val="00B302D2"/>
    <w:rsid w:val="00B30B37"/>
    <w:rsid w:val="00B30F66"/>
    <w:rsid w:val="00B31953"/>
    <w:rsid w:val="00B31AC7"/>
    <w:rsid w:val="00B31F54"/>
    <w:rsid w:val="00B31F64"/>
    <w:rsid w:val="00B3270B"/>
    <w:rsid w:val="00B32773"/>
    <w:rsid w:val="00B33713"/>
    <w:rsid w:val="00B33722"/>
    <w:rsid w:val="00B33740"/>
    <w:rsid w:val="00B337FA"/>
    <w:rsid w:val="00B33E01"/>
    <w:rsid w:val="00B345A2"/>
    <w:rsid w:val="00B346E0"/>
    <w:rsid w:val="00B350E8"/>
    <w:rsid w:val="00B360AE"/>
    <w:rsid w:val="00B36353"/>
    <w:rsid w:val="00B36D5F"/>
    <w:rsid w:val="00B4066A"/>
    <w:rsid w:val="00B4068A"/>
    <w:rsid w:val="00B409E2"/>
    <w:rsid w:val="00B41637"/>
    <w:rsid w:val="00B41686"/>
    <w:rsid w:val="00B417AE"/>
    <w:rsid w:val="00B41C2A"/>
    <w:rsid w:val="00B41CCF"/>
    <w:rsid w:val="00B427A5"/>
    <w:rsid w:val="00B4349D"/>
    <w:rsid w:val="00B4491F"/>
    <w:rsid w:val="00B449BA"/>
    <w:rsid w:val="00B44B15"/>
    <w:rsid w:val="00B45A8B"/>
    <w:rsid w:val="00B45BC0"/>
    <w:rsid w:val="00B4659E"/>
    <w:rsid w:val="00B46B0A"/>
    <w:rsid w:val="00B46B35"/>
    <w:rsid w:val="00B47FAD"/>
    <w:rsid w:val="00B5062C"/>
    <w:rsid w:val="00B50675"/>
    <w:rsid w:val="00B50B44"/>
    <w:rsid w:val="00B51F79"/>
    <w:rsid w:val="00B52624"/>
    <w:rsid w:val="00B52D1F"/>
    <w:rsid w:val="00B531FA"/>
    <w:rsid w:val="00B53438"/>
    <w:rsid w:val="00B53E6C"/>
    <w:rsid w:val="00B53F2C"/>
    <w:rsid w:val="00B54213"/>
    <w:rsid w:val="00B543C4"/>
    <w:rsid w:val="00B547B8"/>
    <w:rsid w:val="00B54B89"/>
    <w:rsid w:val="00B5573C"/>
    <w:rsid w:val="00B56BEE"/>
    <w:rsid w:val="00B56EB5"/>
    <w:rsid w:val="00B57257"/>
    <w:rsid w:val="00B57662"/>
    <w:rsid w:val="00B57930"/>
    <w:rsid w:val="00B60D2B"/>
    <w:rsid w:val="00B613C0"/>
    <w:rsid w:val="00B61D4D"/>
    <w:rsid w:val="00B61F43"/>
    <w:rsid w:val="00B6247C"/>
    <w:rsid w:val="00B62A2D"/>
    <w:rsid w:val="00B63170"/>
    <w:rsid w:val="00B63250"/>
    <w:rsid w:val="00B63EDB"/>
    <w:rsid w:val="00B64642"/>
    <w:rsid w:val="00B65893"/>
    <w:rsid w:val="00B65F25"/>
    <w:rsid w:val="00B663CA"/>
    <w:rsid w:val="00B66663"/>
    <w:rsid w:val="00B67690"/>
    <w:rsid w:val="00B676D6"/>
    <w:rsid w:val="00B67C36"/>
    <w:rsid w:val="00B7088A"/>
    <w:rsid w:val="00B717DF"/>
    <w:rsid w:val="00B719A5"/>
    <w:rsid w:val="00B71DDC"/>
    <w:rsid w:val="00B71EF4"/>
    <w:rsid w:val="00B724FF"/>
    <w:rsid w:val="00B730D8"/>
    <w:rsid w:val="00B73D18"/>
    <w:rsid w:val="00B7476E"/>
    <w:rsid w:val="00B748BD"/>
    <w:rsid w:val="00B74F4D"/>
    <w:rsid w:val="00B75080"/>
    <w:rsid w:val="00B752D8"/>
    <w:rsid w:val="00B766F9"/>
    <w:rsid w:val="00B76AD0"/>
    <w:rsid w:val="00B7719F"/>
    <w:rsid w:val="00B77C4D"/>
    <w:rsid w:val="00B77CD5"/>
    <w:rsid w:val="00B77F88"/>
    <w:rsid w:val="00B80668"/>
    <w:rsid w:val="00B80A70"/>
    <w:rsid w:val="00B810E5"/>
    <w:rsid w:val="00B81D5B"/>
    <w:rsid w:val="00B81F28"/>
    <w:rsid w:val="00B82377"/>
    <w:rsid w:val="00B82878"/>
    <w:rsid w:val="00B82C45"/>
    <w:rsid w:val="00B8360C"/>
    <w:rsid w:val="00B837F2"/>
    <w:rsid w:val="00B83F7D"/>
    <w:rsid w:val="00B84441"/>
    <w:rsid w:val="00B84642"/>
    <w:rsid w:val="00B84965"/>
    <w:rsid w:val="00B850EC"/>
    <w:rsid w:val="00B85FF5"/>
    <w:rsid w:val="00B87A07"/>
    <w:rsid w:val="00B902E7"/>
    <w:rsid w:val="00B910C3"/>
    <w:rsid w:val="00B91759"/>
    <w:rsid w:val="00B91CA6"/>
    <w:rsid w:val="00B922FC"/>
    <w:rsid w:val="00B92773"/>
    <w:rsid w:val="00B92F2F"/>
    <w:rsid w:val="00B93136"/>
    <w:rsid w:val="00B93458"/>
    <w:rsid w:val="00B94677"/>
    <w:rsid w:val="00B94770"/>
    <w:rsid w:val="00B948B9"/>
    <w:rsid w:val="00B951A0"/>
    <w:rsid w:val="00B95929"/>
    <w:rsid w:val="00B96AFD"/>
    <w:rsid w:val="00B970D0"/>
    <w:rsid w:val="00B972C4"/>
    <w:rsid w:val="00B97702"/>
    <w:rsid w:val="00B97B10"/>
    <w:rsid w:val="00B97E8F"/>
    <w:rsid w:val="00BA0596"/>
    <w:rsid w:val="00BA0AE1"/>
    <w:rsid w:val="00BA0B57"/>
    <w:rsid w:val="00BA1411"/>
    <w:rsid w:val="00BA1486"/>
    <w:rsid w:val="00BA1F4A"/>
    <w:rsid w:val="00BA2D65"/>
    <w:rsid w:val="00BA2E46"/>
    <w:rsid w:val="00BA3B29"/>
    <w:rsid w:val="00BA3EBF"/>
    <w:rsid w:val="00BA44DE"/>
    <w:rsid w:val="00BA552F"/>
    <w:rsid w:val="00BA5726"/>
    <w:rsid w:val="00BA5E56"/>
    <w:rsid w:val="00BA6308"/>
    <w:rsid w:val="00BA6AEF"/>
    <w:rsid w:val="00BA6C9D"/>
    <w:rsid w:val="00BA6F05"/>
    <w:rsid w:val="00BA7976"/>
    <w:rsid w:val="00BA7A31"/>
    <w:rsid w:val="00BA7E26"/>
    <w:rsid w:val="00BA7F88"/>
    <w:rsid w:val="00BB08FF"/>
    <w:rsid w:val="00BB0AB5"/>
    <w:rsid w:val="00BB0C26"/>
    <w:rsid w:val="00BB132B"/>
    <w:rsid w:val="00BB2736"/>
    <w:rsid w:val="00BB29A7"/>
    <w:rsid w:val="00BB3581"/>
    <w:rsid w:val="00BB36E5"/>
    <w:rsid w:val="00BB3718"/>
    <w:rsid w:val="00BB4989"/>
    <w:rsid w:val="00BB541E"/>
    <w:rsid w:val="00BB559C"/>
    <w:rsid w:val="00BB596F"/>
    <w:rsid w:val="00BB61ED"/>
    <w:rsid w:val="00BB718E"/>
    <w:rsid w:val="00BB74BC"/>
    <w:rsid w:val="00BB7899"/>
    <w:rsid w:val="00BB7CCF"/>
    <w:rsid w:val="00BC0697"/>
    <w:rsid w:val="00BC18AE"/>
    <w:rsid w:val="00BC1FBB"/>
    <w:rsid w:val="00BC22F1"/>
    <w:rsid w:val="00BC2555"/>
    <w:rsid w:val="00BC29E8"/>
    <w:rsid w:val="00BC2F64"/>
    <w:rsid w:val="00BC318D"/>
    <w:rsid w:val="00BC38B7"/>
    <w:rsid w:val="00BC4A84"/>
    <w:rsid w:val="00BC5AF9"/>
    <w:rsid w:val="00BC60A6"/>
    <w:rsid w:val="00BC61E5"/>
    <w:rsid w:val="00BC7569"/>
    <w:rsid w:val="00BC799A"/>
    <w:rsid w:val="00BC7A11"/>
    <w:rsid w:val="00BD04AE"/>
    <w:rsid w:val="00BD08A4"/>
    <w:rsid w:val="00BD0FBE"/>
    <w:rsid w:val="00BD18C8"/>
    <w:rsid w:val="00BD1AC1"/>
    <w:rsid w:val="00BD263A"/>
    <w:rsid w:val="00BD346D"/>
    <w:rsid w:val="00BD3C24"/>
    <w:rsid w:val="00BD3D73"/>
    <w:rsid w:val="00BD3DAE"/>
    <w:rsid w:val="00BD46FE"/>
    <w:rsid w:val="00BD490D"/>
    <w:rsid w:val="00BD5746"/>
    <w:rsid w:val="00BD6AF7"/>
    <w:rsid w:val="00BD7AA8"/>
    <w:rsid w:val="00BD7CD4"/>
    <w:rsid w:val="00BE0181"/>
    <w:rsid w:val="00BE1177"/>
    <w:rsid w:val="00BE1F8B"/>
    <w:rsid w:val="00BE21CD"/>
    <w:rsid w:val="00BE2BAE"/>
    <w:rsid w:val="00BE2C35"/>
    <w:rsid w:val="00BE322B"/>
    <w:rsid w:val="00BE4179"/>
    <w:rsid w:val="00BE49D0"/>
    <w:rsid w:val="00BE4DD7"/>
    <w:rsid w:val="00BE64EB"/>
    <w:rsid w:val="00BE750A"/>
    <w:rsid w:val="00BF0586"/>
    <w:rsid w:val="00BF0741"/>
    <w:rsid w:val="00BF28B9"/>
    <w:rsid w:val="00BF29E8"/>
    <w:rsid w:val="00BF2D6A"/>
    <w:rsid w:val="00BF40F5"/>
    <w:rsid w:val="00BF44DD"/>
    <w:rsid w:val="00BF4978"/>
    <w:rsid w:val="00BF589C"/>
    <w:rsid w:val="00BF59F7"/>
    <w:rsid w:val="00BF60B0"/>
    <w:rsid w:val="00BF6AA6"/>
    <w:rsid w:val="00BF6B46"/>
    <w:rsid w:val="00BF6E24"/>
    <w:rsid w:val="00BF7113"/>
    <w:rsid w:val="00BF7773"/>
    <w:rsid w:val="00C00C14"/>
    <w:rsid w:val="00C00F95"/>
    <w:rsid w:val="00C017BA"/>
    <w:rsid w:val="00C031B7"/>
    <w:rsid w:val="00C037B3"/>
    <w:rsid w:val="00C040C5"/>
    <w:rsid w:val="00C043C5"/>
    <w:rsid w:val="00C0477D"/>
    <w:rsid w:val="00C0480D"/>
    <w:rsid w:val="00C04FD6"/>
    <w:rsid w:val="00C05E5C"/>
    <w:rsid w:val="00C06103"/>
    <w:rsid w:val="00C06AB2"/>
    <w:rsid w:val="00C06FD9"/>
    <w:rsid w:val="00C074FB"/>
    <w:rsid w:val="00C07634"/>
    <w:rsid w:val="00C07DB3"/>
    <w:rsid w:val="00C07E9B"/>
    <w:rsid w:val="00C1096B"/>
    <w:rsid w:val="00C11B7E"/>
    <w:rsid w:val="00C12CC2"/>
    <w:rsid w:val="00C13113"/>
    <w:rsid w:val="00C13B8B"/>
    <w:rsid w:val="00C13E29"/>
    <w:rsid w:val="00C13F3E"/>
    <w:rsid w:val="00C14733"/>
    <w:rsid w:val="00C14931"/>
    <w:rsid w:val="00C14D60"/>
    <w:rsid w:val="00C14E4A"/>
    <w:rsid w:val="00C15710"/>
    <w:rsid w:val="00C16A4A"/>
    <w:rsid w:val="00C16A93"/>
    <w:rsid w:val="00C16C0F"/>
    <w:rsid w:val="00C16D02"/>
    <w:rsid w:val="00C17B10"/>
    <w:rsid w:val="00C17F78"/>
    <w:rsid w:val="00C217CF"/>
    <w:rsid w:val="00C22DF8"/>
    <w:rsid w:val="00C23090"/>
    <w:rsid w:val="00C23437"/>
    <w:rsid w:val="00C23AE7"/>
    <w:rsid w:val="00C25510"/>
    <w:rsid w:val="00C2565A"/>
    <w:rsid w:val="00C257A8"/>
    <w:rsid w:val="00C25B22"/>
    <w:rsid w:val="00C25E82"/>
    <w:rsid w:val="00C26129"/>
    <w:rsid w:val="00C261DF"/>
    <w:rsid w:val="00C26664"/>
    <w:rsid w:val="00C26D7F"/>
    <w:rsid w:val="00C3028C"/>
    <w:rsid w:val="00C30759"/>
    <w:rsid w:val="00C31600"/>
    <w:rsid w:val="00C318EA"/>
    <w:rsid w:val="00C31BF6"/>
    <w:rsid w:val="00C31E16"/>
    <w:rsid w:val="00C31EC5"/>
    <w:rsid w:val="00C33B64"/>
    <w:rsid w:val="00C3473E"/>
    <w:rsid w:val="00C35685"/>
    <w:rsid w:val="00C368FE"/>
    <w:rsid w:val="00C3692F"/>
    <w:rsid w:val="00C3718E"/>
    <w:rsid w:val="00C37C54"/>
    <w:rsid w:val="00C37FE4"/>
    <w:rsid w:val="00C415D6"/>
    <w:rsid w:val="00C4235C"/>
    <w:rsid w:val="00C42EC1"/>
    <w:rsid w:val="00C43473"/>
    <w:rsid w:val="00C43561"/>
    <w:rsid w:val="00C43865"/>
    <w:rsid w:val="00C4400D"/>
    <w:rsid w:val="00C44510"/>
    <w:rsid w:val="00C4514D"/>
    <w:rsid w:val="00C455A9"/>
    <w:rsid w:val="00C46998"/>
    <w:rsid w:val="00C47955"/>
    <w:rsid w:val="00C500E0"/>
    <w:rsid w:val="00C5057B"/>
    <w:rsid w:val="00C5076C"/>
    <w:rsid w:val="00C50EA5"/>
    <w:rsid w:val="00C50EAA"/>
    <w:rsid w:val="00C5160D"/>
    <w:rsid w:val="00C52EB4"/>
    <w:rsid w:val="00C52ED4"/>
    <w:rsid w:val="00C53320"/>
    <w:rsid w:val="00C54B6C"/>
    <w:rsid w:val="00C54F08"/>
    <w:rsid w:val="00C54FEA"/>
    <w:rsid w:val="00C551F1"/>
    <w:rsid w:val="00C5528D"/>
    <w:rsid w:val="00C55BC7"/>
    <w:rsid w:val="00C5605B"/>
    <w:rsid w:val="00C56CF6"/>
    <w:rsid w:val="00C57640"/>
    <w:rsid w:val="00C57B95"/>
    <w:rsid w:val="00C61649"/>
    <w:rsid w:val="00C622CD"/>
    <w:rsid w:val="00C62E5D"/>
    <w:rsid w:val="00C6323B"/>
    <w:rsid w:val="00C63B5F"/>
    <w:rsid w:val="00C6472D"/>
    <w:rsid w:val="00C647AA"/>
    <w:rsid w:val="00C65035"/>
    <w:rsid w:val="00C668A5"/>
    <w:rsid w:val="00C66B1F"/>
    <w:rsid w:val="00C66C23"/>
    <w:rsid w:val="00C670D4"/>
    <w:rsid w:val="00C679B3"/>
    <w:rsid w:val="00C67C35"/>
    <w:rsid w:val="00C704A1"/>
    <w:rsid w:val="00C704DC"/>
    <w:rsid w:val="00C70FB7"/>
    <w:rsid w:val="00C72362"/>
    <w:rsid w:val="00C7290F"/>
    <w:rsid w:val="00C72965"/>
    <w:rsid w:val="00C73774"/>
    <w:rsid w:val="00C74EC1"/>
    <w:rsid w:val="00C75C2A"/>
    <w:rsid w:val="00C75DAF"/>
    <w:rsid w:val="00C76329"/>
    <w:rsid w:val="00C76797"/>
    <w:rsid w:val="00C76BDC"/>
    <w:rsid w:val="00C7762D"/>
    <w:rsid w:val="00C77832"/>
    <w:rsid w:val="00C77BBA"/>
    <w:rsid w:val="00C80868"/>
    <w:rsid w:val="00C80C6D"/>
    <w:rsid w:val="00C80DA6"/>
    <w:rsid w:val="00C819ED"/>
    <w:rsid w:val="00C81A09"/>
    <w:rsid w:val="00C82315"/>
    <w:rsid w:val="00C8305C"/>
    <w:rsid w:val="00C83DF5"/>
    <w:rsid w:val="00C84A01"/>
    <w:rsid w:val="00C8585C"/>
    <w:rsid w:val="00C865A2"/>
    <w:rsid w:val="00C868C4"/>
    <w:rsid w:val="00C86979"/>
    <w:rsid w:val="00C86ED9"/>
    <w:rsid w:val="00C876A4"/>
    <w:rsid w:val="00C87E55"/>
    <w:rsid w:val="00C90310"/>
    <w:rsid w:val="00C90FC2"/>
    <w:rsid w:val="00C91EE1"/>
    <w:rsid w:val="00C92148"/>
    <w:rsid w:val="00C92944"/>
    <w:rsid w:val="00C93A62"/>
    <w:rsid w:val="00C943B5"/>
    <w:rsid w:val="00C945E0"/>
    <w:rsid w:val="00C94965"/>
    <w:rsid w:val="00C94983"/>
    <w:rsid w:val="00C94BFA"/>
    <w:rsid w:val="00C95813"/>
    <w:rsid w:val="00C960E1"/>
    <w:rsid w:val="00C96289"/>
    <w:rsid w:val="00C96A49"/>
    <w:rsid w:val="00C96C9A"/>
    <w:rsid w:val="00CA00CC"/>
    <w:rsid w:val="00CA0D1C"/>
    <w:rsid w:val="00CA1AFB"/>
    <w:rsid w:val="00CA222D"/>
    <w:rsid w:val="00CA2308"/>
    <w:rsid w:val="00CA2590"/>
    <w:rsid w:val="00CA2714"/>
    <w:rsid w:val="00CA3C70"/>
    <w:rsid w:val="00CA492D"/>
    <w:rsid w:val="00CA4C4E"/>
    <w:rsid w:val="00CA508D"/>
    <w:rsid w:val="00CA58FF"/>
    <w:rsid w:val="00CA5E5C"/>
    <w:rsid w:val="00CA608F"/>
    <w:rsid w:val="00CA609E"/>
    <w:rsid w:val="00CA6BDC"/>
    <w:rsid w:val="00CA6DBD"/>
    <w:rsid w:val="00CA7E74"/>
    <w:rsid w:val="00CB009E"/>
    <w:rsid w:val="00CB05AD"/>
    <w:rsid w:val="00CB09EC"/>
    <w:rsid w:val="00CB1353"/>
    <w:rsid w:val="00CB16C9"/>
    <w:rsid w:val="00CB1922"/>
    <w:rsid w:val="00CB1AA2"/>
    <w:rsid w:val="00CB1AE1"/>
    <w:rsid w:val="00CB3069"/>
    <w:rsid w:val="00CB3446"/>
    <w:rsid w:val="00CB4EAF"/>
    <w:rsid w:val="00CB519D"/>
    <w:rsid w:val="00CB51FC"/>
    <w:rsid w:val="00CB5DFB"/>
    <w:rsid w:val="00CB63D9"/>
    <w:rsid w:val="00CB68B2"/>
    <w:rsid w:val="00CB6EEC"/>
    <w:rsid w:val="00CB6F9F"/>
    <w:rsid w:val="00CB7096"/>
    <w:rsid w:val="00CB7356"/>
    <w:rsid w:val="00CC1798"/>
    <w:rsid w:val="00CC1FFD"/>
    <w:rsid w:val="00CC278D"/>
    <w:rsid w:val="00CC2DEC"/>
    <w:rsid w:val="00CC33B4"/>
    <w:rsid w:val="00CC51C2"/>
    <w:rsid w:val="00CC534C"/>
    <w:rsid w:val="00CC6542"/>
    <w:rsid w:val="00CC74D7"/>
    <w:rsid w:val="00CC7DDD"/>
    <w:rsid w:val="00CD0EF6"/>
    <w:rsid w:val="00CD1A5D"/>
    <w:rsid w:val="00CD1F4F"/>
    <w:rsid w:val="00CD313D"/>
    <w:rsid w:val="00CD3681"/>
    <w:rsid w:val="00CD49CC"/>
    <w:rsid w:val="00CD4D9F"/>
    <w:rsid w:val="00CD5038"/>
    <w:rsid w:val="00CD657C"/>
    <w:rsid w:val="00CD6C4F"/>
    <w:rsid w:val="00CD6D77"/>
    <w:rsid w:val="00CD77A2"/>
    <w:rsid w:val="00CD79D7"/>
    <w:rsid w:val="00CE0F19"/>
    <w:rsid w:val="00CE14D3"/>
    <w:rsid w:val="00CE17A3"/>
    <w:rsid w:val="00CE20FC"/>
    <w:rsid w:val="00CE22B2"/>
    <w:rsid w:val="00CE3ABC"/>
    <w:rsid w:val="00CE3FA7"/>
    <w:rsid w:val="00CE46E1"/>
    <w:rsid w:val="00CE4724"/>
    <w:rsid w:val="00CE7A98"/>
    <w:rsid w:val="00CE7B5C"/>
    <w:rsid w:val="00CF01E0"/>
    <w:rsid w:val="00CF049E"/>
    <w:rsid w:val="00CF084E"/>
    <w:rsid w:val="00CF117B"/>
    <w:rsid w:val="00CF2042"/>
    <w:rsid w:val="00CF24C5"/>
    <w:rsid w:val="00CF251E"/>
    <w:rsid w:val="00CF2851"/>
    <w:rsid w:val="00CF2D03"/>
    <w:rsid w:val="00CF3B36"/>
    <w:rsid w:val="00CF4166"/>
    <w:rsid w:val="00CF45B0"/>
    <w:rsid w:val="00CF47DB"/>
    <w:rsid w:val="00CF4827"/>
    <w:rsid w:val="00CF4916"/>
    <w:rsid w:val="00CF4969"/>
    <w:rsid w:val="00CF50F2"/>
    <w:rsid w:val="00CF5778"/>
    <w:rsid w:val="00CF5858"/>
    <w:rsid w:val="00CF5F16"/>
    <w:rsid w:val="00CF6575"/>
    <w:rsid w:val="00CF7D2D"/>
    <w:rsid w:val="00D00671"/>
    <w:rsid w:val="00D01A53"/>
    <w:rsid w:val="00D01AB8"/>
    <w:rsid w:val="00D01BBD"/>
    <w:rsid w:val="00D0292A"/>
    <w:rsid w:val="00D03087"/>
    <w:rsid w:val="00D04CA6"/>
    <w:rsid w:val="00D0589E"/>
    <w:rsid w:val="00D06C4D"/>
    <w:rsid w:val="00D06E01"/>
    <w:rsid w:val="00D0754F"/>
    <w:rsid w:val="00D07A64"/>
    <w:rsid w:val="00D10119"/>
    <w:rsid w:val="00D1022B"/>
    <w:rsid w:val="00D10242"/>
    <w:rsid w:val="00D10377"/>
    <w:rsid w:val="00D10B3B"/>
    <w:rsid w:val="00D10B3C"/>
    <w:rsid w:val="00D11D10"/>
    <w:rsid w:val="00D12C41"/>
    <w:rsid w:val="00D13B84"/>
    <w:rsid w:val="00D1408B"/>
    <w:rsid w:val="00D1506D"/>
    <w:rsid w:val="00D156D7"/>
    <w:rsid w:val="00D159F5"/>
    <w:rsid w:val="00D15E7B"/>
    <w:rsid w:val="00D20BD4"/>
    <w:rsid w:val="00D20DA5"/>
    <w:rsid w:val="00D211BF"/>
    <w:rsid w:val="00D21286"/>
    <w:rsid w:val="00D21BE1"/>
    <w:rsid w:val="00D232D6"/>
    <w:rsid w:val="00D23898"/>
    <w:rsid w:val="00D25244"/>
    <w:rsid w:val="00D253E6"/>
    <w:rsid w:val="00D25DA8"/>
    <w:rsid w:val="00D26672"/>
    <w:rsid w:val="00D2740D"/>
    <w:rsid w:val="00D27413"/>
    <w:rsid w:val="00D301C1"/>
    <w:rsid w:val="00D30498"/>
    <w:rsid w:val="00D30701"/>
    <w:rsid w:val="00D30972"/>
    <w:rsid w:val="00D30F96"/>
    <w:rsid w:val="00D31853"/>
    <w:rsid w:val="00D31909"/>
    <w:rsid w:val="00D32495"/>
    <w:rsid w:val="00D3299D"/>
    <w:rsid w:val="00D3326C"/>
    <w:rsid w:val="00D33392"/>
    <w:rsid w:val="00D3361C"/>
    <w:rsid w:val="00D33E9B"/>
    <w:rsid w:val="00D33F40"/>
    <w:rsid w:val="00D35123"/>
    <w:rsid w:val="00D35E48"/>
    <w:rsid w:val="00D35FC6"/>
    <w:rsid w:val="00D35FFF"/>
    <w:rsid w:val="00D3608D"/>
    <w:rsid w:val="00D36208"/>
    <w:rsid w:val="00D36E1B"/>
    <w:rsid w:val="00D37570"/>
    <w:rsid w:val="00D37C9F"/>
    <w:rsid w:val="00D37E48"/>
    <w:rsid w:val="00D408B7"/>
    <w:rsid w:val="00D41D8C"/>
    <w:rsid w:val="00D4249F"/>
    <w:rsid w:val="00D424A6"/>
    <w:rsid w:val="00D42567"/>
    <w:rsid w:val="00D42878"/>
    <w:rsid w:val="00D428EF"/>
    <w:rsid w:val="00D42E19"/>
    <w:rsid w:val="00D435DA"/>
    <w:rsid w:val="00D44214"/>
    <w:rsid w:val="00D44F09"/>
    <w:rsid w:val="00D45181"/>
    <w:rsid w:val="00D45405"/>
    <w:rsid w:val="00D46B1A"/>
    <w:rsid w:val="00D46E49"/>
    <w:rsid w:val="00D471DB"/>
    <w:rsid w:val="00D47374"/>
    <w:rsid w:val="00D500C4"/>
    <w:rsid w:val="00D50C2F"/>
    <w:rsid w:val="00D51281"/>
    <w:rsid w:val="00D51311"/>
    <w:rsid w:val="00D516C5"/>
    <w:rsid w:val="00D51811"/>
    <w:rsid w:val="00D52020"/>
    <w:rsid w:val="00D5203E"/>
    <w:rsid w:val="00D52826"/>
    <w:rsid w:val="00D52A8A"/>
    <w:rsid w:val="00D52AD6"/>
    <w:rsid w:val="00D52D22"/>
    <w:rsid w:val="00D52FC3"/>
    <w:rsid w:val="00D53446"/>
    <w:rsid w:val="00D53B21"/>
    <w:rsid w:val="00D54415"/>
    <w:rsid w:val="00D54460"/>
    <w:rsid w:val="00D575E5"/>
    <w:rsid w:val="00D577DC"/>
    <w:rsid w:val="00D6071B"/>
    <w:rsid w:val="00D60864"/>
    <w:rsid w:val="00D60B2A"/>
    <w:rsid w:val="00D61365"/>
    <w:rsid w:val="00D6192C"/>
    <w:rsid w:val="00D61F4D"/>
    <w:rsid w:val="00D620F0"/>
    <w:rsid w:val="00D62305"/>
    <w:rsid w:val="00D6284E"/>
    <w:rsid w:val="00D63150"/>
    <w:rsid w:val="00D63235"/>
    <w:rsid w:val="00D63488"/>
    <w:rsid w:val="00D63579"/>
    <w:rsid w:val="00D638F7"/>
    <w:rsid w:val="00D64033"/>
    <w:rsid w:val="00D65F7B"/>
    <w:rsid w:val="00D66368"/>
    <w:rsid w:val="00D670A8"/>
    <w:rsid w:val="00D70072"/>
    <w:rsid w:val="00D70862"/>
    <w:rsid w:val="00D70910"/>
    <w:rsid w:val="00D716FB"/>
    <w:rsid w:val="00D724E2"/>
    <w:rsid w:val="00D74000"/>
    <w:rsid w:val="00D748D6"/>
    <w:rsid w:val="00D7498C"/>
    <w:rsid w:val="00D75777"/>
    <w:rsid w:val="00D75DC2"/>
    <w:rsid w:val="00D76041"/>
    <w:rsid w:val="00D76802"/>
    <w:rsid w:val="00D76B0D"/>
    <w:rsid w:val="00D7762A"/>
    <w:rsid w:val="00D808C5"/>
    <w:rsid w:val="00D81078"/>
    <w:rsid w:val="00D814AA"/>
    <w:rsid w:val="00D819DE"/>
    <w:rsid w:val="00D834EE"/>
    <w:rsid w:val="00D84CA0"/>
    <w:rsid w:val="00D852D2"/>
    <w:rsid w:val="00D85773"/>
    <w:rsid w:val="00D8597D"/>
    <w:rsid w:val="00D85F3B"/>
    <w:rsid w:val="00D8673E"/>
    <w:rsid w:val="00D86C88"/>
    <w:rsid w:val="00D86C89"/>
    <w:rsid w:val="00D876E5"/>
    <w:rsid w:val="00D877BD"/>
    <w:rsid w:val="00D90152"/>
    <w:rsid w:val="00D909D7"/>
    <w:rsid w:val="00D91285"/>
    <w:rsid w:val="00D91DC6"/>
    <w:rsid w:val="00D92218"/>
    <w:rsid w:val="00D928E1"/>
    <w:rsid w:val="00D932CA"/>
    <w:rsid w:val="00D932D1"/>
    <w:rsid w:val="00D934EA"/>
    <w:rsid w:val="00D93F53"/>
    <w:rsid w:val="00D945B9"/>
    <w:rsid w:val="00D94795"/>
    <w:rsid w:val="00D9559A"/>
    <w:rsid w:val="00D959C0"/>
    <w:rsid w:val="00D96A7B"/>
    <w:rsid w:val="00D96F07"/>
    <w:rsid w:val="00D96FDC"/>
    <w:rsid w:val="00D97381"/>
    <w:rsid w:val="00D97C23"/>
    <w:rsid w:val="00D97F9D"/>
    <w:rsid w:val="00DA08AB"/>
    <w:rsid w:val="00DA08EC"/>
    <w:rsid w:val="00DA1040"/>
    <w:rsid w:val="00DA1315"/>
    <w:rsid w:val="00DA1634"/>
    <w:rsid w:val="00DA1753"/>
    <w:rsid w:val="00DA1D64"/>
    <w:rsid w:val="00DA2A3B"/>
    <w:rsid w:val="00DA3A3A"/>
    <w:rsid w:val="00DA5681"/>
    <w:rsid w:val="00DA5786"/>
    <w:rsid w:val="00DA61AB"/>
    <w:rsid w:val="00DA6920"/>
    <w:rsid w:val="00DA7271"/>
    <w:rsid w:val="00DA799E"/>
    <w:rsid w:val="00DA7EED"/>
    <w:rsid w:val="00DB0495"/>
    <w:rsid w:val="00DB143B"/>
    <w:rsid w:val="00DB14C3"/>
    <w:rsid w:val="00DB19A9"/>
    <w:rsid w:val="00DB242D"/>
    <w:rsid w:val="00DB2547"/>
    <w:rsid w:val="00DB266E"/>
    <w:rsid w:val="00DB29BD"/>
    <w:rsid w:val="00DB34BA"/>
    <w:rsid w:val="00DB3752"/>
    <w:rsid w:val="00DB3AF3"/>
    <w:rsid w:val="00DB3E16"/>
    <w:rsid w:val="00DB4660"/>
    <w:rsid w:val="00DB4A68"/>
    <w:rsid w:val="00DB5021"/>
    <w:rsid w:val="00DB54EA"/>
    <w:rsid w:val="00DB58E9"/>
    <w:rsid w:val="00DB602C"/>
    <w:rsid w:val="00DB67BC"/>
    <w:rsid w:val="00DB68C4"/>
    <w:rsid w:val="00DB6949"/>
    <w:rsid w:val="00DB7162"/>
    <w:rsid w:val="00DC06BF"/>
    <w:rsid w:val="00DC09F0"/>
    <w:rsid w:val="00DC0A12"/>
    <w:rsid w:val="00DC0C8A"/>
    <w:rsid w:val="00DC16CC"/>
    <w:rsid w:val="00DC2367"/>
    <w:rsid w:val="00DC29CE"/>
    <w:rsid w:val="00DC317C"/>
    <w:rsid w:val="00DC470E"/>
    <w:rsid w:val="00DC5177"/>
    <w:rsid w:val="00DC589C"/>
    <w:rsid w:val="00DC6C10"/>
    <w:rsid w:val="00DC76A8"/>
    <w:rsid w:val="00DC7885"/>
    <w:rsid w:val="00DC7B9F"/>
    <w:rsid w:val="00DD03DE"/>
    <w:rsid w:val="00DD0A61"/>
    <w:rsid w:val="00DD2662"/>
    <w:rsid w:val="00DD2D2F"/>
    <w:rsid w:val="00DD471A"/>
    <w:rsid w:val="00DD4FB2"/>
    <w:rsid w:val="00DD5861"/>
    <w:rsid w:val="00DD58FA"/>
    <w:rsid w:val="00DD5B4E"/>
    <w:rsid w:val="00DD6AA2"/>
    <w:rsid w:val="00DD6EBB"/>
    <w:rsid w:val="00DD7B15"/>
    <w:rsid w:val="00DD7E69"/>
    <w:rsid w:val="00DE0A29"/>
    <w:rsid w:val="00DE16C0"/>
    <w:rsid w:val="00DE1DDE"/>
    <w:rsid w:val="00DE3CF4"/>
    <w:rsid w:val="00DE3D33"/>
    <w:rsid w:val="00DE49AC"/>
    <w:rsid w:val="00DE4E7D"/>
    <w:rsid w:val="00DE4EF5"/>
    <w:rsid w:val="00DE4FA3"/>
    <w:rsid w:val="00DE50C5"/>
    <w:rsid w:val="00DE58F2"/>
    <w:rsid w:val="00DE604D"/>
    <w:rsid w:val="00DE6C5B"/>
    <w:rsid w:val="00DE6D57"/>
    <w:rsid w:val="00DE71F0"/>
    <w:rsid w:val="00DE7F6D"/>
    <w:rsid w:val="00DF00FF"/>
    <w:rsid w:val="00DF0936"/>
    <w:rsid w:val="00DF0E8F"/>
    <w:rsid w:val="00DF1238"/>
    <w:rsid w:val="00DF1608"/>
    <w:rsid w:val="00DF2513"/>
    <w:rsid w:val="00DF25F2"/>
    <w:rsid w:val="00DF35DC"/>
    <w:rsid w:val="00DF3C4E"/>
    <w:rsid w:val="00DF3D83"/>
    <w:rsid w:val="00DF500E"/>
    <w:rsid w:val="00DF51F1"/>
    <w:rsid w:val="00DF5311"/>
    <w:rsid w:val="00DF5B91"/>
    <w:rsid w:val="00DF62F2"/>
    <w:rsid w:val="00DF649D"/>
    <w:rsid w:val="00DF7107"/>
    <w:rsid w:val="00DF71FE"/>
    <w:rsid w:val="00DF76A2"/>
    <w:rsid w:val="00DF776B"/>
    <w:rsid w:val="00DF7EF7"/>
    <w:rsid w:val="00E00328"/>
    <w:rsid w:val="00E01632"/>
    <w:rsid w:val="00E02461"/>
    <w:rsid w:val="00E025D2"/>
    <w:rsid w:val="00E028EC"/>
    <w:rsid w:val="00E02BBA"/>
    <w:rsid w:val="00E0333B"/>
    <w:rsid w:val="00E03693"/>
    <w:rsid w:val="00E03D0B"/>
    <w:rsid w:val="00E03FCD"/>
    <w:rsid w:val="00E05545"/>
    <w:rsid w:val="00E06767"/>
    <w:rsid w:val="00E070EC"/>
    <w:rsid w:val="00E105CB"/>
    <w:rsid w:val="00E106E9"/>
    <w:rsid w:val="00E106FA"/>
    <w:rsid w:val="00E117A7"/>
    <w:rsid w:val="00E12257"/>
    <w:rsid w:val="00E158FF"/>
    <w:rsid w:val="00E15AEB"/>
    <w:rsid w:val="00E15B85"/>
    <w:rsid w:val="00E17438"/>
    <w:rsid w:val="00E17ECB"/>
    <w:rsid w:val="00E20429"/>
    <w:rsid w:val="00E20543"/>
    <w:rsid w:val="00E208A1"/>
    <w:rsid w:val="00E20F9B"/>
    <w:rsid w:val="00E21F6E"/>
    <w:rsid w:val="00E223B4"/>
    <w:rsid w:val="00E239E6"/>
    <w:rsid w:val="00E24749"/>
    <w:rsid w:val="00E24A96"/>
    <w:rsid w:val="00E25A15"/>
    <w:rsid w:val="00E25E7C"/>
    <w:rsid w:val="00E31B4F"/>
    <w:rsid w:val="00E31C1D"/>
    <w:rsid w:val="00E33AE4"/>
    <w:rsid w:val="00E33C2C"/>
    <w:rsid w:val="00E33FC0"/>
    <w:rsid w:val="00E34195"/>
    <w:rsid w:val="00E345B5"/>
    <w:rsid w:val="00E346FC"/>
    <w:rsid w:val="00E34D45"/>
    <w:rsid w:val="00E351F0"/>
    <w:rsid w:val="00E35727"/>
    <w:rsid w:val="00E359CE"/>
    <w:rsid w:val="00E35BE9"/>
    <w:rsid w:val="00E362BE"/>
    <w:rsid w:val="00E37483"/>
    <w:rsid w:val="00E40EF9"/>
    <w:rsid w:val="00E41817"/>
    <w:rsid w:val="00E41A6D"/>
    <w:rsid w:val="00E41AC3"/>
    <w:rsid w:val="00E422BD"/>
    <w:rsid w:val="00E4254D"/>
    <w:rsid w:val="00E42698"/>
    <w:rsid w:val="00E441AC"/>
    <w:rsid w:val="00E442F9"/>
    <w:rsid w:val="00E456EE"/>
    <w:rsid w:val="00E45BC8"/>
    <w:rsid w:val="00E460FE"/>
    <w:rsid w:val="00E47774"/>
    <w:rsid w:val="00E47B86"/>
    <w:rsid w:val="00E50DDC"/>
    <w:rsid w:val="00E51708"/>
    <w:rsid w:val="00E51959"/>
    <w:rsid w:val="00E51E4E"/>
    <w:rsid w:val="00E52011"/>
    <w:rsid w:val="00E520A0"/>
    <w:rsid w:val="00E52774"/>
    <w:rsid w:val="00E52D8B"/>
    <w:rsid w:val="00E532BD"/>
    <w:rsid w:val="00E53D74"/>
    <w:rsid w:val="00E541CD"/>
    <w:rsid w:val="00E54799"/>
    <w:rsid w:val="00E54804"/>
    <w:rsid w:val="00E5491A"/>
    <w:rsid w:val="00E55309"/>
    <w:rsid w:val="00E567FE"/>
    <w:rsid w:val="00E57178"/>
    <w:rsid w:val="00E57629"/>
    <w:rsid w:val="00E5793C"/>
    <w:rsid w:val="00E57FAC"/>
    <w:rsid w:val="00E602E4"/>
    <w:rsid w:val="00E60BCF"/>
    <w:rsid w:val="00E60D86"/>
    <w:rsid w:val="00E60DAB"/>
    <w:rsid w:val="00E61A06"/>
    <w:rsid w:val="00E62122"/>
    <w:rsid w:val="00E62652"/>
    <w:rsid w:val="00E62915"/>
    <w:rsid w:val="00E64166"/>
    <w:rsid w:val="00E641D6"/>
    <w:rsid w:val="00E64742"/>
    <w:rsid w:val="00E64C65"/>
    <w:rsid w:val="00E66827"/>
    <w:rsid w:val="00E6698D"/>
    <w:rsid w:val="00E66A3F"/>
    <w:rsid w:val="00E66E98"/>
    <w:rsid w:val="00E67735"/>
    <w:rsid w:val="00E6779F"/>
    <w:rsid w:val="00E67B65"/>
    <w:rsid w:val="00E67D83"/>
    <w:rsid w:val="00E67FEC"/>
    <w:rsid w:val="00E702B3"/>
    <w:rsid w:val="00E71A28"/>
    <w:rsid w:val="00E726DF"/>
    <w:rsid w:val="00E72A50"/>
    <w:rsid w:val="00E75432"/>
    <w:rsid w:val="00E7664D"/>
    <w:rsid w:val="00E777B4"/>
    <w:rsid w:val="00E7786B"/>
    <w:rsid w:val="00E77AFB"/>
    <w:rsid w:val="00E77E3E"/>
    <w:rsid w:val="00E81088"/>
    <w:rsid w:val="00E81412"/>
    <w:rsid w:val="00E816E1"/>
    <w:rsid w:val="00E82E03"/>
    <w:rsid w:val="00E8315B"/>
    <w:rsid w:val="00E834DF"/>
    <w:rsid w:val="00E83B00"/>
    <w:rsid w:val="00E83EBE"/>
    <w:rsid w:val="00E8407E"/>
    <w:rsid w:val="00E8495F"/>
    <w:rsid w:val="00E86A89"/>
    <w:rsid w:val="00E87178"/>
    <w:rsid w:val="00E874AE"/>
    <w:rsid w:val="00E8771B"/>
    <w:rsid w:val="00E87B46"/>
    <w:rsid w:val="00E87EC9"/>
    <w:rsid w:val="00E87F14"/>
    <w:rsid w:val="00E912C3"/>
    <w:rsid w:val="00E92784"/>
    <w:rsid w:val="00E92A22"/>
    <w:rsid w:val="00E92B02"/>
    <w:rsid w:val="00E93DBF"/>
    <w:rsid w:val="00E94EF3"/>
    <w:rsid w:val="00E9510B"/>
    <w:rsid w:val="00E9606B"/>
    <w:rsid w:val="00E971DA"/>
    <w:rsid w:val="00EA0068"/>
    <w:rsid w:val="00EA0429"/>
    <w:rsid w:val="00EA087F"/>
    <w:rsid w:val="00EA0A0D"/>
    <w:rsid w:val="00EA0C7F"/>
    <w:rsid w:val="00EA135A"/>
    <w:rsid w:val="00EA1C77"/>
    <w:rsid w:val="00EA29C9"/>
    <w:rsid w:val="00EA2D3F"/>
    <w:rsid w:val="00EA3926"/>
    <w:rsid w:val="00EA3D23"/>
    <w:rsid w:val="00EA4746"/>
    <w:rsid w:val="00EA4D1B"/>
    <w:rsid w:val="00EA5AA0"/>
    <w:rsid w:val="00EA6D95"/>
    <w:rsid w:val="00EB02E7"/>
    <w:rsid w:val="00EB0557"/>
    <w:rsid w:val="00EB153B"/>
    <w:rsid w:val="00EB26BB"/>
    <w:rsid w:val="00EB26BE"/>
    <w:rsid w:val="00EB2D11"/>
    <w:rsid w:val="00EB2F2B"/>
    <w:rsid w:val="00EB32C0"/>
    <w:rsid w:val="00EB461C"/>
    <w:rsid w:val="00EB4EF1"/>
    <w:rsid w:val="00EB529D"/>
    <w:rsid w:val="00EB5F19"/>
    <w:rsid w:val="00EB6327"/>
    <w:rsid w:val="00EB6715"/>
    <w:rsid w:val="00EB6823"/>
    <w:rsid w:val="00EB6CC2"/>
    <w:rsid w:val="00EB797F"/>
    <w:rsid w:val="00EB7BA6"/>
    <w:rsid w:val="00EB7DA9"/>
    <w:rsid w:val="00EC0631"/>
    <w:rsid w:val="00EC0F53"/>
    <w:rsid w:val="00EC1260"/>
    <w:rsid w:val="00EC12CD"/>
    <w:rsid w:val="00EC15A9"/>
    <w:rsid w:val="00EC1AAF"/>
    <w:rsid w:val="00EC1C25"/>
    <w:rsid w:val="00EC221A"/>
    <w:rsid w:val="00EC23D8"/>
    <w:rsid w:val="00EC277F"/>
    <w:rsid w:val="00EC2E68"/>
    <w:rsid w:val="00EC3544"/>
    <w:rsid w:val="00EC3BE2"/>
    <w:rsid w:val="00EC3D7A"/>
    <w:rsid w:val="00EC4F2C"/>
    <w:rsid w:val="00EC51BC"/>
    <w:rsid w:val="00EC67B2"/>
    <w:rsid w:val="00EC71FA"/>
    <w:rsid w:val="00ED0079"/>
    <w:rsid w:val="00ED00C1"/>
    <w:rsid w:val="00ED10A7"/>
    <w:rsid w:val="00ED1246"/>
    <w:rsid w:val="00ED1851"/>
    <w:rsid w:val="00ED25EE"/>
    <w:rsid w:val="00ED3230"/>
    <w:rsid w:val="00ED351F"/>
    <w:rsid w:val="00ED3A0C"/>
    <w:rsid w:val="00ED44F8"/>
    <w:rsid w:val="00ED636C"/>
    <w:rsid w:val="00ED7240"/>
    <w:rsid w:val="00ED7AFA"/>
    <w:rsid w:val="00ED7D0B"/>
    <w:rsid w:val="00ED7FD7"/>
    <w:rsid w:val="00EE04AF"/>
    <w:rsid w:val="00EE0D79"/>
    <w:rsid w:val="00EE1A20"/>
    <w:rsid w:val="00EE2559"/>
    <w:rsid w:val="00EE478E"/>
    <w:rsid w:val="00EE515B"/>
    <w:rsid w:val="00EE5D62"/>
    <w:rsid w:val="00EE5F7E"/>
    <w:rsid w:val="00EE67D5"/>
    <w:rsid w:val="00EE6F69"/>
    <w:rsid w:val="00EE7014"/>
    <w:rsid w:val="00EE7504"/>
    <w:rsid w:val="00EF038F"/>
    <w:rsid w:val="00EF0B9D"/>
    <w:rsid w:val="00EF1387"/>
    <w:rsid w:val="00EF18B6"/>
    <w:rsid w:val="00EF1976"/>
    <w:rsid w:val="00EF289A"/>
    <w:rsid w:val="00EF2B37"/>
    <w:rsid w:val="00EF3C2C"/>
    <w:rsid w:val="00EF3F5F"/>
    <w:rsid w:val="00EF449F"/>
    <w:rsid w:val="00EF4D89"/>
    <w:rsid w:val="00EF4EF2"/>
    <w:rsid w:val="00EF5493"/>
    <w:rsid w:val="00EF5C26"/>
    <w:rsid w:val="00EF5F95"/>
    <w:rsid w:val="00EF6341"/>
    <w:rsid w:val="00EF6996"/>
    <w:rsid w:val="00EF7327"/>
    <w:rsid w:val="00F00B51"/>
    <w:rsid w:val="00F0174D"/>
    <w:rsid w:val="00F019A3"/>
    <w:rsid w:val="00F023BA"/>
    <w:rsid w:val="00F027BF"/>
    <w:rsid w:val="00F02A8F"/>
    <w:rsid w:val="00F02FAE"/>
    <w:rsid w:val="00F045D5"/>
    <w:rsid w:val="00F046A9"/>
    <w:rsid w:val="00F05367"/>
    <w:rsid w:val="00F05885"/>
    <w:rsid w:val="00F06056"/>
    <w:rsid w:val="00F06E6A"/>
    <w:rsid w:val="00F07212"/>
    <w:rsid w:val="00F101E4"/>
    <w:rsid w:val="00F10982"/>
    <w:rsid w:val="00F109E4"/>
    <w:rsid w:val="00F11015"/>
    <w:rsid w:val="00F11468"/>
    <w:rsid w:val="00F12580"/>
    <w:rsid w:val="00F13B10"/>
    <w:rsid w:val="00F13C42"/>
    <w:rsid w:val="00F14FC7"/>
    <w:rsid w:val="00F15687"/>
    <w:rsid w:val="00F15CC0"/>
    <w:rsid w:val="00F16A7C"/>
    <w:rsid w:val="00F16B66"/>
    <w:rsid w:val="00F16E7A"/>
    <w:rsid w:val="00F17DA7"/>
    <w:rsid w:val="00F20856"/>
    <w:rsid w:val="00F20A69"/>
    <w:rsid w:val="00F21DF4"/>
    <w:rsid w:val="00F21E72"/>
    <w:rsid w:val="00F222AB"/>
    <w:rsid w:val="00F229F9"/>
    <w:rsid w:val="00F2434B"/>
    <w:rsid w:val="00F24360"/>
    <w:rsid w:val="00F24D61"/>
    <w:rsid w:val="00F2543D"/>
    <w:rsid w:val="00F25574"/>
    <w:rsid w:val="00F25A6E"/>
    <w:rsid w:val="00F25F3A"/>
    <w:rsid w:val="00F2633E"/>
    <w:rsid w:val="00F26355"/>
    <w:rsid w:val="00F2661F"/>
    <w:rsid w:val="00F266E2"/>
    <w:rsid w:val="00F269B6"/>
    <w:rsid w:val="00F26DFE"/>
    <w:rsid w:val="00F277A5"/>
    <w:rsid w:val="00F27C18"/>
    <w:rsid w:val="00F27C25"/>
    <w:rsid w:val="00F27DA5"/>
    <w:rsid w:val="00F306BC"/>
    <w:rsid w:val="00F30787"/>
    <w:rsid w:val="00F30E27"/>
    <w:rsid w:val="00F3150A"/>
    <w:rsid w:val="00F315C4"/>
    <w:rsid w:val="00F318BA"/>
    <w:rsid w:val="00F32703"/>
    <w:rsid w:val="00F32DC4"/>
    <w:rsid w:val="00F32EF1"/>
    <w:rsid w:val="00F34D14"/>
    <w:rsid w:val="00F35428"/>
    <w:rsid w:val="00F36FA5"/>
    <w:rsid w:val="00F378FC"/>
    <w:rsid w:val="00F37E24"/>
    <w:rsid w:val="00F37F3B"/>
    <w:rsid w:val="00F40DBE"/>
    <w:rsid w:val="00F413D8"/>
    <w:rsid w:val="00F41F83"/>
    <w:rsid w:val="00F42380"/>
    <w:rsid w:val="00F423B9"/>
    <w:rsid w:val="00F43955"/>
    <w:rsid w:val="00F43AD3"/>
    <w:rsid w:val="00F458FD"/>
    <w:rsid w:val="00F45B1F"/>
    <w:rsid w:val="00F4725E"/>
    <w:rsid w:val="00F47271"/>
    <w:rsid w:val="00F47457"/>
    <w:rsid w:val="00F47BC8"/>
    <w:rsid w:val="00F50793"/>
    <w:rsid w:val="00F50C12"/>
    <w:rsid w:val="00F51113"/>
    <w:rsid w:val="00F5141C"/>
    <w:rsid w:val="00F517EF"/>
    <w:rsid w:val="00F5204C"/>
    <w:rsid w:val="00F52219"/>
    <w:rsid w:val="00F52EED"/>
    <w:rsid w:val="00F532FB"/>
    <w:rsid w:val="00F53FDC"/>
    <w:rsid w:val="00F547CF"/>
    <w:rsid w:val="00F54980"/>
    <w:rsid w:val="00F54B49"/>
    <w:rsid w:val="00F55305"/>
    <w:rsid w:val="00F5555D"/>
    <w:rsid w:val="00F55BF9"/>
    <w:rsid w:val="00F56E84"/>
    <w:rsid w:val="00F573AE"/>
    <w:rsid w:val="00F601EE"/>
    <w:rsid w:val="00F60B87"/>
    <w:rsid w:val="00F60EC7"/>
    <w:rsid w:val="00F6121F"/>
    <w:rsid w:val="00F6288F"/>
    <w:rsid w:val="00F62E01"/>
    <w:rsid w:val="00F63218"/>
    <w:rsid w:val="00F646F7"/>
    <w:rsid w:val="00F64953"/>
    <w:rsid w:val="00F6614A"/>
    <w:rsid w:val="00F661ED"/>
    <w:rsid w:val="00F66875"/>
    <w:rsid w:val="00F66BAA"/>
    <w:rsid w:val="00F66E8B"/>
    <w:rsid w:val="00F6725B"/>
    <w:rsid w:val="00F6753E"/>
    <w:rsid w:val="00F67682"/>
    <w:rsid w:val="00F679FE"/>
    <w:rsid w:val="00F67D2B"/>
    <w:rsid w:val="00F705E8"/>
    <w:rsid w:val="00F713AA"/>
    <w:rsid w:val="00F71C74"/>
    <w:rsid w:val="00F72611"/>
    <w:rsid w:val="00F72D8D"/>
    <w:rsid w:val="00F72DAA"/>
    <w:rsid w:val="00F72F56"/>
    <w:rsid w:val="00F73851"/>
    <w:rsid w:val="00F74381"/>
    <w:rsid w:val="00F74C8B"/>
    <w:rsid w:val="00F75577"/>
    <w:rsid w:val="00F75AE6"/>
    <w:rsid w:val="00F75BC8"/>
    <w:rsid w:val="00F75D5F"/>
    <w:rsid w:val="00F76071"/>
    <w:rsid w:val="00F7655D"/>
    <w:rsid w:val="00F7662B"/>
    <w:rsid w:val="00F76687"/>
    <w:rsid w:val="00F76C20"/>
    <w:rsid w:val="00F77703"/>
    <w:rsid w:val="00F8053C"/>
    <w:rsid w:val="00F807B2"/>
    <w:rsid w:val="00F80C87"/>
    <w:rsid w:val="00F816F5"/>
    <w:rsid w:val="00F8224E"/>
    <w:rsid w:val="00F82A27"/>
    <w:rsid w:val="00F82D88"/>
    <w:rsid w:val="00F83556"/>
    <w:rsid w:val="00F83677"/>
    <w:rsid w:val="00F84962"/>
    <w:rsid w:val="00F84C09"/>
    <w:rsid w:val="00F8559B"/>
    <w:rsid w:val="00F86CD6"/>
    <w:rsid w:val="00F872E8"/>
    <w:rsid w:val="00F8759F"/>
    <w:rsid w:val="00F901AF"/>
    <w:rsid w:val="00F905A7"/>
    <w:rsid w:val="00F90A8A"/>
    <w:rsid w:val="00F90CE6"/>
    <w:rsid w:val="00F9187A"/>
    <w:rsid w:val="00F91EB8"/>
    <w:rsid w:val="00F9459F"/>
    <w:rsid w:val="00F94CF8"/>
    <w:rsid w:val="00F9530D"/>
    <w:rsid w:val="00F953F4"/>
    <w:rsid w:val="00F97CD1"/>
    <w:rsid w:val="00F97D8F"/>
    <w:rsid w:val="00F97E1E"/>
    <w:rsid w:val="00FA14F7"/>
    <w:rsid w:val="00FA28EB"/>
    <w:rsid w:val="00FA387F"/>
    <w:rsid w:val="00FA39ED"/>
    <w:rsid w:val="00FA45BC"/>
    <w:rsid w:val="00FA4722"/>
    <w:rsid w:val="00FA49FF"/>
    <w:rsid w:val="00FA4BA3"/>
    <w:rsid w:val="00FA5209"/>
    <w:rsid w:val="00FA537F"/>
    <w:rsid w:val="00FA5502"/>
    <w:rsid w:val="00FA6644"/>
    <w:rsid w:val="00FA6B48"/>
    <w:rsid w:val="00FA6D3D"/>
    <w:rsid w:val="00FA77C9"/>
    <w:rsid w:val="00FA7A02"/>
    <w:rsid w:val="00FA7C7E"/>
    <w:rsid w:val="00FA7E00"/>
    <w:rsid w:val="00FB003A"/>
    <w:rsid w:val="00FB0DA2"/>
    <w:rsid w:val="00FB0F7C"/>
    <w:rsid w:val="00FB1C8F"/>
    <w:rsid w:val="00FB1EF0"/>
    <w:rsid w:val="00FB2186"/>
    <w:rsid w:val="00FB2234"/>
    <w:rsid w:val="00FB306B"/>
    <w:rsid w:val="00FB471C"/>
    <w:rsid w:val="00FB4CE1"/>
    <w:rsid w:val="00FB5FF8"/>
    <w:rsid w:val="00FB683A"/>
    <w:rsid w:val="00FB6979"/>
    <w:rsid w:val="00FB6BB4"/>
    <w:rsid w:val="00FB7045"/>
    <w:rsid w:val="00FB7256"/>
    <w:rsid w:val="00FB7612"/>
    <w:rsid w:val="00FB76F7"/>
    <w:rsid w:val="00FC193A"/>
    <w:rsid w:val="00FC2920"/>
    <w:rsid w:val="00FC4268"/>
    <w:rsid w:val="00FC47D2"/>
    <w:rsid w:val="00FC4E4A"/>
    <w:rsid w:val="00FC5894"/>
    <w:rsid w:val="00FC5A11"/>
    <w:rsid w:val="00FC6AB9"/>
    <w:rsid w:val="00FC6D3C"/>
    <w:rsid w:val="00FC701E"/>
    <w:rsid w:val="00FC73AF"/>
    <w:rsid w:val="00FC7DDB"/>
    <w:rsid w:val="00FC7DED"/>
    <w:rsid w:val="00FD063C"/>
    <w:rsid w:val="00FD0D79"/>
    <w:rsid w:val="00FD1B40"/>
    <w:rsid w:val="00FD23F8"/>
    <w:rsid w:val="00FD2B6E"/>
    <w:rsid w:val="00FD301F"/>
    <w:rsid w:val="00FD3364"/>
    <w:rsid w:val="00FD3998"/>
    <w:rsid w:val="00FD4043"/>
    <w:rsid w:val="00FD5739"/>
    <w:rsid w:val="00FD6E25"/>
    <w:rsid w:val="00FD7184"/>
    <w:rsid w:val="00FD755F"/>
    <w:rsid w:val="00FE02A3"/>
    <w:rsid w:val="00FE0F8D"/>
    <w:rsid w:val="00FE1422"/>
    <w:rsid w:val="00FE1C10"/>
    <w:rsid w:val="00FE2CAF"/>
    <w:rsid w:val="00FE453C"/>
    <w:rsid w:val="00FE459A"/>
    <w:rsid w:val="00FE558D"/>
    <w:rsid w:val="00FE5D3F"/>
    <w:rsid w:val="00FE64EB"/>
    <w:rsid w:val="00FE7D86"/>
    <w:rsid w:val="00FF0AA6"/>
    <w:rsid w:val="00FF0E0D"/>
    <w:rsid w:val="00FF132C"/>
    <w:rsid w:val="00FF2FC3"/>
    <w:rsid w:val="00FF3815"/>
    <w:rsid w:val="00FF5014"/>
    <w:rsid w:val="276FAC6C"/>
    <w:rsid w:val="29C05D80"/>
    <w:rsid w:val="4C67A3C1"/>
    <w:rsid w:val="5D02F50D"/>
    <w:rsid w:val="5E1E8077"/>
    <w:rsid w:val="628EFF8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23236e"/>
    </o:shapedefaults>
    <o:shapelayout v:ext="edit">
      <o:idmap v:ext="edit" data="1"/>
    </o:shapelayout>
  </w:shapeDefaults>
  <w:decimalSymbol w:val=","/>
  <w:listSeparator w:val=";"/>
  <w14:docId w14:val="4F3A1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unhideWhenUsed="0" w:qFormat="1"/>
    <w:lsdException w:name="heading 3" w:uiPriority="99"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annotation text" w:uiPriority="99"/>
    <w:lsdException w:name="header" w:uiPriority="99"/>
    <w:lsdException w:name="footer" w:uiPriority="99"/>
    <w:lsdException w:name="caption" w:qFormat="1"/>
    <w:lsdException w:name="table of figures" w:uiPriority="99"/>
    <w:lsdException w:name="footnote reference" w:uiPriority="99"/>
    <w:lsdException w:name="annotation reference" w:uiPriority="99"/>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emiHidden/>
    <w:qFormat/>
    <w:rsid w:val="00272832"/>
    <w:rPr>
      <w:rFonts w:ascii="Arial" w:hAnsi="Arial"/>
      <w:szCs w:val="24"/>
      <w:lang w:val="en-GB"/>
    </w:rPr>
  </w:style>
  <w:style w:type="paragraph" w:styleId="Heading1">
    <w:name w:val="heading 1"/>
    <w:basedOn w:val="Normal"/>
    <w:next w:val="Normal"/>
    <w:link w:val="Heading1Char"/>
    <w:semiHidden/>
    <w:rsid w:val="00417CC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qFormat/>
    <w:rsid w:val="00501FB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9"/>
    <w:qFormat/>
    <w:rsid w:val="00146850"/>
    <w:pPr>
      <w:keepNext/>
      <w:keepLines/>
      <w:spacing w:before="40"/>
      <w:outlineLvl w:val="2"/>
    </w:pPr>
    <w:rPr>
      <w:rFonts w:asciiTheme="majorHAnsi" w:eastAsiaTheme="majorEastAsia" w:hAnsiTheme="majorHAnsi" w:cstheme="majorBidi"/>
      <w:color w:val="243F60" w:themeColor="accent1" w:themeShade="7F"/>
      <w:sz w:val="24"/>
    </w:rPr>
  </w:style>
  <w:style w:type="paragraph" w:styleId="Heading4">
    <w:name w:val="heading 4"/>
    <w:basedOn w:val="Normal"/>
    <w:next w:val="Normal"/>
    <w:link w:val="Heading4Char"/>
    <w:semiHidden/>
    <w:qFormat/>
    <w:rsid w:val="00146850"/>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qFormat/>
    <w:rsid w:val="00146850"/>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qFormat/>
    <w:rsid w:val="00146850"/>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semiHidden/>
    <w:unhideWhenUsed/>
    <w:qFormat/>
    <w:rsid w:val="00146850"/>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146850"/>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nhideWhenUsed/>
    <w:qFormat/>
    <w:rsid w:val="0014685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ENTSO-E Table"/>
    <w:basedOn w:val="TableNormal"/>
    <w:rsid w:val="00015A04"/>
    <w:tblPr>
      <w:tblStyleRowBandSize w:val="1"/>
      <w:tblStyleColBandSize w:val="1"/>
      <w:tblBorders>
        <w:insideV w:val="single" w:sz="12" w:space="0" w:color="FFFFFF"/>
      </w:tblBorders>
      <w:tblCellMar>
        <w:top w:w="68" w:type="dxa"/>
        <w:left w:w="57" w:type="dxa"/>
        <w:bottom w:w="68" w:type="dxa"/>
        <w:right w:w="57" w:type="dxa"/>
      </w:tblCellMar>
    </w:tblPr>
    <w:tcPr>
      <w:shd w:val="clear" w:color="auto" w:fill="auto"/>
    </w:tcPr>
    <w:tblStylePr w:type="firstRow">
      <w:rPr>
        <w:rFonts w:ascii="Arial" w:hAnsi="Arial"/>
        <w:b w:val="0"/>
        <w:color w:val="23236E"/>
        <w:sz w:val="28"/>
      </w:rPr>
      <w:tblPr/>
      <w:tcPr>
        <w:tcBorders>
          <w:top w:val="nil"/>
          <w:left w:val="nil"/>
          <w:bottom w:val="nil"/>
          <w:right w:val="nil"/>
          <w:insideH w:val="nil"/>
          <w:insideV w:val="nil"/>
          <w:tl2br w:val="nil"/>
          <w:tr2bl w:val="nil"/>
        </w:tcBorders>
      </w:tcPr>
    </w:tblStylePr>
    <w:tblStylePr w:type="lastRow">
      <w:rPr>
        <w:rFonts w:ascii="Times New Roman" w:hAnsi="Times New Roman"/>
        <w:sz w:val="22"/>
      </w:rPr>
    </w:tblStylePr>
    <w:tblStylePr w:type="firstCol">
      <w:rPr>
        <w:rFonts w:ascii="Times New Roman" w:hAnsi="Times New Roman"/>
        <w:sz w:val="22"/>
      </w:rPr>
      <w:tblPr>
        <w:tblCellMar>
          <w:top w:w="34" w:type="dxa"/>
          <w:left w:w="57" w:type="dxa"/>
          <w:bottom w:w="34" w:type="dxa"/>
          <w:right w:w="85" w:type="dxa"/>
        </w:tblCellMar>
      </w:tblPr>
    </w:tblStylePr>
    <w:tblStylePr w:type="lastCol">
      <w:rPr>
        <w:rFonts w:ascii="Times New Roman" w:hAnsi="Times New Roman"/>
        <w:sz w:val="22"/>
      </w:rPr>
    </w:tblStylePr>
    <w:tblStylePr w:type="band2Vert">
      <w:rPr>
        <w:rFonts w:ascii="Times New Roman" w:hAnsi="Times New Roman"/>
      </w:rPr>
    </w:tblStylePr>
    <w:tblStylePr w:type="band1Horz">
      <w:rPr>
        <w:rFonts w:ascii="Times New Roman" w:hAnsi="Times New Roman"/>
        <w:sz w:val="18"/>
      </w:rPr>
      <w:tblPr/>
      <w:tcPr>
        <w:shd w:val="clear" w:color="auto" w:fill="D9D9D9" w:themeFill="background1" w:themeFillShade="D9"/>
      </w:tcPr>
    </w:tblStylePr>
  </w:style>
  <w:style w:type="paragraph" w:customStyle="1" w:styleId="headlineheader">
    <w:name w:val="headline header"/>
    <w:link w:val="headlineheaderZchn"/>
    <w:rsid w:val="000C304C"/>
    <w:pPr>
      <w:spacing w:after="200" w:line="380" w:lineRule="exact"/>
    </w:pPr>
    <w:rPr>
      <w:rFonts w:ascii="Arial" w:hAnsi="Arial"/>
      <w:b/>
      <w:bCs/>
      <w:color w:val="23236E"/>
      <w:sz w:val="40"/>
      <w:szCs w:val="24"/>
      <w:lang w:val="en-GB"/>
    </w:rPr>
  </w:style>
  <w:style w:type="character" w:customStyle="1" w:styleId="headlineheaderZchn">
    <w:name w:val="headline header Zchn"/>
    <w:basedOn w:val="DefaultParagraphFont"/>
    <w:link w:val="headlineheader"/>
    <w:rsid w:val="00F13C42"/>
    <w:rPr>
      <w:rFonts w:ascii="Arial" w:hAnsi="Arial"/>
      <w:b/>
      <w:bCs/>
      <w:color w:val="23236E"/>
      <w:sz w:val="40"/>
      <w:szCs w:val="24"/>
      <w:lang w:val="en-GB"/>
    </w:rPr>
  </w:style>
  <w:style w:type="paragraph" w:customStyle="1" w:styleId="exampleheaderdate">
    <w:name w:val="example header date"/>
    <w:basedOn w:val="headlineheader"/>
    <w:link w:val="exampleheaderdateZchn"/>
    <w:semiHidden/>
    <w:rsid w:val="000C304C"/>
    <w:pPr>
      <w:spacing w:after="380" w:line="340" w:lineRule="exact"/>
    </w:pPr>
    <w:rPr>
      <w:b w:val="0"/>
      <w:bCs w:val="0"/>
      <w:sz w:val="24"/>
    </w:rPr>
  </w:style>
  <w:style w:type="character" w:customStyle="1" w:styleId="exampleheaderdateZchn">
    <w:name w:val="example header date Zchn"/>
    <w:basedOn w:val="headlineheaderZchn"/>
    <w:link w:val="exampleheaderdate"/>
    <w:semiHidden/>
    <w:rsid w:val="00A7023E"/>
    <w:rPr>
      <w:rFonts w:ascii="Arial" w:hAnsi="Arial"/>
      <w:b/>
      <w:bCs/>
      <w:color w:val="23236E"/>
      <w:sz w:val="24"/>
      <w:szCs w:val="24"/>
      <w:lang w:val="en-GB"/>
    </w:rPr>
  </w:style>
  <w:style w:type="paragraph" w:customStyle="1" w:styleId="HEADERexample">
    <w:name w:val="HEADER example"/>
    <w:semiHidden/>
    <w:rsid w:val="00755B42"/>
    <w:pPr>
      <w:pBdr>
        <w:bottom w:val="single" w:sz="6" w:space="5" w:color="23236E"/>
      </w:pBdr>
      <w:spacing w:after="320"/>
    </w:pPr>
    <w:rPr>
      <w:rFonts w:ascii="Arial" w:hAnsi="Arial"/>
      <w:b/>
      <w:bCs/>
      <w:color w:val="23236E"/>
      <w:sz w:val="40"/>
      <w:lang w:val="en-GB"/>
    </w:rPr>
  </w:style>
  <w:style w:type="character" w:customStyle="1" w:styleId="tabletext">
    <w:name w:val="table text"/>
    <w:basedOn w:val="DefaultParagraphFont"/>
    <w:uiPriority w:val="2"/>
    <w:qFormat/>
    <w:rsid w:val="00A36B08"/>
    <w:rPr>
      <w:rFonts w:ascii="Times New Roman" w:hAnsi="Times New Roman"/>
      <w:sz w:val="22"/>
      <w:lang w:val="en-GB"/>
    </w:rPr>
  </w:style>
  <w:style w:type="paragraph" w:styleId="BalloonText">
    <w:name w:val="Balloon Text"/>
    <w:basedOn w:val="Normal"/>
    <w:link w:val="BalloonTextChar"/>
    <w:semiHidden/>
    <w:rsid w:val="004247C4"/>
    <w:rPr>
      <w:rFonts w:ascii="Tahoma" w:hAnsi="Tahoma" w:cs="Tahoma"/>
      <w:sz w:val="16"/>
      <w:szCs w:val="16"/>
    </w:rPr>
  </w:style>
  <w:style w:type="character" w:customStyle="1" w:styleId="BalloonTextChar">
    <w:name w:val="Balloon Text Char"/>
    <w:basedOn w:val="DefaultParagraphFont"/>
    <w:link w:val="BalloonText"/>
    <w:semiHidden/>
    <w:rsid w:val="004247C4"/>
    <w:rPr>
      <w:rFonts w:ascii="Tahoma" w:hAnsi="Tahoma" w:cs="Tahoma"/>
      <w:sz w:val="16"/>
      <w:szCs w:val="16"/>
    </w:rPr>
  </w:style>
  <w:style w:type="paragraph" w:customStyle="1" w:styleId="Day14pt">
    <w:name w:val="Day 14 pt"/>
    <w:basedOn w:val="exampleheaderdate"/>
    <w:next w:val="Normal"/>
    <w:link w:val="Day14ptZchn1"/>
    <w:semiHidden/>
    <w:rsid w:val="00371607"/>
    <w:pPr>
      <w:spacing w:after="120"/>
    </w:pPr>
    <w:rPr>
      <w:b/>
      <w:sz w:val="28"/>
      <w:szCs w:val="28"/>
    </w:rPr>
  </w:style>
  <w:style w:type="character" w:customStyle="1" w:styleId="Day14ptZchn1">
    <w:name w:val="Day 14 pt Zchn1"/>
    <w:basedOn w:val="exampleheaderdateZchn"/>
    <w:link w:val="Day14pt"/>
    <w:semiHidden/>
    <w:rsid w:val="00A7023E"/>
    <w:rPr>
      <w:rFonts w:ascii="Arial" w:hAnsi="Arial"/>
      <w:b/>
      <w:bCs/>
      <w:color w:val="23236E"/>
      <w:sz w:val="28"/>
      <w:szCs w:val="28"/>
      <w:lang w:val="en-GB"/>
    </w:rPr>
  </w:style>
  <w:style w:type="character" w:customStyle="1" w:styleId="Day14ptZchn">
    <w:name w:val="Day 14 pt Zchn"/>
    <w:basedOn w:val="exampleheaderdateZchn"/>
    <w:rsid w:val="00F13C42"/>
    <w:rPr>
      <w:rFonts w:ascii="Arial" w:hAnsi="Arial"/>
      <w:b/>
      <w:bCs/>
      <w:color w:val="23236E"/>
      <w:sz w:val="24"/>
      <w:szCs w:val="24"/>
      <w:lang w:val="en-GB"/>
    </w:rPr>
  </w:style>
  <w:style w:type="paragraph" w:styleId="ListParagraph">
    <w:name w:val="List Paragraph"/>
    <w:basedOn w:val="Normal"/>
    <w:link w:val="ListParagraphChar"/>
    <w:uiPriority w:val="34"/>
    <w:qFormat/>
    <w:rsid w:val="002F1C72"/>
    <w:pPr>
      <w:ind w:left="720"/>
      <w:contextualSpacing/>
    </w:pPr>
  </w:style>
  <w:style w:type="paragraph" w:customStyle="1" w:styleId="headline1">
    <w:name w:val="headline 1"/>
    <w:next w:val="ListNumber"/>
    <w:link w:val="headline1Zchn"/>
    <w:qFormat/>
    <w:rsid w:val="00CD3681"/>
    <w:pPr>
      <w:pageBreakBefore/>
      <w:spacing w:before="400" w:after="120" w:line="340" w:lineRule="exact"/>
      <w:ind w:left="357" w:hanging="357"/>
    </w:pPr>
    <w:rPr>
      <w:rFonts w:ascii="Arial" w:hAnsi="Arial"/>
      <w:b/>
      <w:color w:val="23236E"/>
      <w:sz w:val="28"/>
      <w:szCs w:val="28"/>
      <w:lang w:val="en-GB"/>
    </w:rPr>
  </w:style>
  <w:style w:type="character" w:customStyle="1" w:styleId="headline1Zchn">
    <w:name w:val="headline 1 Zchn"/>
    <w:basedOn w:val="DefaultParagraphFont"/>
    <w:link w:val="headline1"/>
    <w:rsid w:val="00CD3681"/>
    <w:rPr>
      <w:rFonts w:ascii="Arial" w:hAnsi="Arial"/>
      <w:b/>
      <w:color w:val="23236E"/>
      <w:sz w:val="28"/>
      <w:szCs w:val="28"/>
      <w:lang w:val="en-GB"/>
    </w:rPr>
  </w:style>
  <w:style w:type="paragraph" w:customStyle="1" w:styleId="tablehead">
    <w:name w:val="table head"/>
    <w:basedOn w:val="exampleheaderdate"/>
    <w:link w:val="tableheadZchn"/>
    <w:uiPriority w:val="2"/>
    <w:qFormat/>
    <w:rsid w:val="00D33F40"/>
    <w:rPr>
      <w:b/>
      <w:sz w:val="28"/>
      <w:szCs w:val="28"/>
    </w:rPr>
  </w:style>
  <w:style w:type="character" w:customStyle="1" w:styleId="tableheadZchn">
    <w:name w:val="table head Zchn"/>
    <w:basedOn w:val="exampleheaderdateZchn"/>
    <w:link w:val="tablehead"/>
    <w:uiPriority w:val="2"/>
    <w:rsid w:val="00D33F40"/>
    <w:rPr>
      <w:rFonts w:ascii="Arial" w:hAnsi="Arial"/>
      <w:b/>
      <w:bCs/>
      <w:color w:val="23236E"/>
      <w:sz w:val="28"/>
      <w:szCs w:val="28"/>
      <w:lang w:val="en-GB"/>
    </w:rPr>
  </w:style>
  <w:style w:type="paragraph" w:customStyle="1" w:styleId="textregular">
    <w:name w:val="text regular"/>
    <w:link w:val="textregularZchn"/>
    <w:qFormat/>
    <w:rsid w:val="00366C1C"/>
    <w:pPr>
      <w:spacing w:after="120"/>
      <w:jc w:val="both"/>
    </w:pPr>
    <w:rPr>
      <w:szCs w:val="19"/>
      <w:lang w:val="en-GB"/>
    </w:rPr>
  </w:style>
  <w:style w:type="character" w:customStyle="1" w:styleId="textregularZchn">
    <w:name w:val="text regular Zchn"/>
    <w:basedOn w:val="headline1Zchn"/>
    <w:link w:val="textregular"/>
    <w:rsid w:val="00366C1C"/>
    <w:rPr>
      <w:rFonts w:ascii="Arial" w:hAnsi="Arial"/>
      <w:b/>
      <w:color w:val="23236E"/>
      <w:sz w:val="22"/>
      <w:szCs w:val="19"/>
      <w:lang w:val="en-GB"/>
    </w:rPr>
  </w:style>
  <w:style w:type="paragraph" w:customStyle="1" w:styleId="decisionhead">
    <w:name w:val="decision head"/>
    <w:next w:val="Normal"/>
    <w:link w:val="decisionheadZchn"/>
    <w:uiPriority w:val="3"/>
    <w:qFormat/>
    <w:rsid w:val="000771A5"/>
    <w:pPr>
      <w:pBdr>
        <w:top w:val="single" w:sz="24" w:space="1" w:color="B4B4C8"/>
        <w:left w:val="single" w:sz="24" w:space="4" w:color="B4B4C8"/>
        <w:right w:val="single" w:sz="24" w:space="4" w:color="B4B4C8"/>
      </w:pBdr>
      <w:shd w:val="clear" w:color="auto" w:fill="B4B4C8"/>
      <w:spacing w:line="260" w:lineRule="exact"/>
      <w:ind w:left="170" w:right="170"/>
    </w:pPr>
    <w:rPr>
      <w:rFonts w:ascii="Arial" w:hAnsi="Arial" w:cs="Arial"/>
      <w:b/>
      <w:color w:val="23236E"/>
      <w:sz w:val="24"/>
      <w:lang w:val="en-GB"/>
    </w:rPr>
  </w:style>
  <w:style w:type="character" w:customStyle="1" w:styleId="decisionheadZchn">
    <w:name w:val="decision head Zchn"/>
    <w:basedOn w:val="DefaultParagraphFont"/>
    <w:link w:val="decisionhead"/>
    <w:uiPriority w:val="3"/>
    <w:rsid w:val="001330E2"/>
    <w:rPr>
      <w:rFonts w:ascii="Arial" w:hAnsi="Arial" w:cs="Arial"/>
      <w:b/>
      <w:color w:val="23236E"/>
      <w:sz w:val="24"/>
      <w:shd w:val="clear" w:color="auto" w:fill="B4B4C8"/>
      <w:lang w:val="en-GB"/>
    </w:rPr>
  </w:style>
  <w:style w:type="paragraph" w:customStyle="1" w:styleId="headline3">
    <w:name w:val="headline 3"/>
    <w:basedOn w:val="textregular"/>
    <w:next w:val="textregular"/>
    <w:link w:val="headline3Zchn"/>
    <w:qFormat/>
    <w:rsid w:val="00672A61"/>
    <w:pPr>
      <w:keepNext/>
      <w:spacing w:after="20"/>
      <w:ind w:left="1225" w:hanging="505"/>
    </w:pPr>
    <w:rPr>
      <w:b/>
      <w:color w:val="23236E"/>
    </w:rPr>
  </w:style>
  <w:style w:type="character" w:customStyle="1" w:styleId="headline3Zchn">
    <w:name w:val="headline 3 Zchn"/>
    <w:basedOn w:val="textregularZchn"/>
    <w:link w:val="headline3"/>
    <w:rsid w:val="00672A61"/>
    <w:rPr>
      <w:rFonts w:ascii="Arial" w:hAnsi="Arial"/>
      <w:b/>
      <w:color w:val="23236E"/>
      <w:sz w:val="22"/>
      <w:szCs w:val="19"/>
      <w:lang w:val="en-GB"/>
    </w:rPr>
  </w:style>
  <w:style w:type="paragraph" w:customStyle="1" w:styleId="textenumeration">
    <w:name w:val="text enumeration"/>
    <w:link w:val="textenumerationZchn"/>
    <w:uiPriority w:val="1"/>
    <w:qFormat/>
    <w:rsid w:val="00455CC4"/>
    <w:pPr>
      <w:numPr>
        <w:numId w:val="2"/>
      </w:numPr>
      <w:spacing w:after="120"/>
      <w:contextualSpacing/>
    </w:pPr>
    <w:rPr>
      <w:szCs w:val="19"/>
      <w:lang w:val="en-GB"/>
    </w:rPr>
  </w:style>
  <w:style w:type="character" w:customStyle="1" w:styleId="textenumerationZchn">
    <w:name w:val="text enumeration Zchn"/>
    <w:basedOn w:val="textregularZchn"/>
    <w:link w:val="textenumeration"/>
    <w:uiPriority w:val="1"/>
    <w:rsid w:val="00455CC4"/>
    <w:rPr>
      <w:rFonts w:ascii="Arial" w:hAnsi="Arial"/>
      <w:b w:val="0"/>
      <w:color w:val="23236E"/>
      <w:sz w:val="22"/>
      <w:szCs w:val="19"/>
      <w:lang w:val="en-GB"/>
    </w:rPr>
  </w:style>
  <w:style w:type="paragraph" w:customStyle="1" w:styleId="textbullets">
    <w:name w:val="text bullets"/>
    <w:link w:val="textbulletsZchn"/>
    <w:uiPriority w:val="1"/>
    <w:qFormat/>
    <w:rsid w:val="00BC38B7"/>
    <w:pPr>
      <w:numPr>
        <w:numId w:val="3"/>
      </w:numPr>
      <w:contextualSpacing/>
    </w:pPr>
    <w:rPr>
      <w:szCs w:val="19"/>
      <w:lang w:val="en-GB"/>
    </w:rPr>
  </w:style>
  <w:style w:type="character" w:customStyle="1" w:styleId="textbulletsZchn">
    <w:name w:val="text bullets Zchn"/>
    <w:basedOn w:val="textregularZchn"/>
    <w:link w:val="textbullets"/>
    <w:uiPriority w:val="1"/>
    <w:rsid w:val="001330E2"/>
    <w:rPr>
      <w:rFonts w:ascii="Arial" w:hAnsi="Arial"/>
      <w:b w:val="0"/>
      <w:color w:val="23236E"/>
      <w:sz w:val="22"/>
      <w:szCs w:val="19"/>
      <w:lang w:val="en-GB"/>
    </w:rPr>
  </w:style>
  <w:style w:type="paragraph" w:styleId="Footer">
    <w:name w:val="footer"/>
    <w:basedOn w:val="Normal"/>
    <w:link w:val="FooterChar"/>
    <w:uiPriority w:val="99"/>
    <w:rsid w:val="00D0292A"/>
    <w:pPr>
      <w:tabs>
        <w:tab w:val="center" w:pos="4536"/>
        <w:tab w:val="right" w:pos="9072"/>
      </w:tabs>
    </w:pPr>
  </w:style>
  <w:style w:type="character" w:customStyle="1" w:styleId="FooterChar">
    <w:name w:val="Footer Char"/>
    <w:basedOn w:val="DefaultParagraphFont"/>
    <w:link w:val="Footer"/>
    <w:uiPriority w:val="99"/>
    <w:rsid w:val="00D0292A"/>
    <w:rPr>
      <w:rFonts w:ascii="Arial" w:hAnsi="Arial"/>
      <w:szCs w:val="24"/>
    </w:rPr>
  </w:style>
  <w:style w:type="paragraph" w:styleId="Header">
    <w:name w:val="header"/>
    <w:basedOn w:val="Normal"/>
    <w:link w:val="HeaderChar"/>
    <w:uiPriority w:val="99"/>
    <w:rsid w:val="00D0292A"/>
    <w:pPr>
      <w:tabs>
        <w:tab w:val="center" w:pos="4536"/>
        <w:tab w:val="right" w:pos="9072"/>
      </w:tabs>
    </w:pPr>
  </w:style>
  <w:style w:type="character" w:customStyle="1" w:styleId="HeaderChar">
    <w:name w:val="Header Char"/>
    <w:basedOn w:val="DefaultParagraphFont"/>
    <w:link w:val="Header"/>
    <w:uiPriority w:val="99"/>
    <w:rsid w:val="00D0292A"/>
    <w:rPr>
      <w:rFonts w:ascii="Arial" w:hAnsi="Arial"/>
      <w:szCs w:val="24"/>
    </w:rPr>
  </w:style>
  <w:style w:type="paragraph" w:styleId="FootnoteText">
    <w:name w:val="footnote text"/>
    <w:aliases w:val="footnotes"/>
    <w:basedOn w:val="Normal"/>
    <w:link w:val="FootnoteTextChar"/>
    <w:uiPriority w:val="99"/>
    <w:rsid w:val="00A36B08"/>
    <w:rPr>
      <w:rFonts w:ascii="Times New Roman" w:hAnsi="Times New Roman"/>
      <w:sz w:val="19"/>
      <w:szCs w:val="20"/>
    </w:rPr>
  </w:style>
  <w:style w:type="character" w:customStyle="1" w:styleId="FootnoteTextChar">
    <w:name w:val="Footnote Text Char"/>
    <w:aliases w:val="footnotes Char"/>
    <w:basedOn w:val="DefaultParagraphFont"/>
    <w:link w:val="FootnoteText"/>
    <w:uiPriority w:val="99"/>
    <w:rsid w:val="00A36B08"/>
    <w:rPr>
      <w:sz w:val="19"/>
      <w:lang w:val="en-GB"/>
    </w:rPr>
  </w:style>
  <w:style w:type="character" w:styleId="FootnoteReference">
    <w:name w:val="footnote reference"/>
    <w:basedOn w:val="DefaultParagraphFont"/>
    <w:uiPriority w:val="99"/>
    <w:rsid w:val="00291401"/>
    <w:rPr>
      <w:vertAlign w:val="superscript"/>
    </w:rPr>
  </w:style>
  <w:style w:type="paragraph" w:customStyle="1" w:styleId="decisionbullet1">
    <w:name w:val="decision bullet 1"/>
    <w:basedOn w:val="Normal"/>
    <w:link w:val="decisionbullet1Zchn"/>
    <w:uiPriority w:val="3"/>
    <w:qFormat/>
    <w:rsid w:val="00B8360C"/>
    <w:pPr>
      <w:numPr>
        <w:numId w:val="1"/>
      </w:numPr>
      <w:pBdr>
        <w:top w:val="single" w:sz="24" w:space="0" w:color="B4B4C8"/>
        <w:left w:val="single" w:sz="24" w:space="4" w:color="B4B4C8"/>
        <w:bottom w:val="single" w:sz="24" w:space="0" w:color="B4B4C8"/>
        <w:right w:val="single" w:sz="24" w:space="4" w:color="B4B4C8"/>
      </w:pBdr>
      <w:shd w:val="clear" w:color="auto" w:fill="B4B4C8"/>
      <w:ind w:left="527" w:right="170" w:hanging="357"/>
    </w:pPr>
    <w:rPr>
      <w:rFonts w:ascii="Times New Roman" w:hAnsi="Times New Roman"/>
      <w:position w:val="8"/>
      <w:szCs w:val="19"/>
    </w:rPr>
  </w:style>
  <w:style w:type="character" w:customStyle="1" w:styleId="decisionbullet1Zchn">
    <w:name w:val="decision bullet 1 Zchn"/>
    <w:basedOn w:val="DefaultParagraphFont"/>
    <w:link w:val="decisionbullet1"/>
    <w:uiPriority w:val="3"/>
    <w:rsid w:val="00B8360C"/>
    <w:rPr>
      <w:position w:val="8"/>
      <w:szCs w:val="19"/>
      <w:shd w:val="clear" w:color="auto" w:fill="B4B4C8"/>
      <w:lang w:val="en-GB"/>
    </w:rPr>
  </w:style>
  <w:style w:type="paragraph" w:customStyle="1" w:styleId="decisionbullet2">
    <w:name w:val="decision bullet 2"/>
    <w:basedOn w:val="decisionbullet1"/>
    <w:link w:val="decisionbullet2Zchn"/>
    <w:uiPriority w:val="3"/>
    <w:qFormat/>
    <w:rsid w:val="0043379B"/>
    <w:pPr>
      <w:pBdr>
        <w:left w:val="single" w:sz="24" w:space="21" w:color="B4B4C8"/>
        <w:bottom w:val="single" w:sz="24" w:space="3" w:color="B4B4C8"/>
      </w:pBdr>
      <w:ind w:left="884" w:hanging="374"/>
      <w:outlineLvl w:val="0"/>
    </w:pPr>
  </w:style>
  <w:style w:type="character" w:customStyle="1" w:styleId="decisionbullet2Zchn">
    <w:name w:val="decision bullet 2 Zchn"/>
    <w:basedOn w:val="decisionbullet1Zchn"/>
    <w:link w:val="decisionbullet2"/>
    <w:uiPriority w:val="3"/>
    <w:rsid w:val="0043379B"/>
    <w:rPr>
      <w:position w:val="8"/>
      <w:szCs w:val="19"/>
      <w:shd w:val="clear" w:color="auto" w:fill="B4B4C8"/>
      <w:lang w:val="en-GB"/>
    </w:rPr>
  </w:style>
  <w:style w:type="paragraph" w:customStyle="1" w:styleId="headline2">
    <w:name w:val="headline 2"/>
    <w:basedOn w:val="headline1"/>
    <w:next w:val="textregular"/>
    <w:qFormat/>
    <w:rsid w:val="00A148F6"/>
    <w:pPr>
      <w:keepNext/>
      <w:pageBreakBefore w:val="0"/>
      <w:spacing w:line="260" w:lineRule="exact"/>
      <w:ind w:left="0" w:firstLine="0"/>
    </w:pPr>
    <w:rPr>
      <w:rFonts w:ascii="Times New Roman" w:hAnsi="Times New Roman"/>
      <w:bCs/>
      <w:szCs w:val="24"/>
    </w:rPr>
  </w:style>
  <w:style w:type="paragraph" w:customStyle="1" w:styleId="captions">
    <w:name w:val="captions"/>
    <w:next w:val="textregular"/>
    <w:uiPriority w:val="2"/>
    <w:qFormat/>
    <w:rsid w:val="00D33F40"/>
    <w:pPr>
      <w:spacing w:after="120"/>
    </w:pPr>
    <w:rPr>
      <w:i/>
      <w:szCs w:val="24"/>
      <w:lang w:val="en-GB"/>
    </w:rPr>
  </w:style>
  <w:style w:type="paragraph" w:styleId="NoteHeading">
    <w:name w:val="Note Heading"/>
    <w:basedOn w:val="Normal"/>
    <w:next w:val="Normal"/>
    <w:link w:val="NoteHeadingChar"/>
    <w:semiHidden/>
    <w:rsid w:val="0074372B"/>
    <w:rPr>
      <w:rFonts w:ascii="Times New Roman" w:hAnsi="Times New Roman"/>
      <w:sz w:val="19"/>
    </w:rPr>
  </w:style>
  <w:style w:type="character" w:customStyle="1" w:styleId="NoteHeadingChar">
    <w:name w:val="Note Heading Char"/>
    <w:basedOn w:val="DefaultParagraphFont"/>
    <w:link w:val="NoteHeading"/>
    <w:semiHidden/>
    <w:rsid w:val="0074372B"/>
    <w:rPr>
      <w:sz w:val="19"/>
      <w:szCs w:val="24"/>
    </w:rPr>
  </w:style>
  <w:style w:type="paragraph" w:styleId="EndnoteText">
    <w:name w:val="endnote text"/>
    <w:basedOn w:val="Normal"/>
    <w:link w:val="EndnoteTextChar"/>
    <w:semiHidden/>
    <w:rsid w:val="00084E16"/>
    <w:rPr>
      <w:rFonts w:ascii="Times New Roman" w:hAnsi="Times New Roman"/>
      <w:sz w:val="19"/>
      <w:szCs w:val="20"/>
    </w:rPr>
  </w:style>
  <w:style w:type="character" w:customStyle="1" w:styleId="EndnoteTextChar">
    <w:name w:val="Endnote Text Char"/>
    <w:basedOn w:val="DefaultParagraphFont"/>
    <w:link w:val="EndnoteText"/>
    <w:semiHidden/>
    <w:rsid w:val="00084E16"/>
    <w:rPr>
      <w:sz w:val="19"/>
      <w:szCs w:val="20"/>
    </w:rPr>
  </w:style>
  <w:style w:type="character" w:styleId="EndnoteReference">
    <w:name w:val="endnote reference"/>
    <w:basedOn w:val="DefaultParagraphFont"/>
    <w:semiHidden/>
    <w:rsid w:val="00084E16"/>
    <w:rPr>
      <w:vertAlign w:val="superscript"/>
    </w:rPr>
  </w:style>
  <w:style w:type="character" w:customStyle="1" w:styleId="TabTimes95pt">
    <w:name w:val="Tab Times 9_5 pt"/>
    <w:basedOn w:val="DefaultParagraphFont"/>
    <w:qFormat/>
    <w:rsid w:val="00CA222D"/>
    <w:rPr>
      <w:rFonts w:ascii="Times New Roman" w:hAnsi="Times New Roman"/>
      <w:sz w:val="19"/>
    </w:rPr>
  </w:style>
  <w:style w:type="character" w:customStyle="1" w:styleId="Heading1Char">
    <w:name w:val="Heading 1 Char"/>
    <w:basedOn w:val="DefaultParagraphFont"/>
    <w:link w:val="Heading1"/>
    <w:semiHidden/>
    <w:rsid w:val="00417CC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417CCA"/>
    <w:pPr>
      <w:spacing w:line="276" w:lineRule="auto"/>
      <w:outlineLvl w:val="9"/>
    </w:pPr>
  </w:style>
  <w:style w:type="paragraph" w:styleId="TOC1">
    <w:name w:val="toc 1"/>
    <w:basedOn w:val="Normal"/>
    <w:next w:val="Normal"/>
    <w:autoRedefine/>
    <w:uiPriority w:val="39"/>
    <w:unhideWhenUsed/>
    <w:rsid w:val="00530F80"/>
    <w:pPr>
      <w:tabs>
        <w:tab w:val="left" w:pos="440"/>
        <w:tab w:val="right" w:leader="dot" w:pos="9514"/>
      </w:tabs>
      <w:spacing w:after="100"/>
    </w:pPr>
    <w:rPr>
      <w:rFonts w:ascii="Times New Roman" w:hAnsi="Times New Roman"/>
      <w:b/>
      <w:noProof/>
    </w:rPr>
  </w:style>
  <w:style w:type="character" w:styleId="Hyperlink">
    <w:name w:val="Hyperlink"/>
    <w:basedOn w:val="DefaultParagraphFont"/>
    <w:uiPriority w:val="99"/>
    <w:unhideWhenUsed/>
    <w:rsid w:val="00AD7D12"/>
    <w:rPr>
      <w:color w:val="0000FF" w:themeColor="hyperlink"/>
      <w:u w:val="single"/>
    </w:rPr>
  </w:style>
  <w:style w:type="paragraph" w:styleId="TOC2">
    <w:name w:val="toc 2"/>
    <w:basedOn w:val="Normal"/>
    <w:next w:val="Normal"/>
    <w:autoRedefine/>
    <w:uiPriority w:val="39"/>
    <w:unhideWhenUsed/>
    <w:rsid w:val="002F4859"/>
    <w:pPr>
      <w:tabs>
        <w:tab w:val="left" w:pos="880"/>
        <w:tab w:val="right" w:leader="dot" w:pos="9514"/>
      </w:tabs>
      <w:spacing w:after="100"/>
      <w:ind w:left="220"/>
    </w:pPr>
    <w:rPr>
      <w:rFonts w:ascii="Times New Roman" w:hAnsi="Times New Roman"/>
    </w:rPr>
  </w:style>
  <w:style w:type="paragraph" w:styleId="TOC3">
    <w:name w:val="toc 3"/>
    <w:basedOn w:val="Normal"/>
    <w:next w:val="Normal"/>
    <w:autoRedefine/>
    <w:uiPriority w:val="39"/>
    <w:unhideWhenUsed/>
    <w:rsid w:val="002D7EAB"/>
    <w:pPr>
      <w:spacing w:after="100"/>
      <w:ind w:left="440"/>
    </w:pPr>
    <w:rPr>
      <w:rFonts w:ascii="Times New Roman" w:hAnsi="Times New Roman"/>
    </w:rPr>
  </w:style>
  <w:style w:type="paragraph" w:customStyle="1" w:styleId="Default">
    <w:name w:val="Default"/>
    <w:rsid w:val="00B23BA6"/>
    <w:pPr>
      <w:autoSpaceDE w:val="0"/>
      <w:autoSpaceDN w:val="0"/>
      <w:adjustRightInd w:val="0"/>
    </w:pPr>
    <w:rPr>
      <w:rFonts w:ascii="Arial" w:eastAsiaTheme="minorHAnsi" w:hAnsi="Arial" w:cs="Arial"/>
      <w:color w:val="000000"/>
      <w:sz w:val="24"/>
      <w:szCs w:val="24"/>
      <w:lang w:val="nb-NO" w:eastAsia="en-US"/>
    </w:rPr>
  </w:style>
  <w:style w:type="character" w:styleId="CommentReference">
    <w:name w:val="annotation reference"/>
    <w:aliases w:val="Stinking Styles6,Marque de commentaire1,Verwijzing opmerking,Rimando commento"/>
    <w:basedOn w:val="DefaultParagraphFont"/>
    <w:uiPriority w:val="99"/>
    <w:unhideWhenUsed/>
    <w:rsid w:val="00B23BA6"/>
    <w:rPr>
      <w:sz w:val="16"/>
      <w:szCs w:val="16"/>
    </w:rPr>
  </w:style>
  <w:style w:type="paragraph" w:styleId="CommentText">
    <w:name w:val="annotation text"/>
    <w:aliases w:val="Stinking Styles5,Tekst opmerking,Testo commento,Texto comentario"/>
    <w:basedOn w:val="Normal"/>
    <w:link w:val="CommentTextChar"/>
    <w:uiPriority w:val="99"/>
    <w:unhideWhenUsed/>
    <w:rsid w:val="00BC799A"/>
    <w:rPr>
      <w:sz w:val="20"/>
      <w:szCs w:val="20"/>
    </w:rPr>
  </w:style>
  <w:style w:type="character" w:customStyle="1" w:styleId="CommentTextChar">
    <w:name w:val="Comment Text Char"/>
    <w:aliases w:val="Stinking Styles5 Char,Tekst opmerking Char,Testo commento Char,Texto comentario Char"/>
    <w:basedOn w:val="DefaultParagraphFont"/>
    <w:link w:val="CommentText"/>
    <w:uiPriority w:val="99"/>
    <w:rsid w:val="00BC799A"/>
    <w:rPr>
      <w:rFonts w:ascii="Arial" w:hAnsi="Arial"/>
      <w:sz w:val="20"/>
      <w:szCs w:val="20"/>
    </w:rPr>
  </w:style>
  <w:style w:type="paragraph" w:styleId="CommentSubject">
    <w:name w:val="annotation subject"/>
    <w:basedOn w:val="CommentText"/>
    <w:next w:val="CommentText"/>
    <w:link w:val="CommentSubjectChar"/>
    <w:semiHidden/>
    <w:unhideWhenUsed/>
    <w:rsid w:val="00BC799A"/>
    <w:rPr>
      <w:b/>
      <w:bCs/>
    </w:rPr>
  </w:style>
  <w:style w:type="character" w:customStyle="1" w:styleId="CommentSubjectChar">
    <w:name w:val="Comment Subject Char"/>
    <w:basedOn w:val="CommentTextChar"/>
    <w:link w:val="CommentSubject"/>
    <w:semiHidden/>
    <w:rsid w:val="00BC799A"/>
    <w:rPr>
      <w:rFonts w:ascii="Arial" w:hAnsi="Arial"/>
      <w:b/>
      <w:bCs/>
      <w:sz w:val="20"/>
      <w:szCs w:val="20"/>
    </w:rPr>
  </w:style>
  <w:style w:type="paragraph" w:customStyle="1" w:styleId="Copy95pt">
    <w:name w:val="Copy 9.5 pt"/>
    <w:basedOn w:val="Normal"/>
    <w:link w:val="Copy95ptZchn"/>
    <w:qFormat/>
    <w:rsid w:val="00BC799A"/>
    <w:pPr>
      <w:spacing w:after="120" w:line="360" w:lineRule="auto"/>
    </w:pPr>
    <w:rPr>
      <w:rFonts w:ascii="Times New Roman" w:hAnsi="Times New Roman"/>
      <w:sz w:val="20"/>
      <w:szCs w:val="13"/>
    </w:rPr>
  </w:style>
  <w:style w:type="character" w:customStyle="1" w:styleId="Copy95ptZchn">
    <w:name w:val="Copy 9.5 pt Zchn"/>
    <w:basedOn w:val="DefaultParagraphFont"/>
    <w:link w:val="Copy95pt"/>
    <w:rsid w:val="00BC799A"/>
    <w:rPr>
      <w:sz w:val="20"/>
      <w:szCs w:val="13"/>
      <w:lang w:val="en-GB"/>
    </w:rPr>
  </w:style>
  <w:style w:type="paragraph" w:customStyle="1" w:styleId="NumPar1">
    <w:name w:val="NumPar 1"/>
    <w:next w:val="Normal"/>
    <w:rsid w:val="005B2FA4"/>
    <w:pPr>
      <w:pBdr>
        <w:top w:val="nil"/>
        <w:left w:val="nil"/>
        <w:bottom w:val="nil"/>
        <w:right w:val="nil"/>
        <w:between w:val="nil"/>
        <w:bar w:val="nil"/>
      </w:pBdr>
      <w:tabs>
        <w:tab w:val="left" w:pos="850"/>
      </w:tabs>
      <w:spacing w:before="120" w:after="120"/>
      <w:ind w:left="850" w:hanging="850"/>
      <w:jc w:val="both"/>
    </w:pPr>
    <w:rPr>
      <w:rFonts w:eastAsia="Arial Unicode MS" w:hAnsi="Arial Unicode MS" w:cs="Arial Unicode MS"/>
      <w:color w:val="000000"/>
      <w:sz w:val="24"/>
      <w:szCs w:val="24"/>
      <w:u w:color="000000"/>
      <w:bdr w:val="nil"/>
      <w:lang w:val="en-US" w:eastAsia="en-GB"/>
    </w:rPr>
  </w:style>
  <w:style w:type="paragraph" w:customStyle="1" w:styleId="Point1letter">
    <w:name w:val="Point 1 (letter)"/>
    <w:rsid w:val="005D5DF6"/>
    <w:pPr>
      <w:pBdr>
        <w:top w:val="nil"/>
        <w:left w:val="nil"/>
        <w:bottom w:val="nil"/>
        <w:right w:val="nil"/>
        <w:between w:val="nil"/>
        <w:bar w:val="nil"/>
      </w:pBdr>
      <w:tabs>
        <w:tab w:val="left" w:pos="1417"/>
      </w:tabs>
      <w:spacing w:before="120" w:after="120"/>
      <w:ind w:left="1417" w:hanging="567"/>
      <w:jc w:val="both"/>
    </w:pPr>
    <w:rPr>
      <w:rFonts w:eastAsia="Arial Unicode MS" w:hAnsi="Arial Unicode MS" w:cs="Arial Unicode MS"/>
      <w:color w:val="000000"/>
      <w:sz w:val="24"/>
      <w:szCs w:val="24"/>
      <w:u w:color="000000"/>
      <w:bdr w:val="nil"/>
      <w:lang w:val="en-US" w:eastAsia="en-GB"/>
    </w:rPr>
  </w:style>
  <w:style w:type="paragraph" w:customStyle="1" w:styleId="CM1">
    <w:name w:val="CM1"/>
    <w:basedOn w:val="Default"/>
    <w:next w:val="Default"/>
    <w:uiPriority w:val="99"/>
    <w:rsid w:val="002F256C"/>
    <w:rPr>
      <w:rFonts w:ascii="EUAlbertina" w:eastAsia="Times New Roman" w:hAnsi="EUAlbertina" w:cs="Times New Roman"/>
      <w:color w:val="auto"/>
      <w:lang w:val="sv-SE" w:eastAsia="de-DE"/>
    </w:rPr>
  </w:style>
  <w:style w:type="paragraph" w:customStyle="1" w:styleId="CM3">
    <w:name w:val="CM3"/>
    <w:basedOn w:val="Default"/>
    <w:next w:val="Default"/>
    <w:uiPriority w:val="99"/>
    <w:rsid w:val="002F256C"/>
    <w:rPr>
      <w:rFonts w:ascii="EUAlbertina" w:eastAsia="Times New Roman" w:hAnsi="EUAlbertina" w:cs="Times New Roman"/>
      <w:color w:val="auto"/>
      <w:lang w:val="sv-SE" w:eastAsia="de-DE"/>
    </w:rPr>
  </w:style>
  <w:style w:type="paragraph" w:styleId="Revision">
    <w:name w:val="Revision"/>
    <w:hidden/>
    <w:uiPriority w:val="99"/>
    <w:semiHidden/>
    <w:rsid w:val="00804A42"/>
    <w:rPr>
      <w:rFonts w:ascii="Arial" w:hAnsi="Arial"/>
      <w:szCs w:val="24"/>
    </w:rPr>
  </w:style>
  <w:style w:type="paragraph" w:customStyle="1" w:styleId="Headline14pt">
    <w:name w:val="Headline 14 pt"/>
    <w:basedOn w:val="Normal"/>
    <w:next w:val="textregular"/>
    <w:link w:val="Headline14ptZchn"/>
    <w:qFormat/>
    <w:rsid w:val="00A148F6"/>
    <w:pPr>
      <w:keepNext/>
      <w:pageBreakBefore/>
      <w:spacing w:before="400" w:after="120" w:line="340" w:lineRule="exact"/>
    </w:pPr>
    <w:rPr>
      <w:rFonts w:ascii="Times New Roman" w:hAnsi="Times New Roman"/>
      <w:b/>
      <w:color w:val="23236E"/>
      <w:sz w:val="32"/>
      <w:szCs w:val="28"/>
    </w:rPr>
  </w:style>
  <w:style w:type="character" w:customStyle="1" w:styleId="Headline14ptZchn">
    <w:name w:val="Headline 14 pt Zchn"/>
    <w:basedOn w:val="DefaultParagraphFont"/>
    <w:link w:val="Headline14pt"/>
    <w:rsid w:val="00A148F6"/>
    <w:rPr>
      <w:b/>
      <w:color w:val="23236E"/>
      <w:sz w:val="32"/>
      <w:szCs w:val="28"/>
      <w:lang w:val="en-GB"/>
    </w:rPr>
  </w:style>
  <w:style w:type="table" w:customStyle="1" w:styleId="TableGrid1">
    <w:name w:val="Table Grid1"/>
    <w:basedOn w:val="TableNormal"/>
    <w:next w:val="TableGrid"/>
    <w:uiPriority w:val="59"/>
    <w:rsid w:val="00CB4EA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B4EAF"/>
    <w:rPr>
      <w:color w:val="808080"/>
    </w:rPr>
  </w:style>
  <w:style w:type="table" w:customStyle="1" w:styleId="TableGrid2">
    <w:name w:val="Table Grid2"/>
    <w:basedOn w:val="TableNormal"/>
    <w:next w:val="TableGrid"/>
    <w:uiPriority w:val="59"/>
    <w:rsid w:val="006D3A7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75C2A"/>
    <w:pPr>
      <w:spacing w:before="100" w:beforeAutospacing="1" w:after="100" w:afterAutospacing="1"/>
    </w:pPr>
    <w:rPr>
      <w:rFonts w:ascii="Times New Roman" w:eastAsiaTheme="minorEastAsia" w:hAnsi="Times New Roman"/>
      <w:sz w:val="24"/>
      <w:lang w:val="fi-FI" w:eastAsia="fi-FI"/>
    </w:rPr>
  </w:style>
  <w:style w:type="paragraph" w:customStyle="1" w:styleId="Paragraphe">
    <w:name w:val="Paragraphe"/>
    <w:basedOn w:val="Normal"/>
    <w:uiPriority w:val="99"/>
    <w:rsid w:val="00362718"/>
    <w:pPr>
      <w:keepLines/>
      <w:widowControl w:val="0"/>
      <w:autoSpaceDE w:val="0"/>
      <w:autoSpaceDN w:val="0"/>
      <w:spacing w:before="120" w:after="120" w:line="276" w:lineRule="auto"/>
      <w:jc w:val="both"/>
    </w:pPr>
    <w:rPr>
      <w:rFonts w:ascii="AvenirNext LT Com Regular" w:hAnsi="AvenirNext LT Com Regular" w:cs="AvenirNext LT Com Regular"/>
      <w:lang w:val="en-US" w:eastAsia="fr-FR"/>
    </w:rPr>
  </w:style>
  <w:style w:type="character" w:customStyle="1" w:styleId="ListParagraphChar">
    <w:name w:val="List Paragraph Char"/>
    <w:link w:val="ListParagraph"/>
    <w:uiPriority w:val="34"/>
    <w:locked/>
    <w:rsid w:val="00362718"/>
    <w:rPr>
      <w:rFonts w:ascii="Arial" w:hAnsi="Arial"/>
      <w:szCs w:val="24"/>
    </w:rPr>
  </w:style>
  <w:style w:type="character" w:customStyle="1" w:styleId="Heading2Char">
    <w:name w:val="Heading 2 Char"/>
    <w:basedOn w:val="DefaultParagraphFont"/>
    <w:link w:val="Heading2"/>
    <w:uiPriority w:val="99"/>
    <w:rsid w:val="00501FB2"/>
    <w:rPr>
      <w:rFonts w:asciiTheme="majorHAnsi" w:eastAsiaTheme="majorEastAsia" w:hAnsiTheme="majorHAnsi" w:cstheme="majorBidi"/>
      <w:color w:val="365F91" w:themeColor="accent1" w:themeShade="BF"/>
      <w:sz w:val="26"/>
      <w:szCs w:val="26"/>
    </w:rPr>
  </w:style>
  <w:style w:type="paragraph" w:styleId="Caption">
    <w:name w:val="caption"/>
    <w:basedOn w:val="Normal"/>
    <w:next w:val="Normal"/>
    <w:qFormat/>
    <w:rsid w:val="006239D2"/>
    <w:pPr>
      <w:spacing w:after="240"/>
      <w:ind w:left="851" w:hanging="851"/>
      <w:jc w:val="center"/>
    </w:pPr>
    <w:rPr>
      <w:rFonts w:ascii="Times New Roman" w:eastAsia="Calibri" w:hAnsi="Times New Roman"/>
      <w:b/>
      <w:bCs/>
      <w:smallCaps/>
      <w:sz w:val="20"/>
      <w:szCs w:val="20"/>
    </w:rPr>
  </w:style>
  <w:style w:type="character" w:customStyle="1" w:styleId="Heading3Char">
    <w:name w:val="Heading 3 Char"/>
    <w:basedOn w:val="DefaultParagraphFont"/>
    <w:link w:val="Heading3"/>
    <w:semiHidden/>
    <w:rsid w:val="00146850"/>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semiHidden/>
    <w:rsid w:val="00146850"/>
    <w:rPr>
      <w:rFonts w:asciiTheme="majorHAnsi" w:eastAsiaTheme="majorEastAsia" w:hAnsiTheme="majorHAnsi" w:cstheme="majorBidi"/>
      <w:i/>
      <w:iCs/>
      <w:color w:val="365F91" w:themeColor="accent1" w:themeShade="BF"/>
      <w:szCs w:val="24"/>
    </w:rPr>
  </w:style>
  <w:style w:type="character" w:customStyle="1" w:styleId="Heading5Char">
    <w:name w:val="Heading 5 Char"/>
    <w:basedOn w:val="DefaultParagraphFont"/>
    <w:link w:val="Heading5"/>
    <w:semiHidden/>
    <w:rsid w:val="00146850"/>
    <w:rPr>
      <w:rFonts w:asciiTheme="majorHAnsi" w:eastAsiaTheme="majorEastAsia" w:hAnsiTheme="majorHAnsi" w:cstheme="majorBidi"/>
      <w:color w:val="365F91" w:themeColor="accent1" w:themeShade="BF"/>
      <w:szCs w:val="24"/>
    </w:rPr>
  </w:style>
  <w:style w:type="character" w:customStyle="1" w:styleId="Heading6Char">
    <w:name w:val="Heading 6 Char"/>
    <w:basedOn w:val="DefaultParagraphFont"/>
    <w:link w:val="Heading6"/>
    <w:semiHidden/>
    <w:rsid w:val="00146850"/>
    <w:rPr>
      <w:rFonts w:asciiTheme="majorHAnsi" w:eastAsiaTheme="majorEastAsia" w:hAnsiTheme="majorHAnsi" w:cstheme="majorBidi"/>
      <w:color w:val="243F60" w:themeColor="accent1" w:themeShade="7F"/>
      <w:szCs w:val="24"/>
    </w:rPr>
  </w:style>
  <w:style w:type="character" w:customStyle="1" w:styleId="Heading7Char">
    <w:name w:val="Heading 7 Char"/>
    <w:basedOn w:val="DefaultParagraphFont"/>
    <w:link w:val="Heading7"/>
    <w:semiHidden/>
    <w:rsid w:val="00146850"/>
    <w:rPr>
      <w:rFonts w:asciiTheme="majorHAnsi" w:eastAsiaTheme="majorEastAsia" w:hAnsiTheme="majorHAnsi" w:cstheme="majorBidi"/>
      <w:i/>
      <w:iCs/>
      <w:color w:val="243F60" w:themeColor="accent1" w:themeShade="7F"/>
      <w:szCs w:val="24"/>
    </w:rPr>
  </w:style>
  <w:style w:type="character" w:customStyle="1" w:styleId="Heading8Char">
    <w:name w:val="Heading 8 Char"/>
    <w:basedOn w:val="DefaultParagraphFont"/>
    <w:link w:val="Heading8"/>
    <w:semiHidden/>
    <w:rsid w:val="0014685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146850"/>
    <w:rPr>
      <w:rFonts w:asciiTheme="majorHAnsi" w:eastAsiaTheme="majorEastAsia" w:hAnsiTheme="majorHAnsi" w:cstheme="majorBidi"/>
      <w:i/>
      <w:iCs/>
      <w:color w:val="272727" w:themeColor="text1" w:themeTint="D8"/>
      <w:sz w:val="21"/>
      <w:szCs w:val="21"/>
    </w:rPr>
  </w:style>
  <w:style w:type="numbering" w:customStyle="1" w:styleId="Headline-Structure">
    <w:name w:val="Headline-Structure"/>
    <w:basedOn w:val="NoList"/>
    <w:uiPriority w:val="99"/>
    <w:rsid w:val="00146850"/>
    <w:pPr>
      <w:numPr>
        <w:numId w:val="4"/>
      </w:numPr>
    </w:pPr>
  </w:style>
  <w:style w:type="paragraph" w:customStyle="1" w:styleId="Figure">
    <w:name w:val="Figure"/>
    <w:basedOn w:val="Normal"/>
    <w:link w:val="FigureZchn"/>
    <w:qFormat/>
    <w:rsid w:val="008515CD"/>
    <w:pPr>
      <w:keepNext/>
      <w:spacing w:after="60"/>
      <w:jc w:val="center"/>
    </w:pPr>
    <w:rPr>
      <w:rFonts w:eastAsia="Calibri"/>
      <w:sz w:val="20"/>
      <w:szCs w:val="22"/>
      <w:lang w:val="en-US" w:eastAsia="en-US"/>
    </w:rPr>
  </w:style>
  <w:style w:type="character" w:customStyle="1" w:styleId="FigureZchn">
    <w:name w:val="Figure Zchn"/>
    <w:basedOn w:val="DefaultParagraphFont"/>
    <w:link w:val="Figure"/>
    <w:rsid w:val="008515CD"/>
    <w:rPr>
      <w:rFonts w:ascii="Arial" w:eastAsia="Calibri" w:hAnsi="Arial"/>
      <w:sz w:val="20"/>
      <w:lang w:val="en-US" w:eastAsia="en-US"/>
    </w:rPr>
  </w:style>
  <w:style w:type="paragraph" w:styleId="ListNumber">
    <w:name w:val="List Number"/>
    <w:basedOn w:val="Normal"/>
    <w:semiHidden/>
    <w:rsid w:val="009A3659"/>
    <w:pPr>
      <w:numPr>
        <w:numId w:val="5"/>
      </w:numPr>
      <w:contextualSpacing/>
    </w:pPr>
  </w:style>
  <w:style w:type="paragraph" w:styleId="TableofFigures">
    <w:name w:val="table of figures"/>
    <w:basedOn w:val="Normal"/>
    <w:next w:val="Normal"/>
    <w:uiPriority w:val="99"/>
    <w:unhideWhenUsed/>
    <w:rsid w:val="0089092C"/>
    <w:rPr>
      <w:rFonts w:ascii="Times New Roman" w:hAnsi="Times New Roman"/>
    </w:rPr>
  </w:style>
  <w:style w:type="character" w:styleId="FollowedHyperlink">
    <w:name w:val="FollowedHyperlink"/>
    <w:basedOn w:val="DefaultParagraphFont"/>
    <w:semiHidden/>
    <w:unhideWhenUsed/>
    <w:rsid w:val="004A193B"/>
    <w:rPr>
      <w:color w:val="800080" w:themeColor="followedHyperlink"/>
      <w:u w:val="single"/>
    </w:rPr>
  </w:style>
  <w:style w:type="table" w:customStyle="1" w:styleId="Tabellenraster1">
    <w:name w:val="Tabellenraster1"/>
    <w:basedOn w:val="TableNormal"/>
    <w:next w:val="TableGrid"/>
    <w:uiPriority w:val="59"/>
    <w:rsid w:val="0050633E"/>
    <w:rPr>
      <w:rFonts w:ascii="Calibri" w:eastAsia="Calibri" w:hAnsi="Calibri"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3E6316"/>
    <w:pPr>
      <w:numPr>
        <w:numId w:val="6"/>
      </w:numPr>
    </w:pPr>
  </w:style>
  <w:style w:type="numbering" w:customStyle="1" w:styleId="Style2">
    <w:name w:val="Style2"/>
    <w:uiPriority w:val="99"/>
    <w:rsid w:val="00F50793"/>
    <w:pPr>
      <w:numPr>
        <w:numId w:val="7"/>
      </w:numPr>
    </w:pPr>
  </w:style>
  <w:style w:type="character" w:customStyle="1" w:styleId="UnresolvedMention1">
    <w:name w:val="Unresolved Mention1"/>
    <w:basedOn w:val="DefaultParagraphFont"/>
    <w:uiPriority w:val="99"/>
    <w:semiHidden/>
    <w:unhideWhenUsed/>
    <w:rsid w:val="00D90152"/>
    <w:rPr>
      <w:color w:val="808080"/>
      <w:shd w:val="clear" w:color="auto" w:fill="E6E6E6"/>
    </w:rPr>
  </w:style>
  <w:style w:type="paragraph" w:styleId="TOC4">
    <w:name w:val="toc 4"/>
    <w:basedOn w:val="Normal"/>
    <w:next w:val="Normal"/>
    <w:autoRedefine/>
    <w:semiHidden/>
    <w:unhideWhenUsed/>
    <w:rsid w:val="002D7EAB"/>
    <w:pPr>
      <w:spacing w:after="100"/>
      <w:ind w:left="660"/>
    </w:pPr>
    <w:rPr>
      <w:rFonts w:ascii="Times New Roman" w:hAnsi="Times New Roman"/>
    </w:rPr>
  </w:style>
  <w:style w:type="character" w:customStyle="1" w:styleId="UnresolvedMention2">
    <w:name w:val="Unresolved Mention2"/>
    <w:basedOn w:val="DefaultParagraphFont"/>
    <w:uiPriority w:val="99"/>
    <w:semiHidden/>
    <w:unhideWhenUsed/>
    <w:rsid w:val="0014620F"/>
    <w:rPr>
      <w:color w:val="808080"/>
      <w:shd w:val="clear" w:color="auto" w:fill="E6E6E6"/>
    </w:rPr>
  </w:style>
  <w:style w:type="table" w:customStyle="1" w:styleId="PlainTable41">
    <w:name w:val="Plain Table 41"/>
    <w:basedOn w:val="TableNormal"/>
    <w:uiPriority w:val="44"/>
    <w:rsid w:val="0034289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auGrille4-Accentuation51">
    <w:name w:val="Tableau Grille 4 - Accentuation 51"/>
    <w:basedOn w:val="TableNormal"/>
    <w:uiPriority w:val="49"/>
    <w:rsid w:val="00755B81"/>
    <w:rPr>
      <w:rFonts w:asciiTheme="minorHAnsi" w:eastAsiaTheme="minorHAnsi" w:hAnsiTheme="minorHAnsi" w:cstheme="minorBidi"/>
      <w:lang w:val="fr-FR" w:eastAsia="en-US"/>
    </w:rPr>
    <w:tblPr>
      <w:tblStyleRowBandSize w:val="1"/>
      <w:tblStyleColBandSize w:val="1"/>
      <w:jc w:val="center"/>
      <w:tblInd w:w="0" w:type="nil"/>
      <w:tblBorders>
        <w:top w:val="single" w:sz="4" w:space="0" w:color="215868" w:themeColor="accent5" w:themeShade="80"/>
        <w:left w:val="single" w:sz="4" w:space="0" w:color="215868" w:themeColor="accent5" w:themeShade="80"/>
        <w:bottom w:val="single" w:sz="4" w:space="0" w:color="215868" w:themeColor="accent5" w:themeShade="80"/>
        <w:right w:val="single" w:sz="4" w:space="0" w:color="215868" w:themeColor="accent5" w:themeShade="80"/>
        <w:insideH w:val="single" w:sz="4" w:space="0" w:color="215868" w:themeColor="accent5" w:themeShade="80"/>
        <w:insideV w:val="single" w:sz="4" w:space="0" w:color="215868" w:themeColor="accent5" w:themeShade="80"/>
      </w:tblBorders>
    </w:tblPr>
    <w:trPr>
      <w:jc w:val="center"/>
    </w:trPr>
    <w:tblStylePr w:type="firstRow">
      <w:rPr>
        <w:b/>
        <w:bCs/>
        <w:color w:val="FFFFFF" w:themeColor="background1"/>
      </w:rPr>
      <w:tblPr/>
      <w:tcPr>
        <w:tcBorders>
          <w:top w:val="single" w:sz="6" w:space="0" w:color="215868" w:themeColor="accent5" w:themeShade="80"/>
          <w:left w:val="single" w:sz="6" w:space="0" w:color="215868" w:themeColor="accent5" w:themeShade="80"/>
          <w:bottom w:val="single" w:sz="6" w:space="0" w:color="215868" w:themeColor="accent5" w:themeShade="80"/>
          <w:right w:val="single" w:sz="6" w:space="0" w:color="215868" w:themeColor="accent5" w:themeShade="80"/>
          <w:insideH w:val="nil"/>
          <w:insideV w:val="nil"/>
          <w:tl2br w:val="nil"/>
          <w:tr2bl w:val="nil"/>
        </w:tcBorders>
        <w:shd w:val="clear" w:color="auto" w:fill="215868" w:themeFill="accent5" w:themeFillShade="80"/>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FFFFFF" w:themeFill="background1"/>
      </w:tcPr>
    </w:tblStylePr>
    <w:tblStylePr w:type="band2Horz">
      <w:tblPr/>
      <w:tcPr>
        <w:shd w:val="clear" w:color="auto" w:fill="DBE5F1" w:themeFill="accent1" w:themeFillTint="33"/>
      </w:tcPr>
    </w:tblStylePr>
  </w:style>
  <w:style w:type="table" w:customStyle="1" w:styleId="GridTable5DarkAccent1">
    <w:name w:val="Grid Table 5 Dark Accent 1"/>
    <w:basedOn w:val="TableNormal"/>
    <w:uiPriority w:val="50"/>
    <w:rsid w:val="0018393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Gitternetztabelle5dunkelAkzent11">
    <w:name w:val="Gitternetztabelle 5 dunkel  – Akzent 11"/>
    <w:basedOn w:val="TableNormal"/>
    <w:uiPriority w:val="50"/>
    <w:rsid w:val="006114F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customStyle="1" w:styleId="NumPar2">
    <w:name w:val="NumPar 2"/>
    <w:basedOn w:val="Normal"/>
    <w:next w:val="Normal"/>
    <w:rsid w:val="00681F79"/>
    <w:pPr>
      <w:tabs>
        <w:tab w:val="num" w:pos="850"/>
      </w:tabs>
      <w:spacing w:before="120" w:after="120"/>
      <w:ind w:left="850" w:hanging="850"/>
      <w:jc w:val="both"/>
    </w:pPr>
    <w:rPr>
      <w:rFonts w:ascii="Times New Roman" w:eastAsiaTheme="minorHAnsi" w:hAnsi="Times New Roman"/>
      <w:sz w:val="24"/>
      <w:szCs w:val="22"/>
      <w:lang w:eastAsia="en-US"/>
    </w:rPr>
  </w:style>
  <w:style w:type="paragraph" w:customStyle="1" w:styleId="NumPar3">
    <w:name w:val="NumPar 3"/>
    <w:basedOn w:val="Normal"/>
    <w:next w:val="Normal"/>
    <w:rsid w:val="00681F79"/>
    <w:pPr>
      <w:tabs>
        <w:tab w:val="num" w:pos="850"/>
      </w:tabs>
      <w:spacing w:before="120" w:after="120"/>
      <w:ind w:left="850" w:hanging="850"/>
      <w:jc w:val="both"/>
    </w:pPr>
    <w:rPr>
      <w:rFonts w:ascii="Times New Roman" w:eastAsiaTheme="minorHAnsi" w:hAnsi="Times New Roman"/>
      <w:sz w:val="24"/>
      <w:szCs w:val="22"/>
      <w:lang w:eastAsia="en-US"/>
    </w:rPr>
  </w:style>
  <w:style w:type="paragraph" w:customStyle="1" w:styleId="NumPar4">
    <w:name w:val="NumPar 4"/>
    <w:basedOn w:val="Normal"/>
    <w:next w:val="Normal"/>
    <w:rsid w:val="00681F79"/>
    <w:pPr>
      <w:tabs>
        <w:tab w:val="num" w:pos="850"/>
      </w:tabs>
      <w:spacing w:before="120" w:after="120"/>
      <w:ind w:left="850" w:hanging="850"/>
      <w:jc w:val="both"/>
    </w:pPr>
    <w:rPr>
      <w:rFonts w:ascii="Times New Roman" w:eastAsiaTheme="minorHAnsi" w:hAnsi="Times New Roman"/>
      <w:sz w:val="24"/>
      <w:szCs w:val="22"/>
      <w:lang w:eastAsia="en-US"/>
    </w:rPr>
  </w:style>
  <w:style w:type="paragraph" w:customStyle="1" w:styleId="Point0number">
    <w:name w:val="Point 0 (number)"/>
    <w:basedOn w:val="Normal"/>
    <w:rsid w:val="00681F79"/>
    <w:pPr>
      <w:tabs>
        <w:tab w:val="num" w:pos="850"/>
      </w:tabs>
      <w:spacing w:before="120" w:after="120"/>
      <w:ind w:left="850" w:hanging="850"/>
      <w:jc w:val="both"/>
    </w:pPr>
    <w:rPr>
      <w:rFonts w:ascii="Times New Roman" w:eastAsiaTheme="minorHAnsi" w:hAnsi="Times New Roman"/>
      <w:sz w:val="24"/>
      <w:szCs w:val="22"/>
      <w:lang w:eastAsia="en-US"/>
    </w:rPr>
  </w:style>
  <w:style w:type="paragraph" w:customStyle="1" w:styleId="Point1number">
    <w:name w:val="Point 1 (number)"/>
    <w:basedOn w:val="Normal"/>
    <w:rsid w:val="00681F79"/>
    <w:pPr>
      <w:tabs>
        <w:tab w:val="num" w:pos="1417"/>
      </w:tabs>
      <w:spacing w:before="120" w:after="120"/>
      <w:ind w:left="1417" w:hanging="567"/>
      <w:jc w:val="both"/>
    </w:pPr>
    <w:rPr>
      <w:rFonts w:ascii="Times New Roman" w:eastAsiaTheme="minorHAnsi" w:hAnsi="Times New Roman"/>
      <w:sz w:val="24"/>
      <w:szCs w:val="22"/>
      <w:lang w:eastAsia="en-US"/>
    </w:rPr>
  </w:style>
  <w:style w:type="paragraph" w:customStyle="1" w:styleId="Point2number">
    <w:name w:val="Point 2 (number)"/>
    <w:basedOn w:val="Normal"/>
    <w:rsid w:val="00681F79"/>
    <w:pPr>
      <w:tabs>
        <w:tab w:val="num" w:pos="1984"/>
      </w:tabs>
      <w:spacing w:before="120" w:after="120"/>
      <w:ind w:left="1984" w:hanging="567"/>
      <w:jc w:val="both"/>
    </w:pPr>
    <w:rPr>
      <w:rFonts w:ascii="Times New Roman" w:eastAsiaTheme="minorHAnsi" w:hAnsi="Times New Roman"/>
      <w:sz w:val="24"/>
      <w:szCs w:val="22"/>
      <w:lang w:eastAsia="en-US"/>
    </w:rPr>
  </w:style>
  <w:style w:type="paragraph" w:customStyle="1" w:styleId="Point3number">
    <w:name w:val="Point 3 (number)"/>
    <w:basedOn w:val="Normal"/>
    <w:rsid w:val="00681F79"/>
    <w:pPr>
      <w:tabs>
        <w:tab w:val="num" w:pos="2551"/>
      </w:tabs>
      <w:spacing w:before="120" w:after="120"/>
      <w:ind w:left="2551" w:hanging="567"/>
      <w:jc w:val="both"/>
    </w:pPr>
    <w:rPr>
      <w:rFonts w:ascii="Times New Roman" w:eastAsiaTheme="minorHAnsi" w:hAnsi="Times New Roman"/>
      <w:sz w:val="24"/>
      <w:szCs w:val="22"/>
      <w:lang w:eastAsia="en-US"/>
    </w:rPr>
  </w:style>
  <w:style w:type="paragraph" w:customStyle="1" w:styleId="Point0letter">
    <w:name w:val="Point 0 (letter)"/>
    <w:basedOn w:val="Normal"/>
    <w:rsid w:val="00681F79"/>
    <w:pPr>
      <w:tabs>
        <w:tab w:val="num" w:pos="850"/>
      </w:tabs>
      <w:spacing w:before="120" w:after="120"/>
      <w:ind w:left="850" w:hanging="850"/>
      <w:jc w:val="both"/>
    </w:pPr>
    <w:rPr>
      <w:rFonts w:ascii="Times New Roman" w:eastAsiaTheme="minorHAnsi" w:hAnsi="Times New Roman"/>
      <w:sz w:val="24"/>
      <w:szCs w:val="22"/>
      <w:lang w:eastAsia="en-US"/>
    </w:rPr>
  </w:style>
  <w:style w:type="paragraph" w:customStyle="1" w:styleId="Point2letter">
    <w:name w:val="Point 2 (letter)"/>
    <w:basedOn w:val="Normal"/>
    <w:rsid w:val="00681F79"/>
    <w:pPr>
      <w:tabs>
        <w:tab w:val="num" w:pos="1984"/>
      </w:tabs>
      <w:spacing w:before="120" w:after="120"/>
      <w:ind w:left="1984" w:hanging="567"/>
      <w:jc w:val="both"/>
    </w:pPr>
    <w:rPr>
      <w:rFonts w:ascii="Times New Roman" w:eastAsiaTheme="minorHAnsi" w:hAnsi="Times New Roman"/>
      <w:sz w:val="24"/>
      <w:szCs w:val="22"/>
      <w:lang w:eastAsia="en-US"/>
    </w:rPr>
  </w:style>
  <w:style w:type="paragraph" w:customStyle="1" w:styleId="Point3letter">
    <w:name w:val="Point 3 (letter)"/>
    <w:basedOn w:val="Normal"/>
    <w:rsid w:val="00681F79"/>
    <w:pPr>
      <w:tabs>
        <w:tab w:val="num" w:pos="2551"/>
      </w:tabs>
      <w:spacing w:before="120" w:after="120"/>
      <w:ind w:left="2551" w:hanging="567"/>
      <w:jc w:val="both"/>
    </w:pPr>
    <w:rPr>
      <w:rFonts w:ascii="Times New Roman" w:eastAsiaTheme="minorHAnsi" w:hAnsi="Times New Roman"/>
      <w:sz w:val="24"/>
      <w:szCs w:val="22"/>
      <w:lang w:eastAsia="en-US"/>
    </w:rPr>
  </w:style>
  <w:style w:type="paragraph" w:customStyle="1" w:styleId="Point4letter">
    <w:name w:val="Point 4 (letter)"/>
    <w:basedOn w:val="Normal"/>
    <w:rsid w:val="00681F79"/>
    <w:pPr>
      <w:tabs>
        <w:tab w:val="num" w:pos="3118"/>
      </w:tabs>
      <w:spacing w:before="120" w:after="120"/>
      <w:ind w:left="3118" w:hanging="567"/>
      <w:jc w:val="both"/>
    </w:pPr>
    <w:rPr>
      <w:rFonts w:ascii="Times New Roman" w:eastAsiaTheme="minorHAnsi" w:hAnsi="Times New Roman"/>
      <w:sz w:val="24"/>
      <w:szCs w:val="22"/>
      <w:lang w:eastAsia="en-US"/>
    </w:rPr>
  </w:style>
  <w:style w:type="paragraph" w:customStyle="1" w:styleId="Luettelokappale22">
    <w:name w:val="Luettelokappale22"/>
    <w:basedOn w:val="Normal"/>
    <w:link w:val="Luettelokappale22Char"/>
    <w:uiPriority w:val="99"/>
    <w:rsid w:val="00681F79"/>
    <w:pPr>
      <w:suppressAutoHyphens/>
      <w:autoSpaceDN w:val="0"/>
      <w:spacing w:after="200" w:line="276" w:lineRule="auto"/>
      <w:ind w:left="720"/>
      <w:textAlignment w:val="baseline"/>
    </w:pPr>
    <w:rPr>
      <w:rFonts w:ascii="Calibri" w:eastAsia="Calibri" w:hAnsi="Calibri"/>
      <w:szCs w:val="20"/>
      <w:lang w:val="fr-BE" w:eastAsia="en-US"/>
    </w:rPr>
  </w:style>
  <w:style w:type="character" w:customStyle="1" w:styleId="Luettelokappale22Char">
    <w:name w:val="Luettelokappale22 Char"/>
    <w:link w:val="Luettelokappale22"/>
    <w:uiPriority w:val="99"/>
    <w:locked/>
    <w:rsid w:val="00681F79"/>
    <w:rPr>
      <w:rFonts w:ascii="Calibri" w:eastAsia="Calibri" w:hAnsi="Calibri"/>
      <w:szCs w:val="20"/>
      <w:lang w:val="fr-B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unhideWhenUsed="0" w:qFormat="1"/>
    <w:lsdException w:name="heading 3" w:uiPriority="99" w:unhideWhenUsed="0" w:qFormat="1"/>
    <w:lsdException w:name="heading 4" w:unhideWhenUsed="0" w:qFormat="1"/>
    <w:lsdException w:name="heading 5" w:unhideWhenUsed="0" w:qFormat="1"/>
    <w:lsdException w:name="heading 6"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annotation text" w:uiPriority="99"/>
    <w:lsdException w:name="header" w:uiPriority="99"/>
    <w:lsdException w:name="footer" w:uiPriority="99"/>
    <w:lsdException w:name="caption" w:qFormat="1"/>
    <w:lsdException w:name="table of figures" w:uiPriority="99"/>
    <w:lsdException w:name="footnote reference" w:uiPriority="99"/>
    <w:lsdException w:name="annotation reference" w:uiPriority="99"/>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Table Grid" w:semiHidden="0" w:unhideWhenUsed="0"/>
    <w:lsdException w:name="Placeholder Text" w:uiPriority="99"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emiHidden/>
    <w:qFormat/>
    <w:rsid w:val="00272832"/>
    <w:rPr>
      <w:rFonts w:ascii="Arial" w:hAnsi="Arial"/>
      <w:szCs w:val="24"/>
      <w:lang w:val="en-GB"/>
    </w:rPr>
  </w:style>
  <w:style w:type="paragraph" w:styleId="Heading1">
    <w:name w:val="heading 1"/>
    <w:basedOn w:val="Normal"/>
    <w:next w:val="Normal"/>
    <w:link w:val="Heading1Char"/>
    <w:semiHidden/>
    <w:rsid w:val="00417CC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qFormat/>
    <w:rsid w:val="00501FB2"/>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9"/>
    <w:qFormat/>
    <w:rsid w:val="00146850"/>
    <w:pPr>
      <w:keepNext/>
      <w:keepLines/>
      <w:spacing w:before="40"/>
      <w:outlineLvl w:val="2"/>
    </w:pPr>
    <w:rPr>
      <w:rFonts w:asciiTheme="majorHAnsi" w:eastAsiaTheme="majorEastAsia" w:hAnsiTheme="majorHAnsi" w:cstheme="majorBidi"/>
      <w:color w:val="243F60" w:themeColor="accent1" w:themeShade="7F"/>
      <w:sz w:val="24"/>
    </w:rPr>
  </w:style>
  <w:style w:type="paragraph" w:styleId="Heading4">
    <w:name w:val="heading 4"/>
    <w:basedOn w:val="Normal"/>
    <w:next w:val="Normal"/>
    <w:link w:val="Heading4Char"/>
    <w:semiHidden/>
    <w:qFormat/>
    <w:rsid w:val="00146850"/>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qFormat/>
    <w:rsid w:val="00146850"/>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qFormat/>
    <w:rsid w:val="00146850"/>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semiHidden/>
    <w:unhideWhenUsed/>
    <w:qFormat/>
    <w:rsid w:val="00146850"/>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146850"/>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nhideWhenUsed/>
    <w:qFormat/>
    <w:rsid w:val="0014685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ENTSO-E Table"/>
    <w:basedOn w:val="TableNormal"/>
    <w:rsid w:val="00015A04"/>
    <w:tblPr>
      <w:tblStyleRowBandSize w:val="1"/>
      <w:tblStyleColBandSize w:val="1"/>
      <w:tblBorders>
        <w:insideV w:val="single" w:sz="12" w:space="0" w:color="FFFFFF"/>
      </w:tblBorders>
      <w:tblCellMar>
        <w:top w:w="68" w:type="dxa"/>
        <w:left w:w="57" w:type="dxa"/>
        <w:bottom w:w="68" w:type="dxa"/>
        <w:right w:w="57" w:type="dxa"/>
      </w:tblCellMar>
    </w:tblPr>
    <w:tcPr>
      <w:shd w:val="clear" w:color="auto" w:fill="auto"/>
    </w:tcPr>
    <w:tblStylePr w:type="firstRow">
      <w:rPr>
        <w:rFonts w:ascii="Arial" w:hAnsi="Arial"/>
        <w:b w:val="0"/>
        <w:color w:val="23236E"/>
        <w:sz w:val="28"/>
      </w:rPr>
      <w:tblPr/>
      <w:tcPr>
        <w:tcBorders>
          <w:top w:val="nil"/>
          <w:left w:val="nil"/>
          <w:bottom w:val="nil"/>
          <w:right w:val="nil"/>
          <w:insideH w:val="nil"/>
          <w:insideV w:val="nil"/>
          <w:tl2br w:val="nil"/>
          <w:tr2bl w:val="nil"/>
        </w:tcBorders>
      </w:tcPr>
    </w:tblStylePr>
    <w:tblStylePr w:type="lastRow">
      <w:rPr>
        <w:rFonts w:ascii="Times New Roman" w:hAnsi="Times New Roman"/>
        <w:sz w:val="22"/>
      </w:rPr>
    </w:tblStylePr>
    <w:tblStylePr w:type="firstCol">
      <w:rPr>
        <w:rFonts w:ascii="Times New Roman" w:hAnsi="Times New Roman"/>
        <w:sz w:val="22"/>
      </w:rPr>
      <w:tblPr>
        <w:tblCellMar>
          <w:top w:w="34" w:type="dxa"/>
          <w:left w:w="57" w:type="dxa"/>
          <w:bottom w:w="34" w:type="dxa"/>
          <w:right w:w="85" w:type="dxa"/>
        </w:tblCellMar>
      </w:tblPr>
    </w:tblStylePr>
    <w:tblStylePr w:type="lastCol">
      <w:rPr>
        <w:rFonts w:ascii="Times New Roman" w:hAnsi="Times New Roman"/>
        <w:sz w:val="22"/>
      </w:rPr>
    </w:tblStylePr>
    <w:tblStylePr w:type="band2Vert">
      <w:rPr>
        <w:rFonts w:ascii="Times New Roman" w:hAnsi="Times New Roman"/>
      </w:rPr>
    </w:tblStylePr>
    <w:tblStylePr w:type="band1Horz">
      <w:rPr>
        <w:rFonts w:ascii="Times New Roman" w:hAnsi="Times New Roman"/>
        <w:sz w:val="18"/>
      </w:rPr>
      <w:tblPr/>
      <w:tcPr>
        <w:shd w:val="clear" w:color="auto" w:fill="D9D9D9" w:themeFill="background1" w:themeFillShade="D9"/>
      </w:tcPr>
    </w:tblStylePr>
  </w:style>
  <w:style w:type="paragraph" w:customStyle="1" w:styleId="headlineheader">
    <w:name w:val="headline header"/>
    <w:link w:val="headlineheaderZchn"/>
    <w:rsid w:val="000C304C"/>
    <w:pPr>
      <w:spacing w:after="200" w:line="380" w:lineRule="exact"/>
    </w:pPr>
    <w:rPr>
      <w:rFonts w:ascii="Arial" w:hAnsi="Arial"/>
      <w:b/>
      <w:bCs/>
      <w:color w:val="23236E"/>
      <w:sz w:val="40"/>
      <w:szCs w:val="24"/>
      <w:lang w:val="en-GB"/>
    </w:rPr>
  </w:style>
  <w:style w:type="character" w:customStyle="1" w:styleId="headlineheaderZchn">
    <w:name w:val="headline header Zchn"/>
    <w:basedOn w:val="DefaultParagraphFont"/>
    <w:link w:val="headlineheader"/>
    <w:rsid w:val="00F13C42"/>
    <w:rPr>
      <w:rFonts w:ascii="Arial" w:hAnsi="Arial"/>
      <w:b/>
      <w:bCs/>
      <w:color w:val="23236E"/>
      <w:sz w:val="40"/>
      <w:szCs w:val="24"/>
      <w:lang w:val="en-GB"/>
    </w:rPr>
  </w:style>
  <w:style w:type="paragraph" w:customStyle="1" w:styleId="exampleheaderdate">
    <w:name w:val="example header date"/>
    <w:basedOn w:val="headlineheader"/>
    <w:link w:val="exampleheaderdateZchn"/>
    <w:semiHidden/>
    <w:rsid w:val="000C304C"/>
    <w:pPr>
      <w:spacing w:after="380" w:line="340" w:lineRule="exact"/>
    </w:pPr>
    <w:rPr>
      <w:b w:val="0"/>
      <w:bCs w:val="0"/>
      <w:sz w:val="24"/>
    </w:rPr>
  </w:style>
  <w:style w:type="character" w:customStyle="1" w:styleId="exampleheaderdateZchn">
    <w:name w:val="example header date Zchn"/>
    <w:basedOn w:val="headlineheaderZchn"/>
    <w:link w:val="exampleheaderdate"/>
    <w:semiHidden/>
    <w:rsid w:val="00A7023E"/>
    <w:rPr>
      <w:rFonts w:ascii="Arial" w:hAnsi="Arial"/>
      <w:b/>
      <w:bCs/>
      <w:color w:val="23236E"/>
      <w:sz w:val="24"/>
      <w:szCs w:val="24"/>
      <w:lang w:val="en-GB"/>
    </w:rPr>
  </w:style>
  <w:style w:type="paragraph" w:customStyle="1" w:styleId="HEADERexample">
    <w:name w:val="HEADER example"/>
    <w:semiHidden/>
    <w:rsid w:val="00755B42"/>
    <w:pPr>
      <w:pBdr>
        <w:bottom w:val="single" w:sz="6" w:space="5" w:color="23236E"/>
      </w:pBdr>
      <w:spacing w:after="320"/>
    </w:pPr>
    <w:rPr>
      <w:rFonts w:ascii="Arial" w:hAnsi="Arial"/>
      <w:b/>
      <w:bCs/>
      <w:color w:val="23236E"/>
      <w:sz w:val="40"/>
      <w:lang w:val="en-GB"/>
    </w:rPr>
  </w:style>
  <w:style w:type="character" w:customStyle="1" w:styleId="tabletext">
    <w:name w:val="table text"/>
    <w:basedOn w:val="DefaultParagraphFont"/>
    <w:uiPriority w:val="2"/>
    <w:qFormat/>
    <w:rsid w:val="00A36B08"/>
    <w:rPr>
      <w:rFonts w:ascii="Times New Roman" w:hAnsi="Times New Roman"/>
      <w:sz w:val="22"/>
      <w:lang w:val="en-GB"/>
    </w:rPr>
  </w:style>
  <w:style w:type="paragraph" w:styleId="BalloonText">
    <w:name w:val="Balloon Text"/>
    <w:basedOn w:val="Normal"/>
    <w:link w:val="BalloonTextChar"/>
    <w:semiHidden/>
    <w:rsid w:val="004247C4"/>
    <w:rPr>
      <w:rFonts w:ascii="Tahoma" w:hAnsi="Tahoma" w:cs="Tahoma"/>
      <w:sz w:val="16"/>
      <w:szCs w:val="16"/>
    </w:rPr>
  </w:style>
  <w:style w:type="character" w:customStyle="1" w:styleId="BalloonTextChar">
    <w:name w:val="Balloon Text Char"/>
    <w:basedOn w:val="DefaultParagraphFont"/>
    <w:link w:val="BalloonText"/>
    <w:semiHidden/>
    <w:rsid w:val="004247C4"/>
    <w:rPr>
      <w:rFonts w:ascii="Tahoma" w:hAnsi="Tahoma" w:cs="Tahoma"/>
      <w:sz w:val="16"/>
      <w:szCs w:val="16"/>
    </w:rPr>
  </w:style>
  <w:style w:type="paragraph" w:customStyle="1" w:styleId="Day14pt">
    <w:name w:val="Day 14 pt"/>
    <w:basedOn w:val="exampleheaderdate"/>
    <w:next w:val="Normal"/>
    <w:link w:val="Day14ptZchn1"/>
    <w:semiHidden/>
    <w:rsid w:val="00371607"/>
    <w:pPr>
      <w:spacing w:after="120"/>
    </w:pPr>
    <w:rPr>
      <w:b/>
      <w:sz w:val="28"/>
      <w:szCs w:val="28"/>
    </w:rPr>
  </w:style>
  <w:style w:type="character" w:customStyle="1" w:styleId="Day14ptZchn1">
    <w:name w:val="Day 14 pt Zchn1"/>
    <w:basedOn w:val="exampleheaderdateZchn"/>
    <w:link w:val="Day14pt"/>
    <w:semiHidden/>
    <w:rsid w:val="00A7023E"/>
    <w:rPr>
      <w:rFonts w:ascii="Arial" w:hAnsi="Arial"/>
      <w:b/>
      <w:bCs/>
      <w:color w:val="23236E"/>
      <w:sz w:val="28"/>
      <w:szCs w:val="28"/>
      <w:lang w:val="en-GB"/>
    </w:rPr>
  </w:style>
  <w:style w:type="character" w:customStyle="1" w:styleId="Day14ptZchn">
    <w:name w:val="Day 14 pt Zchn"/>
    <w:basedOn w:val="exampleheaderdateZchn"/>
    <w:rsid w:val="00F13C42"/>
    <w:rPr>
      <w:rFonts w:ascii="Arial" w:hAnsi="Arial"/>
      <w:b/>
      <w:bCs/>
      <w:color w:val="23236E"/>
      <w:sz w:val="24"/>
      <w:szCs w:val="24"/>
      <w:lang w:val="en-GB"/>
    </w:rPr>
  </w:style>
  <w:style w:type="paragraph" w:styleId="ListParagraph">
    <w:name w:val="List Paragraph"/>
    <w:basedOn w:val="Normal"/>
    <w:link w:val="ListParagraphChar"/>
    <w:uiPriority w:val="34"/>
    <w:qFormat/>
    <w:rsid w:val="002F1C72"/>
    <w:pPr>
      <w:ind w:left="720"/>
      <w:contextualSpacing/>
    </w:pPr>
  </w:style>
  <w:style w:type="paragraph" w:customStyle="1" w:styleId="headline1">
    <w:name w:val="headline 1"/>
    <w:next w:val="ListNumber"/>
    <w:link w:val="headline1Zchn"/>
    <w:qFormat/>
    <w:rsid w:val="00CD3681"/>
    <w:pPr>
      <w:pageBreakBefore/>
      <w:spacing w:before="400" w:after="120" w:line="340" w:lineRule="exact"/>
      <w:ind w:left="357" w:hanging="357"/>
    </w:pPr>
    <w:rPr>
      <w:rFonts w:ascii="Arial" w:hAnsi="Arial"/>
      <w:b/>
      <w:color w:val="23236E"/>
      <w:sz w:val="28"/>
      <w:szCs w:val="28"/>
      <w:lang w:val="en-GB"/>
    </w:rPr>
  </w:style>
  <w:style w:type="character" w:customStyle="1" w:styleId="headline1Zchn">
    <w:name w:val="headline 1 Zchn"/>
    <w:basedOn w:val="DefaultParagraphFont"/>
    <w:link w:val="headline1"/>
    <w:rsid w:val="00CD3681"/>
    <w:rPr>
      <w:rFonts w:ascii="Arial" w:hAnsi="Arial"/>
      <w:b/>
      <w:color w:val="23236E"/>
      <w:sz w:val="28"/>
      <w:szCs w:val="28"/>
      <w:lang w:val="en-GB"/>
    </w:rPr>
  </w:style>
  <w:style w:type="paragraph" w:customStyle="1" w:styleId="tablehead">
    <w:name w:val="table head"/>
    <w:basedOn w:val="exampleheaderdate"/>
    <w:link w:val="tableheadZchn"/>
    <w:uiPriority w:val="2"/>
    <w:qFormat/>
    <w:rsid w:val="00D33F40"/>
    <w:rPr>
      <w:b/>
      <w:sz w:val="28"/>
      <w:szCs w:val="28"/>
    </w:rPr>
  </w:style>
  <w:style w:type="character" w:customStyle="1" w:styleId="tableheadZchn">
    <w:name w:val="table head Zchn"/>
    <w:basedOn w:val="exampleheaderdateZchn"/>
    <w:link w:val="tablehead"/>
    <w:uiPriority w:val="2"/>
    <w:rsid w:val="00D33F40"/>
    <w:rPr>
      <w:rFonts w:ascii="Arial" w:hAnsi="Arial"/>
      <w:b/>
      <w:bCs/>
      <w:color w:val="23236E"/>
      <w:sz w:val="28"/>
      <w:szCs w:val="28"/>
      <w:lang w:val="en-GB"/>
    </w:rPr>
  </w:style>
  <w:style w:type="paragraph" w:customStyle="1" w:styleId="textregular">
    <w:name w:val="text regular"/>
    <w:link w:val="textregularZchn"/>
    <w:qFormat/>
    <w:rsid w:val="00366C1C"/>
    <w:pPr>
      <w:spacing w:after="120"/>
      <w:jc w:val="both"/>
    </w:pPr>
    <w:rPr>
      <w:szCs w:val="19"/>
      <w:lang w:val="en-GB"/>
    </w:rPr>
  </w:style>
  <w:style w:type="character" w:customStyle="1" w:styleId="textregularZchn">
    <w:name w:val="text regular Zchn"/>
    <w:basedOn w:val="headline1Zchn"/>
    <w:link w:val="textregular"/>
    <w:rsid w:val="00366C1C"/>
    <w:rPr>
      <w:rFonts w:ascii="Arial" w:hAnsi="Arial"/>
      <w:b/>
      <w:color w:val="23236E"/>
      <w:sz w:val="22"/>
      <w:szCs w:val="19"/>
      <w:lang w:val="en-GB"/>
    </w:rPr>
  </w:style>
  <w:style w:type="paragraph" w:customStyle="1" w:styleId="decisionhead">
    <w:name w:val="decision head"/>
    <w:next w:val="Normal"/>
    <w:link w:val="decisionheadZchn"/>
    <w:uiPriority w:val="3"/>
    <w:qFormat/>
    <w:rsid w:val="000771A5"/>
    <w:pPr>
      <w:pBdr>
        <w:top w:val="single" w:sz="24" w:space="1" w:color="B4B4C8"/>
        <w:left w:val="single" w:sz="24" w:space="4" w:color="B4B4C8"/>
        <w:right w:val="single" w:sz="24" w:space="4" w:color="B4B4C8"/>
      </w:pBdr>
      <w:shd w:val="clear" w:color="auto" w:fill="B4B4C8"/>
      <w:spacing w:line="260" w:lineRule="exact"/>
      <w:ind w:left="170" w:right="170"/>
    </w:pPr>
    <w:rPr>
      <w:rFonts w:ascii="Arial" w:hAnsi="Arial" w:cs="Arial"/>
      <w:b/>
      <w:color w:val="23236E"/>
      <w:sz w:val="24"/>
      <w:lang w:val="en-GB"/>
    </w:rPr>
  </w:style>
  <w:style w:type="character" w:customStyle="1" w:styleId="decisionheadZchn">
    <w:name w:val="decision head Zchn"/>
    <w:basedOn w:val="DefaultParagraphFont"/>
    <w:link w:val="decisionhead"/>
    <w:uiPriority w:val="3"/>
    <w:rsid w:val="001330E2"/>
    <w:rPr>
      <w:rFonts w:ascii="Arial" w:hAnsi="Arial" w:cs="Arial"/>
      <w:b/>
      <w:color w:val="23236E"/>
      <w:sz w:val="24"/>
      <w:shd w:val="clear" w:color="auto" w:fill="B4B4C8"/>
      <w:lang w:val="en-GB"/>
    </w:rPr>
  </w:style>
  <w:style w:type="paragraph" w:customStyle="1" w:styleId="headline3">
    <w:name w:val="headline 3"/>
    <w:basedOn w:val="textregular"/>
    <w:next w:val="textregular"/>
    <w:link w:val="headline3Zchn"/>
    <w:qFormat/>
    <w:rsid w:val="00672A61"/>
    <w:pPr>
      <w:keepNext/>
      <w:spacing w:after="20"/>
      <w:ind w:left="1225" w:hanging="505"/>
    </w:pPr>
    <w:rPr>
      <w:b/>
      <w:color w:val="23236E"/>
    </w:rPr>
  </w:style>
  <w:style w:type="character" w:customStyle="1" w:styleId="headline3Zchn">
    <w:name w:val="headline 3 Zchn"/>
    <w:basedOn w:val="textregularZchn"/>
    <w:link w:val="headline3"/>
    <w:rsid w:val="00672A61"/>
    <w:rPr>
      <w:rFonts w:ascii="Arial" w:hAnsi="Arial"/>
      <w:b/>
      <w:color w:val="23236E"/>
      <w:sz w:val="22"/>
      <w:szCs w:val="19"/>
      <w:lang w:val="en-GB"/>
    </w:rPr>
  </w:style>
  <w:style w:type="paragraph" w:customStyle="1" w:styleId="textenumeration">
    <w:name w:val="text enumeration"/>
    <w:link w:val="textenumerationZchn"/>
    <w:uiPriority w:val="1"/>
    <w:qFormat/>
    <w:rsid w:val="00455CC4"/>
    <w:pPr>
      <w:numPr>
        <w:numId w:val="2"/>
      </w:numPr>
      <w:spacing w:after="120"/>
      <w:contextualSpacing/>
    </w:pPr>
    <w:rPr>
      <w:szCs w:val="19"/>
      <w:lang w:val="en-GB"/>
    </w:rPr>
  </w:style>
  <w:style w:type="character" w:customStyle="1" w:styleId="textenumerationZchn">
    <w:name w:val="text enumeration Zchn"/>
    <w:basedOn w:val="textregularZchn"/>
    <w:link w:val="textenumeration"/>
    <w:uiPriority w:val="1"/>
    <w:rsid w:val="00455CC4"/>
    <w:rPr>
      <w:rFonts w:ascii="Arial" w:hAnsi="Arial"/>
      <w:b w:val="0"/>
      <w:color w:val="23236E"/>
      <w:sz w:val="22"/>
      <w:szCs w:val="19"/>
      <w:lang w:val="en-GB"/>
    </w:rPr>
  </w:style>
  <w:style w:type="paragraph" w:customStyle="1" w:styleId="textbullets">
    <w:name w:val="text bullets"/>
    <w:link w:val="textbulletsZchn"/>
    <w:uiPriority w:val="1"/>
    <w:qFormat/>
    <w:rsid w:val="00BC38B7"/>
    <w:pPr>
      <w:numPr>
        <w:numId w:val="3"/>
      </w:numPr>
      <w:contextualSpacing/>
    </w:pPr>
    <w:rPr>
      <w:szCs w:val="19"/>
      <w:lang w:val="en-GB"/>
    </w:rPr>
  </w:style>
  <w:style w:type="character" w:customStyle="1" w:styleId="textbulletsZchn">
    <w:name w:val="text bullets Zchn"/>
    <w:basedOn w:val="textregularZchn"/>
    <w:link w:val="textbullets"/>
    <w:uiPriority w:val="1"/>
    <w:rsid w:val="001330E2"/>
    <w:rPr>
      <w:rFonts w:ascii="Arial" w:hAnsi="Arial"/>
      <w:b w:val="0"/>
      <w:color w:val="23236E"/>
      <w:sz w:val="22"/>
      <w:szCs w:val="19"/>
      <w:lang w:val="en-GB"/>
    </w:rPr>
  </w:style>
  <w:style w:type="paragraph" w:styleId="Footer">
    <w:name w:val="footer"/>
    <w:basedOn w:val="Normal"/>
    <w:link w:val="FooterChar"/>
    <w:uiPriority w:val="99"/>
    <w:rsid w:val="00D0292A"/>
    <w:pPr>
      <w:tabs>
        <w:tab w:val="center" w:pos="4536"/>
        <w:tab w:val="right" w:pos="9072"/>
      </w:tabs>
    </w:pPr>
  </w:style>
  <w:style w:type="character" w:customStyle="1" w:styleId="FooterChar">
    <w:name w:val="Footer Char"/>
    <w:basedOn w:val="DefaultParagraphFont"/>
    <w:link w:val="Footer"/>
    <w:uiPriority w:val="99"/>
    <w:rsid w:val="00D0292A"/>
    <w:rPr>
      <w:rFonts w:ascii="Arial" w:hAnsi="Arial"/>
      <w:szCs w:val="24"/>
    </w:rPr>
  </w:style>
  <w:style w:type="paragraph" w:styleId="Header">
    <w:name w:val="header"/>
    <w:basedOn w:val="Normal"/>
    <w:link w:val="HeaderChar"/>
    <w:uiPriority w:val="99"/>
    <w:rsid w:val="00D0292A"/>
    <w:pPr>
      <w:tabs>
        <w:tab w:val="center" w:pos="4536"/>
        <w:tab w:val="right" w:pos="9072"/>
      </w:tabs>
    </w:pPr>
  </w:style>
  <w:style w:type="character" w:customStyle="1" w:styleId="HeaderChar">
    <w:name w:val="Header Char"/>
    <w:basedOn w:val="DefaultParagraphFont"/>
    <w:link w:val="Header"/>
    <w:uiPriority w:val="99"/>
    <w:rsid w:val="00D0292A"/>
    <w:rPr>
      <w:rFonts w:ascii="Arial" w:hAnsi="Arial"/>
      <w:szCs w:val="24"/>
    </w:rPr>
  </w:style>
  <w:style w:type="paragraph" w:styleId="FootnoteText">
    <w:name w:val="footnote text"/>
    <w:aliases w:val="footnotes"/>
    <w:basedOn w:val="Normal"/>
    <w:link w:val="FootnoteTextChar"/>
    <w:uiPriority w:val="99"/>
    <w:rsid w:val="00A36B08"/>
    <w:rPr>
      <w:rFonts w:ascii="Times New Roman" w:hAnsi="Times New Roman"/>
      <w:sz w:val="19"/>
      <w:szCs w:val="20"/>
    </w:rPr>
  </w:style>
  <w:style w:type="character" w:customStyle="1" w:styleId="FootnoteTextChar">
    <w:name w:val="Footnote Text Char"/>
    <w:aliases w:val="footnotes Char"/>
    <w:basedOn w:val="DefaultParagraphFont"/>
    <w:link w:val="FootnoteText"/>
    <w:uiPriority w:val="99"/>
    <w:rsid w:val="00A36B08"/>
    <w:rPr>
      <w:sz w:val="19"/>
      <w:lang w:val="en-GB"/>
    </w:rPr>
  </w:style>
  <w:style w:type="character" w:styleId="FootnoteReference">
    <w:name w:val="footnote reference"/>
    <w:basedOn w:val="DefaultParagraphFont"/>
    <w:uiPriority w:val="99"/>
    <w:rsid w:val="00291401"/>
    <w:rPr>
      <w:vertAlign w:val="superscript"/>
    </w:rPr>
  </w:style>
  <w:style w:type="paragraph" w:customStyle="1" w:styleId="decisionbullet1">
    <w:name w:val="decision bullet 1"/>
    <w:basedOn w:val="Normal"/>
    <w:link w:val="decisionbullet1Zchn"/>
    <w:uiPriority w:val="3"/>
    <w:qFormat/>
    <w:rsid w:val="00B8360C"/>
    <w:pPr>
      <w:numPr>
        <w:numId w:val="1"/>
      </w:numPr>
      <w:pBdr>
        <w:top w:val="single" w:sz="24" w:space="0" w:color="B4B4C8"/>
        <w:left w:val="single" w:sz="24" w:space="4" w:color="B4B4C8"/>
        <w:bottom w:val="single" w:sz="24" w:space="0" w:color="B4B4C8"/>
        <w:right w:val="single" w:sz="24" w:space="4" w:color="B4B4C8"/>
      </w:pBdr>
      <w:shd w:val="clear" w:color="auto" w:fill="B4B4C8"/>
      <w:ind w:left="527" w:right="170" w:hanging="357"/>
    </w:pPr>
    <w:rPr>
      <w:rFonts w:ascii="Times New Roman" w:hAnsi="Times New Roman"/>
      <w:position w:val="8"/>
      <w:szCs w:val="19"/>
    </w:rPr>
  </w:style>
  <w:style w:type="character" w:customStyle="1" w:styleId="decisionbullet1Zchn">
    <w:name w:val="decision bullet 1 Zchn"/>
    <w:basedOn w:val="DefaultParagraphFont"/>
    <w:link w:val="decisionbullet1"/>
    <w:uiPriority w:val="3"/>
    <w:rsid w:val="00B8360C"/>
    <w:rPr>
      <w:position w:val="8"/>
      <w:szCs w:val="19"/>
      <w:shd w:val="clear" w:color="auto" w:fill="B4B4C8"/>
      <w:lang w:val="en-GB"/>
    </w:rPr>
  </w:style>
  <w:style w:type="paragraph" w:customStyle="1" w:styleId="decisionbullet2">
    <w:name w:val="decision bullet 2"/>
    <w:basedOn w:val="decisionbullet1"/>
    <w:link w:val="decisionbullet2Zchn"/>
    <w:uiPriority w:val="3"/>
    <w:qFormat/>
    <w:rsid w:val="0043379B"/>
    <w:pPr>
      <w:pBdr>
        <w:left w:val="single" w:sz="24" w:space="21" w:color="B4B4C8"/>
        <w:bottom w:val="single" w:sz="24" w:space="3" w:color="B4B4C8"/>
      </w:pBdr>
      <w:ind w:left="884" w:hanging="374"/>
      <w:outlineLvl w:val="0"/>
    </w:pPr>
  </w:style>
  <w:style w:type="character" w:customStyle="1" w:styleId="decisionbullet2Zchn">
    <w:name w:val="decision bullet 2 Zchn"/>
    <w:basedOn w:val="decisionbullet1Zchn"/>
    <w:link w:val="decisionbullet2"/>
    <w:uiPriority w:val="3"/>
    <w:rsid w:val="0043379B"/>
    <w:rPr>
      <w:position w:val="8"/>
      <w:szCs w:val="19"/>
      <w:shd w:val="clear" w:color="auto" w:fill="B4B4C8"/>
      <w:lang w:val="en-GB"/>
    </w:rPr>
  </w:style>
  <w:style w:type="paragraph" w:customStyle="1" w:styleId="headline2">
    <w:name w:val="headline 2"/>
    <w:basedOn w:val="headline1"/>
    <w:next w:val="textregular"/>
    <w:qFormat/>
    <w:rsid w:val="00A148F6"/>
    <w:pPr>
      <w:keepNext/>
      <w:pageBreakBefore w:val="0"/>
      <w:spacing w:line="260" w:lineRule="exact"/>
      <w:ind w:left="0" w:firstLine="0"/>
    </w:pPr>
    <w:rPr>
      <w:rFonts w:ascii="Times New Roman" w:hAnsi="Times New Roman"/>
      <w:bCs/>
      <w:szCs w:val="24"/>
    </w:rPr>
  </w:style>
  <w:style w:type="paragraph" w:customStyle="1" w:styleId="captions">
    <w:name w:val="captions"/>
    <w:next w:val="textregular"/>
    <w:uiPriority w:val="2"/>
    <w:qFormat/>
    <w:rsid w:val="00D33F40"/>
    <w:pPr>
      <w:spacing w:after="120"/>
    </w:pPr>
    <w:rPr>
      <w:i/>
      <w:szCs w:val="24"/>
      <w:lang w:val="en-GB"/>
    </w:rPr>
  </w:style>
  <w:style w:type="paragraph" w:styleId="NoteHeading">
    <w:name w:val="Note Heading"/>
    <w:basedOn w:val="Normal"/>
    <w:next w:val="Normal"/>
    <w:link w:val="NoteHeadingChar"/>
    <w:semiHidden/>
    <w:rsid w:val="0074372B"/>
    <w:rPr>
      <w:rFonts w:ascii="Times New Roman" w:hAnsi="Times New Roman"/>
      <w:sz w:val="19"/>
    </w:rPr>
  </w:style>
  <w:style w:type="character" w:customStyle="1" w:styleId="NoteHeadingChar">
    <w:name w:val="Note Heading Char"/>
    <w:basedOn w:val="DefaultParagraphFont"/>
    <w:link w:val="NoteHeading"/>
    <w:semiHidden/>
    <w:rsid w:val="0074372B"/>
    <w:rPr>
      <w:sz w:val="19"/>
      <w:szCs w:val="24"/>
    </w:rPr>
  </w:style>
  <w:style w:type="paragraph" w:styleId="EndnoteText">
    <w:name w:val="endnote text"/>
    <w:basedOn w:val="Normal"/>
    <w:link w:val="EndnoteTextChar"/>
    <w:semiHidden/>
    <w:rsid w:val="00084E16"/>
    <w:rPr>
      <w:rFonts w:ascii="Times New Roman" w:hAnsi="Times New Roman"/>
      <w:sz w:val="19"/>
      <w:szCs w:val="20"/>
    </w:rPr>
  </w:style>
  <w:style w:type="character" w:customStyle="1" w:styleId="EndnoteTextChar">
    <w:name w:val="Endnote Text Char"/>
    <w:basedOn w:val="DefaultParagraphFont"/>
    <w:link w:val="EndnoteText"/>
    <w:semiHidden/>
    <w:rsid w:val="00084E16"/>
    <w:rPr>
      <w:sz w:val="19"/>
      <w:szCs w:val="20"/>
    </w:rPr>
  </w:style>
  <w:style w:type="character" w:styleId="EndnoteReference">
    <w:name w:val="endnote reference"/>
    <w:basedOn w:val="DefaultParagraphFont"/>
    <w:semiHidden/>
    <w:rsid w:val="00084E16"/>
    <w:rPr>
      <w:vertAlign w:val="superscript"/>
    </w:rPr>
  </w:style>
  <w:style w:type="character" w:customStyle="1" w:styleId="TabTimes95pt">
    <w:name w:val="Tab Times 9_5 pt"/>
    <w:basedOn w:val="DefaultParagraphFont"/>
    <w:qFormat/>
    <w:rsid w:val="00CA222D"/>
    <w:rPr>
      <w:rFonts w:ascii="Times New Roman" w:hAnsi="Times New Roman"/>
      <w:sz w:val="19"/>
    </w:rPr>
  </w:style>
  <w:style w:type="character" w:customStyle="1" w:styleId="Heading1Char">
    <w:name w:val="Heading 1 Char"/>
    <w:basedOn w:val="DefaultParagraphFont"/>
    <w:link w:val="Heading1"/>
    <w:semiHidden/>
    <w:rsid w:val="00417CC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417CCA"/>
    <w:pPr>
      <w:spacing w:line="276" w:lineRule="auto"/>
      <w:outlineLvl w:val="9"/>
    </w:pPr>
  </w:style>
  <w:style w:type="paragraph" w:styleId="TOC1">
    <w:name w:val="toc 1"/>
    <w:basedOn w:val="Normal"/>
    <w:next w:val="Normal"/>
    <w:autoRedefine/>
    <w:uiPriority w:val="39"/>
    <w:unhideWhenUsed/>
    <w:rsid w:val="00530F80"/>
    <w:pPr>
      <w:tabs>
        <w:tab w:val="left" w:pos="440"/>
        <w:tab w:val="right" w:leader="dot" w:pos="9514"/>
      </w:tabs>
      <w:spacing w:after="100"/>
    </w:pPr>
    <w:rPr>
      <w:rFonts w:ascii="Times New Roman" w:hAnsi="Times New Roman"/>
      <w:b/>
      <w:noProof/>
    </w:rPr>
  </w:style>
  <w:style w:type="character" w:styleId="Hyperlink">
    <w:name w:val="Hyperlink"/>
    <w:basedOn w:val="DefaultParagraphFont"/>
    <w:uiPriority w:val="99"/>
    <w:unhideWhenUsed/>
    <w:rsid w:val="00AD7D12"/>
    <w:rPr>
      <w:color w:val="0000FF" w:themeColor="hyperlink"/>
      <w:u w:val="single"/>
    </w:rPr>
  </w:style>
  <w:style w:type="paragraph" w:styleId="TOC2">
    <w:name w:val="toc 2"/>
    <w:basedOn w:val="Normal"/>
    <w:next w:val="Normal"/>
    <w:autoRedefine/>
    <w:uiPriority w:val="39"/>
    <w:unhideWhenUsed/>
    <w:rsid w:val="002F4859"/>
    <w:pPr>
      <w:tabs>
        <w:tab w:val="left" w:pos="880"/>
        <w:tab w:val="right" w:leader="dot" w:pos="9514"/>
      </w:tabs>
      <w:spacing w:after="100"/>
      <w:ind w:left="220"/>
    </w:pPr>
    <w:rPr>
      <w:rFonts w:ascii="Times New Roman" w:hAnsi="Times New Roman"/>
    </w:rPr>
  </w:style>
  <w:style w:type="paragraph" w:styleId="TOC3">
    <w:name w:val="toc 3"/>
    <w:basedOn w:val="Normal"/>
    <w:next w:val="Normal"/>
    <w:autoRedefine/>
    <w:uiPriority w:val="39"/>
    <w:unhideWhenUsed/>
    <w:rsid w:val="002D7EAB"/>
    <w:pPr>
      <w:spacing w:after="100"/>
      <w:ind w:left="440"/>
    </w:pPr>
    <w:rPr>
      <w:rFonts w:ascii="Times New Roman" w:hAnsi="Times New Roman"/>
    </w:rPr>
  </w:style>
  <w:style w:type="paragraph" w:customStyle="1" w:styleId="Default">
    <w:name w:val="Default"/>
    <w:rsid w:val="00B23BA6"/>
    <w:pPr>
      <w:autoSpaceDE w:val="0"/>
      <w:autoSpaceDN w:val="0"/>
      <w:adjustRightInd w:val="0"/>
    </w:pPr>
    <w:rPr>
      <w:rFonts w:ascii="Arial" w:eastAsiaTheme="minorHAnsi" w:hAnsi="Arial" w:cs="Arial"/>
      <w:color w:val="000000"/>
      <w:sz w:val="24"/>
      <w:szCs w:val="24"/>
      <w:lang w:val="nb-NO" w:eastAsia="en-US"/>
    </w:rPr>
  </w:style>
  <w:style w:type="character" w:styleId="CommentReference">
    <w:name w:val="annotation reference"/>
    <w:aliases w:val="Stinking Styles6,Marque de commentaire1,Verwijzing opmerking,Rimando commento"/>
    <w:basedOn w:val="DefaultParagraphFont"/>
    <w:uiPriority w:val="99"/>
    <w:unhideWhenUsed/>
    <w:rsid w:val="00B23BA6"/>
    <w:rPr>
      <w:sz w:val="16"/>
      <w:szCs w:val="16"/>
    </w:rPr>
  </w:style>
  <w:style w:type="paragraph" w:styleId="CommentText">
    <w:name w:val="annotation text"/>
    <w:aliases w:val="Stinking Styles5,Tekst opmerking,Testo commento,Texto comentario"/>
    <w:basedOn w:val="Normal"/>
    <w:link w:val="CommentTextChar"/>
    <w:uiPriority w:val="99"/>
    <w:unhideWhenUsed/>
    <w:rsid w:val="00BC799A"/>
    <w:rPr>
      <w:sz w:val="20"/>
      <w:szCs w:val="20"/>
    </w:rPr>
  </w:style>
  <w:style w:type="character" w:customStyle="1" w:styleId="CommentTextChar">
    <w:name w:val="Comment Text Char"/>
    <w:aliases w:val="Stinking Styles5 Char,Tekst opmerking Char,Testo commento Char,Texto comentario Char"/>
    <w:basedOn w:val="DefaultParagraphFont"/>
    <w:link w:val="CommentText"/>
    <w:uiPriority w:val="99"/>
    <w:rsid w:val="00BC799A"/>
    <w:rPr>
      <w:rFonts w:ascii="Arial" w:hAnsi="Arial"/>
      <w:sz w:val="20"/>
      <w:szCs w:val="20"/>
    </w:rPr>
  </w:style>
  <w:style w:type="paragraph" w:styleId="CommentSubject">
    <w:name w:val="annotation subject"/>
    <w:basedOn w:val="CommentText"/>
    <w:next w:val="CommentText"/>
    <w:link w:val="CommentSubjectChar"/>
    <w:semiHidden/>
    <w:unhideWhenUsed/>
    <w:rsid w:val="00BC799A"/>
    <w:rPr>
      <w:b/>
      <w:bCs/>
    </w:rPr>
  </w:style>
  <w:style w:type="character" w:customStyle="1" w:styleId="CommentSubjectChar">
    <w:name w:val="Comment Subject Char"/>
    <w:basedOn w:val="CommentTextChar"/>
    <w:link w:val="CommentSubject"/>
    <w:semiHidden/>
    <w:rsid w:val="00BC799A"/>
    <w:rPr>
      <w:rFonts w:ascii="Arial" w:hAnsi="Arial"/>
      <w:b/>
      <w:bCs/>
      <w:sz w:val="20"/>
      <w:szCs w:val="20"/>
    </w:rPr>
  </w:style>
  <w:style w:type="paragraph" w:customStyle="1" w:styleId="Copy95pt">
    <w:name w:val="Copy 9.5 pt"/>
    <w:basedOn w:val="Normal"/>
    <w:link w:val="Copy95ptZchn"/>
    <w:qFormat/>
    <w:rsid w:val="00BC799A"/>
    <w:pPr>
      <w:spacing w:after="120" w:line="360" w:lineRule="auto"/>
    </w:pPr>
    <w:rPr>
      <w:rFonts w:ascii="Times New Roman" w:hAnsi="Times New Roman"/>
      <w:sz w:val="20"/>
      <w:szCs w:val="13"/>
    </w:rPr>
  </w:style>
  <w:style w:type="character" w:customStyle="1" w:styleId="Copy95ptZchn">
    <w:name w:val="Copy 9.5 pt Zchn"/>
    <w:basedOn w:val="DefaultParagraphFont"/>
    <w:link w:val="Copy95pt"/>
    <w:rsid w:val="00BC799A"/>
    <w:rPr>
      <w:sz w:val="20"/>
      <w:szCs w:val="13"/>
      <w:lang w:val="en-GB"/>
    </w:rPr>
  </w:style>
  <w:style w:type="paragraph" w:customStyle="1" w:styleId="NumPar1">
    <w:name w:val="NumPar 1"/>
    <w:next w:val="Normal"/>
    <w:rsid w:val="005B2FA4"/>
    <w:pPr>
      <w:pBdr>
        <w:top w:val="nil"/>
        <w:left w:val="nil"/>
        <w:bottom w:val="nil"/>
        <w:right w:val="nil"/>
        <w:between w:val="nil"/>
        <w:bar w:val="nil"/>
      </w:pBdr>
      <w:tabs>
        <w:tab w:val="left" w:pos="850"/>
      </w:tabs>
      <w:spacing w:before="120" w:after="120"/>
      <w:ind w:left="850" w:hanging="850"/>
      <w:jc w:val="both"/>
    </w:pPr>
    <w:rPr>
      <w:rFonts w:eastAsia="Arial Unicode MS" w:hAnsi="Arial Unicode MS" w:cs="Arial Unicode MS"/>
      <w:color w:val="000000"/>
      <w:sz w:val="24"/>
      <w:szCs w:val="24"/>
      <w:u w:color="000000"/>
      <w:bdr w:val="nil"/>
      <w:lang w:val="en-US" w:eastAsia="en-GB"/>
    </w:rPr>
  </w:style>
  <w:style w:type="paragraph" w:customStyle="1" w:styleId="Point1letter">
    <w:name w:val="Point 1 (letter)"/>
    <w:rsid w:val="005D5DF6"/>
    <w:pPr>
      <w:pBdr>
        <w:top w:val="nil"/>
        <w:left w:val="nil"/>
        <w:bottom w:val="nil"/>
        <w:right w:val="nil"/>
        <w:between w:val="nil"/>
        <w:bar w:val="nil"/>
      </w:pBdr>
      <w:tabs>
        <w:tab w:val="left" w:pos="1417"/>
      </w:tabs>
      <w:spacing w:before="120" w:after="120"/>
      <w:ind w:left="1417" w:hanging="567"/>
      <w:jc w:val="both"/>
    </w:pPr>
    <w:rPr>
      <w:rFonts w:eastAsia="Arial Unicode MS" w:hAnsi="Arial Unicode MS" w:cs="Arial Unicode MS"/>
      <w:color w:val="000000"/>
      <w:sz w:val="24"/>
      <w:szCs w:val="24"/>
      <w:u w:color="000000"/>
      <w:bdr w:val="nil"/>
      <w:lang w:val="en-US" w:eastAsia="en-GB"/>
    </w:rPr>
  </w:style>
  <w:style w:type="paragraph" w:customStyle="1" w:styleId="CM1">
    <w:name w:val="CM1"/>
    <w:basedOn w:val="Default"/>
    <w:next w:val="Default"/>
    <w:uiPriority w:val="99"/>
    <w:rsid w:val="002F256C"/>
    <w:rPr>
      <w:rFonts w:ascii="EUAlbertina" w:eastAsia="Times New Roman" w:hAnsi="EUAlbertina" w:cs="Times New Roman"/>
      <w:color w:val="auto"/>
      <w:lang w:val="sv-SE" w:eastAsia="de-DE"/>
    </w:rPr>
  </w:style>
  <w:style w:type="paragraph" w:customStyle="1" w:styleId="CM3">
    <w:name w:val="CM3"/>
    <w:basedOn w:val="Default"/>
    <w:next w:val="Default"/>
    <w:uiPriority w:val="99"/>
    <w:rsid w:val="002F256C"/>
    <w:rPr>
      <w:rFonts w:ascii="EUAlbertina" w:eastAsia="Times New Roman" w:hAnsi="EUAlbertina" w:cs="Times New Roman"/>
      <w:color w:val="auto"/>
      <w:lang w:val="sv-SE" w:eastAsia="de-DE"/>
    </w:rPr>
  </w:style>
  <w:style w:type="paragraph" w:styleId="Revision">
    <w:name w:val="Revision"/>
    <w:hidden/>
    <w:uiPriority w:val="99"/>
    <w:semiHidden/>
    <w:rsid w:val="00804A42"/>
    <w:rPr>
      <w:rFonts w:ascii="Arial" w:hAnsi="Arial"/>
      <w:szCs w:val="24"/>
    </w:rPr>
  </w:style>
  <w:style w:type="paragraph" w:customStyle="1" w:styleId="Headline14pt">
    <w:name w:val="Headline 14 pt"/>
    <w:basedOn w:val="Normal"/>
    <w:next w:val="textregular"/>
    <w:link w:val="Headline14ptZchn"/>
    <w:qFormat/>
    <w:rsid w:val="00A148F6"/>
    <w:pPr>
      <w:keepNext/>
      <w:pageBreakBefore/>
      <w:spacing w:before="400" w:after="120" w:line="340" w:lineRule="exact"/>
    </w:pPr>
    <w:rPr>
      <w:rFonts w:ascii="Times New Roman" w:hAnsi="Times New Roman"/>
      <w:b/>
      <w:color w:val="23236E"/>
      <w:sz w:val="32"/>
      <w:szCs w:val="28"/>
    </w:rPr>
  </w:style>
  <w:style w:type="character" w:customStyle="1" w:styleId="Headline14ptZchn">
    <w:name w:val="Headline 14 pt Zchn"/>
    <w:basedOn w:val="DefaultParagraphFont"/>
    <w:link w:val="Headline14pt"/>
    <w:rsid w:val="00A148F6"/>
    <w:rPr>
      <w:b/>
      <w:color w:val="23236E"/>
      <w:sz w:val="32"/>
      <w:szCs w:val="28"/>
      <w:lang w:val="en-GB"/>
    </w:rPr>
  </w:style>
  <w:style w:type="table" w:customStyle="1" w:styleId="TableGrid1">
    <w:name w:val="Table Grid1"/>
    <w:basedOn w:val="TableNormal"/>
    <w:next w:val="TableGrid"/>
    <w:uiPriority w:val="59"/>
    <w:rsid w:val="00CB4EA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B4EAF"/>
    <w:rPr>
      <w:color w:val="808080"/>
    </w:rPr>
  </w:style>
  <w:style w:type="table" w:customStyle="1" w:styleId="TableGrid2">
    <w:name w:val="Table Grid2"/>
    <w:basedOn w:val="TableNormal"/>
    <w:next w:val="TableGrid"/>
    <w:uiPriority w:val="59"/>
    <w:rsid w:val="006D3A7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75C2A"/>
    <w:pPr>
      <w:spacing w:before="100" w:beforeAutospacing="1" w:after="100" w:afterAutospacing="1"/>
    </w:pPr>
    <w:rPr>
      <w:rFonts w:ascii="Times New Roman" w:eastAsiaTheme="minorEastAsia" w:hAnsi="Times New Roman"/>
      <w:sz w:val="24"/>
      <w:lang w:val="fi-FI" w:eastAsia="fi-FI"/>
    </w:rPr>
  </w:style>
  <w:style w:type="paragraph" w:customStyle="1" w:styleId="Paragraphe">
    <w:name w:val="Paragraphe"/>
    <w:basedOn w:val="Normal"/>
    <w:uiPriority w:val="99"/>
    <w:rsid w:val="00362718"/>
    <w:pPr>
      <w:keepLines/>
      <w:widowControl w:val="0"/>
      <w:autoSpaceDE w:val="0"/>
      <w:autoSpaceDN w:val="0"/>
      <w:spacing w:before="120" w:after="120" w:line="276" w:lineRule="auto"/>
      <w:jc w:val="both"/>
    </w:pPr>
    <w:rPr>
      <w:rFonts w:ascii="AvenirNext LT Com Regular" w:hAnsi="AvenirNext LT Com Regular" w:cs="AvenirNext LT Com Regular"/>
      <w:lang w:val="en-US" w:eastAsia="fr-FR"/>
    </w:rPr>
  </w:style>
  <w:style w:type="character" w:customStyle="1" w:styleId="ListParagraphChar">
    <w:name w:val="List Paragraph Char"/>
    <w:link w:val="ListParagraph"/>
    <w:uiPriority w:val="34"/>
    <w:locked/>
    <w:rsid w:val="00362718"/>
    <w:rPr>
      <w:rFonts w:ascii="Arial" w:hAnsi="Arial"/>
      <w:szCs w:val="24"/>
    </w:rPr>
  </w:style>
  <w:style w:type="character" w:customStyle="1" w:styleId="Heading2Char">
    <w:name w:val="Heading 2 Char"/>
    <w:basedOn w:val="DefaultParagraphFont"/>
    <w:link w:val="Heading2"/>
    <w:uiPriority w:val="99"/>
    <w:rsid w:val="00501FB2"/>
    <w:rPr>
      <w:rFonts w:asciiTheme="majorHAnsi" w:eastAsiaTheme="majorEastAsia" w:hAnsiTheme="majorHAnsi" w:cstheme="majorBidi"/>
      <w:color w:val="365F91" w:themeColor="accent1" w:themeShade="BF"/>
      <w:sz w:val="26"/>
      <w:szCs w:val="26"/>
    </w:rPr>
  </w:style>
  <w:style w:type="paragraph" w:styleId="Caption">
    <w:name w:val="caption"/>
    <w:basedOn w:val="Normal"/>
    <w:next w:val="Normal"/>
    <w:qFormat/>
    <w:rsid w:val="006239D2"/>
    <w:pPr>
      <w:spacing w:after="240"/>
      <w:ind w:left="851" w:hanging="851"/>
      <w:jc w:val="center"/>
    </w:pPr>
    <w:rPr>
      <w:rFonts w:ascii="Times New Roman" w:eastAsia="Calibri" w:hAnsi="Times New Roman"/>
      <w:b/>
      <w:bCs/>
      <w:smallCaps/>
      <w:sz w:val="20"/>
      <w:szCs w:val="20"/>
    </w:rPr>
  </w:style>
  <w:style w:type="character" w:customStyle="1" w:styleId="Heading3Char">
    <w:name w:val="Heading 3 Char"/>
    <w:basedOn w:val="DefaultParagraphFont"/>
    <w:link w:val="Heading3"/>
    <w:semiHidden/>
    <w:rsid w:val="00146850"/>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semiHidden/>
    <w:rsid w:val="00146850"/>
    <w:rPr>
      <w:rFonts w:asciiTheme="majorHAnsi" w:eastAsiaTheme="majorEastAsia" w:hAnsiTheme="majorHAnsi" w:cstheme="majorBidi"/>
      <w:i/>
      <w:iCs/>
      <w:color w:val="365F91" w:themeColor="accent1" w:themeShade="BF"/>
      <w:szCs w:val="24"/>
    </w:rPr>
  </w:style>
  <w:style w:type="character" w:customStyle="1" w:styleId="Heading5Char">
    <w:name w:val="Heading 5 Char"/>
    <w:basedOn w:val="DefaultParagraphFont"/>
    <w:link w:val="Heading5"/>
    <w:semiHidden/>
    <w:rsid w:val="00146850"/>
    <w:rPr>
      <w:rFonts w:asciiTheme="majorHAnsi" w:eastAsiaTheme="majorEastAsia" w:hAnsiTheme="majorHAnsi" w:cstheme="majorBidi"/>
      <w:color w:val="365F91" w:themeColor="accent1" w:themeShade="BF"/>
      <w:szCs w:val="24"/>
    </w:rPr>
  </w:style>
  <w:style w:type="character" w:customStyle="1" w:styleId="Heading6Char">
    <w:name w:val="Heading 6 Char"/>
    <w:basedOn w:val="DefaultParagraphFont"/>
    <w:link w:val="Heading6"/>
    <w:semiHidden/>
    <w:rsid w:val="00146850"/>
    <w:rPr>
      <w:rFonts w:asciiTheme="majorHAnsi" w:eastAsiaTheme="majorEastAsia" w:hAnsiTheme="majorHAnsi" w:cstheme="majorBidi"/>
      <w:color w:val="243F60" w:themeColor="accent1" w:themeShade="7F"/>
      <w:szCs w:val="24"/>
    </w:rPr>
  </w:style>
  <w:style w:type="character" w:customStyle="1" w:styleId="Heading7Char">
    <w:name w:val="Heading 7 Char"/>
    <w:basedOn w:val="DefaultParagraphFont"/>
    <w:link w:val="Heading7"/>
    <w:semiHidden/>
    <w:rsid w:val="00146850"/>
    <w:rPr>
      <w:rFonts w:asciiTheme="majorHAnsi" w:eastAsiaTheme="majorEastAsia" w:hAnsiTheme="majorHAnsi" w:cstheme="majorBidi"/>
      <w:i/>
      <w:iCs/>
      <w:color w:val="243F60" w:themeColor="accent1" w:themeShade="7F"/>
      <w:szCs w:val="24"/>
    </w:rPr>
  </w:style>
  <w:style w:type="character" w:customStyle="1" w:styleId="Heading8Char">
    <w:name w:val="Heading 8 Char"/>
    <w:basedOn w:val="DefaultParagraphFont"/>
    <w:link w:val="Heading8"/>
    <w:semiHidden/>
    <w:rsid w:val="0014685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146850"/>
    <w:rPr>
      <w:rFonts w:asciiTheme="majorHAnsi" w:eastAsiaTheme="majorEastAsia" w:hAnsiTheme="majorHAnsi" w:cstheme="majorBidi"/>
      <w:i/>
      <w:iCs/>
      <w:color w:val="272727" w:themeColor="text1" w:themeTint="D8"/>
      <w:sz w:val="21"/>
      <w:szCs w:val="21"/>
    </w:rPr>
  </w:style>
  <w:style w:type="numbering" w:customStyle="1" w:styleId="Headline-Structure">
    <w:name w:val="Headline-Structure"/>
    <w:basedOn w:val="NoList"/>
    <w:uiPriority w:val="99"/>
    <w:rsid w:val="00146850"/>
    <w:pPr>
      <w:numPr>
        <w:numId w:val="4"/>
      </w:numPr>
    </w:pPr>
  </w:style>
  <w:style w:type="paragraph" w:customStyle="1" w:styleId="Figure">
    <w:name w:val="Figure"/>
    <w:basedOn w:val="Normal"/>
    <w:link w:val="FigureZchn"/>
    <w:qFormat/>
    <w:rsid w:val="008515CD"/>
    <w:pPr>
      <w:keepNext/>
      <w:spacing w:after="60"/>
      <w:jc w:val="center"/>
    </w:pPr>
    <w:rPr>
      <w:rFonts w:eastAsia="Calibri"/>
      <w:sz w:val="20"/>
      <w:szCs w:val="22"/>
      <w:lang w:val="en-US" w:eastAsia="en-US"/>
    </w:rPr>
  </w:style>
  <w:style w:type="character" w:customStyle="1" w:styleId="FigureZchn">
    <w:name w:val="Figure Zchn"/>
    <w:basedOn w:val="DefaultParagraphFont"/>
    <w:link w:val="Figure"/>
    <w:rsid w:val="008515CD"/>
    <w:rPr>
      <w:rFonts w:ascii="Arial" w:eastAsia="Calibri" w:hAnsi="Arial"/>
      <w:sz w:val="20"/>
      <w:lang w:val="en-US" w:eastAsia="en-US"/>
    </w:rPr>
  </w:style>
  <w:style w:type="paragraph" w:styleId="ListNumber">
    <w:name w:val="List Number"/>
    <w:basedOn w:val="Normal"/>
    <w:semiHidden/>
    <w:rsid w:val="009A3659"/>
    <w:pPr>
      <w:numPr>
        <w:numId w:val="5"/>
      </w:numPr>
      <w:contextualSpacing/>
    </w:pPr>
  </w:style>
  <w:style w:type="paragraph" w:styleId="TableofFigures">
    <w:name w:val="table of figures"/>
    <w:basedOn w:val="Normal"/>
    <w:next w:val="Normal"/>
    <w:uiPriority w:val="99"/>
    <w:unhideWhenUsed/>
    <w:rsid w:val="0089092C"/>
    <w:rPr>
      <w:rFonts w:ascii="Times New Roman" w:hAnsi="Times New Roman"/>
    </w:rPr>
  </w:style>
  <w:style w:type="character" w:styleId="FollowedHyperlink">
    <w:name w:val="FollowedHyperlink"/>
    <w:basedOn w:val="DefaultParagraphFont"/>
    <w:semiHidden/>
    <w:unhideWhenUsed/>
    <w:rsid w:val="004A193B"/>
    <w:rPr>
      <w:color w:val="800080" w:themeColor="followedHyperlink"/>
      <w:u w:val="single"/>
    </w:rPr>
  </w:style>
  <w:style w:type="table" w:customStyle="1" w:styleId="Tabellenraster1">
    <w:name w:val="Tabellenraster1"/>
    <w:basedOn w:val="TableNormal"/>
    <w:next w:val="TableGrid"/>
    <w:uiPriority w:val="59"/>
    <w:rsid w:val="0050633E"/>
    <w:rPr>
      <w:rFonts w:ascii="Calibri" w:eastAsia="Calibri" w:hAnsi="Calibri"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uiPriority w:val="99"/>
    <w:rsid w:val="003E6316"/>
    <w:pPr>
      <w:numPr>
        <w:numId w:val="6"/>
      </w:numPr>
    </w:pPr>
  </w:style>
  <w:style w:type="numbering" w:customStyle="1" w:styleId="Style2">
    <w:name w:val="Style2"/>
    <w:uiPriority w:val="99"/>
    <w:rsid w:val="00F50793"/>
    <w:pPr>
      <w:numPr>
        <w:numId w:val="7"/>
      </w:numPr>
    </w:pPr>
  </w:style>
  <w:style w:type="character" w:customStyle="1" w:styleId="UnresolvedMention1">
    <w:name w:val="Unresolved Mention1"/>
    <w:basedOn w:val="DefaultParagraphFont"/>
    <w:uiPriority w:val="99"/>
    <w:semiHidden/>
    <w:unhideWhenUsed/>
    <w:rsid w:val="00D90152"/>
    <w:rPr>
      <w:color w:val="808080"/>
      <w:shd w:val="clear" w:color="auto" w:fill="E6E6E6"/>
    </w:rPr>
  </w:style>
  <w:style w:type="paragraph" w:styleId="TOC4">
    <w:name w:val="toc 4"/>
    <w:basedOn w:val="Normal"/>
    <w:next w:val="Normal"/>
    <w:autoRedefine/>
    <w:semiHidden/>
    <w:unhideWhenUsed/>
    <w:rsid w:val="002D7EAB"/>
    <w:pPr>
      <w:spacing w:after="100"/>
      <w:ind w:left="660"/>
    </w:pPr>
    <w:rPr>
      <w:rFonts w:ascii="Times New Roman" w:hAnsi="Times New Roman"/>
    </w:rPr>
  </w:style>
  <w:style w:type="character" w:customStyle="1" w:styleId="UnresolvedMention2">
    <w:name w:val="Unresolved Mention2"/>
    <w:basedOn w:val="DefaultParagraphFont"/>
    <w:uiPriority w:val="99"/>
    <w:semiHidden/>
    <w:unhideWhenUsed/>
    <w:rsid w:val="0014620F"/>
    <w:rPr>
      <w:color w:val="808080"/>
      <w:shd w:val="clear" w:color="auto" w:fill="E6E6E6"/>
    </w:rPr>
  </w:style>
  <w:style w:type="table" w:customStyle="1" w:styleId="PlainTable41">
    <w:name w:val="Plain Table 41"/>
    <w:basedOn w:val="TableNormal"/>
    <w:uiPriority w:val="44"/>
    <w:rsid w:val="0034289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auGrille4-Accentuation51">
    <w:name w:val="Tableau Grille 4 - Accentuation 51"/>
    <w:basedOn w:val="TableNormal"/>
    <w:uiPriority w:val="49"/>
    <w:rsid w:val="00755B81"/>
    <w:rPr>
      <w:rFonts w:asciiTheme="minorHAnsi" w:eastAsiaTheme="minorHAnsi" w:hAnsiTheme="minorHAnsi" w:cstheme="minorBidi"/>
      <w:lang w:val="fr-FR" w:eastAsia="en-US"/>
    </w:rPr>
    <w:tblPr>
      <w:tblStyleRowBandSize w:val="1"/>
      <w:tblStyleColBandSize w:val="1"/>
      <w:jc w:val="center"/>
      <w:tblInd w:w="0" w:type="nil"/>
      <w:tblBorders>
        <w:top w:val="single" w:sz="4" w:space="0" w:color="215868" w:themeColor="accent5" w:themeShade="80"/>
        <w:left w:val="single" w:sz="4" w:space="0" w:color="215868" w:themeColor="accent5" w:themeShade="80"/>
        <w:bottom w:val="single" w:sz="4" w:space="0" w:color="215868" w:themeColor="accent5" w:themeShade="80"/>
        <w:right w:val="single" w:sz="4" w:space="0" w:color="215868" w:themeColor="accent5" w:themeShade="80"/>
        <w:insideH w:val="single" w:sz="4" w:space="0" w:color="215868" w:themeColor="accent5" w:themeShade="80"/>
        <w:insideV w:val="single" w:sz="4" w:space="0" w:color="215868" w:themeColor="accent5" w:themeShade="80"/>
      </w:tblBorders>
    </w:tblPr>
    <w:trPr>
      <w:jc w:val="center"/>
    </w:trPr>
    <w:tblStylePr w:type="firstRow">
      <w:rPr>
        <w:b/>
        <w:bCs/>
        <w:color w:val="FFFFFF" w:themeColor="background1"/>
      </w:rPr>
      <w:tblPr/>
      <w:tcPr>
        <w:tcBorders>
          <w:top w:val="single" w:sz="6" w:space="0" w:color="215868" w:themeColor="accent5" w:themeShade="80"/>
          <w:left w:val="single" w:sz="6" w:space="0" w:color="215868" w:themeColor="accent5" w:themeShade="80"/>
          <w:bottom w:val="single" w:sz="6" w:space="0" w:color="215868" w:themeColor="accent5" w:themeShade="80"/>
          <w:right w:val="single" w:sz="6" w:space="0" w:color="215868" w:themeColor="accent5" w:themeShade="80"/>
          <w:insideH w:val="nil"/>
          <w:insideV w:val="nil"/>
          <w:tl2br w:val="nil"/>
          <w:tr2bl w:val="nil"/>
        </w:tcBorders>
        <w:shd w:val="clear" w:color="auto" w:fill="215868" w:themeFill="accent5" w:themeFillShade="80"/>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FFFFFF" w:themeFill="background1"/>
      </w:tcPr>
    </w:tblStylePr>
    <w:tblStylePr w:type="band2Horz">
      <w:tblPr/>
      <w:tcPr>
        <w:shd w:val="clear" w:color="auto" w:fill="DBE5F1" w:themeFill="accent1" w:themeFillTint="33"/>
      </w:tcPr>
    </w:tblStylePr>
  </w:style>
  <w:style w:type="table" w:customStyle="1" w:styleId="GridTable5DarkAccent1">
    <w:name w:val="Grid Table 5 Dark Accent 1"/>
    <w:basedOn w:val="TableNormal"/>
    <w:uiPriority w:val="50"/>
    <w:rsid w:val="0018393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Gitternetztabelle5dunkelAkzent11">
    <w:name w:val="Gitternetztabelle 5 dunkel  – Akzent 11"/>
    <w:basedOn w:val="TableNormal"/>
    <w:uiPriority w:val="50"/>
    <w:rsid w:val="006114F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customStyle="1" w:styleId="NumPar2">
    <w:name w:val="NumPar 2"/>
    <w:basedOn w:val="Normal"/>
    <w:next w:val="Normal"/>
    <w:rsid w:val="00681F79"/>
    <w:pPr>
      <w:tabs>
        <w:tab w:val="num" w:pos="850"/>
      </w:tabs>
      <w:spacing w:before="120" w:after="120"/>
      <w:ind w:left="850" w:hanging="850"/>
      <w:jc w:val="both"/>
    </w:pPr>
    <w:rPr>
      <w:rFonts w:ascii="Times New Roman" w:eastAsiaTheme="minorHAnsi" w:hAnsi="Times New Roman"/>
      <w:sz w:val="24"/>
      <w:szCs w:val="22"/>
      <w:lang w:eastAsia="en-US"/>
    </w:rPr>
  </w:style>
  <w:style w:type="paragraph" w:customStyle="1" w:styleId="NumPar3">
    <w:name w:val="NumPar 3"/>
    <w:basedOn w:val="Normal"/>
    <w:next w:val="Normal"/>
    <w:rsid w:val="00681F79"/>
    <w:pPr>
      <w:tabs>
        <w:tab w:val="num" w:pos="850"/>
      </w:tabs>
      <w:spacing w:before="120" w:after="120"/>
      <w:ind w:left="850" w:hanging="850"/>
      <w:jc w:val="both"/>
    </w:pPr>
    <w:rPr>
      <w:rFonts w:ascii="Times New Roman" w:eastAsiaTheme="minorHAnsi" w:hAnsi="Times New Roman"/>
      <w:sz w:val="24"/>
      <w:szCs w:val="22"/>
      <w:lang w:eastAsia="en-US"/>
    </w:rPr>
  </w:style>
  <w:style w:type="paragraph" w:customStyle="1" w:styleId="NumPar4">
    <w:name w:val="NumPar 4"/>
    <w:basedOn w:val="Normal"/>
    <w:next w:val="Normal"/>
    <w:rsid w:val="00681F79"/>
    <w:pPr>
      <w:tabs>
        <w:tab w:val="num" w:pos="850"/>
      </w:tabs>
      <w:spacing w:before="120" w:after="120"/>
      <w:ind w:left="850" w:hanging="850"/>
      <w:jc w:val="both"/>
    </w:pPr>
    <w:rPr>
      <w:rFonts w:ascii="Times New Roman" w:eastAsiaTheme="minorHAnsi" w:hAnsi="Times New Roman"/>
      <w:sz w:val="24"/>
      <w:szCs w:val="22"/>
      <w:lang w:eastAsia="en-US"/>
    </w:rPr>
  </w:style>
  <w:style w:type="paragraph" w:customStyle="1" w:styleId="Point0number">
    <w:name w:val="Point 0 (number)"/>
    <w:basedOn w:val="Normal"/>
    <w:rsid w:val="00681F79"/>
    <w:pPr>
      <w:tabs>
        <w:tab w:val="num" w:pos="850"/>
      </w:tabs>
      <w:spacing w:before="120" w:after="120"/>
      <w:ind w:left="850" w:hanging="850"/>
      <w:jc w:val="both"/>
    </w:pPr>
    <w:rPr>
      <w:rFonts w:ascii="Times New Roman" w:eastAsiaTheme="minorHAnsi" w:hAnsi="Times New Roman"/>
      <w:sz w:val="24"/>
      <w:szCs w:val="22"/>
      <w:lang w:eastAsia="en-US"/>
    </w:rPr>
  </w:style>
  <w:style w:type="paragraph" w:customStyle="1" w:styleId="Point1number">
    <w:name w:val="Point 1 (number)"/>
    <w:basedOn w:val="Normal"/>
    <w:rsid w:val="00681F79"/>
    <w:pPr>
      <w:tabs>
        <w:tab w:val="num" w:pos="1417"/>
      </w:tabs>
      <w:spacing w:before="120" w:after="120"/>
      <w:ind w:left="1417" w:hanging="567"/>
      <w:jc w:val="both"/>
    </w:pPr>
    <w:rPr>
      <w:rFonts w:ascii="Times New Roman" w:eastAsiaTheme="minorHAnsi" w:hAnsi="Times New Roman"/>
      <w:sz w:val="24"/>
      <w:szCs w:val="22"/>
      <w:lang w:eastAsia="en-US"/>
    </w:rPr>
  </w:style>
  <w:style w:type="paragraph" w:customStyle="1" w:styleId="Point2number">
    <w:name w:val="Point 2 (number)"/>
    <w:basedOn w:val="Normal"/>
    <w:rsid w:val="00681F79"/>
    <w:pPr>
      <w:tabs>
        <w:tab w:val="num" w:pos="1984"/>
      </w:tabs>
      <w:spacing w:before="120" w:after="120"/>
      <w:ind w:left="1984" w:hanging="567"/>
      <w:jc w:val="both"/>
    </w:pPr>
    <w:rPr>
      <w:rFonts w:ascii="Times New Roman" w:eastAsiaTheme="minorHAnsi" w:hAnsi="Times New Roman"/>
      <w:sz w:val="24"/>
      <w:szCs w:val="22"/>
      <w:lang w:eastAsia="en-US"/>
    </w:rPr>
  </w:style>
  <w:style w:type="paragraph" w:customStyle="1" w:styleId="Point3number">
    <w:name w:val="Point 3 (number)"/>
    <w:basedOn w:val="Normal"/>
    <w:rsid w:val="00681F79"/>
    <w:pPr>
      <w:tabs>
        <w:tab w:val="num" w:pos="2551"/>
      </w:tabs>
      <w:spacing w:before="120" w:after="120"/>
      <w:ind w:left="2551" w:hanging="567"/>
      <w:jc w:val="both"/>
    </w:pPr>
    <w:rPr>
      <w:rFonts w:ascii="Times New Roman" w:eastAsiaTheme="minorHAnsi" w:hAnsi="Times New Roman"/>
      <w:sz w:val="24"/>
      <w:szCs w:val="22"/>
      <w:lang w:eastAsia="en-US"/>
    </w:rPr>
  </w:style>
  <w:style w:type="paragraph" w:customStyle="1" w:styleId="Point0letter">
    <w:name w:val="Point 0 (letter)"/>
    <w:basedOn w:val="Normal"/>
    <w:rsid w:val="00681F79"/>
    <w:pPr>
      <w:tabs>
        <w:tab w:val="num" w:pos="850"/>
      </w:tabs>
      <w:spacing w:before="120" w:after="120"/>
      <w:ind w:left="850" w:hanging="850"/>
      <w:jc w:val="both"/>
    </w:pPr>
    <w:rPr>
      <w:rFonts w:ascii="Times New Roman" w:eastAsiaTheme="minorHAnsi" w:hAnsi="Times New Roman"/>
      <w:sz w:val="24"/>
      <w:szCs w:val="22"/>
      <w:lang w:eastAsia="en-US"/>
    </w:rPr>
  </w:style>
  <w:style w:type="paragraph" w:customStyle="1" w:styleId="Point2letter">
    <w:name w:val="Point 2 (letter)"/>
    <w:basedOn w:val="Normal"/>
    <w:rsid w:val="00681F79"/>
    <w:pPr>
      <w:tabs>
        <w:tab w:val="num" w:pos="1984"/>
      </w:tabs>
      <w:spacing w:before="120" w:after="120"/>
      <w:ind w:left="1984" w:hanging="567"/>
      <w:jc w:val="both"/>
    </w:pPr>
    <w:rPr>
      <w:rFonts w:ascii="Times New Roman" w:eastAsiaTheme="minorHAnsi" w:hAnsi="Times New Roman"/>
      <w:sz w:val="24"/>
      <w:szCs w:val="22"/>
      <w:lang w:eastAsia="en-US"/>
    </w:rPr>
  </w:style>
  <w:style w:type="paragraph" w:customStyle="1" w:styleId="Point3letter">
    <w:name w:val="Point 3 (letter)"/>
    <w:basedOn w:val="Normal"/>
    <w:rsid w:val="00681F79"/>
    <w:pPr>
      <w:tabs>
        <w:tab w:val="num" w:pos="2551"/>
      </w:tabs>
      <w:spacing w:before="120" w:after="120"/>
      <w:ind w:left="2551" w:hanging="567"/>
      <w:jc w:val="both"/>
    </w:pPr>
    <w:rPr>
      <w:rFonts w:ascii="Times New Roman" w:eastAsiaTheme="minorHAnsi" w:hAnsi="Times New Roman"/>
      <w:sz w:val="24"/>
      <w:szCs w:val="22"/>
      <w:lang w:eastAsia="en-US"/>
    </w:rPr>
  </w:style>
  <w:style w:type="paragraph" w:customStyle="1" w:styleId="Point4letter">
    <w:name w:val="Point 4 (letter)"/>
    <w:basedOn w:val="Normal"/>
    <w:rsid w:val="00681F79"/>
    <w:pPr>
      <w:tabs>
        <w:tab w:val="num" w:pos="3118"/>
      </w:tabs>
      <w:spacing w:before="120" w:after="120"/>
      <w:ind w:left="3118" w:hanging="567"/>
      <w:jc w:val="both"/>
    </w:pPr>
    <w:rPr>
      <w:rFonts w:ascii="Times New Roman" w:eastAsiaTheme="minorHAnsi" w:hAnsi="Times New Roman"/>
      <w:sz w:val="24"/>
      <w:szCs w:val="22"/>
      <w:lang w:eastAsia="en-US"/>
    </w:rPr>
  </w:style>
  <w:style w:type="paragraph" w:customStyle="1" w:styleId="Luettelokappale22">
    <w:name w:val="Luettelokappale22"/>
    <w:basedOn w:val="Normal"/>
    <w:link w:val="Luettelokappale22Char"/>
    <w:uiPriority w:val="99"/>
    <w:rsid w:val="00681F79"/>
    <w:pPr>
      <w:suppressAutoHyphens/>
      <w:autoSpaceDN w:val="0"/>
      <w:spacing w:after="200" w:line="276" w:lineRule="auto"/>
      <w:ind w:left="720"/>
      <w:textAlignment w:val="baseline"/>
    </w:pPr>
    <w:rPr>
      <w:rFonts w:ascii="Calibri" w:eastAsia="Calibri" w:hAnsi="Calibri"/>
      <w:szCs w:val="20"/>
      <w:lang w:val="fr-BE" w:eastAsia="en-US"/>
    </w:rPr>
  </w:style>
  <w:style w:type="character" w:customStyle="1" w:styleId="Luettelokappale22Char">
    <w:name w:val="Luettelokappale22 Char"/>
    <w:link w:val="Luettelokappale22"/>
    <w:uiPriority w:val="99"/>
    <w:locked/>
    <w:rsid w:val="00681F79"/>
    <w:rPr>
      <w:rFonts w:ascii="Calibri" w:eastAsia="Calibri" w:hAnsi="Calibri"/>
      <w:szCs w:val="20"/>
      <w:lang w:val="fr-B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3833191">
      <w:bodyDiv w:val="1"/>
      <w:marLeft w:val="0"/>
      <w:marRight w:val="0"/>
      <w:marTop w:val="0"/>
      <w:marBottom w:val="0"/>
      <w:divBdr>
        <w:top w:val="none" w:sz="0" w:space="0" w:color="auto"/>
        <w:left w:val="none" w:sz="0" w:space="0" w:color="auto"/>
        <w:bottom w:val="none" w:sz="0" w:space="0" w:color="auto"/>
        <w:right w:val="none" w:sz="0" w:space="0" w:color="auto"/>
      </w:divBdr>
    </w:div>
    <w:div w:id="405690997">
      <w:bodyDiv w:val="1"/>
      <w:marLeft w:val="0"/>
      <w:marRight w:val="0"/>
      <w:marTop w:val="0"/>
      <w:marBottom w:val="0"/>
      <w:divBdr>
        <w:top w:val="none" w:sz="0" w:space="0" w:color="auto"/>
        <w:left w:val="none" w:sz="0" w:space="0" w:color="auto"/>
        <w:bottom w:val="none" w:sz="0" w:space="0" w:color="auto"/>
        <w:right w:val="none" w:sz="0" w:space="0" w:color="auto"/>
      </w:divBdr>
    </w:div>
    <w:div w:id="455686980">
      <w:bodyDiv w:val="1"/>
      <w:marLeft w:val="0"/>
      <w:marRight w:val="0"/>
      <w:marTop w:val="0"/>
      <w:marBottom w:val="0"/>
      <w:divBdr>
        <w:top w:val="none" w:sz="0" w:space="0" w:color="auto"/>
        <w:left w:val="none" w:sz="0" w:space="0" w:color="auto"/>
        <w:bottom w:val="none" w:sz="0" w:space="0" w:color="auto"/>
        <w:right w:val="none" w:sz="0" w:space="0" w:color="auto"/>
      </w:divBdr>
    </w:div>
    <w:div w:id="733355569">
      <w:bodyDiv w:val="1"/>
      <w:marLeft w:val="0"/>
      <w:marRight w:val="0"/>
      <w:marTop w:val="0"/>
      <w:marBottom w:val="0"/>
      <w:divBdr>
        <w:top w:val="none" w:sz="0" w:space="0" w:color="auto"/>
        <w:left w:val="none" w:sz="0" w:space="0" w:color="auto"/>
        <w:bottom w:val="none" w:sz="0" w:space="0" w:color="auto"/>
        <w:right w:val="none" w:sz="0" w:space="0" w:color="auto"/>
      </w:divBdr>
    </w:div>
    <w:div w:id="1094742905">
      <w:bodyDiv w:val="1"/>
      <w:marLeft w:val="0"/>
      <w:marRight w:val="0"/>
      <w:marTop w:val="0"/>
      <w:marBottom w:val="0"/>
      <w:divBdr>
        <w:top w:val="none" w:sz="0" w:space="0" w:color="auto"/>
        <w:left w:val="none" w:sz="0" w:space="0" w:color="auto"/>
        <w:bottom w:val="none" w:sz="0" w:space="0" w:color="auto"/>
        <w:right w:val="none" w:sz="0" w:space="0" w:color="auto"/>
      </w:divBdr>
    </w:div>
    <w:div w:id="1292518100">
      <w:bodyDiv w:val="1"/>
      <w:marLeft w:val="0"/>
      <w:marRight w:val="0"/>
      <w:marTop w:val="0"/>
      <w:marBottom w:val="0"/>
      <w:divBdr>
        <w:top w:val="none" w:sz="0" w:space="0" w:color="auto"/>
        <w:left w:val="none" w:sz="0" w:space="0" w:color="auto"/>
        <w:bottom w:val="none" w:sz="0" w:space="0" w:color="auto"/>
        <w:right w:val="none" w:sz="0" w:space="0" w:color="auto"/>
      </w:divBdr>
    </w:div>
    <w:div w:id="1498230400">
      <w:bodyDiv w:val="1"/>
      <w:marLeft w:val="0"/>
      <w:marRight w:val="0"/>
      <w:marTop w:val="0"/>
      <w:marBottom w:val="0"/>
      <w:divBdr>
        <w:top w:val="none" w:sz="0" w:space="0" w:color="auto"/>
        <w:left w:val="none" w:sz="0" w:space="0" w:color="auto"/>
        <w:bottom w:val="none" w:sz="0" w:space="0" w:color="auto"/>
        <w:right w:val="none" w:sz="0" w:space="0" w:color="auto"/>
      </w:divBdr>
    </w:div>
    <w:div w:id="1589265400">
      <w:bodyDiv w:val="1"/>
      <w:marLeft w:val="0"/>
      <w:marRight w:val="0"/>
      <w:marTop w:val="0"/>
      <w:marBottom w:val="0"/>
      <w:divBdr>
        <w:top w:val="none" w:sz="0" w:space="0" w:color="auto"/>
        <w:left w:val="none" w:sz="0" w:space="0" w:color="auto"/>
        <w:bottom w:val="none" w:sz="0" w:space="0" w:color="auto"/>
        <w:right w:val="none" w:sz="0" w:space="0" w:color="auto"/>
      </w:divBdr>
    </w:div>
    <w:div w:id="1705716006">
      <w:bodyDiv w:val="1"/>
      <w:marLeft w:val="0"/>
      <w:marRight w:val="0"/>
      <w:marTop w:val="0"/>
      <w:marBottom w:val="0"/>
      <w:divBdr>
        <w:top w:val="none" w:sz="0" w:space="0" w:color="auto"/>
        <w:left w:val="none" w:sz="0" w:space="0" w:color="auto"/>
        <w:bottom w:val="none" w:sz="0" w:space="0" w:color="auto"/>
        <w:right w:val="none" w:sz="0" w:space="0" w:color="auto"/>
      </w:divBdr>
    </w:div>
    <w:div w:id="1818524534">
      <w:bodyDiv w:val="1"/>
      <w:marLeft w:val="0"/>
      <w:marRight w:val="0"/>
      <w:marTop w:val="0"/>
      <w:marBottom w:val="0"/>
      <w:divBdr>
        <w:top w:val="none" w:sz="0" w:space="0" w:color="auto"/>
        <w:left w:val="none" w:sz="0" w:space="0" w:color="auto"/>
        <w:bottom w:val="none" w:sz="0" w:space="0" w:color="auto"/>
        <w:right w:val="none" w:sz="0" w:space="0" w:color="auto"/>
      </w:divBdr>
    </w:div>
    <w:div w:id="1838422824">
      <w:bodyDiv w:val="1"/>
      <w:marLeft w:val="0"/>
      <w:marRight w:val="0"/>
      <w:marTop w:val="0"/>
      <w:marBottom w:val="0"/>
      <w:divBdr>
        <w:top w:val="none" w:sz="0" w:space="0" w:color="auto"/>
        <w:left w:val="none" w:sz="0" w:space="0" w:color="auto"/>
        <w:bottom w:val="none" w:sz="0" w:space="0" w:color="auto"/>
        <w:right w:val="none" w:sz="0" w:space="0" w:color="auto"/>
      </w:divBdr>
    </w:div>
    <w:div w:id="1973050752">
      <w:bodyDiv w:val="1"/>
      <w:marLeft w:val="0"/>
      <w:marRight w:val="0"/>
      <w:marTop w:val="0"/>
      <w:marBottom w:val="0"/>
      <w:divBdr>
        <w:top w:val="none" w:sz="0" w:space="0" w:color="auto"/>
        <w:left w:val="none" w:sz="0" w:space="0" w:color="auto"/>
        <w:bottom w:val="none" w:sz="0" w:space="0" w:color="auto"/>
        <w:right w:val="none" w:sz="0" w:space="0" w:color="auto"/>
      </w:divBdr>
    </w:div>
    <w:div w:id="2039235457">
      <w:bodyDiv w:val="1"/>
      <w:marLeft w:val="0"/>
      <w:marRight w:val="0"/>
      <w:marTop w:val="0"/>
      <w:marBottom w:val="0"/>
      <w:divBdr>
        <w:top w:val="none" w:sz="0" w:space="0" w:color="auto"/>
        <w:left w:val="none" w:sz="0" w:space="0" w:color="auto"/>
        <w:bottom w:val="none" w:sz="0" w:space="0" w:color="auto"/>
        <w:right w:val="none" w:sz="0" w:space="0" w:color="auto"/>
      </w:divBdr>
    </w:div>
    <w:div w:id="2073263882">
      <w:bodyDiv w:val="1"/>
      <w:marLeft w:val="0"/>
      <w:marRight w:val="0"/>
      <w:marTop w:val="0"/>
      <w:marBottom w:val="0"/>
      <w:divBdr>
        <w:top w:val="none" w:sz="0" w:space="0" w:color="auto"/>
        <w:left w:val="none" w:sz="0" w:space="0" w:color="auto"/>
        <w:bottom w:val="none" w:sz="0" w:space="0" w:color="auto"/>
        <w:right w:val="none" w:sz="0" w:space="0" w:color="auto"/>
      </w:divBdr>
    </w:div>
    <w:div w:id="2135556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emf"/><Relationship Id="rId26" Type="http://schemas.openxmlformats.org/officeDocument/2006/relationships/image" Target="media/image16.png"/><Relationship Id="rId21" Type="http://schemas.openxmlformats.org/officeDocument/2006/relationships/image" Target="media/image11.emf"/><Relationship Id="rId34"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oter" Target="footer1.xml"/><Relationship Id="rId38" Type="http://schemas.microsoft.com/office/2011/relationships/people" Target="people.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10.png"/><Relationship Id="rId29" Type="http://schemas.openxmlformats.org/officeDocument/2006/relationships/image" Target="media/image19.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image" Target="media/image14.png"/><Relationship Id="rId32" Type="http://schemas.openxmlformats.org/officeDocument/2006/relationships/header" Target="header1.xml"/><Relationship Id="rId37" Type="http://schemas.microsoft.com/office/2011/relationships/commentsExtended" Target="commentsExtended.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emf"/><Relationship Id="rId10" Type="http://schemas.openxmlformats.org/officeDocument/2006/relationships/footnotes" Target="footnotes.xml"/><Relationship Id="rId19" Type="http://schemas.openxmlformats.org/officeDocument/2006/relationships/image" Target="media/image9.emf"/><Relationship Id="rId31" Type="http://schemas.openxmlformats.org/officeDocument/2006/relationships/image" Target="media/image21.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emf"/><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emf"/><Relationship Id="rId35" Type="http://schemas.openxmlformats.org/officeDocument/2006/relationships/theme" Target="theme/theme1.xml"/><Relationship Id="rId43" Type="http://schemas.microsoft.com/office/2016/09/relationships/commentsIds" Target="commentsIds.xml"/><Relationship Id="rId8" Type="http://schemas.openxmlformats.org/officeDocument/2006/relationships/settings" Target="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2.w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lassource\AppData\Roaming\Microsoft\Templates\ENTSOE\131028_Template_ENTSO-E_Minutes.dotx"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F7A5AA713F11E4C8447F851B217553D" ma:contentTypeVersion="0" ma:contentTypeDescription="Create a new document." ma:contentTypeScope="" ma:versionID="46adfe984b43dabeab822b4668d1b485">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AFB5DE-FB99-4632-B5E6-9F5025057C55}">
  <ds:schemaRefs>
    <ds:schemaRef ds:uri="http://schemas.microsoft.com/sharepoint/v3/contenttype/forms"/>
  </ds:schemaRefs>
</ds:datastoreItem>
</file>

<file path=customXml/itemProps2.xml><?xml version="1.0" encoding="utf-8"?>
<ds:datastoreItem xmlns:ds="http://schemas.openxmlformats.org/officeDocument/2006/customXml" ds:itemID="{BC5C6C5F-62EF-40EF-BA8F-C42BAC03C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FED100D-DE5D-4ABA-8083-5DE6AB9FCA23}">
  <ds:schemaRefs>
    <ds:schemaRef ds:uri="http://schemas.microsoft.com/office/infopath/2007/PartnerControls"/>
    <ds:schemaRef ds:uri="http://schemas.microsoft.com/office/2006/documentManagement/types"/>
    <ds:schemaRef ds:uri="http://schemas.microsoft.com/office/2006/metadata/properties"/>
    <ds:schemaRef ds:uri="http://purl.org/dc/terms/"/>
    <ds:schemaRef ds:uri="http://schemas.openxmlformats.org/package/2006/metadata/core-properties"/>
    <ds:schemaRef ds:uri="http://purl.org/dc/elements/1.1/"/>
    <ds:schemaRef ds:uri="http://www.w3.org/XML/1998/namespace"/>
    <ds:schemaRef ds:uri="http://purl.org/dc/dcmitype/"/>
  </ds:schemaRefs>
</ds:datastoreItem>
</file>

<file path=customXml/itemProps4.xml><?xml version="1.0" encoding="utf-8"?>
<ds:datastoreItem xmlns:ds="http://schemas.openxmlformats.org/officeDocument/2006/customXml" ds:itemID="{0B5E8F6E-7BEE-449A-AE79-4C8C906403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131028_Template_ENTSO-E_Minutes</Template>
  <TotalTime>3</TotalTime>
  <Pages>29</Pages>
  <Words>8063</Words>
  <Characters>46834</Characters>
  <Application>Microsoft Office Word</Application>
  <DocSecurity>0</DocSecurity>
  <Lines>390</Lines>
  <Paragraphs>109</Paragraphs>
  <ScaleCrop>false</ScaleCrop>
  <HeadingPairs>
    <vt:vector size="22" baseType="variant">
      <vt:variant>
        <vt:lpstr>Title</vt:lpstr>
      </vt:variant>
      <vt:variant>
        <vt:i4>1</vt:i4>
      </vt:variant>
      <vt:variant>
        <vt:lpstr>Tittel</vt:lpstr>
      </vt:variant>
      <vt:variant>
        <vt:i4>1</vt:i4>
      </vt:variant>
      <vt:variant>
        <vt:lpstr>Titel</vt:lpstr>
      </vt:variant>
      <vt:variant>
        <vt:i4>1</vt:i4>
      </vt:variant>
      <vt:variant>
        <vt:lpstr>Título</vt:lpstr>
      </vt:variant>
      <vt:variant>
        <vt:i4>1</vt:i4>
      </vt:variant>
      <vt:variant>
        <vt:lpstr>Titre</vt:lpstr>
      </vt:variant>
      <vt:variant>
        <vt:i4>1</vt:i4>
      </vt:variant>
      <vt:variant>
        <vt:lpstr>Tytuł</vt:lpstr>
      </vt:variant>
      <vt:variant>
        <vt:i4>1</vt:i4>
      </vt:variant>
      <vt:variant>
        <vt:lpstr>Cím</vt:lpstr>
      </vt:variant>
      <vt:variant>
        <vt:i4>1</vt:i4>
      </vt:variant>
      <vt:variant>
        <vt:lpstr>Titolo</vt:lpstr>
      </vt:variant>
      <vt:variant>
        <vt:i4>1</vt:i4>
      </vt:variant>
      <vt:variant>
        <vt:lpstr>Název</vt:lpstr>
      </vt:variant>
      <vt:variant>
        <vt:i4>1</vt:i4>
      </vt:variant>
      <vt:variant>
        <vt:lpstr>Názov</vt:lpstr>
      </vt:variant>
      <vt:variant>
        <vt:i4>1</vt:i4>
      </vt:variant>
      <vt:variant>
        <vt:lpstr>Rubrik</vt:lpstr>
      </vt:variant>
      <vt:variant>
        <vt:i4>1</vt:i4>
      </vt:variant>
    </vt:vector>
  </HeadingPairs>
  <TitlesOfParts>
    <vt:vector size="11" baseType="lpstr">
      <vt:lpstr>Explanatory document</vt:lpstr>
      <vt:lpstr>Explanatory document</vt:lpstr>
      <vt:lpstr>Explanatory document</vt:lpstr>
      <vt:lpstr>Explanatory document</vt:lpstr>
      <vt:lpstr>Explanatory document</vt:lpstr>
      <vt:lpstr>Explanatory document</vt:lpstr>
      <vt:lpstr>Explanatory document</vt:lpstr>
      <vt:lpstr/>
      <vt:lpstr/>
      <vt:lpstr>All TSOs’ proposal for intraday cross-zonal gate opening and gate closure times in accordance with Article 59 of Commission Regulation (EU) 2015/1222 of 24 July 2015 establishing a guideline on capacity allocation and congestion management</vt:lpstr>
      <vt:lpstr>All TSOs’ proposal for intraday cross-zonal gate opening and gate closure times in accordance with Article 59 of Commission Regulation (EU) 2015/1222 of 24 July 2015 establishing a guideline on capacity allocation and congestion management</vt:lpstr>
    </vt:vector>
  </TitlesOfParts>
  <Company>Visuelle Kommunikation &amp; Illustration</Company>
  <LinksUpToDate>false</LinksUpToDate>
  <CharactersWithSpaces>54788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Explanatory document</dc:title>
  <cp:revision>5</cp:revision>
  <cp:lastPrinted>2018-12-11T10:40:00Z</cp:lastPrinted>
  <dcterms:created xsi:type="dcterms:W3CDTF">2018-12-14T07:40:00Z</dcterms:created>
  <dcterms:modified xsi:type="dcterms:W3CDTF">2018-12-14T10:18:00Z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0x0101000F7A5AA713F11E4C8447F851B217553D</vt:lpwstr>
  </property>
  <property fmtid="{D5CDD505-2E9C-101B-9397-08002B2CF9AE}" pid="3" name="TaxKeyword">
    <vt:lpwstr/>
  </property>
  <property fmtid="{D5CDD505-2E9C-101B-9397-08002B2CF9AE}" pid="4" name="m21e1f176c4a4ad491d679d83442a8a3">
    <vt:lpwstr/>
  </property>
  <property fmtid="{D5CDD505-2E9C-101B-9397-08002B2CF9AE}" pid="5" name="b">
    <vt:lpwstr/>
  </property>
  <property fmtid="{D5CDD505-2E9C-101B-9397-08002B2CF9AE}" pid="6" name="Addo_DocID">
    <vt:lpwstr>892fe2dd-9120-4201-8946-6b79358841ee</vt:lpwstr>
  </property>
  <property fmtid="{D5CDD505-2E9C-101B-9397-08002B2CF9AE}" pid="7" name="_NewReviewCycle">
    <vt:lpwstr/>
  </property>
  <property fmtid="{D5CDD505-2E9C-101B-9397-08002B2CF9AE}" pid="8" name="MSIP_Label_55b74f4c-7570-4ac9-8413-c450456f7dc6_Enabled">
    <vt:lpwstr>True</vt:lpwstr>
  </property>
  <property fmtid="{D5CDD505-2E9C-101B-9397-08002B2CF9AE}" pid="9" name="MSIP_Label_55b74f4c-7570-4ac9-8413-c450456f7dc6_SiteId">
    <vt:lpwstr>a8d61462-f252-44b2-bf6a-d7231960c041</vt:lpwstr>
  </property>
  <property fmtid="{D5CDD505-2E9C-101B-9397-08002B2CF9AE}" pid="10" name="MSIP_Label_55b74f4c-7570-4ac9-8413-c450456f7dc6_Owner">
    <vt:lpwstr>Martha.Oberg@statnett.no</vt:lpwstr>
  </property>
  <property fmtid="{D5CDD505-2E9C-101B-9397-08002B2CF9AE}" pid="11" name="MSIP_Label_55b74f4c-7570-4ac9-8413-c450456f7dc6_SetDate">
    <vt:lpwstr>2018-12-10T08:24:00.5308096Z</vt:lpwstr>
  </property>
  <property fmtid="{D5CDD505-2E9C-101B-9397-08002B2CF9AE}" pid="12" name="MSIP_Label_55b74f4c-7570-4ac9-8413-c450456f7dc6_Name">
    <vt:lpwstr>Statnett intern</vt:lpwstr>
  </property>
  <property fmtid="{D5CDD505-2E9C-101B-9397-08002B2CF9AE}" pid="13" name="MSIP_Label_55b74f4c-7570-4ac9-8413-c450456f7dc6_Application">
    <vt:lpwstr>Microsoft Azure Information Protection</vt:lpwstr>
  </property>
  <property fmtid="{D5CDD505-2E9C-101B-9397-08002B2CF9AE}" pid="14" name="MSIP_Label_55b74f4c-7570-4ac9-8413-c450456f7dc6_Extended_MSFT_Method">
    <vt:lpwstr>Manual</vt:lpwstr>
  </property>
  <property fmtid="{D5CDD505-2E9C-101B-9397-08002B2CF9AE}" pid="15" name="Sensitivity">
    <vt:lpwstr>Statnett intern</vt:lpwstr>
  </property>
</Properties>
</file>