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6E1B" w:rsidRPr="00944248" w:rsidRDefault="00D36E1B" w:rsidP="000745E8">
      <w:pPr>
        <w:pStyle w:val="headlineheader"/>
        <w:spacing w:after="120" w:line="240" w:lineRule="auto"/>
        <w:rPr>
          <w:rFonts w:ascii="Times New Roman" w:hAnsi="Times New Roman"/>
          <w:lang w:val="ro-RO"/>
        </w:rPr>
      </w:pPr>
    </w:p>
    <w:p w:rsidR="00D36E1B" w:rsidRPr="00944248" w:rsidRDefault="00D36E1B" w:rsidP="000745E8">
      <w:pPr>
        <w:pStyle w:val="headlineheader"/>
        <w:spacing w:after="120" w:line="240" w:lineRule="auto"/>
        <w:rPr>
          <w:rFonts w:ascii="Times New Roman" w:hAnsi="Times New Roman"/>
          <w:lang w:val="ro-RO"/>
        </w:rPr>
      </w:pPr>
    </w:p>
    <w:p w:rsidR="00D36E1B" w:rsidRPr="00944248" w:rsidRDefault="00D36E1B" w:rsidP="000745E8">
      <w:pPr>
        <w:pStyle w:val="headlineheader"/>
        <w:spacing w:after="120" w:line="240" w:lineRule="auto"/>
        <w:rPr>
          <w:rFonts w:ascii="Times New Roman" w:hAnsi="Times New Roman"/>
          <w:lang w:val="ro-RO"/>
        </w:rPr>
      </w:pPr>
    </w:p>
    <w:p w:rsidR="00D36E1B" w:rsidRPr="00944248" w:rsidRDefault="00D36E1B" w:rsidP="000745E8">
      <w:pPr>
        <w:pStyle w:val="headlineheader"/>
        <w:spacing w:after="120" w:line="240" w:lineRule="auto"/>
        <w:rPr>
          <w:rFonts w:ascii="Times New Roman" w:hAnsi="Times New Roman"/>
          <w:lang w:val="ro-RO"/>
        </w:rPr>
      </w:pPr>
    </w:p>
    <w:p w:rsidR="00D36E1B" w:rsidRPr="00944248" w:rsidRDefault="00D36E1B" w:rsidP="000745E8">
      <w:pPr>
        <w:pStyle w:val="headlineheader"/>
        <w:spacing w:after="120" w:line="240" w:lineRule="auto"/>
        <w:rPr>
          <w:rFonts w:ascii="Times New Roman" w:hAnsi="Times New Roman"/>
          <w:lang w:val="ro-RO"/>
        </w:rPr>
      </w:pPr>
    </w:p>
    <w:p w:rsidR="00D36E1B" w:rsidRPr="00944248" w:rsidRDefault="00D36E1B" w:rsidP="000745E8">
      <w:pPr>
        <w:pStyle w:val="headlineheader"/>
        <w:spacing w:after="120" w:line="240" w:lineRule="auto"/>
        <w:rPr>
          <w:rFonts w:ascii="Times New Roman" w:hAnsi="Times New Roman"/>
          <w:lang w:val="ro-RO"/>
        </w:rPr>
      </w:pPr>
    </w:p>
    <w:p w:rsidR="0021069F" w:rsidRPr="00944248" w:rsidRDefault="0021069F" w:rsidP="000745E8">
      <w:pPr>
        <w:pStyle w:val="headlineheader"/>
        <w:pBdr>
          <w:top w:val="single" w:sz="4" w:space="1" w:color="auto"/>
        </w:pBdr>
        <w:spacing w:after="120" w:line="240" w:lineRule="auto"/>
        <w:jc w:val="center"/>
        <w:rPr>
          <w:rFonts w:ascii="Times New Roman" w:hAnsi="Times New Roman"/>
          <w:lang w:val="ro-RO"/>
        </w:rPr>
      </w:pPr>
    </w:p>
    <w:p w:rsidR="00D36E1B" w:rsidRPr="00944248" w:rsidRDefault="00D36E1B" w:rsidP="000745E8">
      <w:pPr>
        <w:pStyle w:val="headlineheader"/>
        <w:pBdr>
          <w:top w:val="single" w:sz="4" w:space="1" w:color="auto"/>
        </w:pBdr>
        <w:spacing w:after="120" w:line="240" w:lineRule="auto"/>
        <w:jc w:val="center"/>
        <w:rPr>
          <w:rFonts w:ascii="Times New Roman" w:hAnsi="Times New Roman"/>
          <w:lang w:val="ro-RO"/>
        </w:rPr>
      </w:pPr>
      <w:r w:rsidRPr="00944248">
        <w:rPr>
          <w:rFonts w:ascii="Times New Roman" w:hAnsi="Times New Roman"/>
          <w:lang w:val="ro-RO"/>
        </w:rPr>
        <w:t xml:space="preserve"> Document explicativ cu privire la propunerea tuturor OTS-urilor pentru o metodologie cu privire la regulile de decontare OTS-OTS pentru schimburile planificate de energie în conformitate cu articolul 50 (1)</w:t>
      </w:r>
      <w:r w:rsidRPr="00944248">
        <w:rPr>
          <w:rFonts w:ascii="Times New Roman" w:hAnsi="Times New Roman"/>
          <w:szCs w:val="40"/>
          <w:lang w:val="ro-RO"/>
        </w:rPr>
        <w:t xml:space="preserve"> din Regulamentul (UE) 2017/2195 al Comisiei din 23 noiembrie 2017 de stabilire a unei linii directoare privind echilibrarea sistemului de energie electrică</w:t>
      </w:r>
    </w:p>
    <w:p w:rsidR="00D36E1B" w:rsidRPr="00944248" w:rsidRDefault="00D36E1B" w:rsidP="000745E8">
      <w:pPr>
        <w:pStyle w:val="headlineheader"/>
        <w:pBdr>
          <w:bottom w:val="single" w:sz="4" w:space="1" w:color="auto"/>
        </w:pBdr>
        <w:spacing w:after="120" w:line="240" w:lineRule="auto"/>
        <w:rPr>
          <w:rFonts w:ascii="Times New Roman" w:hAnsi="Times New Roman"/>
          <w:lang w:val="ro-RO"/>
        </w:rPr>
      </w:pPr>
    </w:p>
    <w:p w:rsidR="00D36E1B" w:rsidRPr="00944248" w:rsidRDefault="007D5CF3" w:rsidP="0014578D">
      <w:pPr>
        <w:pStyle w:val="headlineheader"/>
        <w:spacing w:after="120" w:line="240" w:lineRule="auto"/>
        <w:jc w:val="center"/>
        <w:rPr>
          <w:rFonts w:ascii="Times New Roman" w:hAnsi="Times New Roman"/>
          <w:color w:val="auto"/>
          <w:sz w:val="30"/>
          <w:szCs w:val="30"/>
          <w:lang w:val="ro-RO"/>
        </w:rPr>
      </w:pPr>
      <w:r w:rsidRPr="00944248">
        <w:rPr>
          <w:rFonts w:ascii="Times New Roman" w:hAnsi="Times New Roman"/>
          <w:color w:val="auto"/>
          <w:sz w:val="30"/>
          <w:szCs w:val="30"/>
          <w:lang w:val="ro-RO"/>
        </w:rPr>
        <w:t>18 decembrie 2018</w:t>
      </w:r>
    </w:p>
    <w:p w:rsidR="00D36E1B" w:rsidRPr="00944248" w:rsidRDefault="00D36E1B" w:rsidP="000745E8">
      <w:pPr>
        <w:pStyle w:val="headlineheader"/>
        <w:spacing w:after="120" w:line="240" w:lineRule="auto"/>
        <w:rPr>
          <w:rFonts w:ascii="Times New Roman" w:hAnsi="Times New Roman"/>
          <w:lang w:val="ro-RO"/>
        </w:rPr>
      </w:pPr>
    </w:p>
    <w:p w:rsidR="00D36E1B" w:rsidRPr="00944248" w:rsidRDefault="00D36E1B" w:rsidP="000745E8">
      <w:pPr>
        <w:pStyle w:val="headlineheader"/>
        <w:spacing w:after="120" w:line="240" w:lineRule="auto"/>
        <w:rPr>
          <w:rFonts w:ascii="Times New Roman" w:hAnsi="Times New Roman"/>
          <w:lang w:val="ro-RO"/>
        </w:rPr>
      </w:pPr>
    </w:p>
    <w:p w:rsidR="00312108" w:rsidRPr="00944248" w:rsidRDefault="00D36E1B" w:rsidP="00530F80">
      <w:pPr>
        <w:pStyle w:val="TOC1"/>
        <w:rPr>
          <w:noProof w:val="0"/>
          <w:color w:val="23236E"/>
          <w:sz w:val="40"/>
          <w:lang w:val="ro-RO"/>
        </w:rPr>
      </w:pPr>
      <w:r w:rsidRPr="00944248">
        <w:rPr>
          <w:bCs/>
          <w:noProof w:val="0"/>
          <w:lang w:val="ro-RO"/>
        </w:rPr>
        <w:br w:type="page"/>
      </w:r>
    </w:p>
    <w:p w:rsidR="003703FE" w:rsidRPr="00944248" w:rsidRDefault="00867746" w:rsidP="003703FE">
      <w:pPr>
        <w:pStyle w:val="textregular"/>
        <w:spacing w:before="400"/>
        <w:rPr>
          <w:b/>
          <w:color w:val="23236E"/>
          <w:sz w:val="28"/>
          <w:lang w:val="ro-RO"/>
        </w:rPr>
      </w:pPr>
      <w:r w:rsidRPr="00944248">
        <w:rPr>
          <w:b/>
          <w:bCs/>
          <w:color w:val="23236E"/>
          <w:sz w:val="28"/>
          <w:lang w:val="ro-RO"/>
        </w:rPr>
        <w:lastRenderedPageBreak/>
        <w:t>Cuprins</w:t>
      </w:r>
    </w:p>
    <w:p w:rsidR="002D7EAB" w:rsidRPr="00944248" w:rsidRDefault="002D7EAB" w:rsidP="002D7EAB">
      <w:pPr>
        <w:rPr>
          <w:rFonts w:ascii="Times New Roman" w:hAnsi="Times New Roman"/>
          <w:lang w:val="ro-RO"/>
        </w:rPr>
      </w:pPr>
    </w:p>
    <w:p w:rsidR="00BF3A86" w:rsidRPr="00944248" w:rsidRDefault="003703FE">
      <w:pPr>
        <w:pStyle w:val="TOC1"/>
        <w:rPr>
          <w:rFonts w:asciiTheme="minorHAnsi" w:eastAsiaTheme="minorEastAsia" w:hAnsiTheme="minorHAnsi" w:cstheme="minorBidi"/>
          <w:b w:val="0"/>
          <w:noProof w:val="0"/>
          <w:szCs w:val="22"/>
          <w:lang w:val="ro-RO" w:eastAsia="en-US"/>
        </w:rPr>
      </w:pPr>
      <w:r w:rsidRPr="00944248">
        <w:rPr>
          <w:bCs/>
          <w:noProof w:val="0"/>
          <w:lang w:val="ro-RO"/>
        </w:rPr>
        <w:fldChar w:fldCharType="begin"/>
      </w:r>
      <w:r w:rsidRPr="00944248">
        <w:rPr>
          <w:noProof w:val="0"/>
          <w:lang w:val="ro-RO"/>
        </w:rPr>
        <w:instrText xml:space="preserve"> TOC \o "1-3" \h \z \u </w:instrText>
      </w:r>
      <w:r w:rsidRPr="00944248">
        <w:rPr>
          <w:noProof w:val="0"/>
          <w:lang w:val="ro-RO"/>
        </w:rPr>
        <w:fldChar w:fldCharType="separate"/>
      </w:r>
      <w:hyperlink w:anchor="_Toc535158310" w:history="1">
        <w:r w:rsidR="00BF3A86" w:rsidRPr="00944248">
          <w:rPr>
            <w:rStyle w:val="Hyperlink"/>
            <w:bCs/>
            <w:noProof w:val="0"/>
            <w:lang w:val="ro-RO"/>
          </w:rPr>
          <w:t>Lista figurilor</w:t>
        </w:r>
        <w:r w:rsidR="00BF3A86" w:rsidRPr="00944248">
          <w:rPr>
            <w:noProof w:val="0"/>
            <w:webHidden/>
            <w:lang w:val="ro-RO"/>
          </w:rPr>
          <w:tab/>
        </w:r>
        <w:r w:rsidR="00BF3A86" w:rsidRPr="00944248">
          <w:rPr>
            <w:noProof w:val="0"/>
            <w:webHidden/>
            <w:lang w:val="ro-RO"/>
          </w:rPr>
          <w:fldChar w:fldCharType="begin"/>
        </w:r>
        <w:r w:rsidR="00BF3A86" w:rsidRPr="00944248">
          <w:rPr>
            <w:noProof w:val="0"/>
            <w:webHidden/>
            <w:lang w:val="ro-RO"/>
          </w:rPr>
          <w:instrText xml:space="preserve"> PAGEREF _Toc535158310 \h </w:instrText>
        </w:r>
        <w:r w:rsidR="00BF3A86" w:rsidRPr="00944248">
          <w:rPr>
            <w:noProof w:val="0"/>
            <w:webHidden/>
            <w:lang w:val="ro-RO"/>
          </w:rPr>
        </w:r>
        <w:r w:rsidR="00BF3A86" w:rsidRPr="00944248">
          <w:rPr>
            <w:noProof w:val="0"/>
            <w:webHidden/>
            <w:lang w:val="ro-RO"/>
          </w:rPr>
          <w:fldChar w:fldCharType="separate"/>
        </w:r>
        <w:r w:rsidR="00BF3A86" w:rsidRPr="00944248">
          <w:rPr>
            <w:noProof w:val="0"/>
            <w:webHidden/>
            <w:lang w:val="ro-RO"/>
          </w:rPr>
          <w:t>3</w:t>
        </w:r>
        <w:r w:rsidR="00BF3A86" w:rsidRPr="00944248">
          <w:rPr>
            <w:noProof w:val="0"/>
            <w:webHidden/>
            <w:lang w:val="ro-RO"/>
          </w:rPr>
          <w:fldChar w:fldCharType="end"/>
        </w:r>
      </w:hyperlink>
    </w:p>
    <w:p w:rsidR="00BF3A86" w:rsidRPr="00944248" w:rsidRDefault="00BB5A8C">
      <w:pPr>
        <w:pStyle w:val="TOC1"/>
        <w:rPr>
          <w:rFonts w:asciiTheme="minorHAnsi" w:eastAsiaTheme="minorEastAsia" w:hAnsiTheme="minorHAnsi" w:cstheme="minorBidi"/>
          <w:b w:val="0"/>
          <w:noProof w:val="0"/>
          <w:szCs w:val="22"/>
          <w:lang w:val="ro-RO" w:eastAsia="en-US"/>
        </w:rPr>
      </w:pPr>
      <w:hyperlink w:anchor="_Toc535158311" w:history="1">
        <w:r w:rsidR="00BF3A86" w:rsidRPr="00944248">
          <w:rPr>
            <w:rStyle w:val="Hyperlink"/>
            <w:bCs/>
            <w:noProof w:val="0"/>
            <w:lang w:val="ro-RO"/>
          </w:rPr>
          <w:t>Lista tabelelor</w:t>
        </w:r>
        <w:r w:rsidR="00BF3A86" w:rsidRPr="00944248">
          <w:rPr>
            <w:noProof w:val="0"/>
            <w:webHidden/>
            <w:lang w:val="ro-RO"/>
          </w:rPr>
          <w:tab/>
        </w:r>
        <w:r w:rsidR="00BF3A86" w:rsidRPr="00944248">
          <w:rPr>
            <w:noProof w:val="0"/>
            <w:webHidden/>
            <w:lang w:val="ro-RO"/>
          </w:rPr>
          <w:fldChar w:fldCharType="begin"/>
        </w:r>
        <w:r w:rsidR="00BF3A86" w:rsidRPr="00944248">
          <w:rPr>
            <w:noProof w:val="0"/>
            <w:webHidden/>
            <w:lang w:val="ro-RO"/>
          </w:rPr>
          <w:instrText xml:space="preserve"> PAGEREF _Toc535158311 \h </w:instrText>
        </w:r>
        <w:r w:rsidR="00BF3A86" w:rsidRPr="00944248">
          <w:rPr>
            <w:noProof w:val="0"/>
            <w:webHidden/>
            <w:lang w:val="ro-RO"/>
          </w:rPr>
        </w:r>
        <w:r w:rsidR="00BF3A86" w:rsidRPr="00944248">
          <w:rPr>
            <w:noProof w:val="0"/>
            <w:webHidden/>
            <w:lang w:val="ro-RO"/>
          </w:rPr>
          <w:fldChar w:fldCharType="separate"/>
        </w:r>
        <w:r w:rsidR="00BF3A86" w:rsidRPr="00944248">
          <w:rPr>
            <w:noProof w:val="0"/>
            <w:webHidden/>
            <w:lang w:val="ro-RO"/>
          </w:rPr>
          <w:t>3</w:t>
        </w:r>
        <w:r w:rsidR="00BF3A86" w:rsidRPr="00944248">
          <w:rPr>
            <w:noProof w:val="0"/>
            <w:webHidden/>
            <w:lang w:val="ro-RO"/>
          </w:rPr>
          <w:fldChar w:fldCharType="end"/>
        </w:r>
      </w:hyperlink>
    </w:p>
    <w:p w:rsidR="00BF3A86" w:rsidRPr="00944248" w:rsidRDefault="00BB5A8C">
      <w:pPr>
        <w:pStyle w:val="TOC1"/>
        <w:rPr>
          <w:rFonts w:asciiTheme="minorHAnsi" w:eastAsiaTheme="minorEastAsia" w:hAnsiTheme="minorHAnsi" w:cstheme="minorBidi"/>
          <w:b w:val="0"/>
          <w:noProof w:val="0"/>
          <w:szCs w:val="22"/>
          <w:lang w:val="ro-RO" w:eastAsia="en-US"/>
        </w:rPr>
      </w:pPr>
      <w:hyperlink w:anchor="_Toc535158312" w:history="1">
        <w:r w:rsidR="00BF3A86" w:rsidRPr="00944248">
          <w:rPr>
            <w:rStyle w:val="Hyperlink"/>
            <w:bCs/>
            <w:noProof w:val="0"/>
            <w:lang w:val="ro-RO"/>
          </w:rPr>
          <w:t>Definiții și abrevieri</w:t>
        </w:r>
        <w:r w:rsidR="00BF3A86" w:rsidRPr="00944248">
          <w:rPr>
            <w:noProof w:val="0"/>
            <w:webHidden/>
            <w:lang w:val="ro-RO"/>
          </w:rPr>
          <w:tab/>
        </w:r>
        <w:r w:rsidR="00BF3A86" w:rsidRPr="00944248">
          <w:rPr>
            <w:noProof w:val="0"/>
            <w:webHidden/>
            <w:lang w:val="ro-RO"/>
          </w:rPr>
          <w:fldChar w:fldCharType="begin"/>
        </w:r>
        <w:r w:rsidR="00BF3A86" w:rsidRPr="00944248">
          <w:rPr>
            <w:noProof w:val="0"/>
            <w:webHidden/>
            <w:lang w:val="ro-RO"/>
          </w:rPr>
          <w:instrText xml:space="preserve"> PAGEREF _Toc535158312 \h </w:instrText>
        </w:r>
        <w:r w:rsidR="00BF3A86" w:rsidRPr="00944248">
          <w:rPr>
            <w:noProof w:val="0"/>
            <w:webHidden/>
            <w:lang w:val="ro-RO"/>
          </w:rPr>
        </w:r>
        <w:r w:rsidR="00BF3A86" w:rsidRPr="00944248">
          <w:rPr>
            <w:noProof w:val="0"/>
            <w:webHidden/>
            <w:lang w:val="ro-RO"/>
          </w:rPr>
          <w:fldChar w:fldCharType="separate"/>
        </w:r>
        <w:r w:rsidR="00BF3A86" w:rsidRPr="00944248">
          <w:rPr>
            <w:noProof w:val="0"/>
            <w:webHidden/>
            <w:lang w:val="ro-RO"/>
          </w:rPr>
          <w:t>4</w:t>
        </w:r>
        <w:r w:rsidR="00BF3A86" w:rsidRPr="00944248">
          <w:rPr>
            <w:noProof w:val="0"/>
            <w:webHidden/>
            <w:lang w:val="ro-RO"/>
          </w:rPr>
          <w:fldChar w:fldCharType="end"/>
        </w:r>
      </w:hyperlink>
    </w:p>
    <w:p w:rsidR="00BF3A86" w:rsidRPr="00944248" w:rsidRDefault="00BB5A8C">
      <w:pPr>
        <w:pStyle w:val="TOC1"/>
        <w:rPr>
          <w:rFonts w:asciiTheme="minorHAnsi" w:eastAsiaTheme="minorEastAsia" w:hAnsiTheme="minorHAnsi" w:cstheme="minorBidi"/>
          <w:b w:val="0"/>
          <w:noProof w:val="0"/>
          <w:szCs w:val="22"/>
          <w:lang w:val="ro-RO" w:eastAsia="en-US"/>
        </w:rPr>
      </w:pPr>
      <w:hyperlink w:anchor="_Toc535158313" w:history="1">
        <w:r w:rsidR="00BF3A86" w:rsidRPr="00944248">
          <w:rPr>
            <w:rStyle w:val="Hyperlink"/>
            <w:noProof w:val="0"/>
            <w:lang w:val="ro-RO"/>
          </w:rPr>
          <w:t>1</w:t>
        </w:r>
        <w:r w:rsidR="00BF3A86" w:rsidRPr="00944248">
          <w:rPr>
            <w:rFonts w:asciiTheme="minorHAnsi" w:eastAsiaTheme="minorEastAsia" w:hAnsiTheme="minorHAnsi" w:cstheme="minorBidi"/>
            <w:b w:val="0"/>
            <w:noProof w:val="0"/>
            <w:szCs w:val="22"/>
            <w:lang w:val="ro-RO" w:eastAsia="en-US"/>
          </w:rPr>
          <w:tab/>
        </w:r>
        <w:r w:rsidR="00BF3A86" w:rsidRPr="00944248">
          <w:rPr>
            <w:rStyle w:val="Hyperlink"/>
            <w:bCs/>
            <w:noProof w:val="0"/>
            <w:lang w:val="ro-RO"/>
          </w:rPr>
          <w:t>Introducere</w:t>
        </w:r>
        <w:r w:rsidR="00BF3A86" w:rsidRPr="00944248">
          <w:rPr>
            <w:noProof w:val="0"/>
            <w:webHidden/>
            <w:lang w:val="ro-RO"/>
          </w:rPr>
          <w:tab/>
        </w:r>
        <w:r w:rsidR="00BF3A86" w:rsidRPr="00944248">
          <w:rPr>
            <w:noProof w:val="0"/>
            <w:webHidden/>
            <w:lang w:val="ro-RO"/>
          </w:rPr>
          <w:fldChar w:fldCharType="begin"/>
        </w:r>
        <w:r w:rsidR="00BF3A86" w:rsidRPr="00944248">
          <w:rPr>
            <w:noProof w:val="0"/>
            <w:webHidden/>
            <w:lang w:val="ro-RO"/>
          </w:rPr>
          <w:instrText xml:space="preserve"> PAGEREF _Toc535158313 \h </w:instrText>
        </w:r>
        <w:r w:rsidR="00BF3A86" w:rsidRPr="00944248">
          <w:rPr>
            <w:noProof w:val="0"/>
            <w:webHidden/>
            <w:lang w:val="ro-RO"/>
          </w:rPr>
        </w:r>
        <w:r w:rsidR="00BF3A86" w:rsidRPr="00944248">
          <w:rPr>
            <w:noProof w:val="0"/>
            <w:webHidden/>
            <w:lang w:val="ro-RO"/>
          </w:rPr>
          <w:fldChar w:fldCharType="separate"/>
        </w:r>
        <w:r w:rsidR="00BF3A86" w:rsidRPr="00944248">
          <w:rPr>
            <w:noProof w:val="0"/>
            <w:webHidden/>
            <w:lang w:val="ro-RO"/>
          </w:rPr>
          <w:t>7</w:t>
        </w:r>
        <w:r w:rsidR="00BF3A86" w:rsidRPr="00944248">
          <w:rPr>
            <w:noProof w:val="0"/>
            <w:webHidden/>
            <w:lang w:val="ro-RO"/>
          </w:rPr>
          <w:fldChar w:fldCharType="end"/>
        </w:r>
      </w:hyperlink>
    </w:p>
    <w:p w:rsidR="00BF3A86" w:rsidRPr="00944248" w:rsidRDefault="00BB5A8C">
      <w:pPr>
        <w:pStyle w:val="TOC1"/>
        <w:rPr>
          <w:rFonts w:asciiTheme="minorHAnsi" w:eastAsiaTheme="minorEastAsia" w:hAnsiTheme="minorHAnsi" w:cstheme="minorBidi"/>
          <w:b w:val="0"/>
          <w:noProof w:val="0"/>
          <w:szCs w:val="22"/>
          <w:lang w:val="ro-RO" w:eastAsia="en-US"/>
        </w:rPr>
      </w:pPr>
      <w:hyperlink w:anchor="_Toc535158314" w:history="1">
        <w:r w:rsidR="00BF3A86" w:rsidRPr="00944248">
          <w:rPr>
            <w:rStyle w:val="Hyperlink"/>
            <w:noProof w:val="0"/>
            <w:lang w:val="ro-RO"/>
          </w:rPr>
          <w:t>2</w:t>
        </w:r>
        <w:r w:rsidR="00BF3A86" w:rsidRPr="00944248">
          <w:rPr>
            <w:rFonts w:asciiTheme="minorHAnsi" w:eastAsiaTheme="minorEastAsia" w:hAnsiTheme="minorHAnsi" w:cstheme="minorBidi"/>
            <w:b w:val="0"/>
            <w:noProof w:val="0"/>
            <w:szCs w:val="22"/>
            <w:lang w:val="ro-RO" w:eastAsia="en-US"/>
          </w:rPr>
          <w:tab/>
        </w:r>
        <w:r w:rsidR="00BF3A86" w:rsidRPr="00944248">
          <w:rPr>
            <w:rStyle w:val="Hyperlink"/>
            <w:bCs/>
            <w:noProof w:val="0"/>
            <w:lang w:val="ro-RO"/>
          </w:rPr>
          <w:t>Cerințele EB GL cu privire la regulile de decontare OTS-OTS</w:t>
        </w:r>
        <w:r w:rsidR="00BF3A86" w:rsidRPr="00944248">
          <w:rPr>
            <w:noProof w:val="0"/>
            <w:webHidden/>
            <w:lang w:val="ro-RO"/>
          </w:rPr>
          <w:tab/>
        </w:r>
        <w:r w:rsidR="00BF3A86" w:rsidRPr="00944248">
          <w:rPr>
            <w:noProof w:val="0"/>
            <w:webHidden/>
            <w:lang w:val="ro-RO"/>
          </w:rPr>
          <w:fldChar w:fldCharType="begin"/>
        </w:r>
        <w:r w:rsidR="00BF3A86" w:rsidRPr="00944248">
          <w:rPr>
            <w:noProof w:val="0"/>
            <w:webHidden/>
            <w:lang w:val="ro-RO"/>
          </w:rPr>
          <w:instrText xml:space="preserve"> PAGEREF _Toc535158314 \h </w:instrText>
        </w:r>
        <w:r w:rsidR="00BF3A86" w:rsidRPr="00944248">
          <w:rPr>
            <w:noProof w:val="0"/>
            <w:webHidden/>
            <w:lang w:val="ro-RO"/>
          </w:rPr>
        </w:r>
        <w:r w:rsidR="00BF3A86" w:rsidRPr="00944248">
          <w:rPr>
            <w:noProof w:val="0"/>
            <w:webHidden/>
            <w:lang w:val="ro-RO"/>
          </w:rPr>
          <w:fldChar w:fldCharType="separate"/>
        </w:r>
        <w:r w:rsidR="00BF3A86" w:rsidRPr="00944248">
          <w:rPr>
            <w:noProof w:val="0"/>
            <w:webHidden/>
            <w:lang w:val="ro-RO"/>
          </w:rPr>
          <w:t>8</w:t>
        </w:r>
        <w:r w:rsidR="00BF3A86" w:rsidRPr="00944248">
          <w:rPr>
            <w:noProof w:val="0"/>
            <w:webHidden/>
            <w:lang w:val="ro-RO"/>
          </w:rPr>
          <w:fldChar w:fldCharType="end"/>
        </w:r>
      </w:hyperlink>
    </w:p>
    <w:p w:rsidR="00BF3A86" w:rsidRPr="00944248" w:rsidRDefault="00BB5A8C">
      <w:pPr>
        <w:pStyle w:val="TOC1"/>
        <w:rPr>
          <w:rFonts w:asciiTheme="minorHAnsi" w:eastAsiaTheme="minorEastAsia" w:hAnsiTheme="minorHAnsi" w:cstheme="minorBidi"/>
          <w:b w:val="0"/>
          <w:noProof w:val="0"/>
          <w:szCs w:val="22"/>
          <w:lang w:val="ro-RO" w:eastAsia="en-US"/>
        </w:rPr>
      </w:pPr>
      <w:hyperlink w:anchor="_Toc535158315" w:history="1">
        <w:r w:rsidR="00BF3A86" w:rsidRPr="00944248">
          <w:rPr>
            <w:rStyle w:val="Hyperlink"/>
            <w:noProof w:val="0"/>
            <w:lang w:val="ro-RO"/>
          </w:rPr>
          <w:t>3</w:t>
        </w:r>
        <w:r w:rsidR="00BF3A86" w:rsidRPr="00944248">
          <w:rPr>
            <w:rFonts w:asciiTheme="minorHAnsi" w:eastAsiaTheme="minorEastAsia" w:hAnsiTheme="minorHAnsi" w:cstheme="minorBidi"/>
            <w:b w:val="0"/>
            <w:noProof w:val="0"/>
            <w:szCs w:val="22"/>
            <w:lang w:val="ro-RO" w:eastAsia="en-US"/>
          </w:rPr>
          <w:tab/>
        </w:r>
        <w:r w:rsidR="00BF3A86" w:rsidRPr="00944248">
          <w:rPr>
            <w:rStyle w:val="Hyperlink"/>
            <w:bCs/>
            <w:noProof w:val="0"/>
            <w:lang w:val="ro-RO"/>
          </w:rPr>
          <w:t>Principii generale</w:t>
        </w:r>
        <w:r w:rsidR="00BF3A86" w:rsidRPr="00944248">
          <w:rPr>
            <w:noProof w:val="0"/>
            <w:webHidden/>
            <w:lang w:val="ro-RO"/>
          </w:rPr>
          <w:tab/>
        </w:r>
        <w:r w:rsidR="00BF3A86" w:rsidRPr="00944248">
          <w:rPr>
            <w:noProof w:val="0"/>
            <w:webHidden/>
            <w:lang w:val="ro-RO"/>
          </w:rPr>
          <w:fldChar w:fldCharType="begin"/>
        </w:r>
        <w:r w:rsidR="00BF3A86" w:rsidRPr="00944248">
          <w:rPr>
            <w:noProof w:val="0"/>
            <w:webHidden/>
            <w:lang w:val="ro-RO"/>
          </w:rPr>
          <w:instrText xml:space="preserve"> PAGEREF _Toc535158315 \h </w:instrText>
        </w:r>
        <w:r w:rsidR="00BF3A86" w:rsidRPr="00944248">
          <w:rPr>
            <w:noProof w:val="0"/>
            <w:webHidden/>
            <w:lang w:val="ro-RO"/>
          </w:rPr>
        </w:r>
        <w:r w:rsidR="00BF3A86" w:rsidRPr="00944248">
          <w:rPr>
            <w:noProof w:val="0"/>
            <w:webHidden/>
            <w:lang w:val="ro-RO"/>
          </w:rPr>
          <w:fldChar w:fldCharType="separate"/>
        </w:r>
        <w:r w:rsidR="00BF3A86" w:rsidRPr="00944248">
          <w:rPr>
            <w:noProof w:val="0"/>
            <w:webHidden/>
            <w:lang w:val="ro-RO"/>
          </w:rPr>
          <w:t>9</w:t>
        </w:r>
        <w:r w:rsidR="00BF3A86" w:rsidRPr="00944248">
          <w:rPr>
            <w:noProof w:val="0"/>
            <w:webHidden/>
            <w:lang w:val="ro-RO"/>
          </w:rPr>
          <w:fldChar w:fldCharType="end"/>
        </w:r>
      </w:hyperlink>
    </w:p>
    <w:p w:rsidR="00BF3A86" w:rsidRPr="00944248" w:rsidRDefault="00BB5A8C">
      <w:pPr>
        <w:pStyle w:val="TOC1"/>
        <w:rPr>
          <w:rFonts w:asciiTheme="minorHAnsi" w:eastAsiaTheme="minorEastAsia" w:hAnsiTheme="minorHAnsi" w:cstheme="minorBidi"/>
          <w:b w:val="0"/>
          <w:noProof w:val="0"/>
          <w:szCs w:val="22"/>
          <w:lang w:val="ro-RO" w:eastAsia="en-US"/>
        </w:rPr>
      </w:pPr>
      <w:hyperlink w:anchor="_Toc535158316" w:history="1">
        <w:r w:rsidR="00BF3A86" w:rsidRPr="00944248">
          <w:rPr>
            <w:rStyle w:val="Hyperlink"/>
            <w:noProof w:val="0"/>
            <w:lang w:val="ro-RO"/>
          </w:rPr>
          <w:t>4</w:t>
        </w:r>
        <w:r w:rsidR="00BF3A86" w:rsidRPr="00944248">
          <w:rPr>
            <w:rFonts w:asciiTheme="minorHAnsi" w:eastAsiaTheme="minorEastAsia" w:hAnsiTheme="minorHAnsi" w:cstheme="minorBidi"/>
            <w:b w:val="0"/>
            <w:noProof w:val="0"/>
            <w:szCs w:val="22"/>
            <w:lang w:val="ro-RO" w:eastAsia="en-US"/>
          </w:rPr>
          <w:tab/>
        </w:r>
        <w:r w:rsidR="00BF3A86" w:rsidRPr="00944248">
          <w:rPr>
            <w:rStyle w:val="Hyperlink"/>
            <w:bCs/>
            <w:noProof w:val="0"/>
            <w:lang w:val="ro-RO"/>
          </w:rPr>
          <w:t>Metodologia de decontare pentru RI și mRRF cu activare programată</w:t>
        </w:r>
        <w:r w:rsidR="00BF3A86" w:rsidRPr="00944248">
          <w:rPr>
            <w:noProof w:val="0"/>
            <w:webHidden/>
            <w:lang w:val="ro-RO"/>
          </w:rPr>
          <w:tab/>
        </w:r>
        <w:r w:rsidR="00BF3A86" w:rsidRPr="00944248">
          <w:rPr>
            <w:noProof w:val="0"/>
            <w:webHidden/>
            <w:lang w:val="ro-RO"/>
          </w:rPr>
          <w:fldChar w:fldCharType="begin"/>
        </w:r>
        <w:r w:rsidR="00BF3A86" w:rsidRPr="00944248">
          <w:rPr>
            <w:noProof w:val="0"/>
            <w:webHidden/>
            <w:lang w:val="ro-RO"/>
          </w:rPr>
          <w:instrText xml:space="preserve"> PAGEREF _Toc535158316 \h </w:instrText>
        </w:r>
        <w:r w:rsidR="00BF3A86" w:rsidRPr="00944248">
          <w:rPr>
            <w:noProof w:val="0"/>
            <w:webHidden/>
            <w:lang w:val="ro-RO"/>
          </w:rPr>
        </w:r>
        <w:r w:rsidR="00BF3A86" w:rsidRPr="00944248">
          <w:rPr>
            <w:noProof w:val="0"/>
            <w:webHidden/>
            <w:lang w:val="ro-RO"/>
          </w:rPr>
          <w:fldChar w:fldCharType="separate"/>
        </w:r>
        <w:r w:rsidR="00BF3A86" w:rsidRPr="00944248">
          <w:rPr>
            <w:noProof w:val="0"/>
            <w:webHidden/>
            <w:lang w:val="ro-RO"/>
          </w:rPr>
          <w:t>11</w:t>
        </w:r>
        <w:r w:rsidR="00BF3A86" w:rsidRPr="00944248">
          <w:rPr>
            <w:noProof w:val="0"/>
            <w:webHidden/>
            <w:lang w:val="ro-RO"/>
          </w:rPr>
          <w:fldChar w:fldCharType="end"/>
        </w:r>
      </w:hyperlink>
    </w:p>
    <w:p w:rsidR="00BF3A86" w:rsidRPr="00944248" w:rsidRDefault="00BB5A8C">
      <w:pPr>
        <w:pStyle w:val="TOC2"/>
        <w:rPr>
          <w:rFonts w:asciiTheme="minorHAnsi" w:eastAsiaTheme="minorEastAsia" w:hAnsiTheme="minorHAnsi" w:cstheme="minorBidi"/>
          <w:szCs w:val="22"/>
          <w:lang w:val="ro-RO" w:eastAsia="en-US"/>
        </w:rPr>
      </w:pPr>
      <w:hyperlink w:anchor="_Toc535158317" w:history="1">
        <w:r w:rsidR="00BF3A86" w:rsidRPr="00944248">
          <w:rPr>
            <w:rStyle w:val="Hyperlink"/>
            <w:lang w:val="ro-RO"/>
          </w:rPr>
          <w:t>4.1</w:t>
        </w:r>
        <w:r w:rsidR="00BF3A86" w:rsidRPr="00944248">
          <w:rPr>
            <w:rFonts w:asciiTheme="minorHAnsi" w:eastAsiaTheme="minorEastAsia" w:hAnsiTheme="minorHAnsi" w:cstheme="minorBidi"/>
            <w:szCs w:val="22"/>
            <w:lang w:val="ro-RO" w:eastAsia="en-US"/>
          </w:rPr>
          <w:tab/>
        </w:r>
        <w:r w:rsidR="00BF3A86" w:rsidRPr="00944248">
          <w:rPr>
            <w:rStyle w:val="Hyperlink"/>
            <w:lang w:val="ro-RO"/>
          </w:rPr>
          <w:t>Determinarea prețului și a volumului</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_Toc535158317 \h </w:instrText>
        </w:r>
        <w:r w:rsidR="00BF3A86" w:rsidRPr="00944248">
          <w:rPr>
            <w:webHidden/>
            <w:lang w:val="ro-RO"/>
          </w:rPr>
        </w:r>
        <w:r w:rsidR="00BF3A86" w:rsidRPr="00944248">
          <w:rPr>
            <w:webHidden/>
            <w:lang w:val="ro-RO"/>
          </w:rPr>
          <w:fldChar w:fldCharType="separate"/>
        </w:r>
        <w:r w:rsidR="00BF3A86" w:rsidRPr="00944248">
          <w:rPr>
            <w:webHidden/>
            <w:lang w:val="ro-RO"/>
          </w:rPr>
          <w:t>11</w:t>
        </w:r>
        <w:r w:rsidR="00BF3A86" w:rsidRPr="00944248">
          <w:rPr>
            <w:webHidden/>
            <w:lang w:val="ro-RO"/>
          </w:rPr>
          <w:fldChar w:fldCharType="end"/>
        </w:r>
      </w:hyperlink>
    </w:p>
    <w:p w:rsidR="00BF3A86" w:rsidRPr="00944248" w:rsidRDefault="00BB5A8C">
      <w:pPr>
        <w:pStyle w:val="TOC2"/>
        <w:rPr>
          <w:rFonts w:asciiTheme="minorHAnsi" w:eastAsiaTheme="minorEastAsia" w:hAnsiTheme="minorHAnsi" w:cstheme="minorBidi"/>
          <w:szCs w:val="22"/>
          <w:lang w:val="ro-RO" w:eastAsia="en-US"/>
        </w:rPr>
      </w:pPr>
      <w:hyperlink w:anchor="_Toc535158318" w:history="1">
        <w:r w:rsidR="00BF3A86" w:rsidRPr="00944248">
          <w:rPr>
            <w:rStyle w:val="Hyperlink"/>
            <w:lang w:val="ro-RO"/>
          </w:rPr>
          <w:t>4.2</w:t>
        </w:r>
        <w:r w:rsidR="00BF3A86" w:rsidRPr="00944248">
          <w:rPr>
            <w:rFonts w:asciiTheme="minorHAnsi" w:eastAsiaTheme="minorEastAsia" w:hAnsiTheme="minorHAnsi" w:cstheme="minorBidi"/>
            <w:szCs w:val="22"/>
            <w:lang w:val="ro-RO" w:eastAsia="en-US"/>
          </w:rPr>
          <w:tab/>
        </w:r>
        <w:r w:rsidR="00BF3A86" w:rsidRPr="00944248">
          <w:rPr>
            <w:rStyle w:val="Hyperlink"/>
            <w:lang w:val="ro-RO"/>
          </w:rPr>
          <w:t>Activările în scopul restricțiilor de sistem</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_Toc535158318 \h </w:instrText>
        </w:r>
        <w:r w:rsidR="00BF3A86" w:rsidRPr="00944248">
          <w:rPr>
            <w:webHidden/>
            <w:lang w:val="ro-RO"/>
          </w:rPr>
        </w:r>
        <w:r w:rsidR="00BF3A86" w:rsidRPr="00944248">
          <w:rPr>
            <w:webHidden/>
            <w:lang w:val="ro-RO"/>
          </w:rPr>
          <w:fldChar w:fldCharType="separate"/>
        </w:r>
        <w:r w:rsidR="00BF3A86" w:rsidRPr="00944248">
          <w:rPr>
            <w:webHidden/>
            <w:lang w:val="ro-RO"/>
          </w:rPr>
          <w:t>11</w:t>
        </w:r>
        <w:r w:rsidR="00BF3A86" w:rsidRPr="00944248">
          <w:rPr>
            <w:webHidden/>
            <w:lang w:val="ro-RO"/>
          </w:rPr>
          <w:fldChar w:fldCharType="end"/>
        </w:r>
      </w:hyperlink>
    </w:p>
    <w:p w:rsidR="00BF3A86" w:rsidRPr="00944248" w:rsidRDefault="00BB5A8C">
      <w:pPr>
        <w:pStyle w:val="TOC1"/>
        <w:rPr>
          <w:rFonts w:asciiTheme="minorHAnsi" w:eastAsiaTheme="minorEastAsia" w:hAnsiTheme="minorHAnsi" w:cstheme="minorBidi"/>
          <w:b w:val="0"/>
          <w:noProof w:val="0"/>
          <w:szCs w:val="22"/>
          <w:lang w:val="ro-RO" w:eastAsia="en-US"/>
        </w:rPr>
      </w:pPr>
      <w:hyperlink w:anchor="_Toc535158319" w:history="1">
        <w:r w:rsidR="00BF3A86" w:rsidRPr="00944248">
          <w:rPr>
            <w:rStyle w:val="Hyperlink"/>
            <w:noProof w:val="0"/>
            <w:lang w:val="ro-RO"/>
          </w:rPr>
          <w:t>5</w:t>
        </w:r>
        <w:r w:rsidR="00BF3A86" w:rsidRPr="00944248">
          <w:rPr>
            <w:rFonts w:asciiTheme="minorHAnsi" w:eastAsiaTheme="minorEastAsia" w:hAnsiTheme="minorHAnsi" w:cstheme="minorBidi"/>
            <w:b w:val="0"/>
            <w:noProof w:val="0"/>
            <w:szCs w:val="22"/>
            <w:lang w:val="ro-RO" w:eastAsia="en-US"/>
          </w:rPr>
          <w:tab/>
        </w:r>
        <w:r w:rsidR="00BF3A86" w:rsidRPr="00944248">
          <w:rPr>
            <w:rStyle w:val="Hyperlink"/>
            <w:bCs/>
            <w:noProof w:val="0"/>
            <w:lang w:val="ro-RO"/>
          </w:rPr>
          <w:t>Metodologia de decontare pentru mRRF cu activare directă</w:t>
        </w:r>
        <w:r w:rsidR="00BF3A86" w:rsidRPr="00944248">
          <w:rPr>
            <w:noProof w:val="0"/>
            <w:webHidden/>
            <w:lang w:val="ro-RO"/>
          </w:rPr>
          <w:tab/>
        </w:r>
        <w:r w:rsidR="00BF3A86" w:rsidRPr="00944248">
          <w:rPr>
            <w:noProof w:val="0"/>
            <w:webHidden/>
            <w:lang w:val="ro-RO"/>
          </w:rPr>
          <w:fldChar w:fldCharType="begin"/>
        </w:r>
        <w:r w:rsidR="00BF3A86" w:rsidRPr="00944248">
          <w:rPr>
            <w:noProof w:val="0"/>
            <w:webHidden/>
            <w:lang w:val="ro-RO"/>
          </w:rPr>
          <w:instrText xml:space="preserve"> PAGEREF _Toc535158319 \h </w:instrText>
        </w:r>
        <w:r w:rsidR="00BF3A86" w:rsidRPr="00944248">
          <w:rPr>
            <w:noProof w:val="0"/>
            <w:webHidden/>
            <w:lang w:val="ro-RO"/>
          </w:rPr>
        </w:r>
        <w:r w:rsidR="00BF3A86" w:rsidRPr="00944248">
          <w:rPr>
            <w:noProof w:val="0"/>
            <w:webHidden/>
            <w:lang w:val="ro-RO"/>
          </w:rPr>
          <w:fldChar w:fldCharType="separate"/>
        </w:r>
        <w:r w:rsidR="00BF3A86" w:rsidRPr="00944248">
          <w:rPr>
            <w:noProof w:val="0"/>
            <w:webHidden/>
            <w:lang w:val="ro-RO"/>
          </w:rPr>
          <w:t>17</w:t>
        </w:r>
        <w:r w:rsidR="00BF3A86" w:rsidRPr="00944248">
          <w:rPr>
            <w:noProof w:val="0"/>
            <w:webHidden/>
            <w:lang w:val="ro-RO"/>
          </w:rPr>
          <w:fldChar w:fldCharType="end"/>
        </w:r>
      </w:hyperlink>
    </w:p>
    <w:p w:rsidR="00BF3A86" w:rsidRPr="00944248" w:rsidRDefault="00BB5A8C">
      <w:pPr>
        <w:pStyle w:val="TOC1"/>
        <w:rPr>
          <w:rFonts w:asciiTheme="minorHAnsi" w:eastAsiaTheme="minorEastAsia" w:hAnsiTheme="minorHAnsi" w:cstheme="minorBidi"/>
          <w:b w:val="0"/>
          <w:noProof w:val="0"/>
          <w:szCs w:val="22"/>
          <w:lang w:val="ro-RO" w:eastAsia="en-US"/>
        </w:rPr>
      </w:pPr>
      <w:hyperlink w:anchor="_Toc535158320" w:history="1">
        <w:r w:rsidR="00BF3A86" w:rsidRPr="00944248">
          <w:rPr>
            <w:rStyle w:val="Hyperlink"/>
            <w:noProof w:val="0"/>
            <w:lang w:val="ro-RO"/>
          </w:rPr>
          <w:t>6</w:t>
        </w:r>
        <w:r w:rsidR="00BF3A86" w:rsidRPr="00944248">
          <w:rPr>
            <w:rFonts w:asciiTheme="minorHAnsi" w:eastAsiaTheme="minorEastAsia" w:hAnsiTheme="minorHAnsi" w:cstheme="minorBidi"/>
            <w:b w:val="0"/>
            <w:noProof w:val="0"/>
            <w:szCs w:val="22"/>
            <w:lang w:val="ro-RO" w:eastAsia="en-US"/>
          </w:rPr>
          <w:tab/>
        </w:r>
        <w:r w:rsidR="00BF3A86" w:rsidRPr="00944248">
          <w:rPr>
            <w:rStyle w:val="Hyperlink"/>
            <w:bCs/>
            <w:noProof w:val="0"/>
            <w:lang w:val="ro-RO"/>
          </w:rPr>
          <w:t>Metodologia de decontare pentru aRRF</w:t>
        </w:r>
        <w:r w:rsidR="00BF3A86" w:rsidRPr="00944248">
          <w:rPr>
            <w:noProof w:val="0"/>
            <w:webHidden/>
            <w:lang w:val="ro-RO"/>
          </w:rPr>
          <w:tab/>
        </w:r>
        <w:r w:rsidR="00BF3A86" w:rsidRPr="00944248">
          <w:rPr>
            <w:noProof w:val="0"/>
            <w:webHidden/>
            <w:lang w:val="ro-RO"/>
          </w:rPr>
          <w:fldChar w:fldCharType="begin"/>
        </w:r>
        <w:r w:rsidR="00BF3A86" w:rsidRPr="00944248">
          <w:rPr>
            <w:noProof w:val="0"/>
            <w:webHidden/>
            <w:lang w:val="ro-RO"/>
          </w:rPr>
          <w:instrText xml:space="preserve"> PAGEREF _Toc535158320 \h </w:instrText>
        </w:r>
        <w:r w:rsidR="00BF3A86" w:rsidRPr="00944248">
          <w:rPr>
            <w:noProof w:val="0"/>
            <w:webHidden/>
            <w:lang w:val="ro-RO"/>
          </w:rPr>
        </w:r>
        <w:r w:rsidR="00BF3A86" w:rsidRPr="00944248">
          <w:rPr>
            <w:noProof w:val="0"/>
            <w:webHidden/>
            <w:lang w:val="ro-RO"/>
          </w:rPr>
          <w:fldChar w:fldCharType="separate"/>
        </w:r>
        <w:r w:rsidR="00BF3A86" w:rsidRPr="00944248">
          <w:rPr>
            <w:noProof w:val="0"/>
            <w:webHidden/>
            <w:lang w:val="ro-RO"/>
          </w:rPr>
          <w:t>18</w:t>
        </w:r>
        <w:r w:rsidR="00BF3A86" w:rsidRPr="00944248">
          <w:rPr>
            <w:noProof w:val="0"/>
            <w:webHidden/>
            <w:lang w:val="ro-RO"/>
          </w:rPr>
          <w:fldChar w:fldCharType="end"/>
        </w:r>
      </w:hyperlink>
    </w:p>
    <w:p w:rsidR="00BF3A86" w:rsidRPr="00944248" w:rsidRDefault="00BB5A8C">
      <w:pPr>
        <w:pStyle w:val="TOC2"/>
        <w:rPr>
          <w:rFonts w:asciiTheme="minorHAnsi" w:eastAsiaTheme="minorEastAsia" w:hAnsiTheme="minorHAnsi" w:cstheme="minorBidi"/>
          <w:szCs w:val="22"/>
          <w:lang w:val="ro-RO" w:eastAsia="en-US"/>
        </w:rPr>
      </w:pPr>
      <w:hyperlink w:anchor="_Toc535158321" w:history="1">
        <w:r w:rsidR="00BF3A86" w:rsidRPr="00944248">
          <w:rPr>
            <w:rStyle w:val="Hyperlink"/>
            <w:lang w:val="ro-RO"/>
          </w:rPr>
          <w:t>6.1</w:t>
        </w:r>
        <w:r w:rsidR="00BF3A86" w:rsidRPr="00944248">
          <w:rPr>
            <w:rFonts w:asciiTheme="minorHAnsi" w:eastAsiaTheme="minorEastAsia" w:hAnsiTheme="minorHAnsi" w:cstheme="minorBidi"/>
            <w:szCs w:val="22"/>
            <w:lang w:val="ro-RO" w:eastAsia="en-US"/>
          </w:rPr>
          <w:tab/>
        </w:r>
        <w:r w:rsidR="00BF3A86" w:rsidRPr="00944248">
          <w:rPr>
            <w:rStyle w:val="Hyperlink"/>
            <w:lang w:val="ro-RO"/>
          </w:rPr>
          <w:t>Determinarea prețului și a volumului</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_Toc535158321 \h </w:instrText>
        </w:r>
        <w:r w:rsidR="00BF3A86" w:rsidRPr="00944248">
          <w:rPr>
            <w:webHidden/>
            <w:lang w:val="ro-RO"/>
          </w:rPr>
        </w:r>
        <w:r w:rsidR="00BF3A86" w:rsidRPr="00944248">
          <w:rPr>
            <w:webHidden/>
            <w:lang w:val="ro-RO"/>
          </w:rPr>
          <w:fldChar w:fldCharType="separate"/>
        </w:r>
        <w:r w:rsidR="00BF3A86" w:rsidRPr="00944248">
          <w:rPr>
            <w:webHidden/>
            <w:lang w:val="ro-RO"/>
          </w:rPr>
          <w:t>18</w:t>
        </w:r>
        <w:r w:rsidR="00BF3A86" w:rsidRPr="00944248">
          <w:rPr>
            <w:webHidden/>
            <w:lang w:val="ro-RO"/>
          </w:rPr>
          <w:fldChar w:fldCharType="end"/>
        </w:r>
      </w:hyperlink>
    </w:p>
    <w:p w:rsidR="00BF3A86" w:rsidRPr="00944248" w:rsidRDefault="00BB5A8C">
      <w:pPr>
        <w:pStyle w:val="TOC2"/>
        <w:rPr>
          <w:rFonts w:asciiTheme="minorHAnsi" w:eastAsiaTheme="minorEastAsia" w:hAnsiTheme="minorHAnsi" w:cstheme="minorBidi"/>
          <w:szCs w:val="22"/>
          <w:lang w:val="ro-RO" w:eastAsia="en-US"/>
        </w:rPr>
      </w:pPr>
      <w:hyperlink w:anchor="_Toc535158322" w:history="1">
        <w:r w:rsidR="00BF3A86" w:rsidRPr="00944248">
          <w:rPr>
            <w:rStyle w:val="Hyperlink"/>
            <w:lang w:val="ro-RO"/>
          </w:rPr>
          <w:t>6.2</w:t>
        </w:r>
        <w:r w:rsidR="00BF3A86" w:rsidRPr="00944248">
          <w:rPr>
            <w:rFonts w:asciiTheme="minorHAnsi" w:eastAsiaTheme="minorEastAsia" w:hAnsiTheme="minorHAnsi" w:cstheme="minorBidi"/>
            <w:szCs w:val="22"/>
            <w:lang w:val="ro-RO" w:eastAsia="en-US"/>
          </w:rPr>
          <w:tab/>
        </w:r>
        <w:r w:rsidR="00BF3A86" w:rsidRPr="00944248">
          <w:rPr>
            <w:rStyle w:val="Hyperlink"/>
            <w:lang w:val="ro-RO"/>
          </w:rPr>
          <w:t>Decontarea volumelor compensate ale cererii aRRF</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_Toc535158322 \h </w:instrText>
        </w:r>
        <w:r w:rsidR="00BF3A86" w:rsidRPr="00944248">
          <w:rPr>
            <w:webHidden/>
            <w:lang w:val="ro-RO"/>
          </w:rPr>
        </w:r>
        <w:r w:rsidR="00BF3A86" w:rsidRPr="00944248">
          <w:rPr>
            <w:webHidden/>
            <w:lang w:val="ro-RO"/>
          </w:rPr>
          <w:fldChar w:fldCharType="separate"/>
        </w:r>
        <w:r w:rsidR="00BF3A86" w:rsidRPr="00944248">
          <w:rPr>
            <w:webHidden/>
            <w:lang w:val="ro-RO"/>
          </w:rPr>
          <w:t>20</w:t>
        </w:r>
        <w:r w:rsidR="00BF3A86" w:rsidRPr="00944248">
          <w:rPr>
            <w:webHidden/>
            <w:lang w:val="ro-RO"/>
          </w:rPr>
          <w:fldChar w:fldCharType="end"/>
        </w:r>
      </w:hyperlink>
    </w:p>
    <w:p w:rsidR="00BF3A86" w:rsidRPr="00944248" w:rsidRDefault="00BB5A8C">
      <w:pPr>
        <w:pStyle w:val="TOC3"/>
        <w:tabs>
          <w:tab w:val="left" w:pos="1320"/>
          <w:tab w:val="right" w:leader="dot" w:pos="9514"/>
        </w:tabs>
        <w:rPr>
          <w:rFonts w:asciiTheme="minorHAnsi" w:eastAsiaTheme="minorEastAsia" w:hAnsiTheme="minorHAnsi" w:cstheme="minorBidi"/>
          <w:szCs w:val="22"/>
          <w:lang w:val="ro-RO" w:eastAsia="en-US"/>
        </w:rPr>
      </w:pPr>
      <w:hyperlink w:anchor="_Toc535158323" w:history="1">
        <w:r w:rsidR="00BF3A86" w:rsidRPr="00944248">
          <w:rPr>
            <w:rStyle w:val="Hyperlink"/>
            <w:lang w:val="ro-RO"/>
          </w:rPr>
          <w:t>6.2.1</w:t>
        </w:r>
        <w:r w:rsidR="00BF3A86" w:rsidRPr="00944248">
          <w:rPr>
            <w:rFonts w:asciiTheme="minorHAnsi" w:eastAsiaTheme="minorEastAsia" w:hAnsiTheme="minorHAnsi" w:cstheme="minorBidi"/>
            <w:szCs w:val="22"/>
            <w:lang w:val="ro-RO" w:eastAsia="en-US"/>
          </w:rPr>
          <w:tab/>
        </w:r>
        <w:r w:rsidR="00BF3A86" w:rsidRPr="00944248">
          <w:rPr>
            <w:rStyle w:val="Hyperlink"/>
            <w:bCs/>
            <w:lang w:val="ro-RO"/>
          </w:rPr>
          <w:t>Definiția volumelor compensate ale cererii aRRF</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_Toc535158323 \h </w:instrText>
        </w:r>
        <w:r w:rsidR="00BF3A86" w:rsidRPr="00944248">
          <w:rPr>
            <w:webHidden/>
            <w:lang w:val="ro-RO"/>
          </w:rPr>
        </w:r>
        <w:r w:rsidR="00BF3A86" w:rsidRPr="00944248">
          <w:rPr>
            <w:webHidden/>
            <w:lang w:val="ro-RO"/>
          </w:rPr>
          <w:fldChar w:fldCharType="separate"/>
        </w:r>
        <w:r w:rsidR="00BF3A86" w:rsidRPr="00944248">
          <w:rPr>
            <w:webHidden/>
            <w:lang w:val="ro-RO"/>
          </w:rPr>
          <w:t>20</w:t>
        </w:r>
        <w:r w:rsidR="00BF3A86" w:rsidRPr="00944248">
          <w:rPr>
            <w:webHidden/>
            <w:lang w:val="ro-RO"/>
          </w:rPr>
          <w:fldChar w:fldCharType="end"/>
        </w:r>
      </w:hyperlink>
    </w:p>
    <w:p w:rsidR="00BF3A86" w:rsidRPr="00944248" w:rsidRDefault="00BB5A8C">
      <w:pPr>
        <w:pStyle w:val="TOC3"/>
        <w:tabs>
          <w:tab w:val="left" w:pos="1320"/>
          <w:tab w:val="right" w:leader="dot" w:pos="9514"/>
        </w:tabs>
        <w:rPr>
          <w:rFonts w:asciiTheme="minorHAnsi" w:eastAsiaTheme="minorEastAsia" w:hAnsiTheme="minorHAnsi" w:cstheme="minorBidi"/>
          <w:szCs w:val="22"/>
          <w:lang w:val="ro-RO" w:eastAsia="en-US"/>
        </w:rPr>
      </w:pPr>
      <w:hyperlink w:anchor="_Toc535158324" w:history="1">
        <w:r w:rsidR="00BF3A86" w:rsidRPr="00944248">
          <w:rPr>
            <w:rStyle w:val="Hyperlink"/>
            <w:lang w:val="ro-RO"/>
          </w:rPr>
          <w:t>6.2.2</w:t>
        </w:r>
        <w:r w:rsidR="00BF3A86" w:rsidRPr="00944248">
          <w:rPr>
            <w:rFonts w:asciiTheme="minorHAnsi" w:eastAsiaTheme="minorEastAsia" w:hAnsiTheme="minorHAnsi" w:cstheme="minorBidi"/>
            <w:szCs w:val="22"/>
            <w:lang w:val="ro-RO" w:eastAsia="en-US"/>
          </w:rPr>
          <w:tab/>
        </w:r>
        <w:r w:rsidR="00BF3A86" w:rsidRPr="00944248">
          <w:rPr>
            <w:rStyle w:val="Hyperlink"/>
            <w:bCs/>
            <w:lang w:val="ro-RO"/>
          </w:rPr>
          <w:t>Determinarea prețurilor de decontare pentru cererea aRRF compensată</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_Toc535158324 \h </w:instrText>
        </w:r>
        <w:r w:rsidR="00BF3A86" w:rsidRPr="00944248">
          <w:rPr>
            <w:webHidden/>
            <w:lang w:val="ro-RO"/>
          </w:rPr>
        </w:r>
        <w:r w:rsidR="00BF3A86" w:rsidRPr="00944248">
          <w:rPr>
            <w:webHidden/>
            <w:lang w:val="ro-RO"/>
          </w:rPr>
          <w:fldChar w:fldCharType="separate"/>
        </w:r>
        <w:r w:rsidR="00BF3A86" w:rsidRPr="00944248">
          <w:rPr>
            <w:webHidden/>
            <w:lang w:val="ro-RO"/>
          </w:rPr>
          <w:t>21</w:t>
        </w:r>
        <w:r w:rsidR="00BF3A86" w:rsidRPr="00944248">
          <w:rPr>
            <w:webHidden/>
            <w:lang w:val="ro-RO"/>
          </w:rPr>
          <w:fldChar w:fldCharType="end"/>
        </w:r>
      </w:hyperlink>
    </w:p>
    <w:p w:rsidR="00BF3A86" w:rsidRPr="00944248" w:rsidRDefault="00BB5A8C">
      <w:pPr>
        <w:pStyle w:val="TOC1"/>
        <w:rPr>
          <w:rFonts w:asciiTheme="minorHAnsi" w:eastAsiaTheme="minorEastAsia" w:hAnsiTheme="minorHAnsi" w:cstheme="minorBidi"/>
          <w:b w:val="0"/>
          <w:noProof w:val="0"/>
          <w:szCs w:val="22"/>
          <w:lang w:val="ro-RO" w:eastAsia="en-US"/>
        </w:rPr>
      </w:pPr>
      <w:hyperlink w:anchor="_Toc535158325" w:history="1">
        <w:r w:rsidR="00BF3A86" w:rsidRPr="00944248">
          <w:rPr>
            <w:rStyle w:val="Hyperlink"/>
            <w:noProof w:val="0"/>
            <w:lang w:val="ro-RO"/>
          </w:rPr>
          <w:t>7</w:t>
        </w:r>
        <w:r w:rsidR="00BF3A86" w:rsidRPr="00944248">
          <w:rPr>
            <w:rFonts w:asciiTheme="minorHAnsi" w:eastAsiaTheme="minorEastAsia" w:hAnsiTheme="minorHAnsi" w:cstheme="minorBidi"/>
            <w:b w:val="0"/>
            <w:noProof w:val="0"/>
            <w:szCs w:val="22"/>
            <w:lang w:val="ro-RO" w:eastAsia="en-US"/>
          </w:rPr>
          <w:tab/>
        </w:r>
        <w:r w:rsidR="00BF3A86" w:rsidRPr="00944248">
          <w:rPr>
            <w:rStyle w:val="Hyperlink"/>
            <w:bCs/>
            <w:noProof w:val="0"/>
            <w:lang w:val="ro-RO"/>
          </w:rPr>
          <w:t>Compensarea dezechilibrelor</w:t>
        </w:r>
        <w:r w:rsidR="00BF3A86" w:rsidRPr="00944248">
          <w:rPr>
            <w:noProof w:val="0"/>
            <w:webHidden/>
            <w:lang w:val="ro-RO"/>
          </w:rPr>
          <w:tab/>
        </w:r>
        <w:r w:rsidR="00BF3A86" w:rsidRPr="00944248">
          <w:rPr>
            <w:noProof w:val="0"/>
            <w:webHidden/>
            <w:lang w:val="ro-RO"/>
          </w:rPr>
          <w:fldChar w:fldCharType="begin"/>
        </w:r>
        <w:r w:rsidR="00BF3A86" w:rsidRPr="00944248">
          <w:rPr>
            <w:noProof w:val="0"/>
            <w:webHidden/>
            <w:lang w:val="ro-RO"/>
          </w:rPr>
          <w:instrText xml:space="preserve"> PAGEREF _Toc535158325 \h </w:instrText>
        </w:r>
        <w:r w:rsidR="00BF3A86" w:rsidRPr="00944248">
          <w:rPr>
            <w:noProof w:val="0"/>
            <w:webHidden/>
            <w:lang w:val="ro-RO"/>
          </w:rPr>
        </w:r>
        <w:r w:rsidR="00BF3A86" w:rsidRPr="00944248">
          <w:rPr>
            <w:noProof w:val="0"/>
            <w:webHidden/>
            <w:lang w:val="ro-RO"/>
          </w:rPr>
          <w:fldChar w:fldCharType="separate"/>
        </w:r>
        <w:r w:rsidR="00BF3A86" w:rsidRPr="00944248">
          <w:rPr>
            <w:noProof w:val="0"/>
            <w:webHidden/>
            <w:lang w:val="ro-RO"/>
          </w:rPr>
          <w:t>22</w:t>
        </w:r>
        <w:r w:rsidR="00BF3A86" w:rsidRPr="00944248">
          <w:rPr>
            <w:noProof w:val="0"/>
            <w:webHidden/>
            <w:lang w:val="ro-RO"/>
          </w:rPr>
          <w:fldChar w:fldCharType="end"/>
        </w:r>
      </w:hyperlink>
    </w:p>
    <w:p w:rsidR="00BF3A86" w:rsidRPr="00944248" w:rsidRDefault="00BB5A8C">
      <w:pPr>
        <w:pStyle w:val="TOC2"/>
        <w:rPr>
          <w:rFonts w:asciiTheme="minorHAnsi" w:eastAsiaTheme="minorEastAsia" w:hAnsiTheme="minorHAnsi" w:cstheme="minorBidi"/>
          <w:szCs w:val="22"/>
          <w:lang w:val="ro-RO" w:eastAsia="en-US"/>
        </w:rPr>
      </w:pPr>
      <w:hyperlink w:anchor="_Toc535158326" w:history="1">
        <w:r w:rsidR="00BF3A86" w:rsidRPr="00944248">
          <w:rPr>
            <w:rStyle w:val="Hyperlink"/>
            <w:lang w:val="ro-RO"/>
          </w:rPr>
          <w:t>7.1</w:t>
        </w:r>
        <w:r w:rsidR="00BF3A86" w:rsidRPr="00944248">
          <w:rPr>
            <w:rFonts w:asciiTheme="minorHAnsi" w:eastAsiaTheme="minorEastAsia" w:hAnsiTheme="minorHAnsi" w:cstheme="minorBidi"/>
            <w:szCs w:val="22"/>
            <w:lang w:val="ro-RO" w:eastAsia="en-US"/>
          </w:rPr>
          <w:tab/>
        </w:r>
        <w:r w:rsidR="00BF3A86" w:rsidRPr="00944248">
          <w:rPr>
            <w:rStyle w:val="Hyperlink"/>
            <w:lang w:val="ro-RO"/>
          </w:rPr>
          <w:t>Exemple de determinare a valorii activării aRRF evitate</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_Toc535158326 \h </w:instrText>
        </w:r>
        <w:r w:rsidR="00BF3A86" w:rsidRPr="00944248">
          <w:rPr>
            <w:webHidden/>
            <w:lang w:val="ro-RO"/>
          </w:rPr>
        </w:r>
        <w:r w:rsidR="00BF3A86" w:rsidRPr="00944248">
          <w:rPr>
            <w:webHidden/>
            <w:lang w:val="ro-RO"/>
          </w:rPr>
          <w:fldChar w:fldCharType="separate"/>
        </w:r>
        <w:r w:rsidR="00BF3A86" w:rsidRPr="00944248">
          <w:rPr>
            <w:webHidden/>
            <w:lang w:val="ro-RO"/>
          </w:rPr>
          <w:t>22</w:t>
        </w:r>
        <w:r w:rsidR="00BF3A86" w:rsidRPr="00944248">
          <w:rPr>
            <w:webHidden/>
            <w:lang w:val="ro-RO"/>
          </w:rPr>
          <w:fldChar w:fldCharType="end"/>
        </w:r>
      </w:hyperlink>
    </w:p>
    <w:p w:rsidR="00BF3A86" w:rsidRPr="00944248" w:rsidRDefault="00BB5A8C">
      <w:pPr>
        <w:pStyle w:val="TOC3"/>
        <w:tabs>
          <w:tab w:val="left" w:pos="1320"/>
          <w:tab w:val="right" w:leader="dot" w:pos="9514"/>
        </w:tabs>
        <w:rPr>
          <w:rFonts w:asciiTheme="minorHAnsi" w:eastAsiaTheme="minorEastAsia" w:hAnsiTheme="minorHAnsi" w:cstheme="minorBidi"/>
          <w:szCs w:val="22"/>
          <w:lang w:val="ro-RO" w:eastAsia="en-US"/>
        </w:rPr>
      </w:pPr>
      <w:hyperlink w:anchor="_Toc535158327" w:history="1">
        <w:r w:rsidR="00BF3A86" w:rsidRPr="00944248">
          <w:rPr>
            <w:rStyle w:val="Hyperlink"/>
            <w:lang w:val="ro-RO"/>
          </w:rPr>
          <w:t>7.1.1</w:t>
        </w:r>
        <w:r w:rsidR="00BF3A86" w:rsidRPr="00944248">
          <w:rPr>
            <w:rFonts w:asciiTheme="minorHAnsi" w:eastAsiaTheme="minorEastAsia" w:hAnsiTheme="minorHAnsi" w:cstheme="minorBidi"/>
            <w:szCs w:val="22"/>
            <w:lang w:val="ro-RO" w:eastAsia="en-US"/>
          </w:rPr>
          <w:tab/>
        </w:r>
        <w:r w:rsidR="00BF3A86" w:rsidRPr="00944248">
          <w:rPr>
            <w:rStyle w:val="Hyperlink"/>
            <w:bCs/>
            <w:lang w:val="ro-RO"/>
          </w:rPr>
          <w:t xml:space="preserve">Valoarea aRRF evitată pentru un membru IN care folosește metoda </w:t>
        </w:r>
        <w:r w:rsidR="00BF3A86" w:rsidRPr="00944248">
          <w:rPr>
            <w:rStyle w:val="Hyperlink"/>
            <w:bCs/>
            <w:i/>
            <w:iCs/>
            <w:lang w:val="ro-RO"/>
          </w:rPr>
          <w:t>„pay-as-bid”</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_Toc535158327 \h </w:instrText>
        </w:r>
        <w:r w:rsidR="00BF3A86" w:rsidRPr="00944248">
          <w:rPr>
            <w:webHidden/>
            <w:lang w:val="ro-RO"/>
          </w:rPr>
        </w:r>
        <w:r w:rsidR="00BF3A86" w:rsidRPr="00944248">
          <w:rPr>
            <w:webHidden/>
            <w:lang w:val="ro-RO"/>
          </w:rPr>
          <w:fldChar w:fldCharType="separate"/>
        </w:r>
        <w:r w:rsidR="00BF3A86" w:rsidRPr="00944248">
          <w:rPr>
            <w:webHidden/>
            <w:lang w:val="ro-RO"/>
          </w:rPr>
          <w:t>22</w:t>
        </w:r>
        <w:r w:rsidR="00BF3A86" w:rsidRPr="00944248">
          <w:rPr>
            <w:webHidden/>
            <w:lang w:val="ro-RO"/>
          </w:rPr>
          <w:fldChar w:fldCharType="end"/>
        </w:r>
      </w:hyperlink>
    </w:p>
    <w:p w:rsidR="00BF3A86" w:rsidRPr="00944248" w:rsidRDefault="00BB5A8C">
      <w:pPr>
        <w:pStyle w:val="TOC3"/>
        <w:tabs>
          <w:tab w:val="left" w:pos="1320"/>
          <w:tab w:val="right" w:leader="dot" w:pos="9514"/>
        </w:tabs>
        <w:rPr>
          <w:rFonts w:asciiTheme="minorHAnsi" w:eastAsiaTheme="minorEastAsia" w:hAnsiTheme="minorHAnsi" w:cstheme="minorBidi"/>
          <w:szCs w:val="22"/>
          <w:lang w:val="ro-RO" w:eastAsia="en-US"/>
        </w:rPr>
      </w:pPr>
      <w:hyperlink w:anchor="_Toc535158328" w:history="1">
        <w:r w:rsidR="00BF3A86" w:rsidRPr="00944248">
          <w:rPr>
            <w:rStyle w:val="Hyperlink"/>
            <w:lang w:val="ro-RO"/>
          </w:rPr>
          <w:t>7.1.2</w:t>
        </w:r>
        <w:r w:rsidR="00BF3A86" w:rsidRPr="00944248">
          <w:rPr>
            <w:rFonts w:asciiTheme="minorHAnsi" w:eastAsiaTheme="minorEastAsia" w:hAnsiTheme="minorHAnsi" w:cstheme="minorBidi"/>
            <w:szCs w:val="22"/>
            <w:lang w:val="ro-RO" w:eastAsia="en-US"/>
          </w:rPr>
          <w:tab/>
        </w:r>
        <w:r w:rsidR="00BF3A86" w:rsidRPr="00944248">
          <w:rPr>
            <w:rStyle w:val="Hyperlink"/>
            <w:bCs/>
            <w:lang w:val="ro-RO"/>
          </w:rPr>
          <w:t>Valoarea aRRF evitată pentru un membru IN care folosește schema de stabilire a prețului marginal aRRF</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_Toc535158328 \h </w:instrText>
        </w:r>
        <w:r w:rsidR="00BF3A86" w:rsidRPr="00944248">
          <w:rPr>
            <w:webHidden/>
            <w:lang w:val="ro-RO"/>
          </w:rPr>
        </w:r>
        <w:r w:rsidR="00BF3A86" w:rsidRPr="00944248">
          <w:rPr>
            <w:webHidden/>
            <w:lang w:val="ro-RO"/>
          </w:rPr>
          <w:fldChar w:fldCharType="separate"/>
        </w:r>
        <w:r w:rsidR="00BF3A86" w:rsidRPr="00944248">
          <w:rPr>
            <w:webHidden/>
            <w:lang w:val="ro-RO"/>
          </w:rPr>
          <w:t>24</w:t>
        </w:r>
        <w:r w:rsidR="00BF3A86" w:rsidRPr="00944248">
          <w:rPr>
            <w:webHidden/>
            <w:lang w:val="ro-RO"/>
          </w:rPr>
          <w:fldChar w:fldCharType="end"/>
        </w:r>
      </w:hyperlink>
    </w:p>
    <w:p w:rsidR="00BF3A86" w:rsidRPr="00944248" w:rsidRDefault="00BB5A8C">
      <w:pPr>
        <w:pStyle w:val="TOC3"/>
        <w:tabs>
          <w:tab w:val="left" w:pos="1320"/>
          <w:tab w:val="right" w:leader="dot" w:pos="9514"/>
        </w:tabs>
        <w:rPr>
          <w:rFonts w:asciiTheme="minorHAnsi" w:eastAsiaTheme="minorEastAsia" w:hAnsiTheme="minorHAnsi" w:cstheme="minorBidi"/>
          <w:szCs w:val="22"/>
          <w:lang w:val="ro-RO" w:eastAsia="en-US"/>
        </w:rPr>
      </w:pPr>
      <w:hyperlink w:anchor="_Toc535158329" w:history="1">
        <w:r w:rsidR="00BF3A86" w:rsidRPr="00944248">
          <w:rPr>
            <w:rStyle w:val="Hyperlink"/>
            <w:lang w:val="ro-RO"/>
          </w:rPr>
          <w:t>7.1.3</w:t>
        </w:r>
        <w:r w:rsidR="00BF3A86" w:rsidRPr="00944248">
          <w:rPr>
            <w:rFonts w:asciiTheme="minorHAnsi" w:eastAsiaTheme="minorEastAsia" w:hAnsiTheme="minorHAnsi" w:cstheme="minorBidi"/>
            <w:szCs w:val="22"/>
            <w:lang w:val="ro-RO" w:eastAsia="en-US"/>
          </w:rPr>
          <w:tab/>
        </w:r>
        <w:r w:rsidR="00BF3A86" w:rsidRPr="00944248">
          <w:rPr>
            <w:rStyle w:val="Hyperlink"/>
            <w:bCs/>
            <w:lang w:val="ro-RO"/>
          </w:rPr>
          <w:t>Valoarea prețului aRRF evitate pentru un OTS care participă la cooperările aRRF</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_Toc535158329 \h </w:instrText>
        </w:r>
        <w:r w:rsidR="00BF3A86" w:rsidRPr="00944248">
          <w:rPr>
            <w:webHidden/>
            <w:lang w:val="ro-RO"/>
          </w:rPr>
        </w:r>
        <w:r w:rsidR="00BF3A86" w:rsidRPr="00944248">
          <w:rPr>
            <w:webHidden/>
            <w:lang w:val="ro-RO"/>
          </w:rPr>
          <w:fldChar w:fldCharType="separate"/>
        </w:r>
        <w:r w:rsidR="00BF3A86" w:rsidRPr="00944248">
          <w:rPr>
            <w:webHidden/>
            <w:lang w:val="ro-RO"/>
          </w:rPr>
          <w:t>25</w:t>
        </w:r>
        <w:r w:rsidR="00BF3A86" w:rsidRPr="00944248">
          <w:rPr>
            <w:webHidden/>
            <w:lang w:val="ro-RO"/>
          </w:rPr>
          <w:fldChar w:fldCharType="end"/>
        </w:r>
      </w:hyperlink>
    </w:p>
    <w:p w:rsidR="00BF3A86" w:rsidRPr="00944248" w:rsidRDefault="00BB5A8C">
      <w:pPr>
        <w:pStyle w:val="TOC3"/>
        <w:tabs>
          <w:tab w:val="left" w:pos="1320"/>
          <w:tab w:val="right" w:leader="dot" w:pos="9514"/>
        </w:tabs>
        <w:rPr>
          <w:rFonts w:asciiTheme="minorHAnsi" w:eastAsiaTheme="minorEastAsia" w:hAnsiTheme="minorHAnsi" w:cstheme="minorBidi"/>
          <w:szCs w:val="22"/>
          <w:lang w:val="ro-RO" w:eastAsia="en-US"/>
        </w:rPr>
      </w:pPr>
      <w:hyperlink w:anchor="_Toc535158330" w:history="1">
        <w:r w:rsidR="00BF3A86" w:rsidRPr="00944248">
          <w:rPr>
            <w:rStyle w:val="Hyperlink"/>
            <w:lang w:val="ro-RO"/>
          </w:rPr>
          <w:t>7.1.4</w:t>
        </w:r>
        <w:r w:rsidR="00BF3A86" w:rsidRPr="00944248">
          <w:rPr>
            <w:rFonts w:asciiTheme="minorHAnsi" w:eastAsiaTheme="minorEastAsia" w:hAnsiTheme="minorHAnsi" w:cstheme="minorBidi"/>
            <w:szCs w:val="22"/>
            <w:lang w:val="ro-RO" w:eastAsia="en-US"/>
          </w:rPr>
          <w:tab/>
        </w:r>
        <w:r w:rsidR="00BF3A86" w:rsidRPr="00944248">
          <w:rPr>
            <w:rStyle w:val="Hyperlink"/>
            <w:bCs/>
            <w:lang w:val="ro-RO"/>
          </w:rPr>
          <w:t>Valoarea aRRF evitate în cazul prețurilor administrative și pentru ziua următoare</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_Toc535158330 \h </w:instrText>
        </w:r>
        <w:r w:rsidR="00BF3A86" w:rsidRPr="00944248">
          <w:rPr>
            <w:webHidden/>
            <w:lang w:val="ro-RO"/>
          </w:rPr>
        </w:r>
        <w:r w:rsidR="00BF3A86" w:rsidRPr="00944248">
          <w:rPr>
            <w:webHidden/>
            <w:lang w:val="ro-RO"/>
          </w:rPr>
          <w:fldChar w:fldCharType="separate"/>
        </w:r>
        <w:r w:rsidR="00BF3A86" w:rsidRPr="00944248">
          <w:rPr>
            <w:webHidden/>
            <w:lang w:val="ro-RO"/>
          </w:rPr>
          <w:t>25</w:t>
        </w:r>
        <w:r w:rsidR="00BF3A86" w:rsidRPr="00944248">
          <w:rPr>
            <w:webHidden/>
            <w:lang w:val="ro-RO"/>
          </w:rPr>
          <w:fldChar w:fldCharType="end"/>
        </w:r>
      </w:hyperlink>
    </w:p>
    <w:p w:rsidR="00BF3A86" w:rsidRPr="00944248" w:rsidRDefault="00BB5A8C">
      <w:pPr>
        <w:pStyle w:val="TOC2"/>
        <w:rPr>
          <w:rFonts w:asciiTheme="minorHAnsi" w:eastAsiaTheme="minorEastAsia" w:hAnsiTheme="minorHAnsi" w:cstheme="minorBidi"/>
          <w:szCs w:val="22"/>
          <w:lang w:val="ro-RO" w:eastAsia="en-US"/>
        </w:rPr>
      </w:pPr>
      <w:hyperlink w:anchor="_Toc535158331" w:history="1">
        <w:r w:rsidR="00BF3A86" w:rsidRPr="00944248">
          <w:rPr>
            <w:rStyle w:val="Hyperlink"/>
            <w:lang w:val="ro-RO"/>
          </w:rPr>
          <w:t>7.2</w:t>
        </w:r>
        <w:r w:rsidR="00BF3A86" w:rsidRPr="00944248">
          <w:rPr>
            <w:rFonts w:asciiTheme="minorHAnsi" w:eastAsiaTheme="minorEastAsia" w:hAnsiTheme="minorHAnsi" w:cstheme="minorBidi"/>
            <w:szCs w:val="22"/>
            <w:lang w:val="ro-RO" w:eastAsia="en-US"/>
          </w:rPr>
          <w:tab/>
        </w:r>
        <w:r w:rsidR="00BF3A86" w:rsidRPr="00944248">
          <w:rPr>
            <w:rStyle w:val="Hyperlink"/>
            <w:lang w:val="ro-RO"/>
          </w:rPr>
          <w:t>Determinarea prețului de decontare IN</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_Toc535158331 \h </w:instrText>
        </w:r>
        <w:r w:rsidR="00BF3A86" w:rsidRPr="00944248">
          <w:rPr>
            <w:webHidden/>
            <w:lang w:val="ro-RO"/>
          </w:rPr>
        </w:r>
        <w:r w:rsidR="00BF3A86" w:rsidRPr="00944248">
          <w:rPr>
            <w:webHidden/>
            <w:lang w:val="ro-RO"/>
          </w:rPr>
          <w:fldChar w:fldCharType="separate"/>
        </w:r>
        <w:r w:rsidR="00BF3A86" w:rsidRPr="00944248">
          <w:rPr>
            <w:webHidden/>
            <w:lang w:val="ro-RO"/>
          </w:rPr>
          <w:t>25</w:t>
        </w:r>
        <w:r w:rsidR="00BF3A86" w:rsidRPr="00944248">
          <w:rPr>
            <w:webHidden/>
            <w:lang w:val="ro-RO"/>
          </w:rPr>
          <w:fldChar w:fldCharType="end"/>
        </w:r>
      </w:hyperlink>
    </w:p>
    <w:p w:rsidR="00BF3A86" w:rsidRPr="00944248" w:rsidRDefault="00BB5A8C">
      <w:pPr>
        <w:pStyle w:val="TOC1"/>
        <w:rPr>
          <w:rFonts w:asciiTheme="minorHAnsi" w:eastAsiaTheme="minorEastAsia" w:hAnsiTheme="minorHAnsi" w:cstheme="minorBidi"/>
          <w:b w:val="0"/>
          <w:noProof w:val="0"/>
          <w:szCs w:val="22"/>
          <w:lang w:val="ro-RO" w:eastAsia="en-US"/>
        </w:rPr>
      </w:pPr>
      <w:hyperlink w:anchor="_Toc535158332" w:history="1">
        <w:r w:rsidR="00BF3A86" w:rsidRPr="00944248">
          <w:rPr>
            <w:rStyle w:val="Hyperlink"/>
            <w:noProof w:val="0"/>
            <w:lang w:val="ro-RO"/>
          </w:rPr>
          <w:t>8</w:t>
        </w:r>
        <w:r w:rsidR="00BF3A86" w:rsidRPr="00944248">
          <w:rPr>
            <w:rFonts w:asciiTheme="minorHAnsi" w:eastAsiaTheme="minorEastAsia" w:hAnsiTheme="minorHAnsi" w:cstheme="minorBidi"/>
            <w:b w:val="0"/>
            <w:noProof w:val="0"/>
            <w:szCs w:val="22"/>
            <w:lang w:val="ro-RO" w:eastAsia="en-US"/>
          </w:rPr>
          <w:tab/>
        </w:r>
        <w:r w:rsidR="00BF3A86" w:rsidRPr="00944248">
          <w:rPr>
            <w:rStyle w:val="Hyperlink"/>
            <w:bCs/>
            <w:noProof w:val="0"/>
            <w:lang w:val="ro-RO"/>
          </w:rPr>
          <w:t>Decontarea veniturilor din congestiile de echilibrare</w:t>
        </w:r>
        <w:r w:rsidR="00BF3A86" w:rsidRPr="00944248">
          <w:rPr>
            <w:noProof w:val="0"/>
            <w:webHidden/>
            <w:lang w:val="ro-RO"/>
          </w:rPr>
          <w:tab/>
        </w:r>
        <w:r w:rsidR="00BF3A86" w:rsidRPr="00944248">
          <w:rPr>
            <w:noProof w:val="0"/>
            <w:webHidden/>
            <w:lang w:val="ro-RO"/>
          </w:rPr>
          <w:fldChar w:fldCharType="begin"/>
        </w:r>
        <w:r w:rsidR="00BF3A86" w:rsidRPr="00944248">
          <w:rPr>
            <w:noProof w:val="0"/>
            <w:webHidden/>
            <w:lang w:val="ro-RO"/>
          </w:rPr>
          <w:instrText xml:space="preserve"> PAGEREF _Toc535158332 \h </w:instrText>
        </w:r>
        <w:r w:rsidR="00BF3A86" w:rsidRPr="00944248">
          <w:rPr>
            <w:noProof w:val="0"/>
            <w:webHidden/>
            <w:lang w:val="ro-RO"/>
          </w:rPr>
        </w:r>
        <w:r w:rsidR="00BF3A86" w:rsidRPr="00944248">
          <w:rPr>
            <w:noProof w:val="0"/>
            <w:webHidden/>
            <w:lang w:val="ro-RO"/>
          </w:rPr>
          <w:fldChar w:fldCharType="separate"/>
        </w:r>
        <w:r w:rsidR="00BF3A86" w:rsidRPr="00944248">
          <w:rPr>
            <w:noProof w:val="0"/>
            <w:webHidden/>
            <w:lang w:val="ro-RO"/>
          </w:rPr>
          <w:t>29</w:t>
        </w:r>
        <w:r w:rsidR="00BF3A86" w:rsidRPr="00944248">
          <w:rPr>
            <w:noProof w:val="0"/>
            <w:webHidden/>
            <w:lang w:val="ro-RO"/>
          </w:rPr>
          <w:fldChar w:fldCharType="end"/>
        </w:r>
      </w:hyperlink>
    </w:p>
    <w:p w:rsidR="003703FE" w:rsidRPr="00944248" w:rsidRDefault="003703FE" w:rsidP="002D7EAB">
      <w:pPr>
        <w:rPr>
          <w:rFonts w:ascii="Times New Roman" w:hAnsi="Times New Roman"/>
          <w:lang w:val="ro-RO"/>
        </w:rPr>
      </w:pPr>
      <w:r w:rsidRPr="00944248">
        <w:rPr>
          <w:rFonts w:ascii="Times New Roman" w:hAnsi="Times New Roman"/>
          <w:lang w:val="ro-RO"/>
        </w:rPr>
        <w:fldChar w:fldCharType="end"/>
      </w:r>
    </w:p>
    <w:p w:rsidR="00884786" w:rsidRPr="00944248" w:rsidRDefault="00884786" w:rsidP="00884786">
      <w:pPr>
        <w:rPr>
          <w:rFonts w:ascii="Times New Roman" w:hAnsi="Times New Roman"/>
          <w:lang w:val="ro-RO"/>
        </w:rPr>
      </w:pPr>
    </w:p>
    <w:p w:rsidR="00884786" w:rsidRPr="00944248" w:rsidRDefault="00884786" w:rsidP="00884786">
      <w:pPr>
        <w:rPr>
          <w:rFonts w:ascii="Times New Roman" w:hAnsi="Times New Roman"/>
          <w:lang w:val="ro-RO"/>
        </w:rPr>
      </w:pPr>
    </w:p>
    <w:p w:rsidR="00B22D2D" w:rsidRPr="00944248" w:rsidRDefault="00B22D2D">
      <w:pPr>
        <w:rPr>
          <w:rFonts w:ascii="Times New Roman" w:hAnsi="Times New Roman"/>
          <w:b/>
          <w:color w:val="23236E"/>
          <w:sz w:val="32"/>
          <w:szCs w:val="28"/>
          <w:lang w:val="ro-RO"/>
        </w:rPr>
      </w:pPr>
      <w:bookmarkStart w:id="0" w:name="_Toc522195273"/>
      <w:bookmarkStart w:id="1" w:name="_Toc523816540"/>
      <w:bookmarkStart w:id="2" w:name="_Toc522181336"/>
      <w:bookmarkStart w:id="3" w:name="_Toc520999245"/>
      <w:bookmarkStart w:id="4" w:name="_Toc520993434"/>
      <w:r w:rsidRPr="00944248">
        <w:rPr>
          <w:rFonts w:ascii="Times New Roman" w:hAnsi="Times New Roman"/>
          <w:lang w:val="ro-RO"/>
        </w:rPr>
        <w:br w:type="page"/>
      </w:r>
    </w:p>
    <w:p w:rsidR="0089092C" w:rsidRPr="00944248" w:rsidRDefault="0089092C" w:rsidP="0089092C">
      <w:pPr>
        <w:pStyle w:val="Headline14pt"/>
        <w:pageBreakBefore w:val="0"/>
        <w:jc w:val="both"/>
        <w:outlineLvl w:val="0"/>
        <w:rPr>
          <w:lang w:val="ro-RO"/>
        </w:rPr>
      </w:pPr>
      <w:bookmarkStart w:id="5" w:name="_Toc531787022"/>
      <w:bookmarkStart w:id="6" w:name="_Toc531687669"/>
      <w:bookmarkStart w:id="7" w:name="_Toc535158310"/>
      <w:r w:rsidRPr="00944248">
        <w:rPr>
          <w:bCs/>
          <w:lang w:val="ro-RO"/>
        </w:rPr>
        <w:lastRenderedPageBreak/>
        <w:t>Lista figurilor</w:t>
      </w:r>
      <w:bookmarkEnd w:id="0"/>
      <w:bookmarkEnd w:id="1"/>
      <w:bookmarkEnd w:id="2"/>
      <w:bookmarkEnd w:id="3"/>
      <w:bookmarkEnd w:id="4"/>
      <w:bookmarkEnd w:id="5"/>
      <w:bookmarkEnd w:id="6"/>
      <w:bookmarkEnd w:id="7"/>
    </w:p>
    <w:p w:rsidR="00BF3A86" w:rsidRPr="00944248" w:rsidRDefault="00E83EBE">
      <w:pPr>
        <w:pStyle w:val="TableofFigures"/>
        <w:tabs>
          <w:tab w:val="right" w:leader="dot" w:pos="9514"/>
        </w:tabs>
        <w:rPr>
          <w:rFonts w:asciiTheme="minorHAnsi" w:eastAsiaTheme="minorEastAsia" w:hAnsiTheme="minorHAnsi" w:cstheme="minorBidi"/>
          <w:szCs w:val="22"/>
          <w:lang w:val="ro-RO" w:eastAsia="en-US"/>
        </w:rPr>
      </w:pPr>
      <w:r w:rsidRPr="00944248">
        <w:rPr>
          <w:lang w:val="ro-RO"/>
        </w:rPr>
        <w:fldChar w:fldCharType="begin"/>
      </w:r>
      <w:r w:rsidRPr="00944248">
        <w:rPr>
          <w:lang w:val="ro-RO"/>
        </w:rPr>
        <w:instrText xml:space="preserve"> TOC \h \z \c "Figure" </w:instrText>
      </w:r>
      <w:r w:rsidRPr="00944248">
        <w:rPr>
          <w:lang w:val="ro-RO"/>
        </w:rPr>
        <w:fldChar w:fldCharType="separate"/>
      </w:r>
      <w:hyperlink w:anchor="_Toc535158333" w:history="1">
        <w:r w:rsidR="00BF3A86" w:rsidRPr="00944248">
          <w:rPr>
            <w:rStyle w:val="Hyperlink"/>
            <w:lang w:val="ro-RO"/>
          </w:rPr>
          <w:t>Figura 1 Decontarea OTS-OTS realizată în funcție de produs</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_Toc535158333 \h </w:instrText>
        </w:r>
        <w:r w:rsidR="00BF3A86" w:rsidRPr="00944248">
          <w:rPr>
            <w:webHidden/>
            <w:lang w:val="ro-RO"/>
          </w:rPr>
        </w:r>
        <w:r w:rsidR="00BF3A86" w:rsidRPr="00944248">
          <w:rPr>
            <w:webHidden/>
            <w:lang w:val="ro-RO"/>
          </w:rPr>
          <w:fldChar w:fldCharType="separate"/>
        </w:r>
        <w:r w:rsidR="00BF3A86" w:rsidRPr="00944248">
          <w:rPr>
            <w:webHidden/>
            <w:lang w:val="ro-RO"/>
          </w:rPr>
          <w:t>9</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34" w:history="1">
        <w:r w:rsidR="00BF3A86" w:rsidRPr="00944248">
          <w:rPr>
            <w:rStyle w:val="Hyperlink"/>
            <w:lang w:val="ro-RO"/>
          </w:rPr>
          <w:t>Figura 2: Ilustrarea volumului decontat</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_Toc535158334 \h </w:instrText>
        </w:r>
        <w:r w:rsidR="00BF3A86" w:rsidRPr="00944248">
          <w:rPr>
            <w:webHidden/>
            <w:lang w:val="ro-RO"/>
          </w:rPr>
        </w:r>
        <w:r w:rsidR="00BF3A86" w:rsidRPr="00944248">
          <w:rPr>
            <w:webHidden/>
            <w:lang w:val="ro-RO"/>
          </w:rPr>
          <w:fldChar w:fldCharType="separate"/>
        </w:r>
        <w:r w:rsidR="00BF3A86" w:rsidRPr="00944248">
          <w:rPr>
            <w:webHidden/>
            <w:lang w:val="ro-RO"/>
          </w:rPr>
          <w:t>11</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35" w:history="1">
        <w:r w:rsidR="00BF3A86" w:rsidRPr="00944248">
          <w:rPr>
            <w:rStyle w:val="Hyperlink"/>
            <w:lang w:val="ro-RO"/>
          </w:rPr>
          <w:t>Figura 3: Scenariu de exemplu</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_Toc535158335 \h </w:instrText>
        </w:r>
        <w:r w:rsidR="00BF3A86" w:rsidRPr="00944248">
          <w:rPr>
            <w:webHidden/>
            <w:lang w:val="ro-RO"/>
          </w:rPr>
        </w:r>
        <w:r w:rsidR="00BF3A86" w:rsidRPr="00944248">
          <w:rPr>
            <w:webHidden/>
            <w:lang w:val="ro-RO"/>
          </w:rPr>
          <w:fldChar w:fldCharType="separate"/>
        </w:r>
        <w:r w:rsidR="00BF3A86" w:rsidRPr="00944248">
          <w:rPr>
            <w:webHidden/>
            <w:lang w:val="ro-RO"/>
          </w:rPr>
          <w:t>12</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36" w:history="1">
        <w:r w:rsidR="00BF3A86" w:rsidRPr="00944248">
          <w:rPr>
            <w:rStyle w:val="Hyperlink"/>
            <w:lang w:val="ro-RO"/>
          </w:rPr>
          <w:t>Figura 4: Rezultatul iterației nerestricționate</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_Toc535158336 \h </w:instrText>
        </w:r>
        <w:r w:rsidR="00BF3A86" w:rsidRPr="00944248">
          <w:rPr>
            <w:webHidden/>
            <w:lang w:val="ro-RO"/>
          </w:rPr>
        </w:r>
        <w:r w:rsidR="00BF3A86" w:rsidRPr="00944248">
          <w:rPr>
            <w:webHidden/>
            <w:lang w:val="ro-RO"/>
          </w:rPr>
          <w:fldChar w:fldCharType="separate"/>
        </w:r>
        <w:r w:rsidR="00BF3A86" w:rsidRPr="00944248">
          <w:rPr>
            <w:webHidden/>
            <w:lang w:val="ro-RO"/>
          </w:rPr>
          <w:t>13</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37" w:history="1">
        <w:r w:rsidR="00BF3A86" w:rsidRPr="00944248">
          <w:rPr>
            <w:rStyle w:val="Hyperlink"/>
            <w:lang w:val="ro-RO"/>
          </w:rPr>
          <w:t>Figura 5: Rezultatul decontării OTS-OTS pentru iterația nerestricționată</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_Toc535158337 \h </w:instrText>
        </w:r>
        <w:r w:rsidR="00BF3A86" w:rsidRPr="00944248">
          <w:rPr>
            <w:webHidden/>
            <w:lang w:val="ro-RO"/>
          </w:rPr>
        </w:r>
        <w:r w:rsidR="00BF3A86" w:rsidRPr="00944248">
          <w:rPr>
            <w:webHidden/>
            <w:lang w:val="ro-RO"/>
          </w:rPr>
          <w:fldChar w:fldCharType="separate"/>
        </w:r>
        <w:r w:rsidR="00BF3A86" w:rsidRPr="00944248">
          <w:rPr>
            <w:webHidden/>
            <w:lang w:val="ro-RO"/>
          </w:rPr>
          <w:t>13</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38" w:history="1">
        <w:r w:rsidR="00BF3A86" w:rsidRPr="00944248">
          <w:rPr>
            <w:rStyle w:val="Hyperlink"/>
            <w:lang w:val="ro-RO"/>
          </w:rPr>
          <w:t>Figura 6: Rezultatele iterației restricționate</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_Toc535158338 \h </w:instrText>
        </w:r>
        <w:r w:rsidR="00BF3A86" w:rsidRPr="00944248">
          <w:rPr>
            <w:webHidden/>
            <w:lang w:val="ro-RO"/>
          </w:rPr>
        </w:r>
        <w:r w:rsidR="00BF3A86" w:rsidRPr="00944248">
          <w:rPr>
            <w:webHidden/>
            <w:lang w:val="ro-RO"/>
          </w:rPr>
          <w:fldChar w:fldCharType="separate"/>
        </w:r>
        <w:r w:rsidR="00BF3A86" w:rsidRPr="00944248">
          <w:rPr>
            <w:webHidden/>
            <w:lang w:val="ro-RO"/>
          </w:rPr>
          <w:t>14</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39" w:history="1">
        <w:r w:rsidR="00BF3A86" w:rsidRPr="00944248">
          <w:rPr>
            <w:rStyle w:val="Hyperlink"/>
            <w:lang w:val="ro-RO"/>
          </w:rPr>
          <w:t>Figura 7: Rezultatul decontării OTS-OTS pentru iterația restricționată</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_Toc535158339 \h </w:instrText>
        </w:r>
        <w:r w:rsidR="00BF3A86" w:rsidRPr="00944248">
          <w:rPr>
            <w:webHidden/>
            <w:lang w:val="ro-RO"/>
          </w:rPr>
        </w:r>
        <w:r w:rsidR="00BF3A86" w:rsidRPr="00944248">
          <w:rPr>
            <w:webHidden/>
            <w:lang w:val="ro-RO"/>
          </w:rPr>
          <w:fldChar w:fldCharType="separate"/>
        </w:r>
        <w:r w:rsidR="00BF3A86" w:rsidRPr="00944248">
          <w:rPr>
            <w:webHidden/>
            <w:lang w:val="ro-RO"/>
          </w:rPr>
          <w:t>16</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40" w:history="1">
        <w:r w:rsidR="00BF3A86" w:rsidRPr="00944248">
          <w:rPr>
            <w:rStyle w:val="Hyperlink"/>
            <w:lang w:val="ro-RO"/>
          </w:rPr>
          <w:t>Figura 8: Exemplu de distribuție a volumului DA</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_Toc535158340 \h </w:instrText>
        </w:r>
        <w:r w:rsidR="00BF3A86" w:rsidRPr="00944248">
          <w:rPr>
            <w:webHidden/>
            <w:lang w:val="ro-RO"/>
          </w:rPr>
        </w:r>
        <w:r w:rsidR="00BF3A86" w:rsidRPr="00944248">
          <w:rPr>
            <w:webHidden/>
            <w:lang w:val="ro-RO"/>
          </w:rPr>
          <w:fldChar w:fldCharType="separate"/>
        </w:r>
        <w:r w:rsidR="00BF3A86" w:rsidRPr="00944248">
          <w:rPr>
            <w:webHidden/>
            <w:lang w:val="ro-RO"/>
          </w:rPr>
          <w:t>17</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41" w:history="1">
        <w:r w:rsidR="00BF3A86" w:rsidRPr="00944248">
          <w:rPr>
            <w:rStyle w:val="Hyperlink"/>
            <w:lang w:val="ro-RO"/>
          </w:rPr>
          <w:t>Figura 9: Volumul decontării OTS-OTS bazat pe rezultatul AOF</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_Toc535158341 \h </w:instrText>
        </w:r>
        <w:r w:rsidR="00BF3A86" w:rsidRPr="00944248">
          <w:rPr>
            <w:webHidden/>
            <w:lang w:val="ro-RO"/>
          </w:rPr>
        </w:r>
        <w:r w:rsidR="00BF3A86" w:rsidRPr="00944248">
          <w:rPr>
            <w:webHidden/>
            <w:lang w:val="ro-RO"/>
          </w:rPr>
          <w:fldChar w:fldCharType="separate"/>
        </w:r>
        <w:r w:rsidR="00BF3A86" w:rsidRPr="00944248">
          <w:rPr>
            <w:webHidden/>
            <w:lang w:val="ro-RO"/>
          </w:rPr>
          <w:t>19</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42" w:history="1">
        <w:r w:rsidR="00BF3A86" w:rsidRPr="00944248">
          <w:rPr>
            <w:rStyle w:val="Hyperlink"/>
            <w:lang w:val="ro-RO"/>
          </w:rPr>
          <w:t>Figura 10: Decontarea OTS-OTS bazată pe activarea aRRF simulată și efectivă</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_Toc535158342 \h </w:instrText>
        </w:r>
        <w:r w:rsidR="00BF3A86" w:rsidRPr="00944248">
          <w:rPr>
            <w:webHidden/>
            <w:lang w:val="ro-RO"/>
          </w:rPr>
        </w:r>
        <w:r w:rsidR="00BF3A86" w:rsidRPr="00944248">
          <w:rPr>
            <w:webHidden/>
            <w:lang w:val="ro-RO"/>
          </w:rPr>
          <w:fldChar w:fldCharType="separate"/>
        </w:r>
        <w:r w:rsidR="00BF3A86" w:rsidRPr="00944248">
          <w:rPr>
            <w:webHidden/>
            <w:lang w:val="ro-RO"/>
          </w:rPr>
          <w:t>19</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43" w:history="1">
        <w:r w:rsidR="00BF3A86" w:rsidRPr="00944248">
          <w:rPr>
            <w:rStyle w:val="Hyperlink"/>
            <w:lang w:val="ro-RO"/>
          </w:rPr>
          <w:t>Figura 11: Determinarea prețului de decontare în cazul compensării perfecte a volumelor aRRF compensate</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_Toc535158343 \h </w:instrText>
        </w:r>
        <w:r w:rsidR="00BF3A86" w:rsidRPr="00944248">
          <w:rPr>
            <w:webHidden/>
            <w:lang w:val="ro-RO"/>
          </w:rPr>
        </w:r>
        <w:r w:rsidR="00BF3A86" w:rsidRPr="00944248">
          <w:rPr>
            <w:webHidden/>
            <w:lang w:val="ro-RO"/>
          </w:rPr>
          <w:fldChar w:fldCharType="separate"/>
        </w:r>
        <w:r w:rsidR="00BF3A86" w:rsidRPr="00944248">
          <w:rPr>
            <w:webHidden/>
            <w:lang w:val="ro-RO"/>
          </w:rPr>
          <w:t>21</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44" w:history="1">
        <w:r w:rsidR="00BF3A86" w:rsidRPr="00944248">
          <w:rPr>
            <w:rStyle w:val="Hyperlink"/>
            <w:lang w:val="ro-RO"/>
          </w:rPr>
          <w:t xml:space="preserve">Figura 12: Exemplu de metodă de stabilire a prețului de tip </w:t>
        </w:r>
        <w:r w:rsidR="00BF3A86" w:rsidRPr="00944248">
          <w:rPr>
            <w:rStyle w:val="Hyperlink"/>
            <w:i/>
            <w:iCs/>
            <w:lang w:val="ro-RO"/>
          </w:rPr>
          <w:t>„pay-as-bid”</w:t>
        </w:r>
        <w:r w:rsidR="00BF3A86" w:rsidRPr="00944248">
          <w:rPr>
            <w:rStyle w:val="Hyperlink"/>
            <w:lang w:val="ro-RO"/>
          </w:rPr>
          <w:t>: valoarea de creștere a activării aRRF evitate</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_Toc535158344 \h </w:instrText>
        </w:r>
        <w:r w:rsidR="00BF3A86" w:rsidRPr="00944248">
          <w:rPr>
            <w:webHidden/>
            <w:lang w:val="ro-RO"/>
          </w:rPr>
        </w:r>
        <w:r w:rsidR="00BF3A86" w:rsidRPr="00944248">
          <w:rPr>
            <w:webHidden/>
            <w:lang w:val="ro-RO"/>
          </w:rPr>
          <w:fldChar w:fldCharType="separate"/>
        </w:r>
        <w:r w:rsidR="00BF3A86" w:rsidRPr="00944248">
          <w:rPr>
            <w:webHidden/>
            <w:lang w:val="ro-RO"/>
          </w:rPr>
          <w:t>23</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45" w:history="1">
        <w:r w:rsidR="00BF3A86" w:rsidRPr="00944248">
          <w:rPr>
            <w:rStyle w:val="Hyperlink"/>
            <w:lang w:val="ro-RO"/>
          </w:rPr>
          <w:t>Figura 13: Exemplu de metodă de stabilire a prețului de tip „pay-as-bid”: valoarea de reducere a activării aRRF evitate</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_Toc535158345 \h </w:instrText>
        </w:r>
        <w:r w:rsidR="00BF3A86" w:rsidRPr="00944248">
          <w:rPr>
            <w:webHidden/>
            <w:lang w:val="ro-RO"/>
          </w:rPr>
        </w:r>
        <w:r w:rsidR="00BF3A86" w:rsidRPr="00944248">
          <w:rPr>
            <w:webHidden/>
            <w:lang w:val="ro-RO"/>
          </w:rPr>
          <w:fldChar w:fldCharType="separate"/>
        </w:r>
        <w:r w:rsidR="00BF3A86" w:rsidRPr="00944248">
          <w:rPr>
            <w:webHidden/>
            <w:lang w:val="ro-RO"/>
          </w:rPr>
          <w:t>23</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46" w:history="1">
        <w:r w:rsidR="00BF3A86" w:rsidRPr="00944248">
          <w:rPr>
            <w:rStyle w:val="Hyperlink"/>
            <w:lang w:val="ro-RO"/>
          </w:rPr>
          <w:t>Figura 14: Exemplu de metodă de stabilire a prețului marginal: valoarea de creștere a activării aRRF evitate</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_Toc535158346 \h </w:instrText>
        </w:r>
        <w:r w:rsidR="00BF3A86" w:rsidRPr="00944248">
          <w:rPr>
            <w:webHidden/>
            <w:lang w:val="ro-RO"/>
          </w:rPr>
        </w:r>
        <w:r w:rsidR="00BF3A86" w:rsidRPr="00944248">
          <w:rPr>
            <w:webHidden/>
            <w:lang w:val="ro-RO"/>
          </w:rPr>
          <w:fldChar w:fldCharType="separate"/>
        </w:r>
        <w:r w:rsidR="00BF3A86" w:rsidRPr="00944248">
          <w:rPr>
            <w:webHidden/>
            <w:lang w:val="ro-RO"/>
          </w:rPr>
          <w:t>24</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47" w:history="1">
        <w:r w:rsidR="00BF3A86" w:rsidRPr="00944248">
          <w:rPr>
            <w:rStyle w:val="Hyperlink"/>
            <w:lang w:val="ro-RO"/>
          </w:rPr>
          <w:t>Figura 15: Exemplu de metodă de stabilire a prețului marginal: valoarea de reducere a activării aRRF evitate</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_Toc535158347 \h </w:instrText>
        </w:r>
        <w:r w:rsidR="00BF3A86" w:rsidRPr="00944248">
          <w:rPr>
            <w:webHidden/>
            <w:lang w:val="ro-RO"/>
          </w:rPr>
        </w:r>
        <w:r w:rsidR="00BF3A86" w:rsidRPr="00944248">
          <w:rPr>
            <w:webHidden/>
            <w:lang w:val="ro-RO"/>
          </w:rPr>
          <w:fldChar w:fldCharType="separate"/>
        </w:r>
        <w:r w:rsidR="00BF3A86" w:rsidRPr="00944248">
          <w:rPr>
            <w:webHidden/>
            <w:lang w:val="ro-RO"/>
          </w:rPr>
          <w:t>24</w:t>
        </w:r>
        <w:r w:rsidR="00BF3A86" w:rsidRPr="00944248">
          <w:rPr>
            <w:webHidden/>
            <w:lang w:val="ro-RO"/>
          </w:rPr>
          <w:fldChar w:fldCharType="end"/>
        </w:r>
      </w:hyperlink>
    </w:p>
    <w:p w:rsidR="00E83EBE" w:rsidRPr="00944248" w:rsidRDefault="00E83EBE" w:rsidP="006114F2">
      <w:pPr>
        <w:pStyle w:val="textregular"/>
        <w:rPr>
          <w:lang w:val="ro-RO"/>
        </w:rPr>
      </w:pPr>
      <w:r w:rsidRPr="00944248">
        <w:rPr>
          <w:lang w:val="ro-RO"/>
        </w:rPr>
        <w:fldChar w:fldCharType="end"/>
      </w:r>
    </w:p>
    <w:p w:rsidR="00E83EBE" w:rsidRPr="00944248" w:rsidRDefault="00E83EBE" w:rsidP="00E83EBE">
      <w:pPr>
        <w:pStyle w:val="Headline14pt"/>
        <w:pageBreakBefore w:val="0"/>
        <w:jc w:val="both"/>
        <w:outlineLvl w:val="0"/>
        <w:rPr>
          <w:lang w:val="ro-RO"/>
        </w:rPr>
      </w:pPr>
      <w:bookmarkStart w:id="8" w:name="_Toc531787023"/>
      <w:bookmarkStart w:id="9" w:name="_Toc531687670"/>
      <w:bookmarkStart w:id="10" w:name="_Toc531268849"/>
      <w:bookmarkStart w:id="11" w:name="_Toc535158311"/>
      <w:bookmarkStart w:id="12" w:name="_Toc520993435"/>
      <w:bookmarkStart w:id="13" w:name="_Toc520999246"/>
      <w:bookmarkStart w:id="14" w:name="_Toc522181337"/>
      <w:bookmarkStart w:id="15" w:name="_Toc522195274"/>
      <w:bookmarkStart w:id="16" w:name="_Toc523816541"/>
      <w:r w:rsidRPr="00944248">
        <w:rPr>
          <w:bCs/>
          <w:lang w:val="ro-RO"/>
        </w:rPr>
        <w:t>Lista tabelelor</w:t>
      </w:r>
      <w:bookmarkEnd w:id="8"/>
      <w:bookmarkEnd w:id="9"/>
      <w:bookmarkEnd w:id="10"/>
      <w:bookmarkEnd w:id="11"/>
    </w:p>
    <w:bookmarkEnd w:id="12"/>
    <w:bookmarkEnd w:id="13"/>
    <w:bookmarkEnd w:id="14"/>
    <w:bookmarkEnd w:id="15"/>
    <w:bookmarkEnd w:id="16"/>
    <w:p w:rsidR="00BF3A86" w:rsidRPr="00944248" w:rsidRDefault="00A668B6">
      <w:pPr>
        <w:pStyle w:val="TableofFigures"/>
        <w:tabs>
          <w:tab w:val="right" w:leader="dot" w:pos="9514"/>
        </w:tabs>
        <w:rPr>
          <w:rFonts w:asciiTheme="minorHAnsi" w:eastAsiaTheme="minorEastAsia" w:hAnsiTheme="minorHAnsi" w:cstheme="minorBidi"/>
          <w:szCs w:val="22"/>
          <w:lang w:val="ro-RO" w:eastAsia="en-US"/>
        </w:rPr>
      </w:pPr>
      <w:r w:rsidRPr="00944248">
        <w:rPr>
          <w:lang w:val="ro-RO"/>
        </w:rPr>
        <w:fldChar w:fldCharType="begin"/>
      </w:r>
      <w:r w:rsidRPr="00944248">
        <w:rPr>
          <w:lang w:val="ro-RO"/>
        </w:rPr>
        <w:instrText xml:space="preserve"> TOC \h \z \c "Table" </w:instrText>
      </w:r>
      <w:r w:rsidRPr="00944248">
        <w:rPr>
          <w:lang w:val="ro-RO"/>
        </w:rPr>
        <w:fldChar w:fldCharType="separate"/>
      </w:r>
      <w:hyperlink w:anchor="_Toc535158348" w:history="1">
        <w:r w:rsidR="00BF3A86" w:rsidRPr="00944248">
          <w:rPr>
            <w:rStyle w:val="Hyperlink"/>
            <w:lang w:val="ro-RO"/>
          </w:rPr>
          <w:t>Tabelul 1: Direcția plăților</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_Toc535158348 \h </w:instrText>
        </w:r>
        <w:r w:rsidR="00BF3A86" w:rsidRPr="00944248">
          <w:rPr>
            <w:webHidden/>
            <w:lang w:val="ro-RO"/>
          </w:rPr>
        </w:r>
        <w:r w:rsidR="00BF3A86" w:rsidRPr="00944248">
          <w:rPr>
            <w:webHidden/>
            <w:lang w:val="ro-RO"/>
          </w:rPr>
          <w:fldChar w:fldCharType="separate"/>
        </w:r>
        <w:r w:rsidR="00BF3A86" w:rsidRPr="00944248">
          <w:rPr>
            <w:webHidden/>
            <w:lang w:val="ro-RO"/>
          </w:rPr>
          <w:t>10</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49" w:history="1">
        <w:r w:rsidR="00BF3A86" w:rsidRPr="00944248">
          <w:rPr>
            <w:rStyle w:val="Hyperlink"/>
            <w:lang w:val="ro-RO"/>
          </w:rPr>
          <w:t>Tabelul 2: Oferte FSE</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_Toc535158349 \h </w:instrText>
        </w:r>
        <w:r w:rsidR="00BF3A86" w:rsidRPr="00944248">
          <w:rPr>
            <w:webHidden/>
            <w:lang w:val="ro-RO"/>
          </w:rPr>
        </w:r>
        <w:r w:rsidR="00BF3A86" w:rsidRPr="00944248">
          <w:rPr>
            <w:webHidden/>
            <w:lang w:val="ro-RO"/>
          </w:rPr>
          <w:fldChar w:fldCharType="separate"/>
        </w:r>
        <w:r w:rsidR="00BF3A86" w:rsidRPr="00944248">
          <w:rPr>
            <w:webHidden/>
            <w:lang w:val="ro-RO"/>
          </w:rPr>
          <w:t>12</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50" w:history="1">
        <w:r w:rsidR="00BF3A86" w:rsidRPr="00944248">
          <w:rPr>
            <w:rStyle w:val="Hyperlink"/>
            <w:lang w:val="ro-RO"/>
          </w:rPr>
          <w:t>Tabelul 3: Ofertele FSE și cantitățile selectate pentru iterația UC</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_Toc535158350 \h </w:instrText>
        </w:r>
        <w:r w:rsidR="00BF3A86" w:rsidRPr="00944248">
          <w:rPr>
            <w:webHidden/>
            <w:lang w:val="ro-RO"/>
          </w:rPr>
        </w:r>
        <w:r w:rsidR="00BF3A86" w:rsidRPr="00944248">
          <w:rPr>
            <w:webHidden/>
            <w:lang w:val="ro-RO"/>
          </w:rPr>
          <w:fldChar w:fldCharType="separate"/>
        </w:r>
        <w:r w:rsidR="00BF3A86" w:rsidRPr="00944248">
          <w:rPr>
            <w:webHidden/>
            <w:lang w:val="ro-RO"/>
          </w:rPr>
          <w:t>13</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51" w:history="1">
        <w:r w:rsidR="00BF3A86" w:rsidRPr="00944248">
          <w:rPr>
            <w:rStyle w:val="Hyperlink"/>
            <w:lang w:val="ro-RO"/>
          </w:rPr>
          <w:t>Tabelul 4: Ofertele FSE și cantitățile selectate pentru iterația restricționată</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_Toc535158351 \h </w:instrText>
        </w:r>
        <w:r w:rsidR="00BF3A86" w:rsidRPr="00944248">
          <w:rPr>
            <w:webHidden/>
            <w:lang w:val="ro-RO"/>
          </w:rPr>
        </w:r>
        <w:r w:rsidR="00BF3A86" w:rsidRPr="00944248">
          <w:rPr>
            <w:webHidden/>
            <w:lang w:val="ro-RO"/>
          </w:rPr>
          <w:fldChar w:fldCharType="separate"/>
        </w:r>
        <w:r w:rsidR="00BF3A86" w:rsidRPr="00944248">
          <w:rPr>
            <w:webHidden/>
            <w:lang w:val="ro-RO"/>
          </w:rPr>
          <w:t>14</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52" w:history="1">
        <w:r w:rsidR="00BF3A86" w:rsidRPr="00944248">
          <w:rPr>
            <w:rStyle w:val="Hyperlink"/>
            <w:lang w:val="ro-RO"/>
          </w:rPr>
          <w:t>Tabelul 5: Volume ofertate și majorări de preț generate de iterația restricționată</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_Toc535158352 \h </w:instrText>
        </w:r>
        <w:r w:rsidR="00BF3A86" w:rsidRPr="00944248">
          <w:rPr>
            <w:webHidden/>
            <w:lang w:val="ro-RO"/>
          </w:rPr>
        </w:r>
        <w:r w:rsidR="00BF3A86" w:rsidRPr="00944248">
          <w:rPr>
            <w:webHidden/>
            <w:lang w:val="ro-RO"/>
          </w:rPr>
          <w:fldChar w:fldCharType="separate"/>
        </w:r>
        <w:r w:rsidR="00BF3A86" w:rsidRPr="00944248">
          <w:rPr>
            <w:webHidden/>
            <w:lang w:val="ro-RO"/>
          </w:rPr>
          <w:t>15</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53" w:history="1">
        <w:r w:rsidR="00BF3A86" w:rsidRPr="00944248">
          <w:rPr>
            <w:rStyle w:val="Hyperlink"/>
            <w:lang w:val="ro-RO"/>
          </w:rPr>
          <w:t>Tabelul 6: Costurile cu echilibrarea ale unui OTS ce livrează energie de echilibrare în scopul restricțiilor de sistem</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_Toc535158353 \h </w:instrText>
        </w:r>
        <w:r w:rsidR="00BF3A86" w:rsidRPr="00944248">
          <w:rPr>
            <w:webHidden/>
            <w:lang w:val="ro-RO"/>
          </w:rPr>
        </w:r>
        <w:r w:rsidR="00BF3A86" w:rsidRPr="00944248">
          <w:rPr>
            <w:webHidden/>
            <w:lang w:val="ro-RO"/>
          </w:rPr>
          <w:fldChar w:fldCharType="separate"/>
        </w:r>
        <w:r w:rsidR="00BF3A86" w:rsidRPr="00944248">
          <w:rPr>
            <w:webHidden/>
            <w:lang w:val="ro-RO"/>
          </w:rPr>
          <w:t>16</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54" w:history="1">
        <w:r w:rsidR="00BF3A86" w:rsidRPr="00944248">
          <w:rPr>
            <w:rStyle w:val="Hyperlink"/>
            <w:lang w:val="ro-RO"/>
          </w:rPr>
          <w:t>Tabelul 7: Compensarea cererilor aRRF opuse</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_Toc535158354 \h </w:instrText>
        </w:r>
        <w:r w:rsidR="00BF3A86" w:rsidRPr="00944248">
          <w:rPr>
            <w:webHidden/>
            <w:lang w:val="ro-RO"/>
          </w:rPr>
        </w:r>
        <w:r w:rsidR="00BF3A86" w:rsidRPr="00944248">
          <w:rPr>
            <w:webHidden/>
            <w:lang w:val="ro-RO"/>
          </w:rPr>
          <w:fldChar w:fldCharType="separate"/>
        </w:r>
        <w:r w:rsidR="00BF3A86" w:rsidRPr="00944248">
          <w:rPr>
            <w:webHidden/>
            <w:lang w:val="ro-RO"/>
          </w:rPr>
          <w:t>21</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55" w:history="1">
        <w:r w:rsidR="00BF3A86" w:rsidRPr="00944248">
          <w:rPr>
            <w:rStyle w:val="Hyperlink"/>
            <w:lang w:val="ro-RO"/>
          </w:rPr>
          <w:t>Tabelul 8: variabile și convenții privind semnele pentru calculele următoare</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_Toc535158355 \h </w:instrText>
        </w:r>
        <w:r w:rsidR="00BF3A86" w:rsidRPr="00944248">
          <w:rPr>
            <w:webHidden/>
            <w:lang w:val="ro-RO"/>
          </w:rPr>
        </w:r>
        <w:r w:rsidR="00BF3A86" w:rsidRPr="00944248">
          <w:rPr>
            <w:webHidden/>
            <w:lang w:val="ro-RO"/>
          </w:rPr>
          <w:fldChar w:fldCharType="separate"/>
        </w:r>
        <w:r w:rsidR="00BF3A86" w:rsidRPr="00944248">
          <w:rPr>
            <w:webHidden/>
            <w:lang w:val="ro-RO"/>
          </w:rPr>
          <w:t>26</w:t>
        </w:r>
        <w:r w:rsidR="00BF3A86" w:rsidRPr="00944248">
          <w:rPr>
            <w:webHidden/>
            <w:lang w:val="ro-RO"/>
          </w:rPr>
          <w:fldChar w:fldCharType="end"/>
        </w:r>
      </w:hyperlink>
    </w:p>
    <w:p w:rsidR="00BF3A86" w:rsidRPr="00944248" w:rsidRDefault="00BB5A8C">
      <w:pPr>
        <w:pStyle w:val="TableofFigures"/>
        <w:tabs>
          <w:tab w:val="right" w:leader="dot" w:pos="9514"/>
        </w:tabs>
        <w:rPr>
          <w:rFonts w:asciiTheme="minorHAnsi" w:eastAsiaTheme="minorEastAsia" w:hAnsiTheme="minorHAnsi" w:cstheme="minorBidi"/>
          <w:szCs w:val="22"/>
          <w:lang w:val="ro-RO" w:eastAsia="en-US"/>
        </w:rPr>
      </w:pPr>
      <w:hyperlink w:anchor="_Toc535158356" w:history="1">
        <w:r w:rsidR="00BF3A86" w:rsidRPr="00944248">
          <w:rPr>
            <w:rStyle w:val="Hyperlink"/>
            <w:lang w:val="ro-RO"/>
          </w:rPr>
          <w:t>Tabelul 9: Exemplu complet pentru decontarea ajustată</w:t>
        </w:r>
        <w:r w:rsidR="00BF3A86" w:rsidRPr="00944248">
          <w:rPr>
            <w:webHidden/>
            <w:lang w:val="ro-RO"/>
          </w:rPr>
          <w:tab/>
        </w:r>
        <w:r w:rsidR="00BF3A86" w:rsidRPr="00944248">
          <w:rPr>
            <w:webHidden/>
            <w:lang w:val="ro-RO"/>
          </w:rPr>
          <w:fldChar w:fldCharType="begin"/>
        </w:r>
        <w:r w:rsidR="00BF3A86" w:rsidRPr="00944248">
          <w:rPr>
            <w:webHidden/>
            <w:lang w:val="ro-RO"/>
          </w:rPr>
          <w:instrText xml:space="preserve"> PAGEREF _Toc535158356 \h </w:instrText>
        </w:r>
        <w:r w:rsidR="00BF3A86" w:rsidRPr="00944248">
          <w:rPr>
            <w:webHidden/>
            <w:lang w:val="ro-RO"/>
          </w:rPr>
        </w:r>
        <w:r w:rsidR="00BF3A86" w:rsidRPr="00944248">
          <w:rPr>
            <w:webHidden/>
            <w:lang w:val="ro-RO"/>
          </w:rPr>
          <w:fldChar w:fldCharType="separate"/>
        </w:r>
        <w:r w:rsidR="00BF3A86" w:rsidRPr="00944248">
          <w:rPr>
            <w:webHidden/>
            <w:lang w:val="ro-RO"/>
          </w:rPr>
          <w:t>28</w:t>
        </w:r>
        <w:r w:rsidR="00BF3A86" w:rsidRPr="00944248">
          <w:rPr>
            <w:webHidden/>
            <w:lang w:val="ro-RO"/>
          </w:rPr>
          <w:fldChar w:fldCharType="end"/>
        </w:r>
      </w:hyperlink>
    </w:p>
    <w:p w:rsidR="0089092C" w:rsidRPr="00944248" w:rsidRDefault="00A668B6" w:rsidP="0089092C">
      <w:pPr>
        <w:rPr>
          <w:rFonts w:ascii="Times New Roman" w:hAnsi="Times New Roman"/>
          <w:lang w:val="ro-RO"/>
        </w:rPr>
      </w:pPr>
      <w:r w:rsidRPr="00944248">
        <w:rPr>
          <w:rFonts w:ascii="Times New Roman" w:hAnsi="Times New Roman"/>
          <w:lang w:val="ro-RO"/>
        </w:rPr>
        <w:fldChar w:fldCharType="end"/>
      </w:r>
    </w:p>
    <w:p w:rsidR="00CD3681" w:rsidRPr="00944248" w:rsidRDefault="00CD3681" w:rsidP="002E146C">
      <w:pPr>
        <w:pStyle w:val="Headline14pt"/>
        <w:jc w:val="both"/>
        <w:outlineLvl w:val="0"/>
        <w:rPr>
          <w:lang w:val="ro-RO"/>
        </w:rPr>
      </w:pPr>
      <w:bookmarkStart w:id="17" w:name="_Toc531787024"/>
      <w:bookmarkStart w:id="18" w:name="_Toc531687671"/>
      <w:bookmarkStart w:id="19" w:name="_Toc523816542"/>
      <w:bookmarkStart w:id="20" w:name="_Toc522195275"/>
      <w:bookmarkStart w:id="21" w:name="_Toc520999247"/>
      <w:bookmarkStart w:id="22" w:name="_Toc535158312"/>
      <w:bookmarkStart w:id="23" w:name="_Toc522181338"/>
      <w:bookmarkStart w:id="24" w:name="_Toc520316931"/>
      <w:r w:rsidRPr="00944248">
        <w:rPr>
          <w:bCs/>
          <w:lang w:val="ro-RO"/>
        </w:rPr>
        <w:lastRenderedPageBreak/>
        <w:t>Definiții și abrevieri</w:t>
      </w:r>
      <w:bookmarkEnd w:id="17"/>
      <w:bookmarkEnd w:id="18"/>
      <w:bookmarkEnd w:id="19"/>
      <w:bookmarkEnd w:id="20"/>
      <w:bookmarkEnd w:id="21"/>
      <w:bookmarkEnd w:id="22"/>
    </w:p>
    <w:bookmarkEnd w:id="23"/>
    <w:p w:rsidR="007400D5" w:rsidRPr="00944248" w:rsidRDefault="007400D5" w:rsidP="00DD58FA">
      <w:pPr>
        <w:pStyle w:val="headline2"/>
        <w:numPr>
          <w:ilvl w:val="0"/>
          <w:numId w:val="9"/>
        </w:numPr>
        <w:rPr>
          <w:lang w:val="ro-RO"/>
        </w:rPr>
      </w:pPr>
      <w:r w:rsidRPr="00944248">
        <w:rPr>
          <w:lang w:val="ro-RO"/>
        </w:rPr>
        <w:t>Definiții</w:t>
      </w:r>
    </w:p>
    <w:p w:rsidR="00586954" w:rsidRPr="00944248" w:rsidRDefault="00586954" w:rsidP="00CD3681">
      <w:pPr>
        <w:pStyle w:val="textregular"/>
        <w:rPr>
          <w:lang w:val="ro-RO"/>
        </w:rPr>
      </w:pPr>
    </w:p>
    <w:p w:rsidR="00E87F14" w:rsidRPr="00944248" w:rsidRDefault="006E7EA6" w:rsidP="009930B5">
      <w:pPr>
        <w:pStyle w:val="textregular"/>
        <w:rPr>
          <w:sz w:val="20"/>
          <w:szCs w:val="22"/>
          <w:lang w:val="ro-RO"/>
        </w:rPr>
      </w:pPr>
      <w:r w:rsidRPr="00944248">
        <w:rPr>
          <w:szCs w:val="22"/>
          <w:lang w:val="ro-RO"/>
        </w:rPr>
        <w:t xml:space="preserve"> </w:t>
      </w:r>
      <w:r w:rsidRPr="00944248">
        <w:rPr>
          <w:b/>
          <w:bCs/>
          <w:sz w:val="20"/>
          <w:szCs w:val="22"/>
          <w:lang w:val="ro-RO"/>
        </w:rPr>
        <w:t>„granița de echilibrare aRRF”</w:t>
      </w:r>
      <w:r w:rsidRPr="00944248">
        <w:rPr>
          <w:sz w:val="20"/>
          <w:szCs w:val="22"/>
          <w:lang w:val="ro-RO"/>
        </w:rPr>
        <w:t xml:space="preserve"> reprezintă un set de linii de transport fizice care leagă zonele RFP adiacente ale OTS-urilor participante. Algoritmul de optimizare calculează transferul de putere la restabilirea automată a frecvenței pentru fiecare graniță de echilibrare aRRF. În sensul optimizării, fiecare graniță de echilibrare aRRF are o direcție negativă și pozitivă definită matematic pentru schimbul de putere la restabilirea automată a frecvenței;</w:t>
      </w:r>
    </w:p>
    <w:p w:rsidR="0051656A" w:rsidRPr="00944248" w:rsidRDefault="0051656A" w:rsidP="009930B5">
      <w:pPr>
        <w:pStyle w:val="textregular"/>
        <w:rPr>
          <w:sz w:val="20"/>
          <w:szCs w:val="22"/>
          <w:lang w:val="ro-RO"/>
        </w:rPr>
      </w:pPr>
      <w:r w:rsidRPr="00944248">
        <w:rPr>
          <w:b/>
          <w:bCs/>
          <w:sz w:val="20"/>
          <w:szCs w:val="22"/>
          <w:lang w:val="ro-RO"/>
        </w:rPr>
        <w:t>„Platforma aRRF”</w:t>
      </w:r>
      <w:r w:rsidRPr="00944248">
        <w:rPr>
          <w:sz w:val="20"/>
          <w:szCs w:val="22"/>
          <w:lang w:val="ro-RO"/>
        </w:rPr>
        <w:t xml:space="preserve"> înseamnă Platforma europeană pentru schimbul de energie de echilibrare din rezervele de restabilire a frecvenței cu activare automată;</w:t>
      </w:r>
    </w:p>
    <w:p w:rsidR="00205E3D" w:rsidRPr="00944248" w:rsidRDefault="0051656A" w:rsidP="009930B5">
      <w:pPr>
        <w:pStyle w:val="textregular"/>
        <w:rPr>
          <w:sz w:val="20"/>
          <w:szCs w:val="22"/>
          <w:lang w:val="ro-RO"/>
        </w:rPr>
      </w:pPr>
      <w:r w:rsidRPr="00944248">
        <w:rPr>
          <w:b/>
          <w:bCs/>
          <w:sz w:val="20"/>
          <w:szCs w:val="22"/>
          <w:lang w:val="ro-RO"/>
        </w:rPr>
        <w:t>„granița de echilibrare”</w:t>
      </w:r>
      <w:r w:rsidRPr="00944248">
        <w:rPr>
          <w:sz w:val="20"/>
          <w:szCs w:val="22"/>
          <w:lang w:val="ro-RO"/>
        </w:rPr>
        <w:t xml:space="preserve"> înseamnă o graniță de echilibrare RI, mRRF sau aRRF;</w:t>
      </w:r>
    </w:p>
    <w:p w:rsidR="0051656A" w:rsidRPr="00944248" w:rsidRDefault="00205E3D" w:rsidP="009930B5">
      <w:pPr>
        <w:pStyle w:val="textregular"/>
        <w:rPr>
          <w:sz w:val="20"/>
          <w:szCs w:val="22"/>
          <w:lang w:val="ro-RO"/>
        </w:rPr>
      </w:pPr>
      <w:r w:rsidRPr="00944248">
        <w:rPr>
          <w:b/>
          <w:bCs/>
          <w:sz w:val="20"/>
          <w:szCs w:val="22"/>
          <w:lang w:val="ro-RO"/>
        </w:rPr>
        <w:t>„veniturile din congestii de echilibrare”</w:t>
      </w:r>
      <w:r w:rsidRPr="00944248">
        <w:rPr>
          <w:sz w:val="20"/>
          <w:szCs w:val="22"/>
          <w:lang w:val="ro-RO"/>
        </w:rPr>
        <w:t xml:space="preserve"> înseamnă veniturile generate de schimbul de energie de echilibrare între zone necongestionate diferite și diferitele CBMP-uri rezultate;</w:t>
      </w:r>
    </w:p>
    <w:p w:rsidR="005701DC" w:rsidRPr="00944248" w:rsidRDefault="005701DC" w:rsidP="009930B5">
      <w:pPr>
        <w:pStyle w:val="textregular"/>
        <w:rPr>
          <w:sz w:val="20"/>
          <w:szCs w:val="22"/>
          <w:lang w:val="ro-RO"/>
        </w:rPr>
      </w:pPr>
      <w:r w:rsidRPr="00944248">
        <w:rPr>
          <w:b/>
          <w:bCs/>
          <w:sz w:val="20"/>
          <w:szCs w:val="22"/>
          <w:lang w:val="ro-RO"/>
        </w:rPr>
        <w:t>„perioada de stabilire a prețului energiei de echilibrare”</w:t>
      </w:r>
      <w:r w:rsidRPr="00944248">
        <w:rPr>
          <w:sz w:val="20"/>
          <w:szCs w:val="22"/>
          <w:lang w:val="ro-RO"/>
        </w:rPr>
        <w:t xml:space="preserve"> (numită în continuare „BEPP”) înseamnă intervalul de timp pentru care prețurile marginale transfrontaliere (numite în continuare „CBMP”) sunt calculate;</w:t>
      </w:r>
    </w:p>
    <w:p w:rsidR="00916F0C" w:rsidRPr="00944248" w:rsidRDefault="00916F0C" w:rsidP="009930B5">
      <w:pPr>
        <w:pStyle w:val="textregular"/>
        <w:rPr>
          <w:b/>
          <w:sz w:val="20"/>
          <w:szCs w:val="22"/>
          <w:lang w:val="ro-RO"/>
        </w:rPr>
      </w:pPr>
      <w:r w:rsidRPr="00944248">
        <w:rPr>
          <w:b/>
          <w:bCs/>
          <w:sz w:val="20"/>
          <w:szCs w:val="22"/>
          <w:lang w:val="ro-RO"/>
        </w:rPr>
        <w:t>„CBMP”</w:t>
      </w:r>
      <w:r w:rsidRPr="00944248">
        <w:rPr>
          <w:sz w:val="20"/>
          <w:szCs w:val="22"/>
          <w:lang w:val="ro-RO"/>
        </w:rPr>
        <w:t xml:space="preserve"> înseamnă prețul marginal transfrontalier calculat în conformitate cu propunerea privind stabilirea prețului;</w:t>
      </w:r>
    </w:p>
    <w:p w:rsidR="00E87F14" w:rsidRPr="00944248" w:rsidRDefault="00E87F14" w:rsidP="009930B5">
      <w:pPr>
        <w:pStyle w:val="textregular"/>
        <w:rPr>
          <w:sz w:val="20"/>
          <w:szCs w:val="22"/>
          <w:lang w:val="ro-RO"/>
        </w:rPr>
      </w:pPr>
      <w:r w:rsidRPr="00944248">
        <w:rPr>
          <w:b/>
          <w:bCs/>
          <w:sz w:val="20"/>
          <w:szCs w:val="22"/>
          <w:lang w:val="ro-RO"/>
        </w:rPr>
        <w:t>„limitele capacității transfrontaliere”</w:t>
      </w:r>
      <w:r w:rsidRPr="00944248">
        <w:rPr>
          <w:sz w:val="20"/>
          <w:szCs w:val="22"/>
          <w:lang w:val="ro-RO"/>
        </w:rPr>
        <w:t xml:space="preserve"> înseamnă limitele determinate în conformitate cu cadrele de punere în aplicare pentru schimbul de energie de echilibrare din rezervele de înlocuire, rezervele de restabilire a frecvenței cu activare manuală și automată precum și procesul de compensare a dezechilibrelor;</w:t>
      </w:r>
    </w:p>
    <w:p w:rsidR="00E15B85" w:rsidRPr="00944248" w:rsidRDefault="00B11620" w:rsidP="009930B5">
      <w:pPr>
        <w:pStyle w:val="textregular"/>
        <w:rPr>
          <w:sz w:val="20"/>
          <w:szCs w:val="22"/>
          <w:lang w:val="ro-RO"/>
        </w:rPr>
      </w:pPr>
      <w:r w:rsidRPr="00944248">
        <w:rPr>
          <w:b/>
          <w:bCs/>
          <w:sz w:val="20"/>
          <w:szCs w:val="22"/>
          <w:lang w:val="ro-RO"/>
        </w:rPr>
        <w:t>„cererea”</w:t>
      </w:r>
      <w:r w:rsidRPr="00944248">
        <w:rPr>
          <w:sz w:val="20"/>
          <w:szCs w:val="22"/>
          <w:lang w:val="ro-RO"/>
        </w:rPr>
        <w:t xml:space="preserve"> înseamnă cererea unui OTS de activare a oricăreia dintre ofertele de produs standard de echilibrare;</w:t>
      </w:r>
    </w:p>
    <w:p w:rsidR="00691748" w:rsidRPr="00944248" w:rsidRDefault="00691748" w:rsidP="009930B5">
      <w:pPr>
        <w:pStyle w:val="textregular"/>
        <w:rPr>
          <w:b/>
          <w:sz w:val="20"/>
          <w:szCs w:val="22"/>
          <w:lang w:val="ro-RO"/>
        </w:rPr>
      </w:pPr>
      <w:r w:rsidRPr="00944248">
        <w:rPr>
          <w:b/>
          <w:bCs/>
          <w:sz w:val="20"/>
          <w:szCs w:val="22"/>
          <w:lang w:val="ro-RO"/>
        </w:rPr>
        <w:t>„activarea directă”</w:t>
      </w:r>
      <w:r w:rsidRPr="00944248">
        <w:rPr>
          <w:sz w:val="20"/>
          <w:szCs w:val="22"/>
          <w:lang w:val="ro-RO"/>
        </w:rPr>
        <w:t xml:space="preserve"> înseamnă procesul Platformei mRRF care poate avea loc în orice moment pentru a rezolva dezechilibre mari în cadrul duratei de restabilire a frecvenței;</w:t>
      </w:r>
    </w:p>
    <w:p w:rsidR="00EB4EF1" w:rsidRPr="00944248" w:rsidRDefault="00EB4EF1" w:rsidP="009930B5">
      <w:pPr>
        <w:pStyle w:val="textregular"/>
        <w:rPr>
          <w:sz w:val="20"/>
          <w:szCs w:val="22"/>
          <w:lang w:val="ro-RO"/>
        </w:rPr>
      </w:pPr>
      <w:r w:rsidRPr="00944248">
        <w:rPr>
          <w:b/>
          <w:bCs/>
          <w:sz w:val="20"/>
          <w:szCs w:val="22"/>
          <w:lang w:val="ro-RO"/>
        </w:rPr>
        <w:t>„ofertele divizibile”</w:t>
      </w:r>
      <w:r w:rsidRPr="00944248">
        <w:rPr>
          <w:sz w:val="20"/>
          <w:szCs w:val="22"/>
          <w:lang w:val="ro-RO"/>
        </w:rPr>
        <w:t xml:space="preserve"> reprezintă o caracteristică a unei oferte care îi permite activarea parțială sau completă;</w:t>
      </w:r>
    </w:p>
    <w:p w:rsidR="000E7BF7" w:rsidRPr="00944248" w:rsidRDefault="000E7BF7" w:rsidP="009930B5">
      <w:pPr>
        <w:pStyle w:val="textregular"/>
        <w:rPr>
          <w:sz w:val="20"/>
          <w:szCs w:val="22"/>
          <w:lang w:val="ro-RO"/>
        </w:rPr>
      </w:pPr>
      <w:r w:rsidRPr="00944248">
        <w:rPr>
          <w:b/>
          <w:bCs/>
          <w:sz w:val="20"/>
          <w:szCs w:val="22"/>
          <w:lang w:val="ro-RO"/>
        </w:rPr>
        <w:t>„proiectul de implementare”</w:t>
      </w:r>
      <w:r w:rsidRPr="00944248">
        <w:rPr>
          <w:sz w:val="20"/>
          <w:szCs w:val="22"/>
          <w:lang w:val="ro-RO"/>
        </w:rPr>
        <w:t xml:space="preserve"> înseamnă proiectul care implementează Platformele RI, mRRF, aRRF și IN, în temeiul articolelor 19, 20, 21 respectiv 22 din EB GL;</w:t>
      </w:r>
    </w:p>
    <w:p w:rsidR="009F24AB" w:rsidRPr="00944248" w:rsidRDefault="009F24AB" w:rsidP="009930B5">
      <w:pPr>
        <w:pStyle w:val="textregular"/>
        <w:rPr>
          <w:sz w:val="20"/>
          <w:szCs w:val="22"/>
          <w:lang w:val="ro-RO"/>
        </w:rPr>
      </w:pPr>
      <w:r w:rsidRPr="00944248">
        <w:rPr>
          <w:b/>
          <w:bCs/>
          <w:sz w:val="20"/>
          <w:szCs w:val="22"/>
          <w:lang w:val="ro-RO"/>
        </w:rPr>
        <w:t>„cadrul de punere în aplicare”</w:t>
      </w:r>
      <w:r w:rsidRPr="00944248">
        <w:rPr>
          <w:sz w:val="20"/>
          <w:szCs w:val="22"/>
          <w:lang w:val="ro-RO"/>
        </w:rPr>
        <w:t xml:space="preserve"> înseamnă propunerea pentru Platformele europene în temeiul articolelor 19, 20, 21 și 22 din EB GL;</w:t>
      </w:r>
    </w:p>
    <w:p w:rsidR="00916F0C" w:rsidRPr="00944248" w:rsidRDefault="00916F0C" w:rsidP="009930B5">
      <w:pPr>
        <w:pStyle w:val="textregular"/>
        <w:rPr>
          <w:sz w:val="20"/>
          <w:szCs w:val="22"/>
          <w:lang w:val="ro-RO"/>
        </w:rPr>
      </w:pPr>
      <w:r w:rsidRPr="00944248">
        <w:rPr>
          <w:b/>
          <w:bCs/>
          <w:sz w:val="20"/>
          <w:szCs w:val="22"/>
          <w:lang w:val="ro-RO"/>
        </w:rPr>
        <w:t>„Platforma IN”</w:t>
      </w:r>
      <w:r w:rsidRPr="00944248">
        <w:rPr>
          <w:sz w:val="20"/>
          <w:szCs w:val="22"/>
          <w:lang w:val="ro-RO"/>
        </w:rPr>
        <w:t xml:space="preserve"> înseamnă Platforma europeană pentru procesul de compensare a dezechilibrelor;</w:t>
      </w:r>
    </w:p>
    <w:p w:rsidR="000F5F68" w:rsidRPr="00944248" w:rsidRDefault="000F5F68" w:rsidP="009930B5">
      <w:pPr>
        <w:pStyle w:val="textregular"/>
        <w:rPr>
          <w:b/>
          <w:sz w:val="20"/>
          <w:szCs w:val="22"/>
          <w:lang w:val="ro-RO"/>
        </w:rPr>
      </w:pPr>
      <w:r w:rsidRPr="00944248">
        <w:rPr>
          <w:b/>
          <w:bCs/>
          <w:sz w:val="20"/>
          <w:szCs w:val="22"/>
          <w:lang w:val="ro-RO"/>
        </w:rPr>
        <w:t>„schimbul planificat de energie de echilibrare”</w:t>
      </w:r>
      <w:r w:rsidRPr="00944248">
        <w:rPr>
          <w:sz w:val="20"/>
          <w:szCs w:val="22"/>
          <w:lang w:val="ro-RO"/>
        </w:rPr>
        <w:t xml:space="preserve"> înseamnă schimbul planificat de energie ca rezultat al procesului de înlocuire a rezervelor, procesului de restabilire a frecvenței cu activare manuală, procesului de restabilire a frecvenței cu activare automată sau procesului de compensare a dezechilibrelor;</w:t>
      </w:r>
    </w:p>
    <w:p w:rsidR="00B85FF5" w:rsidRPr="00944248" w:rsidRDefault="00B85FF5" w:rsidP="009930B5">
      <w:pPr>
        <w:pStyle w:val="textregular"/>
        <w:rPr>
          <w:sz w:val="20"/>
          <w:szCs w:val="22"/>
          <w:lang w:val="ro-RO"/>
        </w:rPr>
      </w:pPr>
      <w:r w:rsidRPr="00944248">
        <w:rPr>
          <w:sz w:val="20"/>
          <w:szCs w:val="22"/>
          <w:lang w:val="ro-RO"/>
        </w:rPr>
        <w:t>„</w:t>
      </w:r>
      <w:r w:rsidRPr="00944248">
        <w:rPr>
          <w:b/>
          <w:bCs/>
          <w:sz w:val="20"/>
          <w:szCs w:val="22"/>
          <w:lang w:val="ro-RO"/>
        </w:rPr>
        <w:t>Platforma mRRF</w:t>
      </w:r>
      <w:r w:rsidRPr="00944248">
        <w:rPr>
          <w:sz w:val="20"/>
          <w:szCs w:val="22"/>
          <w:lang w:val="ro-RO"/>
        </w:rPr>
        <w:t>” înseamnă Platforma europeană pentru schimbul de energie de echilibrare din rezervele de restabilire a frecvenței cu activare manuală;</w:t>
      </w:r>
    </w:p>
    <w:p w:rsidR="00172F02" w:rsidRPr="00944248" w:rsidRDefault="00172F02" w:rsidP="009930B5">
      <w:pPr>
        <w:pStyle w:val="textregular"/>
        <w:rPr>
          <w:sz w:val="20"/>
          <w:szCs w:val="22"/>
          <w:lang w:val="ro-RO"/>
        </w:rPr>
      </w:pPr>
      <w:r w:rsidRPr="00944248">
        <w:rPr>
          <w:b/>
          <w:bCs/>
          <w:sz w:val="20"/>
          <w:szCs w:val="22"/>
          <w:lang w:val="ro-RO"/>
        </w:rPr>
        <w:t>„veniturile nete de echilibrare pe graniță”</w:t>
      </w:r>
      <w:r w:rsidRPr="00944248">
        <w:rPr>
          <w:sz w:val="20"/>
          <w:szCs w:val="22"/>
          <w:lang w:val="ro-RO"/>
        </w:rPr>
        <w:t xml:space="preserve"> înseamnă veniturile din congestiile de echilibrare alocate pe fiecare graniță de echilibrare conform definițiilor prevăzute la articolul 7 din SP;</w:t>
      </w:r>
    </w:p>
    <w:p w:rsidR="009C03E9" w:rsidRPr="00944248" w:rsidRDefault="001D53C3" w:rsidP="009930B5">
      <w:pPr>
        <w:pStyle w:val="textregular"/>
        <w:rPr>
          <w:b/>
          <w:sz w:val="20"/>
          <w:szCs w:val="22"/>
          <w:lang w:val="ro-RO"/>
        </w:rPr>
      </w:pPr>
      <w:r w:rsidRPr="00944248">
        <w:rPr>
          <w:b/>
          <w:bCs/>
          <w:sz w:val="20"/>
          <w:szCs w:val="22"/>
          <w:lang w:val="ro-RO"/>
        </w:rPr>
        <w:t>„OTS-ul participant”</w:t>
      </w:r>
      <w:r w:rsidRPr="00944248">
        <w:rPr>
          <w:sz w:val="20"/>
          <w:szCs w:val="22"/>
          <w:lang w:val="ro-RO"/>
        </w:rPr>
        <w:t xml:space="preserve"> reprezintă orice OTS care folosește una sau mai multe Platforme europene pentru schimbul RI, mRRF, aRRF și/sau pentru INP;</w:t>
      </w:r>
    </w:p>
    <w:p w:rsidR="00191737" w:rsidRPr="00944248" w:rsidRDefault="00794551" w:rsidP="009930B5">
      <w:pPr>
        <w:pStyle w:val="textregular"/>
        <w:rPr>
          <w:sz w:val="20"/>
          <w:szCs w:val="22"/>
          <w:lang w:val="ro-RO"/>
        </w:rPr>
      </w:pPr>
      <w:r w:rsidRPr="00944248">
        <w:rPr>
          <w:b/>
          <w:bCs/>
          <w:sz w:val="20"/>
          <w:szCs w:val="22"/>
          <w:lang w:val="ro-RO"/>
        </w:rPr>
        <w:t xml:space="preserve"> „nedeterminarea prețului” </w:t>
      </w:r>
      <w:r w:rsidRPr="00944248">
        <w:rPr>
          <w:sz w:val="20"/>
          <w:szCs w:val="22"/>
          <w:lang w:val="ro-RO"/>
        </w:rPr>
        <w:t>înseamnă că nu există puncte de intersecție clare între curbele de consumatorilor și producătorilor;</w:t>
      </w:r>
    </w:p>
    <w:p w:rsidR="0021711D" w:rsidRPr="00944248" w:rsidRDefault="0021711D" w:rsidP="009930B5">
      <w:pPr>
        <w:pStyle w:val="textregular"/>
        <w:rPr>
          <w:sz w:val="20"/>
          <w:szCs w:val="22"/>
          <w:lang w:val="ro-RO"/>
        </w:rPr>
      </w:pPr>
      <w:r w:rsidRPr="00944248">
        <w:rPr>
          <w:b/>
          <w:bCs/>
          <w:sz w:val="20"/>
          <w:szCs w:val="22"/>
          <w:lang w:val="ro-RO"/>
        </w:rPr>
        <w:t>„propunerea privind stabilirea prețului”</w:t>
      </w:r>
      <w:r w:rsidRPr="00944248">
        <w:rPr>
          <w:sz w:val="20"/>
          <w:szCs w:val="22"/>
          <w:lang w:val="ro-RO"/>
        </w:rPr>
        <w:t xml:space="preserve"> (numită în continuare „PP”) înseamnă propunerea pentru metodologia de determinare a prețului energiei de echilibrare activată în diferite scopuri ale activării și al capacității interzonale în conformitate cu articolul 30 (1) și articolul 29 (3) din EB GL;</w:t>
      </w:r>
    </w:p>
    <w:p w:rsidR="00172F02" w:rsidRPr="00944248" w:rsidRDefault="00172F02" w:rsidP="009930B5">
      <w:pPr>
        <w:pStyle w:val="textregular"/>
        <w:rPr>
          <w:sz w:val="20"/>
          <w:szCs w:val="22"/>
          <w:lang w:val="ro-RO"/>
        </w:rPr>
      </w:pPr>
      <w:r w:rsidRPr="00944248">
        <w:rPr>
          <w:b/>
          <w:bCs/>
          <w:sz w:val="20"/>
          <w:szCs w:val="22"/>
          <w:lang w:val="ro-RO"/>
        </w:rPr>
        <w:lastRenderedPageBreak/>
        <w:t>„oferta respinsă”</w:t>
      </w:r>
      <w:r w:rsidRPr="00944248">
        <w:rPr>
          <w:sz w:val="20"/>
          <w:szCs w:val="22"/>
          <w:lang w:val="ro-RO"/>
        </w:rPr>
        <w:t xml:space="preserve"> înseamnă o ofertă care face parte din lista cu ordine de merit comune a AOF dar care nu este o ofertă selectată;</w:t>
      </w:r>
    </w:p>
    <w:p w:rsidR="0021711D" w:rsidRPr="00944248" w:rsidRDefault="0021711D" w:rsidP="009930B5">
      <w:pPr>
        <w:pStyle w:val="textregular"/>
        <w:rPr>
          <w:b/>
          <w:sz w:val="20"/>
          <w:szCs w:val="22"/>
          <w:lang w:val="ro-RO"/>
        </w:rPr>
      </w:pPr>
      <w:r w:rsidRPr="00944248">
        <w:rPr>
          <w:b/>
          <w:bCs/>
          <w:sz w:val="20"/>
          <w:szCs w:val="22"/>
          <w:lang w:val="ro-RO"/>
        </w:rPr>
        <w:t xml:space="preserve">„Platforma RI” </w:t>
      </w:r>
      <w:r w:rsidRPr="00944248">
        <w:rPr>
          <w:sz w:val="20"/>
          <w:szCs w:val="22"/>
          <w:lang w:val="ro-RO"/>
        </w:rPr>
        <w:t>înseamnă Platforma europeană pentru schimbul de energie de echilibrare din rezervele de înlocuire;</w:t>
      </w:r>
    </w:p>
    <w:p w:rsidR="00C551F1" w:rsidRPr="00944248" w:rsidRDefault="00794551" w:rsidP="009930B5">
      <w:pPr>
        <w:pStyle w:val="textregular"/>
        <w:rPr>
          <w:sz w:val="20"/>
          <w:szCs w:val="22"/>
          <w:lang w:val="ro-RO"/>
        </w:rPr>
      </w:pPr>
      <w:r w:rsidRPr="00944248">
        <w:rPr>
          <w:b/>
          <w:bCs/>
          <w:sz w:val="20"/>
          <w:szCs w:val="22"/>
          <w:lang w:val="ro-RO"/>
        </w:rPr>
        <w:t xml:space="preserve"> „oferta selectată”</w:t>
      </w:r>
      <w:r w:rsidRPr="00944248">
        <w:rPr>
          <w:sz w:val="20"/>
          <w:szCs w:val="22"/>
          <w:lang w:val="ro-RO"/>
        </w:rPr>
        <w:t xml:space="preserve"> înseamnă o ofertă care este selectată de AOF și care trebuie activată complet sau parțial;</w:t>
      </w:r>
    </w:p>
    <w:p w:rsidR="00172F02" w:rsidRPr="00944248" w:rsidRDefault="00172F02" w:rsidP="009930B5">
      <w:pPr>
        <w:pStyle w:val="textregular"/>
        <w:rPr>
          <w:b/>
          <w:sz w:val="20"/>
          <w:szCs w:val="22"/>
          <w:lang w:val="ro-RO"/>
        </w:rPr>
      </w:pPr>
      <w:r w:rsidRPr="00944248">
        <w:rPr>
          <w:b/>
          <w:bCs/>
          <w:sz w:val="20"/>
          <w:szCs w:val="22"/>
          <w:lang w:val="ro-RO"/>
        </w:rPr>
        <w:t>„produsul standard de energie de echilibrare aRRF”</w:t>
      </w:r>
      <w:r w:rsidRPr="00944248">
        <w:rPr>
          <w:sz w:val="20"/>
          <w:szCs w:val="22"/>
          <w:lang w:val="ro-RO"/>
        </w:rPr>
        <w:t xml:space="preserve"> înseamnă produsul standard de energie de echilibrare provenită din rezerve de restabilire a frecvenței cu activare automată;</w:t>
      </w:r>
    </w:p>
    <w:p w:rsidR="00857B0E" w:rsidRPr="00944248" w:rsidRDefault="00857B0E" w:rsidP="009930B5">
      <w:pPr>
        <w:pStyle w:val="textregular"/>
        <w:rPr>
          <w:sz w:val="20"/>
          <w:szCs w:val="22"/>
          <w:lang w:val="ro-RO"/>
        </w:rPr>
      </w:pPr>
      <w:r w:rsidRPr="00944248">
        <w:rPr>
          <w:sz w:val="20"/>
          <w:szCs w:val="22"/>
          <w:lang w:val="ro-RO"/>
        </w:rPr>
        <w:t>„</w:t>
      </w:r>
      <w:r w:rsidRPr="00944248">
        <w:rPr>
          <w:b/>
          <w:bCs/>
          <w:sz w:val="20"/>
          <w:szCs w:val="22"/>
          <w:lang w:val="ro-RO"/>
        </w:rPr>
        <w:t>produsul standard de energie de echilibrare</w:t>
      </w:r>
      <w:r w:rsidRPr="00944248">
        <w:rPr>
          <w:sz w:val="20"/>
          <w:szCs w:val="22"/>
          <w:lang w:val="ro-RO"/>
        </w:rPr>
        <w:t>” înseamnă produsul standard de energie de echilibrare provenită din rezerve de înlocuire sau rezerve de restabilire a frecvenței cu activare automată sau manuală;</w:t>
      </w:r>
    </w:p>
    <w:p w:rsidR="00D65F7B" w:rsidRPr="00944248" w:rsidRDefault="00D65F7B" w:rsidP="009930B5">
      <w:pPr>
        <w:pStyle w:val="textregular"/>
        <w:rPr>
          <w:sz w:val="20"/>
          <w:szCs w:val="22"/>
          <w:lang w:val="ro-RO"/>
        </w:rPr>
      </w:pPr>
      <w:r w:rsidRPr="00944248">
        <w:rPr>
          <w:b/>
          <w:bCs/>
          <w:sz w:val="20"/>
          <w:szCs w:val="22"/>
          <w:lang w:val="ro-RO"/>
        </w:rPr>
        <w:t>„zona necongestionată”</w:t>
      </w:r>
      <w:r w:rsidRPr="00944248">
        <w:rPr>
          <w:sz w:val="20"/>
          <w:szCs w:val="22"/>
          <w:lang w:val="ro-RO"/>
        </w:rPr>
        <w:t xml:space="preserve"> înseamnă cea mai largă zonă, constituită din zone de ofertare și/sau zone RFP, unde schimbul de energie de echilibrare și compensarea cererilor nu sunt restricționate de limitele capacității transfrontaliere sau alte restricții de alocare în conformitate cu cadrele de punere în aplicare pentru schimbul de energie de echilibrare din rezervele de înlocuire, rezervele de restabilire a frecvenței cu activare manuală și automată, precum și pentru procesul de compensare a dezechilibrelor;</w:t>
      </w:r>
    </w:p>
    <w:p w:rsidR="00586954" w:rsidRPr="00944248" w:rsidRDefault="00B11620" w:rsidP="009930B5">
      <w:pPr>
        <w:pStyle w:val="textregular"/>
        <w:rPr>
          <w:szCs w:val="22"/>
          <w:lang w:val="ro-RO"/>
        </w:rPr>
      </w:pPr>
      <w:r w:rsidRPr="00944248">
        <w:rPr>
          <w:b/>
          <w:bCs/>
          <w:sz w:val="20"/>
          <w:szCs w:val="22"/>
          <w:lang w:val="ro-RO"/>
        </w:rPr>
        <w:t xml:space="preserve">„perioada de valabilitate” </w:t>
      </w:r>
      <w:r w:rsidRPr="00944248">
        <w:rPr>
          <w:sz w:val="20"/>
          <w:szCs w:val="22"/>
          <w:lang w:val="ro-RO"/>
        </w:rPr>
        <w:t>înseamnă perioada în care o ofertă de energie de echilibrare poate fi transmisă.</w:t>
      </w:r>
    </w:p>
    <w:p w:rsidR="008A529E" w:rsidRPr="00944248" w:rsidRDefault="007400D5" w:rsidP="00DD58FA">
      <w:pPr>
        <w:pStyle w:val="headline2"/>
        <w:numPr>
          <w:ilvl w:val="0"/>
          <w:numId w:val="9"/>
        </w:numPr>
        <w:rPr>
          <w:sz w:val="22"/>
          <w:szCs w:val="22"/>
          <w:lang w:val="ro-RO"/>
        </w:rPr>
      </w:pPr>
      <w:r w:rsidRPr="00944248">
        <w:rPr>
          <w:sz w:val="22"/>
          <w:szCs w:val="22"/>
          <w:lang w:val="ro-RO"/>
        </w:rPr>
        <w:t>Abrevieri</w:t>
      </w:r>
    </w:p>
    <w:p w:rsidR="008A529E" w:rsidRPr="00944248" w:rsidRDefault="008A529E" w:rsidP="00E15B85">
      <w:pPr>
        <w:pStyle w:val="textregular"/>
        <w:rPr>
          <w:szCs w:val="22"/>
          <w:lang w:val="ro-RO"/>
        </w:rPr>
      </w:pPr>
      <w:r w:rsidRPr="00944248">
        <w:rPr>
          <w:szCs w:val="22"/>
          <w:lang w:val="ro-RO"/>
        </w:rPr>
        <w:t>Lista abrevierilor utilizate în prezentul document:</w:t>
      </w:r>
    </w:p>
    <w:p w:rsidR="008A529E" w:rsidRPr="00944248" w:rsidRDefault="008A529E" w:rsidP="00E15B85">
      <w:pPr>
        <w:pStyle w:val="textregular"/>
        <w:rPr>
          <w:szCs w:val="22"/>
          <w:lang w:val="ro-RO"/>
        </w:rPr>
      </w:pPr>
    </w:p>
    <w:p w:rsidR="008C4E05" w:rsidRPr="00944248" w:rsidRDefault="008C4E05" w:rsidP="00E15B85">
      <w:pPr>
        <w:pStyle w:val="textregular"/>
        <w:rPr>
          <w:b/>
          <w:szCs w:val="22"/>
          <w:lang w:val="ro-RO"/>
        </w:rPr>
      </w:pPr>
      <w:r w:rsidRPr="00944248">
        <w:rPr>
          <w:b/>
          <w:bCs/>
          <w:szCs w:val="22"/>
          <w:lang w:val="ro-RO"/>
        </w:rPr>
        <w:t>aRRF</w:t>
      </w:r>
      <w:r w:rsidRPr="00944248">
        <w:rPr>
          <w:szCs w:val="22"/>
          <w:lang w:val="ro-RO"/>
        </w:rPr>
        <w:tab/>
      </w:r>
      <w:r w:rsidRPr="00944248">
        <w:rPr>
          <w:szCs w:val="22"/>
          <w:lang w:val="ro-RO"/>
        </w:rPr>
        <w:tab/>
      </w:r>
      <w:r w:rsidRPr="00944248">
        <w:rPr>
          <w:szCs w:val="22"/>
          <w:lang w:val="ro-RO"/>
        </w:rPr>
        <w:tab/>
        <w:t>rezervă de restabilire a frecvenței cu activare automată</w:t>
      </w:r>
    </w:p>
    <w:p w:rsidR="004300E2" w:rsidRPr="00944248" w:rsidRDefault="004300E2" w:rsidP="00E15B85">
      <w:pPr>
        <w:pStyle w:val="textregular"/>
        <w:rPr>
          <w:szCs w:val="22"/>
          <w:lang w:val="ro-RO"/>
        </w:rPr>
      </w:pPr>
      <w:r w:rsidRPr="00944248">
        <w:rPr>
          <w:b/>
          <w:bCs/>
          <w:szCs w:val="22"/>
          <w:lang w:val="ro-RO"/>
        </w:rPr>
        <w:t>AOF</w:t>
      </w:r>
      <w:r w:rsidRPr="00944248">
        <w:rPr>
          <w:szCs w:val="22"/>
          <w:lang w:val="ro-RO"/>
        </w:rPr>
        <w:tab/>
      </w:r>
      <w:r w:rsidRPr="00944248">
        <w:rPr>
          <w:szCs w:val="22"/>
          <w:lang w:val="ro-RO"/>
        </w:rPr>
        <w:tab/>
      </w:r>
      <w:r w:rsidRPr="00944248">
        <w:rPr>
          <w:szCs w:val="22"/>
          <w:lang w:val="ro-RO"/>
        </w:rPr>
        <w:tab/>
        <w:t>funcția de optimizare a activării</w:t>
      </w:r>
    </w:p>
    <w:p w:rsidR="008910DE" w:rsidRPr="00944248" w:rsidRDefault="004E6711" w:rsidP="00E15B85">
      <w:pPr>
        <w:pStyle w:val="textregular"/>
        <w:rPr>
          <w:szCs w:val="22"/>
          <w:lang w:val="ro-RO"/>
        </w:rPr>
      </w:pPr>
      <w:r w:rsidRPr="00944248">
        <w:rPr>
          <w:b/>
          <w:bCs/>
          <w:szCs w:val="22"/>
          <w:lang w:val="ro-RO"/>
        </w:rPr>
        <w:t>FSE</w:t>
      </w:r>
      <w:r w:rsidRPr="00944248">
        <w:rPr>
          <w:szCs w:val="22"/>
          <w:lang w:val="ro-RO"/>
        </w:rPr>
        <w:tab/>
      </w:r>
      <w:r w:rsidRPr="00944248">
        <w:rPr>
          <w:szCs w:val="22"/>
          <w:lang w:val="ro-RO"/>
        </w:rPr>
        <w:tab/>
      </w:r>
      <w:r w:rsidRPr="00944248">
        <w:rPr>
          <w:szCs w:val="22"/>
          <w:lang w:val="ro-RO"/>
        </w:rPr>
        <w:tab/>
        <w:t>furnizor de servicii de echilibrare</w:t>
      </w:r>
    </w:p>
    <w:p w:rsidR="00396DA7" w:rsidRPr="00944248" w:rsidRDefault="00396DA7" w:rsidP="00E15B85">
      <w:pPr>
        <w:pStyle w:val="textregular"/>
        <w:rPr>
          <w:szCs w:val="22"/>
          <w:lang w:val="ro-RO"/>
        </w:rPr>
      </w:pPr>
      <w:r w:rsidRPr="00944248">
        <w:rPr>
          <w:b/>
          <w:bCs/>
          <w:szCs w:val="22"/>
          <w:lang w:val="ro-RO"/>
        </w:rPr>
        <w:t>BEPP</w:t>
      </w:r>
      <w:r w:rsidRPr="00944248">
        <w:rPr>
          <w:szCs w:val="22"/>
          <w:lang w:val="ro-RO"/>
        </w:rPr>
        <w:tab/>
      </w:r>
      <w:r w:rsidRPr="00944248">
        <w:rPr>
          <w:szCs w:val="22"/>
          <w:lang w:val="ro-RO"/>
        </w:rPr>
        <w:tab/>
      </w:r>
      <w:r w:rsidRPr="00944248">
        <w:rPr>
          <w:szCs w:val="22"/>
          <w:lang w:val="ro-RO"/>
        </w:rPr>
        <w:tab/>
        <w:t>perioada de stabilire a prețului energiei de echilibrare</w:t>
      </w:r>
    </w:p>
    <w:p w:rsidR="00083EAA" w:rsidRPr="00944248" w:rsidRDefault="00083EAA" w:rsidP="00E15B85">
      <w:pPr>
        <w:pStyle w:val="textregular"/>
        <w:rPr>
          <w:szCs w:val="22"/>
          <w:lang w:val="ro-RO"/>
        </w:rPr>
      </w:pPr>
      <w:r w:rsidRPr="00944248">
        <w:rPr>
          <w:b/>
          <w:bCs/>
          <w:szCs w:val="22"/>
          <w:lang w:val="ro-RO"/>
        </w:rPr>
        <w:t>PRE</w:t>
      </w:r>
      <w:r w:rsidRPr="00944248">
        <w:rPr>
          <w:szCs w:val="22"/>
          <w:lang w:val="ro-RO"/>
        </w:rPr>
        <w:tab/>
      </w:r>
      <w:r w:rsidRPr="00944248">
        <w:rPr>
          <w:szCs w:val="22"/>
          <w:lang w:val="ro-RO"/>
        </w:rPr>
        <w:tab/>
      </w:r>
      <w:r w:rsidRPr="00944248">
        <w:rPr>
          <w:szCs w:val="22"/>
          <w:lang w:val="ro-RO"/>
        </w:rPr>
        <w:tab/>
        <w:t>partea responsabilă cu echilibrarea</w:t>
      </w:r>
    </w:p>
    <w:p w:rsidR="00346F04" w:rsidRPr="00944248" w:rsidRDefault="00346F04" w:rsidP="00E15B85">
      <w:pPr>
        <w:pStyle w:val="textregular"/>
        <w:rPr>
          <w:szCs w:val="22"/>
          <w:lang w:val="ro-RO"/>
        </w:rPr>
      </w:pPr>
      <w:r w:rsidRPr="00944248">
        <w:rPr>
          <w:b/>
          <w:bCs/>
          <w:szCs w:val="22"/>
          <w:lang w:val="ro-RO"/>
        </w:rPr>
        <w:t>CMOL</w:t>
      </w:r>
      <w:r w:rsidRPr="00944248">
        <w:rPr>
          <w:szCs w:val="22"/>
          <w:lang w:val="ro-RO"/>
        </w:rPr>
        <w:tab/>
      </w:r>
      <w:r w:rsidRPr="00944248">
        <w:rPr>
          <w:szCs w:val="22"/>
          <w:lang w:val="ro-RO"/>
        </w:rPr>
        <w:tab/>
      </w:r>
      <w:r w:rsidRPr="00944248">
        <w:rPr>
          <w:szCs w:val="22"/>
          <w:lang w:val="ro-RO"/>
        </w:rPr>
        <w:tab/>
        <w:t>lista cu ordine de merit comune</w:t>
      </w:r>
    </w:p>
    <w:p w:rsidR="00E15B85" w:rsidRPr="00944248" w:rsidRDefault="00E15B85" w:rsidP="00E15B85">
      <w:pPr>
        <w:pStyle w:val="textregular"/>
        <w:rPr>
          <w:szCs w:val="22"/>
          <w:lang w:val="ro-RO"/>
        </w:rPr>
      </w:pPr>
      <w:r w:rsidRPr="00944248">
        <w:rPr>
          <w:b/>
          <w:bCs/>
          <w:szCs w:val="22"/>
          <w:lang w:val="ro-RO"/>
        </w:rPr>
        <w:t>CZC</w:t>
      </w:r>
      <w:r w:rsidRPr="00944248">
        <w:rPr>
          <w:szCs w:val="22"/>
          <w:lang w:val="ro-RO"/>
        </w:rPr>
        <w:tab/>
      </w:r>
      <w:r w:rsidRPr="00944248">
        <w:rPr>
          <w:szCs w:val="22"/>
          <w:lang w:val="ro-RO"/>
        </w:rPr>
        <w:tab/>
      </w:r>
      <w:r w:rsidRPr="00944248">
        <w:rPr>
          <w:szCs w:val="22"/>
          <w:lang w:val="ro-RO"/>
        </w:rPr>
        <w:tab/>
        <w:t>capacitate interzonală</w:t>
      </w:r>
    </w:p>
    <w:p w:rsidR="00084557" w:rsidRPr="00944248" w:rsidRDefault="00084557" w:rsidP="00E15B85">
      <w:pPr>
        <w:pStyle w:val="textregular"/>
        <w:rPr>
          <w:szCs w:val="22"/>
          <w:lang w:val="ro-RO"/>
        </w:rPr>
      </w:pPr>
      <w:r w:rsidRPr="00944248">
        <w:rPr>
          <w:b/>
          <w:bCs/>
          <w:szCs w:val="22"/>
          <w:lang w:val="ro-RO"/>
        </w:rPr>
        <w:t>DA</w:t>
      </w:r>
      <w:r w:rsidRPr="00944248">
        <w:rPr>
          <w:szCs w:val="22"/>
          <w:lang w:val="ro-RO"/>
        </w:rPr>
        <w:tab/>
      </w:r>
      <w:r w:rsidRPr="00944248">
        <w:rPr>
          <w:szCs w:val="22"/>
          <w:lang w:val="ro-RO"/>
        </w:rPr>
        <w:tab/>
      </w:r>
      <w:r w:rsidRPr="00944248">
        <w:rPr>
          <w:szCs w:val="22"/>
          <w:lang w:val="ro-RO"/>
        </w:rPr>
        <w:tab/>
        <w:t>activare directă</w:t>
      </w:r>
    </w:p>
    <w:p w:rsidR="00E15B85" w:rsidRPr="00944248" w:rsidRDefault="00E15B85" w:rsidP="00E15B85">
      <w:pPr>
        <w:pStyle w:val="textregular"/>
        <w:rPr>
          <w:szCs w:val="22"/>
          <w:lang w:val="ro-RO"/>
        </w:rPr>
      </w:pPr>
      <w:r w:rsidRPr="00944248">
        <w:rPr>
          <w:b/>
          <w:bCs/>
          <w:szCs w:val="22"/>
          <w:lang w:val="ro-RO"/>
        </w:rPr>
        <w:t>EB GL</w:t>
      </w:r>
      <w:r w:rsidRPr="00944248">
        <w:rPr>
          <w:szCs w:val="22"/>
          <w:lang w:val="ro-RO"/>
        </w:rPr>
        <w:tab/>
      </w:r>
      <w:r w:rsidRPr="00944248">
        <w:rPr>
          <w:szCs w:val="22"/>
          <w:lang w:val="ro-RO"/>
        </w:rPr>
        <w:tab/>
      </w:r>
      <w:r w:rsidRPr="00944248">
        <w:rPr>
          <w:szCs w:val="22"/>
          <w:lang w:val="ro-RO"/>
        </w:rPr>
        <w:tab/>
      </w:r>
      <w:r w:rsidR="00FF07F0">
        <w:rPr>
          <w:szCs w:val="22"/>
          <w:lang w:val="ro-RO"/>
        </w:rPr>
        <w:t>L</w:t>
      </w:r>
      <w:r w:rsidRPr="00944248">
        <w:rPr>
          <w:szCs w:val="22"/>
          <w:lang w:val="ro-RO"/>
        </w:rPr>
        <w:t>inia directoare privind echilibrarea sistemului de energie electrică</w:t>
      </w:r>
    </w:p>
    <w:p w:rsidR="00E15B85" w:rsidRPr="00944248" w:rsidRDefault="00E15B85" w:rsidP="00E15B85">
      <w:pPr>
        <w:pStyle w:val="textregular"/>
        <w:rPr>
          <w:szCs w:val="22"/>
          <w:lang w:val="ro-RO"/>
        </w:rPr>
      </w:pPr>
      <w:r w:rsidRPr="00944248">
        <w:rPr>
          <w:b/>
          <w:bCs/>
          <w:szCs w:val="22"/>
          <w:lang w:val="ro-RO"/>
        </w:rPr>
        <w:t>ARRF</w:t>
      </w:r>
      <w:r w:rsidRPr="00944248">
        <w:rPr>
          <w:szCs w:val="22"/>
          <w:lang w:val="ro-RO"/>
        </w:rPr>
        <w:tab/>
      </w:r>
      <w:r w:rsidRPr="00944248">
        <w:rPr>
          <w:szCs w:val="22"/>
          <w:lang w:val="ro-RO"/>
        </w:rPr>
        <w:tab/>
      </w:r>
      <w:r w:rsidRPr="00944248">
        <w:rPr>
          <w:szCs w:val="22"/>
          <w:lang w:val="ro-RO"/>
        </w:rPr>
        <w:tab/>
        <w:t>abaterea de reglaj la restabilirea frecvenței</w:t>
      </w:r>
    </w:p>
    <w:p w:rsidR="0050274A" w:rsidRPr="00944248" w:rsidRDefault="0050274A" w:rsidP="00E15B85">
      <w:pPr>
        <w:pStyle w:val="textregular"/>
        <w:rPr>
          <w:szCs w:val="22"/>
          <w:lang w:val="ro-RO"/>
        </w:rPr>
      </w:pPr>
      <w:r w:rsidRPr="00944248">
        <w:rPr>
          <w:b/>
          <w:bCs/>
          <w:szCs w:val="22"/>
          <w:lang w:val="ro-RO"/>
        </w:rPr>
        <w:t>ISP</w:t>
      </w:r>
      <w:r w:rsidRPr="00944248">
        <w:rPr>
          <w:szCs w:val="22"/>
          <w:lang w:val="ro-RO"/>
        </w:rPr>
        <w:tab/>
      </w:r>
      <w:r w:rsidRPr="00944248">
        <w:rPr>
          <w:szCs w:val="22"/>
          <w:lang w:val="ro-RO"/>
        </w:rPr>
        <w:tab/>
      </w:r>
      <w:r w:rsidRPr="00944248">
        <w:rPr>
          <w:szCs w:val="22"/>
          <w:lang w:val="ro-RO"/>
        </w:rPr>
        <w:tab/>
        <w:t>intervalul de decontare a dezechilibrului</w:t>
      </w:r>
    </w:p>
    <w:p w:rsidR="00BA0596" w:rsidRPr="00944248" w:rsidRDefault="00BA0596" w:rsidP="00E15B85">
      <w:pPr>
        <w:pStyle w:val="textregular"/>
        <w:rPr>
          <w:szCs w:val="22"/>
          <w:lang w:val="ro-RO"/>
        </w:rPr>
      </w:pPr>
      <w:r w:rsidRPr="00944248">
        <w:rPr>
          <w:b/>
          <w:bCs/>
          <w:szCs w:val="22"/>
          <w:lang w:val="ro-RO"/>
        </w:rPr>
        <w:t>RFP</w:t>
      </w:r>
      <w:r w:rsidRPr="00944248">
        <w:rPr>
          <w:szCs w:val="22"/>
          <w:lang w:val="ro-RO"/>
        </w:rPr>
        <w:tab/>
      </w:r>
      <w:r w:rsidRPr="00944248">
        <w:rPr>
          <w:szCs w:val="22"/>
          <w:lang w:val="ro-RO"/>
        </w:rPr>
        <w:tab/>
      </w:r>
      <w:r w:rsidRPr="00944248">
        <w:rPr>
          <w:szCs w:val="22"/>
          <w:lang w:val="ro-RO"/>
        </w:rPr>
        <w:tab/>
        <w:t>reglaj frecvență-putere</w:t>
      </w:r>
    </w:p>
    <w:p w:rsidR="00E15B85" w:rsidRPr="00944248" w:rsidRDefault="00E15B85" w:rsidP="00E15B85">
      <w:pPr>
        <w:pStyle w:val="textregular"/>
        <w:rPr>
          <w:szCs w:val="22"/>
          <w:lang w:val="ro-RO"/>
        </w:rPr>
      </w:pPr>
      <w:r w:rsidRPr="00944248">
        <w:rPr>
          <w:b/>
          <w:bCs/>
          <w:szCs w:val="22"/>
          <w:lang w:val="ro-RO"/>
        </w:rPr>
        <w:t>MARI</w:t>
      </w:r>
      <w:r w:rsidRPr="00944248">
        <w:rPr>
          <w:szCs w:val="22"/>
          <w:lang w:val="ro-RO"/>
        </w:rPr>
        <w:tab/>
      </w:r>
      <w:r w:rsidRPr="00944248">
        <w:rPr>
          <w:szCs w:val="22"/>
          <w:lang w:val="ro-RO"/>
        </w:rPr>
        <w:tab/>
      </w:r>
      <w:r w:rsidRPr="00944248">
        <w:rPr>
          <w:szCs w:val="22"/>
          <w:lang w:val="ro-RO"/>
        </w:rPr>
        <w:tab/>
        <w:t>Inițiativa privind Rezervele cu Activare Manuală</w:t>
      </w:r>
    </w:p>
    <w:p w:rsidR="008C4E05" w:rsidRPr="00944248" w:rsidRDefault="008C4E05" w:rsidP="00E15B85">
      <w:pPr>
        <w:pStyle w:val="textregular"/>
        <w:rPr>
          <w:b/>
          <w:szCs w:val="22"/>
          <w:lang w:val="ro-RO"/>
        </w:rPr>
      </w:pPr>
      <w:r w:rsidRPr="00944248">
        <w:rPr>
          <w:b/>
          <w:bCs/>
          <w:szCs w:val="22"/>
          <w:lang w:val="ro-RO"/>
        </w:rPr>
        <w:t>mRRF</w:t>
      </w:r>
      <w:r w:rsidRPr="00944248">
        <w:rPr>
          <w:szCs w:val="22"/>
          <w:lang w:val="ro-RO"/>
        </w:rPr>
        <w:tab/>
      </w:r>
      <w:r w:rsidRPr="00944248">
        <w:rPr>
          <w:szCs w:val="22"/>
          <w:lang w:val="ro-RO"/>
        </w:rPr>
        <w:tab/>
      </w:r>
      <w:r w:rsidRPr="00944248">
        <w:rPr>
          <w:szCs w:val="22"/>
          <w:lang w:val="ro-RO"/>
        </w:rPr>
        <w:tab/>
        <w:t>rezervă de restabilire a frecvenței cu activare manuală</w:t>
      </w:r>
    </w:p>
    <w:p w:rsidR="00C80DA6" w:rsidRPr="00944248" w:rsidRDefault="00C80DA6" w:rsidP="00E15B85">
      <w:pPr>
        <w:pStyle w:val="textregular"/>
        <w:rPr>
          <w:szCs w:val="22"/>
          <w:lang w:val="ro-RO"/>
        </w:rPr>
      </w:pPr>
      <w:r w:rsidRPr="00944248">
        <w:rPr>
          <w:b/>
          <w:bCs/>
          <w:szCs w:val="22"/>
          <w:lang w:val="ro-RO"/>
        </w:rPr>
        <w:t>MOL</w:t>
      </w:r>
      <w:r w:rsidRPr="00944248">
        <w:rPr>
          <w:szCs w:val="22"/>
          <w:lang w:val="ro-RO"/>
        </w:rPr>
        <w:tab/>
      </w:r>
      <w:r w:rsidRPr="00944248">
        <w:rPr>
          <w:szCs w:val="22"/>
          <w:lang w:val="ro-RO"/>
        </w:rPr>
        <w:tab/>
      </w:r>
      <w:r w:rsidRPr="00944248">
        <w:rPr>
          <w:szCs w:val="22"/>
          <w:lang w:val="ro-RO"/>
        </w:rPr>
        <w:tab/>
        <w:t>lista cu ordine de merit</w:t>
      </w:r>
    </w:p>
    <w:p w:rsidR="00AB2D96" w:rsidRPr="00944248" w:rsidRDefault="00AB2D96" w:rsidP="00E15B85">
      <w:pPr>
        <w:pStyle w:val="textregular"/>
        <w:rPr>
          <w:b/>
          <w:szCs w:val="22"/>
          <w:lang w:val="ro-RO"/>
        </w:rPr>
      </w:pPr>
      <w:r w:rsidRPr="00944248">
        <w:rPr>
          <w:b/>
          <w:bCs/>
          <w:szCs w:val="22"/>
          <w:lang w:val="ro-RO"/>
        </w:rPr>
        <w:t>MCP</w:t>
      </w:r>
      <w:r w:rsidRPr="00944248">
        <w:rPr>
          <w:szCs w:val="22"/>
          <w:lang w:val="ro-RO"/>
        </w:rPr>
        <w:tab/>
      </w:r>
      <w:r w:rsidRPr="00944248">
        <w:rPr>
          <w:szCs w:val="22"/>
          <w:lang w:val="ro-RO"/>
        </w:rPr>
        <w:tab/>
      </w:r>
      <w:r w:rsidRPr="00944248">
        <w:rPr>
          <w:szCs w:val="22"/>
          <w:lang w:val="ro-RO"/>
        </w:rPr>
        <w:tab/>
        <w:t>prețul de închidere a pieței</w:t>
      </w:r>
    </w:p>
    <w:p w:rsidR="00E15B85" w:rsidRPr="00944248" w:rsidRDefault="00E15B85" w:rsidP="00E15B85">
      <w:pPr>
        <w:pStyle w:val="textregular"/>
        <w:rPr>
          <w:szCs w:val="22"/>
          <w:lang w:val="ro-RO"/>
        </w:rPr>
      </w:pPr>
      <w:r w:rsidRPr="00944248">
        <w:rPr>
          <w:b/>
          <w:bCs/>
          <w:szCs w:val="22"/>
          <w:lang w:val="ro-RO"/>
        </w:rPr>
        <w:t>MW</w:t>
      </w:r>
      <w:r w:rsidRPr="00944248">
        <w:rPr>
          <w:szCs w:val="22"/>
          <w:lang w:val="ro-RO"/>
        </w:rPr>
        <w:tab/>
      </w:r>
      <w:r w:rsidRPr="00944248">
        <w:rPr>
          <w:szCs w:val="22"/>
          <w:lang w:val="ro-RO"/>
        </w:rPr>
        <w:tab/>
      </w:r>
      <w:r w:rsidRPr="00944248">
        <w:rPr>
          <w:szCs w:val="22"/>
          <w:lang w:val="ro-RO"/>
        </w:rPr>
        <w:tab/>
        <w:t>megawatt</w:t>
      </w:r>
    </w:p>
    <w:p w:rsidR="00E15B85" w:rsidRPr="00944248" w:rsidRDefault="00E15B85" w:rsidP="00E15B85">
      <w:pPr>
        <w:pStyle w:val="textregular"/>
        <w:rPr>
          <w:szCs w:val="22"/>
          <w:lang w:val="ro-RO"/>
        </w:rPr>
      </w:pPr>
      <w:r w:rsidRPr="00944248">
        <w:rPr>
          <w:b/>
          <w:bCs/>
          <w:szCs w:val="22"/>
          <w:lang w:val="ro-RO"/>
        </w:rPr>
        <w:t>MWh</w:t>
      </w:r>
      <w:r w:rsidRPr="00944248">
        <w:rPr>
          <w:szCs w:val="22"/>
          <w:lang w:val="ro-RO"/>
        </w:rPr>
        <w:tab/>
      </w:r>
      <w:r w:rsidRPr="00944248">
        <w:rPr>
          <w:szCs w:val="22"/>
          <w:lang w:val="ro-RO"/>
        </w:rPr>
        <w:tab/>
      </w:r>
      <w:r w:rsidRPr="00944248">
        <w:rPr>
          <w:szCs w:val="22"/>
          <w:lang w:val="ro-RO"/>
        </w:rPr>
        <w:tab/>
        <w:t>megawatt oră</w:t>
      </w:r>
    </w:p>
    <w:p w:rsidR="003A0A60" w:rsidRPr="00944248" w:rsidRDefault="003A0A60" w:rsidP="00E15B85">
      <w:pPr>
        <w:pStyle w:val="textregular"/>
        <w:rPr>
          <w:b/>
          <w:szCs w:val="22"/>
          <w:lang w:val="ro-RO"/>
        </w:rPr>
      </w:pPr>
      <w:r w:rsidRPr="00944248">
        <w:rPr>
          <w:b/>
          <w:bCs/>
          <w:szCs w:val="22"/>
          <w:lang w:val="ro-RO"/>
        </w:rPr>
        <w:t>ANR</w:t>
      </w:r>
      <w:r w:rsidRPr="00944248">
        <w:rPr>
          <w:szCs w:val="22"/>
          <w:lang w:val="ro-RO"/>
        </w:rPr>
        <w:tab/>
      </w:r>
      <w:r w:rsidRPr="00944248">
        <w:rPr>
          <w:szCs w:val="22"/>
          <w:lang w:val="ro-RO"/>
        </w:rPr>
        <w:tab/>
      </w:r>
      <w:r w:rsidRPr="00944248">
        <w:rPr>
          <w:szCs w:val="22"/>
          <w:lang w:val="ro-RO"/>
        </w:rPr>
        <w:tab/>
        <w:t>autoritatea națională de reglementare</w:t>
      </w:r>
    </w:p>
    <w:p w:rsidR="00AB2D96" w:rsidRPr="00944248" w:rsidRDefault="00AB2D96" w:rsidP="00AB2D96">
      <w:pPr>
        <w:pStyle w:val="textregular"/>
        <w:ind w:left="2124" w:hanging="2124"/>
        <w:rPr>
          <w:szCs w:val="22"/>
          <w:lang w:val="ro-RO"/>
        </w:rPr>
      </w:pPr>
      <w:r w:rsidRPr="00944248">
        <w:rPr>
          <w:b/>
          <w:bCs/>
          <w:szCs w:val="22"/>
          <w:lang w:val="ro-RO"/>
        </w:rPr>
        <w:t>PICASSO</w:t>
      </w:r>
      <w:r w:rsidRPr="00944248">
        <w:rPr>
          <w:szCs w:val="22"/>
          <w:lang w:val="ro-RO"/>
        </w:rPr>
        <w:tab/>
      </w:r>
      <w:r w:rsidRPr="00944248">
        <w:rPr>
          <w:szCs w:val="22"/>
          <w:lang w:val="ro-RO"/>
        </w:rPr>
        <w:tab/>
        <w:t>Platforma pentru Coordonarea Internațională a Restabilirii Frecvenței cu Activare Automată și Operarea Stabilă a Sistemului</w:t>
      </w:r>
    </w:p>
    <w:p w:rsidR="00AB2D96" w:rsidRPr="00944248" w:rsidRDefault="00AB2D96" w:rsidP="00AB2D96">
      <w:pPr>
        <w:pStyle w:val="textregular"/>
        <w:ind w:left="2124" w:hanging="2124"/>
        <w:rPr>
          <w:szCs w:val="22"/>
          <w:lang w:val="ro-RO"/>
        </w:rPr>
      </w:pPr>
      <w:r w:rsidRPr="00944248">
        <w:rPr>
          <w:b/>
          <w:bCs/>
          <w:szCs w:val="22"/>
          <w:lang w:val="ro-RO"/>
        </w:rPr>
        <w:lastRenderedPageBreak/>
        <w:t>PP</w:t>
      </w:r>
      <w:r w:rsidRPr="00944248">
        <w:rPr>
          <w:szCs w:val="22"/>
          <w:lang w:val="ro-RO"/>
        </w:rPr>
        <w:tab/>
      </w:r>
      <w:r w:rsidRPr="00944248">
        <w:rPr>
          <w:szCs w:val="22"/>
          <w:lang w:val="ro-RO"/>
        </w:rPr>
        <w:tab/>
        <w:t xml:space="preserve">propunerea privind stabilirea prețului </w:t>
      </w:r>
    </w:p>
    <w:p w:rsidR="00AB2D96" w:rsidRPr="00944248" w:rsidRDefault="00AB2D96" w:rsidP="00AB2D96">
      <w:pPr>
        <w:pStyle w:val="textregular"/>
        <w:rPr>
          <w:szCs w:val="22"/>
          <w:lang w:val="ro-RO"/>
        </w:rPr>
      </w:pPr>
      <w:r w:rsidRPr="00944248">
        <w:rPr>
          <w:b/>
          <w:bCs/>
          <w:szCs w:val="22"/>
          <w:lang w:val="ro-RO"/>
        </w:rPr>
        <w:t>QH</w:t>
      </w:r>
      <w:r w:rsidRPr="00944248">
        <w:rPr>
          <w:szCs w:val="22"/>
          <w:lang w:val="ro-RO"/>
        </w:rPr>
        <w:tab/>
      </w:r>
      <w:r w:rsidRPr="00944248">
        <w:rPr>
          <w:szCs w:val="22"/>
          <w:lang w:val="ro-RO"/>
        </w:rPr>
        <w:tab/>
      </w:r>
      <w:r w:rsidRPr="00944248">
        <w:rPr>
          <w:szCs w:val="22"/>
          <w:lang w:val="ro-RO"/>
        </w:rPr>
        <w:tab/>
        <w:t>sfert de oră</w:t>
      </w:r>
    </w:p>
    <w:p w:rsidR="0099174E" w:rsidRPr="00944248" w:rsidRDefault="0099174E" w:rsidP="00AB2D96">
      <w:pPr>
        <w:pStyle w:val="textregular"/>
        <w:rPr>
          <w:szCs w:val="22"/>
          <w:lang w:val="ro-RO"/>
        </w:rPr>
      </w:pPr>
      <w:r w:rsidRPr="00944248">
        <w:rPr>
          <w:b/>
          <w:bCs/>
          <w:szCs w:val="22"/>
          <w:lang w:val="ro-RO"/>
        </w:rPr>
        <w:t>SA</w:t>
      </w:r>
      <w:r w:rsidRPr="00944248">
        <w:rPr>
          <w:szCs w:val="22"/>
          <w:lang w:val="ro-RO"/>
        </w:rPr>
        <w:tab/>
      </w:r>
      <w:r w:rsidRPr="00944248">
        <w:rPr>
          <w:szCs w:val="22"/>
          <w:lang w:val="ro-RO"/>
        </w:rPr>
        <w:tab/>
      </w:r>
      <w:r w:rsidRPr="00944248">
        <w:rPr>
          <w:szCs w:val="22"/>
          <w:lang w:val="ro-RO"/>
        </w:rPr>
        <w:tab/>
        <w:t>activare programată</w:t>
      </w:r>
    </w:p>
    <w:p w:rsidR="00C92148" w:rsidRPr="00944248" w:rsidRDefault="00C92148" w:rsidP="00AB2D96">
      <w:pPr>
        <w:pStyle w:val="textregular"/>
        <w:rPr>
          <w:szCs w:val="22"/>
          <w:lang w:val="ro-RO"/>
        </w:rPr>
      </w:pPr>
      <w:r w:rsidRPr="00944248">
        <w:rPr>
          <w:b/>
          <w:bCs/>
          <w:szCs w:val="22"/>
          <w:lang w:val="ro-RO"/>
        </w:rPr>
        <w:t>SP</w:t>
      </w:r>
      <w:r w:rsidRPr="00944248">
        <w:rPr>
          <w:szCs w:val="22"/>
          <w:lang w:val="ro-RO"/>
        </w:rPr>
        <w:tab/>
      </w:r>
      <w:r w:rsidRPr="00944248">
        <w:rPr>
          <w:szCs w:val="22"/>
          <w:lang w:val="ro-RO"/>
        </w:rPr>
        <w:tab/>
      </w:r>
      <w:r w:rsidRPr="00944248">
        <w:rPr>
          <w:szCs w:val="22"/>
          <w:lang w:val="ro-RO"/>
        </w:rPr>
        <w:tab/>
        <w:t>propunere pentru decontare</w:t>
      </w:r>
    </w:p>
    <w:p w:rsidR="008C4E05" w:rsidRPr="00944248" w:rsidRDefault="008C4E05" w:rsidP="00E15B85">
      <w:pPr>
        <w:pStyle w:val="textregular"/>
        <w:rPr>
          <w:b/>
          <w:szCs w:val="22"/>
          <w:lang w:val="ro-RO"/>
        </w:rPr>
      </w:pPr>
      <w:r w:rsidRPr="00944248">
        <w:rPr>
          <w:b/>
          <w:bCs/>
          <w:szCs w:val="22"/>
          <w:lang w:val="ro-RO"/>
        </w:rPr>
        <w:t>RI</w:t>
      </w:r>
      <w:r w:rsidRPr="00944248">
        <w:rPr>
          <w:szCs w:val="22"/>
          <w:lang w:val="ro-RO"/>
        </w:rPr>
        <w:tab/>
      </w:r>
      <w:r w:rsidRPr="00944248">
        <w:rPr>
          <w:szCs w:val="22"/>
          <w:lang w:val="ro-RO"/>
        </w:rPr>
        <w:tab/>
      </w:r>
      <w:r w:rsidRPr="00944248">
        <w:rPr>
          <w:szCs w:val="22"/>
          <w:lang w:val="ro-RO"/>
        </w:rPr>
        <w:tab/>
        <w:t>rezerve de înlocuire</w:t>
      </w:r>
    </w:p>
    <w:p w:rsidR="004C5439" w:rsidRPr="00944248" w:rsidRDefault="004C5439" w:rsidP="00E15B85">
      <w:pPr>
        <w:pStyle w:val="textregular"/>
        <w:rPr>
          <w:szCs w:val="22"/>
          <w:lang w:val="ro-RO"/>
        </w:rPr>
      </w:pPr>
      <w:r w:rsidRPr="00944248">
        <w:rPr>
          <w:b/>
          <w:bCs/>
          <w:szCs w:val="22"/>
          <w:lang w:val="ro-RO"/>
        </w:rPr>
        <w:t>SO GL</w:t>
      </w:r>
      <w:r w:rsidRPr="00944248">
        <w:rPr>
          <w:szCs w:val="22"/>
          <w:lang w:val="ro-RO"/>
        </w:rPr>
        <w:tab/>
      </w:r>
      <w:r w:rsidRPr="00944248">
        <w:rPr>
          <w:szCs w:val="22"/>
          <w:lang w:val="ro-RO"/>
        </w:rPr>
        <w:tab/>
      </w:r>
      <w:r w:rsidRPr="00944248">
        <w:rPr>
          <w:szCs w:val="22"/>
          <w:lang w:val="ro-RO"/>
        </w:rPr>
        <w:tab/>
      </w:r>
      <w:r w:rsidR="00FF07F0">
        <w:rPr>
          <w:szCs w:val="22"/>
          <w:lang w:val="ro-RO"/>
        </w:rPr>
        <w:t>L</w:t>
      </w:r>
      <w:r w:rsidRPr="00944248">
        <w:rPr>
          <w:szCs w:val="22"/>
          <w:lang w:val="ro-RO"/>
        </w:rPr>
        <w:t>inia directoare privind operarea sistemului de transport al energiei electrice</w:t>
      </w:r>
    </w:p>
    <w:p w:rsidR="00E15B85" w:rsidRPr="00944248" w:rsidRDefault="00E15B85" w:rsidP="00E15B85">
      <w:pPr>
        <w:pStyle w:val="textregular"/>
        <w:rPr>
          <w:szCs w:val="22"/>
          <w:lang w:val="ro-RO"/>
        </w:rPr>
      </w:pPr>
      <w:r w:rsidRPr="00944248">
        <w:rPr>
          <w:b/>
          <w:bCs/>
          <w:szCs w:val="22"/>
          <w:lang w:val="ro-RO"/>
        </w:rPr>
        <w:t>TERRE</w:t>
      </w:r>
      <w:r w:rsidRPr="00944248">
        <w:rPr>
          <w:szCs w:val="22"/>
          <w:lang w:val="ro-RO"/>
        </w:rPr>
        <w:tab/>
      </w:r>
      <w:r w:rsidRPr="00944248">
        <w:rPr>
          <w:szCs w:val="22"/>
          <w:lang w:val="ro-RO"/>
        </w:rPr>
        <w:tab/>
        <w:t>Schimbul de rezerve de înlocuire transeuropean</w:t>
      </w:r>
    </w:p>
    <w:p w:rsidR="001F4054" w:rsidRPr="00944248" w:rsidRDefault="001F4054" w:rsidP="00E15B85">
      <w:pPr>
        <w:pStyle w:val="textregular"/>
        <w:rPr>
          <w:szCs w:val="22"/>
          <w:lang w:val="ro-RO"/>
        </w:rPr>
      </w:pPr>
      <w:r w:rsidRPr="00944248">
        <w:rPr>
          <w:b/>
          <w:bCs/>
          <w:szCs w:val="22"/>
          <w:lang w:val="ro-RO"/>
        </w:rPr>
        <w:t>OTS</w:t>
      </w:r>
      <w:r w:rsidRPr="00944248">
        <w:rPr>
          <w:szCs w:val="22"/>
          <w:lang w:val="ro-RO"/>
        </w:rPr>
        <w:tab/>
      </w:r>
      <w:r w:rsidRPr="00944248">
        <w:rPr>
          <w:szCs w:val="22"/>
          <w:lang w:val="ro-RO"/>
        </w:rPr>
        <w:tab/>
      </w:r>
      <w:r w:rsidRPr="00944248">
        <w:rPr>
          <w:szCs w:val="22"/>
          <w:lang w:val="ro-RO"/>
        </w:rPr>
        <w:tab/>
        <w:t>operator de transport și de sistem</w:t>
      </w:r>
    </w:p>
    <w:p w:rsidR="00B00057" w:rsidRPr="00944248" w:rsidRDefault="00B00057" w:rsidP="00E15B85">
      <w:pPr>
        <w:pStyle w:val="textregular"/>
        <w:rPr>
          <w:szCs w:val="22"/>
          <w:lang w:val="ro-RO"/>
        </w:rPr>
      </w:pPr>
      <w:r w:rsidRPr="00944248">
        <w:rPr>
          <w:b/>
          <w:bCs/>
          <w:szCs w:val="22"/>
          <w:lang w:val="ro-RO"/>
        </w:rPr>
        <w:t>TTRF</w:t>
      </w:r>
      <w:r w:rsidRPr="00944248">
        <w:rPr>
          <w:szCs w:val="22"/>
          <w:lang w:val="ro-RO"/>
        </w:rPr>
        <w:tab/>
      </w:r>
      <w:r w:rsidRPr="00944248">
        <w:rPr>
          <w:szCs w:val="22"/>
          <w:lang w:val="ro-RO"/>
        </w:rPr>
        <w:tab/>
      </w:r>
      <w:r w:rsidRPr="00944248">
        <w:rPr>
          <w:szCs w:val="22"/>
          <w:lang w:val="ro-RO"/>
        </w:rPr>
        <w:tab/>
        <w:t>durata de restabilire a frecvenței</w:t>
      </w:r>
    </w:p>
    <w:p w:rsidR="00B61F43" w:rsidRPr="00944248" w:rsidRDefault="0002233F" w:rsidP="00E15B85">
      <w:pPr>
        <w:pStyle w:val="textregular"/>
        <w:rPr>
          <w:szCs w:val="22"/>
          <w:lang w:val="ro-RO"/>
        </w:rPr>
      </w:pPr>
      <w:r w:rsidRPr="00944248">
        <w:rPr>
          <w:b/>
          <w:bCs/>
          <w:szCs w:val="22"/>
          <w:lang w:val="ro-RO"/>
        </w:rPr>
        <w:t>CBMP</w:t>
      </w:r>
      <w:r w:rsidRPr="00944248">
        <w:rPr>
          <w:szCs w:val="22"/>
          <w:lang w:val="ro-RO"/>
        </w:rPr>
        <w:tab/>
      </w:r>
      <w:r w:rsidRPr="00944248">
        <w:rPr>
          <w:szCs w:val="22"/>
          <w:lang w:val="ro-RO"/>
        </w:rPr>
        <w:tab/>
      </w:r>
      <w:r w:rsidRPr="00944248">
        <w:rPr>
          <w:szCs w:val="22"/>
          <w:lang w:val="ro-RO"/>
        </w:rPr>
        <w:tab/>
        <w:t>preț marginal transfrontalier</w:t>
      </w:r>
    </w:p>
    <w:p w:rsidR="00146850" w:rsidRPr="00944248" w:rsidRDefault="00907033" w:rsidP="005779B7">
      <w:pPr>
        <w:pStyle w:val="Headline14pt"/>
        <w:numPr>
          <w:ilvl w:val="0"/>
          <w:numId w:val="8"/>
        </w:numPr>
        <w:jc w:val="both"/>
        <w:outlineLvl w:val="0"/>
        <w:rPr>
          <w:lang w:val="ro-RO"/>
        </w:rPr>
      </w:pPr>
      <w:bookmarkStart w:id="25" w:name="_Toc531787025"/>
      <w:bookmarkStart w:id="26" w:name="_Toc531687672"/>
      <w:bookmarkStart w:id="27" w:name="_Toc523816543"/>
      <w:bookmarkStart w:id="28" w:name="_Toc522195276"/>
      <w:bookmarkStart w:id="29" w:name="_Toc522181339"/>
      <w:bookmarkStart w:id="30" w:name="_Toc520999248"/>
      <w:bookmarkStart w:id="31" w:name="_Toc520993436"/>
      <w:bookmarkStart w:id="32" w:name="_Toc520993114"/>
      <w:bookmarkStart w:id="33" w:name="_Ref520832271"/>
      <w:bookmarkStart w:id="34" w:name="_Toc535158313"/>
      <w:r w:rsidRPr="00944248">
        <w:rPr>
          <w:bCs/>
          <w:lang w:val="ro-RO"/>
        </w:rPr>
        <w:lastRenderedPageBreak/>
        <w:t>Introducere</w:t>
      </w:r>
      <w:bookmarkEnd w:id="24"/>
      <w:bookmarkEnd w:id="25"/>
      <w:bookmarkEnd w:id="26"/>
      <w:bookmarkEnd w:id="27"/>
      <w:bookmarkEnd w:id="28"/>
      <w:bookmarkEnd w:id="29"/>
      <w:bookmarkEnd w:id="30"/>
      <w:bookmarkEnd w:id="31"/>
      <w:bookmarkEnd w:id="32"/>
      <w:bookmarkEnd w:id="33"/>
      <w:bookmarkEnd w:id="34"/>
    </w:p>
    <w:p w:rsidR="00434851" w:rsidRPr="00944248" w:rsidRDefault="003A2751" w:rsidP="007468BA">
      <w:pPr>
        <w:pStyle w:val="textregular"/>
        <w:rPr>
          <w:lang w:val="ro-RO"/>
        </w:rPr>
      </w:pPr>
      <w:r w:rsidRPr="00944248">
        <w:rPr>
          <w:lang w:val="ro-RO"/>
        </w:rPr>
        <w:t>Prezentul document explicativ prezintă informații generale și raționamentul propunerii tuturor OTS-urilor privind elaborarea unei propuneri cu privire la normele comune în materie de decontare aplicabile tuturor schimburilor planificate de energie care rezultă din procesul de înlocuire a rezervelor, procesul de restabilire a frecvenței cu activare manuală și automată și procesul de compensare a dezechilibrelor în temeiul articolului 50 (1) din Regulamentul (UE) 2017/2195 al Comisiei din 23 noiembrie 2017 de stabilire a unei linii directoare privind echilibrarea (numit în continuare „</w:t>
      </w:r>
      <w:r w:rsidRPr="00944248">
        <w:rPr>
          <w:b/>
          <w:bCs/>
          <w:lang w:val="ro-RO"/>
        </w:rPr>
        <w:t>SP</w:t>
      </w:r>
      <w:r w:rsidRPr="00944248">
        <w:rPr>
          <w:lang w:val="ro-RO"/>
        </w:rPr>
        <w:t>” sau „propunerea”).</w:t>
      </w:r>
    </w:p>
    <w:p w:rsidR="00946E77" w:rsidRPr="00944248" w:rsidRDefault="00E00328" w:rsidP="00946E77">
      <w:pPr>
        <w:pStyle w:val="textregular"/>
        <w:rPr>
          <w:lang w:val="ro-RO"/>
        </w:rPr>
      </w:pPr>
      <w:r w:rsidRPr="00944248">
        <w:rPr>
          <w:lang w:val="ro-RO"/>
        </w:rPr>
        <w:t>Propunerea și documentul explicativ iau în considerare și includ rezultate elaborate în prealabil de către proiectele de implementare MARI, PICASSO, TERRE și IGCC în ceea ce privește decontarea schimburilor de energie de echilibrare. Acestea includ datele de intrare furnizate de către părțile interesate în cadrul atelierelor de lucru precedente și altor evenimente organizate (de ex. întâlniri are grupului părților interesate privind echilibrarea energiei electrice).</w:t>
      </w:r>
    </w:p>
    <w:p w:rsidR="00DB5021" w:rsidRPr="00944248" w:rsidRDefault="00946E77" w:rsidP="00E51E4E">
      <w:pPr>
        <w:pStyle w:val="textregular"/>
        <w:rPr>
          <w:lang w:val="ro-RO"/>
        </w:rPr>
      </w:pPr>
      <w:r w:rsidRPr="00944248">
        <w:rPr>
          <w:lang w:val="ro-RO"/>
        </w:rPr>
        <w:t xml:space="preserve">Propunerea trebuie interpretată în contextul cadrelor de punere în aplicare pentru </w:t>
      </w:r>
      <w:bookmarkStart w:id="35" w:name="_Toc417546672"/>
      <w:bookmarkStart w:id="36" w:name="_Toc391549960"/>
      <w:bookmarkStart w:id="37" w:name="_Ref370232181"/>
      <w:r w:rsidRPr="00944248">
        <w:rPr>
          <w:szCs w:val="24"/>
          <w:lang w:val="ro-RO"/>
        </w:rPr>
        <w:t>platformele europene pentru schimbul de energie de echilibrare din rezervele de înlocuire (RI), rezervele de restabilire a frecvenței cu activare manuală (mRRF) și automată</w:t>
      </w:r>
      <w:bookmarkEnd w:id="35"/>
      <w:bookmarkEnd w:id="36"/>
      <w:bookmarkEnd w:id="37"/>
      <w:r w:rsidRPr="00944248">
        <w:rPr>
          <w:szCs w:val="24"/>
          <w:lang w:val="ro-RO"/>
        </w:rPr>
        <w:t xml:space="preserve"> (aRRF) precum și procesul de compensare a dezechilibrelor (IN). În plus, propunerea trebuie interpretată în contextul propunerii privind stabilirea prețului energiei de echilibrare și capacităților interzonale în conformitate cu articolul 30 (1) și articolul 30 (3) din EB GL.</w:t>
      </w:r>
    </w:p>
    <w:p w:rsidR="00073899" w:rsidRPr="00944248" w:rsidRDefault="00073899" w:rsidP="00946E77">
      <w:pPr>
        <w:pStyle w:val="textregular"/>
        <w:rPr>
          <w:lang w:val="ro-RO"/>
        </w:rPr>
      </w:pPr>
      <w:r w:rsidRPr="00944248">
        <w:rPr>
          <w:lang w:val="ro-RO"/>
        </w:rPr>
        <w:t>Propunerea este structurată după cum urmează:</w:t>
      </w:r>
    </w:p>
    <w:p w:rsidR="00073899" w:rsidRPr="00944248" w:rsidRDefault="00946E77" w:rsidP="00DF776B">
      <w:pPr>
        <w:pStyle w:val="textregular"/>
        <w:numPr>
          <w:ilvl w:val="0"/>
          <w:numId w:val="24"/>
        </w:numPr>
        <w:rPr>
          <w:lang w:val="ro-RO"/>
        </w:rPr>
      </w:pPr>
      <w:r w:rsidRPr="00944248">
        <w:rPr>
          <w:lang w:val="ro-RO"/>
        </w:rPr>
        <w:t xml:space="preserve">Capitolul </w:t>
      </w:r>
      <w:r w:rsidRPr="00944248">
        <w:rPr>
          <w:lang w:val="ro-RO"/>
        </w:rPr>
        <w:fldChar w:fldCharType="begin"/>
      </w:r>
      <w:r w:rsidRPr="00944248">
        <w:rPr>
          <w:lang w:val="ro-RO"/>
        </w:rPr>
        <w:instrText xml:space="preserve"> REF _Ref520997675 \r \h  \* MERGEFORMAT </w:instrText>
      </w:r>
      <w:r w:rsidRPr="00944248">
        <w:rPr>
          <w:lang w:val="ro-RO"/>
        </w:rPr>
      </w:r>
      <w:r w:rsidRPr="00944248">
        <w:rPr>
          <w:lang w:val="ro-RO"/>
        </w:rPr>
        <w:fldChar w:fldCharType="separate"/>
      </w:r>
      <w:r w:rsidRPr="00944248">
        <w:rPr>
          <w:lang w:val="ro-RO"/>
        </w:rPr>
        <w:t>2</w:t>
      </w:r>
      <w:r w:rsidRPr="00944248">
        <w:rPr>
          <w:lang w:val="ro-RO"/>
        </w:rPr>
        <w:fldChar w:fldCharType="end"/>
      </w:r>
      <w:r w:rsidRPr="00944248">
        <w:rPr>
          <w:lang w:val="ro-RO"/>
        </w:rPr>
        <w:t xml:space="preserve"> prezintă pe scurt cerințele prevăzute în articolele EB GL relevante și oferă o interpretare, acolo unde este cazul.</w:t>
      </w:r>
    </w:p>
    <w:p w:rsidR="001E46AF" w:rsidRPr="00944248" w:rsidRDefault="00946E77" w:rsidP="00DF776B">
      <w:pPr>
        <w:pStyle w:val="textregular"/>
        <w:numPr>
          <w:ilvl w:val="0"/>
          <w:numId w:val="24"/>
        </w:numPr>
        <w:rPr>
          <w:lang w:val="ro-RO"/>
        </w:rPr>
      </w:pPr>
      <w:r w:rsidRPr="00944248">
        <w:rPr>
          <w:lang w:val="ro-RO"/>
        </w:rPr>
        <w:t xml:space="preserve">Capitolul </w:t>
      </w:r>
      <w:r w:rsidRPr="00944248">
        <w:rPr>
          <w:lang w:val="ro-RO"/>
        </w:rPr>
        <w:fldChar w:fldCharType="begin"/>
      </w:r>
      <w:r w:rsidRPr="00944248">
        <w:rPr>
          <w:lang w:val="ro-RO"/>
        </w:rPr>
        <w:instrText xml:space="preserve"> REF _Ref520997858 \r \h  \* MERGEFORMAT </w:instrText>
      </w:r>
      <w:r w:rsidRPr="00944248">
        <w:rPr>
          <w:lang w:val="ro-RO"/>
        </w:rPr>
      </w:r>
      <w:r w:rsidRPr="00944248">
        <w:rPr>
          <w:lang w:val="ro-RO"/>
        </w:rPr>
        <w:fldChar w:fldCharType="separate"/>
      </w:r>
      <w:r w:rsidRPr="00944248">
        <w:rPr>
          <w:lang w:val="ro-RO"/>
        </w:rPr>
        <w:t>3</w:t>
      </w:r>
      <w:r w:rsidRPr="00944248">
        <w:rPr>
          <w:lang w:val="ro-RO"/>
        </w:rPr>
        <w:fldChar w:fldCharType="end"/>
      </w:r>
      <w:r w:rsidRPr="00944248">
        <w:rPr>
          <w:lang w:val="ro-RO"/>
        </w:rPr>
        <w:t xml:space="preserve"> introduce principiile generale ale metodologiei de decontare care se bazează pe prețul marginal transfrontalier (CBMP), făcând distincție între produse, tipurile activării și scopurile activării.</w:t>
      </w:r>
    </w:p>
    <w:p w:rsidR="001E46AF" w:rsidRPr="00944248" w:rsidRDefault="00946E77" w:rsidP="00DF776B">
      <w:pPr>
        <w:pStyle w:val="textregular"/>
        <w:numPr>
          <w:ilvl w:val="0"/>
          <w:numId w:val="24"/>
        </w:numPr>
        <w:rPr>
          <w:lang w:val="ro-RO"/>
        </w:rPr>
      </w:pPr>
      <w:r w:rsidRPr="00944248">
        <w:rPr>
          <w:lang w:val="ro-RO"/>
        </w:rPr>
        <w:t xml:space="preserve">Capitolul </w:t>
      </w:r>
      <w:r w:rsidRPr="00944248">
        <w:rPr>
          <w:lang w:val="ro-RO"/>
        </w:rPr>
        <w:fldChar w:fldCharType="begin"/>
      </w:r>
      <w:r w:rsidRPr="00944248">
        <w:rPr>
          <w:lang w:val="ro-RO"/>
        </w:rPr>
        <w:instrText xml:space="preserve"> REF _Ref520998153 \r \h  \* MERGEFORMAT </w:instrText>
      </w:r>
      <w:r w:rsidRPr="00944248">
        <w:rPr>
          <w:lang w:val="ro-RO"/>
        </w:rPr>
      </w:r>
      <w:r w:rsidRPr="00944248">
        <w:rPr>
          <w:lang w:val="ro-RO"/>
        </w:rPr>
        <w:fldChar w:fldCharType="separate"/>
      </w:r>
      <w:r w:rsidRPr="00944248">
        <w:rPr>
          <w:lang w:val="ro-RO"/>
        </w:rPr>
        <w:t>4</w:t>
      </w:r>
      <w:r w:rsidRPr="00944248">
        <w:rPr>
          <w:lang w:val="ro-RO"/>
        </w:rPr>
        <w:fldChar w:fldCharType="end"/>
      </w:r>
      <w:r w:rsidRPr="00944248">
        <w:rPr>
          <w:lang w:val="ro-RO"/>
        </w:rPr>
        <w:t xml:space="preserve"> prezintă metodologia de decontare pentru ofertele planificate de energie de echilibrare mRRF și RI și include o explicație pentru nedeterminarea prețului și modul de stabilire a prețului în raport cu restricțiile de sistem cu activare programată.</w:t>
      </w:r>
    </w:p>
    <w:p w:rsidR="00946E77" w:rsidRPr="00944248" w:rsidRDefault="00946E77" w:rsidP="00DF776B">
      <w:pPr>
        <w:pStyle w:val="textregular"/>
        <w:numPr>
          <w:ilvl w:val="0"/>
          <w:numId w:val="24"/>
        </w:numPr>
        <w:rPr>
          <w:lang w:val="ro-RO"/>
        </w:rPr>
      </w:pPr>
      <w:r w:rsidRPr="00944248">
        <w:rPr>
          <w:lang w:val="ro-RO"/>
        </w:rPr>
        <w:t xml:space="preserve">Capitolul </w:t>
      </w:r>
      <w:r w:rsidRPr="00944248">
        <w:rPr>
          <w:lang w:val="ro-RO"/>
        </w:rPr>
        <w:fldChar w:fldCharType="begin"/>
      </w:r>
      <w:r w:rsidRPr="00944248">
        <w:rPr>
          <w:lang w:val="ro-RO"/>
        </w:rPr>
        <w:instrText xml:space="preserve"> REF _Ref520998412 \r \h  \* MERGEFORMAT </w:instrText>
      </w:r>
      <w:r w:rsidRPr="00944248">
        <w:rPr>
          <w:lang w:val="ro-RO"/>
        </w:rPr>
      </w:r>
      <w:r w:rsidRPr="00944248">
        <w:rPr>
          <w:lang w:val="ro-RO"/>
        </w:rPr>
        <w:fldChar w:fldCharType="separate"/>
      </w:r>
      <w:r w:rsidRPr="00944248">
        <w:rPr>
          <w:lang w:val="ro-RO"/>
        </w:rPr>
        <w:t>5</w:t>
      </w:r>
      <w:r w:rsidRPr="00944248">
        <w:rPr>
          <w:lang w:val="ro-RO"/>
        </w:rPr>
        <w:fldChar w:fldCharType="end"/>
      </w:r>
      <w:r w:rsidRPr="00944248">
        <w:rPr>
          <w:lang w:val="ro-RO"/>
        </w:rPr>
        <w:t xml:space="preserve"> explică modul de stabilire a prețului metodologiei de decontare pentru mRRF cu activare directă.</w:t>
      </w:r>
    </w:p>
    <w:p w:rsidR="00946E77" w:rsidRPr="00944248" w:rsidRDefault="00946E77" w:rsidP="00DF776B">
      <w:pPr>
        <w:pStyle w:val="textregular"/>
        <w:numPr>
          <w:ilvl w:val="0"/>
          <w:numId w:val="24"/>
        </w:numPr>
        <w:rPr>
          <w:lang w:val="ro-RO"/>
        </w:rPr>
      </w:pPr>
      <w:r w:rsidRPr="00944248">
        <w:rPr>
          <w:lang w:val="ro-RO"/>
        </w:rPr>
        <w:t xml:space="preserve">Capitolul </w:t>
      </w:r>
      <w:r w:rsidRPr="00944248">
        <w:rPr>
          <w:lang w:val="ro-RO"/>
        </w:rPr>
        <w:fldChar w:fldCharType="begin"/>
      </w:r>
      <w:r w:rsidRPr="00944248">
        <w:rPr>
          <w:lang w:val="ro-RO"/>
        </w:rPr>
        <w:instrText xml:space="preserve"> REF _Ref520998415 \r \h  \* MERGEFORMAT </w:instrText>
      </w:r>
      <w:r w:rsidRPr="00944248">
        <w:rPr>
          <w:lang w:val="ro-RO"/>
        </w:rPr>
      </w:r>
      <w:r w:rsidRPr="00944248">
        <w:rPr>
          <w:lang w:val="ro-RO"/>
        </w:rPr>
        <w:fldChar w:fldCharType="separate"/>
      </w:r>
      <w:r w:rsidRPr="00944248">
        <w:rPr>
          <w:lang w:val="ro-RO"/>
        </w:rPr>
        <w:t>6</w:t>
      </w:r>
      <w:r w:rsidRPr="00944248">
        <w:rPr>
          <w:lang w:val="ro-RO"/>
        </w:rPr>
        <w:fldChar w:fldCharType="end"/>
      </w:r>
      <w:r w:rsidRPr="00944248">
        <w:rPr>
          <w:lang w:val="ro-RO"/>
        </w:rPr>
        <w:t xml:space="preserve"> prezintă informații generale cu privire la modul de stabilire a prețului pentru energia de echilibrare din aRRF. Ca urmare a faptului că aRRF este un proces cu buclă închisă, unde calculul solicitării aRRF de către OTS-uri nu depinde doar de dezechilibre, ci și de livrarea efectivă de aRRF de către furnizorii de servicii de echilibrare (FSE-uri), metodologia de decontare pentru aRRF solicită o înțelegere fundamentală a procesului tehnic inerent și a semnalelor. Respectivele informații generale sunt prezentate pe scurt în capitolul </w:t>
      </w:r>
      <w:r w:rsidRPr="00944248">
        <w:rPr>
          <w:lang w:val="ro-RO"/>
        </w:rPr>
        <w:fldChar w:fldCharType="begin"/>
      </w:r>
      <w:r w:rsidRPr="00944248">
        <w:rPr>
          <w:lang w:val="ro-RO"/>
        </w:rPr>
        <w:instrText xml:space="preserve"> REF _Ref520998839 \r \h  \* MERGEFORMAT </w:instrText>
      </w:r>
      <w:r w:rsidRPr="00944248">
        <w:rPr>
          <w:lang w:val="ro-RO"/>
        </w:rPr>
      </w:r>
      <w:r w:rsidRPr="00944248">
        <w:rPr>
          <w:lang w:val="ro-RO"/>
        </w:rPr>
        <w:fldChar w:fldCharType="separate"/>
      </w:r>
      <w:r w:rsidRPr="00944248">
        <w:rPr>
          <w:b/>
          <w:bCs/>
          <w:lang w:val="ro-RO"/>
        </w:rPr>
        <w:t>Error!</w:t>
      </w:r>
      <w:r w:rsidRPr="00944248">
        <w:rPr>
          <w:lang w:val="ro-RO"/>
        </w:rPr>
        <w:t xml:space="preserve"> </w:t>
      </w:r>
      <w:r w:rsidRPr="00944248">
        <w:rPr>
          <w:b/>
          <w:bCs/>
          <w:lang w:val="ro-RO"/>
        </w:rPr>
        <w:t>Reference source not found.</w:t>
      </w:r>
      <w:r w:rsidRPr="00944248">
        <w:rPr>
          <w:lang w:val="ro-RO"/>
        </w:rPr>
        <w:fldChar w:fldCharType="end"/>
      </w:r>
      <w:r w:rsidRPr="00944248">
        <w:rPr>
          <w:lang w:val="ro-RO"/>
        </w:rPr>
        <w:t>. X</w:t>
      </w:r>
    </w:p>
    <w:p w:rsidR="00946E77" w:rsidRPr="00944248" w:rsidRDefault="00946E77" w:rsidP="00DD58FA">
      <w:pPr>
        <w:pStyle w:val="textregular"/>
        <w:numPr>
          <w:ilvl w:val="0"/>
          <w:numId w:val="24"/>
        </w:numPr>
        <w:rPr>
          <w:lang w:val="ro-RO"/>
        </w:rPr>
      </w:pPr>
      <w:r w:rsidRPr="00944248">
        <w:rPr>
          <w:lang w:val="ro-RO"/>
        </w:rPr>
        <w:t xml:space="preserve">Capitolul </w:t>
      </w:r>
      <w:r w:rsidRPr="00944248">
        <w:rPr>
          <w:lang w:val="ro-RO"/>
        </w:rPr>
        <w:fldChar w:fldCharType="begin"/>
      </w:r>
      <w:r w:rsidRPr="00944248">
        <w:rPr>
          <w:lang w:val="ro-RO"/>
        </w:rPr>
        <w:instrText xml:space="preserve"> REF _Ref521323980 \r \h  \* MERGEFORMAT </w:instrText>
      </w:r>
      <w:r w:rsidRPr="00944248">
        <w:rPr>
          <w:lang w:val="ro-RO"/>
        </w:rPr>
      </w:r>
      <w:r w:rsidRPr="00944248">
        <w:rPr>
          <w:lang w:val="ro-RO"/>
        </w:rPr>
        <w:fldChar w:fldCharType="separate"/>
      </w:r>
      <w:r w:rsidRPr="00944248">
        <w:rPr>
          <w:b/>
          <w:bCs/>
          <w:lang w:val="ro-RO"/>
        </w:rPr>
        <w:t>Error!</w:t>
      </w:r>
      <w:r w:rsidRPr="00944248">
        <w:rPr>
          <w:lang w:val="ro-RO"/>
        </w:rPr>
        <w:t xml:space="preserve"> </w:t>
      </w:r>
      <w:r w:rsidRPr="00944248">
        <w:rPr>
          <w:b/>
          <w:bCs/>
          <w:lang w:val="ro-RO"/>
        </w:rPr>
        <w:t>Reference source not found.</w:t>
      </w:r>
      <w:r w:rsidRPr="00944248">
        <w:rPr>
          <w:lang w:val="ro-RO"/>
        </w:rPr>
        <w:fldChar w:fldCharType="end"/>
      </w:r>
      <w:r w:rsidRPr="00944248">
        <w:rPr>
          <w:lang w:val="ro-RO"/>
        </w:rPr>
        <w:t xml:space="preserve"> prezintă restul aspectelor ce țin de metodologia de stabilire a prețului, cum ar fi stabilirea prețului produselor specifice (Capitolul </w:t>
      </w:r>
      <w:r w:rsidRPr="00944248">
        <w:rPr>
          <w:lang w:val="ro-RO"/>
        </w:rPr>
        <w:fldChar w:fldCharType="begin"/>
      </w:r>
      <w:r w:rsidRPr="00944248">
        <w:rPr>
          <w:lang w:val="ro-RO"/>
        </w:rPr>
        <w:instrText xml:space="preserve"> REF _Ref520998965 \r \h  \* MERGEFORMAT </w:instrText>
      </w:r>
      <w:r w:rsidRPr="00944248">
        <w:rPr>
          <w:lang w:val="ro-RO"/>
        </w:rPr>
      </w:r>
      <w:r w:rsidRPr="00944248">
        <w:rPr>
          <w:lang w:val="ro-RO"/>
        </w:rPr>
        <w:fldChar w:fldCharType="separate"/>
      </w:r>
      <w:r w:rsidRPr="00944248">
        <w:rPr>
          <w:b/>
          <w:bCs/>
          <w:lang w:val="ro-RO"/>
        </w:rPr>
        <w:t>Error!</w:t>
      </w:r>
      <w:r w:rsidRPr="00944248">
        <w:rPr>
          <w:lang w:val="ro-RO"/>
        </w:rPr>
        <w:t xml:space="preserve"> </w:t>
      </w:r>
      <w:r w:rsidRPr="00944248">
        <w:rPr>
          <w:b/>
          <w:bCs/>
          <w:lang w:val="ro-RO"/>
        </w:rPr>
        <w:t>Reference source not found.</w:t>
      </w:r>
      <w:r w:rsidRPr="00944248">
        <w:rPr>
          <w:lang w:val="ro-RO"/>
        </w:rPr>
        <w:fldChar w:fldCharType="end"/>
      </w:r>
      <w:r w:rsidRPr="00944248">
        <w:rPr>
          <w:lang w:val="ro-RO"/>
        </w:rPr>
        <w:t xml:space="preserve">) și stabilirea prețului capacităților interzonale (Capitolul </w:t>
      </w:r>
      <w:r w:rsidRPr="00944248">
        <w:rPr>
          <w:lang w:val="ro-RO"/>
        </w:rPr>
        <w:fldChar w:fldCharType="begin"/>
      </w:r>
      <w:r w:rsidRPr="00944248">
        <w:rPr>
          <w:lang w:val="ro-RO"/>
        </w:rPr>
        <w:instrText xml:space="preserve"> REF _Ref520998969 \r \h  \* MERGEFORMAT </w:instrText>
      </w:r>
      <w:r w:rsidRPr="00944248">
        <w:rPr>
          <w:lang w:val="ro-RO"/>
        </w:rPr>
      </w:r>
      <w:r w:rsidRPr="00944248">
        <w:rPr>
          <w:lang w:val="ro-RO"/>
        </w:rPr>
        <w:fldChar w:fldCharType="separate"/>
      </w:r>
      <w:r w:rsidRPr="00944248">
        <w:rPr>
          <w:b/>
          <w:bCs/>
          <w:lang w:val="ro-RO"/>
        </w:rPr>
        <w:t>Error!</w:t>
      </w:r>
      <w:r w:rsidRPr="00944248">
        <w:rPr>
          <w:lang w:val="ro-RO"/>
        </w:rPr>
        <w:t xml:space="preserve"> </w:t>
      </w:r>
      <w:r w:rsidRPr="00944248">
        <w:rPr>
          <w:b/>
          <w:bCs/>
          <w:lang w:val="ro-RO"/>
        </w:rPr>
        <w:t>Reference source not found.</w:t>
      </w:r>
      <w:r w:rsidRPr="00944248">
        <w:rPr>
          <w:lang w:val="ro-RO"/>
        </w:rPr>
        <w:fldChar w:fldCharType="end"/>
      </w:r>
      <w:r w:rsidRPr="00944248">
        <w:rPr>
          <w:lang w:val="ro-RO"/>
        </w:rPr>
        <w:t xml:space="preserve">) pentru procesul de decontare a compensării dezechilibrelor. De asemenea, capitolul </w:t>
      </w:r>
      <w:r w:rsidRPr="00944248">
        <w:rPr>
          <w:lang w:val="ro-RO"/>
        </w:rPr>
        <w:fldChar w:fldCharType="begin"/>
      </w:r>
      <w:r w:rsidRPr="00944248">
        <w:rPr>
          <w:lang w:val="ro-RO"/>
        </w:rPr>
        <w:instrText xml:space="preserve"> REF _Ref520998967 \r \h  \* MERGEFORMAT </w:instrText>
      </w:r>
      <w:r w:rsidRPr="00944248">
        <w:rPr>
          <w:lang w:val="ro-RO"/>
        </w:rPr>
      </w:r>
      <w:r w:rsidRPr="00944248">
        <w:rPr>
          <w:lang w:val="ro-RO"/>
        </w:rPr>
        <w:fldChar w:fldCharType="separate"/>
      </w:r>
      <w:r w:rsidRPr="00944248">
        <w:rPr>
          <w:b/>
          <w:bCs/>
          <w:lang w:val="ro-RO"/>
        </w:rPr>
        <w:t>Error!</w:t>
      </w:r>
      <w:r w:rsidRPr="00944248">
        <w:rPr>
          <w:lang w:val="ro-RO"/>
        </w:rPr>
        <w:t xml:space="preserve"> </w:t>
      </w:r>
      <w:r w:rsidRPr="00944248">
        <w:rPr>
          <w:b/>
          <w:bCs/>
          <w:lang w:val="ro-RO"/>
        </w:rPr>
        <w:t>Reference source not found.</w:t>
      </w:r>
      <w:r w:rsidRPr="00944248">
        <w:rPr>
          <w:lang w:val="ro-RO"/>
        </w:rPr>
        <w:fldChar w:fldCharType="end"/>
      </w:r>
      <w:r w:rsidRPr="00944248">
        <w:rPr>
          <w:lang w:val="ro-RO"/>
        </w:rPr>
        <w:t xml:space="preserve"> prezintă o scurtă explicație cu privire la determinarea valorii activării aRRF evitate și determinarea prețului decontării aferent modelelor de dispecerizare la nivel central.</w:t>
      </w:r>
    </w:p>
    <w:p w:rsidR="00946E77" w:rsidRPr="00944248" w:rsidRDefault="00946E77" w:rsidP="00946E77">
      <w:pPr>
        <w:pStyle w:val="textregular"/>
        <w:rPr>
          <w:lang w:val="ro-RO"/>
        </w:rPr>
      </w:pPr>
      <w:r w:rsidRPr="00944248">
        <w:rPr>
          <w:szCs w:val="22"/>
          <w:lang w:val="ro-RO"/>
        </w:rPr>
        <w:t xml:space="preserve">Împreună cu toate propunerile OTS-urilor pentru cadrele de punere în aplicare, SP va duce la o nouă piață europeană pentru RI, mRRF și aRRF. Acest lucru va spori eficiența piețelor de echilibrare a energiei și competitivitatea și va genera multe schimbări pentru părțile interesate, atât din perspectiva eforturilor de armonizare, cât și din perspectiva integrării piețelor. </w:t>
      </w:r>
    </w:p>
    <w:p w:rsidR="00946E77" w:rsidRPr="00944248" w:rsidRDefault="00946E77" w:rsidP="003E7D21">
      <w:pPr>
        <w:pStyle w:val="textregular"/>
        <w:rPr>
          <w:lang w:val="ro-RO"/>
        </w:rPr>
      </w:pPr>
    </w:p>
    <w:p w:rsidR="00735BA0" w:rsidRPr="00944248" w:rsidRDefault="00AE364D" w:rsidP="005779B7">
      <w:pPr>
        <w:pStyle w:val="Headline14pt"/>
        <w:numPr>
          <w:ilvl w:val="0"/>
          <w:numId w:val="8"/>
        </w:numPr>
        <w:jc w:val="both"/>
        <w:outlineLvl w:val="0"/>
        <w:rPr>
          <w:lang w:val="ro-RO"/>
        </w:rPr>
      </w:pPr>
      <w:bookmarkStart w:id="38" w:name="_Toc523816544"/>
      <w:bookmarkStart w:id="39" w:name="_Toc522195277"/>
      <w:bookmarkStart w:id="40" w:name="_Toc522181340"/>
      <w:bookmarkStart w:id="41" w:name="_Ref520999583"/>
      <w:bookmarkStart w:id="42" w:name="_Toc520999249"/>
      <w:bookmarkStart w:id="43" w:name="_Ref520997675"/>
      <w:bookmarkStart w:id="44" w:name="_Ref520994207"/>
      <w:bookmarkStart w:id="45" w:name="_Toc520993438"/>
      <w:bookmarkStart w:id="46" w:name="_Toc520993116"/>
      <w:bookmarkStart w:id="47" w:name="_Toc520316933"/>
      <w:bookmarkStart w:id="48" w:name="_Toc531787026"/>
      <w:bookmarkStart w:id="49" w:name="_Toc531687673"/>
      <w:bookmarkStart w:id="50" w:name="_Toc535158314"/>
      <w:r w:rsidRPr="00944248">
        <w:rPr>
          <w:bCs/>
          <w:lang w:val="ro-RO"/>
        </w:rPr>
        <w:lastRenderedPageBreak/>
        <w:t xml:space="preserve">Cerințele EB GL cu privire la </w:t>
      </w:r>
      <w:bookmarkEnd w:id="38"/>
      <w:bookmarkEnd w:id="39"/>
      <w:bookmarkEnd w:id="40"/>
      <w:bookmarkEnd w:id="41"/>
      <w:bookmarkEnd w:id="42"/>
      <w:bookmarkEnd w:id="43"/>
      <w:bookmarkEnd w:id="44"/>
      <w:bookmarkEnd w:id="45"/>
      <w:bookmarkEnd w:id="46"/>
      <w:bookmarkEnd w:id="47"/>
      <w:r w:rsidRPr="00944248">
        <w:rPr>
          <w:bCs/>
          <w:lang w:val="ro-RO"/>
        </w:rPr>
        <w:t>regulile de decontare OTS-OTS</w:t>
      </w:r>
      <w:bookmarkEnd w:id="48"/>
      <w:bookmarkEnd w:id="49"/>
      <w:bookmarkEnd w:id="50"/>
    </w:p>
    <w:p w:rsidR="00946E77" w:rsidRPr="00944248" w:rsidRDefault="00946E77" w:rsidP="001705A5">
      <w:pPr>
        <w:pStyle w:val="textregular"/>
        <w:rPr>
          <w:lang w:val="ro-RO"/>
        </w:rPr>
      </w:pPr>
      <w:r w:rsidRPr="00944248">
        <w:rPr>
          <w:lang w:val="ro-RO"/>
        </w:rPr>
        <w:t>Articolul 50 din Regulamentul (UE) 2017/2195 al Comisiei din 23 noiembrie 2017 de stabilire a unei linii directoare privind echilibrarea sistemului de energie electrică (numit în continuare „EB GL”) impune tuturor OTS-urilor să elaboreze o propunere pentru normele comune în materie de decontare aplicabile tuturor schimburilor planificate de energie ce rezultă din procesul de înlocuire a rezervelor, procesul de restabilire a frecvenței cu activare manuală și automată și procesul de compensare a dezechilibrelor. Prezenta secțiune prezintă pe scurt cerințele principale stabilite de EB GL pentru SP.</w:t>
      </w:r>
    </w:p>
    <w:p w:rsidR="00946E77" w:rsidRPr="00944248" w:rsidRDefault="00946E77" w:rsidP="00946E77">
      <w:pPr>
        <w:pStyle w:val="textregular"/>
        <w:rPr>
          <w:lang w:val="ro-RO"/>
        </w:rPr>
      </w:pPr>
      <w:bookmarkStart w:id="51" w:name="_Toc531687674"/>
      <w:bookmarkStart w:id="52" w:name="_Toc531268853"/>
      <w:bookmarkStart w:id="53" w:name="_Toc523816545"/>
      <w:bookmarkStart w:id="54" w:name="_Toc522195278"/>
      <w:bookmarkStart w:id="55" w:name="_Toc522181341"/>
      <w:bookmarkStart w:id="56" w:name="_Toc520999250"/>
      <w:bookmarkStart w:id="57" w:name="_Toc520316934"/>
      <w:bookmarkStart w:id="58" w:name="_Ref520207025"/>
      <w:bookmarkStart w:id="59" w:name="_Toc531787027"/>
      <w:bookmarkEnd w:id="51"/>
      <w:bookmarkEnd w:id="52"/>
      <w:bookmarkEnd w:id="53"/>
      <w:bookmarkEnd w:id="54"/>
      <w:bookmarkEnd w:id="55"/>
      <w:bookmarkEnd w:id="56"/>
      <w:bookmarkEnd w:id="57"/>
      <w:bookmarkEnd w:id="58"/>
      <w:bookmarkEnd w:id="59"/>
      <w:r w:rsidRPr="00944248">
        <w:rPr>
          <w:lang w:val="ro-RO"/>
        </w:rPr>
        <w:t>Articolul 50 (1) din EB GL reprezintă temeiul juridic pentru propunere:</w:t>
      </w:r>
    </w:p>
    <w:p w:rsidR="00946E77" w:rsidRPr="00944248" w:rsidRDefault="00946E77" w:rsidP="00BD46FE">
      <w:pPr>
        <w:pStyle w:val="textregular"/>
        <w:ind w:left="284"/>
        <w:rPr>
          <w:szCs w:val="22"/>
          <w:lang w:val="ro-RO"/>
        </w:rPr>
      </w:pPr>
      <w:r w:rsidRPr="00944248">
        <w:rPr>
          <w:i/>
          <w:iCs/>
          <w:szCs w:val="22"/>
          <w:lang w:val="ro-RO"/>
        </w:rPr>
        <w:t>„În termen de un an de la intrarea în vigoare a prezentului regulament, toate OTS-urile elaborează o propunere de norme comune în materie de decontare aplicabile tuturor schimburilor planificate de energie, ca rezultat al unuia sau a mai multora dintre procesele următoare, în temeiul articolelor 146, 147 și 148 din Regulamentul (UE) 2017/1485, pentru fiecare dintre următoarele procese.</w:t>
      </w:r>
    </w:p>
    <w:p w:rsidR="0022033F" w:rsidRPr="00944248" w:rsidRDefault="0022033F" w:rsidP="00BD46FE">
      <w:pPr>
        <w:pStyle w:val="textregular"/>
        <w:ind w:left="284"/>
        <w:rPr>
          <w:i/>
          <w:szCs w:val="22"/>
          <w:lang w:val="ro-RO"/>
        </w:rPr>
      </w:pPr>
      <w:r w:rsidRPr="00944248">
        <w:rPr>
          <w:i/>
          <w:iCs/>
          <w:szCs w:val="22"/>
          <w:lang w:val="ro-RO"/>
        </w:rPr>
        <w:t xml:space="preserve">(a) procesul de înlocuire a rezervelor; </w:t>
      </w:r>
    </w:p>
    <w:p w:rsidR="0022033F" w:rsidRPr="00944248" w:rsidRDefault="0022033F" w:rsidP="00BD46FE">
      <w:pPr>
        <w:pStyle w:val="textregular"/>
        <w:ind w:left="284"/>
        <w:rPr>
          <w:i/>
          <w:szCs w:val="22"/>
          <w:lang w:val="ro-RO"/>
        </w:rPr>
      </w:pPr>
      <w:r w:rsidRPr="00944248">
        <w:rPr>
          <w:i/>
          <w:iCs/>
          <w:szCs w:val="22"/>
          <w:lang w:val="ro-RO"/>
        </w:rPr>
        <w:t xml:space="preserve">(b) procesul de restabilire a frecvenței cu activare manuală; </w:t>
      </w:r>
    </w:p>
    <w:p w:rsidR="0022033F" w:rsidRPr="00944248" w:rsidRDefault="0022033F" w:rsidP="00BD46FE">
      <w:pPr>
        <w:pStyle w:val="textregular"/>
        <w:ind w:left="284"/>
        <w:rPr>
          <w:i/>
          <w:szCs w:val="22"/>
          <w:lang w:val="ro-RO"/>
        </w:rPr>
      </w:pPr>
      <w:r w:rsidRPr="00944248">
        <w:rPr>
          <w:i/>
          <w:iCs/>
          <w:szCs w:val="22"/>
          <w:lang w:val="ro-RO"/>
        </w:rPr>
        <w:t xml:space="preserve">(c) procesul de restabilire a frecvenței cu activare automată; </w:t>
      </w:r>
    </w:p>
    <w:p w:rsidR="0022033F" w:rsidRPr="00944248" w:rsidRDefault="0022033F" w:rsidP="00BD46FE">
      <w:pPr>
        <w:pStyle w:val="textregular"/>
        <w:ind w:left="284"/>
        <w:rPr>
          <w:i/>
          <w:szCs w:val="22"/>
          <w:lang w:val="ro-RO"/>
        </w:rPr>
      </w:pPr>
      <w:r w:rsidRPr="00944248">
        <w:rPr>
          <w:i/>
          <w:iCs/>
          <w:szCs w:val="22"/>
          <w:lang w:val="ro-RO"/>
        </w:rPr>
        <w:t>(d) procesul de compensare a dezechilibrelor”.</w:t>
      </w:r>
    </w:p>
    <w:p w:rsidR="00A82A7A" w:rsidRPr="00944248" w:rsidRDefault="00A82A7A" w:rsidP="00A82A7A">
      <w:pPr>
        <w:pStyle w:val="textregular"/>
        <w:rPr>
          <w:lang w:val="ro-RO"/>
        </w:rPr>
      </w:pPr>
      <w:r w:rsidRPr="00944248">
        <w:rPr>
          <w:lang w:val="ro-RO"/>
        </w:rPr>
        <w:t>Articolul 50 (5) din EB GL stabilește domeniul minim de aplicare a propunerii:</w:t>
      </w:r>
    </w:p>
    <w:p w:rsidR="00A82A7A" w:rsidRPr="00944248" w:rsidRDefault="00A82A7A" w:rsidP="00A82A7A">
      <w:pPr>
        <w:pStyle w:val="textregular"/>
        <w:ind w:left="284"/>
        <w:rPr>
          <w:szCs w:val="22"/>
          <w:lang w:val="ro-RO"/>
        </w:rPr>
      </w:pPr>
      <w:r w:rsidRPr="00944248">
        <w:rPr>
          <w:i/>
          <w:iCs/>
          <w:szCs w:val="22"/>
          <w:lang w:val="ro-RO"/>
        </w:rPr>
        <w:t>”Normele comune în materie de decontare în conformitate cu alineatul (1) conțin cel puțin dispozițiile conform cărora schimbul planificat de energie se calculează pe baza următoarelor criterii:</w:t>
      </w:r>
    </w:p>
    <w:p w:rsidR="00A82A7A" w:rsidRPr="00944248" w:rsidRDefault="00A82A7A" w:rsidP="00A82A7A">
      <w:pPr>
        <w:pStyle w:val="textregular"/>
        <w:ind w:left="284"/>
        <w:rPr>
          <w:i/>
          <w:szCs w:val="22"/>
          <w:lang w:val="ro-RO"/>
        </w:rPr>
      </w:pPr>
      <w:r w:rsidRPr="00944248">
        <w:rPr>
          <w:i/>
          <w:iCs/>
          <w:szCs w:val="22"/>
          <w:lang w:val="ro-RO"/>
        </w:rPr>
        <w:t xml:space="preserve">(a) pe parcursul perioadelor convenite între OTS-urile relevante; </w:t>
      </w:r>
    </w:p>
    <w:p w:rsidR="00A82A7A" w:rsidRPr="00944248" w:rsidRDefault="00A82A7A" w:rsidP="00A82A7A">
      <w:pPr>
        <w:pStyle w:val="textregular"/>
        <w:ind w:left="284"/>
        <w:rPr>
          <w:i/>
          <w:szCs w:val="22"/>
          <w:lang w:val="ro-RO"/>
        </w:rPr>
      </w:pPr>
      <w:r w:rsidRPr="00944248">
        <w:rPr>
          <w:i/>
          <w:iCs/>
          <w:szCs w:val="22"/>
          <w:lang w:val="ro-RO"/>
        </w:rPr>
        <w:t xml:space="preserve">(b) </w:t>
      </w:r>
      <w:r w:rsidRPr="00944248">
        <w:rPr>
          <w:i/>
          <w:iCs/>
          <w:szCs w:val="24"/>
          <w:lang w:val="ro-RO"/>
        </w:rPr>
        <w:t>pe direcție</w:t>
      </w:r>
      <w:r w:rsidRPr="00944248">
        <w:rPr>
          <w:i/>
          <w:iCs/>
          <w:szCs w:val="22"/>
          <w:lang w:val="ro-RO"/>
        </w:rPr>
        <w:t>;</w:t>
      </w:r>
      <w:r w:rsidRPr="00944248">
        <w:rPr>
          <w:szCs w:val="22"/>
          <w:lang w:val="ro-RO"/>
        </w:rPr>
        <w:t xml:space="preserve"> </w:t>
      </w:r>
    </w:p>
    <w:p w:rsidR="00A82A7A" w:rsidRPr="00944248" w:rsidRDefault="00A82A7A" w:rsidP="00A82A7A">
      <w:pPr>
        <w:pStyle w:val="textregular"/>
        <w:ind w:left="284"/>
        <w:rPr>
          <w:i/>
          <w:szCs w:val="22"/>
          <w:lang w:val="ro-RO"/>
        </w:rPr>
      </w:pPr>
      <w:r w:rsidRPr="00944248">
        <w:rPr>
          <w:i/>
          <w:iCs/>
          <w:szCs w:val="22"/>
          <w:lang w:val="ro-RO"/>
        </w:rPr>
        <w:t>(c) ca integrală a transferului de putere calculat pentru perioadele menționate la alineatul 5 litera (a).”</w:t>
      </w:r>
    </w:p>
    <w:p w:rsidR="00A82A7A" w:rsidRPr="00944248" w:rsidRDefault="00447360" w:rsidP="00A82A7A">
      <w:pPr>
        <w:pStyle w:val="textregular"/>
        <w:rPr>
          <w:lang w:val="ro-RO"/>
        </w:rPr>
      </w:pPr>
      <w:r w:rsidRPr="00944248">
        <w:rPr>
          <w:lang w:val="ro-RO"/>
        </w:rPr>
        <w:t xml:space="preserve">În plus, EB GL stabilește legătura dintre propunerea privind decontarea și propunerea privind stabilirea prețului. Articolul 50 (6) din EB GL prevede că regulile de decontare cu privire la RI, mRRF și aRRF trebuie să ia în considerare prețurile energiei de echilibrare respective și modul de stabilire a prețului capacității interzonale: </w:t>
      </w:r>
    </w:p>
    <w:p w:rsidR="00447360" w:rsidRPr="00944248" w:rsidRDefault="00447360" w:rsidP="00447360">
      <w:pPr>
        <w:pStyle w:val="textregular"/>
        <w:ind w:left="284"/>
        <w:rPr>
          <w:szCs w:val="22"/>
          <w:lang w:val="ro-RO"/>
        </w:rPr>
      </w:pPr>
      <w:r w:rsidRPr="00944248">
        <w:rPr>
          <w:i/>
          <w:iCs/>
          <w:szCs w:val="22"/>
          <w:lang w:val="ro-RO"/>
        </w:rPr>
        <w:t>„Normele comune în materie de decontare aplicabile schimburilor planificate de energie în conformitate cu alineatul (1) literele (a), (b) și (c) iau în considerare:</w:t>
      </w:r>
    </w:p>
    <w:p w:rsidR="00447360" w:rsidRPr="00944248" w:rsidRDefault="00447360" w:rsidP="00447360">
      <w:pPr>
        <w:pStyle w:val="textregular"/>
        <w:ind w:left="284"/>
        <w:rPr>
          <w:i/>
          <w:szCs w:val="22"/>
          <w:lang w:val="ro-RO"/>
        </w:rPr>
      </w:pPr>
      <w:r w:rsidRPr="00944248">
        <w:rPr>
          <w:i/>
          <w:iCs/>
          <w:szCs w:val="22"/>
          <w:lang w:val="ro-RO"/>
        </w:rPr>
        <w:t xml:space="preserve">(a) toate prețurile energiei de echilibrare stabilite în temeiul articolului 30 alineatul (1); </w:t>
      </w:r>
    </w:p>
    <w:p w:rsidR="00447360" w:rsidRPr="00944248" w:rsidRDefault="00447360" w:rsidP="00447360">
      <w:pPr>
        <w:pStyle w:val="textregular"/>
        <w:ind w:left="284"/>
        <w:rPr>
          <w:i/>
          <w:szCs w:val="22"/>
          <w:lang w:val="ro-RO"/>
        </w:rPr>
      </w:pPr>
      <w:r w:rsidRPr="00944248">
        <w:rPr>
          <w:i/>
          <w:iCs/>
          <w:szCs w:val="22"/>
          <w:lang w:val="ro-RO"/>
        </w:rPr>
        <w:t>(b)</w:t>
      </w:r>
      <w:r w:rsidR="00FF07F0">
        <w:rPr>
          <w:i/>
          <w:iCs/>
          <w:szCs w:val="22"/>
          <w:lang w:val="ro-RO"/>
        </w:rPr>
        <w:t xml:space="preserve"> </w:t>
      </w:r>
      <w:r w:rsidRPr="00944248">
        <w:rPr>
          <w:i/>
          <w:iCs/>
          <w:szCs w:val="24"/>
          <w:lang w:val="ro-RO"/>
        </w:rPr>
        <w:t>metodologia pentru stabilirea prețului capacității interzonale utilizate pentru schimbul de energie de echilibrare, în temeiul articolului 30 alineatul (3).”</w:t>
      </w:r>
    </w:p>
    <w:p w:rsidR="007C582A" w:rsidRPr="00944248" w:rsidRDefault="00707D4A" w:rsidP="007C582A">
      <w:pPr>
        <w:pStyle w:val="textregular"/>
        <w:rPr>
          <w:lang w:val="ro-RO"/>
        </w:rPr>
      </w:pPr>
      <w:r w:rsidRPr="00944248">
        <w:rPr>
          <w:lang w:val="ro-RO"/>
        </w:rPr>
        <w:t>O cerință similară pentru regulile de decontare cu privire la procesul de compensare a dezechilibrelor este prevăzută în articolul 50 (7) din EB GL care stabilește luarea în considerare a respectivei metodologii de stabilire a prețului capacității interzonale.</w:t>
      </w:r>
    </w:p>
    <w:p w:rsidR="002958C5" w:rsidRPr="00944248" w:rsidRDefault="002958C5" w:rsidP="005779B7">
      <w:pPr>
        <w:pStyle w:val="Headline14pt"/>
        <w:numPr>
          <w:ilvl w:val="0"/>
          <w:numId w:val="8"/>
        </w:numPr>
        <w:jc w:val="both"/>
        <w:outlineLvl w:val="0"/>
        <w:rPr>
          <w:lang w:val="ro-RO"/>
        </w:rPr>
      </w:pPr>
      <w:bookmarkStart w:id="60" w:name="_Ref531797243"/>
      <w:bookmarkStart w:id="61" w:name="_Toc531687676"/>
      <w:bookmarkStart w:id="62" w:name="_Toc523816550"/>
      <w:bookmarkStart w:id="63" w:name="_Toc522195283"/>
      <w:bookmarkStart w:id="64" w:name="_Toc522181346"/>
      <w:bookmarkStart w:id="65" w:name="_Toc520999256"/>
      <w:bookmarkStart w:id="66" w:name="_Ref520997858"/>
      <w:bookmarkStart w:id="67" w:name="_Toc520993439"/>
      <w:bookmarkStart w:id="68" w:name="_Toc520993117"/>
      <w:bookmarkStart w:id="69" w:name="_Toc520316940"/>
      <w:bookmarkStart w:id="70" w:name="_Toc535158315"/>
      <w:bookmarkStart w:id="71" w:name="_Toc531787028"/>
      <w:bookmarkStart w:id="72" w:name="_Ref520204149"/>
      <w:bookmarkStart w:id="73" w:name="_Ref520204151"/>
      <w:r w:rsidRPr="00944248">
        <w:rPr>
          <w:bCs/>
          <w:lang w:val="ro-RO"/>
        </w:rPr>
        <w:lastRenderedPageBreak/>
        <w:t>Principii generale</w:t>
      </w:r>
      <w:bookmarkEnd w:id="60"/>
      <w:bookmarkEnd w:id="61"/>
      <w:bookmarkEnd w:id="62"/>
      <w:bookmarkEnd w:id="63"/>
      <w:bookmarkEnd w:id="64"/>
      <w:bookmarkEnd w:id="65"/>
      <w:bookmarkEnd w:id="66"/>
      <w:bookmarkEnd w:id="67"/>
      <w:bookmarkEnd w:id="68"/>
      <w:bookmarkEnd w:id="69"/>
      <w:bookmarkEnd w:id="70"/>
    </w:p>
    <w:bookmarkEnd w:id="71"/>
    <w:p w:rsidR="007D501E" w:rsidRPr="00944248" w:rsidRDefault="007D501E" w:rsidP="00A668B6">
      <w:pPr>
        <w:pStyle w:val="textregular"/>
        <w:spacing w:after="260" w:line="260" w:lineRule="atLeast"/>
        <w:rPr>
          <w:lang w:val="ro-RO"/>
        </w:rPr>
      </w:pPr>
      <w:r w:rsidRPr="00944248">
        <w:rPr>
          <w:lang w:val="ro-RO"/>
        </w:rPr>
        <w:t>Drept rezultat al dezvoltării cadrelor de implementare în conformitate cu articolele 19, 20, 21 și 22 din EB GL vor apărea schimburile transfrontaliere de energie de echilibrare și compensare definite de EB GL drept schimburi planificate de energie. SP împarte schimburile planificate de energie în schimburi planificate de energie care provin din aRRF, mRRF, RI și platforma pentru compensarea dezechilibrelor.</w:t>
      </w:r>
    </w:p>
    <w:p w:rsidR="007D501E" w:rsidRPr="00944248" w:rsidRDefault="007D501E" w:rsidP="00A668B6">
      <w:pPr>
        <w:pStyle w:val="textregular"/>
        <w:spacing w:after="260" w:line="260" w:lineRule="atLeast"/>
        <w:rPr>
          <w:lang w:val="ro-RO"/>
        </w:rPr>
      </w:pPr>
      <w:r w:rsidRPr="00944248">
        <w:rPr>
          <w:lang w:val="ro-RO"/>
        </w:rPr>
        <w:t xml:space="preserve">În SP se propune ca volumele schimburilor planificate să fie decontate separat în funcție de produs (cu o diferențiere suplimentară între tipurile de mRRF cu tipul activării programate sau directe). Cu alte cuvinte, volumul total al schimburilor planificate între OTS-uri nu este tratat drept un singur volum de decontat ci, va avea loc o separare a volumelor în funcție de platforma din care rezultă și direcția în care fiecare schimb planificat de energie este schimbat din fiecare platformă. </w:t>
      </w:r>
      <w:r w:rsidRPr="00944248">
        <w:rPr>
          <w:lang w:val="ro-RO"/>
        </w:rPr>
        <w:fldChar w:fldCharType="begin"/>
      </w:r>
      <w:r w:rsidRPr="00944248">
        <w:rPr>
          <w:lang w:val="ro-RO"/>
        </w:rPr>
        <w:instrText xml:space="preserve"> REF _Ref531787712 \h </w:instrText>
      </w:r>
      <w:r w:rsidRPr="00944248">
        <w:rPr>
          <w:lang w:val="ro-RO"/>
        </w:rPr>
      </w:r>
      <w:r w:rsidRPr="00944248">
        <w:rPr>
          <w:lang w:val="ro-RO"/>
        </w:rPr>
        <w:fldChar w:fldCharType="separate"/>
      </w:r>
      <w:r w:rsidRPr="00944248">
        <w:rPr>
          <w:lang w:val="ro-RO"/>
        </w:rPr>
        <w:t>Figura 1</w:t>
      </w:r>
      <w:r w:rsidRPr="00944248">
        <w:rPr>
          <w:lang w:val="ro-RO"/>
        </w:rPr>
        <w:fldChar w:fldCharType="end"/>
      </w:r>
      <w:r w:rsidRPr="00944248">
        <w:rPr>
          <w:lang w:val="ro-RO"/>
        </w:rPr>
        <w:t xml:space="preserve"> ilustrează separarea schimbului planificat în diferite volume.</w:t>
      </w:r>
    </w:p>
    <w:p w:rsidR="007D501E" w:rsidRPr="00944248" w:rsidRDefault="006A6E4F" w:rsidP="0087775B">
      <w:pPr>
        <w:pStyle w:val="textregular"/>
        <w:keepNext/>
        <w:spacing w:after="0" w:line="260" w:lineRule="atLeast"/>
        <w:rPr>
          <w:lang w:val="ro-RO"/>
        </w:rPr>
      </w:pPr>
      <w:r w:rsidRPr="00944248">
        <w:rPr>
          <w:noProof/>
          <w:lang w:val="ro-RO"/>
        </w:rPr>
        <w:drawing>
          <wp:inline distT="0" distB="0" distL="0" distR="0">
            <wp:extent cx="6047740" cy="173609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47740" cy="1736090"/>
                    </a:xfrm>
                    <a:prstGeom prst="rect">
                      <a:avLst/>
                    </a:prstGeom>
                  </pic:spPr>
                </pic:pic>
              </a:graphicData>
            </a:graphic>
          </wp:inline>
        </w:drawing>
      </w:r>
    </w:p>
    <w:p w:rsidR="007D501E" w:rsidRPr="00944248" w:rsidRDefault="007D501E" w:rsidP="00A668B6">
      <w:pPr>
        <w:pStyle w:val="Caption"/>
        <w:ind w:left="360" w:firstLine="0"/>
        <w:rPr>
          <w:lang w:val="ro-RO"/>
        </w:rPr>
      </w:pPr>
      <w:bookmarkStart w:id="74" w:name="_Ref531787712"/>
      <w:bookmarkStart w:id="75" w:name="_Toc531367160"/>
      <w:bookmarkStart w:id="76" w:name="_Toc535158333"/>
      <w:r w:rsidRPr="00944248">
        <w:rPr>
          <w:lang w:val="ro-RO"/>
        </w:rPr>
        <w:t xml:space="preserve">Figura </w:t>
      </w:r>
      <w:r w:rsidRPr="00944248">
        <w:rPr>
          <w:lang w:val="ro-RO"/>
        </w:rPr>
        <w:fldChar w:fldCharType="begin"/>
      </w:r>
      <w:r w:rsidRPr="00944248">
        <w:rPr>
          <w:lang w:val="ro-RO"/>
        </w:rPr>
        <w:instrText xml:space="preserve"> SEQ Figure \* ARABIC </w:instrText>
      </w:r>
      <w:r w:rsidRPr="00944248">
        <w:rPr>
          <w:lang w:val="ro-RO"/>
        </w:rPr>
        <w:fldChar w:fldCharType="separate"/>
      </w:r>
      <w:r w:rsidRPr="00944248">
        <w:rPr>
          <w:lang w:val="ro-RO"/>
        </w:rPr>
        <w:t>1</w:t>
      </w:r>
      <w:r w:rsidRPr="00944248">
        <w:rPr>
          <w:lang w:val="ro-RO"/>
        </w:rPr>
        <w:fldChar w:fldCharType="end"/>
      </w:r>
      <w:bookmarkEnd w:id="74"/>
      <w:r w:rsidRPr="00944248">
        <w:rPr>
          <w:lang w:val="ro-RO"/>
        </w:rPr>
        <w:t xml:space="preserve"> Decontarea OTS-OTS realizată în funcție de produs</w:t>
      </w:r>
      <w:bookmarkEnd w:id="75"/>
      <w:bookmarkEnd w:id="76"/>
    </w:p>
    <w:p w:rsidR="007D501E" w:rsidRPr="00944248" w:rsidRDefault="007D501E" w:rsidP="00A668B6">
      <w:pPr>
        <w:pStyle w:val="textregular"/>
        <w:spacing w:after="260" w:line="260" w:lineRule="atLeast"/>
        <w:rPr>
          <w:lang w:val="ro-RO"/>
        </w:rPr>
      </w:pPr>
      <w:r w:rsidRPr="00944248">
        <w:rPr>
          <w:lang w:val="ro-RO"/>
        </w:rPr>
        <w:t>În Figura 1, întregul dreptunghi dintre OTS-uri reprezintă volumul total al schimburilor planificate dintre OTS-uri, însă așa cum se poate vedea, acest volum total este alcătuit din volumele schimburilor planificate din procese separate. Întrucât fiecare decontare a volumelor din fiecare proces este tratată separat, volumele schimbate ca rezultat al Platformei aRRF vor fi determinate și decontate cu prețul de decontare aRRF, volumele schimbate ca rezultat al Platformei mRRF vor fi determinate și decontate cu prețul de decontare mRRF și așa mai departe.</w:t>
      </w:r>
    </w:p>
    <w:p w:rsidR="007D501E" w:rsidRPr="00944248" w:rsidRDefault="007D501E" w:rsidP="00A668B6">
      <w:pPr>
        <w:pStyle w:val="textregular"/>
        <w:spacing w:after="260" w:line="260" w:lineRule="atLeast"/>
        <w:rPr>
          <w:lang w:val="ro-RO"/>
        </w:rPr>
      </w:pPr>
      <w:r w:rsidRPr="00944248">
        <w:rPr>
          <w:lang w:val="ro-RO"/>
        </w:rPr>
        <w:t>Pentru fiecare volum al unui schimb planificat va exista un preț de decontare care va fi determinat separat de platformă. Articolul 50 (6) din EB GL prevede că normele comune în materie de decontare a schimburilor planificate de energie de echilibrare țin cont de toate prețurile energiei de echilibrare stabilite în conformitate cu articolul 30 (1). Aceasta înseamnă că propunerea tuturor OTS-urilor privind metodologiile de stabilire a prețului energiei de echilibrare și al capacității interzonale folosite pentru schimbul energiei de echilibrare sau pentru realizarea procesului de compensare a dezechilibrelor prevede o bază pentru prețul de decontare OTS-OTS.</w:t>
      </w:r>
    </w:p>
    <w:p w:rsidR="007D501E" w:rsidRPr="00944248" w:rsidRDefault="007D501E" w:rsidP="00A668B6">
      <w:pPr>
        <w:pStyle w:val="textregular"/>
        <w:spacing w:after="260" w:line="260" w:lineRule="atLeast"/>
        <w:rPr>
          <w:lang w:val="ro-RO"/>
        </w:rPr>
      </w:pPr>
      <w:r w:rsidRPr="00944248">
        <w:rPr>
          <w:lang w:val="ro-RO"/>
        </w:rPr>
        <w:t xml:space="preserve">Principiul de bază al PP este stabilirea unui preț marginal transfrontalier pentru fiecare zonă necongestionată. Principiile stabilirii prețului marginal transfrontalier (CBMP) pentru zonele necongestionate, precum și construirea zonelor necongestionate sunt explicate în continuare în secțiunea 3 a documentului explicativ aferent PP. Acest CBMP reprezintă un preț de decontare de bază și este folosit în cadrul decontării OTS-OTS. Pentru fiecare zonă RFP/zonă de ofertare va exista un CBMP care va fi folosit drept preț de decontare. </w:t>
      </w:r>
    </w:p>
    <w:p w:rsidR="007D501E" w:rsidRPr="00944248" w:rsidRDefault="007D501E" w:rsidP="00A668B6">
      <w:pPr>
        <w:pStyle w:val="textregular"/>
        <w:spacing w:after="260" w:line="260" w:lineRule="atLeast"/>
        <w:rPr>
          <w:lang w:val="ro-RO"/>
        </w:rPr>
      </w:pPr>
      <w:r w:rsidRPr="00944248">
        <w:rPr>
          <w:lang w:val="ro-RO"/>
        </w:rPr>
        <w:lastRenderedPageBreak/>
        <w:t xml:space="preserve">Ca principiu de bază, sumele decontării [€] sunt calculate drept produsul dintre volumele schimbate [MWh] pentru fiecare produs și CBMP [€/MWh] aferent zonei de ofertare/zonei RFP pentru fiecare produs. Cu toate acestea, suma decontării poate de asemenea să difere de acest calcul în cazul schimburilor planificate ca urmare a activării în scopul restricțiilor de sistem, suma veniturilor din congestii și a posibilelor tarifelor rezultate în cazuri speciale în care există mai multe prețuri într-o zonă necongestionată sau fluxuri contraintuitive de energie de echilibrare. </w:t>
      </w:r>
    </w:p>
    <w:p w:rsidR="007D501E" w:rsidRPr="00944248" w:rsidRDefault="007D501E" w:rsidP="007D501E">
      <w:pPr>
        <w:pStyle w:val="textregular"/>
        <w:spacing w:after="260" w:line="260" w:lineRule="atLeast"/>
        <w:rPr>
          <w:lang w:val="ro-RO"/>
        </w:rPr>
      </w:pPr>
      <w:r w:rsidRPr="00944248">
        <w:rPr>
          <w:lang w:val="ro-RO"/>
        </w:rPr>
        <w:t>Decontarea schimburilor planificate este efectuată la nivel de graniță, de exemplu intre două OTS-uri, iar direcțiile plăților sunt prezentate în tabelul de mai jos:</w:t>
      </w:r>
    </w:p>
    <w:tbl>
      <w:tblPr>
        <w:tblW w:w="8178" w:type="dxa"/>
        <w:jc w:val="center"/>
        <w:tblCellMar>
          <w:left w:w="0" w:type="dxa"/>
          <w:right w:w="0" w:type="dxa"/>
        </w:tblCellMar>
        <w:tblLook w:val="0420" w:firstRow="1" w:lastRow="0" w:firstColumn="0" w:lastColumn="0" w:noHBand="0" w:noVBand="1"/>
      </w:tblPr>
      <w:tblGrid>
        <w:gridCol w:w="2726"/>
        <w:gridCol w:w="2726"/>
        <w:gridCol w:w="2726"/>
      </w:tblGrid>
      <w:tr w:rsidR="007D501E" w:rsidRPr="00944248" w:rsidTr="00067D87">
        <w:trPr>
          <w:trHeight w:val="152"/>
          <w:jc w:val="center"/>
        </w:trPr>
        <w:tc>
          <w:tcPr>
            <w:tcW w:w="2726" w:type="dxa"/>
            <w:tcBorders>
              <w:top w:val="single" w:sz="8" w:space="0" w:color="FFFFFF"/>
              <w:left w:val="single" w:sz="8" w:space="0" w:color="FFFFFF"/>
              <w:bottom w:val="single" w:sz="24" w:space="0" w:color="FFFFFF"/>
              <w:right w:val="single" w:sz="8" w:space="0" w:color="FFFFFF"/>
            </w:tcBorders>
            <w:shd w:val="clear" w:color="auto" w:fill="6D838F"/>
            <w:tcMar>
              <w:top w:w="72" w:type="dxa"/>
              <w:left w:w="144" w:type="dxa"/>
              <w:bottom w:w="72" w:type="dxa"/>
              <w:right w:w="144" w:type="dxa"/>
            </w:tcMar>
            <w:hideMark/>
          </w:tcPr>
          <w:p w:rsidR="007D501E" w:rsidRPr="00944248" w:rsidRDefault="007D501E" w:rsidP="00E83EBE">
            <w:pPr>
              <w:spacing w:after="160" w:line="259" w:lineRule="auto"/>
              <w:rPr>
                <w:rFonts w:ascii="Times New Roman" w:hAnsi="Times New Roman"/>
                <w:lang w:val="ro-RO"/>
              </w:rPr>
            </w:pPr>
          </w:p>
        </w:tc>
        <w:tc>
          <w:tcPr>
            <w:tcW w:w="2726" w:type="dxa"/>
            <w:tcBorders>
              <w:top w:val="single" w:sz="8" w:space="0" w:color="FFFFFF"/>
              <w:left w:val="single" w:sz="8" w:space="0" w:color="FFFFFF"/>
              <w:bottom w:val="single" w:sz="24" w:space="0" w:color="FFFFFF"/>
              <w:right w:val="single" w:sz="8" w:space="0" w:color="FFFFFF"/>
            </w:tcBorders>
            <w:shd w:val="clear" w:color="auto" w:fill="6D838F"/>
            <w:tcMar>
              <w:top w:w="72" w:type="dxa"/>
              <w:left w:w="144" w:type="dxa"/>
              <w:bottom w:w="72" w:type="dxa"/>
              <w:right w:w="144" w:type="dxa"/>
            </w:tcMar>
            <w:hideMark/>
          </w:tcPr>
          <w:p w:rsidR="007D501E" w:rsidRPr="00944248" w:rsidRDefault="007D501E" w:rsidP="00E83EBE">
            <w:pPr>
              <w:spacing w:after="160" w:line="259" w:lineRule="auto"/>
              <w:rPr>
                <w:rFonts w:ascii="Times New Roman" w:hAnsi="Times New Roman"/>
                <w:lang w:val="ro-RO"/>
              </w:rPr>
            </w:pPr>
            <w:r w:rsidRPr="00944248">
              <w:rPr>
                <w:rFonts w:ascii="Times New Roman" w:hAnsi="Times New Roman"/>
                <w:lang w:val="ro-RO"/>
              </w:rPr>
              <w:t>Preț de decontare pozitiv</w:t>
            </w:r>
          </w:p>
        </w:tc>
        <w:tc>
          <w:tcPr>
            <w:tcW w:w="2726" w:type="dxa"/>
            <w:tcBorders>
              <w:top w:val="single" w:sz="8" w:space="0" w:color="FFFFFF"/>
              <w:left w:val="single" w:sz="8" w:space="0" w:color="FFFFFF"/>
              <w:bottom w:val="single" w:sz="24" w:space="0" w:color="FFFFFF"/>
              <w:right w:val="single" w:sz="8" w:space="0" w:color="FFFFFF"/>
            </w:tcBorders>
            <w:shd w:val="clear" w:color="auto" w:fill="6D838F"/>
            <w:tcMar>
              <w:top w:w="72" w:type="dxa"/>
              <w:left w:w="144" w:type="dxa"/>
              <w:bottom w:w="72" w:type="dxa"/>
              <w:right w:w="144" w:type="dxa"/>
            </w:tcMar>
            <w:hideMark/>
          </w:tcPr>
          <w:p w:rsidR="007D501E" w:rsidRPr="00944248" w:rsidRDefault="007D501E" w:rsidP="00E83EBE">
            <w:pPr>
              <w:spacing w:after="160" w:line="259" w:lineRule="auto"/>
              <w:rPr>
                <w:rFonts w:ascii="Times New Roman" w:hAnsi="Times New Roman"/>
                <w:lang w:val="ro-RO"/>
              </w:rPr>
            </w:pPr>
            <w:r w:rsidRPr="00944248">
              <w:rPr>
                <w:rFonts w:ascii="Times New Roman" w:hAnsi="Times New Roman"/>
                <w:lang w:val="ro-RO"/>
              </w:rPr>
              <w:t>Preț de decontare negativ</w:t>
            </w:r>
          </w:p>
        </w:tc>
      </w:tr>
      <w:tr w:rsidR="007D501E" w:rsidRPr="00944248" w:rsidTr="00067D87">
        <w:trPr>
          <w:trHeight w:val="87"/>
          <w:jc w:val="center"/>
        </w:trPr>
        <w:tc>
          <w:tcPr>
            <w:tcW w:w="2726" w:type="dxa"/>
            <w:tcBorders>
              <w:top w:val="single" w:sz="24" w:space="0" w:color="FFFFFF"/>
              <w:left w:val="single" w:sz="8" w:space="0" w:color="FFFFFF"/>
              <w:bottom w:val="single" w:sz="8" w:space="0" w:color="FFFFFF"/>
              <w:right w:val="single" w:sz="8" w:space="0" w:color="FFFFFF"/>
            </w:tcBorders>
            <w:shd w:val="clear" w:color="auto" w:fill="D4D9DB"/>
            <w:tcMar>
              <w:top w:w="72" w:type="dxa"/>
              <w:left w:w="144" w:type="dxa"/>
              <w:bottom w:w="72" w:type="dxa"/>
              <w:right w:w="144" w:type="dxa"/>
            </w:tcMar>
            <w:hideMark/>
          </w:tcPr>
          <w:p w:rsidR="007D501E" w:rsidRPr="00944248" w:rsidRDefault="007D501E" w:rsidP="00E83EBE">
            <w:pPr>
              <w:spacing w:after="160" w:line="259" w:lineRule="auto"/>
              <w:rPr>
                <w:rFonts w:ascii="Times New Roman" w:hAnsi="Times New Roman"/>
                <w:lang w:val="ro-RO"/>
              </w:rPr>
            </w:pPr>
            <w:r w:rsidRPr="00944248">
              <w:rPr>
                <w:rFonts w:ascii="Times New Roman" w:hAnsi="Times New Roman"/>
                <w:lang w:val="ro-RO"/>
              </w:rPr>
              <w:t>OTS care exportă</w:t>
            </w:r>
          </w:p>
        </w:tc>
        <w:tc>
          <w:tcPr>
            <w:tcW w:w="2726" w:type="dxa"/>
            <w:tcBorders>
              <w:top w:val="single" w:sz="24" w:space="0" w:color="FFFFFF"/>
              <w:left w:val="single" w:sz="8" w:space="0" w:color="FFFFFF"/>
              <w:bottom w:val="single" w:sz="8" w:space="0" w:color="FFFFFF"/>
              <w:right w:val="single" w:sz="8" w:space="0" w:color="FFFFFF"/>
            </w:tcBorders>
            <w:shd w:val="clear" w:color="auto" w:fill="D4D9DB"/>
            <w:tcMar>
              <w:top w:w="72" w:type="dxa"/>
              <w:left w:w="144" w:type="dxa"/>
              <w:bottom w:w="72" w:type="dxa"/>
              <w:right w:w="144" w:type="dxa"/>
            </w:tcMar>
            <w:hideMark/>
          </w:tcPr>
          <w:p w:rsidR="007D501E" w:rsidRPr="00944248" w:rsidRDefault="007D501E" w:rsidP="00E83EBE">
            <w:pPr>
              <w:spacing w:after="160" w:line="259" w:lineRule="auto"/>
              <w:rPr>
                <w:rFonts w:ascii="Times New Roman" w:hAnsi="Times New Roman"/>
                <w:lang w:val="ro-RO"/>
              </w:rPr>
            </w:pPr>
            <w:r w:rsidRPr="00944248">
              <w:rPr>
                <w:rFonts w:ascii="Times New Roman" w:hAnsi="Times New Roman"/>
                <w:lang w:val="ro-RO"/>
              </w:rPr>
              <w:t>Primește suma</w:t>
            </w:r>
          </w:p>
        </w:tc>
        <w:tc>
          <w:tcPr>
            <w:tcW w:w="2726" w:type="dxa"/>
            <w:tcBorders>
              <w:top w:val="single" w:sz="24" w:space="0" w:color="FFFFFF"/>
              <w:left w:val="single" w:sz="8" w:space="0" w:color="FFFFFF"/>
              <w:bottom w:val="single" w:sz="8" w:space="0" w:color="FFFFFF"/>
              <w:right w:val="single" w:sz="8" w:space="0" w:color="FFFFFF"/>
            </w:tcBorders>
            <w:shd w:val="clear" w:color="auto" w:fill="D4D9DB"/>
            <w:tcMar>
              <w:top w:w="72" w:type="dxa"/>
              <w:left w:w="144" w:type="dxa"/>
              <w:bottom w:w="72" w:type="dxa"/>
              <w:right w:w="144" w:type="dxa"/>
            </w:tcMar>
            <w:hideMark/>
          </w:tcPr>
          <w:p w:rsidR="007D501E" w:rsidRPr="00944248" w:rsidRDefault="007D501E" w:rsidP="00E83EBE">
            <w:pPr>
              <w:spacing w:after="160" w:line="259" w:lineRule="auto"/>
              <w:rPr>
                <w:rFonts w:ascii="Times New Roman" w:hAnsi="Times New Roman"/>
                <w:lang w:val="ro-RO"/>
              </w:rPr>
            </w:pPr>
            <w:r w:rsidRPr="00944248">
              <w:rPr>
                <w:rFonts w:ascii="Times New Roman" w:hAnsi="Times New Roman"/>
                <w:lang w:val="ro-RO"/>
              </w:rPr>
              <w:t>Plătește suma</w:t>
            </w:r>
          </w:p>
        </w:tc>
      </w:tr>
      <w:tr w:rsidR="007D501E" w:rsidRPr="00944248" w:rsidTr="00067D87">
        <w:trPr>
          <w:trHeight w:val="87"/>
          <w:jc w:val="center"/>
        </w:trPr>
        <w:tc>
          <w:tcPr>
            <w:tcW w:w="2726" w:type="dxa"/>
            <w:tcBorders>
              <w:top w:val="single" w:sz="8" w:space="0" w:color="FFFFFF"/>
              <w:left w:val="single" w:sz="8" w:space="0" w:color="FFFFFF"/>
              <w:bottom w:val="single" w:sz="8" w:space="0" w:color="FFFFFF"/>
              <w:right w:val="single" w:sz="8" w:space="0" w:color="FFFFFF"/>
            </w:tcBorders>
            <w:shd w:val="clear" w:color="auto" w:fill="EBEDEE"/>
            <w:tcMar>
              <w:top w:w="72" w:type="dxa"/>
              <w:left w:w="144" w:type="dxa"/>
              <w:bottom w:w="72" w:type="dxa"/>
              <w:right w:w="144" w:type="dxa"/>
            </w:tcMar>
            <w:hideMark/>
          </w:tcPr>
          <w:p w:rsidR="007D501E" w:rsidRPr="00944248" w:rsidRDefault="007D501E" w:rsidP="00E83EBE">
            <w:pPr>
              <w:spacing w:after="160" w:line="259" w:lineRule="auto"/>
              <w:rPr>
                <w:rFonts w:ascii="Times New Roman" w:hAnsi="Times New Roman"/>
                <w:lang w:val="ro-RO"/>
              </w:rPr>
            </w:pPr>
            <w:r w:rsidRPr="00944248">
              <w:rPr>
                <w:rFonts w:ascii="Times New Roman" w:hAnsi="Times New Roman"/>
                <w:lang w:val="ro-RO"/>
              </w:rPr>
              <w:t>OTS care importă</w:t>
            </w:r>
          </w:p>
        </w:tc>
        <w:tc>
          <w:tcPr>
            <w:tcW w:w="2726" w:type="dxa"/>
            <w:tcBorders>
              <w:top w:val="single" w:sz="8" w:space="0" w:color="FFFFFF"/>
              <w:left w:val="single" w:sz="8" w:space="0" w:color="FFFFFF"/>
              <w:bottom w:val="single" w:sz="8" w:space="0" w:color="FFFFFF"/>
              <w:right w:val="single" w:sz="8" w:space="0" w:color="FFFFFF"/>
            </w:tcBorders>
            <w:shd w:val="clear" w:color="auto" w:fill="EBEDEE"/>
            <w:tcMar>
              <w:top w:w="72" w:type="dxa"/>
              <w:left w:w="144" w:type="dxa"/>
              <w:bottom w:w="72" w:type="dxa"/>
              <w:right w:w="144" w:type="dxa"/>
            </w:tcMar>
            <w:hideMark/>
          </w:tcPr>
          <w:p w:rsidR="007D501E" w:rsidRPr="00944248" w:rsidRDefault="007D501E" w:rsidP="00E83EBE">
            <w:pPr>
              <w:spacing w:after="160" w:line="259" w:lineRule="auto"/>
              <w:rPr>
                <w:rFonts w:ascii="Times New Roman" w:hAnsi="Times New Roman"/>
                <w:lang w:val="ro-RO"/>
              </w:rPr>
            </w:pPr>
            <w:r w:rsidRPr="00944248">
              <w:rPr>
                <w:rFonts w:ascii="Times New Roman" w:hAnsi="Times New Roman"/>
                <w:lang w:val="ro-RO"/>
              </w:rPr>
              <w:t>Plătește suma</w:t>
            </w:r>
          </w:p>
        </w:tc>
        <w:tc>
          <w:tcPr>
            <w:tcW w:w="2726" w:type="dxa"/>
            <w:tcBorders>
              <w:top w:val="single" w:sz="8" w:space="0" w:color="FFFFFF"/>
              <w:left w:val="single" w:sz="8" w:space="0" w:color="FFFFFF"/>
              <w:bottom w:val="single" w:sz="8" w:space="0" w:color="FFFFFF"/>
              <w:right w:val="single" w:sz="8" w:space="0" w:color="FFFFFF"/>
            </w:tcBorders>
            <w:shd w:val="clear" w:color="auto" w:fill="EBEDEE"/>
            <w:tcMar>
              <w:top w:w="72" w:type="dxa"/>
              <w:left w:w="144" w:type="dxa"/>
              <w:bottom w:w="72" w:type="dxa"/>
              <w:right w:w="144" w:type="dxa"/>
            </w:tcMar>
            <w:hideMark/>
          </w:tcPr>
          <w:p w:rsidR="007D501E" w:rsidRPr="00944248" w:rsidRDefault="007D501E" w:rsidP="00E83EBE">
            <w:pPr>
              <w:spacing w:after="160" w:line="259" w:lineRule="auto"/>
              <w:rPr>
                <w:rFonts w:ascii="Times New Roman" w:hAnsi="Times New Roman"/>
                <w:lang w:val="ro-RO"/>
              </w:rPr>
            </w:pPr>
            <w:r w:rsidRPr="00944248">
              <w:rPr>
                <w:rFonts w:ascii="Times New Roman" w:hAnsi="Times New Roman"/>
                <w:lang w:val="ro-RO"/>
              </w:rPr>
              <w:t>Primește suma</w:t>
            </w:r>
          </w:p>
        </w:tc>
      </w:tr>
    </w:tbl>
    <w:p w:rsidR="00A668B6" w:rsidRPr="00944248" w:rsidRDefault="00A668B6" w:rsidP="00A668B6">
      <w:pPr>
        <w:pStyle w:val="Caption"/>
        <w:rPr>
          <w:lang w:val="ro-RO"/>
        </w:rPr>
      </w:pPr>
      <w:r w:rsidRPr="00944248">
        <w:rPr>
          <w:b w:val="0"/>
          <w:bCs w:val="0"/>
          <w:lang w:val="ro-RO"/>
        </w:rPr>
        <w:t xml:space="preserve"> </w:t>
      </w:r>
      <w:bookmarkStart w:id="77" w:name="_Toc531688099"/>
      <w:bookmarkStart w:id="78" w:name="_Toc535158348"/>
      <w:r w:rsidRPr="00944248">
        <w:rPr>
          <w:lang w:val="ro-RO"/>
        </w:rPr>
        <w:t xml:space="preserve">Tabelul </w:t>
      </w:r>
      <w:r w:rsidRPr="00944248">
        <w:rPr>
          <w:lang w:val="ro-RO"/>
        </w:rPr>
        <w:fldChar w:fldCharType="begin"/>
      </w:r>
      <w:r w:rsidRPr="00944248">
        <w:rPr>
          <w:lang w:val="ro-RO"/>
        </w:rPr>
        <w:instrText xml:space="preserve"> SEQ Table \* ARABIC </w:instrText>
      </w:r>
      <w:r w:rsidRPr="00944248">
        <w:rPr>
          <w:lang w:val="ro-RO"/>
        </w:rPr>
        <w:fldChar w:fldCharType="separate"/>
      </w:r>
      <w:r w:rsidRPr="00944248">
        <w:rPr>
          <w:lang w:val="ro-RO"/>
        </w:rPr>
        <w:t>1</w:t>
      </w:r>
      <w:r w:rsidRPr="00944248">
        <w:rPr>
          <w:lang w:val="ro-RO"/>
        </w:rPr>
        <w:fldChar w:fldCharType="end"/>
      </w:r>
      <w:r w:rsidRPr="00944248">
        <w:rPr>
          <w:lang w:val="ro-RO"/>
        </w:rPr>
        <w:t>:</w:t>
      </w:r>
      <w:r w:rsidRPr="00944248">
        <w:rPr>
          <w:b w:val="0"/>
          <w:bCs w:val="0"/>
          <w:lang w:val="ro-RO"/>
        </w:rPr>
        <w:t xml:space="preserve"> </w:t>
      </w:r>
      <w:r w:rsidRPr="00944248">
        <w:rPr>
          <w:lang w:val="ro-RO"/>
        </w:rPr>
        <w:t>Direcția plăților</w:t>
      </w:r>
      <w:bookmarkEnd w:id="77"/>
      <w:bookmarkEnd w:id="78"/>
    </w:p>
    <w:p w:rsidR="009B6FC0" w:rsidRPr="00944248" w:rsidRDefault="009B6FC0" w:rsidP="00067D87">
      <w:pPr>
        <w:pStyle w:val="textregular"/>
        <w:spacing w:after="260" w:line="260" w:lineRule="atLeast"/>
        <w:rPr>
          <w:lang w:val="ro-RO"/>
        </w:rPr>
      </w:pPr>
    </w:p>
    <w:p w:rsidR="009B6FC0" w:rsidRPr="00944248" w:rsidRDefault="009B6FC0" w:rsidP="00067D87">
      <w:pPr>
        <w:pStyle w:val="textregular"/>
        <w:spacing w:after="260" w:line="260" w:lineRule="atLeast"/>
        <w:rPr>
          <w:lang w:val="ro-RO"/>
        </w:rPr>
      </w:pPr>
    </w:p>
    <w:p w:rsidR="00F77703" w:rsidRPr="00944248" w:rsidRDefault="005209DB" w:rsidP="005779B7">
      <w:pPr>
        <w:pStyle w:val="Headline14pt"/>
        <w:numPr>
          <w:ilvl w:val="0"/>
          <w:numId w:val="8"/>
        </w:numPr>
        <w:jc w:val="both"/>
        <w:outlineLvl w:val="0"/>
        <w:rPr>
          <w:lang w:val="ro-RO"/>
        </w:rPr>
      </w:pPr>
      <w:bookmarkStart w:id="79" w:name="_Toc531687677"/>
      <w:bookmarkStart w:id="80" w:name="_Ref531274477"/>
      <w:bookmarkStart w:id="81" w:name="_Toc523816555"/>
      <w:bookmarkStart w:id="82" w:name="_Toc522195288"/>
      <w:bookmarkStart w:id="83" w:name="_Toc522181351"/>
      <w:bookmarkStart w:id="84" w:name="_Toc520999261"/>
      <w:bookmarkStart w:id="85" w:name="_Ref520998153"/>
      <w:bookmarkStart w:id="86" w:name="_Toc520993444"/>
      <w:bookmarkStart w:id="87" w:name="_Toc520993122"/>
      <w:bookmarkStart w:id="88" w:name="_Toc520316950"/>
      <w:bookmarkStart w:id="89" w:name="_Toc535158316"/>
      <w:bookmarkStart w:id="90" w:name="_Toc531787029"/>
      <w:bookmarkEnd w:id="72"/>
      <w:bookmarkEnd w:id="73"/>
      <w:r w:rsidRPr="00944248">
        <w:rPr>
          <w:bCs/>
          <w:lang w:val="ro-RO"/>
        </w:rPr>
        <w:lastRenderedPageBreak/>
        <w:t>Metodologia de decontare pentru RI și mRRF cu activare programată</w:t>
      </w:r>
      <w:bookmarkEnd w:id="79"/>
      <w:bookmarkEnd w:id="80"/>
      <w:bookmarkEnd w:id="81"/>
      <w:bookmarkEnd w:id="82"/>
      <w:bookmarkEnd w:id="83"/>
      <w:bookmarkEnd w:id="84"/>
      <w:bookmarkEnd w:id="85"/>
      <w:bookmarkEnd w:id="86"/>
      <w:bookmarkEnd w:id="87"/>
      <w:bookmarkEnd w:id="88"/>
      <w:bookmarkEnd w:id="89"/>
    </w:p>
    <w:p w:rsidR="00A64409" w:rsidRPr="00944248" w:rsidRDefault="00A64409" w:rsidP="00A64409">
      <w:pPr>
        <w:pStyle w:val="headline2"/>
        <w:numPr>
          <w:ilvl w:val="1"/>
          <w:numId w:val="8"/>
        </w:numPr>
        <w:spacing w:after="200" w:line="240" w:lineRule="auto"/>
        <w:jc w:val="both"/>
        <w:outlineLvl w:val="1"/>
        <w:rPr>
          <w:lang w:val="ro-RO"/>
        </w:rPr>
      </w:pPr>
      <w:bookmarkStart w:id="91" w:name="_Toc535158317"/>
      <w:bookmarkEnd w:id="90"/>
      <w:r w:rsidRPr="00944248">
        <w:rPr>
          <w:lang w:val="ro-RO"/>
        </w:rPr>
        <w:t>Determinarea prețului și a volumului</w:t>
      </w:r>
      <w:bookmarkEnd w:id="91"/>
    </w:p>
    <w:p w:rsidR="00677A26" w:rsidRPr="00944248" w:rsidRDefault="00677A26" w:rsidP="00677A26">
      <w:pPr>
        <w:pStyle w:val="textregular"/>
        <w:spacing w:after="260" w:line="260" w:lineRule="atLeast"/>
        <w:rPr>
          <w:lang w:val="ro-RO"/>
        </w:rPr>
      </w:pPr>
      <w:r w:rsidRPr="00944248">
        <w:rPr>
          <w:lang w:val="ro-RO"/>
        </w:rPr>
        <w:t>În cazul RI și mRRF cu activare programată va fi decontat volumul total de energie, adică integrala profilului standard de putere. Volumele vor fi decontate sub formă de bloc („Decontarea Blocurilor”), în vederea reducerii numărului de perioade de stabilire a prețului energiei de echilibrare (BEPP-uri) afectate, adică sferturi de oră (QH) în cazul MARI și TERRE, precum și pentru a simplifica procesul de decontare.</w:t>
      </w:r>
    </w:p>
    <w:p w:rsidR="00677A26" w:rsidRPr="00944248" w:rsidRDefault="00677A26" w:rsidP="00677A26">
      <w:pPr>
        <w:pStyle w:val="textregular"/>
        <w:spacing w:after="260" w:line="260" w:lineRule="atLeast"/>
        <w:rPr>
          <w:lang w:val="ro-RO"/>
        </w:rPr>
      </w:pPr>
      <w:r w:rsidRPr="00944248">
        <w:rPr>
          <w:lang w:val="ro-RO"/>
        </w:rPr>
        <w:t>Volumul care va fi decontat va fi egal cu volumul solicitat pentru respectiva BEPP și va fi decontat folosind CBMP-ul aferent aceleiași BEPP. În exemplul de mai jos, forma dreptunghiulară (zona roșie) va fi decontată folosind CBMP-ul aferent QH</w:t>
      </w:r>
      <w:r w:rsidRPr="00944248">
        <w:rPr>
          <w:vertAlign w:val="subscript"/>
          <w:lang w:val="ro-RO"/>
        </w:rPr>
        <w:t>i</w:t>
      </w:r>
      <w:r w:rsidRPr="00944248">
        <w:rPr>
          <w:lang w:val="ro-RO"/>
        </w:rPr>
        <w:t xml:space="preserve">. </w:t>
      </w:r>
    </w:p>
    <w:p w:rsidR="00677A26" w:rsidRPr="00944248" w:rsidRDefault="00EB7DA9" w:rsidP="00EE7014">
      <w:pPr>
        <w:pStyle w:val="textregular"/>
        <w:keepNext/>
        <w:spacing w:after="0" w:line="260" w:lineRule="atLeast"/>
        <w:jc w:val="center"/>
        <w:rPr>
          <w:lang w:val="ro-RO"/>
        </w:rPr>
      </w:pPr>
      <w:r w:rsidRPr="00944248">
        <w:rPr>
          <w:noProof/>
          <w:lang w:val="ro-RO"/>
        </w:rPr>
        <w:drawing>
          <wp:inline distT="0" distB="0" distL="0" distR="0">
            <wp:extent cx="3811979" cy="1760584"/>
            <wp:effectExtent l="0" t="0" r="0" b="0"/>
            <wp:docPr id="15"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18281" cy="1763495"/>
                    </a:xfrm>
                    <a:prstGeom prst="rect">
                      <a:avLst/>
                    </a:prstGeom>
                  </pic:spPr>
                </pic:pic>
              </a:graphicData>
            </a:graphic>
          </wp:inline>
        </w:drawing>
      </w:r>
    </w:p>
    <w:p w:rsidR="00677A26" w:rsidRPr="00944248" w:rsidRDefault="00224CA6" w:rsidP="00677A26">
      <w:pPr>
        <w:pStyle w:val="Caption"/>
        <w:rPr>
          <w:lang w:val="ro-RO"/>
        </w:rPr>
      </w:pPr>
      <w:bookmarkStart w:id="92" w:name="_Toc531367161"/>
      <w:bookmarkStart w:id="93" w:name="_Toc535158334"/>
      <w:r w:rsidRPr="00944248">
        <w:rPr>
          <w:lang w:val="ro-RO"/>
        </w:rPr>
        <w:t xml:space="preserve">Figura </w:t>
      </w:r>
      <w:r w:rsidRPr="00944248">
        <w:rPr>
          <w:lang w:val="ro-RO"/>
        </w:rPr>
        <w:fldChar w:fldCharType="begin"/>
      </w:r>
      <w:r w:rsidRPr="00944248">
        <w:rPr>
          <w:lang w:val="ro-RO"/>
        </w:rPr>
        <w:instrText xml:space="preserve"> SEQ Figure \* ARABIC </w:instrText>
      </w:r>
      <w:r w:rsidRPr="00944248">
        <w:rPr>
          <w:lang w:val="ro-RO"/>
        </w:rPr>
        <w:fldChar w:fldCharType="separate"/>
      </w:r>
      <w:r w:rsidRPr="00944248">
        <w:rPr>
          <w:lang w:val="ro-RO"/>
        </w:rPr>
        <w:t>2</w:t>
      </w:r>
      <w:r w:rsidRPr="00944248">
        <w:rPr>
          <w:lang w:val="ro-RO"/>
        </w:rPr>
        <w:fldChar w:fldCharType="end"/>
      </w:r>
      <w:r w:rsidRPr="00944248">
        <w:rPr>
          <w:lang w:val="ro-RO"/>
        </w:rPr>
        <w:t>:</w:t>
      </w:r>
      <w:r w:rsidRPr="00944248">
        <w:rPr>
          <w:b w:val="0"/>
          <w:bCs w:val="0"/>
          <w:lang w:val="ro-RO"/>
        </w:rPr>
        <w:t xml:space="preserve"> </w:t>
      </w:r>
      <w:bookmarkEnd w:id="92"/>
      <w:r w:rsidRPr="00944248">
        <w:rPr>
          <w:lang w:val="ro-RO"/>
        </w:rPr>
        <w:t>Ilustrarea volumului decontat</w:t>
      </w:r>
      <w:bookmarkEnd w:id="93"/>
    </w:p>
    <w:p w:rsidR="00030EA6" w:rsidRPr="00944248" w:rsidRDefault="00030EA6" w:rsidP="00030EA6">
      <w:pPr>
        <w:pStyle w:val="textregular"/>
        <w:spacing w:after="260" w:line="260" w:lineRule="atLeast"/>
        <w:rPr>
          <w:lang w:val="ro-RO"/>
        </w:rPr>
      </w:pPr>
      <w:r w:rsidRPr="00944248">
        <w:rPr>
          <w:lang w:val="ro-RO"/>
        </w:rPr>
        <w:t xml:space="preserve">Decontarea cererilor compensate urmează aceeași metodă precum cea descrisă pentru aRRF în capitolul </w:t>
      </w:r>
      <w:r w:rsidRPr="00944248">
        <w:rPr>
          <w:lang w:val="ro-RO"/>
        </w:rPr>
        <w:fldChar w:fldCharType="begin"/>
      </w:r>
      <w:r w:rsidRPr="00944248">
        <w:rPr>
          <w:lang w:val="ro-RO"/>
        </w:rPr>
        <w:instrText xml:space="preserve"> REF _Ref531799089 \r \h </w:instrText>
      </w:r>
      <w:r w:rsidRPr="00944248">
        <w:rPr>
          <w:lang w:val="ro-RO"/>
        </w:rPr>
      </w:r>
      <w:r w:rsidRPr="00944248">
        <w:rPr>
          <w:lang w:val="ro-RO"/>
        </w:rPr>
        <w:fldChar w:fldCharType="separate"/>
      </w:r>
      <w:r w:rsidRPr="00944248">
        <w:rPr>
          <w:lang w:val="ro-RO"/>
        </w:rPr>
        <w:t>6</w:t>
      </w:r>
      <w:r w:rsidRPr="00944248">
        <w:rPr>
          <w:lang w:val="ro-RO"/>
        </w:rPr>
        <w:fldChar w:fldCharType="end"/>
      </w:r>
      <w:r w:rsidRPr="00944248">
        <w:rPr>
          <w:lang w:val="ro-RO"/>
        </w:rPr>
        <w:t>.</w:t>
      </w:r>
    </w:p>
    <w:p w:rsidR="00677A26" w:rsidRPr="00944248" w:rsidRDefault="00677A26" w:rsidP="0014578D">
      <w:pPr>
        <w:pStyle w:val="headline2"/>
        <w:numPr>
          <w:ilvl w:val="1"/>
          <w:numId w:val="8"/>
        </w:numPr>
        <w:spacing w:after="200" w:line="240" w:lineRule="auto"/>
        <w:jc w:val="both"/>
        <w:outlineLvl w:val="1"/>
        <w:rPr>
          <w:lang w:val="ro-RO"/>
        </w:rPr>
      </w:pPr>
      <w:bookmarkStart w:id="94" w:name="_Toc531787030"/>
      <w:bookmarkStart w:id="95" w:name="_Toc535158318"/>
      <w:r w:rsidRPr="00944248">
        <w:rPr>
          <w:lang w:val="ro-RO"/>
        </w:rPr>
        <w:t>Activările în scopul restricțiilor de sistem</w:t>
      </w:r>
      <w:bookmarkEnd w:id="94"/>
      <w:bookmarkEnd w:id="95"/>
    </w:p>
    <w:p w:rsidR="00677A26" w:rsidRPr="00944248" w:rsidRDefault="00677A26" w:rsidP="00677A26">
      <w:pPr>
        <w:pStyle w:val="textregular"/>
        <w:rPr>
          <w:lang w:val="ro-RO"/>
        </w:rPr>
      </w:pPr>
      <w:r w:rsidRPr="00944248">
        <w:rPr>
          <w:lang w:val="ro-RO"/>
        </w:rPr>
        <w:t xml:space="preserve">Funcțiile de decontare OTS-OTS ale Platformei RI și Platformei mRRF vor calcula suma pentru decontare care rezultă din activarea ofertelor de produs standard de energie de echilibrare RI și mRRF în scopurile activării pentru restricțiile de sistem pentru fiecare BEPP. Următoarele exemple explică modul de calcul pentru sumele de decontare aferente restricțiilor de sistem. </w:t>
      </w:r>
    </w:p>
    <w:p w:rsidR="00A63523" w:rsidRPr="00944248" w:rsidRDefault="002D564B" w:rsidP="00677A26">
      <w:pPr>
        <w:pStyle w:val="textregular"/>
        <w:rPr>
          <w:lang w:val="ro-RO"/>
        </w:rPr>
      </w:pPr>
      <w:r w:rsidRPr="00944248">
        <w:rPr>
          <w:lang w:val="ro-RO"/>
        </w:rPr>
        <w:t xml:space="preserve">În următorul exemplu, cererile de echilibrare pentru fiecare OTS, valorile ATC ce servesc drept limite ale capacității transfrontaliere și ofertele sunt reprezentate în </w:t>
      </w:r>
      <w:r w:rsidRPr="00944248">
        <w:rPr>
          <w:lang w:val="ro-RO"/>
        </w:rPr>
        <w:fldChar w:fldCharType="begin"/>
      </w:r>
      <w:r w:rsidRPr="00944248">
        <w:rPr>
          <w:lang w:val="ro-RO"/>
        </w:rPr>
        <w:instrText xml:space="preserve"> REF _Ref531788372 \h </w:instrText>
      </w:r>
      <w:r w:rsidRPr="00944248">
        <w:rPr>
          <w:lang w:val="ro-RO"/>
        </w:rPr>
      </w:r>
      <w:r w:rsidRPr="00944248">
        <w:rPr>
          <w:lang w:val="ro-RO"/>
        </w:rPr>
        <w:fldChar w:fldCharType="separate"/>
      </w:r>
      <w:r w:rsidRPr="00944248">
        <w:rPr>
          <w:noProof/>
          <w:lang w:val="ro-RO"/>
        </w:rPr>
        <w:drawing>
          <wp:inline distT="0" distB="0" distL="0" distR="0">
            <wp:extent cx="3694430" cy="1103630"/>
            <wp:effectExtent l="0" t="0" r="1270" b="0"/>
            <wp:docPr id="2"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94430" cy="1103630"/>
                    </a:xfrm>
                    <a:prstGeom prst="rect">
                      <a:avLst/>
                    </a:prstGeom>
                    <a:noFill/>
                    <a:ln>
                      <a:noFill/>
                    </a:ln>
                  </pic:spPr>
                </pic:pic>
              </a:graphicData>
            </a:graphic>
          </wp:inline>
        </w:drawing>
      </w:r>
      <w:r w:rsidRPr="00944248">
        <w:rPr>
          <w:lang w:val="ro-RO"/>
        </w:rPr>
        <w:t>Figura 3</w:t>
      </w:r>
      <w:r w:rsidRPr="00944248">
        <w:rPr>
          <w:lang w:val="ro-RO"/>
        </w:rPr>
        <w:fldChar w:fldCharType="end"/>
      </w:r>
      <w:r w:rsidRPr="00944248">
        <w:rPr>
          <w:lang w:val="ro-RO"/>
        </w:rPr>
        <w:t xml:space="preserve"> și </w:t>
      </w:r>
      <w:r w:rsidRPr="00944248">
        <w:rPr>
          <w:lang w:val="ro-RO"/>
        </w:rPr>
        <w:fldChar w:fldCharType="begin"/>
      </w:r>
      <w:r w:rsidRPr="00944248">
        <w:rPr>
          <w:lang w:val="ro-RO"/>
        </w:rPr>
        <w:instrText xml:space="preserve"> REF _Ref531788386 \h </w:instrText>
      </w:r>
      <w:r w:rsidRPr="00944248">
        <w:rPr>
          <w:lang w:val="ro-RO"/>
        </w:rPr>
      </w:r>
      <w:r w:rsidRPr="00944248">
        <w:rPr>
          <w:lang w:val="ro-RO"/>
        </w:rPr>
        <w:fldChar w:fldCharType="separate"/>
      </w:r>
      <w:r w:rsidR="00FF07F0">
        <w:rPr>
          <w:lang w:val="ro-RO"/>
        </w:rPr>
        <w:t>Tabelul</w:t>
      </w:r>
      <w:r w:rsidRPr="00944248">
        <w:rPr>
          <w:lang w:val="ro-RO"/>
        </w:rPr>
        <w:t xml:space="preserve"> 2</w:t>
      </w:r>
      <w:r w:rsidRPr="00944248">
        <w:rPr>
          <w:lang w:val="ro-RO"/>
        </w:rPr>
        <w:fldChar w:fldCharType="end"/>
      </w:r>
      <w:r w:rsidRPr="00944248">
        <w:rPr>
          <w:lang w:val="ro-RO"/>
        </w:rPr>
        <w:t>:</w:t>
      </w:r>
    </w:p>
    <w:p w:rsidR="00A63523" w:rsidRPr="00944248" w:rsidRDefault="00677A26" w:rsidP="00DD58FA">
      <w:pPr>
        <w:pStyle w:val="textregular"/>
        <w:numPr>
          <w:ilvl w:val="0"/>
          <w:numId w:val="25"/>
        </w:numPr>
        <w:rPr>
          <w:lang w:val="ro-RO"/>
        </w:rPr>
      </w:pPr>
      <w:r w:rsidRPr="00944248">
        <w:rPr>
          <w:lang w:val="ro-RO"/>
        </w:rPr>
        <w:t>Pentru simplificare, toate ofertele și cererile au o perioadă de valabilitate egală cu BEPP și toate cererile sunt inelastice.</w:t>
      </w:r>
    </w:p>
    <w:p w:rsidR="00A63523" w:rsidRPr="00944248" w:rsidRDefault="00677A26" w:rsidP="00DD58FA">
      <w:pPr>
        <w:pStyle w:val="textregular"/>
        <w:numPr>
          <w:ilvl w:val="0"/>
          <w:numId w:val="25"/>
        </w:numPr>
        <w:rPr>
          <w:lang w:val="ro-RO"/>
        </w:rPr>
      </w:pPr>
      <w:r w:rsidRPr="00944248">
        <w:rPr>
          <w:lang w:val="ro-RO"/>
        </w:rPr>
        <w:t>Capacitatea interzonală dintre OTS 2 și OTS 3 este destul de mare pentru a nu influența rezultatele,</w:t>
      </w:r>
    </w:p>
    <w:p w:rsidR="00677A26" w:rsidRPr="00944248" w:rsidRDefault="00677A26" w:rsidP="009930B5">
      <w:pPr>
        <w:pStyle w:val="textregular"/>
        <w:numPr>
          <w:ilvl w:val="0"/>
          <w:numId w:val="25"/>
        </w:numPr>
        <w:rPr>
          <w:lang w:val="ro-RO"/>
        </w:rPr>
      </w:pPr>
      <w:r w:rsidRPr="00944248">
        <w:rPr>
          <w:lang w:val="ro-RO"/>
        </w:rPr>
        <w:lastRenderedPageBreak/>
        <w:t xml:space="preserve">în timp ce capacitatea interzonală transmisă dintre OTS 1 și OTS 2 este de 50 MW pentru direcția vizată (1 </w:t>
      </w:r>
      <w:r w:rsidRPr="00944248">
        <w:rPr>
          <w:lang w:val="ro-RO"/>
        </w:rPr>
        <w:sym w:font="Wingdings" w:char="F0E0"/>
      </w:r>
      <w:r w:rsidRPr="00944248">
        <w:rPr>
          <w:lang w:val="ro-RO"/>
        </w:rPr>
        <w:t xml:space="preserve"> 2) și 0 MW pentru direcția opusă (2 </w:t>
      </w:r>
      <w:r w:rsidRPr="00944248">
        <w:rPr>
          <w:lang w:val="ro-RO"/>
        </w:rPr>
        <w:sym w:font="Wingdings" w:char="F0E0"/>
      </w:r>
      <w:r w:rsidRPr="00944248">
        <w:rPr>
          <w:lang w:val="ro-RO"/>
        </w:rPr>
        <w:t xml:space="preserve"> 1).</w:t>
      </w:r>
    </w:p>
    <w:p w:rsidR="008F1692" w:rsidRPr="00944248" w:rsidRDefault="00A17BD1" w:rsidP="00DD58FA">
      <w:pPr>
        <w:pStyle w:val="textregular"/>
        <w:numPr>
          <w:ilvl w:val="0"/>
          <w:numId w:val="25"/>
        </w:numPr>
        <w:rPr>
          <w:lang w:val="ro-RO"/>
        </w:rPr>
      </w:pPr>
      <w:r w:rsidRPr="00944248">
        <w:rPr>
          <w:lang w:val="ro-RO"/>
        </w:rPr>
        <w:t>OTS 2 a solicitat un domeniu de flux dorit între 30 MW și 50 MW în direcția dinspre OTS 1 către OTS 2, adică ofertele vor fi selectate nu doar în scopul echilibrării, ci și în scopul restricțiilor de sistem.</w:t>
      </w:r>
    </w:p>
    <w:p w:rsidR="00F8053C" w:rsidRPr="00944248" w:rsidRDefault="00F8053C" w:rsidP="00F8053C">
      <w:pPr>
        <w:pStyle w:val="textregular"/>
        <w:jc w:val="center"/>
        <w:rPr>
          <w:lang w:val="ro-RO"/>
        </w:rPr>
      </w:pPr>
      <w:bookmarkStart w:id="96" w:name="_Ref531788372"/>
      <w:r w:rsidRPr="00944248">
        <w:rPr>
          <w:noProof/>
          <w:lang w:val="ro-RO"/>
        </w:rPr>
        <w:drawing>
          <wp:inline distT="0" distB="0" distL="0" distR="0">
            <wp:extent cx="3694430" cy="1103630"/>
            <wp:effectExtent l="0" t="0" r="1270" b="0"/>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94430" cy="1103630"/>
                    </a:xfrm>
                    <a:prstGeom prst="rect">
                      <a:avLst/>
                    </a:prstGeom>
                    <a:noFill/>
                    <a:ln>
                      <a:noFill/>
                    </a:ln>
                  </pic:spPr>
                </pic:pic>
              </a:graphicData>
            </a:graphic>
          </wp:inline>
        </w:drawing>
      </w:r>
    </w:p>
    <w:p w:rsidR="00677A26" w:rsidRPr="00944248" w:rsidRDefault="00AA0941" w:rsidP="007D794F">
      <w:pPr>
        <w:pStyle w:val="Caption"/>
        <w:rPr>
          <w:lang w:val="ro-RO"/>
        </w:rPr>
      </w:pPr>
      <w:bookmarkStart w:id="97" w:name="_Toc535158335"/>
      <w:r w:rsidRPr="00944248">
        <w:rPr>
          <w:lang w:val="ro-RO"/>
        </w:rPr>
        <w:t xml:space="preserve">Figura </w:t>
      </w:r>
      <w:r w:rsidRPr="00944248">
        <w:rPr>
          <w:lang w:val="ro-RO"/>
        </w:rPr>
        <w:fldChar w:fldCharType="begin"/>
      </w:r>
      <w:r w:rsidRPr="00944248">
        <w:rPr>
          <w:lang w:val="ro-RO"/>
        </w:rPr>
        <w:instrText xml:space="preserve"> SEQ Figure \* ARABIC </w:instrText>
      </w:r>
      <w:r w:rsidRPr="00944248">
        <w:rPr>
          <w:lang w:val="ro-RO"/>
        </w:rPr>
        <w:fldChar w:fldCharType="separate"/>
      </w:r>
      <w:r w:rsidRPr="00944248">
        <w:rPr>
          <w:lang w:val="ro-RO"/>
        </w:rPr>
        <w:t>3</w:t>
      </w:r>
      <w:r w:rsidRPr="00944248">
        <w:rPr>
          <w:lang w:val="ro-RO"/>
        </w:rPr>
        <w:fldChar w:fldCharType="end"/>
      </w:r>
      <w:bookmarkEnd w:id="96"/>
      <w:r w:rsidRPr="00944248">
        <w:rPr>
          <w:lang w:val="ro-RO"/>
        </w:rPr>
        <w:t>:</w:t>
      </w:r>
      <w:r w:rsidRPr="00944248">
        <w:rPr>
          <w:b w:val="0"/>
          <w:bCs w:val="0"/>
          <w:lang w:val="ro-RO"/>
        </w:rPr>
        <w:t xml:space="preserve"> </w:t>
      </w:r>
      <w:r w:rsidRPr="00944248">
        <w:rPr>
          <w:lang w:val="ro-RO"/>
        </w:rPr>
        <w:t>Scenariu de exemplu</w:t>
      </w:r>
      <w:bookmarkEnd w:id="97"/>
    </w:p>
    <w:p w:rsidR="00677A26" w:rsidRPr="00944248" w:rsidRDefault="00EB7DA9" w:rsidP="00677A26">
      <w:pPr>
        <w:pStyle w:val="textregular"/>
        <w:jc w:val="center"/>
        <w:rPr>
          <w:b/>
          <w:lang w:val="ro-RO"/>
        </w:rPr>
      </w:pPr>
      <w:r w:rsidRPr="00944248">
        <w:rPr>
          <w:b/>
          <w:bCs/>
          <w:noProof/>
          <w:lang w:val="ro-RO"/>
        </w:rPr>
        <w:drawing>
          <wp:inline distT="0" distB="0" distL="0" distR="0">
            <wp:extent cx="3100705" cy="2313940"/>
            <wp:effectExtent l="0" t="0" r="4445" b="0"/>
            <wp:docPr id="30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00705" cy="2313940"/>
                    </a:xfrm>
                    <a:prstGeom prst="rect">
                      <a:avLst/>
                    </a:prstGeom>
                    <a:noFill/>
                    <a:ln>
                      <a:noFill/>
                    </a:ln>
                  </pic:spPr>
                </pic:pic>
              </a:graphicData>
            </a:graphic>
          </wp:inline>
        </w:drawing>
      </w:r>
    </w:p>
    <w:p w:rsidR="00A668B6" w:rsidRPr="00944248" w:rsidRDefault="00A668B6" w:rsidP="00A668B6">
      <w:pPr>
        <w:pStyle w:val="Caption"/>
        <w:rPr>
          <w:lang w:val="ro-RO"/>
        </w:rPr>
      </w:pPr>
      <w:bookmarkStart w:id="98" w:name="_Ref531788386"/>
      <w:bookmarkStart w:id="99" w:name="_Toc535158349"/>
      <w:r w:rsidRPr="00944248">
        <w:rPr>
          <w:lang w:val="ro-RO"/>
        </w:rPr>
        <w:t xml:space="preserve">Tabelul </w:t>
      </w:r>
      <w:r w:rsidRPr="00944248">
        <w:rPr>
          <w:lang w:val="ro-RO"/>
        </w:rPr>
        <w:fldChar w:fldCharType="begin"/>
      </w:r>
      <w:r w:rsidRPr="00944248">
        <w:rPr>
          <w:lang w:val="ro-RO"/>
        </w:rPr>
        <w:instrText xml:space="preserve"> SEQ Table \* ARABIC </w:instrText>
      </w:r>
      <w:r w:rsidRPr="00944248">
        <w:rPr>
          <w:lang w:val="ro-RO"/>
        </w:rPr>
        <w:fldChar w:fldCharType="separate"/>
      </w:r>
      <w:r w:rsidRPr="00944248">
        <w:rPr>
          <w:lang w:val="ro-RO"/>
        </w:rPr>
        <w:t>2</w:t>
      </w:r>
      <w:r w:rsidRPr="00944248">
        <w:rPr>
          <w:lang w:val="ro-RO"/>
        </w:rPr>
        <w:fldChar w:fldCharType="end"/>
      </w:r>
      <w:bookmarkEnd w:id="98"/>
      <w:r w:rsidRPr="00944248">
        <w:rPr>
          <w:lang w:val="ro-RO"/>
        </w:rPr>
        <w:t>:</w:t>
      </w:r>
      <w:r w:rsidRPr="00944248">
        <w:rPr>
          <w:b w:val="0"/>
          <w:bCs w:val="0"/>
          <w:lang w:val="ro-RO"/>
        </w:rPr>
        <w:t xml:space="preserve"> </w:t>
      </w:r>
      <w:r w:rsidRPr="00944248">
        <w:rPr>
          <w:lang w:val="ro-RO"/>
        </w:rPr>
        <w:t>Oferte FSE</w:t>
      </w:r>
      <w:bookmarkEnd w:id="99"/>
    </w:p>
    <w:p w:rsidR="00C13E29" w:rsidRPr="00944248" w:rsidRDefault="007D794F" w:rsidP="008F2E93">
      <w:pPr>
        <w:pStyle w:val="textregular"/>
        <w:rPr>
          <w:lang w:val="ro-RO"/>
        </w:rPr>
      </w:pPr>
      <w:r w:rsidRPr="00944248">
        <w:rPr>
          <w:lang w:val="ro-RO"/>
        </w:rPr>
        <w:t>Așa cum a fost detaliat în documentul explicativ aferent propunerii privind stabilirea prețului, AOF va executa</w:t>
      </w:r>
    </w:p>
    <w:p w:rsidR="00C13E29" w:rsidRPr="00944248" w:rsidRDefault="007D794F" w:rsidP="00DD58FA">
      <w:pPr>
        <w:pStyle w:val="textregular"/>
        <w:numPr>
          <w:ilvl w:val="0"/>
          <w:numId w:val="27"/>
        </w:numPr>
        <w:rPr>
          <w:u w:val="single"/>
          <w:lang w:val="ro-RO"/>
        </w:rPr>
      </w:pPr>
      <w:r w:rsidRPr="00944248">
        <w:rPr>
          <w:lang w:val="ro-RO"/>
        </w:rPr>
        <w:t>o optimizare (cu restricții ATC), dar fără a lua în considerare domeniul de flux dorit (denumită și „iterație nerestricționată”) și</w:t>
      </w:r>
    </w:p>
    <w:p w:rsidR="00C13E29" w:rsidRPr="00944248" w:rsidRDefault="007D794F" w:rsidP="00DD58FA">
      <w:pPr>
        <w:pStyle w:val="textregular"/>
        <w:numPr>
          <w:ilvl w:val="0"/>
          <w:numId w:val="27"/>
        </w:numPr>
        <w:rPr>
          <w:u w:val="single"/>
          <w:lang w:val="ro-RO"/>
        </w:rPr>
      </w:pPr>
      <w:r w:rsidRPr="00944248">
        <w:rPr>
          <w:lang w:val="ro-RO"/>
        </w:rPr>
        <w:t>o optimizare (fără restricții ATC) și luând în considerare domeniul de flux dorit (denumită și „iterație restricționată”)</w:t>
      </w:r>
    </w:p>
    <w:p w:rsidR="007D794F" w:rsidRPr="00944248" w:rsidRDefault="004A3EBA" w:rsidP="00C13E29">
      <w:pPr>
        <w:pStyle w:val="textregular"/>
        <w:rPr>
          <w:lang w:val="ro-RO"/>
        </w:rPr>
      </w:pPr>
      <w:r w:rsidRPr="00944248">
        <w:rPr>
          <w:lang w:val="ro-RO"/>
        </w:rPr>
        <w:t>pentru a compara rezultatele acestor două iterații cu scopul de a distinge prețurile pentru energia de echilibrare (în timp ce doar iterația restricționată este relevantă pentru activarea fizică a ofertelor).</w:t>
      </w:r>
    </w:p>
    <w:p w:rsidR="00677A26" w:rsidRPr="00944248" w:rsidRDefault="00677A26" w:rsidP="008F2E93">
      <w:pPr>
        <w:pStyle w:val="textregular"/>
        <w:rPr>
          <w:u w:val="single"/>
          <w:lang w:val="ro-RO"/>
        </w:rPr>
      </w:pPr>
      <w:r w:rsidRPr="00944248">
        <w:rPr>
          <w:u w:val="single"/>
          <w:lang w:val="ro-RO"/>
        </w:rPr>
        <w:t>Iterația nerestricționată</w:t>
      </w:r>
    </w:p>
    <w:p w:rsidR="00677A26" w:rsidRPr="00944248" w:rsidRDefault="00435840" w:rsidP="008F2E93">
      <w:pPr>
        <w:pStyle w:val="textregular"/>
        <w:rPr>
          <w:lang w:val="ro-RO"/>
        </w:rPr>
      </w:pPr>
      <w:r w:rsidRPr="00944248">
        <w:rPr>
          <w:lang w:val="ro-RO"/>
        </w:rPr>
        <w:t xml:space="preserve">În primul pas, AOF execută o iterație nerestricționată (iterație UC) fără a lua în considerare restricția privind domeniul de flux minim dorit. Rezultatele iterației UC sunt prezentate în </w:t>
      </w:r>
      <w:r w:rsidRPr="00944248">
        <w:rPr>
          <w:lang w:val="ro-RO"/>
        </w:rPr>
        <w:fldChar w:fldCharType="begin"/>
      </w:r>
      <w:r w:rsidRPr="00944248">
        <w:rPr>
          <w:lang w:val="ro-RO"/>
        </w:rPr>
        <w:instrText xml:space="preserve"> REF _Ref531788562 \h </w:instrText>
      </w:r>
      <w:r w:rsidRPr="00944248">
        <w:rPr>
          <w:lang w:val="ro-RO"/>
        </w:rPr>
      </w:r>
      <w:r w:rsidRPr="00944248">
        <w:rPr>
          <w:lang w:val="ro-RO"/>
        </w:rPr>
        <w:fldChar w:fldCharType="separate"/>
      </w:r>
      <w:r w:rsidRPr="00944248">
        <w:rPr>
          <w:lang w:val="ro-RO"/>
        </w:rPr>
        <w:t>Figura 4</w:t>
      </w:r>
      <w:r w:rsidRPr="00944248">
        <w:rPr>
          <w:lang w:val="ro-RO"/>
        </w:rPr>
        <w:fldChar w:fldCharType="end"/>
      </w:r>
      <w:r w:rsidRPr="00944248">
        <w:rPr>
          <w:lang w:val="ro-RO"/>
        </w:rPr>
        <w:t xml:space="preserve"> iar ofertele selectate sunt evidențiate în </w:t>
      </w:r>
      <w:r w:rsidRPr="00944248">
        <w:rPr>
          <w:lang w:val="ro-RO"/>
        </w:rPr>
        <w:fldChar w:fldCharType="begin"/>
      </w:r>
      <w:r w:rsidRPr="00944248">
        <w:rPr>
          <w:lang w:val="ro-RO"/>
        </w:rPr>
        <w:instrText xml:space="preserve"> REF _Ref531788607 \h </w:instrText>
      </w:r>
      <w:r w:rsidRPr="00944248">
        <w:rPr>
          <w:lang w:val="ro-RO"/>
        </w:rPr>
      </w:r>
      <w:r w:rsidRPr="00944248">
        <w:rPr>
          <w:lang w:val="ro-RO"/>
        </w:rPr>
        <w:fldChar w:fldCharType="separate"/>
      </w:r>
      <w:r w:rsidRPr="00944248">
        <w:rPr>
          <w:lang w:val="ro-RO"/>
        </w:rPr>
        <w:t>Tabelul 3</w:t>
      </w:r>
      <w:r w:rsidRPr="00944248">
        <w:rPr>
          <w:lang w:val="ro-RO"/>
        </w:rPr>
        <w:fldChar w:fldCharType="end"/>
      </w:r>
      <w:r w:rsidRPr="00944248">
        <w:rPr>
          <w:lang w:val="ro-RO"/>
        </w:rPr>
        <w:t xml:space="preserve"> de mai jos:</w:t>
      </w:r>
    </w:p>
    <w:p w:rsidR="00D42567" w:rsidRPr="00944248" w:rsidRDefault="00D42567" w:rsidP="00DD58FA">
      <w:pPr>
        <w:pStyle w:val="textregular"/>
        <w:numPr>
          <w:ilvl w:val="0"/>
          <w:numId w:val="26"/>
        </w:numPr>
        <w:rPr>
          <w:rFonts w:eastAsiaTheme="minorEastAsia"/>
          <w:color w:val="000000" w:themeColor="text1"/>
          <w:kern w:val="24"/>
          <w:szCs w:val="22"/>
          <w:lang w:val="ro-RO"/>
        </w:rPr>
      </w:pPr>
      <w:r w:rsidRPr="00944248">
        <w:rPr>
          <w:rFonts w:eastAsiaTheme="minorEastAsia"/>
          <w:color w:val="000000" w:themeColor="text1"/>
          <w:kern w:val="24"/>
          <w:szCs w:val="22"/>
          <w:lang w:val="ro-RO"/>
        </w:rPr>
        <w:t>Deoarece cele mai ieftine oferte de creștere (FSE 5 și 6) sunt conectate de OTS 3, OTS 3 exportă 50 MW către OTS 2.</w:t>
      </w:r>
    </w:p>
    <w:p w:rsidR="00A17BD1" w:rsidRPr="00944248" w:rsidRDefault="00A17BD1" w:rsidP="00DD58FA">
      <w:pPr>
        <w:pStyle w:val="textregular"/>
        <w:numPr>
          <w:ilvl w:val="0"/>
          <w:numId w:val="26"/>
        </w:numPr>
        <w:rPr>
          <w:rFonts w:eastAsiaTheme="minorEastAsia"/>
          <w:color w:val="000000" w:themeColor="text1"/>
          <w:kern w:val="24"/>
          <w:szCs w:val="22"/>
          <w:lang w:val="ro-RO"/>
        </w:rPr>
      </w:pPr>
      <w:r w:rsidRPr="00944248">
        <w:rPr>
          <w:rFonts w:eastAsiaTheme="minorEastAsia"/>
          <w:color w:val="000000" w:themeColor="text1"/>
          <w:kern w:val="24"/>
          <w:szCs w:val="22"/>
          <w:lang w:val="ro-RO"/>
        </w:rPr>
        <w:t>Ca urmare a restricției ATC de 0 MW în direcția dinspre OTS 2 către OTS 1, OTS 1 nu poate importa energie de echilibrare de creștere mai ieftină și trebuie să activeze oferta la 50 €/MWh (FSE 1).</w:t>
      </w:r>
    </w:p>
    <w:p w:rsidR="00677A26" w:rsidRPr="00944248" w:rsidRDefault="00435840" w:rsidP="00DD58FA">
      <w:pPr>
        <w:pStyle w:val="textregular"/>
        <w:numPr>
          <w:ilvl w:val="0"/>
          <w:numId w:val="26"/>
        </w:numPr>
        <w:rPr>
          <w:rFonts w:asciiTheme="minorHAnsi" w:eastAsiaTheme="minorEastAsia" w:hAnsi="Calibri" w:cstheme="minorBidi"/>
          <w:color w:val="000000" w:themeColor="text1"/>
          <w:kern w:val="24"/>
          <w:szCs w:val="22"/>
          <w:lang w:val="ro-RO"/>
        </w:rPr>
      </w:pPr>
      <w:r w:rsidRPr="00944248">
        <w:rPr>
          <w:lang w:val="ro-RO"/>
        </w:rPr>
        <w:t>CBMP-urile rezultate se ridică la 50 €/MWh pentru OTS 1 și 40 €/MWh pentru OTS 2 și OTS 3.</w:t>
      </w:r>
    </w:p>
    <w:p w:rsidR="00435840" w:rsidRPr="00944248" w:rsidRDefault="00435840" w:rsidP="00F8053C">
      <w:pPr>
        <w:pStyle w:val="textregular"/>
        <w:spacing w:after="0"/>
        <w:jc w:val="center"/>
        <w:rPr>
          <w:lang w:val="ro-RO"/>
        </w:rPr>
      </w:pPr>
      <w:r w:rsidRPr="00944248">
        <w:rPr>
          <w:noProof/>
          <w:lang w:val="ro-RO"/>
        </w:rPr>
        <w:lastRenderedPageBreak/>
        <w:drawing>
          <wp:inline distT="0" distB="0" distL="0" distR="0">
            <wp:extent cx="4598670" cy="1035685"/>
            <wp:effectExtent l="0" t="0" r="0" b="0"/>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98670" cy="1035685"/>
                    </a:xfrm>
                    <a:prstGeom prst="rect">
                      <a:avLst/>
                    </a:prstGeom>
                    <a:noFill/>
                    <a:ln>
                      <a:noFill/>
                    </a:ln>
                  </pic:spPr>
                </pic:pic>
              </a:graphicData>
            </a:graphic>
          </wp:inline>
        </w:drawing>
      </w:r>
    </w:p>
    <w:p w:rsidR="00677A26" w:rsidRPr="00944248" w:rsidRDefault="00AA0941" w:rsidP="00F8053C">
      <w:pPr>
        <w:pStyle w:val="Caption"/>
        <w:rPr>
          <w:lang w:val="ro-RO"/>
        </w:rPr>
      </w:pPr>
      <w:bookmarkStart w:id="100" w:name="_Ref531788562"/>
      <w:bookmarkStart w:id="101" w:name="_Toc535158336"/>
      <w:r w:rsidRPr="00944248">
        <w:rPr>
          <w:lang w:val="ro-RO"/>
        </w:rPr>
        <w:t xml:space="preserve">Figura </w:t>
      </w:r>
      <w:r w:rsidRPr="00944248">
        <w:rPr>
          <w:lang w:val="ro-RO"/>
        </w:rPr>
        <w:fldChar w:fldCharType="begin"/>
      </w:r>
      <w:r w:rsidRPr="00944248">
        <w:rPr>
          <w:lang w:val="ro-RO"/>
        </w:rPr>
        <w:instrText xml:space="preserve"> SEQ Figure \* ARABIC </w:instrText>
      </w:r>
      <w:r w:rsidRPr="00944248">
        <w:rPr>
          <w:lang w:val="ro-RO"/>
        </w:rPr>
        <w:fldChar w:fldCharType="separate"/>
      </w:r>
      <w:r w:rsidRPr="00944248">
        <w:rPr>
          <w:lang w:val="ro-RO"/>
        </w:rPr>
        <w:t>4</w:t>
      </w:r>
      <w:r w:rsidRPr="00944248">
        <w:rPr>
          <w:lang w:val="ro-RO"/>
        </w:rPr>
        <w:fldChar w:fldCharType="end"/>
      </w:r>
      <w:bookmarkEnd w:id="100"/>
      <w:r w:rsidRPr="00944248">
        <w:rPr>
          <w:lang w:val="ro-RO"/>
        </w:rPr>
        <w:t>:</w:t>
      </w:r>
      <w:r w:rsidRPr="00944248">
        <w:rPr>
          <w:b w:val="0"/>
          <w:bCs w:val="0"/>
          <w:lang w:val="ro-RO"/>
        </w:rPr>
        <w:t xml:space="preserve"> </w:t>
      </w:r>
      <w:r w:rsidRPr="00944248">
        <w:rPr>
          <w:lang w:val="ro-RO"/>
        </w:rPr>
        <w:t>Rezultatul iterației nerestricționate</w:t>
      </w:r>
      <w:bookmarkEnd w:id="101"/>
    </w:p>
    <w:p w:rsidR="00677A26" w:rsidRPr="00944248" w:rsidRDefault="00EB7DA9" w:rsidP="00677A26">
      <w:pPr>
        <w:pStyle w:val="textregular"/>
        <w:jc w:val="center"/>
        <w:rPr>
          <w:lang w:val="ro-RO"/>
        </w:rPr>
      </w:pPr>
      <w:r w:rsidRPr="00944248">
        <w:rPr>
          <w:noProof/>
          <w:lang w:val="ro-RO"/>
        </w:rPr>
        <w:drawing>
          <wp:inline distT="0" distB="0" distL="0" distR="0">
            <wp:extent cx="3960440" cy="2331289"/>
            <wp:effectExtent l="0" t="0" r="2540" b="0"/>
            <wp:docPr id="314"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16"/>
                    <a:stretch>
                      <a:fillRect/>
                    </a:stretch>
                  </pic:blipFill>
                  <pic:spPr>
                    <a:xfrm>
                      <a:off x="0" y="0"/>
                      <a:ext cx="3960440" cy="2331289"/>
                    </a:xfrm>
                    <a:prstGeom prst="rect">
                      <a:avLst/>
                    </a:prstGeom>
                  </pic:spPr>
                </pic:pic>
              </a:graphicData>
            </a:graphic>
          </wp:inline>
        </w:drawing>
      </w:r>
    </w:p>
    <w:p w:rsidR="00A668B6" w:rsidRPr="00944248" w:rsidRDefault="00A668B6" w:rsidP="00A668B6">
      <w:pPr>
        <w:pStyle w:val="Caption"/>
        <w:rPr>
          <w:lang w:val="ro-RO"/>
        </w:rPr>
      </w:pPr>
      <w:bookmarkStart w:id="102" w:name="_Ref531788607"/>
      <w:bookmarkStart w:id="103" w:name="_Toc535158350"/>
      <w:bookmarkStart w:id="104" w:name="_Hlk531685988"/>
      <w:r w:rsidRPr="00944248">
        <w:rPr>
          <w:lang w:val="ro-RO"/>
        </w:rPr>
        <w:t xml:space="preserve">Tabelul </w:t>
      </w:r>
      <w:r w:rsidRPr="00944248">
        <w:rPr>
          <w:lang w:val="ro-RO"/>
        </w:rPr>
        <w:fldChar w:fldCharType="begin"/>
      </w:r>
      <w:r w:rsidRPr="00944248">
        <w:rPr>
          <w:lang w:val="ro-RO"/>
        </w:rPr>
        <w:instrText xml:space="preserve"> SEQ Table \* ARABIC </w:instrText>
      </w:r>
      <w:r w:rsidRPr="00944248">
        <w:rPr>
          <w:lang w:val="ro-RO"/>
        </w:rPr>
        <w:fldChar w:fldCharType="separate"/>
      </w:r>
      <w:r w:rsidRPr="00944248">
        <w:rPr>
          <w:lang w:val="ro-RO"/>
        </w:rPr>
        <w:t>3</w:t>
      </w:r>
      <w:r w:rsidRPr="00944248">
        <w:rPr>
          <w:lang w:val="ro-RO"/>
        </w:rPr>
        <w:fldChar w:fldCharType="end"/>
      </w:r>
      <w:bookmarkEnd w:id="102"/>
      <w:r w:rsidRPr="00944248">
        <w:rPr>
          <w:lang w:val="ro-RO"/>
        </w:rPr>
        <w:t>:</w:t>
      </w:r>
      <w:r w:rsidRPr="00944248">
        <w:rPr>
          <w:b w:val="0"/>
          <w:bCs w:val="0"/>
          <w:lang w:val="ro-RO"/>
        </w:rPr>
        <w:t xml:space="preserve"> </w:t>
      </w:r>
      <w:r w:rsidRPr="00944248">
        <w:rPr>
          <w:lang w:val="ro-RO"/>
        </w:rPr>
        <w:t>Ofertele FSE și cantitățile selectate pentru iterația UC</w:t>
      </w:r>
      <w:bookmarkEnd w:id="103"/>
    </w:p>
    <w:bookmarkEnd w:id="104"/>
    <w:p w:rsidR="00677A26" w:rsidRPr="00944248" w:rsidRDefault="00677A26" w:rsidP="00677A26">
      <w:pPr>
        <w:pStyle w:val="textregular"/>
        <w:rPr>
          <w:lang w:val="ro-RO"/>
        </w:rPr>
      </w:pPr>
      <w:r w:rsidRPr="00944248">
        <w:rPr>
          <w:lang w:val="ro-RO"/>
        </w:rPr>
        <w:t>Astfel, fluxurile financiare (Figura 3) dintre OTS-uri după iterația UC sunt următoarele (o plată negativă înseamnă că OTS-ul va primi suma respectivă):</w:t>
      </w:r>
    </w:p>
    <w:p w:rsidR="00677A26" w:rsidRPr="00944248" w:rsidRDefault="00677A26" w:rsidP="00677A26">
      <w:pPr>
        <w:pStyle w:val="textregular"/>
        <w:rPr>
          <w:b/>
          <w:lang w:val="ro-RO"/>
        </w:rPr>
      </w:pPr>
      <w:r w:rsidRPr="00944248">
        <w:rPr>
          <w:b/>
          <w:bCs/>
          <w:lang w:val="ro-RO"/>
        </w:rPr>
        <w:t xml:space="preserve">Pentru OTS 1: </w:t>
      </w:r>
    </w:p>
    <w:p w:rsidR="00677A26" w:rsidRPr="00944248" w:rsidRDefault="00F66E8B" w:rsidP="00DD58FA">
      <w:pPr>
        <w:pStyle w:val="textregular"/>
        <w:numPr>
          <w:ilvl w:val="0"/>
          <w:numId w:val="18"/>
        </w:numPr>
        <w:rPr>
          <w:lang w:val="ro-RO"/>
        </w:rPr>
      </w:pPr>
      <w:r w:rsidRPr="00944248">
        <w:rPr>
          <w:lang w:val="ro-RO"/>
        </w:rPr>
        <w:t>Importul/exportul de energie de echilibrare: 0 MWh * 50 €/MWh = 0 €</w:t>
      </w:r>
    </w:p>
    <w:p w:rsidR="00677A26" w:rsidRPr="00944248" w:rsidRDefault="00677A26" w:rsidP="00DD58FA">
      <w:pPr>
        <w:pStyle w:val="textregular"/>
        <w:numPr>
          <w:ilvl w:val="0"/>
          <w:numId w:val="18"/>
        </w:numPr>
        <w:rPr>
          <w:lang w:val="ro-RO"/>
        </w:rPr>
      </w:pPr>
      <w:r w:rsidRPr="00944248">
        <w:rPr>
          <w:lang w:val="ro-RO"/>
        </w:rPr>
        <w:t>Tariful de congestionare: 0 MWh * (50 €/MWh - 40 €/MWh) / 2= 0 €</w:t>
      </w:r>
    </w:p>
    <w:p w:rsidR="00677A26" w:rsidRPr="00944248" w:rsidRDefault="00677A26" w:rsidP="00677A26">
      <w:pPr>
        <w:pStyle w:val="textregular"/>
        <w:rPr>
          <w:b/>
          <w:lang w:val="ro-RO"/>
        </w:rPr>
      </w:pPr>
      <w:r w:rsidRPr="00944248">
        <w:rPr>
          <w:b/>
          <w:bCs/>
          <w:lang w:val="ro-RO"/>
        </w:rPr>
        <w:t xml:space="preserve">Pentru OTS 2: </w:t>
      </w:r>
    </w:p>
    <w:p w:rsidR="00677A26" w:rsidRPr="00944248" w:rsidRDefault="005D0E3F" w:rsidP="00DD58FA">
      <w:pPr>
        <w:pStyle w:val="textregular"/>
        <w:numPr>
          <w:ilvl w:val="0"/>
          <w:numId w:val="19"/>
        </w:numPr>
        <w:rPr>
          <w:lang w:val="ro-RO"/>
        </w:rPr>
      </w:pPr>
      <w:r w:rsidRPr="00944248">
        <w:rPr>
          <w:lang w:val="ro-RO"/>
        </w:rPr>
        <w:t>Importul/exportul de energie de echilibrare: 50 MWh*40 €/MWh = 2000 €</w:t>
      </w:r>
    </w:p>
    <w:p w:rsidR="00677A26" w:rsidRPr="00944248" w:rsidRDefault="00677A26" w:rsidP="00DD58FA">
      <w:pPr>
        <w:pStyle w:val="textregular"/>
        <w:numPr>
          <w:ilvl w:val="0"/>
          <w:numId w:val="19"/>
        </w:numPr>
        <w:rPr>
          <w:lang w:val="ro-RO"/>
        </w:rPr>
      </w:pPr>
      <w:r w:rsidRPr="00944248">
        <w:rPr>
          <w:lang w:val="ro-RO"/>
        </w:rPr>
        <w:t>Tariful de congestionare: 50 MWh * (40 €/MWh - 40 €/MWh) / 2 = 0 €</w:t>
      </w:r>
    </w:p>
    <w:p w:rsidR="00677A26" w:rsidRPr="00944248" w:rsidRDefault="00677A26" w:rsidP="00677A26">
      <w:pPr>
        <w:pStyle w:val="textregular"/>
        <w:rPr>
          <w:b/>
          <w:lang w:val="ro-RO"/>
        </w:rPr>
      </w:pPr>
      <w:r w:rsidRPr="00944248">
        <w:rPr>
          <w:b/>
          <w:bCs/>
          <w:lang w:val="ro-RO"/>
        </w:rPr>
        <w:t xml:space="preserve">Pentru OTS 3: </w:t>
      </w:r>
    </w:p>
    <w:p w:rsidR="00677A26" w:rsidRPr="00944248" w:rsidRDefault="005D0E3F" w:rsidP="00DD58FA">
      <w:pPr>
        <w:pStyle w:val="textregular"/>
        <w:numPr>
          <w:ilvl w:val="0"/>
          <w:numId w:val="20"/>
        </w:numPr>
        <w:rPr>
          <w:lang w:val="ro-RO"/>
        </w:rPr>
      </w:pPr>
      <w:r w:rsidRPr="00944248">
        <w:rPr>
          <w:lang w:val="ro-RO"/>
        </w:rPr>
        <w:t>Importul/exportul de energie de echilibrare: -50 MWh * 40 €/MWh = -2000 €</w:t>
      </w:r>
    </w:p>
    <w:p w:rsidR="00677A26" w:rsidRPr="00944248" w:rsidRDefault="00677A26" w:rsidP="00DD58FA">
      <w:pPr>
        <w:pStyle w:val="textregular"/>
        <w:numPr>
          <w:ilvl w:val="0"/>
          <w:numId w:val="20"/>
        </w:numPr>
        <w:rPr>
          <w:lang w:val="ro-RO"/>
        </w:rPr>
      </w:pPr>
      <w:r w:rsidRPr="00944248">
        <w:rPr>
          <w:lang w:val="ro-RO"/>
        </w:rPr>
        <w:t>Plata tarifului de congestionare: 50 MWh * (40 €/MWh - 40 €/MWh) / 2= 0 €</w:t>
      </w:r>
    </w:p>
    <w:p w:rsidR="00677A26" w:rsidRPr="00944248" w:rsidRDefault="008743DB" w:rsidP="00F8053C">
      <w:pPr>
        <w:pStyle w:val="textregular"/>
        <w:jc w:val="center"/>
        <w:rPr>
          <w:lang w:val="ro-RO"/>
        </w:rPr>
      </w:pPr>
      <w:r w:rsidRPr="00944248">
        <w:rPr>
          <w:noProof/>
          <w:lang w:val="ro-RO"/>
        </w:rPr>
        <w:drawing>
          <wp:inline distT="0" distB="0" distL="0" distR="0">
            <wp:extent cx="3191774" cy="1461824"/>
            <wp:effectExtent l="0" t="0" r="8890" b="5080"/>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95996" cy="1463758"/>
                    </a:xfrm>
                    <a:prstGeom prst="rect">
                      <a:avLst/>
                    </a:prstGeom>
                    <a:noFill/>
                    <a:ln>
                      <a:noFill/>
                    </a:ln>
                  </pic:spPr>
                </pic:pic>
              </a:graphicData>
            </a:graphic>
          </wp:inline>
        </w:drawing>
      </w:r>
    </w:p>
    <w:p w:rsidR="00AA0941" w:rsidRPr="00944248" w:rsidRDefault="00AA0941" w:rsidP="00AA0941">
      <w:pPr>
        <w:pStyle w:val="Caption"/>
        <w:rPr>
          <w:lang w:val="ro-RO"/>
        </w:rPr>
      </w:pPr>
      <w:bookmarkStart w:id="105" w:name="_Ref531788564"/>
      <w:bookmarkStart w:id="106" w:name="_Toc535158337"/>
      <w:r w:rsidRPr="00944248">
        <w:rPr>
          <w:lang w:val="ro-RO"/>
        </w:rPr>
        <w:t xml:space="preserve">Figura </w:t>
      </w:r>
      <w:r w:rsidRPr="00944248">
        <w:rPr>
          <w:lang w:val="ro-RO"/>
        </w:rPr>
        <w:fldChar w:fldCharType="begin"/>
      </w:r>
      <w:r w:rsidRPr="00944248">
        <w:rPr>
          <w:lang w:val="ro-RO"/>
        </w:rPr>
        <w:instrText xml:space="preserve"> SEQ Figure \* ARABIC </w:instrText>
      </w:r>
      <w:r w:rsidRPr="00944248">
        <w:rPr>
          <w:lang w:val="ro-RO"/>
        </w:rPr>
        <w:fldChar w:fldCharType="separate"/>
      </w:r>
      <w:r w:rsidRPr="00944248">
        <w:rPr>
          <w:lang w:val="ro-RO"/>
        </w:rPr>
        <w:t>5</w:t>
      </w:r>
      <w:r w:rsidRPr="00944248">
        <w:rPr>
          <w:lang w:val="ro-RO"/>
        </w:rPr>
        <w:fldChar w:fldCharType="end"/>
      </w:r>
      <w:bookmarkEnd w:id="105"/>
      <w:r w:rsidRPr="00944248">
        <w:rPr>
          <w:lang w:val="ro-RO"/>
        </w:rPr>
        <w:t>:</w:t>
      </w:r>
      <w:r w:rsidRPr="00944248">
        <w:rPr>
          <w:b w:val="0"/>
          <w:bCs w:val="0"/>
          <w:lang w:val="ro-RO"/>
        </w:rPr>
        <w:t xml:space="preserve"> </w:t>
      </w:r>
      <w:r w:rsidRPr="00944248">
        <w:rPr>
          <w:lang w:val="ro-RO"/>
        </w:rPr>
        <w:t>Rezultatul decontării OTS-OTS pentru iterația nerestricționată</w:t>
      </w:r>
      <w:bookmarkEnd w:id="106"/>
    </w:p>
    <w:p w:rsidR="00677A26" w:rsidRPr="00944248" w:rsidRDefault="008F1692" w:rsidP="008743DB">
      <w:pPr>
        <w:pStyle w:val="textregular"/>
        <w:rPr>
          <w:lang w:val="ro-RO"/>
        </w:rPr>
      </w:pPr>
      <w:r w:rsidRPr="00944248">
        <w:rPr>
          <w:lang w:val="ro-RO"/>
        </w:rPr>
        <w:lastRenderedPageBreak/>
        <w:t>Ca rezultat, OTS 2 plătește 2000 € către OTS 3 (suma plăților este 0 €).</w:t>
      </w:r>
    </w:p>
    <w:p w:rsidR="00677A26" w:rsidRPr="00944248" w:rsidRDefault="00677A26" w:rsidP="00B4659E">
      <w:pPr>
        <w:pStyle w:val="textregular"/>
        <w:keepNext/>
        <w:rPr>
          <w:szCs w:val="22"/>
          <w:u w:val="single"/>
          <w:lang w:val="ro-RO"/>
        </w:rPr>
      </w:pPr>
      <w:r w:rsidRPr="00944248">
        <w:rPr>
          <w:szCs w:val="22"/>
          <w:u w:val="single"/>
          <w:lang w:val="ro-RO"/>
        </w:rPr>
        <w:t>Iterația restricționată</w:t>
      </w:r>
    </w:p>
    <w:p w:rsidR="00677A26" w:rsidRPr="00944248" w:rsidRDefault="00F8053C" w:rsidP="00677A26">
      <w:pPr>
        <w:pStyle w:val="textregular"/>
        <w:rPr>
          <w:lang w:val="ro-RO"/>
        </w:rPr>
      </w:pPr>
      <w:r w:rsidRPr="00944248">
        <w:rPr>
          <w:szCs w:val="22"/>
          <w:lang w:val="ro-RO"/>
        </w:rPr>
        <w:t xml:space="preserve">Iterația restricționată ia în considerare faptul că OTS 2 a transmis domeniul de flux dorit minim susmenționat de 30 MW și fluxul maxim de 50 MW de la OTS 1 către OTS 2. </w:t>
      </w:r>
      <w:r w:rsidRPr="00944248">
        <w:rPr>
          <w:lang w:val="ro-RO"/>
        </w:rPr>
        <w:t xml:space="preserve">AOF ia în considerare acest domeniu de flux dorit și calculează rezultatele prezentate în </w:t>
      </w:r>
      <w:r w:rsidRPr="00944248">
        <w:rPr>
          <w:lang w:val="ro-RO"/>
        </w:rPr>
        <w:fldChar w:fldCharType="begin"/>
      </w:r>
      <w:r w:rsidRPr="00944248">
        <w:rPr>
          <w:lang w:val="ro-RO"/>
        </w:rPr>
        <w:instrText xml:space="preserve"> REF _Ref531791072 \h </w:instrText>
      </w:r>
      <w:r w:rsidRPr="00944248">
        <w:rPr>
          <w:lang w:val="ro-RO"/>
        </w:rPr>
      </w:r>
      <w:r w:rsidRPr="00944248">
        <w:rPr>
          <w:lang w:val="ro-RO"/>
        </w:rPr>
        <w:fldChar w:fldCharType="separate"/>
      </w:r>
      <w:r w:rsidRPr="00944248">
        <w:rPr>
          <w:lang w:val="ro-RO"/>
        </w:rPr>
        <w:t>Figura 6</w:t>
      </w:r>
      <w:r w:rsidRPr="00944248">
        <w:rPr>
          <w:lang w:val="ro-RO"/>
        </w:rPr>
        <w:fldChar w:fldCharType="end"/>
      </w:r>
      <w:r w:rsidRPr="00944248">
        <w:rPr>
          <w:lang w:val="ro-RO"/>
        </w:rPr>
        <w:t xml:space="preserve"> și </w:t>
      </w:r>
      <w:r w:rsidRPr="00944248">
        <w:rPr>
          <w:lang w:val="ro-RO"/>
        </w:rPr>
        <w:fldChar w:fldCharType="begin"/>
      </w:r>
      <w:r w:rsidRPr="00944248">
        <w:rPr>
          <w:lang w:val="ro-RO"/>
        </w:rPr>
        <w:instrText xml:space="preserve"> REF _Ref531791057 \h </w:instrText>
      </w:r>
      <w:r w:rsidRPr="00944248">
        <w:rPr>
          <w:lang w:val="ro-RO"/>
        </w:rPr>
      </w:r>
      <w:r w:rsidRPr="00944248">
        <w:rPr>
          <w:lang w:val="ro-RO"/>
        </w:rPr>
        <w:fldChar w:fldCharType="separate"/>
      </w:r>
      <w:r w:rsidRPr="00944248">
        <w:rPr>
          <w:lang w:val="ro-RO"/>
        </w:rPr>
        <w:t>Tabelul 4</w:t>
      </w:r>
      <w:r w:rsidRPr="00944248">
        <w:rPr>
          <w:lang w:val="ro-RO"/>
        </w:rPr>
        <w:fldChar w:fldCharType="end"/>
      </w:r>
      <w:r w:rsidRPr="00944248">
        <w:rPr>
          <w:lang w:val="ro-RO"/>
        </w:rPr>
        <w:t xml:space="preserve"> de mai jos:</w:t>
      </w:r>
    </w:p>
    <w:p w:rsidR="00B4659E" w:rsidRPr="00944248" w:rsidRDefault="00B4659E" w:rsidP="00DD58FA">
      <w:pPr>
        <w:pStyle w:val="textregular"/>
        <w:numPr>
          <w:ilvl w:val="0"/>
          <w:numId w:val="28"/>
        </w:numPr>
        <w:rPr>
          <w:szCs w:val="22"/>
          <w:lang w:val="ro-RO"/>
        </w:rPr>
      </w:pPr>
      <w:r w:rsidRPr="00944248">
        <w:rPr>
          <w:szCs w:val="22"/>
          <w:lang w:val="ro-RO"/>
        </w:rPr>
        <w:t>Pentru a putea respecta cerința privind domeniul de flux dorit, trebuie selectat un volum suplimentar de oferte de creștere în zona OTS-ului 1. Acest volum trebuie să fie cel puțin egal cu 50 MW pentru a crea o poziție netă de export de cel puțin 30 MW care va fi transportată în direcția de la OTS 1 la OTS 2.</w:t>
      </w:r>
    </w:p>
    <w:p w:rsidR="005B0050" w:rsidRPr="00944248" w:rsidRDefault="005B0050" w:rsidP="00DD58FA">
      <w:pPr>
        <w:pStyle w:val="textregular"/>
        <w:numPr>
          <w:ilvl w:val="0"/>
          <w:numId w:val="28"/>
        </w:numPr>
        <w:rPr>
          <w:szCs w:val="22"/>
          <w:lang w:val="ro-RO"/>
        </w:rPr>
      </w:pPr>
      <w:r w:rsidRPr="00944248">
        <w:rPr>
          <w:szCs w:val="22"/>
          <w:lang w:val="ro-RO"/>
        </w:rPr>
        <w:t>Adică, în loc de 20 MW în iterația UC, AOF selectează 40 MW din oferta FSE-ului 1 și încă 10 MW suplimentari din oferta FSE-ului 2 la prețul de 60 €/MWh.</w:t>
      </w:r>
    </w:p>
    <w:p w:rsidR="007E308C" w:rsidRPr="00944248" w:rsidRDefault="006B7BC4" w:rsidP="00DD58FA">
      <w:pPr>
        <w:pStyle w:val="textregular"/>
        <w:numPr>
          <w:ilvl w:val="0"/>
          <w:numId w:val="28"/>
        </w:numPr>
        <w:rPr>
          <w:szCs w:val="22"/>
          <w:lang w:val="ro-RO"/>
        </w:rPr>
      </w:pPr>
      <w:r w:rsidRPr="00944248">
        <w:rPr>
          <w:szCs w:val="22"/>
          <w:lang w:val="ro-RO"/>
        </w:rPr>
        <w:t>Deoarece FSE 1 furnizează cu 30 MW mai mult în comparație cu iterația UC, FSE-urile 5 și 6 trebuie să furnizeze cu 30 MW mai puțin. Deoarece FSE 6 este mai scump decât FSE 5, FSE 6 nu mai este selectat iar FSE 3 trebuie să furnizeze 70 MW (în comparație cu 100 MW în iterația UC).</w:t>
      </w:r>
    </w:p>
    <w:p w:rsidR="007E308C" w:rsidRPr="00944248" w:rsidRDefault="007E308C" w:rsidP="007E308C">
      <w:pPr>
        <w:pStyle w:val="textregular"/>
        <w:rPr>
          <w:szCs w:val="22"/>
          <w:lang w:val="ro-RO"/>
        </w:rPr>
      </w:pPr>
      <w:r w:rsidRPr="00944248">
        <w:rPr>
          <w:szCs w:val="22"/>
          <w:lang w:val="ro-RO"/>
        </w:rPr>
        <w:t>Trebuie evidențiat faptul că în conformitate cu propunerea privind stabilirea prețului, CBMP este stabilit de către iterația UC, adică</w:t>
      </w:r>
    </w:p>
    <w:p w:rsidR="007E308C" w:rsidRPr="00944248" w:rsidRDefault="007E308C" w:rsidP="00DD58FA">
      <w:pPr>
        <w:pStyle w:val="textregular"/>
        <w:numPr>
          <w:ilvl w:val="0"/>
          <w:numId w:val="29"/>
        </w:numPr>
        <w:rPr>
          <w:szCs w:val="22"/>
          <w:lang w:val="ro-RO"/>
        </w:rPr>
      </w:pPr>
      <w:r w:rsidRPr="00944248">
        <w:rPr>
          <w:lang w:val="ro-RO"/>
        </w:rPr>
        <w:t>CBMP pentru FSE 1 care trebuie achitat de către OTS 1 va fi în continuare 50 €/MWh</w:t>
      </w:r>
    </w:p>
    <w:p w:rsidR="007E308C" w:rsidRPr="00944248" w:rsidRDefault="007E308C" w:rsidP="00DD58FA">
      <w:pPr>
        <w:pStyle w:val="textregular"/>
        <w:numPr>
          <w:ilvl w:val="0"/>
          <w:numId w:val="29"/>
        </w:numPr>
        <w:rPr>
          <w:szCs w:val="22"/>
          <w:lang w:val="ro-RO"/>
        </w:rPr>
      </w:pPr>
      <w:r w:rsidRPr="00944248">
        <w:rPr>
          <w:lang w:val="ro-RO"/>
        </w:rPr>
        <w:t>și CBMP-ul pentru FSE 5 în zona OTS 2 și OTS 3 va fi în continuare 40 €/MWh (chiar dacă FSE 6 nu este selectat).</w:t>
      </w:r>
    </w:p>
    <w:p w:rsidR="006E01F2" w:rsidRPr="00944248" w:rsidRDefault="006E01F2" w:rsidP="00DD58FA">
      <w:pPr>
        <w:pStyle w:val="textregular"/>
        <w:numPr>
          <w:ilvl w:val="0"/>
          <w:numId w:val="29"/>
        </w:numPr>
        <w:rPr>
          <w:szCs w:val="22"/>
          <w:lang w:val="ro-RO"/>
        </w:rPr>
      </w:pPr>
      <w:r w:rsidRPr="00944248">
        <w:rPr>
          <w:szCs w:val="22"/>
          <w:lang w:val="ro-RO"/>
        </w:rPr>
        <w:t>Ofertele selectate cu un preț mai mare decât CBMP vor fi remunerate conform prețului ofertat.</w:t>
      </w:r>
    </w:p>
    <w:p w:rsidR="00677A26" w:rsidRPr="00944248" w:rsidRDefault="00EA0429" w:rsidP="00EA0429">
      <w:pPr>
        <w:pStyle w:val="textregular"/>
        <w:jc w:val="center"/>
        <w:rPr>
          <w:lang w:val="ro-RO"/>
        </w:rPr>
      </w:pPr>
      <w:r w:rsidRPr="00944248">
        <w:rPr>
          <w:noProof/>
          <w:lang w:val="ro-RO"/>
        </w:rPr>
        <w:drawing>
          <wp:inline distT="0" distB="0" distL="0" distR="0">
            <wp:extent cx="4541520" cy="1036320"/>
            <wp:effectExtent l="0" t="0" r="0" b="0"/>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41520" cy="1036320"/>
                    </a:xfrm>
                    <a:prstGeom prst="rect">
                      <a:avLst/>
                    </a:prstGeom>
                    <a:noFill/>
                    <a:ln>
                      <a:noFill/>
                    </a:ln>
                  </pic:spPr>
                </pic:pic>
              </a:graphicData>
            </a:graphic>
          </wp:inline>
        </w:drawing>
      </w:r>
    </w:p>
    <w:p w:rsidR="00AA0941" w:rsidRPr="00944248" w:rsidRDefault="00AA0941" w:rsidP="00AA0941">
      <w:pPr>
        <w:pStyle w:val="Caption"/>
        <w:rPr>
          <w:lang w:val="ro-RO"/>
        </w:rPr>
      </w:pPr>
      <w:bookmarkStart w:id="107" w:name="_Ref531791072"/>
      <w:bookmarkStart w:id="108" w:name="_Toc535158338"/>
      <w:r w:rsidRPr="00944248">
        <w:rPr>
          <w:lang w:val="ro-RO"/>
        </w:rPr>
        <w:t xml:space="preserve">Figura </w:t>
      </w:r>
      <w:r w:rsidRPr="00944248">
        <w:rPr>
          <w:lang w:val="ro-RO"/>
        </w:rPr>
        <w:fldChar w:fldCharType="begin"/>
      </w:r>
      <w:r w:rsidRPr="00944248">
        <w:rPr>
          <w:lang w:val="ro-RO"/>
        </w:rPr>
        <w:instrText xml:space="preserve"> SEQ Figure \* ARABIC </w:instrText>
      </w:r>
      <w:r w:rsidRPr="00944248">
        <w:rPr>
          <w:lang w:val="ro-RO"/>
        </w:rPr>
        <w:fldChar w:fldCharType="separate"/>
      </w:r>
      <w:r w:rsidRPr="00944248">
        <w:rPr>
          <w:lang w:val="ro-RO"/>
        </w:rPr>
        <w:t>6</w:t>
      </w:r>
      <w:r w:rsidRPr="00944248">
        <w:rPr>
          <w:lang w:val="ro-RO"/>
        </w:rPr>
        <w:fldChar w:fldCharType="end"/>
      </w:r>
      <w:bookmarkEnd w:id="107"/>
      <w:r w:rsidRPr="00944248">
        <w:rPr>
          <w:lang w:val="ro-RO"/>
        </w:rPr>
        <w:t>:</w:t>
      </w:r>
      <w:r w:rsidRPr="00944248">
        <w:rPr>
          <w:b w:val="0"/>
          <w:bCs w:val="0"/>
          <w:lang w:val="ro-RO"/>
        </w:rPr>
        <w:t xml:space="preserve"> </w:t>
      </w:r>
      <w:r w:rsidRPr="00944248">
        <w:rPr>
          <w:lang w:val="ro-RO"/>
        </w:rPr>
        <w:t>Rezultatele iterației restricționate</w:t>
      </w:r>
      <w:bookmarkEnd w:id="108"/>
    </w:p>
    <w:p w:rsidR="00677A26" w:rsidRPr="00944248" w:rsidRDefault="00EB7DA9" w:rsidP="00677A26">
      <w:pPr>
        <w:pStyle w:val="textregular"/>
        <w:jc w:val="center"/>
        <w:rPr>
          <w:lang w:val="ro-RO"/>
        </w:rPr>
      </w:pPr>
      <w:r w:rsidRPr="00944248">
        <w:rPr>
          <w:noProof/>
          <w:lang w:val="ro-RO"/>
        </w:rPr>
        <w:drawing>
          <wp:inline distT="0" distB="0" distL="0" distR="0">
            <wp:extent cx="4158532" cy="2354580"/>
            <wp:effectExtent l="0" t="0" r="0" b="7620"/>
            <wp:docPr id="25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19"/>
                    <a:stretch>
                      <a:fillRect/>
                    </a:stretch>
                  </pic:blipFill>
                  <pic:spPr>
                    <a:xfrm>
                      <a:off x="0" y="0"/>
                      <a:ext cx="4166972" cy="2359359"/>
                    </a:xfrm>
                    <a:prstGeom prst="rect">
                      <a:avLst/>
                    </a:prstGeom>
                  </pic:spPr>
                </pic:pic>
              </a:graphicData>
            </a:graphic>
          </wp:inline>
        </w:drawing>
      </w:r>
    </w:p>
    <w:p w:rsidR="00A668B6" w:rsidRPr="00944248" w:rsidRDefault="00A668B6" w:rsidP="00A668B6">
      <w:pPr>
        <w:pStyle w:val="Caption"/>
        <w:rPr>
          <w:lang w:val="ro-RO"/>
        </w:rPr>
      </w:pPr>
      <w:bookmarkStart w:id="109" w:name="_Ref531791057"/>
      <w:bookmarkStart w:id="110" w:name="_Ref531788578"/>
      <w:bookmarkStart w:id="111" w:name="_Ref531788574"/>
      <w:bookmarkStart w:id="112" w:name="_Toc535158351"/>
      <w:r w:rsidRPr="00944248">
        <w:rPr>
          <w:lang w:val="ro-RO"/>
        </w:rPr>
        <w:t xml:space="preserve">Tabelul </w:t>
      </w:r>
      <w:r w:rsidRPr="00944248">
        <w:rPr>
          <w:lang w:val="ro-RO"/>
        </w:rPr>
        <w:fldChar w:fldCharType="begin"/>
      </w:r>
      <w:r w:rsidRPr="00944248">
        <w:rPr>
          <w:lang w:val="ro-RO"/>
        </w:rPr>
        <w:instrText xml:space="preserve"> SEQ Table \* ARABIC </w:instrText>
      </w:r>
      <w:r w:rsidRPr="00944248">
        <w:rPr>
          <w:lang w:val="ro-RO"/>
        </w:rPr>
        <w:fldChar w:fldCharType="separate"/>
      </w:r>
      <w:r w:rsidRPr="00944248">
        <w:rPr>
          <w:lang w:val="ro-RO"/>
        </w:rPr>
        <w:t>4</w:t>
      </w:r>
      <w:r w:rsidRPr="00944248">
        <w:rPr>
          <w:lang w:val="ro-RO"/>
        </w:rPr>
        <w:fldChar w:fldCharType="end"/>
      </w:r>
      <w:bookmarkEnd w:id="109"/>
      <w:bookmarkEnd w:id="110"/>
      <w:r w:rsidRPr="00944248">
        <w:rPr>
          <w:lang w:val="ro-RO"/>
        </w:rPr>
        <w:t>:</w:t>
      </w:r>
      <w:r w:rsidRPr="00944248">
        <w:rPr>
          <w:b w:val="0"/>
          <w:bCs w:val="0"/>
          <w:lang w:val="ro-RO"/>
        </w:rPr>
        <w:t xml:space="preserve"> </w:t>
      </w:r>
      <w:r w:rsidRPr="00944248">
        <w:rPr>
          <w:lang w:val="ro-RO"/>
        </w:rPr>
        <w:t xml:space="preserve">Ofertele FSE și </w:t>
      </w:r>
      <w:bookmarkEnd w:id="111"/>
      <w:r w:rsidRPr="00944248">
        <w:rPr>
          <w:lang w:val="ro-RO"/>
        </w:rPr>
        <w:t>cantitățile selectate pentru iterația restricționată</w:t>
      </w:r>
      <w:bookmarkEnd w:id="112"/>
    </w:p>
    <w:p w:rsidR="007E308C" w:rsidRPr="00944248" w:rsidRDefault="007E308C" w:rsidP="007E308C">
      <w:pPr>
        <w:pStyle w:val="textregular"/>
        <w:rPr>
          <w:lang w:val="ro-RO"/>
        </w:rPr>
      </w:pPr>
      <w:r w:rsidRPr="00944248">
        <w:rPr>
          <w:lang w:val="ro-RO"/>
        </w:rPr>
        <w:t>În plus, trebuie subliniat faptul că luarea în considerare a restricțiilor privind domeniul de flux dorit nu modifică volumul total de oferte selectate întrucât cererile trebuie satisfăcute la fel ca în iterația UC.</w:t>
      </w:r>
    </w:p>
    <w:p w:rsidR="00C63B5F" w:rsidRPr="00944248" w:rsidRDefault="00C22DF8" w:rsidP="007E308C">
      <w:pPr>
        <w:pStyle w:val="textregular"/>
        <w:rPr>
          <w:lang w:val="ro-RO"/>
        </w:rPr>
      </w:pPr>
      <w:r w:rsidRPr="00944248">
        <w:rPr>
          <w:lang w:val="ro-RO"/>
        </w:rPr>
        <w:lastRenderedPageBreak/>
        <w:t>Metodologia de decontare este definită astfel încât costurile OTS-urilor care au doar cereri de echilibrare să nu crească. Cu alte cuvinte, nici OTS 1 și nici OTS 3 nu vor avea costuri de echilibrare mai mari în iterația restricționată în comparație cu iterația nerestricționată. Aceasta înseamnă că toate costurile suplimentare calculate drept produs dintre</w:t>
      </w:r>
    </w:p>
    <w:p w:rsidR="00C63B5F" w:rsidRPr="00944248" w:rsidRDefault="0072203F" w:rsidP="00DD58FA">
      <w:pPr>
        <w:pStyle w:val="textregular"/>
        <w:numPr>
          <w:ilvl w:val="0"/>
          <w:numId w:val="30"/>
        </w:numPr>
        <w:rPr>
          <w:lang w:val="ro-RO"/>
        </w:rPr>
      </w:pPr>
      <w:r w:rsidRPr="00944248">
        <w:rPr>
          <w:lang w:val="ro-RO"/>
        </w:rPr>
        <w:t>volumele ofertelor suplimentare selectate în scopurile restricțiilor de sistem și</w:t>
      </w:r>
    </w:p>
    <w:p w:rsidR="00C22DF8" w:rsidRPr="00944248" w:rsidRDefault="0072203F" w:rsidP="00DD58FA">
      <w:pPr>
        <w:pStyle w:val="textregular"/>
        <w:numPr>
          <w:ilvl w:val="0"/>
          <w:numId w:val="30"/>
        </w:numPr>
        <w:rPr>
          <w:lang w:val="ro-RO"/>
        </w:rPr>
      </w:pPr>
      <w:r w:rsidRPr="00944248">
        <w:rPr>
          <w:lang w:val="ro-RO"/>
        </w:rPr>
        <w:t xml:space="preserve">diferența dintre respectivele prețuri de remunerare a energiei de echilibrare și CBMP </w:t>
      </w:r>
    </w:p>
    <w:p w:rsidR="006E01F2" w:rsidRPr="00944248" w:rsidRDefault="00503F57" w:rsidP="007E308C">
      <w:pPr>
        <w:pStyle w:val="textregular"/>
        <w:rPr>
          <w:lang w:val="ro-RO"/>
        </w:rPr>
      </w:pPr>
      <w:r w:rsidRPr="00944248">
        <w:rPr>
          <w:lang w:val="ro-RO"/>
        </w:rPr>
        <w:t>trebuie să fie suportate de către OTS 2.</w:t>
      </w:r>
    </w:p>
    <w:p w:rsidR="00DF71FE" w:rsidRPr="00944248" w:rsidRDefault="00DF71FE" w:rsidP="00DF71FE">
      <w:pPr>
        <w:pStyle w:val="textregular"/>
        <w:rPr>
          <w:lang w:val="ro-RO"/>
        </w:rPr>
      </w:pPr>
      <w:r w:rsidRPr="00944248">
        <w:rPr>
          <w:lang w:val="ro-RO"/>
        </w:rPr>
        <w:t xml:space="preserve">Volumele suplimentare, majorările și costurile suplimentare aferente scenariului luat în considerare sunt prezentate pe scurt în </w:t>
      </w:r>
      <w:r w:rsidRPr="00944248">
        <w:rPr>
          <w:lang w:val="ro-RO"/>
        </w:rPr>
        <w:fldChar w:fldCharType="begin"/>
      </w:r>
      <w:r w:rsidRPr="00944248">
        <w:rPr>
          <w:lang w:val="ro-RO"/>
        </w:rPr>
        <w:instrText xml:space="preserve"> REF _Ref531793928 \h </w:instrText>
      </w:r>
      <w:r w:rsidRPr="00944248">
        <w:rPr>
          <w:lang w:val="ro-RO"/>
        </w:rPr>
      </w:r>
      <w:r w:rsidRPr="00944248">
        <w:rPr>
          <w:lang w:val="ro-RO"/>
        </w:rPr>
        <w:fldChar w:fldCharType="separate"/>
      </w:r>
      <w:r w:rsidRPr="00944248">
        <w:rPr>
          <w:lang w:val="ro-RO"/>
        </w:rPr>
        <w:t>Tabelul 5</w:t>
      </w:r>
      <w:r w:rsidRPr="00944248">
        <w:rPr>
          <w:lang w:val="ro-RO"/>
        </w:rPr>
        <w:fldChar w:fldCharType="end"/>
      </w:r>
      <w:r w:rsidRPr="00944248">
        <w:rPr>
          <w:lang w:val="ro-RO"/>
        </w:rPr>
        <w:t>. În scenariul luat în considerare, OTS 2 trebuie să plătească 100 € ca urmare a plăților majorate către FSE-uri.</w:t>
      </w:r>
    </w:p>
    <w:tbl>
      <w:tblPr>
        <w:tblStyle w:val="Tabellenraster1"/>
        <w:tblW w:w="4912" w:type="pct"/>
        <w:jc w:val="center"/>
        <w:tblCellMar>
          <w:left w:w="28" w:type="dxa"/>
          <w:right w:w="28" w:type="dxa"/>
        </w:tblCellMar>
        <w:tblLook w:val="0000" w:firstRow="0" w:lastRow="0" w:firstColumn="0" w:lastColumn="0" w:noHBand="0" w:noVBand="0"/>
      </w:tblPr>
      <w:tblGrid>
        <w:gridCol w:w="624"/>
        <w:gridCol w:w="3118"/>
        <w:gridCol w:w="3118"/>
        <w:gridCol w:w="2551"/>
      </w:tblGrid>
      <w:tr w:rsidR="00DF71FE" w:rsidRPr="00944248" w:rsidTr="00DF71FE">
        <w:trPr>
          <w:trHeight w:val="454"/>
          <w:jc w:val="center"/>
        </w:trPr>
        <w:tc>
          <w:tcPr>
            <w:tcW w:w="624" w:type="dxa"/>
            <w:vAlign w:val="center"/>
          </w:tcPr>
          <w:p w:rsidR="0033349E" w:rsidRPr="00944248" w:rsidRDefault="0033349E" w:rsidP="0033349E">
            <w:pPr>
              <w:pStyle w:val="textregular"/>
              <w:spacing w:after="0"/>
              <w:jc w:val="center"/>
              <w:rPr>
                <w:rFonts w:ascii="Times New Roman" w:hAnsi="Times New Roman" w:cs="Times New Roman"/>
                <w:b/>
                <w:sz w:val="20"/>
                <w:lang w:val="ro-RO"/>
              </w:rPr>
            </w:pPr>
            <w:r w:rsidRPr="00944248">
              <w:rPr>
                <w:rFonts w:ascii="Times New Roman" w:hAnsi="Times New Roman" w:cs="Times New Roman"/>
                <w:b/>
                <w:bCs/>
                <w:sz w:val="20"/>
                <w:lang w:val="ro-RO"/>
              </w:rPr>
              <w:t>FSE</w:t>
            </w:r>
          </w:p>
        </w:tc>
        <w:tc>
          <w:tcPr>
            <w:tcW w:w="3118" w:type="dxa"/>
            <w:vAlign w:val="center"/>
          </w:tcPr>
          <w:p w:rsidR="0033349E" w:rsidRPr="00944248" w:rsidRDefault="0033349E" w:rsidP="0033349E">
            <w:pPr>
              <w:pStyle w:val="textregular"/>
              <w:spacing w:after="0"/>
              <w:jc w:val="center"/>
              <w:rPr>
                <w:rFonts w:ascii="Times New Roman" w:hAnsi="Times New Roman" w:cs="Times New Roman"/>
                <w:b/>
                <w:sz w:val="20"/>
                <w:lang w:val="ro-RO"/>
              </w:rPr>
            </w:pPr>
            <w:r w:rsidRPr="00944248">
              <w:rPr>
                <w:rFonts w:ascii="Times New Roman" w:hAnsi="Times New Roman" w:cs="Times New Roman"/>
                <w:b/>
                <w:bCs/>
                <w:sz w:val="20"/>
                <w:lang w:val="ro-RO"/>
              </w:rPr>
              <w:t>Volum pentru restricțiile de sistem</w:t>
            </w:r>
          </w:p>
        </w:tc>
        <w:tc>
          <w:tcPr>
            <w:tcW w:w="3118" w:type="dxa"/>
            <w:vAlign w:val="center"/>
          </w:tcPr>
          <w:p w:rsidR="0033349E" w:rsidRPr="00944248" w:rsidRDefault="0033349E" w:rsidP="0033349E">
            <w:pPr>
              <w:pStyle w:val="textregular"/>
              <w:spacing w:after="0"/>
              <w:jc w:val="center"/>
              <w:rPr>
                <w:rFonts w:ascii="Times New Roman" w:hAnsi="Times New Roman" w:cs="Times New Roman"/>
                <w:b/>
                <w:sz w:val="20"/>
                <w:lang w:val="ro-RO"/>
              </w:rPr>
            </w:pPr>
            <w:r w:rsidRPr="00944248">
              <w:rPr>
                <w:rFonts w:ascii="Times New Roman" w:hAnsi="Times New Roman" w:cs="Times New Roman"/>
                <w:b/>
                <w:bCs/>
                <w:sz w:val="20"/>
                <w:lang w:val="ro-RO"/>
              </w:rPr>
              <w:t>Majorare = Preț ofertat – CBMP</w:t>
            </w:r>
          </w:p>
        </w:tc>
        <w:tc>
          <w:tcPr>
            <w:tcW w:w="2551" w:type="dxa"/>
            <w:vAlign w:val="center"/>
          </w:tcPr>
          <w:p w:rsidR="0033349E" w:rsidRPr="00944248" w:rsidRDefault="0033349E" w:rsidP="0033349E">
            <w:pPr>
              <w:pStyle w:val="textregular"/>
              <w:spacing w:after="0"/>
              <w:jc w:val="center"/>
              <w:rPr>
                <w:rFonts w:ascii="Times New Roman" w:hAnsi="Times New Roman" w:cs="Times New Roman"/>
                <w:b/>
                <w:sz w:val="20"/>
                <w:lang w:val="ro-RO"/>
              </w:rPr>
            </w:pPr>
            <w:r w:rsidRPr="00944248">
              <w:rPr>
                <w:rFonts w:ascii="Times New Roman" w:hAnsi="Times New Roman" w:cs="Times New Roman"/>
                <w:b/>
                <w:bCs/>
                <w:sz w:val="20"/>
                <w:lang w:val="ro-RO"/>
              </w:rPr>
              <w:t>Plată aferentă OTS 2</w:t>
            </w:r>
          </w:p>
        </w:tc>
      </w:tr>
      <w:tr w:rsidR="00DF71FE" w:rsidRPr="00944248" w:rsidTr="00DF71FE">
        <w:trPr>
          <w:trHeight w:val="454"/>
          <w:jc w:val="center"/>
        </w:trPr>
        <w:tc>
          <w:tcPr>
            <w:tcW w:w="624" w:type="dxa"/>
            <w:vAlign w:val="center"/>
          </w:tcPr>
          <w:p w:rsidR="0033349E" w:rsidRPr="00944248" w:rsidRDefault="0033349E" w:rsidP="0033349E">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1</w:t>
            </w:r>
          </w:p>
        </w:tc>
        <w:tc>
          <w:tcPr>
            <w:tcW w:w="3118" w:type="dxa"/>
            <w:vAlign w:val="center"/>
          </w:tcPr>
          <w:p w:rsidR="0033349E" w:rsidRPr="00944248" w:rsidRDefault="0033349E" w:rsidP="0033349E">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40 MWh – 20 MWh = 20 MWh</w:t>
            </w:r>
          </w:p>
        </w:tc>
        <w:tc>
          <w:tcPr>
            <w:tcW w:w="3118" w:type="dxa"/>
            <w:vAlign w:val="center"/>
          </w:tcPr>
          <w:p w:rsidR="0033349E" w:rsidRPr="00944248" w:rsidRDefault="0033349E" w:rsidP="0033349E">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50 €/MWh – 50 €/MWh = 0 €/MWh</w:t>
            </w:r>
          </w:p>
        </w:tc>
        <w:tc>
          <w:tcPr>
            <w:tcW w:w="2551" w:type="dxa"/>
            <w:vAlign w:val="center"/>
          </w:tcPr>
          <w:p w:rsidR="0033349E" w:rsidRPr="00944248" w:rsidRDefault="0033349E" w:rsidP="0033349E">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20 MWh* 0 €/MWh</w:t>
            </w:r>
          </w:p>
        </w:tc>
      </w:tr>
      <w:tr w:rsidR="00DF71FE" w:rsidRPr="00944248" w:rsidTr="00DF71FE">
        <w:trPr>
          <w:trHeight w:val="454"/>
          <w:jc w:val="center"/>
        </w:trPr>
        <w:tc>
          <w:tcPr>
            <w:tcW w:w="624" w:type="dxa"/>
            <w:vAlign w:val="center"/>
          </w:tcPr>
          <w:p w:rsidR="0033349E" w:rsidRPr="00944248" w:rsidRDefault="0033349E" w:rsidP="0033349E">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2</w:t>
            </w:r>
          </w:p>
        </w:tc>
        <w:tc>
          <w:tcPr>
            <w:tcW w:w="3118" w:type="dxa"/>
            <w:vAlign w:val="center"/>
          </w:tcPr>
          <w:p w:rsidR="0033349E" w:rsidRPr="00944248" w:rsidRDefault="0033349E" w:rsidP="0033349E">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10 MWh – 0 MWh = 10 MWh</w:t>
            </w:r>
          </w:p>
        </w:tc>
        <w:tc>
          <w:tcPr>
            <w:tcW w:w="3118" w:type="dxa"/>
            <w:vAlign w:val="center"/>
          </w:tcPr>
          <w:p w:rsidR="0033349E" w:rsidRPr="00944248" w:rsidRDefault="0033349E" w:rsidP="0033349E">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60 €/MWh – 50 €/MWh = 10 €/MWh</w:t>
            </w:r>
          </w:p>
        </w:tc>
        <w:tc>
          <w:tcPr>
            <w:tcW w:w="2551" w:type="dxa"/>
            <w:vAlign w:val="center"/>
          </w:tcPr>
          <w:p w:rsidR="0033349E" w:rsidRPr="00944248" w:rsidRDefault="0033349E" w:rsidP="0033349E">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10 MWh * 10 €/MWh</w:t>
            </w:r>
          </w:p>
        </w:tc>
      </w:tr>
    </w:tbl>
    <w:p w:rsidR="00361CFE" w:rsidRPr="00944248" w:rsidRDefault="00361CFE" w:rsidP="00361CFE">
      <w:pPr>
        <w:pStyle w:val="Caption"/>
        <w:rPr>
          <w:lang w:val="ro-RO"/>
        </w:rPr>
      </w:pPr>
      <w:bookmarkStart w:id="113" w:name="_Ref531793928"/>
      <w:bookmarkStart w:id="114" w:name="_Toc535158352"/>
      <w:r w:rsidRPr="00944248">
        <w:rPr>
          <w:lang w:val="ro-RO"/>
        </w:rPr>
        <w:t xml:space="preserve">Tabelul </w:t>
      </w:r>
      <w:r w:rsidRPr="00944248">
        <w:rPr>
          <w:lang w:val="ro-RO"/>
        </w:rPr>
        <w:fldChar w:fldCharType="begin"/>
      </w:r>
      <w:r w:rsidRPr="00944248">
        <w:rPr>
          <w:lang w:val="ro-RO"/>
        </w:rPr>
        <w:instrText xml:space="preserve"> SEQ Table \* ARABIC </w:instrText>
      </w:r>
      <w:r w:rsidRPr="00944248">
        <w:rPr>
          <w:lang w:val="ro-RO"/>
        </w:rPr>
        <w:fldChar w:fldCharType="separate"/>
      </w:r>
      <w:r w:rsidRPr="00944248">
        <w:rPr>
          <w:lang w:val="ro-RO"/>
        </w:rPr>
        <w:t>5</w:t>
      </w:r>
      <w:r w:rsidRPr="00944248">
        <w:rPr>
          <w:lang w:val="ro-RO"/>
        </w:rPr>
        <w:fldChar w:fldCharType="end"/>
      </w:r>
      <w:bookmarkEnd w:id="113"/>
      <w:r w:rsidRPr="00944248">
        <w:rPr>
          <w:lang w:val="ro-RO"/>
        </w:rPr>
        <w:t>:</w:t>
      </w:r>
      <w:r w:rsidRPr="00944248">
        <w:rPr>
          <w:b w:val="0"/>
          <w:bCs w:val="0"/>
          <w:lang w:val="ro-RO"/>
        </w:rPr>
        <w:t xml:space="preserve"> </w:t>
      </w:r>
      <w:r w:rsidRPr="00944248">
        <w:rPr>
          <w:lang w:val="ro-RO"/>
        </w:rPr>
        <w:t>Volume ofertate și majorări de preț generate de iterația restricționată</w:t>
      </w:r>
      <w:bookmarkEnd w:id="114"/>
    </w:p>
    <w:p w:rsidR="00D51811" w:rsidRPr="00944248" w:rsidRDefault="00DF71FE" w:rsidP="00677A26">
      <w:pPr>
        <w:pStyle w:val="textregular"/>
        <w:rPr>
          <w:lang w:val="ro-RO"/>
        </w:rPr>
      </w:pPr>
      <w:r w:rsidRPr="00944248">
        <w:rPr>
          <w:lang w:val="ro-RO"/>
        </w:rPr>
        <w:t>Cea de-a doua componentă ce trebuie luată în considerare este fluxul invers de la o zonă cu preț mare (OTS 1) către o zonă cu preț mic (OTS 2 și OTS 3).</w:t>
      </w:r>
    </w:p>
    <w:p w:rsidR="00DF71FE" w:rsidRPr="00944248" w:rsidRDefault="004F7FD7" w:rsidP="00677A26">
      <w:pPr>
        <w:pStyle w:val="textregular"/>
        <w:rPr>
          <w:lang w:val="ro-RO"/>
        </w:rPr>
      </w:pPr>
      <w:r w:rsidRPr="00944248">
        <w:rPr>
          <w:lang w:val="ro-RO"/>
        </w:rPr>
        <w:t>Tariful respectiv (în prezenta convenție privind semnele, semnul pozitiv înseamnă o plată din perspectiva OTS-ului) generat de fluxurile contraintuitive este egal cu produsul dintre</w:t>
      </w:r>
    </w:p>
    <w:p w:rsidR="004F7FD7" w:rsidRPr="00944248" w:rsidRDefault="004F7FD7" w:rsidP="002B7E26">
      <w:pPr>
        <w:pStyle w:val="textregular"/>
        <w:numPr>
          <w:ilvl w:val="0"/>
          <w:numId w:val="31"/>
        </w:numPr>
        <w:rPr>
          <w:lang w:val="ro-RO"/>
        </w:rPr>
      </w:pPr>
      <w:r w:rsidRPr="00944248">
        <w:rPr>
          <w:lang w:val="ro-RO"/>
        </w:rPr>
        <w:t>fluxul (import) de pe graniță (30 MWh) și</w:t>
      </w:r>
    </w:p>
    <w:p w:rsidR="004F7FD7" w:rsidRPr="00944248" w:rsidRDefault="004F7FD7" w:rsidP="002B7E26">
      <w:pPr>
        <w:pStyle w:val="textregular"/>
        <w:numPr>
          <w:ilvl w:val="0"/>
          <w:numId w:val="31"/>
        </w:numPr>
        <w:rPr>
          <w:lang w:val="ro-RO"/>
        </w:rPr>
      </w:pPr>
      <w:r w:rsidRPr="00944248">
        <w:rPr>
          <w:lang w:val="ro-RO"/>
        </w:rPr>
        <w:t>diferența dintre CBMP-urile zonei care exportă și zonei care importă</w:t>
      </w:r>
    </w:p>
    <w:p w:rsidR="004F7FD7" w:rsidRPr="00944248" w:rsidRDefault="004F7FD7" w:rsidP="004F7FD7">
      <w:pPr>
        <w:pStyle w:val="textregular"/>
        <w:rPr>
          <w:lang w:val="ro-RO"/>
        </w:rPr>
      </w:pPr>
      <w:r w:rsidRPr="00944248">
        <w:rPr>
          <w:lang w:val="ro-RO"/>
        </w:rPr>
        <w:t>În exemplul luat în considerare, acest tarif este egal cu 30 MWh * (50 €/MWh - 40 €/MWh) = 300 € și de asemenea cade în sarcina OTS-ului 2.</w:t>
      </w:r>
    </w:p>
    <w:p w:rsidR="00677A26" w:rsidRPr="00944248" w:rsidRDefault="00316843" w:rsidP="00677A26">
      <w:pPr>
        <w:pStyle w:val="textregular"/>
        <w:rPr>
          <w:lang w:val="ro-RO"/>
        </w:rPr>
      </w:pPr>
      <w:r w:rsidRPr="00944248">
        <w:rPr>
          <w:lang w:val="ro-RO"/>
        </w:rPr>
        <w:t>Astfel, fluxurile financiare rezultate (</w:t>
      </w:r>
      <w:r w:rsidRPr="00944248">
        <w:rPr>
          <w:lang w:val="ro-RO"/>
        </w:rPr>
        <w:fldChar w:fldCharType="begin"/>
      </w:r>
      <w:r w:rsidRPr="00944248">
        <w:rPr>
          <w:lang w:val="ro-RO"/>
        </w:rPr>
        <w:instrText xml:space="preserve"> REF _Ref531792170 \h </w:instrText>
      </w:r>
      <w:r w:rsidRPr="00944248">
        <w:rPr>
          <w:lang w:val="ro-RO"/>
        </w:rPr>
      </w:r>
      <w:r w:rsidRPr="00944248">
        <w:rPr>
          <w:lang w:val="ro-RO"/>
        </w:rPr>
        <w:fldChar w:fldCharType="separate"/>
      </w:r>
      <w:r w:rsidRPr="00944248">
        <w:rPr>
          <w:lang w:val="ro-RO"/>
        </w:rPr>
        <w:t>Figura 7</w:t>
      </w:r>
      <w:r w:rsidRPr="00944248">
        <w:rPr>
          <w:lang w:val="ro-RO"/>
        </w:rPr>
        <w:fldChar w:fldCharType="end"/>
      </w:r>
      <w:r w:rsidRPr="00944248">
        <w:rPr>
          <w:lang w:val="ro-RO"/>
        </w:rPr>
        <w:t xml:space="preserve">) dintre OTS-uri după iterația restricționată sunt următoarele (o plată negativă înseamnă că OTS-ul va primi suma respectivă): </w:t>
      </w:r>
    </w:p>
    <w:p w:rsidR="00677A26" w:rsidRPr="00944248" w:rsidRDefault="00677A26" w:rsidP="00677A26">
      <w:pPr>
        <w:pStyle w:val="textregular"/>
        <w:rPr>
          <w:b/>
          <w:lang w:val="ro-RO"/>
        </w:rPr>
      </w:pPr>
      <w:r w:rsidRPr="00944248">
        <w:rPr>
          <w:b/>
          <w:bCs/>
          <w:lang w:val="ro-RO"/>
        </w:rPr>
        <w:t>Pentru OTS 1:</w:t>
      </w:r>
    </w:p>
    <w:p w:rsidR="00677A26" w:rsidRPr="00944248" w:rsidRDefault="00F66E8B" w:rsidP="002B7E26">
      <w:pPr>
        <w:pStyle w:val="textregular"/>
        <w:numPr>
          <w:ilvl w:val="0"/>
          <w:numId w:val="30"/>
        </w:numPr>
        <w:rPr>
          <w:lang w:val="ro-RO"/>
        </w:rPr>
      </w:pPr>
      <w:r w:rsidRPr="00944248">
        <w:rPr>
          <w:lang w:val="ro-RO"/>
        </w:rPr>
        <w:t>Import/export de energie de echilibrare: -30 MWh * 50 €/MWh = -1500 €</w:t>
      </w:r>
    </w:p>
    <w:p w:rsidR="00677A26" w:rsidRPr="00944248" w:rsidRDefault="005D0E3F" w:rsidP="002B7E26">
      <w:pPr>
        <w:pStyle w:val="textregular"/>
        <w:numPr>
          <w:ilvl w:val="0"/>
          <w:numId w:val="30"/>
        </w:numPr>
        <w:rPr>
          <w:lang w:val="ro-RO"/>
        </w:rPr>
      </w:pPr>
      <w:r w:rsidRPr="00944248">
        <w:rPr>
          <w:lang w:val="ro-RO"/>
        </w:rPr>
        <w:t xml:space="preserve">Restricții de sistem: -10MWh * (60 €/MWh – 50 €/MWh) = -100€ </w:t>
      </w:r>
    </w:p>
    <w:p w:rsidR="00677A26" w:rsidRPr="00944248" w:rsidRDefault="00677A26" w:rsidP="00677A26">
      <w:pPr>
        <w:pStyle w:val="textregular"/>
        <w:rPr>
          <w:b/>
          <w:lang w:val="ro-RO"/>
        </w:rPr>
      </w:pPr>
      <w:r w:rsidRPr="00944248">
        <w:rPr>
          <w:b/>
          <w:bCs/>
          <w:lang w:val="ro-RO"/>
        </w:rPr>
        <w:t>Pentru OTS 2:</w:t>
      </w:r>
    </w:p>
    <w:p w:rsidR="00677A26" w:rsidRPr="00944248" w:rsidRDefault="00F66E8B" w:rsidP="002B7E26">
      <w:pPr>
        <w:pStyle w:val="textregular"/>
        <w:numPr>
          <w:ilvl w:val="0"/>
          <w:numId w:val="31"/>
        </w:numPr>
        <w:rPr>
          <w:lang w:val="ro-RO"/>
        </w:rPr>
      </w:pPr>
      <w:r w:rsidRPr="00944248">
        <w:rPr>
          <w:lang w:val="ro-RO"/>
        </w:rPr>
        <w:t>Importul/exportul de energie de echilibrare: 30 MWh * 40 €/MWh + 20 MWh * 40€/MWh = 2000 €</w:t>
      </w:r>
    </w:p>
    <w:p w:rsidR="00FF0AA6" w:rsidRPr="00944248" w:rsidRDefault="005D0E3F" w:rsidP="002B7E26">
      <w:pPr>
        <w:pStyle w:val="textregular"/>
        <w:numPr>
          <w:ilvl w:val="0"/>
          <w:numId w:val="31"/>
        </w:numPr>
        <w:rPr>
          <w:lang w:val="ro-RO"/>
        </w:rPr>
      </w:pPr>
      <w:r w:rsidRPr="00944248">
        <w:rPr>
          <w:lang w:val="ro-RO"/>
        </w:rPr>
        <w:t>Restricții de sistem</w:t>
      </w:r>
    </w:p>
    <w:p w:rsidR="00677A26" w:rsidRPr="00944248" w:rsidRDefault="00FF0AA6" w:rsidP="002B7E26">
      <w:pPr>
        <w:pStyle w:val="textregular"/>
        <w:numPr>
          <w:ilvl w:val="1"/>
          <w:numId w:val="31"/>
        </w:numPr>
        <w:rPr>
          <w:lang w:val="ro-RO"/>
        </w:rPr>
      </w:pPr>
      <w:r w:rsidRPr="00944248">
        <w:rPr>
          <w:lang w:val="ro-RO"/>
        </w:rPr>
        <w:t xml:space="preserve">Majorări FSE: 10MWh * (60€/MWh - 50€/MWh) = 100€ </w:t>
      </w:r>
    </w:p>
    <w:p w:rsidR="00677A26" w:rsidRPr="00944248" w:rsidRDefault="00FF0AA6" w:rsidP="002B7E26">
      <w:pPr>
        <w:pStyle w:val="textregular"/>
        <w:numPr>
          <w:ilvl w:val="1"/>
          <w:numId w:val="31"/>
        </w:numPr>
        <w:rPr>
          <w:lang w:val="ro-RO"/>
        </w:rPr>
      </w:pPr>
      <w:r w:rsidRPr="00944248">
        <w:rPr>
          <w:lang w:val="ro-RO"/>
        </w:rPr>
        <w:t>Fluxuri contraintuitive: 30MWh * (50 €/MWh-40 €/MWh) = 300 €</w:t>
      </w:r>
    </w:p>
    <w:p w:rsidR="00677A26" w:rsidRPr="00944248" w:rsidRDefault="00677A26" w:rsidP="00677A26">
      <w:pPr>
        <w:pStyle w:val="textregular"/>
        <w:rPr>
          <w:b/>
          <w:lang w:val="ro-RO"/>
        </w:rPr>
      </w:pPr>
      <w:r w:rsidRPr="00944248">
        <w:rPr>
          <w:b/>
          <w:bCs/>
          <w:lang w:val="ro-RO"/>
        </w:rPr>
        <w:t>Pentru OTS 3:</w:t>
      </w:r>
    </w:p>
    <w:p w:rsidR="00677A26" w:rsidRPr="00944248" w:rsidRDefault="00F66E8B" w:rsidP="002B7E26">
      <w:pPr>
        <w:pStyle w:val="textregular"/>
        <w:numPr>
          <w:ilvl w:val="0"/>
          <w:numId w:val="32"/>
        </w:numPr>
        <w:rPr>
          <w:lang w:val="ro-RO"/>
        </w:rPr>
      </w:pPr>
      <w:r w:rsidRPr="00944248">
        <w:rPr>
          <w:lang w:val="ro-RO"/>
        </w:rPr>
        <w:t>Importul/exportul de energie de echilibrare: 20 MW * 40 €/MWh = 800 €</w:t>
      </w:r>
    </w:p>
    <w:p w:rsidR="00677A26" w:rsidRPr="00944248" w:rsidRDefault="00A25C66" w:rsidP="002B7E26">
      <w:pPr>
        <w:pStyle w:val="textregular"/>
        <w:numPr>
          <w:ilvl w:val="0"/>
          <w:numId w:val="32"/>
        </w:numPr>
        <w:rPr>
          <w:lang w:val="ro-RO"/>
        </w:rPr>
      </w:pPr>
      <w:r w:rsidRPr="00944248">
        <w:rPr>
          <w:lang w:val="ro-RO"/>
        </w:rPr>
        <w:t>Restricții de sistem: 0 MWh * 0 €/MWh (întrucât OTS 3 nu a solicitat activarea în scopul restricțiilor de sistem și nici nu a selectat oferte cu un preț ofertat ai mare decât CBMP-ul aferent acestei zone).</w:t>
      </w:r>
    </w:p>
    <w:p w:rsidR="00677A26" w:rsidRPr="00944248" w:rsidRDefault="00CF4969" w:rsidP="00CF4969">
      <w:pPr>
        <w:pStyle w:val="textregular"/>
        <w:jc w:val="center"/>
        <w:rPr>
          <w:lang w:val="ro-RO"/>
        </w:rPr>
      </w:pPr>
      <w:r w:rsidRPr="00944248">
        <w:rPr>
          <w:noProof/>
          <w:lang w:val="ro-RO"/>
        </w:rPr>
        <w:lastRenderedPageBreak/>
        <w:drawing>
          <wp:inline distT="0" distB="0" distL="0" distR="0">
            <wp:extent cx="5783593" cy="1508409"/>
            <wp:effectExtent l="0" t="0" r="7620" b="0"/>
            <wp:docPr id="248" name="Grafik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89802" cy="1510028"/>
                    </a:xfrm>
                    <a:prstGeom prst="rect">
                      <a:avLst/>
                    </a:prstGeom>
                    <a:noFill/>
                    <a:ln>
                      <a:noFill/>
                    </a:ln>
                  </pic:spPr>
                </pic:pic>
              </a:graphicData>
            </a:graphic>
          </wp:inline>
        </w:drawing>
      </w:r>
    </w:p>
    <w:p w:rsidR="00CA2308" w:rsidRPr="00944248" w:rsidRDefault="00CA2308" w:rsidP="00CA2308">
      <w:pPr>
        <w:pStyle w:val="Caption"/>
        <w:rPr>
          <w:lang w:val="ro-RO"/>
        </w:rPr>
      </w:pPr>
      <w:bookmarkStart w:id="115" w:name="_Ref531792170"/>
      <w:bookmarkStart w:id="116" w:name="_Toc535158339"/>
      <w:r w:rsidRPr="00944248">
        <w:rPr>
          <w:lang w:val="ro-RO"/>
        </w:rPr>
        <w:t xml:space="preserve">Figura </w:t>
      </w:r>
      <w:r w:rsidRPr="00944248">
        <w:rPr>
          <w:lang w:val="ro-RO"/>
        </w:rPr>
        <w:fldChar w:fldCharType="begin"/>
      </w:r>
      <w:r w:rsidRPr="00944248">
        <w:rPr>
          <w:lang w:val="ro-RO"/>
        </w:rPr>
        <w:instrText xml:space="preserve"> SEQ Figure \* ARABIC </w:instrText>
      </w:r>
      <w:r w:rsidRPr="00944248">
        <w:rPr>
          <w:lang w:val="ro-RO"/>
        </w:rPr>
        <w:fldChar w:fldCharType="separate"/>
      </w:r>
      <w:r w:rsidRPr="00944248">
        <w:rPr>
          <w:lang w:val="ro-RO"/>
        </w:rPr>
        <w:t>7</w:t>
      </w:r>
      <w:r w:rsidRPr="00944248">
        <w:rPr>
          <w:lang w:val="ro-RO"/>
        </w:rPr>
        <w:fldChar w:fldCharType="end"/>
      </w:r>
      <w:bookmarkEnd w:id="115"/>
      <w:r w:rsidRPr="00944248">
        <w:rPr>
          <w:lang w:val="ro-RO"/>
        </w:rPr>
        <w:t>:</w:t>
      </w:r>
      <w:r w:rsidRPr="00944248">
        <w:rPr>
          <w:b w:val="0"/>
          <w:bCs w:val="0"/>
          <w:lang w:val="ro-RO"/>
        </w:rPr>
        <w:t xml:space="preserve"> </w:t>
      </w:r>
      <w:r w:rsidRPr="00944248">
        <w:rPr>
          <w:lang w:val="ro-RO"/>
        </w:rPr>
        <w:t>Rezultatul decontării OTS-OTS pentru iterația restricționată</w:t>
      </w:r>
      <w:bookmarkEnd w:id="116"/>
    </w:p>
    <w:p w:rsidR="00C074FB" w:rsidRPr="00944248" w:rsidRDefault="002245D8" w:rsidP="00C074FB">
      <w:pPr>
        <w:pStyle w:val="textregular"/>
        <w:rPr>
          <w:szCs w:val="22"/>
          <w:lang w:val="ro-RO"/>
        </w:rPr>
      </w:pPr>
      <w:r w:rsidRPr="00944248">
        <w:rPr>
          <w:szCs w:val="22"/>
          <w:lang w:val="ro-RO"/>
        </w:rPr>
        <w:fldChar w:fldCharType="begin"/>
      </w:r>
      <w:r w:rsidRPr="00944248">
        <w:rPr>
          <w:szCs w:val="22"/>
          <w:lang w:val="ro-RO"/>
        </w:rPr>
        <w:instrText xml:space="preserve"> REF _Ref531796584 \h </w:instrText>
      </w:r>
      <w:r w:rsidRPr="00944248">
        <w:rPr>
          <w:szCs w:val="22"/>
          <w:lang w:val="ro-RO"/>
        </w:rPr>
      </w:r>
      <w:r w:rsidRPr="00944248">
        <w:rPr>
          <w:szCs w:val="22"/>
          <w:lang w:val="ro-RO"/>
        </w:rPr>
        <w:fldChar w:fldCharType="separate"/>
      </w:r>
      <w:r w:rsidRPr="00944248">
        <w:rPr>
          <w:lang w:val="ro-RO"/>
        </w:rPr>
        <w:t>Tabelul 6</w:t>
      </w:r>
      <w:r w:rsidRPr="00944248">
        <w:rPr>
          <w:szCs w:val="22"/>
          <w:lang w:val="ro-RO"/>
        </w:rPr>
        <w:fldChar w:fldCharType="end"/>
      </w:r>
      <w:r w:rsidRPr="00944248">
        <w:rPr>
          <w:szCs w:val="22"/>
          <w:lang w:val="ro-RO"/>
        </w:rPr>
        <w:t xml:space="preserve"> prezintă faptul că OTS-ul 1 care furnizează cei 30 MW suplimentari în scopurile restricțiilor de sistem este compensat în totalitate de către OTS-ul 2:</w:t>
      </w:r>
    </w:p>
    <w:tbl>
      <w:tblPr>
        <w:tblStyle w:val="Tabellenraster1"/>
        <w:tblW w:w="4882" w:type="pct"/>
        <w:jc w:val="center"/>
        <w:tblCellMar>
          <w:left w:w="28" w:type="dxa"/>
          <w:right w:w="28" w:type="dxa"/>
        </w:tblCellMar>
        <w:tblLook w:val="0000" w:firstRow="0" w:lastRow="0" w:firstColumn="0" w:lastColumn="0" w:noHBand="0" w:noVBand="0"/>
      </w:tblPr>
      <w:tblGrid>
        <w:gridCol w:w="3118"/>
        <w:gridCol w:w="3118"/>
        <w:gridCol w:w="3118"/>
      </w:tblGrid>
      <w:tr w:rsidR="00E21F6E" w:rsidRPr="00944248" w:rsidTr="00E21F6E">
        <w:trPr>
          <w:trHeight w:val="454"/>
          <w:jc w:val="center"/>
        </w:trPr>
        <w:tc>
          <w:tcPr>
            <w:tcW w:w="3118" w:type="dxa"/>
            <w:vAlign w:val="center"/>
          </w:tcPr>
          <w:p w:rsidR="00E21F6E" w:rsidRPr="00944248" w:rsidRDefault="00E21F6E" w:rsidP="007B5370">
            <w:pPr>
              <w:pStyle w:val="textregular"/>
              <w:spacing w:after="0"/>
              <w:jc w:val="center"/>
              <w:rPr>
                <w:rFonts w:ascii="Times New Roman" w:hAnsi="Times New Roman" w:cs="Times New Roman"/>
                <w:b/>
                <w:sz w:val="20"/>
                <w:lang w:val="ro-RO"/>
              </w:rPr>
            </w:pPr>
            <w:r w:rsidRPr="00944248">
              <w:rPr>
                <w:rFonts w:ascii="Times New Roman" w:hAnsi="Times New Roman" w:cs="Times New Roman"/>
                <w:b/>
                <w:bCs/>
                <w:sz w:val="20"/>
                <w:lang w:val="ro-RO"/>
              </w:rPr>
              <w:t>Plăți</w:t>
            </w:r>
          </w:p>
        </w:tc>
        <w:tc>
          <w:tcPr>
            <w:tcW w:w="3118" w:type="dxa"/>
            <w:vAlign w:val="center"/>
          </w:tcPr>
          <w:p w:rsidR="00E21F6E" w:rsidRPr="00944248" w:rsidRDefault="00E21F6E" w:rsidP="007B5370">
            <w:pPr>
              <w:pStyle w:val="textregular"/>
              <w:spacing w:after="0"/>
              <w:jc w:val="center"/>
              <w:rPr>
                <w:rFonts w:ascii="Times New Roman" w:hAnsi="Times New Roman" w:cs="Times New Roman"/>
                <w:b/>
                <w:sz w:val="20"/>
                <w:lang w:val="ro-RO"/>
              </w:rPr>
            </w:pPr>
            <w:r w:rsidRPr="00944248">
              <w:rPr>
                <w:rFonts w:ascii="Times New Roman" w:hAnsi="Times New Roman" w:cs="Times New Roman"/>
                <w:b/>
                <w:bCs/>
                <w:sz w:val="20"/>
                <w:lang w:val="ro-RO"/>
              </w:rPr>
              <w:t>Fără restricții de sistem</w:t>
            </w:r>
          </w:p>
        </w:tc>
        <w:tc>
          <w:tcPr>
            <w:tcW w:w="3118" w:type="dxa"/>
            <w:vAlign w:val="center"/>
          </w:tcPr>
          <w:p w:rsidR="00E21F6E" w:rsidRPr="00944248" w:rsidRDefault="00E21F6E" w:rsidP="007B5370">
            <w:pPr>
              <w:pStyle w:val="textregular"/>
              <w:spacing w:after="0"/>
              <w:jc w:val="center"/>
              <w:rPr>
                <w:rFonts w:ascii="Times New Roman" w:hAnsi="Times New Roman" w:cs="Times New Roman"/>
                <w:b/>
                <w:sz w:val="20"/>
                <w:lang w:val="ro-RO"/>
              </w:rPr>
            </w:pPr>
            <w:r w:rsidRPr="00944248">
              <w:rPr>
                <w:rFonts w:ascii="Times New Roman" w:hAnsi="Times New Roman" w:cs="Times New Roman"/>
                <w:b/>
                <w:bCs/>
                <w:sz w:val="20"/>
                <w:lang w:val="ro-RO"/>
              </w:rPr>
              <w:t>Cu restricții de sistem</w:t>
            </w:r>
          </w:p>
        </w:tc>
      </w:tr>
      <w:tr w:rsidR="00E21F6E" w:rsidRPr="00944248" w:rsidTr="00E21F6E">
        <w:trPr>
          <w:trHeight w:val="454"/>
          <w:jc w:val="center"/>
        </w:trPr>
        <w:tc>
          <w:tcPr>
            <w:tcW w:w="3118" w:type="dxa"/>
            <w:vAlign w:val="center"/>
          </w:tcPr>
          <w:p w:rsidR="00E21F6E" w:rsidRPr="00944248" w:rsidRDefault="00E21F6E" w:rsidP="007B5370">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Plata către FSE 1</w:t>
            </w:r>
          </w:p>
        </w:tc>
        <w:tc>
          <w:tcPr>
            <w:tcW w:w="3118" w:type="dxa"/>
            <w:vAlign w:val="center"/>
          </w:tcPr>
          <w:p w:rsidR="00E21F6E" w:rsidRPr="00944248" w:rsidRDefault="00E21F6E" w:rsidP="007B5370">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20 MWh * 50 €/MWh = 1000 €</w:t>
            </w:r>
          </w:p>
        </w:tc>
        <w:tc>
          <w:tcPr>
            <w:tcW w:w="3118" w:type="dxa"/>
            <w:vAlign w:val="center"/>
          </w:tcPr>
          <w:p w:rsidR="00E21F6E" w:rsidRPr="00944248" w:rsidRDefault="00E21F6E" w:rsidP="007B5370">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40 MWh * 50 €/MW = 2000 €</w:t>
            </w:r>
          </w:p>
        </w:tc>
      </w:tr>
      <w:tr w:rsidR="004234DF" w:rsidRPr="00944248" w:rsidTr="007B5370">
        <w:trPr>
          <w:trHeight w:val="454"/>
          <w:jc w:val="center"/>
        </w:trPr>
        <w:tc>
          <w:tcPr>
            <w:tcW w:w="3118" w:type="dxa"/>
            <w:vAlign w:val="center"/>
          </w:tcPr>
          <w:p w:rsidR="004234DF" w:rsidRPr="00944248" w:rsidRDefault="004234DF" w:rsidP="004234DF">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Plata către FSE 2</w:t>
            </w:r>
          </w:p>
        </w:tc>
        <w:tc>
          <w:tcPr>
            <w:tcW w:w="3118" w:type="dxa"/>
            <w:vAlign w:val="center"/>
          </w:tcPr>
          <w:p w:rsidR="004234DF" w:rsidRPr="00944248" w:rsidRDefault="004234DF" w:rsidP="004234DF">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0 MWh * 0 €/MWh = 0 €</w:t>
            </w:r>
          </w:p>
        </w:tc>
        <w:tc>
          <w:tcPr>
            <w:tcW w:w="3118" w:type="dxa"/>
            <w:vAlign w:val="center"/>
          </w:tcPr>
          <w:p w:rsidR="004234DF" w:rsidRPr="00944248" w:rsidRDefault="004234DF" w:rsidP="004234DF">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10 MWh * 60 €/MW = 600 €</w:t>
            </w:r>
          </w:p>
        </w:tc>
      </w:tr>
      <w:tr w:rsidR="00E21F6E" w:rsidRPr="00944248" w:rsidTr="00E21F6E">
        <w:trPr>
          <w:trHeight w:val="454"/>
          <w:jc w:val="center"/>
        </w:trPr>
        <w:tc>
          <w:tcPr>
            <w:tcW w:w="3118" w:type="dxa"/>
            <w:vAlign w:val="center"/>
          </w:tcPr>
          <w:p w:rsidR="00E21F6E" w:rsidRPr="00944248" w:rsidRDefault="00D84CA0" w:rsidP="00D84CA0">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Decontarea OTS-OTS generată de importul/exportul de energie de echilibrare</w:t>
            </w:r>
          </w:p>
        </w:tc>
        <w:tc>
          <w:tcPr>
            <w:tcW w:w="3118" w:type="dxa"/>
            <w:vAlign w:val="center"/>
          </w:tcPr>
          <w:p w:rsidR="00E21F6E" w:rsidRPr="00944248" w:rsidRDefault="00E21F6E" w:rsidP="004234DF">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0 MWh * 50 €/MWh = 0 €</w:t>
            </w:r>
          </w:p>
        </w:tc>
        <w:tc>
          <w:tcPr>
            <w:tcW w:w="3118" w:type="dxa"/>
            <w:vAlign w:val="center"/>
          </w:tcPr>
          <w:p w:rsidR="00E21F6E" w:rsidRPr="00944248" w:rsidRDefault="00D84CA0" w:rsidP="00D84CA0">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 xml:space="preserve"> - 30 MWh * 50 €/MWh = - 1500 €</w:t>
            </w:r>
          </w:p>
        </w:tc>
      </w:tr>
      <w:tr w:rsidR="00D84CA0" w:rsidRPr="00944248" w:rsidTr="00A06CD1">
        <w:trPr>
          <w:trHeight w:val="454"/>
          <w:jc w:val="center"/>
        </w:trPr>
        <w:tc>
          <w:tcPr>
            <w:tcW w:w="3118" w:type="dxa"/>
            <w:tcBorders>
              <w:bottom w:val="single" w:sz="24" w:space="0" w:color="000000"/>
            </w:tcBorders>
            <w:vAlign w:val="center"/>
          </w:tcPr>
          <w:p w:rsidR="00D84CA0" w:rsidRPr="00944248" w:rsidRDefault="00D84CA0" w:rsidP="00D84CA0">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Decontarea OTS-OTS generată de restricțiile de sistem</w:t>
            </w:r>
          </w:p>
        </w:tc>
        <w:tc>
          <w:tcPr>
            <w:tcW w:w="3118" w:type="dxa"/>
            <w:tcBorders>
              <w:bottom w:val="single" w:sz="24" w:space="0" w:color="000000"/>
            </w:tcBorders>
            <w:vAlign w:val="center"/>
          </w:tcPr>
          <w:p w:rsidR="00D84CA0" w:rsidRPr="00944248" w:rsidRDefault="00D84CA0" w:rsidP="00D84CA0">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0 MWh * 0 €/MWh = 0 €</w:t>
            </w:r>
          </w:p>
        </w:tc>
        <w:tc>
          <w:tcPr>
            <w:tcW w:w="3118" w:type="dxa"/>
            <w:tcBorders>
              <w:bottom w:val="single" w:sz="24" w:space="0" w:color="000000"/>
            </w:tcBorders>
            <w:vAlign w:val="center"/>
          </w:tcPr>
          <w:p w:rsidR="00D84CA0" w:rsidRPr="00944248" w:rsidRDefault="00D84CA0" w:rsidP="00D84CA0">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- 10 MWh * 10 €/MWh = - 100 €</w:t>
            </w:r>
          </w:p>
        </w:tc>
      </w:tr>
      <w:tr w:rsidR="00A06CD1" w:rsidRPr="00944248" w:rsidTr="007B5370">
        <w:trPr>
          <w:trHeight w:val="454"/>
          <w:jc w:val="center"/>
        </w:trPr>
        <w:tc>
          <w:tcPr>
            <w:tcW w:w="3118" w:type="dxa"/>
            <w:vMerge w:val="restart"/>
            <w:tcBorders>
              <w:top w:val="single" w:sz="24" w:space="0" w:color="000000"/>
            </w:tcBorders>
            <w:vAlign w:val="center"/>
          </w:tcPr>
          <w:p w:rsidR="00A06CD1" w:rsidRPr="00944248" w:rsidRDefault="00A06CD1" w:rsidP="00D84CA0">
            <w:pPr>
              <w:pStyle w:val="textregular"/>
              <w:spacing w:after="0"/>
              <w:jc w:val="center"/>
              <w:rPr>
                <w:rFonts w:ascii="Times New Roman" w:hAnsi="Times New Roman" w:cs="Times New Roman"/>
                <w:b/>
                <w:sz w:val="20"/>
                <w:lang w:val="ro-RO"/>
              </w:rPr>
            </w:pPr>
            <w:r w:rsidRPr="00944248">
              <w:rPr>
                <w:rFonts w:ascii="Times New Roman" w:hAnsi="Times New Roman" w:cs="Times New Roman"/>
                <w:b/>
                <w:bCs/>
                <w:sz w:val="20"/>
                <w:lang w:val="ro-RO"/>
              </w:rPr>
              <w:t>Suma totală</w:t>
            </w:r>
          </w:p>
        </w:tc>
        <w:tc>
          <w:tcPr>
            <w:tcW w:w="3118" w:type="dxa"/>
            <w:tcBorders>
              <w:top w:val="single" w:sz="24" w:space="0" w:color="000000"/>
              <w:bottom w:val="single" w:sz="4" w:space="0" w:color="000000"/>
            </w:tcBorders>
            <w:vAlign w:val="center"/>
          </w:tcPr>
          <w:p w:rsidR="00A06CD1" w:rsidRPr="00944248" w:rsidRDefault="00A06CD1" w:rsidP="00A06CD1">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1000 € + 0 € + 0 € + 0 €</w:t>
            </w:r>
          </w:p>
        </w:tc>
        <w:tc>
          <w:tcPr>
            <w:tcW w:w="3118" w:type="dxa"/>
            <w:tcBorders>
              <w:top w:val="single" w:sz="24" w:space="0" w:color="000000"/>
              <w:bottom w:val="single" w:sz="4" w:space="0" w:color="000000"/>
            </w:tcBorders>
            <w:vAlign w:val="center"/>
          </w:tcPr>
          <w:p w:rsidR="00A06CD1" w:rsidRPr="00944248" w:rsidRDefault="00A06CD1" w:rsidP="00A06CD1">
            <w:pPr>
              <w:pStyle w:val="textregular"/>
              <w:spacing w:after="0"/>
              <w:jc w:val="center"/>
              <w:rPr>
                <w:rFonts w:ascii="Times New Roman" w:hAnsi="Times New Roman" w:cs="Times New Roman"/>
                <w:sz w:val="20"/>
                <w:lang w:val="ro-RO"/>
              </w:rPr>
            </w:pPr>
            <w:r w:rsidRPr="00944248">
              <w:rPr>
                <w:rFonts w:ascii="Times New Roman" w:hAnsi="Times New Roman" w:cs="Times New Roman"/>
                <w:sz w:val="20"/>
                <w:lang w:val="ro-RO"/>
              </w:rPr>
              <w:t>2000 € + 600 € -1500 € - 100 €</w:t>
            </w:r>
          </w:p>
        </w:tc>
      </w:tr>
      <w:tr w:rsidR="00A06CD1" w:rsidRPr="00944248" w:rsidTr="007B5370">
        <w:trPr>
          <w:trHeight w:val="454"/>
          <w:jc w:val="center"/>
        </w:trPr>
        <w:tc>
          <w:tcPr>
            <w:tcW w:w="3118" w:type="dxa"/>
            <w:vMerge/>
            <w:vAlign w:val="center"/>
          </w:tcPr>
          <w:p w:rsidR="00A06CD1" w:rsidRPr="00944248" w:rsidRDefault="00A06CD1" w:rsidP="00D84CA0">
            <w:pPr>
              <w:pStyle w:val="textregular"/>
              <w:spacing w:after="0"/>
              <w:jc w:val="center"/>
              <w:rPr>
                <w:b/>
                <w:sz w:val="20"/>
                <w:lang w:val="ro-RO"/>
              </w:rPr>
            </w:pPr>
          </w:p>
        </w:tc>
        <w:tc>
          <w:tcPr>
            <w:tcW w:w="3118" w:type="dxa"/>
            <w:tcBorders>
              <w:top w:val="single" w:sz="4" w:space="0" w:color="000000"/>
            </w:tcBorders>
            <w:vAlign w:val="center"/>
          </w:tcPr>
          <w:p w:rsidR="00A06CD1" w:rsidRPr="00944248" w:rsidRDefault="00A06CD1" w:rsidP="00D84CA0">
            <w:pPr>
              <w:pStyle w:val="textregular"/>
              <w:spacing w:after="0"/>
              <w:jc w:val="center"/>
              <w:rPr>
                <w:rFonts w:ascii="Times New Roman" w:hAnsi="Times New Roman" w:cs="Times New Roman"/>
                <w:b/>
                <w:sz w:val="20"/>
                <w:lang w:val="ro-RO"/>
              </w:rPr>
            </w:pPr>
            <w:r w:rsidRPr="00944248">
              <w:rPr>
                <w:rFonts w:ascii="Times New Roman" w:hAnsi="Times New Roman" w:cs="Times New Roman"/>
                <w:b/>
                <w:bCs/>
                <w:sz w:val="20"/>
                <w:lang w:val="ro-RO"/>
              </w:rPr>
              <w:t>= 1000 €</w:t>
            </w:r>
          </w:p>
        </w:tc>
        <w:tc>
          <w:tcPr>
            <w:tcW w:w="3118" w:type="dxa"/>
            <w:tcBorders>
              <w:top w:val="single" w:sz="4" w:space="0" w:color="000000"/>
            </w:tcBorders>
            <w:vAlign w:val="center"/>
          </w:tcPr>
          <w:p w:rsidR="00A06CD1" w:rsidRPr="00944248" w:rsidRDefault="00A06CD1" w:rsidP="00A06CD1">
            <w:pPr>
              <w:pStyle w:val="textregular"/>
              <w:spacing w:after="0"/>
              <w:jc w:val="center"/>
              <w:rPr>
                <w:rFonts w:ascii="Times New Roman" w:hAnsi="Times New Roman" w:cs="Times New Roman"/>
                <w:b/>
                <w:sz w:val="20"/>
                <w:lang w:val="ro-RO"/>
              </w:rPr>
            </w:pPr>
            <w:r w:rsidRPr="00944248">
              <w:rPr>
                <w:rFonts w:ascii="Times New Roman" w:hAnsi="Times New Roman" w:cs="Times New Roman"/>
                <w:b/>
                <w:bCs/>
                <w:sz w:val="20"/>
                <w:lang w:val="ro-RO"/>
              </w:rPr>
              <w:t>= 1000 €</w:t>
            </w:r>
          </w:p>
        </w:tc>
      </w:tr>
    </w:tbl>
    <w:p w:rsidR="002245D8" w:rsidRPr="00944248" w:rsidRDefault="002245D8" w:rsidP="002245D8">
      <w:pPr>
        <w:pStyle w:val="Caption"/>
        <w:rPr>
          <w:lang w:val="ro-RO"/>
        </w:rPr>
      </w:pPr>
      <w:bookmarkStart w:id="117" w:name="_Ref531796584"/>
      <w:bookmarkStart w:id="118" w:name="_Toc535158353"/>
      <w:r w:rsidRPr="00944248">
        <w:rPr>
          <w:lang w:val="ro-RO"/>
        </w:rPr>
        <w:t xml:space="preserve">Tabelul </w:t>
      </w:r>
      <w:r w:rsidRPr="00944248">
        <w:rPr>
          <w:lang w:val="ro-RO"/>
        </w:rPr>
        <w:fldChar w:fldCharType="begin"/>
      </w:r>
      <w:r w:rsidRPr="00944248">
        <w:rPr>
          <w:lang w:val="ro-RO"/>
        </w:rPr>
        <w:instrText xml:space="preserve"> SEQ Table \* ARABIC </w:instrText>
      </w:r>
      <w:r w:rsidRPr="00944248">
        <w:rPr>
          <w:lang w:val="ro-RO"/>
        </w:rPr>
        <w:fldChar w:fldCharType="separate"/>
      </w:r>
      <w:r w:rsidRPr="00944248">
        <w:rPr>
          <w:lang w:val="ro-RO"/>
        </w:rPr>
        <w:t>6</w:t>
      </w:r>
      <w:r w:rsidRPr="00944248">
        <w:rPr>
          <w:lang w:val="ro-RO"/>
        </w:rPr>
        <w:fldChar w:fldCharType="end"/>
      </w:r>
      <w:bookmarkEnd w:id="117"/>
      <w:r w:rsidRPr="00944248">
        <w:rPr>
          <w:lang w:val="ro-RO"/>
        </w:rPr>
        <w:t>:</w:t>
      </w:r>
      <w:r w:rsidRPr="00944248">
        <w:rPr>
          <w:b w:val="0"/>
          <w:bCs w:val="0"/>
          <w:lang w:val="ro-RO"/>
        </w:rPr>
        <w:t xml:space="preserve"> </w:t>
      </w:r>
      <w:r w:rsidRPr="00944248">
        <w:rPr>
          <w:lang w:val="ro-RO"/>
        </w:rPr>
        <w:t>Costurile cu echilibrarea ale unui OTS ce livrează energie de echilibrare în scopul restricțiilor de sistem</w:t>
      </w:r>
      <w:bookmarkEnd w:id="118"/>
    </w:p>
    <w:p w:rsidR="00677A26" w:rsidRPr="00944248" w:rsidRDefault="007B5370" w:rsidP="00677A26">
      <w:pPr>
        <w:pStyle w:val="textregular"/>
        <w:rPr>
          <w:lang w:val="ro-RO"/>
        </w:rPr>
      </w:pPr>
      <w:r w:rsidRPr="00944248">
        <w:rPr>
          <w:lang w:val="ro-RO"/>
        </w:rPr>
        <w:t>Aceeași metodă se aplică în cazul în care mai multe OTS-uri au solicitat activarea de oferte în scopul restricțiilor de sistem. În acest caz, costurile suplimentare sunt repartizate proporțional cu impactul activării solicitate a ofertelor în scopul restricțiilor de sistem asupra schimbului de energie de echilibrare pe granița sau setul de granițe vizat.</w:t>
      </w:r>
    </w:p>
    <w:p w:rsidR="002D2F5B" w:rsidRPr="00944248" w:rsidRDefault="005209DB" w:rsidP="005779B7">
      <w:pPr>
        <w:pStyle w:val="Headline14pt"/>
        <w:numPr>
          <w:ilvl w:val="0"/>
          <w:numId w:val="8"/>
        </w:numPr>
        <w:jc w:val="both"/>
        <w:outlineLvl w:val="0"/>
        <w:rPr>
          <w:lang w:val="ro-RO"/>
        </w:rPr>
      </w:pPr>
      <w:bookmarkStart w:id="119" w:name="_Toc520831478"/>
      <w:bookmarkStart w:id="120" w:name="_Toc531787031"/>
      <w:bookmarkStart w:id="121" w:name="_Toc531687678"/>
      <w:bookmarkStart w:id="122" w:name="_Toc523816561"/>
      <w:bookmarkStart w:id="123" w:name="_Toc522181355"/>
      <w:bookmarkStart w:id="124" w:name="_Ref521000884"/>
      <w:bookmarkStart w:id="125" w:name="_Toc520999268"/>
      <w:bookmarkStart w:id="126" w:name="_Ref520998412"/>
      <w:bookmarkStart w:id="127" w:name="_Toc520993451"/>
      <w:bookmarkStart w:id="128" w:name="_Toc520993129"/>
      <w:bookmarkStart w:id="129" w:name="_Ref520915226"/>
      <w:bookmarkStart w:id="130" w:name="_Ref520915222"/>
      <w:bookmarkStart w:id="131" w:name="_Toc520316957"/>
      <w:bookmarkStart w:id="132" w:name="_Toc522195292"/>
      <w:bookmarkStart w:id="133" w:name="_Toc535158319"/>
      <w:bookmarkEnd w:id="119"/>
      <w:r w:rsidRPr="00944248">
        <w:rPr>
          <w:bCs/>
          <w:lang w:val="ro-RO"/>
        </w:rPr>
        <w:lastRenderedPageBreak/>
        <w:t>Metodologia de decontare pentru mRRF cu activare directă</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224CA6" w:rsidRPr="00944248" w:rsidRDefault="008E2249" w:rsidP="00224CA6">
      <w:pPr>
        <w:pStyle w:val="textregular"/>
        <w:rPr>
          <w:lang w:val="ro-RO"/>
        </w:rPr>
      </w:pPr>
      <w:r w:rsidRPr="00944248">
        <w:rPr>
          <w:lang w:val="ro-RO"/>
        </w:rPr>
        <w:t xml:space="preserve">Pentru mRRF cu activare directă se aplică aceleași principii ca cele specificate în capitolul </w:t>
      </w:r>
      <w:r w:rsidRPr="00944248">
        <w:rPr>
          <w:lang w:val="ro-RO"/>
        </w:rPr>
        <w:fldChar w:fldCharType="begin"/>
      </w:r>
      <w:r w:rsidRPr="00944248">
        <w:rPr>
          <w:lang w:val="ro-RO"/>
        </w:rPr>
        <w:instrText xml:space="preserve"> REF _Ref531274477 \r \h  \* MERGEFORMAT </w:instrText>
      </w:r>
      <w:r w:rsidRPr="00944248">
        <w:rPr>
          <w:lang w:val="ro-RO"/>
        </w:rPr>
      </w:r>
      <w:r w:rsidRPr="00944248">
        <w:rPr>
          <w:lang w:val="ro-RO"/>
        </w:rPr>
        <w:fldChar w:fldCharType="separate"/>
      </w:r>
      <w:r w:rsidRPr="00944248">
        <w:rPr>
          <w:lang w:val="ro-RO"/>
        </w:rPr>
        <w:t>4</w:t>
      </w:r>
      <w:r w:rsidRPr="00944248">
        <w:rPr>
          <w:lang w:val="ro-RO"/>
        </w:rPr>
        <w:fldChar w:fldCharType="end"/>
      </w:r>
      <w:r w:rsidRPr="00944248">
        <w:rPr>
          <w:lang w:val="ro-RO"/>
        </w:rPr>
        <w:t xml:space="preserve">, însă, ofertele care pot fi activate direct pot fi activate în cadrul perioadei de valabilitate de 15 minute (adică cu 7,5 minute înainte și cu 7,5 minute după o BEPP). În consecință, volumul de energie aferent unei activări directe ce urmează să fie decontat între OTS-uri conform profilul de schimb standard specificat este distribuit pe parcursul a două BEPP-uri (adică sferturi de oră). Pentru BEPP ulterioară (a doua – QH+1), cantitatea atribuită este egală cu 15 minute înmulțite cu puterea solicitată. Volumul rămas (max. 14,9 înmulțit cu puterea solicitată (a se vedea exemplul prezentat în </w:t>
      </w:r>
      <w:r w:rsidRPr="00944248">
        <w:rPr>
          <w:lang w:val="ro-RO"/>
        </w:rPr>
        <w:fldChar w:fldCharType="begin"/>
      </w:r>
      <w:r w:rsidRPr="00944248">
        <w:rPr>
          <w:lang w:val="ro-RO"/>
        </w:rPr>
        <w:instrText xml:space="preserve"> REF _Ref530928519 \h  \* MERGEFORMAT </w:instrText>
      </w:r>
      <w:r w:rsidRPr="00944248">
        <w:rPr>
          <w:lang w:val="ro-RO"/>
        </w:rPr>
      </w:r>
      <w:r w:rsidRPr="00944248">
        <w:rPr>
          <w:lang w:val="ro-RO"/>
        </w:rPr>
        <w:fldChar w:fldCharType="separate"/>
      </w:r>
      <w:r w:rsidRPr="00944248">
        <w:rPr>
          <w:lang w:val="ro-RO"/>
        </w:rPr>
        <w:t>Figura 8</w:t>
      </w:r>
      <w:r w:rsidRPr="00944248">
        <w:rPr>
          <w:lang w:val="ro-RO"/>
        </w:rPr>
        <w:fldChar w:fldCharType="end"/>
      </w:r>
      <w:r w:rsidRPr="00944248">
        <w:rPr>
          <w:lang w:val="ro-RO"/>
        </w:rPr>
        <w:t>)) este atribuit primei BEPP (principală – QHi).</w:t>
      </w:r>
    </w:p>
    <w:p w:rsidR="00224CA6" w:rsidRPr="00944248" w:rsidRDefault="00224CA6" w:rsidP="00224CA6">
      <w:pPr>
        <w:pStyle w:val="textregular"/>
        <w:rPr>
          <w:lang w:val="ro-RO"/>
        </w:rPr>
      </w:pPr>
      <w:r w:rsidRPr="00944248">
        <w:rPr>
          <w:lang w:val="ro-RO"/>
        </w:rPr>
        <w:t>Astfel, 2 blocuri de volum vor fi decontate (și pot fi remunerate diferit așa cum se specifică în propunerea tuturor OTS-urilor privind stabilirea prețului). Prețurile QHi-1 și QHi+2 nu sunt afectate.</w:t>
      </w:r>
    </w:p>
    <w:p w:rsidR="00224CA6" w:rsidRPr="00944248" w:rsidRDefault="006849D5" w:rsidP="00224CA6">
      <w:pPr>
        <w:pStyle w:val="textregular"/>
        <w:keepNext/>
        <w:rPr>
          <w:lang w:val="ro-RO"/>
        </w:rPr>
      </w:pPr>
      <w:r w:rsidRPr="00944248">
        <w:rPr>
          <w:noProof/>
          <w:lang w:val="ro-RO"/>
        </w:rPr>
        <w:drawing>
          <wp:inline distT="0" distB="0" distL="0" distR="0">
            <wp:extent cx="6047740" cy="205994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047740" cy="2059940"/>
                    </a:xfrm>
                    <a:prstGeom prst="rect">
                      <a:avLst/>
                    </a:prstGeom>
                  </pic:spPr>
                </pic:pic>
              </a:graphicData>
            </a:graphic>
          </wp:inline>
        </w:drawing>
      </w:r>
    </w:p>
    <w:p w:rsidR="006849D5" w:rsidRPr="00944248" w:rsidRDefault="00224CA6" w:rsidP="00224CA6">
      <w:pPr>
        <w:pStyle w:val="Caption"/>
        <w:rPr>
          <w:lang w:val="ro-RO"/>
        </w:rPr>
      </w:pPr>
      <w:bookmarkStart w:id="134" w:name="_Ref530928519"/>
      <w:bookmarkStart w:id="135" w:name="_Toc531367162"/>
      <w:bookmarkStart w:id="136" w:name="_Ref530928511"/>
      <w:bookmarkStart w:id="137" w:name="_Toc535158340"/>
      <w:r w:rsidRPr="00944248">
        <w:rPr>
          <w:lang w:val="ro-RO"/>
        </w:rPr>
        <w:t xml:space="preserve">Figura </w:t>
      </w:r>
      <w:r w:rsidRPr="00944248">
        <w:rPr>
          <w:lang w:val="ro-RO"/>
        </w:rPr>
        <w:fldChar w:fldCharType="begin"/>
      </w:r>
      <w:r w:rsidRPr="00944248">
        <w:rPr>
          <w:lang w:val="ro-RO"/>
        </w:rPr>
        <w:instrText xml:space="preserve"> SEQ Figure \* ARABIC </w:instrText>
      </w:r>
      <w:r w:rsidRPr="00944248">
        <w:rPr>
          <w:lang w:val="ro-RO"/>
        </w:rPr>
        <w:fldChar w:fldCharType="separate"/>
      </w:r>
      <w:r w:rsidRPr="00944248">
        <w:rPr>
          <w:lang w:val="ro-RO"/>
        </w:rPr>
        <w:t>8</w:t>
      </w:r>
      <w:r w:rsidRPr="00944248">
        <w:rPr>
          <w:lang w:val="ro-RO"/>
        </w:rPr>
        <w:fldChar w:fldCharType="end"/>
      </w:r>
      <w:bookmarkEnd w:id="134"/>
      <w:r w:rsidRPr="00944248">
        <w:rPr>
          <w:lang w:val="ro-RO"/>
        </w:rPr>
        <w:t>:</w:t>
      </w:r>
      <w:r w:rsidRPr="00944248">
        <w:rPr>
          <w:b w:val="0"/>
          <w:bCs w:val="0"/>
          <w:lang w:val="ro-RO"/>
        </w:rPr>
        <w:t xml:space="preserve"> </w:t>
      </w:r>
      <w:r w:rsidRPr="00944248">
        <w:rPr>
          <w:lang w:val="ro-RO"/>
        </w:rPr>
        <w:t>Exemplu de distribuție a volumului DA</w:t>
      </w:r>
      <w:bookmarkEnd w:id="135"/>
      <w:bookmarkEnd w:id="136"/>
      <w:bookmarkEnd w:id="137"/>
    </w:p>
    <w:p w:rsidR="00D25DA8" w:rsidRPr="00944248" w:rsidRDefault="00DF5311">
      <w:pPr>
        <w:pStyle w:val="textregular"/>
        <w:rPr>
          <w:lang w:val="ro-RO"/>
        </w:rPr>
      </w:pPr>
      <w:r w:rsidRPr="00944248">
        <w:rPr>
          <w:lang w:val="ro-RO"/>
        </w:rPr>
        <w:t>O altă diferență ce trebuie detaliată în acest moment este faptul că există iterații separate ale algoritmului pentru cereri pozitive și negative și posibilitatea apariției unor CBMP-uri pozitive și negative în cadrul unei singure BEPP (ceea ce duce la un import/export de mRRF pozitiv și un import/export de mRRF negativ în cadrul aceleiași BEPP), spre deosebire de cazul activării programate.</w:t>
      </w:r>
    </w:p>
    <w:p w:rsidR="00030EA6" w:rsidRPr="00944248" w:rsidRDefault="00030EA6" w:rsidP="00030EA6">
      <w:pPr>
        <w:pStyle w:val="textregular"/>
        <w:spacing w:after="260" w:line="260" w:lineRule="atLeast"/>
        <w:rPr>
          <w:lang w:val="ro-RO"/>
        </w:rPr>
      </w:pPr>
      <w:r w:rsidRPr="00944248">
        <w:rPr>
          <w:lang w:val="ro-RO"/>
        </w:rPr>
        <w:t xml:space="preserve">Decontarea cererilor compensate urmează aceeași metodă precum cea descrisă pentru aRRF în capitolul </w:t>
      </w:r>
      <w:r w:rsidRPr="00944248">
        <w:rPr>
          <w:lang w:val="ro-RO"/>
        </w:rPr>
        <w:fldChar w:fldCharType="begin"/>
      </w:r>
      <w:r w:rsidRPr="00944248">
        <w:rPr>
          <w:lang w:val="ro-RO"/>
        </w:rPr>
        <w:instrText xml:space="preserve"> REF _Ref531799089 \r \h </w:instrText>
      </w:r>
      <w:r w:rsidRPr="00944248">
        <w:rPr>
          <w:lang w:val="ro-RO"/>
        </w:rPr>
      </w:r>
      <w:r w:rsidRPr="00944248">
        <w:rPr>
          <w:lang w:val="ro-RO"/>
        </w:rPr>
        <w:fldChar w:fldCharType="separate"/>
      </w:r>
      <w:r w:rsidRPr="00944248">
        <w:rPr>
          <w:lang w:val="ro-RO"/>
        </w:rPr>
        <w:t>6</w:t>
      </w:r>
      <w:r w:rsidRPr="00944248">
        <w:rPr>
          <w:lang w:val="ro-RO"/>
        </w:rPr>
        <w:fldChar w:fldCharType="end"/>
      </w:r>
      <w:r w:rsidRPr="00944248">
        <w:rPr>
          <w:lang w:val="ro-RO"/>
        </w:rPr>
        <w:t>.</w:t>
      </w:r>
    </w:p>
    <w:p w:rsidR="00442F61" w:rsidRPr="00944248" w:rsidRDefault="001B7D49" w:rsidP="005779B7">
      <w:pPr>
        <w:pStyle w:val="Headline14pt"/>
        <w:numPr>
          <w:ilvl w:val="0"/>
          <w:numId w:val="8"/>
        </w:numPr>
        <w:jc w:val="both"/>
        <w:outlineLvl w:val="0"/>
        <w:rPr>
          <w:lang w:val="ro-RO"/>
        </w:rPr>
      </w:pPr>
      <w:bookmarkStart w:id="138" w:name="_Toc520831480"/>
      <w:bookmarkStart w:id="139" w:name="_Toc520831454"/>
      <w:bookmarkStart w:id="140" w:name="_Toc520831430"/>
      <w:bookmarkStart w:id="141" w:name="_Ref531799089"/>
      <w:bookmarkStart w:id="142" w:name="_Ref531799085"/>
      <w:bookmarkStart w:id="143" w:name="_Toc531787032"/>
      <w:bookmarkStart w:id="144" w:name="_Toc531687679"/>
      <w:bookmarkStart w:id="145" w:name="_Toc523816562"/>
      <w:bookmarkStart w:id="146" w:name="_Toc522195293"/>
      <w:bookmarkStart w:id="147" w:name="_Toc522181356"/>
      <w:bookmarkStart w:id="148" w:name="_Toc520999269"/>
      <w:bookmarkStart w:id="149" w:name="_Ref520998415"/>
      <w:bookmarkStart w:id="150" w:name="_Toc520993452"/>
      <w:bookmarkStart w:id="151" w:name="_Toc520993130"/>
      <w:bookmarkStart w:id="152" w:name="_Toc520316958"/>
      <w:bookmarkStart w:id="153" w:name="_Toc535158320"/>
      <w:bookmarkStart w:id="154" w:name="_Toc520999273"/>
      <w:bookmarkStart w:id="155" w:name="_Ref520998422"/>
      <w:bookmarkEnd w:id="138"/>
      <w:bookmarkEnd w:id="139"/>
      <w:bookmarkEnd w:id="140"/>
      <w:r w:rsidRPr="00944248">
        <w:rPr>
          <w:bCs/>
          <w:lang w:val="ro-RO"/>
        </w:rPr>
        <w:lastRenderedPageBreak/>
        <w:t>Metodologia de decontare pentru aRRF</w:t>
      </w:r>
      <w:bookmarkEnd w:id="141"/>
      <w:bookmarkEnd w:id="142"/>
      <w:bookmarkEnd w:id="143"/>
      <w:bookmarkEnd w:id="144"/>
      <w:bookmarkEnd w:id="145"/>
      <w:bookmarkEnd w:id="146"/>
      <w:bookmarkEnd w:id="147"/>
      <w:bookmarkEnd w:id="148"/>
      <w:bookmarkEnd w:id="149"/>
      <w:bookmarkEnd w:id="150"/>
      <w:bookmarkEnd w:id="151"/>
      <w:bookmarkEnd w:id="152"/>
      <w:bookmarkEnd w:id="153"/>
    </w:p>
    <w:p w:rsidR="00030EA6" w:rsidRPr="00944248" w:rsidRDefault="00030EA6" w:rsidP="00030EA6">
      <w:pPr>
        <w:pStyle w:val="headline2"/>
        <w:numPr>
          <w:ilvl w:val="1"/>
          <w:numId w:val="8"/>
        </w:numPr>
        <w:spacing w:after="200" w:line="240" w:lineRule="auto"/>
        <w:jc w:val="both"/>
        <w:outlineLvl w:val="1"/>
        <w:rPr>
          <w:lang w:val="ro-RO"/>
        </w:rPr>
      </w:pPr>
      <w:bookmarkStart w:id="156" w:name="_Toc535158321"/>
      <w:r w:rsidRPr="00944248">
        <w:rPr>
          <w:lang w:val="ro-RO"/>
        </w:rPr>
        <w:t>Determinarea prețului și a volumului</w:t>
      </w:r>
      <w:bookmarkEnd w:id="156"/>
    </w:p>
    <w:p w:rsidR="004513E0" w:rsidRPr="00944248" w:rsidRDefault="004513E0" w:rsidP="004513E0">
      <w:pPr>
        <w:pStyle w:val="textregular"/>
        <w:rPr>
          <w:lang w:val="ro-RO"/>
        </w:rPr>
      </w:pPr>
      <w:r w:rsidRPr="00944248">
        <w:rPr>
          <w:lang w:val="ro-RO"/>
        </w:rPr>
        <w:t xml:space="preserve">În conformitate cu principiile generale detaliate la capitolul </w:t>
      </w:r>
      <w:r w:rsidRPr="00944248">
        <w:rPr>
          <w:lang w:val="ro-RO"/>
        </w:rPr>
        <w:fldChar w:fldCharType="begin"/>
      </w:r>
      <w:r w:rsidRPr="00944248">
        <w:rPr>
          <w:lang w:val="ro-RO"/>
        </w:rPr>
        <w:instrText xml:space="preserve"> REF _Ref531797243 \r \h </w:instrText>
      </w:r>
      <w:r w:rsidRPr="00944248">
        <w:rPr>
          <w:lang w:val="ro-RO"/>
        </w:rPr>
      </w:r>
      <w:r w:rsidRPr="00944248">
        <w:rPr>
          <w:lang w:val="ro-RO"/>
        </w:rPr>
        <w:fldChar w:fldCharType="separate"/>
      </w:r>
      <w:r w:rsidRPr="00944248">
        <w:rPr>
          <w:lang w:val="ro-RO"/>
        </w:rPr>
        <w:t>3</w:t>
      </w:r>
      <w:r w:rsidRPr="00944248">
        <w:rPr>
          <w:lang w:val="ro-RO"/>
        </w:rPr>
        <w:fldChar w:fldCharType="end"/>
      </w:r>
      <w:r w:rsidRPr="00944248">
        <w:rPr>
          <w:lang w:val="ro-RO"/>
        </w:rPr>
        <w:t>, decontarea OTS-OTS pentru procesul aRRF se bazează pe stabilirea prețului energiei de echilibrare aRRF în conformitate cu propunerea privind stabilirea prețului și pe volumele aferente schimburilor planificate de energie de echilibrare aRRF între OTS-uri pe fiecare graniță de echilibrare aRRF (conform definiției prevăzute în cadrul de punere în aplicare aRRF).</w:t>
      </w:r>
    </w:p>
    <w:p w:rsidR="004513E0" w:rsidRPr="00944248" w:rsidRDefault="004513E0" w:rsidP="004513E0">
      <w:pPr>
        <w:pStyle w:val="textregular"/>
        <w:rPr>
          <w:lang w:val="ro-RO"/>
        </w:rPr>
      </w:pPr>
      <w:r w:rsidRPr="00944248">
        <w:rPr>
          <w:lang w:val="ro-RO"/>
        </w:rPr>
        <w:t>Această metodă de a determina volumele pentru decontarea OTS-OTS pe fiecare graniță de echilibrare aRRF în baza semnalelor disponibile și de a stabili prețul acestora în baza CBMP-ului</w:t>
      </w:r>
      <w:r w:rsidRPr="00944248">
        <w:rPr>
          <w:rStyle w:val="FootnoteReference"/>
          <w:lang w:val="ro-RO"/>
        </w:rPr>
        <w:footnoteReference w:id="2"/>
      </w:r>
      <w:r w:rsidRPr="00944248">
        <w:rPr>
          <w:lang w:val="ro-RO"/>
        </w:rPr>
        <w:t xml:space="preserve"> aplicabil este denumită metoda „bazată pe volum”.</w:t>
      </w:r>
    </w:p>
    <w:p w:rsidR="004513E0" w:rsidRPr="00944248" w:rsidRDefault="004513E0" w:rsidP="004513E0">
      <w:pPr>
        <w:pStyle w:val="textregular"/>
        <w:rPr>
          <w:lang w:val="ro-RO"/>
        </w:rPr>
      </w:pPr>
      <w:r w:rsidRPr="00944248">
        <w:rPr>
          <w:lang w:val="ro-RO"/>
        </w:rPr>
        <w:t>Ca urmare a particularităților procesului aRRF, similar modului de stabilire a prețului, există diferite opțiuni cu privire la modul de determinare a volumului pentru decontarea OTS-OTS. Aceste opțiuni sunt prezentate în capitolul următor.</w:t>
      </w:r>
    </w:p>
    <w:p w:rsidR="004513E0" w:rsidRPr="00944248" w:rsidRDefault="004513E0" w:rsidP="004513E0">
      <w:pPr>
        <w:pStyle w:val="textregular"/>
        <w:rPr>
          <w:lang w:val="ro-RO"/>
        </w:rPr>
      </w:pPr>
      <w:r w:rsidRPr="00944248">
        <w:rPr>
          <w:lang w:val="ro-RO"/>
        </w:rPr>
        <w:t xml:space="preserve">Așa cum se menționează mai sus, propunerea privind stabilirea prețului energiei de echilibrare aRRF reprezintă un cadru pentru propunerea privind decontarea OTS-OTS. După o evaluare a posibilelor metode de stabilire a prețului, OTS-urile au propus folosirea unei metode de determinare centralizată a prețului, în baza rezultatului AOF din Platforma aRRF. În fiecare ciclu de optimizare, Platforma aRRF generează următoarele date de ieșire pentru a fi folosite în procesul de decontare: </w:t>
      </w:r>
    </w:p>
    <w:p w:rsidR="004513E0" w:rsidRPr="00944248" w:rsidRDefault="004513E0" w:rsidP="00DD58FA">
      <w:pPr>
        <w:pStyle w:val="textregular"/>
        <w:numPr>
          <w:ilvl w:val="0"/>
          <w:numId w:val="10"/>
        </w:numPr>
        <w:rPr>
          <w:lang w:val="ro-RO"/>
        </w:rPr>
      </w:pPr>
      <w:r w:rsidRPr="00944248">
        <w:rPr>
          <w:lang w:val="ro-RO"/>
        </w:rPr>
        <w:t xml:space="preserve">CBMP-ul pentru fiecare zonă RFP (exprimat în €/MWh). </w:t>
      </w:r>
    </w:p>
    <w:p w:rsidR="004513E0" w:rsidRPr="00944248" w:rsidRDefault="004513E0" w:rsidP="00DD58FA">
      <w:pPr>
        <w:pStyle w:val="textregular"/>
        <w:numPr>
          <w:ilvl w:val="0"/>
          <w:numId w:val="10"/>
        </w:numPr>
        <w:rPr>
          <w:lang w:val="ro-RO"/>
        </w:rPr>
      </w:pPr>
      <w:r w:rsidRPr="00944248">
        <w:rPr>
          <w:lang w:val="ro-RO"/>
        </w:rPr>
        <w:t xml:space="preserve">Setul(urile) de zone RFP care formează o zonă necongestionată care va primi același preț marginal. </w:t>
      </w:r>
    </w:p>
    <w:p w:rsidR="004513E0" w:rsidRPr="00944248" w:rsidRDefault="004513E0" w:rsidP="00DD58FA">
      <w:pPr>
        <w:pStyle w:val="textregular"/>
        <w:numPr>
          <w:ilvl w:val="0"/>
          <w:numId w:val="10"/>
        </w:numPr>
        <w:rPr>
          <w:lang w:val="ro-RO"/>
        </w:rPr>
      </w:pPr>
      <w:r w:rsidRPr="00944248">
        <w:rPr>
          <w:lang w:val="ro-RO"/>
        </w:rPr>
        <w:t xml:space="preserve">Corecția (în MW) cererii aRRF pentru fiecare zonă RFP reflectând importul/exportul total aferent unei zone RFP. </w:t>
      </w:r>
    </w:p>
    <w:p w:rsidR="004513E0" w:rsidRPr="00944248" w:rsidRDefault="004513E0" w:rsidP="00DD58FA">
      <w:pPr>
        <w:pStyle w:val="textregular"/>
        <w:numPr>
          <w:ilvl w:val="0"/>
          <w:numId w:val="10"/>
        </w:numPr>
        <w:rPr>
          <w:lang w:val="ro-RO"/>
        </w:rPr>
      </w:pPr>
      <w:r w:rsidRPr="00944248">
        <w:rPr>
          <w:lang w:val="ro-RO"/>
        </w:rPr>
        <w:t xml:space="preserve">Fluxul pieței (în MW) pe fiecare graniță de echilibrare aRRF generat de compensarea cererii aRRF și/sau activarea aRRF. </w:t>
      </w:r>
    </w:p>
    <w:p w:rsidR="004513E0" w:rsidRPr="00944248" w:rsidRDefault="004513E0" w:rsidP="004513E0">
      <w:pPr>
        <w:pStyle w:val="textregular"/>
        <w:rPr>
          <w:lang w:val="ro-RO"/>
        </w:rPr>
      </w:pPr>
      <w:r w:rsidRPr="00944248">
        <w:rPr>
          <w:lang w:val="ro-RO"/>
        </w:rPr>
        <w:t>Pentru procesul aRRF, fiecare ciclu de optimizare al AOF poate fi interpretat drept o compensare independentă a pieței care duce la stabilirea unui CBMP pentru fiecare zonă RFP participantă. În cadrul unui ISP armonizat de 15 minute și un timp minim al ciclului de optimizare de o secundă, vor exista până la 900 compensări ale pieței aRRF și CBMP-uri rezultate, precum și fluxuri totale de import sau export pentru fiecare zonă RFP, în funcție de durata ciclului de optimizare al aRRF. Deoarece există mai multe CBMP-uri disponibile în cadrul ISP, OTS-urile au propus să se utilizeze așa-numita „perioadă de stabilire a prețului energiei de echilibrare egală cu ciclul de optimizare”, unde un CBMP este determinat pentru fiecare etapă de optimizare a AOF. Din punct de vedere al consecvenței, acest lucru are de asemenea un impact direct asupra determinării volumelor pentru decontarea OTS-OTS. Întrucât informațiile cu privire la preț sunt disponibile în cadrul fiecărui ciclu de optimizare, și volumele vor trebui să fie definite la aceeași frecvență. Totuși, acest lucru nu exclude neapărat o decontare între OTS-uri cu o granulație mai mare.</w:t>
      </w:r>
    </w:p>
    <w:p w:rsidR="004513E0" w:rsidRPr="00944248" w:rsidRDefault="004513E0" w:rsidP="004513E0">
      <w:pPr>
        <w:pStyle w:val="textregular"/>
        <w:rPr>
          <w:lang w:val="ro-RO"/>
        </w:rPr>
      </w:pPr>
      <w:r w:rsidRPr="00944248">
        <w:rPr>
          <w:lang w:val="ro-RO"/>
        </w:rPr>
        <w:lastRenderedPageBreak/>
        <w:t>Pentru determinarea volumului schimburilor planificate pentru decontarea OTS-OTS pentru aRRF au fost alese volumele definite de către AOF a Platformei aRRF. Această opțiune este ilustrată in figura de mai jos.</w:t>
      </w:r>
    </w:p>
    <w:p w:rsidR="004513E0" w:rsidRPr="00944248" w:rsidRDefault="004513E0" w:rsidP="004513E0">
      <w:pPr>
        <w:pStyle w:val="textregular"/>
        <w:keepNext/>
        <w:rPr>
          <w:lang w:val="ro-RO"/>
        </w:rPr>
      </w:pPr>
      <w:r w:rsidRPr="00944248">
        <w:rPr>
          <w:noProof/>
          <w:lang w:val="ro-RO"/>
        </w:rPr>
        <w:drawing>
          <wp:inline distT="0" distB="0" distL="0" distR="0">
            <wp:extent cx="6047740" cy="1617980"/>
            <wp:effectExtent l="0" t="0" r="0" b="127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47740" cy="1617980"/>
                    </a:xfrm>
                    <a:prstGeom prst="rect">
                      <a:avLst/>
                    </a:prstGeom>
                  </pic:spPr>
                </pic:pic>
              </a:graphicData>
            </a:graphic>
          </wp:inline>
        </w:drawing>
      </w:r>
    </w:p>
    <w:p w:rsidR="004513E0" w:rsidRPr="00944248" w:rsidRDefault="004513E0" w:rsidP="004513E0">
      <w:pPr>
        <w:pStyle w:val="Caption"/>
        <w:rPr>
          <w:lang w:val="ro-RO"/>
        </w:rPr>
      </w:pPr>
      <w:bookmarkStart w:id="157" w:name="_Toc531367163"/>
      <w:bookmarkStart w:id="158" w:name="_Toc535158341"/>
      <w:r w:rsidRPr="00944248">
        <w:rPr>
          <w:lang w:val="ro-RO"/>
        </w:rPr>
        <w:t xml:space="preserve">Figura </w:t>
      </w:r>
      <w:r w:rsidRPr="00944248">
        <w:rPr>
          <w:lang w:val="ro-RO"/>
        </w:rPr>
        <w:fldChar w:fldCharType="begin"/>
      </w:r>
      <w:r w:rsidRPr="00944248">
        <w:rPr>
          <w:lang w:val="ro-RO"/>
        </w:rPr>
        <w:instrText xml:space="preserve"> SEQ Figure \* ARABIC </w:instrText>
      </w:r>
      <w:r w:rsidRPr="00944248">
        <w:rPr>
          <w:lang w:val="ro-RO"/>
        </w:rPr>
        <w:fldChar w:fldCharType="separate"/>
      </w:r>
      <w:r w:rsidRPr="00944248">
        <w:rPr>
          <w:lang w:val="ro-RO"/>
        </w:rPr>
        <w:t>9</w:t>
      </w:r>
      <w:r w:rsidRPr="00944248">
        <w:rPr>
          <w:lang w:val="ro-RO"/>
        </w:rPr>
        <w:fldChar w:fldCharType="end"/>
      </w:r>
      <w:r w:rsidRPr="00944248">
        <w:rPr>
          <w:lang w:val="ro-RO"/>
        </w:rPr>
        <w:t>:</w:t>
      </w:r>
      <w:r w:rsidRPr="00944248">
        <w:rPr>
          <w:b w:val="0"/>
          <w:bCs w:val="0"/>
          <w:lang w:val="ro-RO"/>
        </w:rPr>
        <w:t xml:space="preserve"> </w:t>
      </w:r>
      <w:r w:rsidRPr="00944248">
        <w:rPr>
          <w:lang w:val="ro-RO"/>
        </w:rPr>
        <w:t>Volumul decontării OTS-OTS bazat pe rezultatul AOF</w:t>
      </w:r>
      <w:bookmarkEnd w:id="157"/>
      <w:bookmarkEnd w:id="158"/>
    </w:p>
    <w:p w:rsidR="004513E0" w:rsidRPr="00944248" w:rsidRDefault="004513E0" w:rsidP="004513E0">
      <w:pPr>
        <w:pStyle w:val="textregular"/>
        <w:rPr>
          <w:lang w:val="ro-RO"/>
        </w:rPr>
      </w:pPr>
      <w:r w:rsidRPr="00944248">
        <w:rPr>
          <w:lang w:val="ro-RO"/>
        </w:rPr>
        <w:t>Volumul AOF pentru decontarea OTS-OTS este egal cu fluxurile pieței calculate de către AOF pentru fiecare graniță de echilibrare aRRF (fluxul pieței pe fiecare graniță de echilibrare aRRF), și va include volumul solicitat atât pentru activarea aRRF, cât și pentru compensarea implicită care este planificat să treacă printr-o graniță de echilibrare aRRF specifică. Suma tuturor fluxurilor pieței aferente unei zone RFP este egală cu valoarea de corecție aRRF (în MW) a respectivei zone RFP (în conformitate cu modelul de cerere de reglaj).</w:t>
      </w:r>
    </w:p>
    <w:p w:rsidR="004513E0" w:rsidRPr="00944248" w:rsidRDefault="004513E0" w:rsidP="00E702B3">
      <w:pPr>
        <w:pStyle w:val="textregular"/>
        <w:rPr>
          <w:lang w:val="ro-RO"/>
        </w:rPr>
      </w:pPr>
      <w:r w:rsidRPr="00944248">
        <w:rPr>
          <w:lang w:val="ro-RO"/>
        </w:rPr>
        <w:t xml:space="preserve">Compensarea implicită include compensarea determinată de AOF a Platformei aRRF în mod direct. Volumul AOF pe ciclu de optimizare este definit fără limitări de rampă. </w:t>
      </w:r>
    </w:p>
    <w:p w:rsidR="004513E0" w:rsidRPr="00944248" w:rsidRDefault="004513E0" w:rsidP="004513E0">
      <w:pPr>
        <w:pStyle w:val="textregular"/>
        <w:rPr>
          <w:lang w:val="ro-RO"/>
        </w:rPr>
      </w:pPr>
      <w:r w:rsidRPr="00944248">
        <w:rPr>
          <w:lang w:val="ro-RO"/>
        </w:rPr>
        <w:t xml:space="preserve">Volumul AOF este definit în mod neambiguu, foarte transparent, deoarece este rezultatul direct al procesului de optimizare. Așa cum se arată în figură, volumele AOF se abat de la volumul efectiv schimbat între zonele RFP, depinzând foarte mult de profilurile FSE, fapt ce constituie cel mai mare dezavantaj al metodei. Decontarea OTS-OTS bazată pe volumele AOF sprijină stimulentul necesar pentru a reacționa mai rapid, întrucât discrepanța dintre decontarea OTS-OTS și decontarea OTS-FSE va fi minimizată de FSE-urile rapide. </w:t>
      </w:r>
    </w:p>
    <w:p w:rsidR="004513E0" w:rsidRPr="00944248" w:rsidRDefault="004513E0" w:rsidP="004513E0">
      <w:pPr>
        <w:pStyle w:val="textregular"/>
        <w:rPr>
          <w:lang w:val="ro-RO"/>
        </w:rPr>
      </w:pPr>
      <w:r w:rsidRPr="00944248">
        <w:rPr>
          <w:lang w:val="ro-RO"/>
        </w:rPr>
        <w:t>Pentru determinarea volumului pentru decontarea OTS-OTS au fost discutate câteva opțiuni alternative. Aceste opțiuni pot fi categorisite în următoarele două tipuri principale:</w:t>
      </w:r>
    </w:p>
    <w:p w:rsidR="004513E0" w:rsidRPr="00944248" w:rsidRDefault="004513E0" w:rsidP="00DD58FA">
      <w:pPr>
        <w:pStyle w:val="textregular"/>
        <w:numPr>
          <w:ilvl w:val="0"/>
          <w:numId w:val="11"/>
        </w:numPr>
        <w:rPr>
          <w:lang w:val="ro-RO"/>
        </w:rPr>
      </w:pPr>
      <w:r w:rsidRPr="00944248">
        <w:rPr>
          <w:lang w:val="ro-RO"/>
        </w:rPr>
        <w:t>Activarea aRRF simulată în baza unui răspuns estimat al FSE</w:t>
      </w:r>
    </w:p>
    <w:p w:rsidR="004513E0" w:rsidRPr="00944248" w:rsidRDefault="004513E0" w:rsidP="00DD58FA">
      <w:pPr>
        <w:pStyle w:val="textregular"/>
        <w:numPr>
          <w:ilvl w:val="0"/>
          <w:numId w:val="11"/>
        </w:numPr>
        <w:rPr>
          <w:lang w:val="ro-RO"/>
        </w:rPr>
      </w:pPr>
      <w:r w:rsidRPr="00944248">
        <w:rPr>
          <w:lang w:val="ro-RO"/>
        </w:rPr>
        <w:t>Activarea aRRF efectivă în baza procesului de ajustare a ARRF (PAA)</w:t>
      </w:r>
    </w:p>
    <w:p w:rsidR="004513E0" w:rsidRPr="00944248" w:rsidRDefault="004513E0" w:rsidP="004513E0">
      <w:pPr>
        <w:pStyle w:val="textregular"/>
        <w:rPr>
          <w:lang w:val="ro-RO"/>
        </w:rPr>
      </w:pPr>
      <w:r w:rsidRPr="00944248">
        <w:rPr>
          <w:lang w:val="ro-RO"/>
        </w:rPr>
        <w:t>Aceste metode alternative pentru determinarea volumului decontării OTS-OTS sunt ilustrate grafic în figura de mai jos.</w:t>
      </w:r>
    </w:p>
    <w:tbl>
      <w:tblPr>
        <w:tblStyle w:val="PlainTable41"/>
        <w:tblW w:w="10139" w:type="dxa"/>
        <w:tblLook w:val="04A0" w:firstRow="1" w:lastRow="0" w:firstColumn="1" w:lastColumn="0" w:noHBand="0" w:noVBand="1"/>
      </w:tblPr>
      <w:tblGrid>
        <w:gridCol w:w="5391"/>
        <w:gridCol w:w="4748"/>
      </w:tblGrid>
      <w:tr w:rsidR="004513E0" w:rsidRPr="00944248" w:rsidTr="00E702B3">
        <w:trPr>
          <w:cnfStyle w:val="100000000000" w:firstRow="1" w:lastRow="0" w:firstColumn="0" w:lastColumn="0" w:oddVBand="0" w:evenVBand="0" w:oddHBand="0" w:evenHBand="0" w:firstRowFirstColumn="0" w:firstRowLastColumn="0" w:lastRowFirstColumn="0" w:lastRowLastColumn="0"/>
          <w:trHeight w:val="1937"/>
        </w:trPr>
        <w:tc>
          <w:tcPr>
            <w:cnfStyle w:val="001000000000" w:firstRow="0" w:lastRow="0" w:firstColumn="1" w:lastColumn="0" w:oddVBand="0" w:evenVBand="0" w:oddHBand="0" w:evenHBand="0" w:firstRowFirstColumn="0" w:firstRowLastColumn="0" w:lastRowFirstColumn="0" w:lastRowLastColumn="0"/>
            <w:tcW w:w="5391" w:type="dxa"/>
          </w:tcPr>
          <w:p w:rsidR="004513E0" w:rsidRPr="00944248" w:rsidRDefault="004513E0" w:rsidP="00E702B3">
            <w:pPr>
              <w:pStyle w:val="textregular"/>
              <w:rPr>
                <w:lang w:val="ro-RO"/>
              </w:rPr>
            </w:pPr>
            <w:r w:rsidRPr="00944248">
              <w:rPr>
                <w:noProof/>
                <w:lang w:val="ro-RO"/>
              </w:rPr>
              <w:drawing>
                <wp:inline distT="0" distB="0" distL="0" distR="0">
                  <wp:extent cx="3286204" cy="1037749"/>
                  <wp:effectExtent l="0" t="0" r="0" b="0"/>
                  <wp:docPr id="43"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pic:cNvPicPr>
                            <a:picLocks noChangeAspect="1"/>
                          </pic:cNvPicPr>
                        </pic:nvPicPr>
                        <pic:blipFill>
                          <a:blip r:embed="rId23"/>
                          <a:stretch>
                            <a:fillRect/>
                          </a:stretch>
                        </pic:blipFill>
                        <pic:spPr>
                          <a:xfrm>
                            <a:off x="0" y="0"/>
                            <a:ext cx="3286204" cy="1037749"/>
                          </a:xfrm>
                          <a:prstGeom prst="rect">
                            <a:avLst/>
                          </a:prstGeom>
                        </pic:spPr>
                      </pic:pic>
                    </a:graphicData>
                  </a:graphic>
                </wp:inline>
              </w:drawing>
            </w:r>
          </w:p>
        </w:tc>
        <w:tc>
          <w:tcPr>
            <w:tcW w:w="4748" w:type="dxa"/>
          </w:tcPr>
          <w:p w:rsidR="004513E0" w:rsidRPr="00944248" w:rsidRDefault="004513E0" w:rsidP="00E702B3">
            <w:pPr>
              <w:pStyle w:val="textregular"/>
              <w:cnfStyle w:val="100000000000" w:firstRow="1" w:lastRow="0" w:firstColumn="0" w:lastColumn="0" w:oddVBand="0" w:evenVBand="0" w:oddHBand="0" w:evenHBand="0" w:firstRowFirstColumn="0" w:firstRowLastColumn="0" w:lastRowFirstColumn="0" w:lastRowLastColumn="0"/>
              <w:rPr>
                <w:lang w:val="ro-RO"/>
              </w:rPr>
            </w:pPr>
            <w:r w:rsidRPr="00944248">
              <w:rPr>
                <w:noProof/>
                <w:lang w:val="ro-RO"/>
              </w:rPr>
              <w:drawing>
                <wp:inline distT="0" distB="0" distL="0" distR="0">
                  <wp:extent cx="2878438" cy="946004"/>
                  <wp:effectExtent l="0" t="0" r="0" b="6985"/>
                  <wp:docPr id="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7"/>
                          <pic:cNvPicPr>
                            <a:picLocks noChangeAspect="1"/>
                          </pic:cNvPicPr>
                        </pic:nvPicPr>
                        <pic:blipFill>
                          <a:blip r:embed="rId24"/>
                          <a:stretch>
                            <a:fillRect/>
                          </a:stretch>
                        </pic:blipFill>
                        <pic:spPr>
                          <a:xfrm>
                            <a:off x="0" y="0"/>
                            <a:ext cx="2878438" cy="946004"/>
                          </a:xfrm>
                          <a:prstGeom prst="rect">
                            <a:avLst/>
                          </a:prstGeom>
                        </pic:spPr>
                      </pic:pic>
                    </a:graphicData>
                  </a:graphic>
                </wp:inline>
              </w:drawing>
            </w:r>
          </w:p>
        </w:tc>
      </w:tr>
      <w:tr w:rsidR="004513E0" w:rsidRPr="00944248" w:rsidTr="00E702B3">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10139" w:type="dxa"/>
            <w:gridSpan w:val="2"/>
          </w:tcPr>
          <w:p w:rsidR="004513E0" w:rsidRPr="00944248" w:rsidRDefault="004513E0" w:rsidP="00E702B3">
            <w:pPr>
              <w:pStyle w:val="textregular"/>
              <w:keepNext/>
              <w:jc w:val="center"/>
              <w:rPr>
                <w:lang w:val="ro-RO"/>
              </w:rPr>
            </w:pPr>
            <w:r w:rsidRPr="00944248">
              <w:rPr>
                <w:noProof/>
                <w:lang w:val="ro-RO"/>
              </w:rPr>
              <w:drawing>
                <wp:inline distT="0" distB="0" distL="0" distR="0">
                  <wp:extent cx="5943600" cy="310515"/>
                  <wp:effectExtent l="0" t="0" r="0" b="0"/>
                  <wp:docPr id="4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9"/>
                          <pic:cNvPicPr>
                            <a:picLocks noChangeAspect="1"/>
                          </pic:cNvPicPr>
                        </pic:nvPicPr>
                        <pic:blipFill>
                          <a:blip r:embed="rId25"/>
                          <a:stretch>
                            <a:fillRect/>
                          </a:stretch>
                        </pic:blipFill>
                        <pic:spPr>
                          <a:xfrm>
                            <a:off x="0" y="0"/>
                            <a:ext cx="5943600" cy="310515"/>
                          </a:xfrm>
                          <a:prstGeom prst="rect">
                            <a:avLst/>
                          </a:prstGeom>
                        </pic:spPr>
                      </pic:pic>
                    </a:graphicData>
                  </a:graphic>
                </wp:inline>
              </w:drawing>
            </w:r>
          </w:p>
        </w:tc>
      </w:tr>
    </w:tbl>
    <w:p w:rsidR="004513E0" w:rsidRPr="00944248" w:rsidRDefault="004513E0" w:rsidP="004513E0">
      <w:pPr>
        <w:pStyle w:val="Caption"/>
        <w:rPr>
          <w:lang w:val="ro-RO"/>
        </w:rPr>
      </w:pPr>
      <w:bookmarkStart w:id="159" w:name="_Toc531367164"/>
      <w:bookmarkStart w:id="160" w:name="_Toc535158342"/>
      <w:r w:rsidRPr="00944248">
        <w:rPr>
          <w:lang w:val="ro-RO"/>
        </w:rPr>
        <w:t xml:space="preserve">Figura </w:t>
      </w:r>
      <w:r w:rsidRPr="00944248">
        <w:rPr>
          <w:lang w:val="ro-RO"/>
        </w:rPr>
        <w:fldChar w:fldCharType="begin"/>
      </w:r>
      <w:r w:rsidRPr="00944248">
        <w:rPr>
          <w:lang w:val="ro-RO"/>
        </w:rPr>
        <w:instrText xml:space="preserve"> SEQ Figure \* ARABIC </w:instrText>
      </w:r>
      <w:r w:rsidRPr="00944248">
        <w:rPr>
          <w:lang w:val="ro-RO"/>
        </w:rPr>
        <w:fldChar w:fldCharType="separate"/>
      </w:r>
      <w:r w:rsidRPr="00944248">
        <w:rPr>
          <w:lang w:val="ro-RO"/>
        </w:rPr>
        <w:t>10</w:t>
      </w:r>
      <w:r w:rsidRPr="00944248">
        <w:rPr>
          <w:lang w:val="ro-RO"/>
        </w:rPr>
        <w:fldChar w:fldCharType="end"/>
      </w:r>
      <w:r w:rsidRPr="00944248">
        <w:rPr>
          <w:lang w:val="ro-RO"/>
        </w:rPr>
        <w:t>:</w:t>
      </w:r>
      <w:r w:rsidRPr="00944248">
        <w:rPr>
          <w:b w:val="0"/>
          <w:bCs w:val="0"/>
          <w:lang w:val="ro-RO"/>
        </w:rPr>
        <w:t xml:space="preserve"> </w:t>
      </w:r>
      <w:r w:rsidRPr="00944248">
        <w:rPr>
          <w:lang w:val="ro-RO"/>
        </w:rPr>
        <w:t>Decontarea OTS-OTS bazată pe activarea aRRF simulată și efectivă</w:t>
      </w:r>
      <w:bookmarkEnd w:id="159"/>
      <w:bookmarkEnd w:id="160"/>
    </w:p>
    <w:p w:rsidR="004513E0" w:rsidRPr="00944248" w:rsidRDefault="004513E0" w:rsidP="004513E0">
      <w:pPr>
        <w:pStyle w:val="textregular"/>
        <w:rPr>
          <w:lang w:val="ro-RO"/>
        </w:rPr>
      </w:pPr>
      <w:r w:rsidRPr="00944248">
        <w:rPr>
          <w:lang w:val="ro-RO"/>
        </w:rPr>
        <w:t xml:space="preserve">Ambele opțiuni furnizează rezultate care corespund mai exact energiei livrate efectiv. Totuși, metoda aleasă – volum AOF – a fost favorizată în urma unei evaluări a punctelor pro și contra. Principalele motive pentru </w:t>
      </w:r>
      <w:r w:rsidRPr="00944248">
        <w:rPr>
          <w:lang w:val="ro-RO"/>
        </w:rPr>
        <w:lastRenderedPageBreak/>
        <w:t>alegerea metodei AOF sunt transparența și simplicitatea. Transparența este asigurată întrucât determinarea volumului nu se bazează pe procedurile sau datele locale, iar datele istorice sunt ușor accesibile din funcția de optimizare a activării a platformei. Determinarea volumelor AOF este practic incontestabilă. Simplicitatea este dată de cantitatea mult mai mică de date și de faptul că originea datelor este chiar platforma însăși, adică nu există o dependență de datele locale ce trebuie trimise înapoi pe platformă. În plus, metoda aleasă asigură consecvența între determinarea CBMP-ului în conformitate cu propunerea privind stabilirea prețului și determinarea volumelor decontării OTS-OTS atât în ceea ce privește frecvența, cât și sursa semnalului utilizat.</w:t>
      </w:r>
    </w:p>
    <w:p w:rsidR="004513E0" w:rsidRPr="00944248" w:rsidRDefault="004513E0" w:rsidP="004513E0">
      <w:pPr>
        <w:pStyle w:val="textregular"/>
        <w:rPr>
          <w:lang w:val="ro-RO"/>
        </w:rPr>
      </w:pPr>
      <w:r w:rsidRPr="00944248">
        <w:rPr>
          <w:lang w:val="ro-RO"/>
        </w:rPr>
        <w:t>Determinarea volumelor prin simulare ar fi introdus un grad ridicat de complexitate generat de dezvoltarea diferitelor metode pentru fiecare zonă RFP și asigurarea faptului că aceste metode nu contravin principiului condițiilor de concurență echitabile.</w:t>
      </w:r>
    </w:p>
    <w:p w:rsidR="00AA782F" w:rsidRPr="00944248" w:rsidRDefault="004513E0" w:rsidP="00385CC3">
      <w:pPr>
        <w:pStyle w:val="textregular"/>
        <w:rPr>
          <w:lang w:val="ro-RO"/>
        </w:rPr>
      </w:pPr>
      <w:r w:rsidRPr="00944248">
        <w:rPr>
          <w:lang w:val="ro-RO"/>
        </w:rPr>
        <w:t>De asemenea, cea de-a doua alternativă, adică decontarea în baza volumelor efectiv livrate, sporește complexitatea întrucât necesită o comunicare și semnale de preț orientative suplimentare. Această alternativă necesită măsurarea volumelor livrate, lucru care nu este disponibil tuturor OTS-urilor în prezent. În plus, OTS-urile au convenit să nu armonizeze determinarea volumului OTS-FSE în prima etapă. Totuși, pentru buna funcționare a acestei alternative și pentru a conferi stimulente adecvate FSE-urilor, aceste măsurători ar trebui în mod ideal să fie armonizate dacă implementarea platformei este finalizată și egală pentru toți participanții.</w:t>
      </w:r>
    </w:p>
    <w:p w:rsidR="00AA782F" w:rsidRPr="00944248" w:rsidRDefault="00AA782F" w:rsidP="00051DB2">
      <w:pPr>
        <w:pStyle w:val="headline2"/>
        <w:numPr>
          <w:ilvl w:val="1"/>
          <w:numId w:val="8"/>
        </w:numPr>
        <w:spacing w:after="200" w:line="240" w:lineRule="auto"/>
        <w:jc w:val="both"/>
        <w:outlineLvl w:val="1"/>
        <w:rPr>
          <w:lang w:val="ro-RO"/>
        </w:rPr>
      </w:pPr>
      <w:bookmarkStart w:id="161" w:name="_Toc531687681"/>
      <w:bookmarkStart w:id="162" w:name="_Toc531787034"/>
      <w:bookmarkStart w:id="163" w:name="_Toc535158322"/>
      <w:r w:rsidRPr="00944248">
        <w:rPr>
          <w:lang w:val="ro-RO"/>
        </w:rPr>
        <w:t xml:space="preserve">Decontarea volumelor compensate ale cererii </w:t>
      </w:r>
      <w:bookmarkEnd w:id="161"/>
      <w:r w:rsidRPr="00944248">
        <w:rPr>
          <w:lang w:val="ro-RO"/>
        </w:rPr>
        <w:t>aRRF</w:t>
      </w:r>
      <w:bookmarkEnd w:id="162"/>
      <w:bookmarkEnd w:id="163"/>
    </w:p>
    <w:p w:rsidR="00AA782F" w:rsidRPr="00944248" w:rsidRDefault="00AA782F" w:rsidP="00051DB2">
      <w:pPr>
        <w:pStyle w:val="Headline14pt"/>
        <w:pageBreakBefore w:val="0"/>
        <w:numPr>
          <w:ilvl w:val="2"/>
          <w:numId w:val="8"/>
        </w:numPr>
        <w:jc w:val="both"/>
        <w:outlineLvl w:val="2"/>
        <w:rPr>
          <w:sz w:val="28"/>
          <w:lang w:val="ro-RO"/>
        </w:rPr>
      </w:pPr>
      <w:bookmarkStart w:id="164" w:name="_Toc531687682"/>
      <w:bookmarkStart w:id="165" w:name="_Toc531787035"/>
      <w:bookmarkStart w:id="166" w:name="_Toc535158323"/>
      <w:r w:rsidRPr="00944248">
        <w:rPr>
          <w:bCs/>
          <w:sz w:val="28"/>
          <w:lang w:val="ro-RO"/>
        </w:rPr>
        <w:t>Definiția volumelor compensate</w:t>
      </w:r>
      <w:bookmarkEnd w:id="164"/>
      <w:r w:rsidRPr="00944248">
        <w:rPr>
          <w:bCs/>
          <w:sz w:val="28"/>
          <w:lang w:val="ro-RO"/>
        </w:rPr>
        <w:t xml:space="preserve"> ale cererii aRRF</w:t>
      </w:r>
      <w:bookmarkEnd w:id="165"/>
      <w:bookmarkEnd w:id="166"/>
    </w:p>
    <w:p w:rsidR="00AA782F" w:rsidRPr="00944248" w:rsidRDefault="00F532FB" w:rsidP="00AA782F">
      <w:pPr>
        <w:spacing w:after="120" w:line="276" w:lineRule="auto"/>
        <w:jc w:val="both"/>
        <w:rPr>
          <w:rFonts w:ascii="Times New Roman" w:hAnsi="Times New Roman"/>
          <w:szCs w:val="19"/>
          <w:lang w:val="ro-RO"/>
        </w:rPr>
      </w:pPr>
      <w:r w:rsidRPr="00944248">
        <w:rPr>
          <w:rFonts w:ascii="Times New Roman" w:hAnsi="Times New Roman"/>
          <w:szCs w:val="19"/>
          <w:lang w:val="ro-RO"/>
        </w:rPr>
        <w:t xml:space="preserve">Volumul compensat al cererii aRRF este un schimb virtual de energie de echilibrare între zone RFP cooperante care rezultă din compensarea unor cereri aRRF opuse. Aceasta înseamnă că o zonă RFP pe surplus furnizează energie unei zone RFP în deficit. Astfel, procesul de compensare permite tuturor OTS-urilor participante să își reducă activarea energiei de echilibrare aRRF. Întrucât compensarea implicită a procesului aRRF generează un schimb planificat de energie de echilibrare, și schimbul volumelor compensate trebuie tratat în cadrul propunerii cu privire la decontarea OTS-OTS. Așa cum este detaliat în capitolul </w:t>
      </w:r>
      <w:r w:rsidRPr="00944248">
        <w:rPr>
          <w:rFonts w:ascii="Times New Roman" w:hAnsi="Times New Roman"/>
          <w:szCs w:val="19"/>
          <w:lang w:val="ro-RO"/>
        </w:rPr>
        <w:fldChar w:fldCharType="begin"/>
      </w:r>
      <w:r w:rsidRPr="00944248">
        <w:rPr>
          <w:rFonts w:ascii="Times New Roman" w:hAnsi="Times New Roman"/>
          <w:szCs w:val="19"/>
          <w:lang w:val="ro-RO"/>
        </w:rPr>
        <w:instrText xml:space="preserve"> REF _Ref531335006 \r \h  \* MERGEFORMAT </w:instrText>
      </w:r>
      <w:r w:rsidRPr="00944248">
        <w:rPr>
          <w:rFonts w:ascii="Times New Roman" w:hAnsi="Times New Roman"/>
          <w:szCs w:val="19"/>
          <w:lang w:val="ro-RO"/>
        </w:rPr>
      </w:r>
      <w:r w:rsidRPr="00944248">
        <w:rPr>
          <w:rFonts w:ascii="Times New Roman" w:hAnsi="Times New Roman"/>
          <w:szCs w:val="19"/>
          <w:lang w:val="ro-RO"/>
        </w:rPr>
        <w:fldChar w:fldCharType="separate"/>
      </w:r>
      <w:r w:rsidRPr="00944248">
        <w:rPr>
          <w:rFonts w:ascii="Times New Roman" w:hAnsi="Times New Roman"/>
          <w:b/>
          <w:bCs/>
          <w:szCs w:val="19"/>
          <w:lang w:val="ro-RO"/>
        </w:rPr>
        <w:t>Error! Reference source not found.</w:t>
      </w:r>
      <w:r w:rsidRPr="00944248">
        <w:rPr>
          <w:rFonts w:ascii="Times New Roman" w:hAnsi="Times New Roman"/>
          <w:szCs w:val="19"/>
          <w:lang w:val="ro-RO"/>
        </w:rPr>
        <w:fldChar w:fldCharType="end"/>
      </w:r>
      <w:r w:rsidRPr="00944248">
        <w:rPr>
          <w:rFonts w:ascii="Times New Roman" w:hAnsi="Times New Roman"/>
          <w:szCs w:val="19"/>
          <w:lang w:val="ro-RO"/>
        </w:rPr>
        <w:t>, AOF pentru procesul din cadrul modelului de cerere de reglaj nu face distincția între volumele de energie activată aRRF și cererea aRRF compensată. Astfel, determinarea volumelor de decontare generate de aRRF activate și decontarea cererii aRRF compensate este aceiași.</w:t>
      </w:r>
    </w:p>
    <w:p w:rsidR="00AA782F" w:rsidRPr="00944248" w:rsidRDefault="00051DB2" w:rsidP="00AA782F">
      <w:pPr>
        <w:spacing w:after="120" w:line="276" w:lineRule="auto"/>
        <w:jc w:val="both"/>
        <w:rPr>
          <w:rFonts w:ascii="Times New Roman" w:hAnsi="Times New Roman"/>
          <w:szCs w:val="19"/>
          <w:lang w:val="ro-RO"/>
        </w:rPr>
      </w:pPr>
      <w:r w:rsidRPr="00944248">
        <w:rPr>
          <w:rFonts w:ascii="Times New Roman" w:hAnsi="Times New Roman"/>
          <w:szCs w:val="19"/>
          <w:lang w:val="ro-RO"/>
        </w:rPr>
        <w:fldChar w:fldCharType="begin"/>
      </w:r>
      <w:r w:rsidRPr="00944248">
        <w:rPr>
          <w:rFonts w:ascii="Times New Roman" w:hAnsi="Times New Roman"/>
          <w:szCs w:val="19"/>
          <w:lang w:val="ro-RO"/>
        </w:rPr>
        <w:instrText xml:space="preserve"> REF _Ref531797395 \h  \* MERGEFORMAT </w:instrText>
      </w:r>
      <w:r w:rsidRPr="00944248">
        <w:rPr>
          <w:rFonts w:ascii="Times New Roman" w:hAnsi="Times New Roman"/>
          <w:szCs w:val="19"/>
          <w:lang w:val="ro-RO"/>
        </w:rPr>
      </w:r>
      <w:r w:rsidRPr="00944248">
        <w:rPr>
          <w:rFonts w:ascii="Times New Roman" w:hAnsi="Times New Roman"/>
          <w:szCs w:val="19"/>
          <w:lang w:val="ro-RO"/>
        </w:rPr>
        <w:fldChar w:fldCharType="separate"/>
      </w:r>
      <w:r w:rsidRPr="00944248">
        <w:rPr>
          <w:rFonts w:ascii="Times New Roman" w:hAnsi="Times New Roman"/>
          <w:lang w:val="ro-RO"/>
        </w:rPr>
        <w:t>Tabelul 7</w:t>
      </w:r>
      <w:r w:rsidRPr="00944248">
        <w:rPr>
          <w:rFonts w:ascii="Times New Roman" w:hAnsi="Times New Roman"/>
          <w:szCs w:val="19"/>
          <w:lang w:val="ro-RO"/>
        </w:rPr>
        <w:fldChar w:fldCharType="end"/>
      </w:r>
      <w:r w:rsidRPr="00944248">
        <w:rPr>
          <w:rFonts w:ascii="Times New Roman" w:hAnsi="Times New Roman"/>
          <w:szCs w:val="19"/>
          <w:lang w:val="ro-RO"/>
        </w:rPr>
        <w:fldChar w:fldCharType="begin"/>
      </w:r>
      <w:r w:rsidRPr="00944248">
        <w:rPr>
          <w:rFonts w:ascii="Times New Roman" w:hAnsi="Times New Roman"/>
          <w:szCs w:val="19"/>
          <w:lang w:val="ro-RO"/>
        </w:rPr>
        <w:instrText xml:space="preserve"> REF _Ref530928705 \h  \* MERGEFORMAT </w:instrText>
      </w:r>
      <w:r w:rsidRPr="00944248">
        <w:rPr>
          <w:rFonts w:ascii="Times New Roman" w:hAnsi="Times New Roman"/>
          <w:szCs w:val="19"/>
          <w:lang w:val="ro-RO"/>
        </w:rPr>
      </w:r>
      <w:r w:rsidRPr="00944248">
        <w:rPr>
          <w:rFonts w:ascii="Times New Roman" w:hAnsi="Times New Roman"/>
          <w:szCs w:val="19"/>
          <w:lang w:val="ro-RO"/>
        </w:rPr>
        <w:fldChar w:fldCharType="separate"/>
      </w:r>
      <w:r w:rsidRPr="00944248">
        <w:rPr>
          <w:rFonts w:ascii="Times New Roman" w:hAnsi="Times New Roman"/>
          <w:b/>
          <w:bCs/>
          <w:szCs w:val="19"/>
          <w:lang w:val="ro-RO"/>
        </w:rPr>
        <w:t>Error! Reference source not found.</w:t>
      </w:r>
      <w:r w:rsidRPr="00944248">
        <w:rPr>
          <w:rFonts w:ascii="Times New Roman" w:hAnsi="Times New Roman"/>
          <w:szCs w:val="19"/>
          <w:lang w:val="ro-RO"/>
        </w:rPr>
        <w:fldChar w:fldCharType="end"/>
      </w:r>
      <w:r w:rsidRPr="00944248">
        <w:rPr>
          <w:rFonts w:ascii="Times New Roman" w:hAnsi="Times New Roman"/>
          <w:szCs w:val="19"/>
          <w:lang w:val="ro-RO"/>
        </w:rPr>
        <w:t xml:space="preserve"> prezintă un posibil proces de compensare între patru zone RFP. Zona RFP A este în deficit și ar activa 700 MWh de aRRF pozitive, în timp ce zonele RFP B, C și D sunt pe surplus și ar activa în total 600 MWh de aRRF negative. Pentru simplificare, nu au fost luate în considerare congestii între zonele RFP. În acest caz, OTS-ul A importă 600 MWh în timp ce OTS-ul B exportă 100 MWh, OTS-ul C exportă 200 MWh și OTS-ul D exportă 300 MWh. Cererea aRRF reziduală de 100 MWh după compensare este acoperită prin activarea celor mai ieftine oferte din CMOL de creștere. Astfel, datorită compensării, cererea aRRF poate fi redusă la 100 MWh iar procesul de compensare generează o activare de aRRF evitată.</w:t>
      </w:r>
    </w:p>
    <w:tbl>
      <w:tblPr>
        <w:tblStyle w:val="TableauGrille4-Accentuation51"/>
        <w:tblW w:w="0" w:type="auto"/>
        <w:tblInd w:w="0" w:type="dxa"/>
        <w:tblLook w:val="0420" w:firstRow="1" w:lastRow="0" w:firstColumn="0" w:lastColumn="0" w:noHBand="0" w:noVBand="1"/>
      </w:tblPr>
      <w:tblGrid>
        <w:gridCol w:w="4902"/>
        <w:gridCol w:w="1219"/>
        <w:gridCol w:w="1064"/>
        <w:gridCol w:w="1000"/>
        <w:gridCol w:w="1000"/>
      </w:tblGrid>
      <w:tr w:rsidR="006114F2" w:rsidRPr="00944248" w:rsidTr="004F0CEC">
        <w:trPr>
          <w:cnfStyle w:val="100000000000" w:firstRow="1" w:lastRow="0" w:firstColumn="0" w:lastColumn="0" w:oddVBand="0" w:evenVBand="0" w:oddHBand="0" w:evenHBand="0" w:firstRowFirstColumn="0" w:firstRowLastColumn="0" w:lastRowFirstColumn="0" w:lastRowLastColumn="0"/>
          <w:trHeight w:val="170"/>
        </w:trPr>
        <w:tc>
          <w:tcPr>
            <w:tcW w:w="4902" w:type="dxa"/>
            <w:shd w:val="clear" w:color="auto" w:fill="1F497D" w:themeFill="text2"/>
            <w:noWrap/>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lastRenderedPageBreak/>
              <w:t>Indicator</w:t>
            </w:r>
          </w:p>
        </w:tc>
        <w:tc>
          <w:tcPr>
            <w:tcW w:w="1219" w:type="dxa"/>
            <w:shd w:val="clear" w:color="auto" w:fill="1F497D" w:themeFill="text2"/>
            <w:noWrap/>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OTS A</w:t>
            </w:r>
          </w:p>
        </w:tc>
        <w:tc>
          <w:tcPr>
            <w:tcW w:w="1064" w:type="dxa"/>
            <w:shd w:val="clear" w:color="auto" w:fill="1F497D" w:themeFill="text2"/>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OTS B</w:t>
            </w:r>
          </w:p>
        </w:tc>
        <w:tc>
          <w:tcPr>
            <w:tcW w:w="1000" w:type="dxa"/>
            <w:shd w:val="clear" w:color="auto" w:fill="1F497D" w:themeFill="text2"/>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OTS C</w:t>
            </w:r>
          </w:p>
        </w:tc>
        <w:tc>
          <w:tcPr>
            <w:tcW w:w="1000" w:type="dxa"/>
            <w:shd w:val="clear" w:color="auto" w:fill="1F497D" w:themeFill="text2"/>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OTS D</w:t>
            </w:r>
          </w:p>
        </w:tc>
      </w:tr>
      <w:tr w:rsidR="00AA782F" w:rsidRPr="00944248" w:rsidTr="00AA782F">
        <w:trPr>
          <w:cnfStyle w:val="000000100000" w:firstRow="0" w:lastRow="0" w:firstColumn="0" w:lastColumn="0" w:oddVBand="0" w:evenVBand="0" w:oddHBand="1" w:evenHBand="0" w:firstRowFirstColumn="0" w:firstRowLastColumn="0" w:lastRowFirstColumn="0" w:lastRowLastColumn="0"/>
          <w:trHeight w:val="170"/>
        </w:trPr>
        <w:tc>
          <w:tcPr>
            <w:tcW w:w="4902" w:type="dxa"/>
            <w:noWrap/>
            <w:hideMark/>
          </w:tcPr>
          <w:p w:rsidR="00AA782F" w:rsidRPr="00944248" w:rsidRDefault="000D091E"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Cerere aRRF în MWh</w:t>
            </w:r>
          </w:p>
        </w:tc>
        <w:tc>
          <w:tcPr>
            <w:tcW w:w="1219" w:type="dxa"/>
            <w:noWrap/>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700</w:t>
            </w:r>
          </w:p>
        </w:tc>
        <w:tc>
          <w:tcPr>
            <w:tcW w:w="1064" w:type="dxa"/>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-100</w:t>
            </w:r>
          </w:p>
        </w:tc>
        <w:tc>
          <w:tcPr>
            <w:tcW w:w="1000" w:type="dxa"/>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-200</w:t>
            </w:r>
          </w:p>
        </w:tc>
        <w:tc>
          <w:tcPr>
            <w:tcW w:w="1000" w:type="dxa"/>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-300</w:t>
            </w:r>
          </w:p>
        </w:tc>
      </w:tr>
      <w:tr w:rsidR="00AA782F" w:rsidRPr="00944248" w:rsidTr="00AA782F">
        <w:trPr>
          <w:cnfStyle w:val="000000010000" w:firstRow="0" w:lastRow="0" w:firstColumn="0" w:lastColumn="0" w:oddVBand="0" w:evenVBand="0" w:oddHBand="0" w:evenHBand="1" w:firstRowFirstColumn="0" w:firstRowLastColumn="0" w:lastRowFirstColumn="0" w:lastRowLastColumn="0"/>
          <w:trHeight w:val="170"/>
        </w:trPr>
        <w:tc>
          <w:tcPr>
            <w:tcW w:w="4902" w:type="dxa"/>
            <w:noWrap/>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 xml:space="preserve">Corecție în MWh </w:t>
            </w:r>
          </w:p>
        </w:tc>
        <w:tc>
          <w:tcPr>
            <w:tcW w:w="1219" w:type="dxa"/>
            <w:noWrap/>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-600</w:t>
            </w:r>
          </w:p>
        </w:tc>
        <w:tc>
          <w:tcPr>
            <w:tcW w:w="1064" w:type="dxa"/>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100</w:t>
            </w:r>
          </w:p>
        </w:tc>
        <w:tc>
          <w:tcPr>
            <w:tcW w:w="1000" w:type="dxa"/>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200</w:t>
            </w:r>
          </w:p>
        </w:tc>
        <w:tc>
          <w:tcPr>
            <w:tcW w:w="1000" w:type="dxa"/>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300</w:t>
            </w:r>
          </w:p>
        </w:tc>
      </w:tr>
      <w:tr w:rsidR="00AA782F" w:rsidRPr="00944248" w:rsidTr="00AA782F">
        <w:trPr>
          <w:cnfStyle w:val="000000100000" w:firstRow="0" w:lastRow="0" w:firstColumn="0" w:lastColumn="0" w:oddVBand="0" w:evenVBand="0" w:oddHBand="1" w:evenHBand="0" w:firstRowFirstColumn="0" w:firstRowLastColumn="0" w:lastRowFirstColumn="0" w:lastRowLastColumn="0"/>
          <w:trHeight w:val="170"/>
        </w:trPr>
        <w:tc>
          <w:tcPr>
            <w:tcW w:w="4902" w:type="dxa"/>
            <w:noWrap/>
            <w:hideMark/>
          </w:tcPr>
          <w:p w:rsidR="00AA782F" w:rsidRPr="00944248" w:rsidRDefault="000D091E"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Import de compensare aRRF în MWh</w:t>
            </w:r>
          </w:p>
        </w:tc>
        <w:tc>
          <w:tcPr>
            <w:tcW w:w="1219" w:type="dxa"/>
            <w:noWrap/>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600</w:t>
            </w:r>
          </w:p>
        </w:tc>
        <w:tc>
          <w:tcPr>
            <w:tcW w:w="1064" w:type="dxa"/>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0</w:t>
            </w:r>
          </w:p>
        </w:tc>
        <w:tc>
          <w:tcPr>
            <w:tcW w:w="1000" w:type="dxa"/>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0</w:t>
            </w:r>
          </w:p>
        </w:tc>
        <w:tc>
          <w:tcPr>
            <w:tcW w:w="1000" w:type="dxa"/>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0</w:t>
            </w:r>
          </w:p>
        </w:tc>
      </w:tr>
      <w:tr w:rsidR="00AA782F" w:rsidRPr="00944248" w:rsidTr="00AA782F">
        <w:trPr>
          <w:cnfStyle w:val="000000010000" w:firstRow="0" w:lastRow="0" w:firstColumn="0" w:lastColumn="0" w:oddVBand="0" w:evenVBand="0" w:oddHBand="0" w:evenHBand="1" w:firstRowFirstColumn="0" w:firstRowLastColumn="0" w:lastRowFirstColumn="0" w:lastRowLastColumn="0"/>
          <w:trHeight w:val="170"/>
        </w:trPr>
        <w:tc>
          <w:tcPr>
            <w:tcW w:w="4902" w:type="dxa"/>
            <w:noWrap/>
            <w:hideMark/>
          </w:tcPr>
          <w:p w:rsidR="00AA782F" w:rsidRPr="00944248" w:rsidRDefault="000D091E"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Export de compensare aRRF în MWh</w:t>
            </w:r>
          </w:p>
        </w:tc>
        <w:tc>
          <w:tcPr>
            <w:tcW w:w="1219" w:type="dxa"/>
            <w:noWrap/>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0</w:t>
            </w:r>
          </w:p>
        </w:tc>
        <w:tc>
          <w:tcPr>
            <w:tcW w:w="1064" w:type="dxa"/>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100</w:t>
            </w:r>
          </w:p>
        </w:tc>
        <w:tc>
          <w:tcPr>
            <w:tcW w:w="1000" w:type="dxa"/>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200</w:t>
            </w:r>
          </w:p>
        </w:tc>
        <w:tc>
          <w:tcPr>
            <w:tcW w:w="1000" w:type="dxa"/>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300</w:t>
            </w:r>
          </w:p>
        </w:tc>
      </w:tr>
      <w:tr w:rsidR="00AA782F" w:rsidRPr="00944248" w:rsidTr="00AA782F">
        <w:trPr>
          <w:cnfStyle w:val="000000100000" w:firstRow="0" w:lastRow="0" w:firstColumn="0" w:lastColumn="0" w:oddVBand="0" w:evenVBand="0" w:oddHBand="1" w:evenHBand="0" w:firstRowFirstColumn="0" w:firstRowLastColumn="0" w:lastRowFirstColumn="0" w:lastRowLastColumn="0"/>
          <w:trHeight w:val="170"/>
        </w:trPr>
        <w:tc>
          <w:tcPr>
            <w:tcW w:w="4902" w:type="dxa"/>
            <w:noWrap/>
            <w:hideMark/>
          </w:tcPr>
          <w:p w:rsidR="00AA782F" w:rsidRPr="00944248" w:rsidRDefault="000D091E"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Activare aRRF în MWh</w:t>
            </w:r>
          </w:p>
        </w:tc>
        <w:tc>
          <w:tcPr>
            <w:tcW w:w="1219" w:type="dxa"/>
            <w:noWrap/>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100</w:t>
            </w:r>
          </w:p>
        </w:tc>
        <w:tc>
          <w:tcPr>
            <w:tcW w:w="1064" w:type="dxa"/>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0</w:t>
            </w:r>
          </w:p>
        </w:tc>
        <w:tc>
          <w:tcPr>
            <w:tcW w:w="1000" w:type="dxa"/>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0</w:t>
            </w:r>
          </w:p>
        </w:tc>
        <w:tc>
          <w:tcPr>
            <w:tcW w:w="1000" w:type="dxa"/>
            <w:hideMark/>
          </w:tcPr>
          <w:p w:rsidR="00AA782F" w:rsidRPr="00944248" w:rsidRDefault="00AA782F" w:rsidP="00051DB2">
            <w:pPr>
              <w:keepNext/>
              <w:spacing w:after="40"/>
              <w:rPr>
                <w:rFonts w:ascii="Times New Roman" w:hAnsi="Times New Roman" w:cs="Times New Roman"/>
                <w:szCs w:val="19"/>
                <w:lang w:val="ro-RO"/>
              </w:rPr>
            </w:pPr>
            <w:r w:rsidRPr="00944248">
              <w:rPr>
                <w:rFonts w:ascii="Times New Roman" w:hAnsi="Times New Roman" w:cs="Times New Roman"/>
                <w:szCs w:val="19"/>
                <w:lang w:val="ro-RO"/>
              </w:rPr>
              <w:t>0</w:t>
            </w:r>
          </w:p>
        </w:tc>
      </w:tr>
    </w:tbl>
    <w:p w:rsidR="00292771" w:rsidRPr="00944248" w:rsidRDefault="00292771" w:rsidP="00292771">
      <w:pPr>
        <w:pStyle w:val="Caption"/>
        <w:keepNext/>
        <w:rPr>
          <w:lang w:val="ro-RO"/>
        </w:rPr>
      </w:pPr>
      <w:bookmarkStart w:id="167" w:name="_Ref531797395"/>
      <w:bookmarkStart w:id="168" w:name="_Toc535158354"/>
      <w:bookmarkStart w:id="169" w:name="_Toc531687683"/>
      <w:r w:rsidRPr="00944248">
        <w:rPr>
          <w:lang w:val="ro-RO"/>
        </w:rPr>
        <w:t xml:space="preserve">Tabelul </w:t>
      </w:r>
      <w:r w:rsidRPr="00944248">
        <w:rPr>
          <w:lang w:val="ro-RO"/>
        </w:rPr>
        <w:fldChar w:fldCharType="begin"/>
      </w:r>
      <w:r w:rsidRPr="00944248">
        <w:rPr>
          <w:lang w:val="ro-RO"/>
        </w:rPr>
        <w:instrText xml:space="preserve"> SEQ Table \* ARABIC </w:instrText>
      </w:r>
      <w:r w:rsidRPr="00944248">
        <w:rPr>
          <w:lang w:val="ro-RO"/>
        </w:rPr>
        <w:fldChar w:fldCharType="separate"/>
      </w:r>
      <w:r w:rsidRPr="00944248">
        <w:rPr>
          <w:lang w:val="ro-RO"/>
        </w:rPr>
        <w:t>7</w:t>
      </w:r>
      <w:r w:rsidRPr="00944248">
        <w:rPr>
          <w:lang w:val="ro-RO"/>
        </w:rPr>
        <w:fldChar w:fldCharType="end"/>
      </w:r>
      <w:bookmarkEnd w:id="167"/>
      <w:r w:rsidRPr="00944248">
        <w:rPr>
          <w:lang w:val="ro-RO"/>
        </w:rPr>
        <w:t>:</w:t>
      </w:r>
      <w:r w:rsidRPr="00944248">
        <w:rPr>
          <w:b w:val="0"/>
          <w:bCs w:val="0"/>
          <w:lang w:val="ro-RO"/>
        </w:rPr>
        <w:t xml:space="preserve"> </w:t>
      </w:r>
      <w:r w:rsidRPr="00944248">
        <w:rPr>
          <w:lang w:val="ro-RO"/>
        </w:rPr>
        <w:t>Compensarea cererilor aRRF opuse</w:t>
      </w:r>
      <w:bookmarkEnd w:id="168"/>
    </w:p>
    <w:p w:rsidR="006114F2" w:rsidRPr="00944248" w:rsidRDefault="006114F2" w:rsidP="00051DB2">
      <w:pPr>
        <w:pStyle w:val="Headline14pt"/>
        <w:pageBreakBefore w:val="0"/>
        <w:numPr>
          <w:ilvl w:val="2"/>
          <w:numId w:val="8"/>
        </w:numPr>
        <w:jc w:val="both"/>
        <w:outlineLvl w:val="2"/>
        <w:rPr>
          <w:sz w:val="28"/>
          <w:lang w:val="ro-RO"/>
        </w:rPr>
      </w:pPr>
      <w:bookmarkStart w:id="170" w:name="_Toc531787036"/>
      <w:bookmarkStart w:id="171" w:name="_Toc535158324"/>
      <w:bookmarkStart w:id="172" w:name="_Toc531695964"/>
      <w:r w:rsidRPr="00944248">
        <w:rPr>
          <w:bCs/>
          <w:sz w:val="28"/>
          <w:lang w:val="ro-RO"/>
        </w:rPr>
        <w:t>Determinarea prețurilor de decontare pentru cererea aRRF compensată</w:t>
      </w:r>
      <w:bookmarkEnd w:id="170"/>
      <w:bookmarkEnd w:id="171"/>
    </w:p>
    <w:p w:rsidR="00AA782F" w:rsidRPr="00944248" w:rsidRDefault="000D091E" w:rsidP="00051DB2">
      <w:pPr>
        <w:spacing w:after="120"/>
        <w:jc w:val="both"/>
        <w:rPr>
          <w:lang w:val="ro-RO"/>
        </w:rPr>
      </w:pPr>
      <w:bookmarkStart w:id="173" w:name="_Toc531788836"/>
      <w:bookmarkEnd w:id="169"/>
      <w:bookmarkEnd w:id="172"/>
      <w:bookmarkEnd w:id="173"/>
      <w:r w:rsidRPr="00944248">
        <w:rPr>
          <w:rFonts w:ascii="Times New Roman" w:hAnsi="Times New Roman"/>
          <w:lang w:val="ro-RO"/>
        </w:rPr>
        <w:t>Pentru a determina prețul de decontare pentru schimburile planificate de energie de echilibrare aRRF, trebuie să împărțim cererile aRRF compensate în două cazuri: Cererea aRRF parțial compensată: cererea aRRF compensată în cazul în care există activări subsecvente de oferte aRRF și un volum aRRF perfect compensat; cererea aRRF compensată în cazul în care nu există activări subsecvente de oferte aRRF.</w:t>
      </w:r>
    </w:p>
    <w:p w:rsidR="00AA782F" w:rsidRPr="00944248" w:rsidRDefault="00AA782F" w:rsidP="00DD58FA">
      <w:pPr>
        <w:pStyle w:val="textregular"/>
        <w:numPr>
          <w:ilvl w:val="0"/>
          <w:numId w:val="12"/>
        </w:numPr>
        <w:spacing w:line="276" w:lineRule="auto"/>
        <w:rPr>
          <w:lang w:val="ro-RO"/>
        </w:rPr>
      </w:pPr>
      <w:r w:rsidRPr="00944248">
        <w:rPr>
          <w:lang w:val="ro-RO"/>
        </w:rPr>
        <w:t>Compensarea parțială</w:t>
      </w:r>
    </w:p>
    <w:p w:rsidR="00AA782F" w:rsidRPr="00944248" w:rsidRDefault="00AA782F" w:rsidP="00AA782F">
      <w:pPr>
        <w:pStyle w:val="textregular"/>
        <w:spacing w:line="276" w:lineRule="auto"/>
        <w:rPr>
          <w:lang w:val="ro-RO"/>
        </w:rPr>
      </w:pPr>
      <w:r w:rsidRPr="00944248">
        <w:rPr>
          <w:lang w:val="ro-RO"/>
        </w:rPr>
        <w:t>În acest caz, atât cererile aRRF, cât și schimburile planificate compensate care rezultă din volumele activate vor fi decontate folosind CBMP-ul aferent zonei necongestionate. Întrucât fiecare zonă necongestionată poate avea un CBMP diferit, trebuie să se calculeze un tarif de congestionare de echilibrare în cazul compensării implicite aRRF dintre zonele necongestionate cu CBMP-uri diferite. Tariful de congestionare de echilibrare va fi repartizat între OTS-urile implicate în conformitate cu metodologia propusă pentru distribuirea veniturilor din congestii de echilibrare din cadrul prezentei propuneri.</w:t>
      </w:r>
    </w:p>
    <w:p w:rsidR="00AA782F" w:rsidRPr="00944248" w:rsidRDefault="00AA782F" w:rsidP="00DD58FA">
      <w:pPr>
        <w:pStyle w:val="textregular"/>
        <w:numPr>
          <w:ilvl w:val="0"/>
          <w:numId w:val="12"/>
        </w:numPr>
        <w:spacing w:line="276" w:lineRule="auto"/>
        <w:rPr>
          <w:lang w:val="ro-RO"/>
        </w:rPr>
      </w:pPr>
      <w:r w:rsidRPr="00944248">
        <w:rPr>
          <w:lang w:val="ro-RO"/>
        </w:rPr>
        <w:t xml:space="preserve">Compensarea perfectă </w:t>
      </w:r>
    </w:p>
    <w:p w:rsidR="00AA782F" w:rsidRPr="00944248" w:rsidRDefault="00AA782F" w:rsidP="00AA0941">
      <w:pPr>
        <w:pStyle w:val="textregular"/>
        <w:spacing w:line="276" w:lineRule="auto"/>
        <w:rPr>
          <w:lang w:val="ro-RO"/>
        </w:rPr>
      </w:pPr>
      <w:r w:rsidRPr="00944248">
        <w:rPr>
          <w:lang w:val="ro-RO"/>
        </w:rPr>
        <w:t xml:space="preserve">În cazul compensării perfecte are loc doar compensarea cererilor aRRF opuse fără activarea subsecventă a energiei de echilibrare aRRF. CBMP-ul rezultat va fi determinat în conformitate cu regula nedeterminării prețului din cadrul PP. Astfel, prețul de decontare va fi media prețurilor ofertate de prim rang de pe CMOL de creștere și de reducere, așa cum ilustrează </w:t>
      </w:r>
      <w:r w:rsidRPr="00944248">
        <w:rPr>
          <w:lang w:val="ro-RO"/>
        </w:rPr>
        <w:fldChar w:fldCharType="begin"/>
      </w:r>
      <w:r w:rsidRPr="00944248">
        <w:rPr>
          <w:lang w:val="ro-RO"/>
        </w:rPr>
        <w:instrText xml:space="preserve"> REF _Ref531336041 \h  \* MERGEFORMAT </w:instrText>
      </w:r>
      <w:r w:rsidRPr="00944248">
        <w:rPr>
          <w:lang w:val="ro-RO"/>
        </w:rPr>
      </w:r>
      <w:r w:rsidRPr="00944248">
        <w:rPr>
          <w:lang w:val="ro-RO"/>
        </w:rPr>
        <w:fldChar w:fldCharType="separate"/>
      </w:r>
      <w:r w:rsidRPr="00944248">
        <w:rPr>
          <w:lang w:val="ro-RO"/>
        </w:rPr>
        <w:t>Figura 11</w:t>
      </w:r>
      <w:r w:rsidRPr="00944248">
        <w:rPr>
          <w:lang w:val="ro-RO"/>
        </w:rPr>
        <w:fldChar w:fldCharType="end"/>
      </w:r>
      <w:r w:rsidRPr="00944248">
        <w:rPr>
          <w:lang w:val="ro-RO"/>
        </w:rPr>
        <w:t>.</w:t>
      </w:r>
    </w:p>
    <w:p w:rsidR="00AA782F" w:rsidRPr="00944248" w:rsidRDefault="00AA782F" w:rsidP="00AA782F">
      <w:pPr>
        <w:pStyle w:val="textregular"/>
        <w:keepNext/>
        <w:spacing w:line="276" w:lineRule="auto"/>
        <w:ind w:left="720"/>
        <w:jc w:val="center"/>
        <w:rPr>
          <w:lang w:val="ro-RO"/>
        </w:rPr>
      </w:pPr>
      <w:r w:rsidRPr="00944248">
        <w:rPr>
          <w:noProof/>
          <w:lang w:val="ro-RO"/>
        </w:rPr>
        <w:drawing>
          <wp:inline distT="0" distB="0" distL="0" distR="0">
            <wp:extent cx="2744364" cy="2854358"/>
            <wp:effectExtent l="0" t="0" r="0" b="317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63545" cy="2874308"/>
                    </a:xfrm>
                    <a:prstGeom prst="rect">
                      <a:avLst/>
                    </a:prstGeom>
                  </pic:spPr>
                </pic:pic>
              </a:graphicData>
            </a:graphic>
          </wp:inline>
        </w:drawing>
      </w:r>
    </w:p>
    <w:p w:rsidR="00AA782F" w:rsidRPr="00944248" w:rsidRDefault="00AA782F" w:rsidP="009930B5">
      <w:pPr>
        <w:pStyle w:val="Caption"/>
        <w:ind w:left="0" w:firstLine="0"/>
        <w:rPr>
          <w:lang w:val="ro-RO"/>
        </w:rPr>
      </w:pPr>
      <w:bookmarkStart w:id="174" w:name="_Ref531336041"/>
      <w:bookmarkStart w:id="175" w:name="_Toc535158343"/>
      <w:r w:rsidRPr="00944248">
        <w:rPr>
          <w:lang w:val="ro-RO"/>
        </w:rPr>
        <w:t xml:space="preserve">Figura </w:t>
      </w:r>
      <w:r w:rsidRPr="00944248">
        <w:rPr>
          <w:lang w:val="ro-RO"/>
        </w:rPr>
        <w:fldChar w:fldCharType="begin"/>
      </w:r>
      <w:r w:rsidRPr="00944248">
        <w:rPr>
          <w:lang w:val="ro-RO"/>
        </w:rPr>
        <w:instrText xml:space="preserve"> SEQ Figure \* ARABIC </w:instrText>
      </w:r>
      <w:r w:rsidRPr="00944248">
        <w:rPr>
          <w:lang w:val="ro-RO"/>
        </w:rPr>
        <w:fldChar w:fldCharType="separate"/>
      </w:r>
      <w:r w:rsidRPr="00944248">
        <w:rPr>
          <w:lang w:val="ro-RO"/>
        </w:rPr>
        <w:t>11</w:t>
      </w:r>
      <w:r w:rsidRPr="00944248">
        <w:rPr>
          <w:lang w:val="ro-RO"/>
        </w:rPr>
        <w:fldChar w:fldCharType="end"/>
      </w:r>
      <w:bookmarkEnd w:id="174"/>
      <w:r w:rsidRPr="00944248">
        <w:rPr>
          <w:lang w:val="ro-RO"/>
        </w:rPr>
        <w:t>:</w:t>
      </w:r>
      <w:r w:rsidRPr="00944248">
        <w:rPr>
          <w:b w:val="0"/>
          <w:bCs w:val="0"/>
          <w:lang w:val="ro-RO"/>
        </w:rPr>
        <w:t xml:space="preserve"> </w:t>
      </w:r>
      <w:r w:rsidRPr="00944248">
        <w:rPr>
          <w:lang w:val="ro-RO"/>
        </w:rPr>
        <w:t>Determinarea prețului de decontare în cazul compensării perfecte a volumelor aRRF compensate</w:t>
      </w:r>
      <w:bookmarkEnd w:id="175"/>
    </w:p>
    <w:p w:rsidR="006318F7" w:rsidRPr="00944248" w:rsidRDefault="005779B7" w:rsidP="005779B7">
      <w:pPr>
        <w:pStyle w:val="Headline14pt"/>
        <w:numPr>
          <w:ilvl w:val="0"/>
          <w:numId w:val="8"/>
        </w:numPr>
        <w:jc w:val="both"/>
        <w:outlineLvl w:val="0"/>
        <w:rPr>
          <w:lang w:val="ro-RO"/>
        </w:rPr>
      </w:pPr>
      <w:bookmarkStart w:id="176" w:name="_Toc531787037"/>
      <w:bookmarkStart w:id="177" w:name="_Toc531787038"/>
      <w:bookmarkStart w:id="178" w:name="_Toc531687684"/>
      <w:bookmarkStart w:id="179" w:name="_Toc535158325"/>
      <w:bookmarkEnd w:id="154"/>
      <w:bookmarkEnd w:id="155"/>
      <w:bookmarkEnd w:id="176"/>
      <w:r w:rsidRPr="00944248">
        <w:rPr>
          <w:bCs/>
          <w:lang w:val="ro-RO"/>
        </w:rPr>
        <w:lastRenderedPageBreak/>
        <w:t>Compensarea dezechilibrelor</w:t>
      </w:r>
      <w:bookmarkEnd w:id="177"/>
      <w:bookmarkEnd w:id="178"/>
      <w:bookmarkEnd w:id="179"/>
    </w:p>
    <w:p w:rsidR="00163BE0" w:rsidRPr="00944248" w:rsidRDefault="00163BE0" w:rsidP="00163BE0">
      <w:pPr>
        <w:pStyle w:val="textregular"/>
        <w:rPr>
          <w:lang w:val="ro-RO"/>
        </w:rPr>
      </w:pPr>
      <w:r w:rsidRPr="00944248">
        <w:rPr>
          <w:lang w:val="ro-RO"/>
        </w:rPr>
        <w:t>Obiectivul decontării IN este de a determina prețurile de decontare IN pentru fiecare membru IN pe fiecare MWh pentru cantitățile de energie IN compensate în cadrul IN, pentru fiecare perioadă de decontare IN (15 minute).</w:t>
      </w:r>
    </w:p>
    <w:p w:rsidR="00163BE0" w:rsidRPr="00944248" w:rsidRDefault="00163BE0" w:rsidP="00163BE0">
      <w:pPr>
        <w:pStyle w:val="textregular"/>
        <w:rPr>
          <w:lang w:val="ro-RO"/>
        </w:rPr>
      </w:pPr>
      <w:r w:rsidRPr="00944248">
        <w:rPr>
          <w:lang w:val="ro-RO"/>
        </w:rPr>
        <w:t>În primul rând, fiecare membru IN își determină valoarea respectivă a activării aRRF de creștere și de reducere evitate care ar trebui să reflecte costurile evitate asociate activării energiei aRRF evitate. Astfel, valoarea activării aRRF evitate (de creștere și de reducere calculate separat) va fi egală cu volumul compensat de creștere/de reducere multiplicat cu prețul aRRF aplicabil (real) de creștere/de reducere. Valoarea activării aRRF evitate se calculează ex-post de către fiecare membru IN, separat pentru import (de creștere) și export (de reducere).</w:t>
      </w:r>
    </w:p>
    <w:p w:rsidR="00A91D50" w:rsidRPr="00944248" w:rsidRDefault="00A91D50" w:rsidP="00163BE0">
      <w:pPr>
        <w:pStyle w:val="textregular"/>
        <w:rPr>
          <w:lang w:val="ro-RO"/>
        </w:rPr>
      </w:pPr>
      <w:r w:rsidRPr="00944248">
        <w:rPr>
          <w:lang w:val="ro-RO"/>
        </w:rPr>
        <w:t>În cea de-a doua etapă se calculează prețul mediu de compensare ponderat cu volumul de energie. Prețul mediu rezultat servește drept dată de intrare pentru cea de-a treia etapă.</w:t>
      </w:r>
    </w:p>
    <w:p w:rsidR="00A91D50" w:rsidRPr="00944248" w:rsidRDefault="00A91D50" w:rsidP="00163BE0">
      <w:pPr>
        <w:pStyle w:val="textregular"/>
        <w:rPr>
          <w:lang w:val="ro-RO"/>
        </w:rPr>
      </w:pPr>
      <w:r w:rsidRPr="00944248">
        <w:rPr>
          <w:lang w:val="ro-RO"/>
        </w:rPr>
        <w:t xml:space="preserve">In cea de-a treia etapă, prețul de la etapa numărul doi este comparat cu prețul activărilor evitate. Sumele de decontare sunt ajustate astfel încât niciun OTS să nu plătească către alte OTS-uri un preț mai mare decât prețul activării evitate. </w:t>
      </w:r>
    </w:p>
    <w:p w:rsidR="00163BE0" w:rsidRPr="00944248" w:rsidRDefault="00163BE0" w:rsidP="00051DB2">
      <w:pPr>
        <w:pStyle w:val="headline2"/>
        <w:numPr>
          <w:ilvl w:val="1"/>
          <w:numId w:val="8"/>
        </w:numPr>
        <w:spacing w:after="200" w:line="240" w:lineRule="auto"/>
        <w:jc w:val="both"/>
        <w:outlineLvl w:val="1"/>
        <w:rPr>
          <w:lang w:val="ro-RO"/>
        </w:rPr>
      </w:pPr>
      <w:bookmarkStart w:id="180" w:name="_Toc531787039"/>
      <w:bookmarkStart w:id="181" w:name="_Toc535158326"/>
      <w:r w:rsidRPr="00944248">
        <w:rPr>
          <w:lang w:val="ro-RO"/>
        </w:rPr>
        <w:t>Exemple de determinare a valorii activării aRRF evitate</w:t>
      </w:r>
      <w:bookmarkEnd w:id="180"/>
      <w:bookmarkEnd w:id="181"/>
    </w:p>
    <w:p w:rsidR="00163BE0" w:rsidRPr="00944248" w:rsidRDefault="00163BE0" w:rsidP="00A91D50">
      <w:pPr>
        <w:pStyle w:val="Headline14pt"/>
        <w:pageBreakBefore w:val="0"/>
        <w:numPr>
          <w:ilvl w:val="2"/>
          <w:numId w:val="8"/>
        </w:numPr>
        <w:jc w:val="both"/>
        <w:outlineLvl w:val="2"/>
        <w:rPr>
          <w:sz w:val="28"/>
          <w:lang w:val="ro-RO"/>
        </w:rPr>
      </w:pPr>
      <w:bookmarkStart w:id="182" w:name="_Toc531787040"/>
      <w:bookmarkStart w:id="183" w:name="_Toc535158327"/>
      <w:r w:rsidRPr="00944248">
        <w:rPr>
          <w:bCs/>
          <w:sz w:val="28"/>
          <w:lang w:val="ro-RO"/>
        </w:rPr>
        <w:t xml:space="preserve">Valoarea aRRF evitată pentru un membru IN care folosește metoda </w:t>
      </w:r>
      <w:r w:rsidRPr="00944248">
        <w:rPr>
          <w:bCs/>
          <w:i/>
          <w:iCs/>
          <w:sz w:val="28"/>
          <w:lang w:val="ro-RO"/>
        </w:rPr>
        <w:t>„pay-as-bid”</w:t>
      </w:r>
      <w:bookmarkEnd w:id="182"/>
      <w:bookmarkEnd w:id="183"/>
    </w:p>
    <w:p w:rsidR="0056736B" w:rsidRPr="00944248" w:rsidRDefault="0056736B" w:rsidP="00163BE0">
      <w:pPr>
        <w:jc w:val="both"/>
        <w:rPr>
          <w:rFonts w:ascii="Times New Roman" w:hAnsi="Times New Roman"/>
          <w:szCs w:val="19"/>
          <w:lang w:val="ro-RO"/>
        </w:rPr>
      </w:pPr>
      <w:r w:rsidRPr="00944248">
        <w:rPr>
          <w:rFonts w:ascii="Times New Roman" w:hAnsi="Times New Roman"/>
          <w:szCs w:val="19"/>
          <w:lang w:val="ro-RO"/>
        </w:rPr>
        <w:t>Valoarea activărilor aRRF de creștere/de reducere evitate reflectă costurile (pentru activările de creștere) sau veniturile (pentru activările de reducere) ale aRRF, asociate aRRF activate suplimentar de către fiecare OTS participant fără INP. Valoarea prețurilor aRRF evitate ar trebui să se determine separat pentru energia în reglaj secundar pozitiv și negativ pentru fiecare sfert de oră.</w:t>
      </w:r>
    </w:p>
    <w:p w:rsidR="00163BE0" w:rsidRPr="00944248" w:rsidRDefault="00163BE0" w:rsidP="00163BE0">
      <w:pPr>
        <w:jc w:val="both"/>
        <w:rPr>
          <w:rFonts w:ascii="Times New Roman" w:hAnsi="Times New Roman"/>
          <w:szCs w:val="19"/>
          <w:lang w:val="ro-RO"/>
        </w:rPr>
      </w:pPr>
      <w:r w:rsidRPr="00944248">
        <w:rPr>
          <w:rFonts w:ascii="Times New Roman" w:hAnsi="Times New Roman"/>
          <w:szCs w:val="19"/>
          <w:lang w:val="ro-RO"/>
        </w:rPr>
        <w:t xml:space="preserve">Pentru calculul prețului de decontare se utilizează prețul mediu al energiei în reglaj secundar schimbată pe fiecare direcție de echilibrare pe parcursul unui interval de 15 minute. Prețurile pentru volumele aRRF activate sunt considerate drept o alternativă viabilă pentru valoarea activării aRRF evitate. Valoarea activărilor aRRF evitate se calculează ex-post de către fiecare OTS participant în mod separat pentru import și export. </w:t>
      </w:r>
    </w:p>
    <w:p w:rsidR="00163BE0" w:rsidRPr="00944248" w:rsidRDefault="00163BE0" w:rsidP="00163BE0">
      <w:pPr>
        <w:jc w:val="both"/>
        <w:rPr>
          <w:rFonts w:ascii="Times New Roman" w:hAnsi="Times New Roman"/>
          <w:szCs w:val="19"/>
          <w:lang w:val="ro-RO"/>
        </w:rPr>
      </w:pPr>
      <w:r w:rsidRPr="00944248">
        <w:rPr>
          <w:rFonts w:ascii="Times New Roman" w:hAnsi="Times New Roman"/>
          <w:szCs w:val="19"/>
          <w:lang w:val="ro-RO"/>
        </w:rPr>
        <w:t>În cazul în care un membru IN necesită o echilibrare prin reglaj secundar pozitiv, valoarea prețului aRRF evitate corespunde cu raportul dintre costurile energiei în reglaj secundar pozitiv pentru 15 minute și volumul energiei în reglaj secundar pozitiv pentru 15 minute.</w:t>
      </w:r>
    </w:p>
    <w:p w:rsidR="00163BE0" w:rsidRPr="00944248" w:rsidRDefault="00163BE0" w:rsidP="00163BE0">
      <w:pPr>
        <w:jc w:val="both"/>
        <w:rPr>
          <w:rFonts w:ascii="Times New Roman" w:hAnsi="Times New Roman"/>
          <w:szCs w:val="19"/>
          <w:lang w:val="ro-RO"/>
        </w:rPr>
      </w:pPr>
      <w:r w:rsidRPr="00944248">
        <w:rPr>
          <w:rFonts w:ascii="Times New Roman" w:hAnsi="Times New Roman"/>
          <w:szCs w:val="19"/>
          <w:lang w:val="ro-RO"/>
        </w:rPr>
        <w:t>În cazul în care un membru IN necesită energie în reglaj secundar negativ, valoarea prețului aRRF evitate corespunde cu raportul dintre costurile sau veniturile generate de energia în reglaj secundar negativ pentru 15 minute și volumul energiei în reglaj secundar negativ pentru 15 minute.</w:t>
      </w:r>
    </w:p>
    <w:p w:rsidR="00163BE0" w:rsidRPr="00944248" w:rsidRDefault="00163BE0" w:rsidP="00163BE0">
      <w:pPr>
        <w:jc w:val="both"/>
        <w:rPr>
          <w:rFonts w:ascii="Times New Roman" w:hAnsi="Times New Roman"/>
          <w:szCs w:val="19"/>
          <w:lang w:val="ro-RO"/>
        </w:rPr>
      </w:pPr>
      <w:r w:rsidRPr="00944248">
        <w:rPr>
          <w:rFonts w:ascii="Times New Roman" w:hAnsi="Times New Roman"/>
          <w:szCs w:val="19"/>
          <w:lang w:val="ro-RO"/>
        </w:rPr>
        <w:t>Dacă nu a existat nicio cerere pe o anumită direcție, cel mai mic preț al energiei din ordinea de merit pentru acea direcție va fi folosit drept preț de oportunitate.</w:t>
      </w:r>
    </w:p>
    <w:p w:rsidR="00163BE0" w:rsidRPr="00944248" w:rsidRDefault="004E65E3" w:rsidP="004E65E3">
      <w:pPr>
        <w:jc w:val="both"/>
        <w:rPr>
          <w:rFonts w:ascii="Times New Roman" w:hAnsi="Times New Roman"/>
          <w:szCs w:val="19"/>
          <w:lang w:val="ro-RO"/>
        </w:rPr>
      </w:pPr>
      <w:r w:rsidRPr="00944248">
        <w:rPr>
          <w:noProof/>
          <w:lang w:val="ro-RO"/>
        </w:rPr>
        <w:lastRenderedPageBreak/>
        <w:drawing>
          <wp:inline distT="0" distB="0" distL="0" distR="0">
            <wp:extent cx="5724191" cy="3066415"/>
            <wp:effectExtent l="0" t="0" r="0" b="63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7">
                      <a:extLst>
                        <a:ext uri="{28A0092B-C50C-407E-A947-70E740481C1C}">
                          <a14:useLocalDpi xmlns:a14="http://schemas.microsoft.com/office/drawing/2010/main" val="0"/>
                        </a:ext>
                      </a:extLst>
                    </a:blip>
                    <a:srcRect l="5175" b="6089"/>
                    <a:stretch/>
                  </pic:blipFill>
                  <pic:spPr bwMode="auto">
                    <a:xfrm>
                      <a:off x="0" y="0"/>
                      <a:ext cx="5725154" cy="3066931"/>
                    </a:xfrm>
                    <a:prstGeom prst="rect">
                      <a:avLst/>
                    </a:prstGeom>
                    <a:noFill/>
                    <a:ln>
                      <a:noFill/>
                    </a:ln>
                    <a:extLst>
                      <a:ext uri="{53640926-AAD7-44D8-BBD7-CCE9431645EC}">
                        <a14:shadowObscured xmlns:a14="http://schemas.microsoft.com/office/drawing/2010/main"/>
                      </a:ext>
                    </a:extLst>
                  </pic:spPr>
                </pic:pic>
              </a:graphicData>
            </a:graphic>
          </wp:inline>
        </w:drawing>
      </w:r>
    </w:p>
    <w:p w:rsidR="00CA2308" w:rsidRPr="00944248" w:rsidRDefault="00CA2308" w:rsidP="00CA2308">
      <w:pPr>
        <w:pStyle w:val="Caption"/>
        <w:rPr>
          <w:lang w:val="ro-RO"/>
        </w:rPr>
      </w:pPr>
      <w:bookmarkStart w:id="184" w:name="_Toc535158344"/>
      <w:r w:rsidRPr="00944248">
        <w:rPr>
          <w:lang w:val="ro-RO"/>
        </w:rPr>
        <w:t xml:space="preserve">Figura </w:t>
      </w:r>
      <w:r w:rsidRPr="00944248">
        <w:rPr>
          <w:lang w:val="ro-RO"/>
        </w:rPr>
        <w:fldChar w:fldCharType="begin"/>
      </w:r>
      <w:r w:rsidRPr="00944248">
        <w:rPr>
          <w:lang w:val="ro-RO"/>
        </w:rPr>
        <w:instrText xml:space="preserve"> SEQ Figure \* ARABIC </w:instrText>
      </w:r>
      <w:r w:rsidRPr="00944248">
        <w:rPr>
          <w:lang w:val="ro-RO"/>
        </w:rPr>
        <w:fldChar w:fldCharType="separate"/>
      </w:r>
      <w:r w:rsidRPr="00944248">
        <w:rPr>
          <w:lang w:val="ro-RO"/>
        </w:rPr>
        <w:t>12</w:t>
      </w:r>
      <w:r w:rsidRPr="00944248">
        <w:rPr>
          <w:lang w:val="ro-RO"/>
        </w:rPr>
        <w:fldChar w:fldCharType="end"/>
      </w:r>
      <w:r w:rsidRPr="00944248">
        <w:rPr>
          <w:lang w:val="ro-RO"/>
        </w:rPr>
        <w:t>:</w:t>
      </w:r>
      <w:r w:rsidRPr="00944248">
        <w:rPr>
          <w:b w:val="0"/>
          <w:bCs w:val="0"/>
          <w:lang w:val="ro-RO"/>
        </w:rPr>
        <w:t xml:space="preserve"> </w:t>
      </w:r>
      <w:r w:rsidRPr="00944248">
        <w:rPr>
          <w:lang w:val="ro-RO"/>
        </w:rPr>
        <w:t xml:space="preserve">Exemplu de metodă de stabilire a prețului de tip </w:t>
      </w:r>
      <w:r w:rsidRPr="00944248">
        <w:rPr>
          <w:i/>
          <w:iCs/>
          <w:lang w:val="ro-RO"/>
        </w:rPr>
        <w:t>„pay-as-bid”</w:t>
      </w:r>
      <w:r w:rsidRPr="00944248">
        <w:rPr>
          <w:lang w:val="ro-RO"/>
        </w:rPr>
        <w:t>: valoarea de creștere a activării aRRF evitate</w:t>
      </w:r>
      <w:bookmarkEnd w:id="184"/>
    </w:p>
    <w:p w:rsidR="00163BE0" w:rsidRPr="00944248" w:rsidRDefault="004E65E3" w:rsidP="00163BE0">
      <w:pPr>
        <w:jc w:val="center"/>
        <w:rPr>
          <w:rFonts w:ascii="Times New Roman" w:hAnsi="Times New Roman"/>
          <w:sz w:val="20"/>
          <w:lang w:val="ro-RO"/>
        </w:rPr>
      </w:pPr>
      <w:r w:rsidRPr="00944248">
        <w:rPr>
          <w:noProof/>
          <w:lang w:val="ro-RO"/>
        </w:rPr>
        <w:drawing>
          <wp:inline distT="0" distB="0" distL="0" distR="0">
            <wp:extent cx="6026150" cy="3134995"/>
            <wp:effectExtent l="0" t="0" r="0" b="8255"/>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26150" cy="3134995"/>
                    </a:xfrm>
                    <a:prstGeom prst="rect">
                      <a:avLst/>
                    </a:prstGeom>
                    <a:noFill/>
                    <a:ln>
                      <a:noFill/>
                    </a:ln>
                  </pic:spPr>
                </pic:pic>
              </a:graphicData>
            </a:graphic>
          </wp:inline>
        </w:drawing>
      </w:r>
    </w:p>
    <w:p w:rsidR="00DD5861" w:rsidRPr="00944248" w:rsidRDefault="00DD5861" w:rsidP="00DD5861">
      <w:pPr>
        <w:pStyle w:val="Caption"/>
        <w:rPr>
          <w:lang w:val="ro-RO"/>
        </w:rPr>
      </w:pPr>
      <w:bookmarkStart w:id="185" w:name="_Toc535158345"/>
      <w:r w:rsidRPr="00944248">
        <w:rPr>
          <w:lang w:val="ro-RO"/>
        </w:rPr>
        <w:t xml:space="preserve">Figura </w:t>
      </w:r>
      <w:r w:rsidRPr="00944248">
        <w:rPr>
          <w:lang w:val="ro-RO"/>
        </w:rPr>
        <w:fldChar w:fldCharType="begin"/>
      </w:r>
      <w:r w:rsidRPr="00944248">
        <w:rPr>
          <w:lang w:val="ro-RO"/>
        </w:rPr>
        <w:instrText xml:space="preserve"> SEQ Figure \* ARABIC </w:instrText>
      </w:r>
      <w:r w:rsidRPr="00944248">
        <w:rPr>
          <w:lang w:val="ro-RO"/>
        </w:rPr>
        <w:fldChar w:fldCharType="separate"/>
      </w:r>
      <w:r w:rsidRPr="00944248">
        <w:rPr>
          <w:lang w:val="ro-RO"/>
        </w:rPr>
        <w:t>13</w:t>
      </w:r>
      <w:r w:rsidRPr="00944248">
        <w:rPr>
          <w:lang w:val="ro-RO"/>
        </w:rPr>
        <w:fldChar w:fldCharType="end"/>
      </w:r>
      <w:r w:rsidRPr="00944248">
        <w:rPr>
          <w:lang w:val="ro-RO"/>
        </w:rPr>
        <w:t>:</w:t>
      </w:r>
      <w:r w:rsidRPr="00944248">
        <w:rPr>
          <w:b w:val="0"/>
          <w:bCs w:val="0"/>
          <w:lang w:val="ro-RO"/>
        </w:rPr>
        <w:t xml:space="preserve"> </w:t>
      </w:r>
      <w:r w:rsidRPr="00944248">
        <w:rPr>
          <w:lang w:val="ro-RO"/>
        </w:rPr>
        <w:t>Exemplu de metodă de stabilire a prețului de tip „pay-as-bid”: valoarea de reducere a activării aRRF evitate</w:t>
      </w:r>
      <w:bookmarkEnd w:id="185"/>
    </w:p>
    <w:p w:rsidR="00163BE0" w:rsidRPr="00944248" w:rsidRDefault="00163BE0" w:rsidP="00163BE0">
      <w:pPr>
        <w:jc w:val="both"/>
        <w:rPr>
          <w:rFonts w:ascii="Times New Roman" w:hAnsi="Times New Roman"/>
          <w:sz w:val="20"/>
          <w:lang w:val="ro-RO"/>
        </w:rPr>
      </w:pPr>
    </w:p>
    <w:p w:rsidR="00163BE0" w:rsidRPr="00944248" w:rsidRDefault="00163BE0" w:rsidP="00163BE0">
      <w:pPr>
        <w:jc w:val="both"/>
        <w:rPr>
          <w:rFonts w:ascii="Times New Roman" w:hAnsi="Times New Roman"/>
          <w:sz w:val="20"/>
          <w:lang w:val="ro-RO"/>
        </w:rPr>
      </w:pPr>
    </w:p>
    <w:p w:rsidR="009D1C00" w:rsidRPr="00944248" w:rsidRDefault="009D1C00" w:rsidP="00163BE0">
      <w:pPr>
        <w:jc w:val="both"/>
        <w:rPr>
          <w:rFonts w:ascii="Times New Roman" w:hAnsi="Times New Roman"/>
          <w:sz w:val="20"/>
          <w:lang w:val="ro-RO"/>
        </w:rPr>
      </w:pPr>
    </w:p>
    <w:p w:rsidR="009D1C00" w:rsidRPr="00944248" w:rsidRDefault="009D1C00" w:rsidP="00163BE0">
      <w:pPr>
        <w:jc w:val="both"/>
        <w:rPr>
          <w:rFonts w:ascii="Times New Roman" w:hAnsi="Times New Roman"/>
          <w:sz w:val="20"/>
          <w:lang w:val="ro-RO"/>
        </w:rPr>
      </w:pPr>
    </w:p>
    <w:p w:rsidR="009D1C00" w:rsidRPr="00944248" w:rsidRDefault="009D1C00" w:rsidP="00163BE0">
      <w:pPr>
        <w:jc w:val="both"/>
        <w:rPr>
          <w:rFonts w:ascii="Times New Roman" w:hAnsi="Times New Roman"/>
          <w:sz w:val="20"/>
          <w:lang w:val="ro-RO"/>
        </w:rPr>
      </w:pPr>
    </w:p>
    <w:p w:rsidR="009D1C00" w:rsidRPr="00944248" w:rsidRDefault="009D1C00" w:rsidP="00163BE0">
      <w:pPr>
        <w:jc w:val="both"/>
        <w:rPr>
          <w:rFonts w:ascii="Times New Roman" w:hAnsi="Times New Roman"/>
          <w:sz w:val="20"/>
          <w:lang w:val="ro-RO"/>
        </w:rPr>
      </w:pPr>
    </w:p>
    <w:p w:rsidR="009D1C00" w:rsidRPr="00944248" w:rsidRDefault="009D1C00" w:rsidP="00163BE0">
      <w:pPr>
        <w:jc w:val="both"/>
        <w:rPr>
          <w:rFonts w:ascii="Times New Roman" w:hAnsi="Times New Roman"/>
          <w:sz w:val="20"/>
          <w:lang w:val="ro-RO"/>
        </w:rPr>
      </w:pPr>
    </w:p>
    <w:p w:rsidR="009D1C00" w:rsidRPr="00944248" w:rsidRDefault="009D1C00" w:rsidP="00163BE0">
      <w:pPr>
        <w:jc w:val="both"/>
        <w:rPr>
          <w:rFonts w:ascii="Times New Roman" w:hAnsi="Times New Roman"/>
          <w:sz w:val="20"/>
          <w:lang w:val="ro-RO"/>
        </w:rPr>
      </w:pPr>
    </w:p>
    <w:p w:rsidR="009D1C00" w:rsidRPr="00944248" w:rsidRDefault="009D1C00" w:rsidP="00163BE0">
      <w:pPr>
        <w:jc w:val="both"/>
        <w:rPr>
          <w:rFonts w:ascii="Times New Roman" w:hAnsi="Times New Roman"/>
          <w:sz w:val="20"/>
          <w:lang w:val="ro-RO"/>
        </w:rPr>
      </w:pPr>
    </w:p>
    <w:p w:rsidR="00163BE0" w:rsidRPr="00944248" w:rsidRDefault="00163BE0" w:rsidP="00816B7B">
      <w:pPr>
        <w:pStyle w:val="Headline14pt"/>
        <w:pageBreakBefore w:val="0"/>
        <w:numPr>
          <w:ilvl w:val="2"/>
          <w:numId w:val="8"/>
        </w:numPr>
        <w:jc w:val="both"/>
        <w:outlineLvl w:val="2"/>
        <w:rPr>
          <w:sz w:val="24"/>
          <w:lang w:val="ro-RO"/>
        </w:rPr>
      </w:pPr>
      <w:bookmarkStart w:id="186" w:name="_Toc531787041"/>
      <w:bookmarkStart w:id="187" w:name="_Toc535158328"/>
      <w:r w:rsidRPr="00944248">
        <w:rPr>
          <w:bCs/>
          <w:sz w:val="24"/>
          <w:lang w:val="ro-RO"/>
        </w:rPr>
        <w:lastRenderedPageBreak/>
        <w:t>Valoarea aRRF evitată pentru un membru IN care folosește schema de stabilire a prețului marginal aRRF</w:t>
      </w:r>
      <w:bookmarkEnd w:id="186"/>
      <w:bookmarkEnd w:id="187"/>
    </w:p>
    <w:p w:rsidR="00163BE0" w:rsidRPr="00944248" w:rsidRDefault="00163BE0" w:rsidP="00163BE0">
      <w:pPr>
        <w:jc w:val="both"/>
        <w:rPr>
          <w:rFonts w:ascii="Times New Roman" w:hAnsi="Times New Roman"/>
          <w:szCs w:val="19"/>
          <w:lang w:val="ro-RO"/>
        </w:rPr>
      </w:pPr>
      <w:r w:rsidRPr="00944248">
        <w:rPr>
          <w:rFonts w:ascii="Times New Roman" w:hAnsi="Times New Roman"/>
          <w:szCs w:val="19"/>
          <w:lang w:val="ro-RO"/>
        </w:rPr>
        <w:t>În general, în cazul în care ambele direcții ale energiei aRRF de creștere și de reducere sunt activate în cadrul aceeași perioade de 15 minute, se vor stabili prețurile aRRF de creștere și de reducere care vor fi publicate și facturate pentru ambele direcții. Aceste 2 prețuri marginale de creștere/de reducere determină valoarea aRRF evitate pentru un membru IN care utilizează schema de stabilire a prețului marginal aRRF.</w:t>
      </w:r>
    </w:p>
    <w:p w:rsidR="00163BE0" w:rsidRPr="00944248" w:rsidRDefault="004E65E3" w:rsidP="004E65E3">
      <w:pPr>
        <w:jc w:val="center"/>
        <w:rPr>
          <w:rFonts w:ascii="Times New Roman" w:hAnsi="Times New Roman"/>
          <w:sz w:val="20"/>
          <w:lang w:val="ro-RO"/>
        </w:rPr>
      </w:pPr>
      <w:r w:rsidRPr="00944248">
        <w:rPr>
          <w:noProof/>
          <w:lang w:val="ro-RO"/>
        </w:rPr>
        <w:drawing>
          <wp:inline distT="0" distB="0" distL="0" distR="0">
            <wp:extent cx="5901084" cy="3032760"/>
            <wp:effectExtent l="0" t="0" r="4445" b="0"/>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9">
                      <a:extLst>
                        <a:ext uri="{28A0092B-C50C-407E-A947-70E740481C1C}">
                          <a14:useLocalDpi xmlns:a14="http://schemas.microsoft.com/office/drawing/2010/main" val="0"/>
                        </a:ext>
                      </a:extLst>
                    </a:blip>
                    <a:srcRect l="2258" b="8098"/>
                    <a:stretch/>
                  </pic:blipFill>
                  <pic:spPr bwMode="auto">
                    <a:xfrm>
                      <a:off x="0" y="0"/>
                      <a:ext cx="5901267" cy="3032854"/>
                    </a:xfrm>
                    <a:prstGeom prst="rect">
                      <a:avLst/>
                    </a:prstGeom>
                    <a:noFill/>
                    <a:ln>
                      <a:noFill/>
                    </a:ln>
                    <a:extLst>
                      <a:ext uri="{53640926-AAD7-44D8-BBD7-CCE9431645EC}">
                        <a14:shadowObscured xmlns:a14="http://schemas.microsoft.com/office/drawing/2010/main"/>
                      </a:ext>
                    </a:extLst>
                  </pic:spPr>
                </pic:pic>
              </a:graphicData>
            </a:graphic>
          </wp:inline>
        </w:drawing>
      </w:r>
    </w:p>
    <w:p w:rsidR="00DD5861" w:rsidRPr="00944248" w:rsidRDefault="00DD5861" w:rsidP="00DD5861">
      <w:pPr>
        <w:pStyle w:val="Caption"/>
        <w:rPr>
          <w:lang w:val="ro-RO"/>
        </w:rPr>
      </w:pPr>
      <w:bookmarkStart w:id="188" w:name="_Toc535158346"/>
      <w:r w:rsidRPr="00944248">
        <w:rPr>
          <w:lang w:val="ro-RO"/>
        </w:rPr>
        <w:t xml:space="preserve">Figura </w:t>
      </w:r>
      <w:r w:rsidRPr="00944248">
        <w:rPr>
          <w:lang w:val="ro-RO"/>
        </w:rPr>
        <w:fldChar w:fldCharType="begin"/>
      </w:r>
      <w:r w:rsidRPr="00944248">
        <w:rPr>
          <w:lang w:val="ro-RO"/>
        </w:rPr>
        <w:instrText xml:space="preserve"> SEQ Figure \* ARABIC </w:instrText>
      </w:r>
      <w:r w:rsidRPr="00944248">
        <w:rPr>
          <w:lang w:val="ro-RO"/>
        </w:rPr>
        <w:fldChar w:fldCharType="separate"/>
      </w:r>
      <w:r w:rsidRPr="00944248">
        <w:rPr>
          <w:lang w:val="ro-RO"/>
        </w:rPr>
        <w:t>14</w:t>
      </w:r>
      <w:r w:rsidRPr="00944248">
        <w:rPr>
          <w:lang w:val="ro-RO"/>
        </w:rPr>
        <w:fldChar w:fldCharType="end"/>
      </w:r>
      <w:r w:rsidRPr="00944248">
        <w:rPr>
          <w:lang w:val="ro-RO"/>
        </w:rPr>
        <w:t>:</w:t>
      </w:r>
      <w:r w:rsidRPr="00944248">
        <w:rPr>
          <w:b w:val="0"/>
          <w:bCs w:val="0"/>
          <w:lang w:val="ro-RO"/>
        </w:rPr>
        <w:t xml:space="preserve"> </w:t>
      </w:r>
      <w:r w:rsidRPr="00944248">
        <w:rPr>
          <w:lang w:val="ro-RO"/>
        </w:rPr>
        <w:t>Exemplu de metodă de stabilire a prețului marginal: valoarea de creștere a activării aRRF evitate</w:t>
      </w:r>
      <w:bookmarkEnd w:id="188"/>
    </w:p>
    <w:p w:rsidR="00163BE0" w:rsidRPr="00944248" w:rsidRDefault="00163BE0" w:rsidP="00163BE0">
      <w:pPr>
        <w:jc w:val="both"/>
        <w:rPr>
          <w:rFonts w:ascii="Times New Roman" w:hAnsi="Times New Roman"/>
          <w:sz w:val="20"/>
          <w:lang w:val="ro-RO"/>
        </w:rPr>
      </w:pPr>
    </w:p>
    <w:p w:rsidR="00163BE0" w:rsidRPr="00944248" w:rsidRDefault="00816B7B" w:rsidP="00163BE0">
      <w:pPr>
        <w:jc w:val="both"/>
        <w:rPr>
          <w:rFonts w:ascii="Times New Roman" w:hAnsi="Times New Roman"/>
          <w:sz w:val="20"/>
          <w:lang w:val="ro-RO"/>
        </w:rPr>
      </w:pPr>
      <w:r w:rsidRPr="00944248">
        <w:rPr>
          <w:noProof/>
          <w:lang w:val="ro-RO"/>
        </w:rPr>
        <w:drawing>
          <wp:inline distT="0" distB="0" distL="0" distR="0">
            <wp:extent cx="6037580" cy="3146425"/>
            <wp:effectExtent l="0" t="0" r="1270" b="0"/>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37580" cy="3146425"/>
                    </a:xfrm>
                    <a:prstGeom prst="rect">
                      <a:avLst/>
                    </a:prstGeom>
                    <a:noFill/>
                    <a:ln>
                      <a:noFill/>
                    </a:ln>
                  </pic:spPr>
                </pic:pic>
              </a:graphicData>
            </a:graphic>
          </wp:inline>
        </w:drawing>
      </w:r>
    </w:p>
    <w:p w:rsidR="00163BE0" w:rsidRPr="00944248" w:rsidRDefault="00DD5861" w:rsidP="009930B5">
      <w:pPr>
        <w:pStyle w:val="Caption"/>
        <w:rPr>
          <w:lang w:val="ro-RO"/>
        </w:rPr>
      </w:pPr>
      <w:bookmarkStart w:id="189" w:name="_Toc535158347"/>
      <w:r w:rsidRPr="00944248">
        <w:rPr>
          <w:lang w:val="ro-RO"/>
        </w:rPr>
        <w:t xml:space="preserve">Figura </w:t>
      </w:r>
      <w:r w:rsidRPr="00944248">
        <w:rPr>
          <w:lang w:val="ro-RO"/>
        </w:rPr>
        <w:fldChar w:fldCharType="begin"/>
      </w:r>
      <w:r w:rsidRPr="00944248">
        <w:rPr>
          <w:lang w:val="ro-RO"/>
        </w:rPr>
        <w:instrText xml:space="preserve"> SEQ Figure \* ARABIC </w:instrText>
      </w:r>
      <w:r w:rsidRPr="00944248">
        <w:rPr>
          <w:lang w:val="ro-RO"/>
        </w:rPr>
        <w:fldChar w:fldCharType="separate"/>
      </w:r>
      <w:r w:rsidRPr="00944248">
        <w:rPr>
          <w:lang w:val="ro-RO"/>
        </w:rPr>
        <w:t>15</w:t>
      </w:r>
      <w:r w:rsidRPr="00944248">
        <w:rPr>
          <w:lang w:val="ro-RO"/>
        </w:rPr>
        <w:fldChar w:fldCharType="end"/>
      </w:r>
      <w:r w:rsidRPr="00944248">
        <w:rPr>
          <w:lang w:val="ro-RO"/>
        </w:rPr>
        <w:t>:</w:t>
      </w:r>
      <w:r w:rsidRPr="00944248">
        <w:rPr>
          <w:b w:val="0"/>
          <w:bCs w:val="0"/>
          <w:lang w:val="ro-RO"/>
        </w:rPr>
        <w:t xml:space="preserve"> </w:t>
      </w:r>
      <w:r w:rsidRPr="00944248">
        <w:rPr>
          <w:lang w:val="ro-RO"/>
        </w:rPr>
        <w:t>Exemplu de metodă de stabilire a prețului marginal: valoarea de reducere a activării aRRF evitate</w:t>
      </w:r>
      <w:bookmarkEnd w:id="189"/>
      <w:r w:rsidR="00163BE0" w:rsidRPr="00944248">
        <w:rPr>
          <w:b w:val="0"/>
          <w:bCs w:val="0"/>
          <w:lang w:val="ro-RO"/>
        </w:rPr>
        <w:br w:type="page"/>
      </w:r>
    </w:p>
    <w:p w:rsidR="00163BE0" w:rsidRPr="00944248" w:rsidRDefault="00163BE0" w:rsidP="00816B7B">
      <w:pPr>
        <w:pStyle w:val="Headline14pt"/>
        <w:pageBreakBefore w:val="0"/>
        <w:numPr>
          <w:ilvl w:val="2"/>
          <w:numId w:val="8"/>
        </w:numPr>
        <w:jc w:val="both"/>
        <w:outlineLvl w:val="2"/>
        <w:rPr>
          <w:sz w:val="24"/>
          <w:lang w:val="ro-RO"/>
        </w:rPr>
      </w:pPr>
      <w:bookmarkStart w:id="190" w:name="_Hlk531785969"/>
      <w:bookmarkStart w:id="191" w:name="_Toc531787042"/>
      <w:bookmarkStart w:id="192" w:name="_Toc535158329"/>
      <w:r w:rsidRPr="00944248">
        <w:rPr>
          <w:bCs/>
          <w:sz w:val="24"/>
          <w:lang w:val="ro-RO"/>
        </w:rPr>
        <w:lastRenderedPageBreak/>
        <w:t xml:space="preserve">Valoarea </w:t>
      </w:r>
      <w:bookmarkEnd w:id="190"/>
      <w:r w:rsidRPr="00944248">
        <w:rPr>
          <w:bCs/>
          <w:sz w:val="24"/>
          <w:lang w:val="ro-RO"/>
        </w:rPr>
        <w:t>prețului aRRF evitate pentru un OTS care participă la cooperările aRRF</w:t>
      </w:r>
      <w:bookmarkEnd w:id="191"/>
      <w:bookmarkEnd w:id="192"/>
      <w:r w:rsidRPr="00944248">
        <w:rPr>
          <w:b w:val="0"/>
          <w:sz w:val="24"/>
          <w:lang w:val="ro-RO"/>
        </w:rPr>
        <w:t xml:space="preserve"> </w:t>
      </w:r>
    </w:p>
    <w:p w:rsidR="00163BE0" w:rsidRPr="00944248" w:rsidRDefault="00163BE0" w:rsidP="00163BE0">
      <w:pPr>
        <w:jc w:val="both"/>
        <w:rPr>
          <w:rFonts w:ascii="Times New Roman" w:hAnsi="Times New Roman"/>
          <w:szCs w:val="19"/>
          <w:lang w:val="ro-RO"/>
        </w:rPr>
      </w:pPr>
    </w:p>
    <w:p w:rsidR="005977AC" w:rsidRPr="00944248" w:rsidRDefault="005977AC" w:rsidP="00EE7504">
      <w:pPr>
        <w:jc w:val="both"/>
        <w:rPr>
          <w:rFonts w:ascii="Times New Roman" w:hAnsi="Times New Roman"/>
          <w:szCs w:val="19"/>
          <w:lang w:val="ro-RO"/>
        </w:rPr>
      </w:pPr>
      <w:r w:rsidRPr="00944248">
        <w:rPr>
          <w:rFonts w:ascii="Times New Roman" w:hAnsi="Times New Roman"/>
          <w:szCs w:val="19"/>
          <w:lang w:val="ro-RO"/>
        </w:rPr>
        <w:t>Cât timp vor exista OTS-uri participante la INP dar care nu participă și la Platforma aRRF, ambele procese (aRRF și INP) vor coexista. Exemple ale acestei situații sunt: a) OTS-urile care amână alăturarea la Platforma aRRF până la data intrării în vigoare + 6 ani (în loc de data intrării în vigoare + 4 ani de la momentul lansării Platformei aRRF); b) OTS-urile care se alătură Platformei INP dar nu și Platformei aRRF (de exemplu pentru că alăturarea nu este obligatorie sau unor astfel de OTS-uri nu le este permis sa se alăture).</w:t>
      </w:r>
    </w:p>
    <w:p w:rsidR="002154A9" w:rsidRPr="00944248" w:rsidRDefault="002154A9" w:rsidP="00EE7504">
      <w:pPr>
        <w:jc w:val="both"/>
        <w:rPr>
          <w:rFonts w:ascii="Times New Roman" w:hAnsi="Times New Roman"/>
          <w:szCs w:val="19"/>
          <w:lang w:val="ro-RO"/>
        </w:rPr>
      </w:pPr>
    </w:p>
    <w:p w:rsidR="00EE7504" w:rsidRPr="00944248" w:rsidRDefault="00EE7504" w:rsidP="00EE7504">
      <w:pPr>
        <w:jc w:val="both"/>
        <w:rPr>
          <w:rFonts w:ascii="Times New Roman" w:hAnsi="Times New Roman"/>
          <w:szCs w:val="19"/>
          <w:lang w:val="ro-RO"/>
        </w:rPr>
      </w:pPr>
      <w:r w:rsidRPr="00944248">
        <w:rPr>
          <w:rFonts w:ascii="Times New Roman" w:hAnsi="Times New Roman"/>
          <w:szCs w:val="19"/>
          <w:lang w:val="ro-RO"/>
        </w:rPr>
        <w:t>Pentru calculul decontării OTS-OTS în cadrul procesului de compensare a dezechilibrelor realizat între Platforma aRRF și Platforma IN, valoarea activării aRRF evitate pentru OTS-urile participante la Platforma aRRF corespunde cu prețurile pentru produsele standard pentru rezervele de restabilire a frecvenței cu activare automată („produs standard de energie de echilibrare aRRF”) calculate de către funcția de optimizare a activării a Platformei aRRF.</w:t>
      </w:r>
    </w:p>
    <w:p w:rsidR="00163BE0" w:rsidRPr="00944248" w:rsidRDefault="00163BE0" w:rsidP="00816B7B">
      <w:pPr>
        <w:pStyle w:val="Headline14pt"/>
        <w:pageBreakBefore w:val="0"/>
        <w:numPr>
          <w:ilvl w:val="2"/>
          <w:numId w:val="8"/>
        </w:numPr>
        <w:jc w:val="both"/>
        <w:outlineLvl w:val="2"/>
        <w:rPr>
          <w:sz w:val="24"/>
          <w:lang w:val="ro-RO"/>
        </w:rPr>
      </w:pPr>
      <w:bookmarkStart w:id="193" w:name="_Toc535158330"/>
      <w:r w:rsidRPr="00944248">
        <w:rPr>
          <w:bCs/>
          <w:sz w:val="24"/>
          <w:lang w:val="ro-RO"/>
        </w:rPr>
        <w:t>Valoarea aRRF evitate în cazul prețurilor administrative și pentru ziua următoare</w:t>
      </w:r>
      <w:bookmarkEnd w:id="193"/>
    </w:p>
    <w:p w:rsidR="00163BE0" w:rsidRPr="00944248" w:rsidRDefault="00163BE0" w:rsidP="00163BE0">
      <w:pPr>
        <w:pStyle w:val="textregular"/>
        <w:rPr>
          <w:lang w:val="ro-RO"/>
        </w:rPr>
      </w:pPr>
      <w:r w:rsidRPr="00944248">
        <w:rPr>
          <w:lang w:val="ro-RO"/>
        </w:rPr>
        <w:t xml:space="preserve">În cazul în care un OTS folosește prețul administrativ sau prețul pentru ziua următoare pentru a deconta energia de echilibrare aRRF, aceste semnale economice vor fi folosite drept valoare a activării aRRF evitate.  </w:t>
      </w:r>
    </w:p>
    <w:p w:rsidR="00163BE0" w:rsidRPr="00944248" w:rsidRDefault="00163BE0" w:rsidP="00816B7B">
      <w:pPr>
        <w:pStyle w:val="headline2"/>
        <w:numPr>
          <w:ilvl w:val="1"/>
          <w:numId w:val="8"/>
        </w:numPr>
        <w:spacing w:after="200" w:line="240" w:lineRule="auto"/>
        <w:jc w:val="both"/>
        <w:outlineLvl w:val="1"/>
        <w:rPr>
          <w:lang w:val="ro-RO"/>
        </w:rPr>
      </w:pPr>
      <w:bookmarkStart w:id="194" w:name="_Toc531787043"/>
      <w:bookmarkStart w:id="195" w:name="_Toc535158331"/>
      <w:r w:rsidRPr="00944248">
        <w:rPr>
          <w:lang w:val="ro-RO"/>
        </w:rPr>
        <w:t>Determinarea prețului de decontare IN</w:t>
      </w:r>
      <w:bookmarkStart w:id="196" w:name="_Toc531787044"/>
      <w:bookmarkEnd w:id="194"/>
      <w:bookmarkEnd w:id="195"/>
      <w:bookmarkEnd w:id="196"/>
    </w:p>
    <w:p w:rsidR="00163BE0" w:rsidRPr="00944248" w:rsidRDefault="00816B7B" w:rsidP="00163BE0">
      <w:pPr>
        <w:pStyle w:val="textregular"/>
        <w:rPr>
          <w:lang w:val="ro-RO"/>
        </w:rPr>
      </w:pPr>
      <w:r w:rsidRPr="00944248">
        <w:rPr>
          <w:lang w:val="ro-RO"/>
        </w:rPr>
        <w:t>Valorile folosite pentru determinarea sumelor de decontare IN sunt definite în următorul tabel:</w:t>
      </w:r>
    </w:p>
    <w:tbl>
      <w:tblPr>
        <w:tblW w:w="90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A0" w:firstRow="1" w:lastRow="0" w:firstColumn="1" w:lastColumn="0" w:noHBand="0" w:noVBand="0"/>
      </w:tblPr>
      <w:tblGrid>
        <w:gridCol w:w="1129"/>
        <w:gridCol w:w="2571"/>
        <w:gridCol w:w="992"/>
        <w:gridCol w:w="4394"/>
      </w:tblGrid>
      <w:tr w:rsidR="006114F2" w:rsidRPr="00944248" w:rsidTr="00424F7E">
        <w:trPr>
          <w:cantSplit/>
          <w:trHeight w:val="20"/>
          <w:jc w:val="center"/>
        </w:trPr>
        <w:tc>
          <w:tcPr>
            <w:tcW w:w="1129" w:type="dxa"/>
            <w:shd w:val="clear" w:color="auto" w:fill="4F81BD" w:themeFill="accent1"/>
            <w:vAlign w:val="center"/>
          </w:tcPr>
          <w:p w:rsidR="00163BE0" w:rsidRPr="00944248" w:rsidRDefault="00163BE0" w:rsidP="00E702B3">
            <w:pPr>
              <w:keepNext/>
              <w:jc w:val="center"/>
              <w:rPr>
                <w:rFonts w:ascii="Times New Roman" w:hAnsi="Times New Roman"/>
                <w:color w:val="FFFFFF" w:themeColor="background1"/>
                <w:sz w:val="20"/>
                <w:lang w:val="ro-RO"/>
              </w:rPr>
            </w:pPr>
            <w:r w:rsidRPr="00944248">
              <w:rPr>
                <w:rFonts w:ascii="Times New Roman" w:hAnsi="Times New Roman"/>
                <w:b/>
                <w:bCs/>
                <w:color w:val="FFFFFF" w:themeColor="background1"/>
                <w:sz w:val="20"/>
                <w:lang w:val="ro-RO"/>
              </w:rPr>
              <w:t>Variabilă</w:t>
            </w:r>
          </w:p>
        </w:tc>
        <w:tc>
          <w:tcPr>
            <w:tcW w:w="2571" w:type="dxa"/>
            <w:shd w:val="clear" w:color="auto" w:fill="4F81BD" w:themeFill="accent1"/>
            <w:vAlign w:val="center"/>
          </w:tcPr>
          <w:p w:rsidR="00163BE0" w:rsidRPr="00944248" w:rsidRDefault="00163BE0" w:rsidP="00E702B3">
            <w:pPr>
              <w:keepNext/>
              <w:jc w:val="center"/>
              <w:rPr>
                <w:rFonts w:ascii="Times New Roman" w:hAnsi="Times New Roman"/>
                <w:color w:val="FFFFFF" w:themeColor="background1"/>
                <w:sz w:val="20"/>
                <w:lang w:val="ro-RO"/>
              </w:rPr>
            </w:pPr>
            <w:r w:rsidRPr="00944248">
              <w:rPr>
                <w:rFonts w:ascii="Times New Roman" w:hAnsi="Times New Roman"/>
                <w:b/>
                <w:bCs/>
                <w:color w:val="FFFFFF" w:themeColor="background1"/>
                <w:sz w:val="20"/>
                <w:lang w:val="ro-RO"/>
              </w:rPr>
              <w:t>Descriere</w:t>
            </w:r>
          </w:p>
        </w:tc>
        <w:tc>
          <w:tcPr>
            <w:tcW w:w="992" w:type="dxa"/>
            <w:shd w:val="clear" w:color="auto" w:fill="4F81BD" w:themeFill="accent1"/>
            <w:vAlign w:val="center"/>
          </w:tcPr>
          <w:p w:rsidR="00163BE0" w:rsidRPr="00944248" w:rsidRDefault="00163BE0" w:rsidP="00E702B3">
            <w:pPr>
              <w:keepNext/>
              <w:jc w:val="center"/>
              <w:rPr>
                <w:rFonts w:ascii="Times New Roman" w:hAnsi="Times New Roman"/>
                <w:b/>
                <w:color w:val="FFFFFF" w:themeColor="background1"/>
                <w:sz w:val="20"/>
                <w:lang w:val="ro-RO"/>
              </w:rPr>
            </w:pPr>
            <w:r w:rsidRPr="00944248">
              <w:rPr>
                <w:rFonts w:ascii="Times New Roman" w:hAnsi="Times New Roman"/>
                <w:b/>
                <w:bCs/>
                <w:color w:val="FFFFFF" w:themeColor="background1"/>
                <w:sz w:val="20"/>
                <w:lang w:val="ro-RO"/>
              </w:rPr>
              <w:t>Unitate</w:t>
            </w:r>
          </w:p>
        </w:tc>
        <w:tc>
          <w:tcPr>
            <w:tcW w:w="4394" w:type="dxa"/>
            <w:shd w:val="clear" w:color="auto" w:fill="4F81BD" w:themeFill="accent1"/>
            <w:vAlign w:val="center"/>
          </w:tcPr>
          <w:p w:rsidR="00163BE0" w:rsidRPr="00944248" w:rsidRDefault="00163BE0" w:rsidP="00E702B3">
            <w:pPr>
              <w:keepNext/>
              <w:jc w:val="center"/>
              <w:rPr>
                <w:rFonts w:ascii="Times New Roman" w:hAnsi="Times New Roman"/>
                <w:color w:val="FFFFFF" w:themeColor="background1"/>
                <w:sz w:val="20"/>
                <w:lang w:val="ro-RO"/>
              </w:rPr>
            </w:pPr>
            <w:r w:rsidRPr="00944248">
              <w:rPr>
                <w:rFonts w:ascii="Times New Roman" w:hAnsi="Times New Roman"/>
                <w:b/>
                <w:bCs/>
                <w:color w:val="FFFFFF" w:themeColor="background1"/>
                <w:sz w:val="20"/>
                <w:lang w:val="ro-RO"/>
              </w:rPr>
              <w:t>Convenție privind semnele</w:t>
            </w:r>
          </w:p>
        </w:tc>
      </w:tr>
      <w:tr w:rsidR="006114F2" w:rsidRPr="00944248" w:rsidTr="00424F7E">
        <w:trPr>
          <w:cantSplit/>
          <w:trHeight w:val="20"/>
          <w:jc w:val="center"/>
        </w:trPr>
        <w:tc>
          <w:tcPr>
            <w:tcW w:w="1129" w:type="dxa"/>
            <w:shd w:val="clear" w:color="auto" w:fill="C6D9F1" w:themeFill="text2" w:themeFillTint="33"/>
            <w:vAlign w:val="center"/>
          </w:tcPr>
          <w:p w:rsidR="00163BE0" w:rsidRPr="00944248" w:rsidRDefault="00163BE0" w:rsidP="00E702B3">
            <w:pPr>
              <w:keepNext/>
              <w:jc w:val="center"/>
              <w:rPr>
                <w:rFonts w:ascii="Times New Roman" w:hAnsi="Times New Roman"/>
                <w:sz w:val="20"/>
                <w:lang w:val="ro-RO"/>
              </w:rPr>
            </w:pPr>
            <w:r w:rsidRPr="00944248">
              <w:rPr>
                <w:rFonts w:ascii="Times New Roman" w:hAnsi="Times New Roman"/>
                <w:i/>
                <w:iCs/>
                <w:sz w:val="20"/>
                <w:lang w:val="ro-RO"/>
              </w:rPr>
              <w:t>M</w:t>
            </w:r>
          </w:p>
        </w:tc>
        <w:tc>
          <w:tcPr>
            <w:tcW w:w="2571" w:type="dxa"/>
            <w:vAlign w:val="center"/>
          </w:tcPr>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Numărul membrilor IN</w:t>
            </w:r>
          </w:p>
        </w:tc>
        <w:tc>
          <w:tcPr>
            <w:tcW w:w="992" w:type="dxa"/>
            <w:vAlign w:val="center"/>
          </w:tcPr>
          <w:p w:rsidR="00163BE0" w:rsidRPr="00944248" w:rsidRDefault="00163BE0" w:rsidP="00E702B3">
            <w:pPr>
              <w:keepNext/>
              <w:jc w:val="center"/>
              <w:rPr>
                <w:rFonts w:ascii="Times New Roman" w:hAnsi="Times New Roman"/>
                <w:sz w:val="20"/>
                <w:lang w:val="ro-RO"/>
              </w:rPr>
            </w:pPr>
            <w:r w:rsidRPr="00944248">
              <w:rPr>
                <w:rFonts w:ascii="Times New Roman" w:hAnsi="Times New Roman"/>
                <w:sz w:val="20"/>
                <w:lang w:val="ro-RO"/>
              </w:rPr>
              <w:t>-</w:t>
            </w:r>
          </w:p>
        </w:tc>
        <w:tc>
          <w:tcPr>
            <w:tcW w:w="4394" w:type="dxa"/>
            <w:vAlign w:val="center"/>
          </w:tcPr>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w:t>
            </w:r>
          </w:p>
        </w:tc>
      </w:tr>
      <w:tr w:rsidR="006114F2" w:rsidRPr="00944248" w:rsidTr="00424F7E">
        <w:trPr>
          <w:cantSplit/>
          <w:trHeight w:val="20"/>
          <w:jc w:val="center"/>
        </w:trPr>
        <w:tc>
          <w:tcPr>
            <w:tcW w:w="1129" w:type="dxa"/>
            <w:shd w:val="clear" w:color="auto" w:fill="C6D9F1" w:themeFill="text2" w:themeFillTint="33"/>
            <w:vAlign w:val="center"/>
          </w:tcPr>
          <w:p w:rsidR="00163BE0" w:rsidRPr="00944248" w:rsidRDefault="00163BE0" w:rsidP="00E702B3">
            <w:pPr>
              <w:keepNext/>
              <w:jc w:val="center"/>
              <w:rPr>
                <w:rFonts w:ascii="Times New Roman" w:hAnsi="Times New Roman"/>
                <w:sz w:val="20"/>
                <w:lang w:val="ro-RO"/>
              </w:rPr>
            </w:pPr>
            <w:r w:rsidRPr="00944248">
              <w:rPr>
                <w:rFonts w:ascii="Times New Roman" w:hAnsi="Times New Roman"/>
                <w:i/>
                <w:iCs/>
                <w:sz w:val="20"/>
                <w:lang w:val="ro-RO"/>
              </w:rPr>
              <w:t>m</w:t>
            </w:r>
          </w:p>
        </w:tc>
        <w:tc>
          <w:tcPr>
            <w:tcW w:w="2571" w:type="dxa"/>
            <w:vAlign w:val="center"/>
          </w:tcPr>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Membru IN</w:t>
            </w:r>
          </w:p>
        </w:tc>
        <w:tc>
          <w:tcPr>
            <w:tcW w:w="992" w:type="dxa"/>
            <w:vAlign w:val="center"/>
          </w:tcPr>
          <w:p w:rsidR="00163BE0" w:rsidRPr="00944248" w:rsidRDefault="00163BE0" w:rsidP="00E702B3">
            <w:pPr>
              <w:keepNext/>
              <w:jc w:val="center"/>
              <w:rPr>
                <w:rFonts w:ascii="Times New Roman" w:hAnsi="Times New Roman"/>
                <w:sz w:val="20"/>
                <w:lang w:val="ro-RO"/>
              </w:rPr>
            </w:pPr>
            <w:r w:rsidRPr="00944248">
              <w:rPr>
                <w:rFonts w:ascii="Times New Roman" w:hAnsi="Times New Roman"/>
                <w:sz w:val="20"/>
                <w:lang w:val="ro-RO"/>
              </w:rPr>
              <w:t>-</w:t>
            </w:r>
          </w:p>
        </w:tc>
        <w:tc>
          <w:tcPr>
            <w:tcW w:w="4394" w:type="dxa"/>
            <w:vAlign w:val="center"/>
          </w:tcPr>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w:t>
            </w:r>
          </w:p>
        </w:tc>
      </w:tr>
      <w:tr w:rsidR="006114F2" w:rsidRPr="00944248" w:rsidTr="00424F7E">
        <w:trPr>
          <w:cantSplit/>
          <w:trHeight w:val="20"/>
          <w:jc w:val="center"/>
        </w:trPr>
        <w:tc>
          <w:tcPr>
            <w:tcW w:w="1129" w:type="dxa"/>
            <w:shd w:val="clear" w:color="auto" w:fill="C6D9F1" w:themeFill="text2" w:themeFillTint="33"/>
            <w:vAlign w:val="center"/>
          </w:tcPr>
          <w:p w:rsidR="00163BE0" w:rsidRPr="00944248" w:rsidRDefault="00163BE0" w:rsidP="00E702B3">
            <w:pPr>
              <w:keepNext/>
              <w:jc w:val="center"/>
              <w:rPr>
                <w:rFonts w:ascii="Times New Roman" w:hAnsi="Times New Roman"/>
                <w:sz w:val="20"/>
                <w:lang w:val="ro-RO"/>
              </w:rPr>
            </w:pPr>
            <w:r w:rsidRPr="00944248">
              <w:rPr>
                <w:rFonts w:ascii="Times New Roman" w:hAnsi="Times New Roman"/>
                <w:i/>
                <w:iCs/>
                <w:sz w:val="20"/>
                <w:lang w:val="ro-RO"/>
              </w:rPr>
              <w:t>t</w:t>
            </w:r>
          </w:p>
        </w:tc>
        <w:tc>
          <w:tcPr>
            <w:tcW w:w="2571" w:type="dxa"/>
            <w:vAlign w:val="center"/>
          </w:tcPr>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Perioada de decontare (15 minute)</w:t>
            </w:r>
          </w:p>
        </w:tc>
        <w:tc>
          <w:tcPr>
            <w:tcW w:w="992" w:type="dxa"/>
            <w:vAlign w:val="center"/>
          </w:tcPr>
          <w:p w:rsidR="00163BE0" w:rsidRPr="00944248" w:rsidRDefault="00163BE0" w:rsidP="00E702B3">
            <w:pPr>
              <w:keepNext/>
              <w:jc w:val="center"/>
              <w:rPr>
                <w:rFonts w:ascii="Times New Roman" w:hAnsi="Times New Roman"/>
                <w:sz w:val="20"/>
                <w:lang w:val="ro-RO"/>
              </w:rPr>
            </w:pPr>
            <w:r w:rsidRPr="00944248">
              <w:rPr>
                <w:rStyle w:val="CommentReference"/>
                <w:rFonts w:ascii="Times New Roman" w:hAnsi="Times New Roman"/>
                <w:sz w:val="20"/>
                <w:lang w:val="ro-RO"/>
              </w:rPr>
              <w:t>-</w:t>
            </w:r>
          </w:p>
        </w:tc>
        <w:tc>
          <w:tcPr>
            <w:tcW w:w="4394" w:type="dxa"/>
            <w:vAlign w:val="center"/>
          </w:tcPr>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w:t>
            </w:r>
          </w:p>
        </w:tc>
      </w:tr>
      <w:tr w:rsidR="006114F2" w:rsidRPr="00944248" w:rsidTr="00424F7E">
        <w:trPr>
          <w:cantSplit/>
          <w:trHeight w:val="20"/>
          <w:jc w:val="center"/>
        </w:trPr>
        <w:tc>
          <w:tcPr>
            <w:tcW w:w="1129" w:type="dxa"/>
            <w:shd w:val="clear" w:color="auto" w:fill="C6D9F1" w:themeFill="text2" w:themeFillTint="33"/>
            <w:vAlign w:val="center"/>
          </w:tcPr>
          <w:p w:rsidR="00163BE0" w:rsidRPr="00944248" w:rsidRDefault="00BB5A8C" w:rsidP="00E702B3">
            <w:pPr>
              <w:keepNext/>
              <w:jc w:val="center"/>
              <w:rPr>
                <w:rFonts w:ascii="Times New Roman" w:hAnsi="Times New Roman"/>
                <w:sz w:val="20"/>
                <w:lang w:val="ro-RO"/>
              </w:rPr>
            </w:pPr>
            <m:oMathPara>
              <m:oMath>
                <m:sSub>
                  <m:sSubPr>
                    <m:ctrlPr>
                      <w:rPr>
                        <w:rFonts w:ascii="Cambria Math" w:hAnsi="Cambria Math"/>
                        <w:i/>
                        <w:sz w:val="20"/>
                        <w:lang w:val="ro-RO"/>
                      </w:rPr>
                    </m:ctrlPr>
                  </m:sSubPr>
                  <m:e>
                    <m:r>
                      <w:rPr>
                        <w:rFonts w:ascii="Cambria Math" w:hAnsi="Cambria Math"/>
                        <w:lang w:val="ro-RO"/>
                      </w:rPr>
                      <m:t>E</m:t>
                    </m:r>
                  </m:e>
                  <m:sub>
                    <m:r>
                      <w:rPr>
                        <w:rFonts w:ascii="Cambria Math" w:hAnsi="Cambria Math"/>
                        <w:lang w:val="ro-RO"/>
                      </w:rPr>
                      <m:t>Imp</m:t>
                    </m:r>
                  </m:sub>
                </m:sSub>
                <m:d>
                  <m:dPr>
                    <m:ctrlPr>
                      <w:rPr>
                        <w:rFonts w:ascii="Cambria Math" w:hAnsi="Cambria Math"/>
                        <w:i/>
                        <w:sz w:val="20"/>
                        <w:lang w:val="ro-RO"/>
                      </w:rPr>
                    </m:ctrlPr>
                  </m:dPr>
                  <m:e>
                    <m:r>
                      <w:rPr>
                        <w:rFonts w:ascii="Cambria Math" w:hAnsi="Cambria Math"/>
                        <w:lang w:val="ro-RO"/>
                      </w:rPr>
                      <m:t>t,m</m:t>
                    </m:r>
                  </m:e>
                </m:d>
              </m:oMath>
            </m:oMathPara>
          </w:p>
        </w:tc>
        <w:tc>
          <w:tcPr>
            <w:tcW w:w="2571" w:type="dxa"/>
            <w:vAlign w:val="center"/>
          </w:tcPr>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 xml:space="preserve">Import IN al membrului IN </w:t>
            </w:r>
            <w:r w:rsidRPr="00944248">
              <w:rPr>
                <w:rFonts w:ascii="Times New Roman" w:hAnsi="Times New Roman"/>
                <w:i/>
                <w:iCs/>
                <w:sz w:val="20"/>
                <w:lang w:val="ro-RO"/>
              </w:rPr>
              <w:t>m</w:t>
            </w:r>
          </w:p>
        </w:tc>
        <w:tc>
          <w:tcPr>
            <w:tcW w:w="992" w:type="dxa"/>
            <w:vAlign w:val="center"/>
          </w:tcPr>
          <w:p w:rsidR="00163BE0" w:rsidRPr="00944248" w:rsidRDefault="00163BE0" w:rsidP="00E702B3">
            <w:pPr>
              <w:keepNext/>
              <w:jc w:val="center"/>
              <w:rPr>
                <w:rFonts w:ascii="Times New Roman" w:hAnsi="Times New Roman"/>
                <w:sz w:val="20"/>
                <w:lang w:val="ro-RO"/>
              </w:rPr>
            </w:pPr>
            <w:r w:rsidRPr="00944248">
              <w:rPr>
                <w:rFonts w:ascii="Times New Roman" w:hAnsi="Times New Roman"/>
                <w:sz w:val="20"/>
                <w:lang w:val="ro-RO"/>
              </w:rPr>
              <w:t>MWh</w:t>
            </w:r>
          </w:p>
        </w:tc>
        <w:tc>
          <w:tcPr>
            <w:tcW w:w="4394" w:type="dxa"/>
            <w:vAlign w:val="center"/>
          </w:tcPr>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Mereu pozitiv</w:t>
            </w:r>
          </w:p>
        </w:tc>
      </w:tr>
      <w:tr w:rsidR="006114F2" w:rsidRPr="00944248" w:rsidTr="00424F7E">
        <w:trPr>
          <w:cantSplit/>
          <w:trHeight w:val="20"/>
          <w:jc w:val="center"/>
        </w:trPr>
        <w:tc>
          <w:tcPr>
            <w:tcW w:w="1129" w:type="dxa"/>
            <w:shd w:val="clear" w:color="auto" w:fill="C6D9F1" w:themeFill="text2" w:themeFillTint="33"/>
            <w:vAlign w:val="center"/>
          </w:tcPr>
          <w:p w:rsidR="00163BE0" w:rsidRPr="00944248" w:rsidRDefault="00BB5A8C" w:rsidP="00E702B3">
            <w:pPr>
              <w:keepNext/>
              <w:jc w:val="center"/>
              <w:rPr>
                <w:rFonts w:ascii="Times New Roman" w:hAnsi="Times New Roman"/>
                <w:sz w:val="20"/>
                <w:lang w:val="ro-RO"/>
              </w:rPr>
            </w:pPr>
            <m:oMathPara>
              <m:oMath>
                <m:sSub>
                  <m:sSubPr>
                    <m:ctrlPr>
                      <w:rPr>
                        <w:rFonts w:ascii="Cambria Math" w:hAnsi="Cambria Math"/>
                        <w:i/>
                        <w:sz w:val="20"/>
                        <w:lang w:val="ro-RO"/>
                      </w:rPr>
                    </m:ctrlPr>
                  </m:sSubPr>
                  <m:e>
                    <m:r>
                      <w:rPr>
                        <w:rFonts w:ascii="Cambria Math" w:hAnsi="Cambria Math"/>
                        <w:lang w:val="ro-RO"/>
                      </w:rPr>
                      <m:t>E</m:t>
                    </m:r>
                  </m:e>
                  <m:sub>
                    <m:r>
                      <w:rPr>
                        <w:rFonts w:ascii="Cambria Math" w:hAnsi="Cambria Math"/>
                        <w:lang w:val="ro-RO"/>
                      </w:rPr>
                      <m:t>Exp</m:t>
                    </m:r>
                  </m:sub>
                </m:sSub>
                <m:d>
                  <m:dPr>
                    <m:ctrlPr>
                      <w:rPr>
                        <w:rFonts w:ascii="Cambria Math" w:hAnsi="Cambria Math"/>
                        <w:i/>
                        <w:sz w:val="20"/>
                        <w:lang w:val="ro-RO"/>
                      </w:rPr>
                    </m:ctrlPr>
                  </m:dPr>
                  <m:e>
                    <m:r>
                      <w:rPr>
                        <w:rFonts w:ascii="Cambria Math" w:hAnsi="Cambria Math"/>
                        <w:lang w:val="ro-RO"/>
                      </w:rPr>
                      <m:t>t,m</m:t>
                    </m:r>
                  </m:e>
                </m:d>
              </m:oMath>
            </m:oMathPara>
          </w:p>
        </w:tc>
        <w:tc>
          <w:tcPr>
            <w:tcW w:w="2571" w:type="dxa"/>
            <w:vAlign w:val="center"/>
          </w:tcPr>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 xml:space="preserve">Export IN al membrului IN </w:t>
            </w:r>
            <w:r w:rsidRPr="00944248">
              <w:rPr>
                <w:rFonts w:ascii="Times New Roman" w:hAnsi="Times New Roman"/>
                <w:i/>
                <w:iCs/>
                <w:sz w:val="20"/>
                <w:lang w:val="ro-RO"/>
              </w:rPr>
              <w:t>m</w:t>
            </w:r>
          </w:p>
        </w:tc>
        <w:tc>
          <w:tcPr>
            <w:tcW w:w="992" w:type="dxa"/>
            <w:vAlign w:val="center"/>
          </w:tcPr>
          <w:p w:rsidR="00163BE0" w:rsidRPr="00944248" w:rsidRDefault="00163BE0" w:rsidP="00E702B3">
            <w:pPr>
              <w:keepNext/>
              <w:jc w:val="center"/>
              <w:rPr>
                <w:rFonts w:ascii="Times New Roman" w:hAnsi="Times New Roman"/>
                <w:sz w:val="20"/>
                <w:lang w:val="ro-RO"/>
              </w:rPr>
            </w:pPr>
            <w:r w:rsidRPr="00944248">
              <w:rPr>
                <w:rFonts w:ascii="Times New Roman" w:hAnsi="Times New Roman"/>
                <w:sz w:val="20"/>
                <w:lang w:val="ro-RO"/>
              </w:rPr>
              <w:t>MWh</w:t>
            </w:r>
          </w:p>
        </w:tc>
        <w:tc>
          <w:tcPr>
            <w:tcW w:w="4394" w:type="dxa"/>
            <w:vAlign w:val="center"/>
          </w:tcPr>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Mereu pozitiv</w:t>
            </w:r>
          </w:p>
        </w:tc>
      </w:tr>
      <w:tr w:rsidR="006114F2" w:rsidRPr="00944248" w:rsidTr="00424F7E">
        <w:trPr>
          <w:cantSplit/>
          <w:trHeight w:val="20"/>
          <w:jc w:val="center"/>
        </w:trPr>
        <w:tc>
          <w:tcPr>
            <w:tcW w:w="1129" w:type="dxa"/>
            <w:shd w:val="clear" w:color="auto" w:fill="C6D9F1" w:themeFill="text2" w:themeFillTint="33"/>
            <w:vAlign w:val="center"/>
          </w:tcPr>
          <w:p w:rsidR="00163BE0" w:rsidRPr="00944248" w:rsidRDefault="00BB5A8C" w:rsidP="00E702B3">
            <w:pPr>
              <w:keepNext/>
              <w:jc w:val="center"/>
              <w:rPr>
                <w:rFonts w:ascii="Times New Roman" w:hAnsi="Times New Roman"/>
                <w:sz w:val="20"/>
                <w:lang w:val="ro-RO"/>
              </w:rPr>
            </w:pPr>
            <m:oMathPara>
              <m:oMath>
                <m:sSub>
                  <m:sSubPr>
                    <m:ctrlPr>
                      <w:rPr>
                        <w:rFonts w:ascii="Cambria Math" w:hAnsi="Cambria Math"/>
                        <w:i/>
                        <w:sz w:val="20"/>
                        <w:lang w:val="ro-RO"/>
                      </w:rPr>
                    </m:ctrlPr>
                  </m:sSubPr>
                  <m:e>
                    <m:r>
                      <w:rPr>
                        <w:rFonts w:ascii="Cambria Math" w:hAnsi="Cambria Math"/>
                        <w:lang w:val="ro-RO"/>
                      </w:rPr>
                      <m:t>C</m:t>
                    </m:r>
                  </m:e>
                  <m:sub>
                    <m:r>
                      <w:rPr>
                        <w:rFonts w:ascii="Cambria Math" w:hAnsi="Cambria Math"/>
                        <w:lang w:val="ro-RO"/>
                      </w:rPr>
                      <m:t>Imp</m:t>
                    </m:r>
                  </m:sub>
                </m:sSub>
                <m:d>
                  <m:dPr>
                    <m:ctrlPr>
                      <w:rPr>
                        <w:rFonts w:ascii="Cambria Math" w:hAnsi="Cambria Math"/>
                        <w:i/>
                        <w:sz w:val="20"/>
                        <w:lang w:val="ro-RO"/>
                      </w:rPr>
                    </m:ctrlPr>
                  </m:dPr>
                  <m:e>
                    <m:r>
                      <w:rPr>
                        <w:rFonts w:ascii="Cambria Math" w:hAnsi="Cambria Math"/>
                        <w:lang w:val="ro-RO"/>
                      </w:rPr>
                      <m:t>t,m</m:t>
                    </m:r>
                  </m:e>
                </m:d>
              </m:oMath>
            </m:oMathPara>
          </w:p>
        </w:tc>
        <w:tc>
          <w:tcPr>
            <w:tcW w:w="2571" w:type="dxa"/>
            <w:vAlign w:val="center"/>
          </w:tcPr>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 xml:space="preserve">Valoarea IN aferentă activării aRRF evitate pentru importul membrului IN </w:t>
            </w:r>
            <w:r w:rsidRPr="00944248">
              <w:rPr>
                <w:rFonts w:ascii="Times New Roman" w:hAnsi="Times New Roman"/>
                <w:i/>
                <w:iCs/>
                <w:sz w:val="20"/>
                <w:lang w:val="ro-RO"/>
              </w:rPr>
              <w:t>m</w:t>
            </w:r>
          </w:p>
        </w:tc>
        <w:tc>
          <w:tcPr>
            <w:tcW w:w="992" w:type="dxa"/>
            <w:vAlign w:val="center"/>
          </w:tcPr>
          <w:p w:rsidR="00163BE0" w:rsidRPr="00944248" w:rsidRDefault="00163BE0" w:rsidP="00E702B3">
            <w:pPr>
              <w:keepNext/>
              <w:jc w:val="center"/>
              <w:rPr>
                <w:rFonts w:ascii="Times New Roman" w:hAnsi="Times New Roman"/>
                <w:sz w:val="20"/>
                <w:lang w:val="ro-RO"/>
              </w:rPr>
            </w:pPr>
            <w:r w:rsidRPr="00944248">
              <w:rPr>
                <w:rFonts w:ascii="Times New Roman" w:hAnsi="Times New Roman"/>
                <w:sz w:val="20"/>
                <w:lang w:val="ro-RO"/>
              </w:rPr>
              <w:t>€/MWh</w:t>
            </w:r>
          </w:p>
        </w:tc>
        <w:tc>
          <w:tcPr>
            <w:tcW w:w="4394" w:type="dxa"/>
            <w:vAlign w:val="center"/>
          </w:tcPr>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 xml:space="preserve">Pozitivă, în cazul în care membrul IN </w:t>
            </w:r>
            <w:r w:rsidRPr="00944248">
              <w:rPr>
                <w:rFonts w:ascii="Times New Roman" w:hAnsi="Times New Roman"/>
                <w:i/>
                <w:iCs/>
                <w:sz w:val="20"/>
                <w:lang w:val="ro-RO"/>
              </w:rPr>
              <w:t>m</w:t>
            </w:r>
            <w:r w:rsidRPr="00944248">
              <w:rPr>
                <w:rFonts w:ascii="Times New Roman" w:hAnsi="Times New Roman"/>
                <w:sz w:val="20"/>
                <w:lang w:val="ro-RO"/>
              </w:rPr>
              <w:t xml:space="preserve"> plătește pentru activarea aRRF pozitive.</w:t>
            </w:r>
          </w:p>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 xml:space="preserve">Negativă, în cazul în care membrul IN </w:t>
            </w:r>
            <w:r w:rsidRPr="00944248">
              <w:rPr>
                <w:rFonts w:ascii="Times New Roman" w:hAnsi="Times New Roman"/>
                <w:i/>
                <w:iCs/>
                <w:sz w:val="20"/>
                <w:lang w:val="ro-RO"/>
              </w:rPr>
              <w:t>m</w:t>
            </w:r>
            <w:r w:rsidRPr="00944248">
              <w:rPr>
                <w:rFonts w:ascii="Times New Roman" w:hAnsi="Times New Roman"/>
                <w:sz w:val="20"/>
                <w:lang w:val="ro-RO"/>
              </w:rPr>
              <w:t xml:space="preserve"> este plătit pentru activarea aRRF pozitive.</w:t>
            </w:r>
          </w:p>
        </w:tc>
      </w:tr>
      <w:tr w:rsidR="006114F2" w:rsidRPr="00944248" w:rsidTr="00424F7E">
        <w:trPr>
          <w:cantSplit/>
          <w:trHeight w:val="20"/>
          <w:jc w:val="center"/>
        </w:trPr>
        <w:tc>
          <w:tcPr>
            <w:tcW w:w="1129" w:type="dxa"/>
            <w:shd w:val="clear" w:color="auto" w:fill="C6D9F1" w:themeFill="text2" w:themeFillTint="33"/>
            <w:vAlign w:val="center"/>
          </w:tcPr>
          <w:p w:rsidR="00163BE0" w:rsidRPr="00944248" w:rsidRDefault="00BB5A8C" w:rsidP="00E702B3">
            <w:pPr>
              <w:keepNext/>
              <w:jc w:val="center"/>
              <w:rPr>
                <w:rFonts w:ascii="Times New Roman" w:hAnsi="Times New Roman"/>
                <w:sz w:val="20"/>
                <w:lang w:val="ro-RO"/>
              </w:rPr>
            </w:pPr>
            <m:oMathPara>
              <m:oMath>
                <m:sSub>
                  <m:sSubPr>
                    <m:ctrlPr>
                      <w:rPr>
                        <w:rFonts w:ascii="Cambria Math" w:hAnsi="Cambria Math"/>
                        <w:i/>
                        <w:sz w:val="20"/>
                        <w:lang w:val="ro-RO"/>
                      </w:rPr>
                    </m:ctrlPr>
                  </m:sSubPr>
                  <m:e>
                    <m:r>
                      <w:rPr>
                        <w:rFonts w:ascii="Cambria Math" w:hAnsi="Cambria Math"/>
                        <w:lang w:val="ro-RO"/>
                      </w:rPr>
                      <m:t>C</m:t>
                    </m:r>
                  </m:e>
                  <m:sub>
                    <m:r>
                      <w:rPr>
                        <w:rFonts w:ascii="Cambria Math" w:hAnsi="Cambria Math"/>
                        <w:lang w:val="ro-RO"/>
                      </w:rPr>
                      <m:t>Exp</m:t>
                    </m:r>
                  </m:sub>
                </m:sSub>
                <m:d>
                  <m:dPr>
                    <m:ctrlPr>
                      <w:rPr>
                        <w:rFonts w:ascii="Cambria Math" w:hAnsi="Cambria Math"/>
                        <w:i/>
                        <w:sz w:val="20"/>
                        <w:lang w:val="ro-RO"/>
                      </w:rPr>
                    </m:ctrlPr>
                  </m:dPr>
                  <m:e>
                    <m:r>
                      <w:rPr>
                        <w:rFonts w:ascii="Cambria Math" w:hAnsi="Cambria Math"/>
                        <w:lang w:val="ro-RO"/>
                      </w:rPr>
                      <m:t>t,m</m:t>
                    </m:r>
                  </m:e>
                </m:d>
              </m:oMath>
            </m:oMathPara>
          </w:p>
        </w:tc>
        <w:tc>
          <w:tcPr>
            <w:tcW w:w="2571" w:type="dxa"/>
            <w:vAlign w:val="center"/>
          </w:tcPr>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 xml:space="preserve">Valoarea IN aferentă activării aRRF evitate pentru exportul membrului IN </w:t>
            </w:r>
            <w:r w:rsidRPr="00944248">
              <w:rPr>
                <w:rFonts w:ascii="Times New Roman" w:hAnsi="Times New Roman"/>
                <w:i/>
                <w:iCs/>
                <w:sz w:val="20"/>
                <w:lang w:val="ro-RO"/>
              </w:rPr>
              <w:t>m</w:t>
            </w:r>
          </w:p>
        </w:tc>
        <w:tc>
          <w:tcPr>
            <w:tcW w:w="992" w:type="dxa"/>
            <w:vAlign w:val="center"/>
          </w:tcPr>
          <w:p w:rsidR="00163BE0" w:rsidRPr="00944248" w:rsidRDefault="00163BE0" w:rsidP="00E702B3">
            <w:pPr>
              <w:keepNext/>
              <w:jc w:val="center"/>
              <w:rPr>
                <w:rFonts w:ascii="Times New Roman" w:hAnsi="Times New Roman"/>
                <w:sz w:val="20"/>
                <w:lang w:val="ro-RO"/>
              </w:rPr>
            </w:pPr>
            <w:r w:rsidRPr="00944248">
              <w:rPr>
                <w:rFonts w:ascii="Times New Roman" w:hAnsi="Times New Roman"/>
                <w:sz w:val="20"/>
                <w:lang w:val="ro-RO"/>
              </w:rPr>
              <w:t>€/MWh</w:t>
            </w:r>
          </w:p>
        </w:tc>
        <w:tc>
          <w:tcPr>
            <w:tcW w:w="4394" w:type="dxa"/>
            <w:vAlign w:val="center"/>
          </w:tcPr>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 xml:space="preserve">Pozitivă, în cazul în care membrul IN </w:t>
            </w:r>
            <w:r w:rsidRPr="00944248">
              <w:rPr>
                <w:rFonts w:ascii="Times New Roman" w:hAnsi="Times New Roman"/>
                <w:i/>
                <w:iCs/>
                <w:sz w:val="20"/>
                <w:lang w:val="ro-RO"/>
              </w:rPr>
              <w:t>m</w:t>
            </w:r>
            <w:r w:rsidRPr="00944248">
              <w:rPr>
                <w:rFonts w:ascii="Times New Roman" w:hAnsi="Times New Roman"/>
                <w:sz w:val="20"/>
                <w:lang w:val="ro-RO"/>
              </w:rPr>
              <w:t xml:space="preserve"> este plătit pentru activarea aRRF negative.</w:t>
            </w:r>
          </w:p>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 xml:space="preserve">Negativă, în cazul în care membrul IN </w:t>
            </w:r>
            <w:r w:rsidRPr="00944248">
              <w:rPr>
                <w:rFonts w:ascii="Times New Roman" w:hAnsi="Times New Roman"/>
                <w:i/>
                <w:iCs/>
                <w:sz w:val="20"/>
                <w:lang w:val="ro-RO"/>
              </w:rPr>
              <w:t>m</w:t>
            </w:r>
            <w:r w:rsidRPr="00944248">
              <w:rPr>
                <w:rFonts w:ascii="Times New Roman" w:hAnsi="Times New Roman"/>
                <w:sz w:val="20"/>
                <w:lang w:val="ro-RO"/>
              </w:rPr>
              <w:t xml:space="preserve"> plătește pentru activarea aRRF negative.</w:t>
            </w:r>
          </w:p>
        </w:tc>
      </w:tr>
      <w:tr w:rsidR="006114F2" w:rsidRPr="00944248" w:rsidTr="00424F7E">
        <w:trPr>
          <w:cantSplit/>
          <w:trHeight w:val="20"/>
          <w:jc w:val="center"/>
        </w:trPr>
        <w:tc>
          <w:tcPr>
            <w:tcW w:w="1129" w:type="dxa"/>
            <w:shd w:val="clear" w:color="auto" w:fill="C6D9F1" w:themeFill="text2" w:themeFillTint="33"/>
            <w:vAlign w:val="center"/>
          </w:tcPr>
          <w:p w:rsidR="00163BE0" w:rsidRPr="00944248" w:rsidRDefault="00BB5A8C" w:rsidP="00E702B3">
            <w:pPr>
              <w:keepNext/>
              <w:jc w:val="center"/>
              <w:rPr>
                <w:rFonts w:ascii="Times New Roman" w:hAnsi="Times New Roman"/>
                <w:sz w:val="20"/>
                <w:lang w:val="ro-RO"/>
              </w:rPr>
            </w:pPr>
            <m:oMathPara>
              <m:oMath>
                <m:sSub>
                  <m:sSubPr>
                    <m:ctrlPr>
                      <w:rPr>
                        <w:rFonts w:ascii="Cambria Math" w:hAnsi="Cambria Math"/>
                        <w:i/>
                        <w:sz w:val="20"/>
                        <w:lang w:val="ro-RO"/>
                      </w:rPr>
                    </m:ctrlPr>
                  </m:sSubPr>
                  <m:e>
                    <m:r>
                      <w:rPr>
                        <w:rFonts w:ascii="Cambria Math" w:hAnsi="Cambria Math"/>
                        <w:lang w:val="ro-RO"/>
                      </w:rPr>
                      <m:t>P</m:t>
                    </m:r>
                  </m:e>
                  <m:sub>
                    <m:r>
                      <w:rPr>
                        <w:rFonts w:ascii="Cambria Math" w:hAnsi="Cambria Math"/>
                        <w:lang w:val="ro-RO"/>
                      </w:rPr>
                      <m:t>IN</m:t>
                    </m:r>
                  </m:sub>
                </m:sSub>
                <m:d>
                  <m:dPr>
                    <m:ctrlPr>
                      <w:rPr>
                        <w:rFonts w:ascii="Cambria Math" w:hAnsi="Cambria Math"/>
                        <w:i/>
                        <w:sz w:val="20"/>
                        <w:lang w:val="ro-RO"/>
                      </w:rPr>
                    </m:ctrlPr>
                  </m:dPr>
                  <m:e>
                    <m:r>
                      <w:rPr>
                        <w:rFonts w:ascii="Cambria Math" w:hAnsi="Cambria Math"/>
                        <w:lang w:val="ro-RO"/>
                      </w:rPr>
                      <m:t>t</m:t>
                    </m:r>
                  </m:e>
                </m:d>
              </m:oMath>
            </m:oMathPara>
          </w:p>
        </w:tc>
        <w:tc>
          <w:tcPr>
            <w:tcW w:w="2571" w:type="dxa"/>
            <w:vAlign w:val="center"/>
          </w:tcPr>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 xml:space="preserve">Prețul de decontare IN </w:t>
            </w:r>
          </w:p>
        </w:tc>
        <w:tc>
          <w:tcPr>
            <w:tcW w:w="992" w:type="dxa"/>
            <w:vAlign w:val="center"/>
          </w:tcPr>
          <w:p w:rsidR="00163BE0" w:rsidRPr="00944248" w:rsidRDefault="00163BE0" w:rsidP="00E702B3">
            <w:pPr>
              <w:keepNext/>
              <w:jc w:val="center"/>
              <w:rPr>
                <w:rFonts w:ascii="Times New Roman" w:hAnsi="Times New Roman"/>
                <w:sz w:val="20"/>
                <w:lang w:val="ro-RO"/>
              </w:rPr>
            </w:pPr>
            <w:r w:rsidRPr="00944248">
              <w:rPr>
                <w:rFonts w:ascii="Times New Roman" w:hAnsi="Times New Roman"/>
                <w:sz w:val="20"/>
                <w:lang w:val="ro-RO"/>
              </w:rPr>
              <w:t>€/MWh</w:t>
            </w:r>
          </w:p>
        </w:tc>
        <w:tc>
          <w:tcPr>
            <w:tcW w:w="4394" w:type="dxa"/>
            <w:vAlign w:val="center"/>
          </w:tcPr>
          <w:p w:rsidR="00163BE0" w:rsidRPr="00944248" w:rsidRDefault="00163BE0" w:rsidP="00E702B3">
            <w:pPr>
              <w:keepNext/>
              <w:rPr>
                <w:rFonts w:ascii="Times New Roman" w:hAnsi="Times New Roman"/>
                <w:sz w:val="20"/>
                <w:lang w:val="ro-RO"/>
              </w:rPr>
            </w:pPr>
            <w:r w:rsidRPr="00944248">
              <w:rPr>
                <w:rFonts w:ascii="Times New Roman" w:hAnsi="Times New Roman"/>
                <w:sz w:val="20"/>
                <w:lang w:val="ro-RO"/>
              </w:rPr>
              <w:t>Pozitiv sau negativ</w:t>
            </w:r>
          </w:p>
        </w:tc>
      </w:tr>
      <w:tr w:rsidR="006114F2" w:rsidRPr="00944248" w:rsidTr="00424F7E">
        <w:trPr>
          <w:cantSplit/>
          <w:trHeight w:val="20"/>
          <w:jc w:val="center"/>
        </w:trPr>
        <w:tc>
          <w:tcPr>
            <w:tcW w:w="1129" w:type="dxa"/>
            <w:shd w:val="clear" w:color="auto" w:fill="C6D9F1" w:themeFill="text2" w:themeFillTint="33"/>
            <w:vAlign w:val="center"/>
          </w:tcPr>
          <w:p w:rsidR="00163BE0" w:rsidRPr="00944248" w:rsidRDefault="00163BE0" w:rsidP="00E702B3">
            <w:pPr>
              <w:jc w:val="center"/>
              <w:rPr>
                <w:rFonts w:ascii="Times New Roman" w:hAnsi="Times New Roman"/>
                <w:i/>
                <w:sz w:val="20"/>
                <w:lang w:val="ro-RO"/>
              </w:rPr>
            </w:pPr>
            <m:oMathPara>
              <m:oMath>
                <m:r>
                  <w:rPr>
                    <w:rFonts w:ascii="Cambria Math" w:hAnsi="Cambria Math"/>
                    <w:sz w:val="20"/>
                    <w:lang w:val="ro-RO"/>
                  </w:rPr>
                  <m:t>S</m:t>
                </m:r>
                <m:d>
                  <m:dPr>
                    <m:ctrlPr>
                      <w:rPr>
                        <w:rFonts w:ascii="Cambria Math" w:hAnsi="Cambria Math"/>
                        <w:i/>
                        <w:sz w:val="20"/>
                        <w:lang w:val="ro-RO"/>
                      </w:rPr>
                    </m:ctrlPr>
                  </m:dPr>
                  <m:e>
                    <m:r>
                      <w:rPr>
                        <w:rFonts w:ascii="Cambria Math" w:hAnsi="Cambria Math"/>
                        <w:sz w:val="20"/>
                        <w:lang w:val="ro-RO"/>
                      </w:rPr>
                      <m:t>t,m</m:t>
                    </m:r>
                  </m:e>
                </m:d>
              </m:oMath>
            </m:oMathPara>
          </w:p>
        </w:tc>
        <w:tc>
          <w:tcPr>
            <w:tcW w:w="2571" w:type="dxa"/>
            <w:vAlign w:val="center"/>
          </w:tcPr>
          <w:p w:rsidR="00163BE0" w:rsidRPr="00944248" w:rsidRDefault="00163BE0" w:rsidP="00E702B3">
            <w:pPr>
              <w:rPr>
                <w:rFonts w:ascii="Times New Roman" w:hAnsi="Times New Roman"/>
                <w:sz w:val="20"/>
                <w:lang w:val="ro-RO"/>
              </w:rPr>
            </w:pPr>
            <w:r w:rsidRPr="00944248">
              <w:rPr>
                <w:rFonts w:ascii="Times New Roman" w:hAnsi="Times New Roman"/>
                <w:sz w:val="20"/>
                <w:lang w:val="ro-RO"/>
              </w:rPr>
              <w:t xml:space="preserve">Suma de decontare a membrului IN </w:t>
            </w:r>
            <w:r w:rsidRPr="00944248">
              <w:rPr>
                <w:rFonts w:ascii="Times New Roman" w:hAnsi="Times New Roman"/>
                <w:i/>
                <w:iCs/>
                <w:sz w:val="20"/>
                <w:lang w:val="ro-RO"/>
              </w:rPr>
              <w:t>m</w:t>
            </w:r>
            <w:r w:rsidRPr="00944248">
              <w:rPr>
                <w:rFonts w:ascii="Times New Roman" w:hAnsi="Times New Roman"/>
                <w:sz w:val="20"/>
                <w:lang w:val="ro-RO"/>
              </w:rPr>
              <w:t xml:space="preserve"> </w:t>
            </w:r>
          </w:p>
        </w:tc>
        <w:tc>
          <w:tcPr>
            <w:tcW w:w="992" w:type="dxa"/>
            <w:vAlign w:val="center"/>
          </w:tcPr>
          <w:p w:rsidR="00163BE0" w:rsidRPr="00944248" w:rsidRDefault="00163BE0" w:rsidP="00E702B3">
            <w:pPr>
              <w:jc w:val="center"/>
              <w:rPr>
                <w:rStyle w:val="CommentReference"/>
                <w:rFonts w:ascii="Times New Roman" w:hAnsi="Times New Roman"/>
                <w:sz w:val="20"/>
                <w:lang w:val="ro-RO"/>
              </w:rPr>
            </w:pPr>
            <w:r w:rsidRPr="00944248">
              <w:rPr>
                <w:rFonts w:ascii="Times New Roman" w:hAnsi="Times New Roman"/>
                <w:sz w:val="20"/>
                <w:lang w:val="ro-RO"/>
              </w:rPr>
              <w:t>€</w:t>
            </w:r>
          </w:p>
        </w:tc>
        <w:tc>
          <w:tcPr>
            <w:tcW w:w="4394" w:type="dxa"/>
            <w:vAlign w:val="center"/>
          </w:tcPr>
          <w:p w:rsidR="00163BE0" w:rsidRPr="00944248" w:rsidRDefault="00163BE0" w:rsidP="00E702B3">
            <w:pPr>
              <w:rPr>
                <w:rFonts w:ascii="Times New Roman" w:hAnsi="Times New Roman"/>
                <w:sz w:val="20"/>
                <w:lang w:val="ro-RO"/>
              </w:rPr>
            </w:pPr>
            <w:r w:rsidRPr="00944248">
              <w:rPr>
                <w:rFonts w:ascii="Times New Roman" w:hAnsi="Times New Roman"/>
                <w:sz w:val="20"/>
                <w:lang w:val="ro-RO"/>
              </w:rPr>
              <w:t xml:space="preserve">Pozitivă, în cazul unei plăți efectuate de către membrul IN </w:t>
            </w:r>
            <w:r w:rsidRPr="00944248">
              <w:rPr>
                <w:rFonts w:ascii="Times New Roman" w:hAnsi="Times New Roman"/>
                <w:i/>
                <w:iCs/>
                <w:sz w:val="20"/>
                <w:lang w:val="ro-RO"/>
              </w:rPr>
              <w:t>m</w:t>
            </w:r>
            <w:r w:rsidRPr="00944248">
              <w:rPr>
                <w:rFonts w:ascii="Times New Roman" w:hAnsi="Times New Roman"/>
                <w:sz w:val="20"/>
                <w:lang w:val="ro-RO"/>
              </w:rPr>
              <w:t>.</w:t>
            </w:r>
          </w:p>
          <w:p w:rsidR="00163BE0" w:rsidRPr="00944248" w:rsidRDefault="00163BE0" w:rsidP="00E702B3">
            <w:pPr>
              <w:rPr>
                <w:rFonts w:ascii="Times New Roman" w:hAnsi="Times New Roman"/>
                <w:sz w:val="20"/>
                <w:lang w:val="ro-RO"/>
              </w:rPr>
            </w:pPr>
            <w:r w:rsidRPr="00944248">
              <w:rPr>
                <w:rFonts w:ascii="Times New Roman" w:hAnsi="Times New Roman"/>
                <w:sz w:val="20"/>
                <w:lang w:val="ro-RO"/>
              </w:rPr>
              <w:t xml:space="preserve">Negativă, în cazul unei solicitări efectuate de către membrul IN </w:t>
            </w:r>
            <w:r w:rsidRPr="00944248">
              <w:rPr>
                <w:rFonts w:ascii="Times New Roman" w:hAnsi="Times New Roman"/>
                <w:i/>
                <w:iCs/>
                <w:sz w:val="20"/>
                <w:lang w:val="ro-RO"/>
              </w:rPr>
              <w:t>m</w:t>
            </w:r>
            <w:r w:rsidRPr="00944248">
              <w:rPr>
                <w:rFonts w:ascii="Times New Roman" w:hAnsi="Times New Roman"/>
                <w:sz w:val="20"/>
                <w:lang w:val="ro-RO"/>
              </w:rPr>
              <w:t>.</w:t>
            </w:r>
          </w:p>
        </w:tc>
      </w:tr>
      <w:tr w:rsidR="006114F2" w:rsidRPr="00944248" w:rsidTr="00424F7E">
        <w:trPr>
          <w:cantSplit/>
          <w:trHeight w:val="20"/>
          <w:jc w:val="center"/>
        </w:trPr>
        <w:tc>
          <w:tcPr>
            <w:tcW w:w="1129" w:type="dxa"/>
            <w:shd w:val="clear" w:color="auto" w:fill="C6D9F1" w:themeFill="text2" w:themeFillTint="33"/>
            <w:vAlign w:val="center"/>
          </w:tcPr>
          <w:p w:rsidR="00163BE0" w:rsidRPr="00944248" w:rsidRDefault="00163BE0" w:rsidP="00E702B3">
            <w:pPr>
              <w:jc w:val="center"/>
              <w:rPr>
                <w:rFonts w:ascii="Times New Roman" w:hAnsi="Times New Roman"/>
                <w:sz w:val="20"/>
                <w:lang w:val="ro-RO"/>
              </w:rPr>
            </w:pPr>
            <m:oMathPara>
              <m:oMath>
                <m:r>
                  <w:rPr>
                    <w:rFonts w:ascii="Cambria Math" w:hAnsi="Cambria Math"/>
                    <w:sz w:val="20"/>
                    <w:lang w:val="ro-RO"/>
                  </w:rPr>
                  <m:t>B</m:t>
                </m:r>
                <m:d>
                  <m:dPr>
                    <m:ctrlPr>
                      <w:rPr>
                        <w:rFonts w:ascii="Cambria Math" w:hAnsi="Cambria Math"/>
                        <w:i/>
                        <w:sz w:val="20"/>
                        <w:lang w:val="ro-RO"/>
                      </w:rPr>
                    </m:ctrlPr>
                  </m:dPr>
                  <m:e>
                    <m:r>
                      <w:rPr>
                        <w:rFonts w:ascii="Cambria Math" w:hAnsi="Cambria Math"/>
                        <w:sz w:val="20"/>
                        <w:lang w:val="ro-RO"/>
                      </w:rPr>
                      <m:t>t,m</m:t>
                    </m:r>
                  </m:e>
                </m:d>
              </m:oMath>
            </m:oMathPara>
          </w:p>
        </w:tc>
        <w:tc>
          <w:tcPr>
            <w:tcW w:w="2571" w:type="dxa"/>
            <w:vAlign w:val="center"/>
          </w:tcPr>
          <w:p w:rsidR="00163BE0" w:rsidRPr="00944248" w:rsidRDefault="00163BE0" w:rsidP="00E702B3">
            <w:pPr>
              <w:rPr>
                <w:rFonts w:ascii="Times New Roman" w:hAnsi="Times New Roman"/>
                <w:sz w:val="20"/>
                <w:lang w:val="ro-RO"/>
              </w:rPr>
            </w:pPr>
            <w:r w:rsidRPr="00944248">
              <w:rPr>
                <w:rFonts w:ascii="Times New Roman" w:hAnsi="Times New Roman"/>
                <w:sz w:val="20"/>
                <w:lang w:val="ro-RO"/>
              </w:rPr>
              <w:t>Tariful membrului IN m</w:t>
            </w:r>
          </w:p>
        </w:tc>
        <w:tc>
          <w:tcPr>
            <w:tcW w:w="992" w:type="dxa"/>
            <w:vAlign w:val="center"/>
          </w:tcPr>
          <w:p w:rsidR="00163BE0" w:rsidRPr="00944248" w:rsidRDefault="00163BE0" w:rsidP="00E702B3">
            <w:pPr>
              <w:jc w:val="center"/>
              <w:rPr>
                <w:rFonts w:ascii="Times New Roman" w:hAnsi="Times New Roman"/>
                <w:sz w:val="20"/>
                <w:lang w:val="ro-RO"/>
              </w:rPr>
            </w:pPr>
            <w:r w:rsidRPr="00944248">
              <w:rPr>
                <w:rFonts w:ascii="Times New Roman" w:hAnsi="Times New Roman"/>
                <w:sz w:val="20"/>
                <w:lang w:val="ro-RO"/>
              </w:rPr>
              <w:t>€</w:t>
            </w:r>
          </w:p>
        </w:tc>
        <w:tc>
          <w:tcPr>
            <w:tcW w:w="4394" w:type="dxa"/>
            <w:vAlign w:val="center"/>
          </w:tcPr>
          <w:p w:rsidR="00163BE0" w:rsidRPr="00944248" w:rsidRDefault="00163BE0" w:rsidP="00E702B3">
            <w:pPr>
              <w:rPr>
                <w:rFonts w:ascii="Times New Roman" w:hAnsi="Times New Roman"/>
                <w:sz w:val="20"/>
                <w:lang w:val="ro-RO"/>
              </w:rPr>
            </w:pPr>
            <w:r w:rsidRPr="00944248">
              <w:rPr>
                <w:rFonts w:ascii="Times New Roman" w:hAnsi="Times New Roman"/>
                <w:sz w:val="20"/>
                <w:lang w:val="ro-RO"/>
              </w:rPr>
              <w:t>Pozitiv sau negativ</w:t>
            </w:r>
          </w:p>
        </w:tc>
      </w:tr>
      <w:tr w:rsidR="006114F2" w:rsidRPr="00944248" w:rsidTr="00424F7E">
        <w:trPr>
          <w:cantSplit/>
          <w:trHeight w:val="20"/>
          <w:jc w:val="center"/>
        </w:trPr>
        <w:tc>
          <w:tcPr>
            <w:tcW w:w="1129" w:type="dxa"/>
            <w:shd w:val="clear" w:color="auto" w:fill="C6D9F1" w:themeFill="text2" w:themeFillTint="33"/>
            <w:vAlign w:val="center"/>
          </w:tcPr>
          <w:p w:rsidR="00163BE0" w:rsidRPr="00944248" w:rsidRDefault="00BB5A8C" w:rsidP="00E702B3">
            <w:pPr>
              <w:jc w:val="center"/>
              <w:rPr>
                <w:rFonts w:ascii="Times New Roman" w:hAnsi="Times New Roman"/>
                <w:sz w:val="20"/>
                <w:lang w:val="ro-RO"/>
              </w:rPr>
            </w:pPr>
            <m:oMathPara>
              <m:oMath>
                <m:sSub>
                  <m:sSubPr>
                    <m:ctrlPr>
                      <w:rPr>
                        <w:rFonts w:ascii="Cambria Math" w:hAnsi="Cambria Math"/>
                        <w:i/>
                        <w:sz w:val="20"/>
                        <w:lang w:val="ro-RO"/>
                      </w:rPr>
                    </m:ctrlPr>
                  </m:sSubPr>
                  <m:e>
                    <m:r>
                      <w:rPr>
                        <w:rFonts w:ascii="Cambria Math" w:hAnsi="Cambria Math"/>
                        <w:lang w:val="ro-RO"/>
                      </w:rPr>
                      <m:t>B</m:t>
                    </m:r>
                  </m:e>
                  <m:sub>
                    <m:r>
                      <w:rPr>
                        <w:rFonts w:ascii="Cambria Math" w:hAnsi="Cambria Math"/>
                        <w:lang w:val="ro-RO"/>
                      </w:rPr>
                      <m:t>IGCC</m:t>
                    </m:r>
                  </m:sub>
                </m:sSub>
                <m:d>
                  <m:dPr>
                    <m:ctrlPr>
                      <w:rPr>
                        <w:rFonts w:ascii="Cambria Math" w:hAnsi="Cambria Math"/>
                        <w:i/>
                        <w:sz w:val="20"/>
                        <w:lang w:val="ro-RO"/>
                      </w:rPr>
                    </m:ctrlPr>
                  </m:dPr>
                  <m:e>
                    <m:r>
                      <w:rPr>
                        <w:rFonts w:ascii="Cambria Math" w:hAnsi="Cambria Math"/>
                        <w:lang w:val="ro-RO"/>
                      </w:rPr>
                      <m:t>t,m</m:t>
                    </m:r>
                  </m:e>
                </m:d>
              </m:oMath>
            </m:oMathPara>
          </w:p>
        </w:tc>
        <w:tc>
          <w:tcPr>
            <w:tcW w:w="2571" w:type="dxa"/>
            <w:vAlign w:val="center"/>
          </w:tcPr>
          <w:p w:rsidR="00163BE0" w:rsidRPr="00944248" w:rsidRDefault="00163BE0" w:rsidP="00E702B3">
            <w:pPr>
              <w:rPr>
                <w:rFonts w:ascii="Times New Roman" w:hAnsi="Times New Roman"/>
                <w:sz w:val="20"/>
                <w:lang w:val="ro-RO"/>
              </w:rPr>
            </w:pPr>
            <w:r w:rsidRPr="00944248">
              <w:rPr>
                <w:rFonts w:ascii="Times New Roman" w:hAnsi="Times New Roman"/>
                <w:sz w:val="20"/>
                <w:lang w:val="ro-RO"/>
              </w:rPr>
              <w:t xml:space="preserve">IN total </w:t>
            </w:r>
          </w:p>
        </w:tc>
        <w:tc>
          <w:tcPr>
            <w:tcW w:w="992" w:type="dxa"/>
            <w:vAlign w:val="center"/>
          </w:tcPr>
          <w:p w:rsidR="00163BE0" w:rsidRPr="00944248" w:rsidRDefault="00163BE0" w:rsidP="00E702B3">
            <w:pPr>
              <w:jc w:val="center"/>
              <w:rPr>
                <w:rFonts w:ascii="Times New Roman" w:hAnsi="Times New Roman"/>
                <w:sz w:val="20"/>
                <w:lang w:val="ro-RO"/>
              </w:rPr>
            </w:pPr>
            <w:r w:rsidRPr="00944248">
              <w:rPr>
                <w:rFonts w:ascii="Times New Roman" w:hAnsi="Times New Roman"/>
                <w:sz w:val="20"/>
                <w:lang w:val="ro-RO"/>
              </w:rPr>
              <w:t>€</w:t>
            </w:r>
          </w:p>
        </w:tc>
        <w:tc>
          <w:tcPr>
            <w:tcW w:w="4394" w:type="dxa"/>
            <w:vAlign w:val="center"/>
          </w:tcPr>
          <w:p w:rsidR="00163BE0" w:rsidRPr="00944248" w:rsidRDefault="00163BE0" w:rsidP="00E702B3">
            <w:pPr>
              <w:rPr>
                <w:rFonts w:ascii="Times New Roman" w:hAnsi="Times New Roman"/>
                <w:sz w:val="20"/>
                <w:lang w:val="ro-RO"/>
              </w:rPr>
            </w:pPr>
            <w:r w:rsidRPr="00944248">
              <w:rPr>
                <w:rFonts w:ascii="Times New Roman" w:hAnsi="Times New Roman"/>
                <w:sz w:val="20"/>
                <w:lang w:val="ro-RO"/>
              </w:rPr>
              <w:t>Pozitiv sau negativ</w:t>
            </w:r>
          </w:p>
        </w:tc>
      </w:tr>
      <w:tr w:rsidR="006114F2" w:rsidRPr="00944248" w:rsidTr="00424F7E">
        <w:trPr>
          <w:cantSplit/>
          <w:trHeight w:val="20"/>
          <w:jc w:val="center"/>
        </w:trPr>
        <w:tc>
          <w:tcPr>
            <w:tcW w:w="1129" w:type="dxa"/>
            <w:shd w:val="clear" w:color="auto" w:fill="C6D9F1" w:themeFill="text2" w:themeFillTint="33"/>
            <w:vAlign w:val="center"/>
          </w:tcPr>
          <w:p w:rsidR="00163BE0" w:rsidRPr="00944248" w:rsidRDefault="00BB5A8C" w:rsidP="00E702B3">
            <w:pPr>
              <w:jc w:val="center"/>
              <w:rPr>
                <w:rFonts w:ascii="Times New Roman" w:hAnsi="Times New Roman"/>
                <w:sz w:val="20"/>
                <w:lang w:val="ro-RO"/>
              </w:rPr>
            </w:pPr>
            <m:oMathPara>
              <m:oMath>
                <m:sSup>
                  <m:sSupPr>
                    <m:ctrlPr>
                      <w:rPr>
                        <w:rFonts w:ascii="Cambria Math" w:hAnsi="Cambria Math"/>
                        <w:i/>
                        <w:sz w:val="20"/>
                        <w:lang w:val="ro-RO"/>
                      </w:rPr>
                    </m:ctrlPr>
                  </m:sSupPr>
                  <m:e>
                    <m:r>
                      <w:rPr>
                        <w:rFonts w:ascii="Cambria Math" w:hAnsi="Cambria Math"/>
                        <w:lang w:val="ro-RO"/>
                      </w:rPr>
                      <m:t>S</m:t>
                    </m:r>
                  </m:e>
                  <m:sup>
                    <m:r>
                      <w:rPr>
                        <w:rFonts w:ascii="Cambria Math" w:hAnsi="Cambria Math"/>
                        <w:lang w:val="ro-RO"/>
                      </w:rPr>
                      <m:t>'</m:t>
                    </m:r>
                  </m:sup>
                </m:sSup>
                <m:d>
                  <m:dPr>
                    <m:ctrlPr>
                      <w:rPr>
                        <w:rFonts w:ascii="Cambria Math" w:hAnsi="Cambria Math"/>
                        <w:i/>
                        <w:sz w:val="20"/>
                        <w:lang w:val="ro-RO"/>
                      </w:rPr>
                    </m:ctrlPr>
                  </m:dPr>
                  <m:e>
                    <m:r>
                      <w:rPr>
                        <w:rFonts w:ascii="Cambria Math" w:hAnsi="Cambria Math"/>
                        <w:lang w:val="ro-RO"/>
                      </w:rPr>
                      <m:t>t,m</m:t>
                    </m:r>
                  </m:e>
                </m:d>
              </m:oMath>
            </m:oMathPara>
          </w:p>
        </w:tc>
        <w:tc>
          <w:tcPr>
            <w:tcW w:w="2571" w:type="dxa"/>
            <w:vAlign w:val="center"/>
          </w:tcPr>
          <w:p w:rsidR="00163BE0" w:rsidRPr="00944248" w:rsidRDefault="00163BE0" w:rsidP="00E702B3">
            <w:pPr>
              <w:rPr>
                <w:rFonts w:ascii="Times New Roman" w:hAnsi="Times New Roman"/>
                <w:sz w:val="20"/>
                <w:lang w:val="ro-RO"/>
              </w:rPr>
            </w:pPr>
            <w:r w:rsidRPr="00944248">
              <w:rPr>
                <w:rFonts w:ascii="Times New Roman" w:hAnsi="Times New Roman"/>
                <w:sz w:val="20"/>
                <w:lang w:val="ro-RO"/>
              </w:rPr>
              <w:t>Suma de decontare ajustată a membrului IN m</w:t>
            </w:r>
          </w:p>
        </w:tc>
        <w:tc>
          <w:tcPr>
            <w:tcW w:w="992" w:type="dxa"/>
            <w:vAlign w:val="center"/>
          </w:tcPr>
          <w:p w:rsidR="00163BE0" w:rsidRPr="00944248" w:rsidRDefault="00163BE0" w:rsidP="00E702B3">
            <w:pPr>
              <w:jc w:val="center"/>
              <w:rPr>
                <w:rFonts w:ascii="Times New Roman" w:hAnsi="Times New Roman"/>
                <w:sz w:val="20"/>
                <w:lang w:val="ro-RO"/>
              </w:rPr>
            </w:pPr>
            <w:r w:rsidRPr="00944248">
              <w:rPr>
                <w:rFonts w:ascii="Times New Roman" w:hAnsi="Times New Roman"/>
                <w:sz w:val="20"/>
                <w:lang w:val="ro-RO"/>
              </w:rPr>
              <w:t>€</w:t>
            </w:r>
          </w:p>
        </w:tc>
        <w:tc>
          <w:tcPr>
            <w:tcW w:w="4394" w:type="dxa"/>
            <w:vAlign w:val="center"/>
          </w:tcPr>
          <w:p w:rsidR="00163BE0" w:rsidRPr="00944248" w:rsidRDefault="00163BE0" w:rsidP="00E702B3">
            <w:pPr>
              <w:rPr>
                <w:rFonts w:ascii="Times New Roman" w:hAnsi="Times New Roman"/>
                <w:sz w:val="20"/>
                <w:lang w:val="ro-RO"/>
              </w:rPr>
            </w:pPr>
            <w:r w:rsidRPr="00944248">
              <w:rPr>
                <w:rFonts w:ascii="Times New Roman" w:hAnsi="Times New Roman"/>
                <w:sz w:val="20"/>
                <w:lang w:val="ro-RO"/>
              </w:rPr>
              <w:t>Pozitivă, în cazul unei plăți efectuate de către membrul IN m.</w:t>
            </w:r>
          </w:p>
          <w:p w:rsidR="00163BE0" w:rsidRPr="00944248" w:rsidRDefault="00163BE0" w:rsidP="00E702B3">
            <w:pPr>
              <w:rPr>
                <w:rFonts w:ascii="Times New Roman" w:hAnsi="Times New Roman"/>
                <w:sz w:val="20"/>
                <w:lang w:val="ro-RO"/>
              </w:rPr>
            </w:pPr>
            <w:r w:rsidRPr="00944248">
              <w:rPr>
                <w:rFonts w:ascii="Times New Roman" w:hAnsi="Times New Roman"/>
                <w:sz w:val="20"/>
                <w:lang w:val="ro-RO"/>
              </w:rPr>
              <w:t>Negativă, în cazul unei solicitări efectuate de către membrul IN m.</w:t>
            </w:r>
          </w:p>
        </w:tc>
      </w:tr>
      <w:tr w:rsidR="006114F2" w:rsidRPr="00944248" w:rsidTr="00424F7E">
        <w:trPr>
          <w:cantSplit/>
          <w:trHeight w:val="20"/>
          <w:jc w:val="center"/>
        </w:trPr>
        <w:tc>
          <w:tcPr>
            <w:tcW w:w="1129" w:type="dxa"/>
            <w:shd w:val="clear" w:color="auto" w:fill="C6D9F1" w:themeFill="text2" w:themeFillTint="33"/>
            <w:vAlign w:val="center"/>
          </w:tcPr>
          <w:p w:rsidR="00163BE0" w:rsidRPr="00944248" w:rsidRDefault="00BB5A8C" w:rsidP="00E702B3">
            <w:pPr>
              <w:jc w:val="center"/>
              <w:rPr>
                <w:rFonts w:ascii="Times New Roman" w:hAnsi="Times New Roman"/>
                <w:sz w:val="20"/>
                <w:lang w:val="ro-RO"/>
              </w:rPr>
            </w:pPr>
            <m:oMathPara>
              <m:oMath>
                <m:sSub>
                  <m:sSubPr>
                    <m:ctrlPr>
                      <w:rPr>
                        <w:rFonts w:ascii="Cambria Math" w:hAnsi="Cambria Math"/>
                        <w:i/>
                        <w:sz w:val="20"/>
                        <w:lang w:val="ro-RO"/>
                      </w:rPr>
                    </m:ctrlPr>
                  </m:sSubPr>
                  <m:e>
                    <m:r>
                      <w:rPr>
                        <w:rFonts w:ascii="Cambria Math" w:hAnsi="Cambria Math"/>
                        <w:lang w:val="ro-RO"/>
                      </w:rPr>
                      <m:t>P'</m:t>
                    </m:r>
                  </m:e>
                  <m:sub>
                    <m:r>
                      <w:rPr>
                        <w:rFonts w:ascii="Cambria Math" w:hAnsi="Cambria Math"/>
                        <w:lang w:val="ro-RO"/>
                      </w:rPr>
                      <m:t>IN</m:t>
                    </m:r>
                  </m:sub>
                </m:sSub>
              </m:oMath>
            </m:oMathPara>
          </w:p>
        </w:tc>
        <w:tc>
          <w:tcPr>
            <w:tcW w:w="2571" w:type="dxa"/>
            <w:vAlign w:val="center"/>
          </w:tcPr>
          <w:p w:rsidR="00163BE0" w:rsidRPr="00944248" w:rsidRDefault="00163BE0" w:rsidP="00E702B3">
            <w:pPr>
              <w:rPr>
                <w:rFonts w:ascii="Times New Roman" w:hAnsi="Times New Roman"/>
                <w:sz w:val="20"/>
                <w:lang w:val="ro-RO"/>
              </w:rPr>
            </w:pPr>
            <w:r w:rsidRPr="00944248">
              <w:rPr>
                <w:rFonts w:ascii="Times New Roman" w:hAnsi="Times New Roman"/>
                <w:sz w:val="20"/>
                <w:lang w:val="ro-RO"/>
              </w:rPr>
              <w:t>Prețul de decontare ajustat al membrului IN m</w:t>
            </w:r>
          </w:p>
        </w:tc>
        <w:tc>
          <w:tcPr>
            <w:tcW w:w="992" w:type="dxa"/>
            <w:vAlign w:val="center"/>
          </w:tcPr>
          <w:p w:rsidR="00163BE0" w:rsidRPr="00944248" w:rsidRDefault="00163BE0" w:rsidP="00E702B3">
            <w:pPr>
              <w:jc w:val="center"/>
              <w:rPr>
                <w:rFonts w:ascii="Times New Roman" w:hAnsi="Times New Roman"/>
                <w:sz w:val="20"/>
                <w:lang w:val="ro-RO"/>
              </w:rPr>
            </w:pPr>
            <w:r w:rsidRPr="00944248">
              <w:rPr>
                <w:rFonts w:ascii="Times New Roman" w:hAnsi="Times New Roman"/>
                <w:sz w:val="20"/>
                <w:lang w:val="ro-RO"/>
              </w:rPr>
              <w:t>€/MWh</w:t>
            </w:r>
          </w:p>
        </w:tc>
        <w:tc>
          <w:tcPr>
            <w:tcW w:w="4394" w:type="dxa"/>
            <w:vAlign w:val="center"/>
          </w:tcPr>
          <w:p w:rsidR="00163BE0" w:rsidRPr="00944248" w:rsidRDefault="00163BE0" w:rsidP="00E702B3">
            <w:pPr>
              <w:rPr>
                <w:rFonts w:ascii="Times New Roman" w:hAnsi="Times New Roman"/>
                <w:sz w:val="20"/>
                <w:lang w:val="ro-RO"/>
              </w:rPr>
            </w:pPr>
            <w:r w:rsidRPr="00944248">
              <w:rPr>
                <w:rFonts w:ascii="Times New Roman" w:hAnsi="Times New Roman"/>
                <w:sz w:val="20"/>
                <w:lang w:val="ro-RO"/>
              </w:rPr>
              <w:t>Pozitiv sau negativ</w:t>
            </w:r>
          </w:p>
        </w:tc>
      </w:tr>
      <w:tr w:rsidR="006114F2" w:rsidRPr="00944248" w:rsidTr="00424F7E">
        <w:trPr>
          <w:cantSplit/>
          <w:trHeight w:val="20"/>
          <w:jc w:val="center"/>
        </w:trPr>
        <w:tc>
          <w:tcPr>
            <w:tcW w:w="1129" w:type="dxa"/>
            <w:shd w:val="clear" w:color="auto" w:fill="C6D9F1" w:themeFill="text2" w:themeFillTint="33"/>
            <w:vAlign w:val="center"/>
          </w:tcPr>
          <w:p w:rsidR="00163BE0" w:rsidRPr="00944248" w:rsidRDefault="00163BE0" w:rsidP="00E702B3">
            <w:pPr>
              <w:jc w:val="center"/>
              <w:rPr>
                <w:rFonts w:ascii="Times New Roman" w:hAnsi="Times New Roman"/>
                <w:sz w:val="20"/>
                <w:lang w:val="ro-RO"/>
              </w:rPr>
            </w:pPr>
            <w:r w:rsidRPr="00944248">
              <w:rPr>
                <w:rFonts w:ascii="Times New Roman" w:hAnsi="Times New Roman"/>
                <w:sz w:val="20"/>
                <w:lang w:val="ro-RO"/>
              </w:rPr>
              <w:t>NZM</w:t>
            </w:r>
          </w:p>
        </w:tc>
        <w:tc>
          <w:tcPr>
            <w:tcW w:w="2571" w:type="dxa"/>
            <w:vAlign w:val="center"/>
          </w:tcPr>
          <w:p w:rsidR="00163BE0" w:rsidRPr="00944248" w:rsidRDefault="00163BE0" w:rsidP="00E702B3">
            <w:pPr>
              <w:rPr>
                <w:rFonts w:ascii="Times New Roman" w:hAnsi="Times New Roman"/>
                <w:sz w:val="20"/>
                <w:lang w:val="ro-RO"/>
              </w:rPr>
            </w:pPr>
            <w:r w:rsidRPr="00944248">
              <w:rPr>
                <w:rFonts w:ascii="Times New Roman" w:hAnsi="Times New Roman"/>
                <w:sz w:val="20"/>
                <w:lang w:val="ro-RO"/>
              </w:rPr>
              <w:t>NZM = Membrii Non-Zero (adică energia importată ≠ energia exportată)</w:t>
            </w:r>
          </w:p>
        </w:tc>
        <w:tc>
          <w:tcPr>
            <w:tcW w:w="992" w:type="dxa"/>
            <w:vAlign w:val="center"/>
          </w:tcPr>
          <w:p w:rsidR="00163BE0" w:rsidRPr="00944248" w:rsidRDefault="00163BE0" w:rsidP="00E702B3">
            <w:pPr>
              <w:jc w:val="center"/>
              <w:rPr>
                <w:rFonts w:ascii="Times New Roman" w:hAnsi="Times New Roman"/>
                <w:sz w:val="20"/>
                <w:lang w:val="ro-RO"/>
              </w:rPr>
            </w:pPr>
            <w:r w:rsidRPr="00944248">
              <w:rPr>
                <w:rFonts w:ascii="Times New Roman" w:hAnsi="Times New Roman"/>
                <w:sz w:val="20"/>
                <w:lang w:val="ro-RO"/>
              </w:rPr>
              <w:t>-</w:t>
            </w:r>
          </w:p>
        </w:tc>
        <w:tc>
          <w:tcPr>
            <w:tcW w:w="4394" w:type="dxa"/>
            <w:vAlign w:val="center"/>
          </w:tcPr>
          <w:p w:rsidR="00163BE0" w:rsidRPr="00944248" w:rsidRDefault="00163BE0" w:rsidP="00E702B3">
            <w:pPr>
              <w:rPr>
                <w:rFonts w:ascii="Times New Roman" w:hAnsi="Times New Roman"/>
                <w:sz w:val="20"/>
                <w:lang w:val="ro-RO"/>
              </w:rPr>
            </w:pPr>
            <w:r w:rsidRPr="00944248">
              <w:rPr>
                <w:rFonts w:ascii="Times New Roman" w:hAnsi="Times New Roman"/>
                <w:sz w:val="20"/>
                <w:lang w:val="ro-RO"/>
              </w:rPr>
              <w:t>-</w:t>
            </w:r>
          </w:p>
        </w:tc>
      </w:tr>
      <w:tr w:rsidR="006114F2" w:rsidRPr="00944248" w:rsidTr="00424F7E">
        <w:trPr>
          <w:cantSplit/>
          <w:trHeight w:val="20"/>
          <w:jc w:val="center"/>
        </w:trPr>
        <w:tc>
          <w:tcPr>
            <w:tcW w:w="1129" w:type="dxa"/>
            <w:shd w:val="clear" w:color="auto" w:fill="C6D9F1" w:themeFill="text2" w:themeFillTint="33"/>
            <w:vAlign w:val="center"/>
          </w:tcPr>
          <w:p w:rsidR="00163BE0" w:rsidRPr="00944248" w:rsidRDefault="00BB5A8C" w:rsidP="00E702B3">
            <w:pPr>
              <w:jc w:val="center"/>
              <w:rPr>
                <w:rFonts w:ascii="Times New Roman" w:hAnsi="Times New Roman"/>
                <w:sz w:val="20"/>
                <w:lang w:val="ro-RO"/>
              </w:rPr>
            </w:pPr>
            <m:oMathPara>
              <m:oMath>
                <m:sSup>
                  <m:sSupPr>
                    <m:ctrlPr>
                      <w:rPr>
                        <w:rFonts w:ascii="Cambria Math" w:hAnsi="Cambria Math"/>
                        <w:i/>
                        <w:sz w:val="20"/>
                        <w:lang w:val="ro-RO"/>
                      </w:rPr>
                    </m:ctrlPr>
                  </m:sSupPr>
                  <m:e>
                    <m:r>
                      <w:rPr>
                        <w:rFonts w:ascii="Cambria Math" w:hAnsi="Cambria Math"/>
                        <w:lang w:val="ro-RO"/>
                      </w:rPr>
                      <m:t>B</m:t>
                    </m:r>
                  </m:e>
                  <m:sup>
                    <m:r>
                      <w:rPr>
                        <w:rFonts w:ascii="Cambria Math" w:hAnsi="Cambria Math"/>
                        <w:lang w:val="ro-RO"/>
                      </w:rPr>
                      <m:t>'</m:t>
                    </m:r>
                  </m:sup>
                </m:sSup>
                <m:r>
                  <w:rPr>
                    <w:rFonts w:ascii="Cambria Math" w:hAnsi="Cambria Math"/>
                    <w:lang w:val="ro-RO"/>
                  </w:rPr>
                  <m:t>(t,m)</m:t>
                </m:r>
              </m:oMath>
            </m:oMathPara>
          </w:p>
        </w:tc>
        <w:tc>
          <w:tcPr>
            <w:tcW w:w="2571" w:type="dxa"/>
            <w:vAlign w:val="center"/>
          </w:tcPr>
          <w:p w:rsidR="00163BE0" w:rsidRPr="00944248" w:rsidRDefault="00163BE0" w:rsidP="00E702B3">
            <w:pPr>
              <w:rPr>
                <w:rFonts w:ascii="Times New Roman" w:hAnsi="Times New Roman"/>
                <w:sz w:val="20"/>
                <w:lang w:val="ro-RO"/>
              </w:rPr>
            </w:pPr>
            <w:r w:rsidRPr="00944248">
              <w:rPr>
                <w:rFonts w:ascii="Times New Roman" w:hAnsi="Times New Roman"/>
                <w:sz w:val="20"/>
                <w:lang w:val="ro-RO"/>
              </w:rPr>
              <w:t>Tariful ajustat al membrului IN m</w:t>
            </w:r>
          </w:p>
        </w:tc>
        <w:tc>
          <w:tcPr>
            <w:tcW w:w="992" w:type="dxa"/>
            <w:vAlign w:val="center"/>
          </w:tcPr>
          <w:p w:rsidR="00163BE0" w:rsidRPr="00944248" w:rsidRDefault="00163BE0" w:rsidP="00E702B3">
            <w:pPr>
              <w:jc w:val="center"/>
              <w:rPr>
                <w:rFonts w:ascii="Times New Roman" w:hAnsi="Times New Roman"/>
                <w:sz w:val="20"/>
                <w:lang w:val="ro-RO"/>
              </w:rPr>
            </w:pPr>
            <w:r w:rsidRPr="00944248">
              <w:rPr>
                <w:rFonts w:ascii="Times New Roman" w:hAnsi="Times New Roman"/>
                <w:sz w:val="20"/>
                <w:lang w:val="ro-RO"/>
              </w:rPr>
              <w:t>€</w:t>
            </w:r>
          </w:p>
        </w:tc>
        <w:tc>
          <w:tcPr>
            <w:tcW w:w="4394" w:type="dxa"/>
            <w:vAlign w:val="center"/>
          </w:tcPr>
          <w:p w:rsidR="00163BE0" w:rsidRPr="00944248" w:rsidRDefault="00163BE0" w:rsidP="00E702B3">
            <w:pPr>
              <w:rPr>
                <w:rFonts w:ascii="Times New Roman" w:hAnsi="Times New Roman"/>
                <w:sz w:val="20"/>
                <w:lang w:val="ro-RO"/>
              </w:rPr>
            </w:pPr>
            <w:r w:rsidRPr="00944248">
              <w:rPr>
                <w:rFonts w:ascii="Times New Roman" w:hAnsi="Times New Roman"/>
                <w:sz w:val="20"/>
                <w:lang w:val="ro-RO"/>
              </w:rPr>
              <w:t>Pozitiv sau negativ</w:t>
            </w:r>
          </w:p>
        </w:tc>
      </w:tr>
    </w:tbl>
    <w:p w:rsidR="00DD5861" w:rsidRPr="00944248" w:rsidRDefault="00DD5861" w:rsidP="00DD5861">
      <w:pPr>
        <w:pStyle w:val="Caption"/>
        <w:keepNext/>
        <w:rPr>
          <w:lang w:val="ro-RO"/>
        </w:rPr>
      </w:pPr>
      <w:bookmarkStart w:id="197" w:name="_Toc535158355"/>
      <w:r w:rsidRPr="00944248">
        <w:rPr>
          <w:lang w:val="ro-RO"/>
        </w:rPr>
        <w:t xml:space="preserve">Tabelul </w:t>
      </w:r>
      <w:r w:rsidRPr="00944248">
        <w:rPr>
          <w:lang w:val="ro-RO"/>
        </w:rPr>
        <w:fldChar w:fldCharType="begin"/>
      </w:r>
      <w:r w:rsidRPr="00944248">
        <w:rPr>
          <w:lang w:val="ro-RO"/>
        </w:rPr>
        <w:instrText xml:space="preserve"> SEQ Table \* ARABIC </w:instrText>
      </w:r>
      <w:r w:rsidRPr="00944248">
        <w:rPr>
          <w:lang w:val="ro-RO"/>
        </w:rPr>
        <w:fldChar w:fldCharType="separate"/>
      </w:r>
      <w:r w:rsidRPr="00944248">
        <w:rPr>
          <w:lang w:val="ro-RO"/>
        </w:rPr>
        <w:t>8</w:t>
      </w:r>
      <w:r w:rsidRPr="00944248">
        <w:rPr>
          <w:lang w:val="ro-RO"/>
        </w:rPr>
        <w:fldChar w:fldCharType="end"/>
      </w:r>
      <w:r w:rsidRPr="00944248">
        <w:rPr>
          <w:lang w:val="ro-RO"/>
        </w:rPr>
        <w:t>: variabile și convenții privind semnele pentru calculele următoare</w:t>
      </w:r>
      <w:bookmarkEnd w:id="197"/>
    </w:p>
    <w:p w:rsidR="00163BE0" w:rsidRPr="00944248" w:rsidRDefault="00163BE0" w:rsidP="00163BE0">
      <w:pPr>
        <w:pStyle w:val="textregular"/>
        <w:rPr>
          <w:lang w:val="ro-RO"/>
        </w:rPr>
      </w:pPr>
      <w:r w:rsidRPr="00944248">
        <w:rPr>
          <w:lang w:val="ro-RO"/>
        </w:rPr>
        <w:t>Valorile activării aRRF evitate sunt folosite ca date de intrare pen</w:t>
      </w:r>
      <w:bookmarkStart w:id="198" w:name="_GoBack"/>
      <w:bookmarkEnd w:id="198"/>
      <w:r w:rsidRPr="00944248">
        <w:rPr>
          <w:lang w:val="ro-RO"/>
        </w:rPr>
        <w:t xml:space="preserve">tru determinarea prețului de decontare IN definit drept media ponderată a tuturor valorilor activărilor aRRF evitate (atât de creștere, cât și de reducere) ale tuturor membrilor IN, folosind volumele importate și exportate (cantități pozitive) drept factor de ponderare. </w:t>
      </w:r>
    </w:p>
    <w:p w:rsidR="00163BE0" w:rsidRPr="00944248" w:rsidRDefault="00163BE0" w:rsidP="00163BE0">
      <w:pPr>
        <w:pStyle w:val="textregular"/>
        <w:rPr>
          <w:lang w:val="ro-RO"/>
        </w:rPr>
      </w:pPr>
      <w:r w:rsidRPr="00944248">
        <w:rPr>
          <w:lang w:val="ro-RO"/>
        </w:rPr>
        <w:t>Aceasta duce la determinarea unui preț de decontare IN unic pentru volumele importate și exportate, determinat de următoarea formulă (în cazul în care nu au fost generate tarife negative, acest preț unic va fi folosit pentru decontare):</w:t>
      </w:r>
    </w:p>
    <w:p w:rsidR="00163BE0" w:rsidRPr="00944248" w:rsidRDefault="00BB5A8C" w:rsidP="00163BE0">
      <w:pPr>
        <w:pStyle w:val="textregular"/>
        <w:rPr>
          <w:lang w:val="ro-RO"/>
        </w:rPr>
      </w:pPr>
      <m:oMathPara>
        <m:oMath>
          <m:sSub>
            <m:sSubPr>
              <m:ctrlPr>
                <w:rPr>
                  <w:rFonts w:ascii="Cambria Math" w:hAnsi="Cambria Math"/>
                  <w:i/>
                  <w:iCs/>
                  <w:lang w:val="ro-RO"/>
                </w:rPr>
              </m:ctrlPr>
            </m:sSubPr>
            <m:e>
              <m:r>
                <w:rPr>
                  <w:rFonts w:ascii="Cambria Math" w:hAnsi="Cambria Math"/>
                  <w:lang w:val="ro-RO"/>
                </w:rPr>
                <m:t>P</m:t>
              </m:r>
            </m:e>
            <m:sub>
              <m:r>
                <w:rPr>
                  <w:rFonts w:ascii="Cambria Math" w:hAnsi="Cambria Math"/>
                  <w:lang w:val="ro-RO"/>
                </w:rPr>
                <m:t>IN</m:t>
              </m:r>
            </m:sub>
          </m:sSub>
          <m:d>
            <m:dPr>
              <m:ctrlPr>
                <w:rPr>
                  <w:rFonts w:ascii="Cambria Math" w:hAnsi="Cambria Math"/>
                  <w:i/>
                  <w:iCs/>
                  <w:lang w:val="ro-RO"/>
                </w:rPr>
              </m:ctrlPr>
            </m:dPr>
            <m:e>
              <m:r>
                <w:rPr>
                  <w:rFonts w:ascii="Cambria Math" w:hAnsi="Cambria Math"/>
                  <w:lang w:val="ro-RO"/>
                </w:rPr>
                <m:t>t</m:t>
              </m:r>
            </m:e>
          </m:d>
          <m:r>
            <w:rPr>
              <w:rFonts w:ascii="Cambria Math" w:hAnsi="Cambria Math"/>
              <w:lang w:val="ro-RO"/>
            </w:rPr>
            <m:t>=</m:t>
          </m:r>
          <m:f>
            <m:fPr>
              <m:ctrlPr>
                <w:rPr>
                  <w:rFonts w:ascii="Cambria Math" w:hAnsi="Cambria Math"/>
                  <w:i/>
                  <w:iCs/>
                  <w:lang w:val="ro-RO"/>
                </w:rPr>
              </m:ctrlPr>
            </m:fPr>
            <m:num>
              <m:nary>
                <m:naryPr>
                  <m:chr m:val="∑"/>
                  <m:limLoc m:val="undOvr"/>
                  <m:ctrlPr>
                    <w:rPr>
                      <w:rFonts w:ascii="Cambria Math" w:hAnsi="Cambria Math"/>
                      <w:i/>
                      <w:iCs/>
                      <w:lang w:val="ro-RO"/>
                    </w:rPr>
                  </m:ctrlPr>
                </m:naryPr>
                <m:sub>
                  <m:r>
                    <w:rPr>
                      <w:rFonts w:ascii="Cambria Math" w:hAnsi="Cambria Math"/>
                      <w:lang w:val="ro-RO"/>
                    </w:rPr>
                    <m:t>m=1</m:t>
                  </m:r>
                </m:sub>
                <m:sup>
                  <m:r>
                    <w:rPr>
                      <w:rFonts w:ascii="Cambria Math" w:hAnsi="Cambria Math"/>
                      <w:lang w:val="ro-RO"/>
                    </w:rPr>
                    <m:t>M</m:t>
                  </m:r>
                </m:sup>
                <m:e>
                  <m:sSub>
                    <m:sSubPr>
                      <m:ctrlPr>
                        <w:rPr>
                          <w:rFonts w:ascii="Cambria Math" w:hAnsi="Cambria Math"/>
                          <w:i/>
                          <w:iCs/>
                          <w:lang w:val="ro-RO"/>
                        </w:rPr>
                      </m:ctrlPr>
                    </m:sSubPr>
                    <m:e>
                      <m:r>
                        <w:rPr>
                          <w:rFonts w:ascii="Cambria Math" w:hAnsi="Cambria Math"/>
                          <w:lang w:val="ro-RO"/>
                        </w:rPr>
                        <m:t>E</m:t>
                      </m:r>
                    </m:e>
                    <m:sub>
                      <m:r>
                        <w:rPr>
                          <w:rFonts w:ascii="Cambria Math" w:hAnsi="Cambria Math"/>
                          <w:lang w:val="ro-RO"/>
                        </w:rPr>
                        <m:t>Imp</m:t>
                      </m:r>
                    </m:sub>
                  </m:sSub>
                  <m:d>
                    <m:dPr>
                      <m:ctrlPr>
                        <w:rPr>
                          <w:rFonts w:ascii="Cambria Math" w:hAnsi="Cambria Math"/>
                          <w:i/>
                          <w:iCs/>
                          <w:lang w:val="ro-RO"/>
                        </w:rPr>
                      </m:ctrlPr>
                    </m:dPr>
                    <m:e>
                      <m:r>
                        <w:rPr>
                          <w:rFonts w:ascii="Cambria Math" w:hAnsi="Cambria Math"/>
                          <w:lang w:val="ro-RO"/>
                        </w:rPr>
                        <m:t>t,m</m:t>
                      </m:r>
                    </m:e>
                  </m:d>
                  <m:r>
                    <w:rPr>
                      <w:rFonts w:ascii="Cambria Math" w:hAnsi="Cambria Math"/>
                      <w:lang w:val="ro-RO"/>
                    </w:rPr>
                    <m:t>*</m:t>
                  </m:r>
                  <m:sSub>
                    <m:sSubPr>
                      <m:ctrlPr>
                        <w:rPr>
                          <w:rFonts w:ascii="Cambria Math" w:hAnsi="Cambria Math"/>
                          <w:i/>
                          <w:iCs/>
                          <w:lang w:val="ro-RO"/>
                        </w:rPr>
                      </m:ctrlPr>
                    </m:sSubPr>
                    <m:e>
                      <m:r>
                        <w:rPr>
                          <w:rFonts w:ascii="Cambria Math" w:hAnsi="Cambria Math"/>
                          <w:lang w:val="ro-RO"/>
                        </w:rPr>
                        <m:t>C</m:t>
                      </m:r>
                    </m:e>
                    <m:sub>
                      <m:r>
                        <w:rPr>
                          <w:rFonts w:ascii="Cambria Math" w:hAnsi="Cambria Math"/>
                          <w:lang w:val="ro-RO"/>
                        </w:rPr>
                        <m:t>Imp</m:t>
                      </m:r>
                    </m:sub>
                  </m:sSub>
                  <m:d>
                    <m:dPr>
                      <m:ctrlPr>
                        <w:rPr>
                          <w:rFonts w:ascii="Cambria Math" w:hAnsi="Cambria Math"/>
                          <w:i/>
                          <w:iCs/>
                          <w:lang w:val="ro-RO"/>
                        </w:rPr>
                      </m:ctrlPr>
                    </m:dPr>
                    <m:e>
                      <m:r>
                        <w:rPr>
                          <w:rFonts w:ascii="Cambria Math" w:hAnsi="Cambria Math"/>
                          <w:lang w:val="ro-RO"/>
                        </w:rPr>
                        <m:t>t,m</m:t>
                      </m:r>
                    </m:e>
                  </m:d>
                </m:e>
              </m:nary>
              <m:r>
                <w:rPr>
                  <w:rFonts w:ascii="Cambria Math" w:hAnsi="Cambria Math"/>
                  <w:lang w:val="ro-RO"/>
                </w:rPr>
                <m:t>+</m:t>
              </m:r>
              <m:nary>
                <m:naryPr>
                  <m:chr m:val="∑"/>
                  <m:limLoc m:val="undOvr"/>
                  <m:ctrlPr>
                    <w:rPr>
                      <w:rFonts w:ascii="Cambria Math" w:hAnsi="Cambria Math"/>
                      <w:i/>
                      <w:iCs/>
                      <w:lang w:val="ro-RO"/>
                    </w:rPr>
                  </m:ctrlPr>
                </m:naryPr>
                <m:sub>
                  <m:r>
                    <w:rPr>
                      <w:rFonts w:ascii="Cambria Math" w:hAnsi="Cambria Math"/>
                      <w:lang w:val="ro-RO"/>
                    </w:rPr>
                    <m:t>m=1</m:t>
                  </m:r>
                </m:sub>
                <m:sup>
                  <m:r>
                    <w:rPr>
                      <w:rFonts w:ascii="Cambria Math" w:hAnsi="Cambria Math"/>
                      <w:lang w:val="ro-RO"/>
                    </w:rPr>
                    <m:t>M</m:t>
                  </m:r>
                </m:sup>
                <m:e>
                  <m:sSub>
                    <m:sSubPr>
                      <m:ctrlPr>
                        <w:rPr>
                          <w:rFonts w:ascii="Cambria Math" w:hAnsi="Cambria Math"/>
                          <w:i/>
                          <w:iCs/>
                          <w:lang w:val="ro-RO"/>
                        </w:rPr>
                      </m:ctrlPr>
                    </m:sSubPr>
                    <m:e>
                      <m:r>
                        <w:rPr>
                          <w:rFonts w:ascii="Cambria Math" w:hAnsi="Cambria Math"/>
                          <w:lang w:val="ro-RO"/>
                        </w:rPr>
                        <m:t>E</m:t>
                      </m:r>
                    </m:e>
                    <m:sub>
                      <m:r>
                        <w:rPr>
                          <w:rFonts w:ascii="Cambria Math" w:hAnsi="Cambria Math"/>
                          <w:lang w:val="ro-RO"/>
                        </w:rPr>
                        <m:t>Exp</m:t>
                      </m:r>
                    </m:sub>
                  </m:sSub>
                  <m:d>
                    <m:dPr>
                      <m:ctrlPr>
                        <w:rPr>
                          <w:rFonts w:ascii="Cambria Math" w:hAnsi="Cambria Math"/>
                          <w:i/>
                          <w:iCs/>
                          <w:lang w:val="ro-RO"/>
                        </w:rPr>
                      </m:ctrlPr>
                    </m:dPr>
                    <m:e>
                      <m:r>
                        <w:rPr>
                          <w:rFonts w:ascii="Cambria Math" w:hAnsi="Cambria Math"/>
                          <w:lang w:val="ro-RO"/>
                        </w:rPr>
                        <m:t>t,m</m:t>
                      </m:r>
                    </m:e>
                  </m:d>
                  <m:r>
                    <w:rPr>
                      <w:rFonts w:ascii="Cambria Math" w:hAnsi="Cambria Math"/>
                      <w:lang w:val="ro-RO"/>
                    </w:rPr>
                    <m:t>*</m:t>
                  </m:r>
                  <m:sSub>
                    <m:sSubPr>
                      <m:ctrlPr>
                        <w:rPr>
                          <w:rFonts w:ascii="Cambria Math" w:hAnsi="Cambria Math"/>
                          <w:i/>
                          <w:iCs/>
                          <w:lang w:val="ro-RO"/>
                        </w:rPr>
                      </m:ctrlPr>
                    </m:sSubPr>
                    <m:e>
                      <m:r>
                        <w:rPr>
                          <w:rFonts w:ascii="Cambria Math" w:hAnsi="Cambria Math"/>
                          <w:lang w:val="ro-RO"/>
                        </w:rPr>
                        <m:t>C</m:t>
                      </m:r>
                    </m:e>
                    <m:sub>
                      <m:r>
                        <w:rPr>
                          <w:rFonts w:ascii="Cambria Math" w:hAnsi="Cambria Math"/>
                          <w:lang w:val="ro-RO"/>
                        </w:rPr>
                        <m:t>Exp</m:t>
                      </m:r>
                    </m:sub>
                  </m:sSub>
                  <m:d>
                    <m:dPr>
                      <m:ctrlPr>
                        <w:rPr>
                          <w:rFonts w:ascii="Cambria Math" w:hAnsi="Cambria Math"/>
                          <w:i/>
                          <w:iCs/>
                          <w:lang w:val="ro-RO"/>
                        </w:rPr>
                      </m:ctrlPr>
                    </m:dPr>
                    <m:e>
                      <m:r>
                        <w:rPr>
                          <w:rFonts w:ascii="Cambria Math" w:hAnsi="Cambria Math"/>
                          <w:lang w:val="ro-RO"/>
                        </w:rPr>
                        <m:t>t,m</m:t>
                      </m:r>
                    </m:e>
                  </m:d>
                </m:e>
              </m:nary>
            </m:num>
            <m:den>
              <m:nary>
                <m:naryPr>
                  <m:chr m:val="∑"/>
                  <m:limLoc m:val="undOvr"/>
                  <m:ctrlPr>
                    <w:rPr>
                      <w:rFonts w:ascii="Cambria Math" w:hAnsi="Cambria Math"/>
                      <w:i/>
                      <w:iCs/>
                      <w:lang w:val="ro-RO"/>
                    </w:rPr>
                  </m:ctrlPr>
                </m:naryPr>
                <m:sub>
                  <m:r>
                    <w:rPr>
                      <w:rFonts w:ascii="Cambria Math" w:hAnsi="Cambria Math"/>
                      <w:lang w:val="ro-RO"/>
                    </w:rPr>
                    <m:t>m=1</m:t>
                  </m:r>
                </m:sub>
                <m:sup>
                  <m:r>
                    <w:rPr>
                      <w:rFonts w:ascii="Cambria Math" w:hAnsi="Cambria Math"/>
                      <w:lang w:val="ro-RO"/>
                    </w:rPr>
                    <m:t>M</m:t>
                  </m:r>
                </m:sup>
                <m:e>
                  <m:sSub>
                    <m:sSubPr>
                      <m:ctrlPr>
                        <w:rPr>
                          <w:rFonts w:ascii="Cambria Math" w:hAnsi="Cambria Math"/>
                          <w:i/>
                          <w:iCs/>
                          <w:lang w:val="ro-RO"/>
                        </w:rPr>
                      </m:ctrlPr>
                    </m:sSubPr>
                    <m:e>
                      <m:r>
                        <w:rPr>
                          <w:rFonts w:ascii="Cambria Math" w:hAnsi="Cambria Math"/>
                          <w:lang w:val="ro-RO"/>
                        </w:rPr>
                        <m:t>E</m:t>
                      </m:r>
                    </m:e>
                    <m:sub>
                      <m:r>
                        <w:rPr>
                          <w:rFonts w:ascii="Cambria Math" w:hAnsi="Cambria Math"/>
                          <w:lang w:val="ro-RO"/>
                        </w:rPr>
                        <m:t>Imp</m:t>
                      </m:r>
                    </m:sub>
                  </m:sSub>
                  <m:d>
                    <m:dPr>
                      <m:ctrlPr>
                        <w:rPr>
                          <w:rFonts w:ascii="Cambria Math" w:hAnsi="Cambria Math"/>
                          <w:i/>
                          <w:iCs/>
                          <w:lang w:val="ro-RO"/>
                        </w:rPr>
                      </m:ctrlPr>
                    </m:dPr>
                    <m:e>
                      <m:r>
                        <w:rPr>
                          <w:rFonts w:ascii="Cambria Math" w:hAnsi="Cambria Math"/>
                          <w:lang w:val="ro-RO"/>
                        </w:rPr>
                        <m:t>t,m</m:t>
                      </m:r>
                    </m:e>
                  </m:d>
                </m:e>
              </m:nary>
              <m:r>
                <w:rPr>
                  <w:rFonts w:ascii="Cambria Math" w:hAnsi="Cambria Math"/>
                  <w:lang w:val="ro-RO"/>
                </w:rPr>
                <m:t>+</m:t>
              </m:r>
              <m:nary>
                <m:naryPr>
                  <m:chr m:val="∑"/>
                  <m:limLoc m:val="undOvr"/>
                  <m:ctrlPr>
                    <w:rPr>
                      <w:rFonts w:ascii="Cambria Math" w:hAnsi="Cambria Math"/>
                      <w:i/>
                      <w:iCs/>
                      <w:lang w:val="ro-RO"/>
                    </w:rPr>
                  </m:ctrlPr>
                </m:naryPr>
                <m:sub>
                  <m:r>
                    <w:rPr>
                      <w:rFonts w:ascii="Cambria Math" w:hAnsi="Cambria Math"/>
                      <w:lang w:val="ro-RO"/>
                    </w:rPr>
                    <m:t>m=1</m:t>
                  </m:r>
                </m:sub>
                <m:sup>
                  <m:r>
                    <w:rPr>
                      <w:rFonts w:ascii="Cambria Math" w:hAnsi="Cambria Math"/>
                      <w:lang w:val="ro-RO"/>
                    </w:rPr>
                    <m:t>M</m:t>
                  </m:r>
                </m:sup>
                <m:e>
                  <m:sSub>
                    <m:sSubPr>
                      <m:ctrlPr>
                        <w:rPr>
                          <w:rFonts w:ascii="Cambria Math" w:hAnsi="Cambria Math"/>
                          <w:i/>
                          <w:iCs/>
                          <w:lang w:val="ro-RO"/>
                        </w:rPr>
                      </m:ctrlPr>
                    </m:sSubPr>
                    <m:e>
                      <m:r>
                        <w:rPr>
                          <w:rFonts w:ascii="Cambria Math" w:hAnsi="Cambria Math"/>
                          <w:lang w:val="ro-RO"/>
                        </w:rPr>
                        <m:t>E</m:t>
                      </m:r>
                    </m:e>
                    <m:sub>
                      <m:r>
                        <w:rPr>
                          <w:rFonts w:ascii="Cambria Math" w:hAnsi="Cambria Math"/>
                          <w:lang w:val="ro-RO"/>
                        </w:rPr>
                        <m:t>Exp</m:t>
                      </m:r>
                    </m:sub>
                  </m:sSub>
                  <m:d>
                    <m:dPr>
                      <m:ctrlPr>
                        <w:rPr>
                          <w:rFonts w:ascii="Cambria Math" w:hAnsi="Cambria Math"/>
                          <w:i/>
                          <w:iCs/>
                          <w:lang w:val="ro-RO"/>
                        </w:rPr>
                      </m:ctrlPr>
                    </m:dPr>
                    <m:e>
                      <m:r>
                        <w:rPr>
                          <w:rFonts w:ascii="Cambria Math" w:hAnsi="Cambria Math"/>
                          <w:lang w:val="ro-RO"/>
                        </w:rPr>
                        <m:t>t,m</m:t>
                      </m:r>
                    </m:e>
                  </m:d>
                </m:e>
              </m:nary>
            </m:den>
          </m:f>
        </m:oMath>
      </m:oMathPara>
    </w:p>
    <w:p w:rsidR="00163BE0" w:rsidRPr="00944248" w:rsidRDefault="00163BE0" w:rsidP="00163BE0">
      <w:pPr>
        <w:pStyle w:val="textregular"/>
        <w:rPr>
          <w:szCs w:val="22"/>
          <w:lang w:val="ro-RO"/>
        </w:rPr>
      </w:pPr>
    </w:p>
    <w:p w:rsidR="00163BE0" w:rsidRPr="00944248" w:rsidRDefault="00163BE0" w:rsidP="00163BE0">
      <w:pPr>
        <w:pStyle w:val="textregular"/>
        <w:rPr>
          <w:lang w:val="ro-RO"/>
        </w:rPr>
      </w:pPr>
      <w:r w:rsidRPr="00944248">
        <w:rPr>
          <w:lang w:val="ro-RO"/>
        </w:rPr>
        <w:t>Prețul pentru decontarea IN este folosit pentru a determina suma decontării pentru fiecare membru IN, fiind definit drept prețul de decontare IN multiplicat cu diferența dintre sumele aferente volumelor importate și exportate ale membrului IN respectiv:</w:t>
      </w:r>
    </w:p>
    <w:p w:rsidR="00163BE0" w:rsidRPr="00944248" w:rsidRDefault="00163BE0" w:rsidP="00163BE0">
      <w:pPr>
        <w:rPr>
          <w:rFonts w:ascii="Times New Roman" w:hAnsi="Times New Roman"/>
          <w:iCs/>
          <w:lang w:val="ro-RO"/>
        </w:rPr>
      </w:pPr>
      <m:oMathPara>
        <m:oMathParaPr>
          <m:jc m:val="center"/>
        </m:oMathParaPr>
        <m:oMath>
          <m:r>
            <w:rPr>
              <w:rFonts w:ascii="Cambria Math" w:hAnsi="Cambria Math"/>
              <w:lang w:val="ro-RO"/>
            </w:rPr>
            <m:t>S</m:t>
          </m:r>
          <m:d>
            <m:dPr>
              <m:ctrlPr>
                <w:rPr>
                  <w:rFonts w:ascii="Cambria Math" w:hAnsi="Cambria Math"/>
                  <w:i/>
                  <w:iCs/>
                  <w:lang w:val="ro-RO"/>
                </w:rPr>
              </m:ctrlPr>
            </m:dPr>
            <m:e>
              <m:r>
                <w:rPr>
                  <w:rFonts w:ascii="Cambria Math" w:hAnsi="Cambria Math"/>
                  <w:lang w:val="ro-RO"/>
                </w:rPr>
                <m:t>t,m</m:t>
              </m:r>
            </m:e>
          </m:d>
          <m:r>
            <w:rPr>
              <w:rFonts w:ascii="Cambria Math" w:hAnsi="Cambria Math"/>
              <w:lang w:val="ro-RO"/>
            </w:rPr>
            <m:t>=</m:t>
          </m:r>
          <m:d>
            <m:dPr>
              <m:begChr m:val="["/>
              <m:endChr m:val="]"/>
              <m:ctrlPr>
                <w:rPr>
                  <w:rFonts w:ascii="Cambria Math" w:hAnsi="Cambria Math"/>
                  <w:i/>
                  <w:iCs/>
                  <w:lang w:val="ro-RO"/>
                </w:rPr>
              </m:ctrlPr>
            </m:dPr>
            <m:e>
              <m:sSub>
                <m:sSubPr>
                  <m:ctrlPr>
                    <w:rPr>
                      <w:rFonts w:ascii="Cambria Math" w:hAnsi="Cambria Math"/>
                      <w:i/>
                      <w:iCs/>
                      <w:lang w:val="ro-RO"/>
                    </w:rPr>
                  </m:ctrlPr>
                </m:sSubPr>
                <m:e>
                  <m:r>
                    <w:rPr>
                      <w:rFonts w:ascii="Cambria Math" w:hAnsi="Cambria Math"/>
                      <w:lang w:val="ro-RO"/>
                    </w:rPr>
                    <m:t>E</m:t>
                  </m:r>
                </m:e>
                <m:sub>
                  <m:r>
                    <w:rPr>
                      <w:rFonts w:ascii="Cambria Math" w:hAnsi="Cambria Math"/>
                      <w:lang w:val="ro-RO"/>
                    </w:rPr>
                    <m:t>Imp</m:t>
                  </m:r>
                </m:sub>
              </m:sSub>
              <m:d>
                <m:dPr>
                  <m:ctrlPr>
                    <w:rPr>
                      <w:rFonts w:ascii="Cambria Math" w:hAnsi="Cambria Math"/>
                      <w:i/>
                      <w:iCs/>
                      <w:lang w:val="ro-RO"/>
                    </w:rPr>
                  </m:ctrlPr>
                </m:dPr>
                <m:e>
                  <m:r>
                    <w:rPr>
                      <w:rFonts w:ascii="Cambria Math" w:hAnsi="Cambria Math"/>
                      <w:lang w:val="ro-RO"/>
                    </w:rPr>
                    <m:t>t,m</m:t>
                  </m:r>
                </m:e>
              </m:d>
              <m:r>
                <w:rPr>
                  <w:rFonts w:ascii="Cambria Math" w:hAnsi="Cambria Math"/>
                  <w:lang w:val="ro-RO"/>
                </w:rPr>
                <m:t>-</m:t>
              </m:r>
              <m:sSub>
                <m:sSubPr>
                  <m:ctrlPr>
                    <w:rPr>
                      <w:rFonts w:ascii="Cambria Math" w:hAnsi="Cambria Math"/>
                      <w:i/>
                      <w:iCs/>
                      <w:lang w:val="ro-RO"/>
                    </w:rPr>
                  </m:ctrlPr>
                </m:sSubPr>
                <m:e>
                  <m:r>
                    <w:rPr>
                      <w:rFonts w:ascii="Cambria Math" w:hAnsi="Cambria Math"/>
                      <w:lang w:val="ro-RO"/>
                    </w:rPr>
                    <m:t>E</m:t>
                  </m:r>
                </m:e>
                <m:sub>
                  <m:r>
                    <w:rPr>
                      <w:rFonts w:ascii="Cambria Math" w:hAnsi="Cambria Math"/>
                      <w:lang w:val="ro-RO"/>
                    </w:rPr>
                    <m:t>Exp</m:t>
                  </m:r>
                </m:sub>
              </m:sSub>
              <m:d>
                <m:dPr>
                  <m:ctrlPr>
                    <w:rPr>
                      <w:rFonts w:ascii="Cambria Math" w:hAnsi="Cambria Math"/>
                      <w:i/>
                      <w:iCs/>
                      <w:lang w:val="ro-RO"/>
                    </w:rPr>
                  </m:ctrlPr>
                </m:dPr>
                <m:e>
                  <m:r>
                    <w:rPr>
                      <w:rFonts w:ascii="Cambria Math" w:hAnsi="Cambria Math"/>
                      <w:lang w:val="ro-RO"/>
                    </w:rPr>
                    <m:t>t,m</m:t>
                  </m:r>
                </m:e>
              </m:d>
            </m:e>
          </m:d>
          <m:r>
            <w:rPr>
              <w:rFonts w:ascii="Cambria Math" w:hAnsi="Cambria Math"/>
              <w:lang w:val="ro-RO"/>
            </w:rPr>
            <m:t>*</m:t>
          </m:r>
          <m:sSub>
            <m:sSubPr>
              <m:ctrlPr>
                <w:rPr>
                  <w:rFonts w:ascii="Cambria Math" w:hAnsi="Cambria Math"/>
                  <w:i/>
                  <w:iCs/>
                  <w:lang w:val="ro-RO"/>
                </w:rPr>
              </m:ctrlPr>
            </m:sSubPr>
            <m:e>
              <m:r>
                <w:rPr>
                  <w:rFonts w:ascii="Cambria Math" w:hAnsi="Cambria Math"/>
                  <w:lang w:val="ro-RO"/>
                </w:rPr>
                <m:t>P</m:t>
              </m:r>
            </m:e>
            <m:sub>
              <m:r>
                <w:rPr>
                  <w:rFonts w:ascii="Cambria Math" w:hAnsi="Cambria Math"/>
                  <w:lang w:val="ro-RO"/>
                </w:rPr>
                <m:t>IN</m:t>
              </m:r>
            </m:sub>
          </m:sSub>
          <m:d>
            <m:dPr>
              <m:ctrlPr>
                <w:rPr>
                  <w:rFonts w:ascii="Cambria Math" w:hAnsi="Cambria Math"/>
                  <w:i/>
                  <w:iCs/>
                  <w:lang w:val="ro-RO"/>
                </w:rPr>
              </m:ctrlPr>
            </m:dPr>
            <m:e>
              <m:r>
                <w:rPr>
                  <w:rFonts w:ascii="Cambria Math" w:hAnsi="Cambria Math"/>
                  <w:lang w:val="ro-RO"/>
                </w:rPr>
                <m:t>t</m:t>
              </m:r>
            </m:e>
          </m:d>
        </m:oMath>
      </m:oMathPara>
    </w:p>
    <w:p w:rsidR="00163BE0" w:rsidRPr="00944248" w:rsidRDefault="00163BE0" w:rsidP="00163BE0">
      <w:pPr>
        <w:pStyle w:val="textregular"/>
        <w:rPr>
          <w:szCs w:val="22"/>
          <w:lang w:val="ro-RO"/>
        </w:rPr>
      </w:pPr>
    </w:p>
    <w:p w:rsidR="00163BE0" w:rsidRPr="00944248" w:rsidRDefault="00163BE0" w:rsidP="00163BE0">
      <w:pPr>
        <w:pStyle w:val="textregular"/>
        <w:rPr>
          <w:szCs w:val="22"/>
          <w:lang w:val="ro-RO"/>
        </w:rPr>
      </w:pPr>
      <w:r w:rsidRPr="00944248">
        <w:rPr>
          <w:lang w:val="ro-RO"/>
        </w:rPr>
        <w:t>Suma de decontare a fiecărui membru IN se utilizează la determinarea tarifului B(t,m) aferent fiecărui membru IN. Tariful fiecărui membru IN este definit ca diferența dintre:</w:t>
      </w:r>
      <w:r w:rsidRPr="00944248">
        <w:rPr>
          <w:szCs w:val="22"/>
          <w:lang w:val="ro-RO"/>
        </w:rPr>
        <w:t xml:space="preserve"> </w:t>
      </w:r>
    </w:p>
    <w:p w:rsidR="00163BE0" w:rsidRPr="00944248" w:rsidRDefault="00163BE0" w:rsidP="00DD58FA">
      <w:pPr>
        <w:pStyle w:val="textregular"/>
        <w:numPr>
          <w:ilvl w:val="1"/>
          <w:numId w:val="15"/>
        </w:numPr>
        <w:rPr>
          <w:lang w:val="ro-RO"/>
        </w:rPr>
      </w:pPr>
      <w:r w:rsidRPr="00944248">
        <w:rPr>
          <w:lang w:val="ro-RO"/>
        </w:rPr>
        <w:t xml:space="preserve">valoarea de import a activării aRRF evitate multiplicată cu volumul importat minus valoarea de export a activării aRRF evitate multiplicată cu volumul exportat al membrului IN respectiv, și </w:t>
      </w:r>
    </w:p>
    <w:p w:rsidR="00163BE0" w:rsidRPr="00944248" w:rsidRDefault="00163BE0" w:rsidP="00DD58FA">
      <w:pPr>
        <w:pStyle w:val="textregular"/>
        <w:numPr>
          <w:ilvl w:val="1"/>
          <w:numId w:val="15"/>
        </w:numPr>
        <w:rPr>
          <w:szCs w:val="22"/>
          <w:lang w:val="ro-RO"/>
        </w:rPr>
      </w:pPr>
      <w:r w:rsidRPr="00944248">
        <w:rPr>
          <w:lang w:val="ro-RO"/>
        </w:rPr>
        <w:t>suma decontării a fiecărui membru IN</w:t>
      </w:r>
      <w:r w:rsidRPr="00944248">
        <w:rPr>
          <w:szCs w:val="22"/>
          <w:lang w:val="ro-RO"/>
        </w:rPr>
        <w:t>.</w:t>
      </w:r>
    </w:p>
    <w:p w:rsidR="00163BE0" w:rsidRPr="00944248" w:rsidRDefault="00163BE0" w:rsidP="00163BE0">
      <w:pPr>
        <w:rPr>
          <w:rFonts w:ascii="Times New Roman" w:hAnsi="Times New Roman"/>
          <w:szCs w:val="19"/>
          <w:lang w:val="ro-RO"/>
        </w:rPr>
      </w:pPr>
      <w:r w:rsidRPr="00944248">
        <w:rPr>
          <w:rFonts w:ascii="Times New Roman" w:hAnsi="Times New Roman"/>
          <w:szCs w:val="19"/>
          <w:lang w:val="ro-RO"/>
        </w:rPr>
        <w:t>Astfel, tariful B(t,m) este calculat în conformitate cu următoarea formulă:</w:t>
      </w:r>
    </w:p>
    <w:p w:rsidR="00163BE0" w:rsidRPr="00944248" w:rsidRDefault="00163BE0" w:rsidP="00163BE0">
      <w:pPr>
        <w:rPr>
          <w:rFonts w:ascii="Times New Roman" w:hAnsi="Times New Roman"/>
          <w:szCs w:val="19"/>
          <w:lang w:val="ro-RO"/>
        </w:rPr>
      </w:pPr>
    </w:p>
    <w:p w:rsidR="00163BE0" w:rsidRPr="00944248" w:rsidRDefault="00163BE0" w:rsidP="00163BE0">
      <w:pPr>
        <w:rPr>
          <w:rFonts w:ascii="Times New Roman" w:hAnsi="Times New Roman"/>
          <w:iCs/>
          <w:lang w:val="ro-RO"/>
        </w:rPr>
      </w:pPr>
      <m:oMathPara>
        <m:oMath>
          <m:r>
            <w:rPr>
              <w:rFonts w:ascii="Cambria Math" w:hAnsi="Cambria Math"/>
              <w:lang w:val="ro-RO"/>
            </w:rPr>
            <m:t>B</m:t>
          </m:r>
          <m:d>
            <m:dPr>
              <m:ctrlPr>
                <w:rPr>
                  <w:rFonts w:ascii="Cambria Math" w:hAnsi="Cambria Math"/>
                  <w:i/>
                  <w:iCs/>
                  <w:lang w:val="ro-RO"/>
                </w:rPr>
              </m:ctrlPr>
            </m:dPr>
            <m:e>
              <m:r>
                <w:rPr>
                  <w:rFonts w:ascii="Cambria Math" w:hAnsi="Cambria Math"/>
                  <w:lang w:val="ro-RO"/>
                </w:rPr>
                <m:t>t,m</m:t>
              </m:r>
            </m:e>
          </m:d>
          <m:r>
            <w:rPr>
              <w:rFonts w:ascii="Cambria Math" w:hAnsi="Cambria Math"/>
              <w:lang w:val="ro-RO"/>
            </w:rPr>
            <m:t>=</m:t>
          </m:r>
          <m:d>
            <m:dPr>
              <m:begChr m:val="["/>
              <m:endChr m:val="]"/>
              <m:ctrlPr>
                <w:rPr>
                  <w:rFonts w:ascii="Cambria Math" w:hAnsi="Cambria Math"/>
                  <w:i/>
                  <w:iCs/>
                  <w:lang w:val="ro-RO"/>
                </w:rPr>
              </m:ctrlPr>
            </m:dPr>
            <m:e>
              <m:sSub>
                <m:sSubPr>
                  <m:ctrlPr>
                    <w:rPr>
                      <w:rFonts w:ascii="Cambria Math" w:hAnsi="Cambria Math"/>
                      <w:i/>
                      <w:iCs/>
                      <w:lang w:val="ro-RO"/>
                    </w:rPr>
                  </m:ctrlPr>
                </m:sSubPr>
                <m:e>
                  <m:r>
                    <w:rPr>
                      <w:rFonts w:ascii="Cambria Math" w:hAnsi="Cambria Math"/>
                      <w:lang w:val="ro-RO"/>
                    </w:rPr>
                    <m:t>E</m:t>
                  </m:r>
                </m:e>
                <m:sub>
                  <m:r>
                    <w:rPr>
                      <w:rFonts w:ascii="Cambria Math" w:hAnsi="Cambria Math"/>
                      <w:lang w:val="ro-RO"/>
                    </w:rPr>
                    <m:t>Imp</m:t>
                  </m:r>
                </m:sub>
              </m:sSub>
              <m:d>
                <m:dPr>
                  <m:ctrlPr>
                    <w:rPr>
                      <w:rFonts w:ascii="Cambria Math" w:hAnsi="Cambria Math"/>
                      <w:i/>
                      <w:iCs/>
                      <w:lang w:val="ro-RO"/>
                    </w:rPr>
                  </m:ctrlPr>
                </m:dPr>
                <m:e>
                  <m:r>
                    <w:rPr>
                      <w:rFonts w:ascii="Cambria Math" w:hAnsi="Cambria Math"/>
                      <w:lang w:val="ro-RO"/>
                    </w:rPr>
                    <m:t>t,m</m:t>
                  </m:r>
                </m:e>
              </m:d>
              <m:r>
                <w:rPr>
                  <w:rFonts w:ascii="Cambria Math" w:hAnsi="Cambria Math"/>
                  <w:lang w:val="ro-RO"/>
                </w:rPr>
                <m:t>*</m:t>
              </m:r>
              <m:sSub>
                <m:sSubPr>
                  <m:ctrlPr>
                    <w:rPr>
                      <w:rFonts w:ascii="Cambria Math" w:hAnsi="Cambria Math"/>
                      <w:i/>
                      <w:iCs/>
                      <w:lang w:val="ro-RO"/>
                    </w:rPr>
                  </m:ctrlPr>
                </m:sSubPr>
                <m:e>
                  <m:r>
                    <w:rPr>
                      <w:rFonts w:ascii="Cambria Math" w:hAnsi="Cambria Math"/>
                      <w:lang w:val="ro-RO"/>
                    </w:rPr>
                    <m:t>C</m:t>
                  </m:r>
                </m:e>
                <m:sub>
                  <m:r>
                    <w:rPr>
                      <w:rFonts w:ascii="Cambria Math" w:hAnsi="Cambria Math"/>
                      <w:lang w:val="ro-RO"/>
                    </w:rPr>
                    <m:t>Imp</m:t>
                  </m:r>
                </m:sub>
              </m:sSub>
              <m:d>
                <m:dPr>
                  <m:ctrlPr>
                    <w:rPr>
                      <w:rFonts w:ascii="Cambria Math" w:hAnsi="Cambria Math"/>
                      <w:i/>
                      <w:iCs/>
                      <w:lang w:val="ro-RO"/>
                    </w:rPr>
                  </m:ctrlPr>
                </m:dPr>
                <m:e>
                  <m:r>
                    <w:rPr>
                      <w:rFonts w:ascii="Cambria Math" w:hAnsi="Cambria Math"/>
                      <w:lang w:val="ro-RO"/>
                    </w:rPr>
                    <m:t>t,m</m:t>
                  </m:r>
                </m:e>
              </m:d>
              <m:r>
                <w:rPr>
                  <w:rFonts w:ascii="Cambria Math" w:hAnsi="Cambria Math"/>
                  <w:lang w:val="ro-RO"/>
                </w:rPr>
                <m:t>-</m:t>
              </m:r>
              <m:sSub>
                <m:sSubPr>
                  <m:ctrlPr>
                    <w:rPr>
                      <w:rFonts w:ascii="Cambria Math" w:hAnsi="Cambria Math"/>
                      <w:i/>
                      <w:iCs/>
                      <w:lang w:val="ro-RO"/>
                    </w:rPr>
                  </m:ctrlPr>
                </m:sSubPr>
                <m:e>
                  <m:r>
                    <w:rPr>
                      <w:rFonts w:ascii="Cambria Math" w:hAnsi="Cambria Math"/>
                      <w:lang w:val="ro-RO"/>
                    </w:rPr>
                    <m:t>E</m:t>
                  </m:r>
                </m:e>
                <m:sub>
                  <m:r>
                    <w:rPr>
                      <w:rFonts w:ascii="Cambria Math" w:hAnsi="Cambria Math"/>
                      <w:lang w:val="ro-RO"/>
                    </w:rPr>
                    <m:t>Exp</m:t>
                  </m:r>
                </m:sub>
              </m:sSub>
              <m:d>
                <m:dPr>
                  <m:ctrlPr>
                    <w:rPr>
                      <w:rFonts w:ascii="Cambria Math" w:hAnsi="Cambria Math"/>
                      <w:i/>
                      <w:iCs/>
                      <w:lang w:val="ro-RO"/>
                    </w:rPr>
                  </m:ctrlPr>
                </m:dPr>
                <m:e>
                  <m:r>
                    <w:rPr>
                      <w:rFonts w:ascii="Cambria Math" w:hAnsi="Cambria Math"/>
                      <w:lang w:val="ro-RO"/>
                    </w:rPr>
                    <m:t>t,m</m:t>
                  </m:r>
                </m:e>
              </m:d>
              <m:r>
                <w:rPr>
                  <w:rFonts w:ascii="Cambria Math" w:hAnsi="Cambria Math"/>
                  <w:lang w:val="ro-RO"/>
                </w:rPr>
                <m:t>*</m:t>
              </m:r>
              <m:sSub>
                <m:sSubPr>
                  <m:ctrlPr>
                    <w:rPr>
                      <w:rFonts w:ascii="Cambria Math" w:hAnsi="Cambria Math"/>
                      <w:i/>
                      <w:iCs/>
                      <w:lang w:val="ro-RO"/>
                    </w:rPr>
                  </m:ctrlPr>
                </m:sSubPr>
                <m:e>
                  <m:r>
                    <w:rPr>
                      <w:rFonts w:ascii="Cambria Math" w:hAnsi="Cambria Math"/>
                      <w:lang w:val="ro-RO"/>
                    </w:rPr>
                    <m:t>C</m:t>
                  </m:r>
                </m:e>
                <m:sub>
                  <m:r>
                    <w:rPr>
                      <w:rFonts w:ascii="Cambria Math" w:hAnsi="Cambria Math"/>
                      <w:lang w:val="ro-RO"/>
                    </w:rPr>
                    <m:t>Exp</m:t>
                  </m:r>
                </m:sub>
              </m:sSub>
              <m:d>
                <m:dPr>
                  <m:ctrlPr>
                    <w:rPr>
                      <w:rFonts w:ascii="Cambria Math" w:hAnsi="Cambria Math"/>
                      <w:i/>
                      <w:iCs/>
                      <w:lang w:val="ro-RO"/>
                    </w:rPr>
                  </m:ctrlPr>
                </m:dPr>
                <m:e>
                  <m:r>
                    <w:rPr>
                      <w:rFonts w:ascii="Cambria Math" w:hAnsi="Cambria Math"/>
                      <w:lang w:val="ro-RO"/>
                    </w:rPr>
                    <m:t>t,m</m:t>
                  </m:r>
                </m:e>
              </m:d>
            </m:e>
          </m:d>
          <m:r>
            <w:rPr>
              <w:rFonts w:ascii="Cambria Math" w:hAnsi="Cambria Math"/>
              <w:lang w:val="ro-RO"/>
            </w:rPr>
            <m:t>-S</m:t>
          </m:r>
          <m:d>
            <m:dPr>
              <m:ctrlPr>
                <w:rPr>
                  <w:rFonts w:ascii="Cambria Math" w:hAnsi="Cambria Math"/>
                  <w:i/>
                  <w:iCs/>
                  <w:lang w:val="ro-RO"/>
                </w:rPr>
              </m:ctrlPr>
            </m:dPr>
            <m:e>
              <m:r>
                <w:rPr>
                  <w:rFonts w:ascii="Cambria Math" w:hAnsi="Cambria Math"/>
                  <w:lang w:val="ro-RO"/>
                </w:rPr>
                <m:t>t,m</m:t>
              </m:r>
            </m:e>
          </m:d>
        </m:oMath>
      </m:oMathPara>
    </w:p>
    <w:p w:rsidR="00163BE0" w:rsidRPr="00944248" w:rsidRDefault="00BB5A8C" w:rsidP="00163BE0">
      <w:pPr>
        <w:rPr>
          <w:rFonts w:ascii="Times New Roman" w:hAnsi="Times New Roman"/>
          <w:lang w:val="ro-RO"/>
        </w:rPr>
      </w:pPr>
      <m:oMathPara>
        <m:oMath>
          <m:sSub>
            <m:sSubPr>
              <m:ctrlPr>
                <w:rPr>
                  <w:rFonts w:ascii="Cambria Math" w:hAnsi="Cambria Math"/>
                  <w:i/>
                  <w:lang w:val="ro-RO"/>
                </w:rPr>
              </m:ctrlPr>
            </m:sSubPr>
            <m:e>
              <m:r>
                <w:rPr>
                  <w:rFonts w:ascii="Cambria Math" w:hAnsi="Cambria Math"/>
                  <w:lang w:val="ro-RO"/>
                </w:rPr>
                <m:t>B</m:t>
              </m:r>
            </m:e>
            <m:sub>
              <m:r>
                <w:rPr>
                  <w:rFonts w:ascii="Cambria Math" w:hAnsi="Cambria Math"/>
                  <w:lang w:val="ro-RO"/>
                </w:rPr>
                <m:t>INP</m:t>
              </m:r>
            </m:sub>
          </m:sSub>
          <m:d>
            <m:dPr>
              <m:ctrlPr>
                <w:rPr>
                  <w:rFonts w:ascii="Cambria Math" w:hAnsi="Cambria Math"/>
                  <w:i/>
                  <w:lang w:val="ro-RO"/>
                </w:rPr>
              </m:ctrlPr>
            </m:dPr>
            <m:e>
              <m:r>
                <w:rPr>
                  <w:rFonts w:ascii="Cambria Math" w:hAnsi="Cambria Math"/>
                  <w:lang w:val="ro-RO"/>
                </w:rPr>
                <m:t>t</m:t>
              </m:r>
            </m:e>
          </m:d>
          <m:r>
            <w:rPr>
              <w:rFonts w:ascii="Cambria Math" w:hAnsi="Cambria Math"/>
              <w:lang w:val="ro-RO"/>
            </w:rPr>
            <m:t>=</m:t>
          </m:r>
          <m:nary>
            <m:naryPr>
              <m:chr m:val="∑"/>
              <m:limLoc m:val="undOvr"/>
              <m:ctrlPr>
                <w:rPr>
                  <w:rFonts w:ascii="Cambria Math" w:hAnsi="Cambria Math"/>
                  <w:i/>
                  <w:lang w:val="ro-RO"/>
                </w:rPr>
              </m:ctrlPr>
            </m:naryPr>
            <m:sub>
              <m:r>
                <w:rPr>
                  <w:rFonts w:ascii="Cambria Math" w:hAnsi="Cambria Math"/>
                  <w:lang w:val="ro-RO"/>
                </w:rPr>
                <m:t>m=1</m:t>
              </m:r>
            </m:sub>
            <m:sup>
              <m:r>
                <w:rPr>
                  <w:rFonts w:ascii="Cambria Math" w:hAnsi="Cambria Math"/>
                  <w:lang w:val="ro-RO"/>
                </w:rPr>
                <m:t>M</m:t>
              </m:r>
            </m:sup>
            <m:e>
              <m:r>
                <w:rPr>
                  <w:rFonts w:ascii="Cambria Math" w:hAnsi="Cambria Math"/>
                  <w:lang w:val="ro-RO"/>
                </w:rPr>
                <m:t>B(t,m)</m:t>
              </m:r>
            </m:e>
          </m:nary>
        </m:oMath>
      </m:oMathPara>
    </w:p>
    <w:p w:rsidR="00163BE0" w:rsidRPr="00944248" w:rsidRDefault="00163BE0" w:rsidP="00163BE0">
      <w:pPr>
        <w:pStyle w:val="textregular"/>
        <w:rPr>
          <w:szCs w:val="22"/>
          <w:lang w:val="ro-RO"/>
        </w:rPr>
      </w:pPr>
    </w:p>
    <w:p w:rsidR="00163BE0" w:rsidRPr="00944248" w:rsidRDefault="00163BE0" w:rsidP="00955BB7">
      <w:pPr>
        <w:pStyle w:val="textregular"/>
        <w:rPr>
          <w:szCs w:val="22"/>
          <w:lang w:val="ro-RO"/>
        </w:rPr>
      </w:pPr>
      <w:r w:rsidRPr="00944248">
        <w:rPr>
          <w:lang w:val="ro-RO"/>
        </w:rPr>
        <w:t>Procedura de decontare poate avea ca rezultat un tarif negativ pentru anumiți membri IN. Acest posibil tarif negativ este cauzat de faptul că INP nu ține cont de informațiile economice atunci când efectuează compensarea nevoilor aRRF. Un membru IN poate avea un tarif negativ într-unul din următoarele scenarii:</w:t>
      </w:r>
    </w:p>
    <w:p w:rsidR="00163BE0" w:rsidRPr="00944248" w:rsidRDefault="00163BE0" w:rsidP="00DD58FA">
      <w:pPr>
        <w:pStyle w:val="ListParagraph"/>
        <w:numPr>
          <w:ilvl w:val="1"/>
          <w:numId w:val="16"/>
        </w:numPr>
        <w:spacing w:after="120" w:line="252" w:lineRule="auto"/>
        <w:ind w:left="938"/>
        <w:contextualSpacing w:val="0"/>
        <w:jc w:val="both"/>
        <w:rPr>
          <w:rFonts w:ascii="Times New Roman" w:hAnsi="Times New Roman"/>
          <w:szCs w:val="19"/>
          <w:lang w:val="ro-RO"/>
        </w:rPr>
      </w:pPr>
      <w:r w:rsidRPr="00944248">
        <w:rPr>
          <w:rFonts w:ascii="Times New Roman" w:hAnsi="Times New Roman"/>
          <w:szCs w:val="19"/>
          <w:lang w:val="ro-RO"/>
        </w:rPr>
        <w:t>Prețul de decontare IN inițial este mai mare decât valoarea activării aRRF pozitive evitate</w:t>
      </w:r>
      <w:r w:rsidR="00960672">
        <w:rPr>
          <w:rFonts w:ascii="Times New Roman" w:hAnsi="Times New Roman"/>
          <w:szCs w:val="19"/>
          <w:lang w:val="ro-RO"/>
        </w:rPr>
        <w:t>;</w:t>
      </w:r>
      <w:r w:rsidRPr="00944248">
        <w:rPr>
          <w:rFonts w:ascii="Times New Roman" w:hAnsi="Times New Roman"/>
          <w:szCs w:val="19"/>
          <w:lang w:val="ro-RO"/>
        </w:rPr>
        <w:t xml:space="preserve"> </w:t>
      </w:r>
    </w:p>
    <w:p w:rsidR="00163BE0" w:rsidRPr="00944248" w:rsidRDefault="00163BE0" w:rsidP="00DD58FA">
      <w:pPr>
        <w:pStyle w:val="ListParagraph"/>
        <w:numPr>
          <w:ilvl w:val="1"/>
          <w:numId w:val="16"/>
        </w:numPr>
        <w:spacing w:after="120" w:line="252" w:lineRule="auto"/>
        <w:ind w:left="938"/>
        <w:contextualSpacing w:val="0"/>
        <w:jc w:val="both"/>
        <w:rPr>
          <w:rFonts w:ascii="Times New Roman" w:hAnsi="Times New Roman"/>
          <w:szCs w:val="22"/>
          <w:lang w:val="ro-RO"/>
        </w:rPr>
      </w:pPr>
      <w:r w:rsidRPr="00944248">
        <w:rPr>
          <w:rFonts w:ascii="Times New Roman" w:hAnsi="Times New Roman"/>
          <w:szCs w:val="19"/>
          <w:lang w:val="ro-RO"/>
        </w:rPr>
        <w:t>Prețul de decontare IN inițial este mai mic decât valoarea activării aRRF negative evitate.</w:t>
      </w:r>
      <w:r w:rsidRPr="00944248">
        <w:rPr>
          <w:rFonts w:ascii="Times New Roman" w:hAnsi="Times New Roman"/>
          <w:szCs w:val="22"/>
          <w:lang w:val="ro-RO"/>
        </w:rPr>
        <w:t xml:space="preserve"> </w:t>
      </w:r>
    </w:p>
    <w:p w:rsidR="00163BE0" w:rsidRPr="00944248" w:rsidRDefault="00163BE0" w:rsidP="00955BB7">
      <w:pPr>
        <w:pStyle w:val="textregular"/>
        <w:rPr>
          <w:szCs w:val="22"/>
          <w:lang w:val="ro-RO"/>
        </w:rPr>
      </w:pPr>
      <w:r w:rsidRPr="00944248">
        <w:rPr>
          <w:lang w:val="ro-RO"/>
        </w:rPr>
        <w:lastRenderedPageBreak/>
        <w:t>Sumele decontării se supun unei ajustări în cazul în care există un tarif negativ pentru unii membri IN și un tarif IN pozitiv general în aceeași perioadă de decontare. Tarifele negative sunt schimbate la zero. Tarifele pozitive sunt reduse proporțional, menținând totodată tariful general IN. Membrii IN care au IN de import și export egale într-o anumită perioadă de decontare sunt excluși din această ajustare. Ajustarea generează următoarele prețuri de decontare ajustate pentru membrii IN cu tarife negative în perioadele de decontare afectate</w:t>
      </w:r>
      <w:r w:rsidRPr="00944248">
        <w:rPr>
          <w:szCs w:val="22"/>
          <w:lang w:val="ro-RO"/>
        </w:rPr>
        <w:t>:</w:t>
      </w:r>
    </w:p>
    <w:p w:rsidR="00163BE0" w:rsidRPr="00944248" w:rsidRDefault="00163BE0" w:rsidP="00DD58FA">
      <w:pPr>
        <w:pStyle w:val="textregular"/>
        <w:numPr>
          <w:ilvl w:val="1"/>
          <w:numId w:val="17"/>
        </w:numPr>
        <w:ind w:left="938"/>
        <w:rPr>
          <w:lang w:val="ro-RO"/>
        </w:rPr>
      </w:pPr>
      <w:r w:rsidRPr="00944248">
        <w:rPr>
          <w:lang w:val="ro-RO"/>
        </w:rPr>
        <w:t>În cazul unui preț de decontare IN inițial mai mare decât valoarea activării aRRF pozitive evitate, prețul decontării pentru importul planificat de energie care a rezultat din INP pentru acest membru IN este egal cu valoarea activării aRRF pozitive evitate</w:t>
      </w:r>
      <w:r w:rsidR="00960672">
        <w:rPr>
          <w:lang w:val="ro-RO"/>
        </w:rPr>
        <w:t>;</w:t>
      </w:r>
    </w:p>
    <w:p w:rsidR="00163BE0" w:rsidRPr="00944248" w:rsidRDefault="00163BE0" w:rsidP="00DD58FA">
      <w:pPr>
        <w:pStyle w:val="textregular"/>
        <w:numPr>
          <w:ilvl w:val="1"/>
          <w:numId w:val="17"/>
        </w:numPr>
        <w:ind w:left="938"/>
        <w:rPr>
          <w:lang w:val="ro-RO"/>
        </w:rPr>
      </w:pPr>
      <w:r w:rsidRPr="00944248">
        <w:rPr>
          <w:lang w:val="ro-RO"/>
        </w:rPr>
        <w:t>În cazul unui preț de decontare IN inițial mai mic decât valoarea activării aRRF negative evitate, prețul decontării pentru exportul planificat de energie care a rezultat din INP pentru acest membru IN este egal cu valoarea activării aRRF negative evitate</w:t>
      </w:r>
      <w:r w:rsidR="00960672">
        <w:rPr>
          <w:lang w:val="ro-RO"/>
        </w:rPr>
        <w:t>.</w:t>
      </w:r>
    </w:p>
    <w:p w:rsidR="00163BE0" w:rsidRPr="00944248" w:rsidRDefault="00163BE0" w:rsidP="00955BB7">
      <w:pPr>
        <w:rPr>
          <w:rFonts w:ascii="Times New Roman" w:hAnsi="Times New Roman"/>
          <w:lang w:val="ro-RO"/>
        </w:rPr>
      </w:pPr>
      <w:r w:rsidRPr="00944248">
        <w:rPr>
          <w:rFonts w:ascii="Times New Roman" w:hAnsi="Times New Roman"/>
          <w:szCs w:val="19"/>
          <w:lang w:val="ro-RO"/>
        </w:rPr>
        <w:t xml:space="preserve">Astfel, procedura de calcul al sumelor de decontare ajustate </w:t>
      </w:r>
      <m:oMath>
        <m:sSup>
          <m:sSupPr>
            <m:ctrlPr>
              <w:rPr>
                <w:rFonts w:ascii="Cambria Math" w:hAnsi="Cambria Math"/>
                <w:szCs w:val="19"/>
                <w:lang w:val="ro-RO"/>
              </w:rPr>
            </m:ctrlPr>
          </m:sSupPr>
          <m:e>
            <m:r>
              <w:rPr>
                <w:rFonts w:ascii="Cambria Math" w:hAnsi="Cambria Math"/>
                <w:szCs w:val="19"/>
                <w:lang w:val="ro-RO"/>
              </w:rPr>
              <m:t>S</m:t>
            </m:r>
          </m:e>
          <m:sup>
            <m:r>
              <m:rPr>
                <m:sty m:val="p"/>
              </m:rPr>
              <w:rPr>
                <w:rFonts w:ascii="Cambria Math" w:hAnsi="Cambria Math"/>
                <w:szCs w:val="19"/>
                <w:lang w:val="ro-RO"/>
              </w:rPr>
              <m:t>'</m:t>
            </m:r>
          </m:sup>
        </m:sSup>
        <m:d>
          <m:dPr>
            <m:ctrlPr>
              <w:rPr>
                <w:rFonts w:ascii="Cambria Math" w:hAnsi="Cambria Math"/>
                <w:szCs w:val="19"/>
                <w:lang w:val="ro-RO"/>
              </w:rPr>
            </m:ctrlPr>
          </m:dPr>
          <m:e>
            <m:r>
              <w:rPr>
                <w:rFonts w:ascii="Cambria Math" w:hAnsi="Cambria Math"/>
                <w:szCs w:val="19"/>
                <w:lang w:val="ro-RO"/>
              </w:rPr>
              <m:t>t</m:t>
            </m:r>
            <m:r>
              <m:rPr>
                <m:sty m:val="p"/>
              </m:rPr>
              <w:rPr>
                <w:rFonts w:ascii="Cambria Math" w:hAnsi="Cambria Math"/>
                <w:szCs w:val="19"/>
                <w:lang w:val="ro-RO"/>
              </w:rPr>
              <m:t>,</m:t>
            </m:r>
            <m:r>
              <w:rPr>
                <w:rFonts w:ascii="Cambria Math" w:hAnsi="Cambria Math"/>
                <w:szCs w:val="19"/>
                <w:lang w:val="ro-RO"/>
              </w:rPr>
              <m:t>m</m:t>
            </m:r>
          </m:e>
        </m:d>
      </m:oMath>
      <w:r w:rsidRPr="00944248">
        <w:rPr>
          <w:rFonts w:ascii="Times New Roman" w:hAnsi="Times New Roman"/>
          <w:szCs w:val="19"/>
          <w:lang w:val="ro-RO"/>
        </w:rPr>
        <w:t xml:space="preserve"> în cazul apariției tarifului negativ pentru unul sau mai mulți membrii INP este ilustrată prin următoarele formule</w:t>
      </w:r>
      <w:r w:rsidRPr="00944248">
        <w:rPr>
          <w:rFonts w:ascii="Times New Roman" w:hAnsi="Times New Roman"/>
          <w:lang w:val="ro-RO"/>
        </w:rPr>
        <w:t>:</w:t>
      </w:r>
    </w:p>
    <w:p w:rsidR="00163BE0" w:rsidRPr="00944248" w:rsidRDefault="00163BE0" w:rsidP="00163BE0">
      <w:pPr>
        <w:rPr>
          <w:rFonts w:ascii="Times New Roman" w:hAnsi="Times New Roman"/>
          <w:lang w:val="ro-RO"/>
        </w:rPr>
      </w:pPr>
    </w:p>
    <w:p w:rsidR="00163BE0" w:rsidRPr="00944248" w:rsidRDefault="00163BE0" w:rsidP="00DD58FA">
      <w:pPr>
        <w:pStyle w:val="ListParagraph"/>
        <w:numPr>
          <w:ilvl w:val="0"/>
          <w:numId w:val="13"/>
        </w:numPr>
        <w:spacing w:after="200" w:line="360" w:lineRule="auto"/>
        <w:jc w:val="both"/>
        <w:rPr>
          <w:rFonts w:ascii="Times New Roman" w:hAnsi="Times New Roman"/>
          <w:lang w:val="ro-RO"/>
        </w:rPr>
      </w:pPr>
      <w:r w:rsidRPr="00944248">
        <w:rPr>
          <w:rFonts w:ascii="Times New Roman" w:hAnsi="Times New Roman"/>
          <w:szCs w:val="19"/>
          <w:lang w:val="ro-RO"/>
        </w:rPr>
        <w:t>Pentru membrul IN cu tarif negativ și import și export inegale</w:t>
      </w:r>
      <w:r w:rsidRPr="00944248">
        <w:rPr>
          <w:rFonts w:ascii="Times New Roman" w:hAnsi="Times New Roman"/>
          <w:lang w:val="ro-RO"/>
        </w:rPr>
        <w:t>:</w:t>
      </w:r>
    </w:p>
    <w:p w:rsidR="00163BE0" w:rsidRPr="00944248" w:rsidRDefault="00BB5A8C" w:rsidP="00163BE0">
      <w:pPr>
        <w:rPr>
          <w:rFonts w:ascii="Times New Roman" w:hAnsi="Times New Roman"/>
          <w:lang w:val="ro-RO"/>
        </w:rPr>
      </w:pPr>
      <m:oMathPara>
        <m:oMath>
          <m:sSup>
            <m:sSupPr>
              <m:ctrlPr>
                <w:rPr>
                  <w:rFonts w:ascii="Cambria Math" w:hAnsi="Cambria Math"/>
                  <w:i/>
                  <w:iCs/>
                  <w:lang w:val="ro-RO"/>
                </w:rPr>
              </m:ctrlPr>
            </m:sSupPr>
            <m:e>
              <m:r>
                <w:rPr>
                  <w:rFonts w:ascii="Cambria Math" w:hAnsi="Cambria Math"/>
                  <w:lang w:val="ro-RO"/>
                </w:rPr>
                <m:t>S</m:t>
              </m:r>
            </m:e>
            <m:sup>
              <m:r>
                <w:rPr>
                  <w:rFonts w:ascii="Cambria Math" w:hAnsi="Cambria Math"/>
                  <w:lang w:val="ro-RO"/>
                </w:rPr>
                <m:t>'</m:t>
              </m:r>
            </m:sup>
          </m:sSup>
          <m:d>
            <m:dPr>
              <m:ctrlPr>
                <w:rPr>
                  <w:rFonts w:ascii="Cambria Math" w:hAnsi="Cambria Math"/>
                  <w:i/>
                  <w:iCs/>
                  <w:lang w:val="ro-RO"/>
                </w:rPr>
              </m:ctrlPr>
            </m:dPr>
            <m:e>
              <m:r>
                <w:rPr>
                  <w:rFonts w:ascii="Cambria Math" w:hAnsi="Cambria Math"/>
                  <w:lang w:val="ro-RO"/>
                </w:rPr>
                <m:t>t,m</m:t>
              </m:r>
            </m:e>
          </m:d>
          <m:r>
            <w:rPr>
              <w:rFonts w:ascii="Cambria Math" w:hAnsi="Cambria Math"/>
              <w:lang w:val="ro-RO"/>
            </w:rPr>
            <m:t>=S</m:t>
          </m:r>
          <m:d>
            <m:dPr>
              <m:ctrlPr>
                <w:rPr>
                  <w:rFonts w:ascii="Cambria Math" w:hAnsi="Cambria Math"/>
                  <w:i/>
                  <w:iCs/>
                  <w:lang w:val="ro-RO"/>
                </w:rPr>
              </m:ctrlPr>
            </m:dPr>
            <m:e>
              <m:r>
                <w:rPr>
                  <w:rFonts w:ascii="Cambria Math" w:hAnsi="Cambria Math"/>
                  <w:lang w:val="ro-RO"/>
                </w:rPr>
                <m:t>t,m</m:t>
              </m:r>
            </m:e>
          </m:d>
          <m:r>
            <w:rPr>
              <w:rFonts w:ascii="Cambria Math" w:hAnsi="Cambria Math"/>
              <w:lang w:val="ro-RO"/>
            </w:rPr>
            <m:t>+B(t,m)</m:t>
          </m:r>
        </m:oMath>
      </m:oMathPara>
    </w:p>
    <w:p w:rsidR="00163BE0" w:rsidRPr="00944248" w:rsidRDefault="00163BE0" w:rsidP="00163BE0">
      <w:pPr>
        <w:rPr>
          <w:rFonts w:ascii="Times New Roman" w:hAnsi="Times New Roman"/>
          <w:lang w:val="ro-RO"/>
        </w:rPr>
      </w:pPr>
    </w:p>
    <w:p w:rsidR="00163BE0" w:rsidRPr="00944248" w:rsidRDefault="00163BE0" w:rsidP="00DD58FA">
      <w:pPr>
        <w:pStyle w:val="ListParagraph"/>
        <w:numPr>
          <w:ilvl w:val="0"/>
          <w:numId w:val="13"/>
        </w:numPr>
        <w:spacing w:after="200" w:line="360" w:lineRule="auto"/>
        <w:jc w:val="both"/>
        <w:rPr>
          <w:rFonts w:ascii="Times New Roman" w:hAnsi="Times New Roman"/>
          <w:lang w:val="ro-RO"/>
        </w:rPr>
      </w:pPr>
      <w:r w:rsidRPr="00944248">
        <w:rPr>
          <w:rFonts w:ascii="Times New Roman" w:hAnsi="Times New Roman"/>
          <w:szCs w:val="19"/>
          <w:lang w:val="ro-RO"/>
        </w:rPr>
        <w:t>Pentru membrul IN cu tarif pozitiv și import și export inegale</w:t>
      </w:r>
      <w:r w:rsidRPr="00944248">
        <w:rPr>
          <w:rFonts w:ascii="Times New Roman" w:hAnsi="Times New Roman"/>
          <w:lang w:val="ro-RO"/>
        </w:rPr>
        <w:t>:</w:t>
      </w:r>
    </w:p>
    <w:p w:rsidR="00163BE0" w:rsidRPr="00944248" w:rsidRDefault="00BB5A8C" w:rsidP="00163BE0">
      <w:pPr>
        <w:pStyle w:val="textregular"/>
        <w:rPr>
          <w:lang w:val="ro-RO"/>
        </w:rPr>
      </w:pPr>
      <m:oMathPara>
        <m:oMath>
          <m:sSup>
            <m:sSupPr>
              <m:ctrlPr>
                <w:rPr>
                  <w:rFonts w:ascii="Cambria Math" w:hAnsi="Cambria Math"/>
                  <w:i/>
                  <w:iCs/>
                  <w:lang w:val="ro-RO"/>
                </w:rPr>
              </m:ctrlPr>
            </m:sSupPr>
            <m:e>
              <m:r>
                <w:rPr>
                  <w:rFonts w:ascii="Cambria Math" w:hAnsi="Cambria Math"/>
                  <w:lang w:val="ro-RO"/>
                </w:rPr>
                <m:t>S</m:t>
              </m:r>
            </m:e>
            <m:sup>
              <m:r>
                <w:rPr>
                  <w:rFonts w:ascii="Cambria Math" w:hAnsi="Cambria Math"/>
                  <w:lang w:val="ro-RO"/>
                </w:rPr>
                <m:t>'</m:t>
              </m:r>
            </m:sup>
          </m:sSup>
          <m:d>
            <m:dPr>
              <m:ctrlPr>
                <w:rPr>
                  <w:rFonts w:ascii="Cambria Math" w:hAnsi="Cambria Math"/>
                  <w:i/>
                  <w:iCs/>
                  <w:lang w:val="ro-RO"/>
                </w:rPr>
              </m:ctrlPr>
            </m:dPr>
            <m:e>
              <m:r>
                <w:rPr>
                  <w:rFonts w:ascii="Cambria Math" w:hAnsi="Cambria Math"/>
                  <w:lang w:val="ro-RO"/>
                </w:rPr>
                <m:t>t,m</m:t>
              </m:r>
            </m:e>
          </m:d>
          <m:r>
            <w:rPr>
              <w:rFonts w:ascii="Cambria Math" w:hAnsi="Cambria Math"/>
              <w:lang w:val="ro-RO"/>
            </w:rPr>
            <m:t>=S</m:t>
          </m:r>
          <m:d>
            <m:dPr>
              <m:ctrlPr>
                <w:rPr>
                  <w:rFonts w:ascii="Cambria Math" w:hAnsi="Cambria Math"/>
                  <w:i/>
                  <w:iCs/>
                  <w:lang w:val="ro-RO"/>
                </w:rPr>
              </m:ctrlPr>
            </m:dPr>
            <m:e>
              <m:r>
                <w:rPr>
                  <w:rFonts w:ascii="Cambria Math" w:hAnsi="Cambria Math"/>
                  <w:lang w:val="ro-RO"/>
                </w:rPr>
                <m:t>t,m</m:t>
              </m:r>
            </m:e>
          </m:d>
          <m:r>
            <w:rPr>
              <w:rFonts w:ascii="Cambria Math" w:hAnsi="Cambria Math"/>
              <w:lang w:val="ro-RO"/>
            </w:rPr>
            <m:t>-</m:t>
          </m:r>
          <m:nary>
            <m:naryPr>
              <m:chr m:val="∑"/>
              <m:supHide m:val="1"/>
              <m:ctrlPr>
                <w:rPr>
                  <w:rFonts w:ascii="Cambria Math" w:hAnsi="Cambria Math"/>
                  <w:i/>
                  <w:iCs/>
                  <w:lang w:val="ro-RO"/>
                </w:rPr>
              </m:ctrlPr>
            </m:naryPr>
            <m:sub>
              <m:r>
                <w:rPr>
                  <w:rFonts w:ascii="Cambria Math" w:hAnsi="Cambria Math"/>
                  <w:lang w:val="ro-RO"/>
                </w:rPr>
                <m:t>i∈NZM(t)</m:t>
              </m:r>
            </m:sub>
            <m:sup/>
            <m:e>
              <m:func>
                <m:funcPr>
                  <m:ctrlPr>
                    <w:rPr>
                      <w:rFonts w:ascii="Cambria Math" w:hAnsi="Cambria Math"/>
                      <w:i/>
                      <w:iCs/>
                      <w:lang w:val="ro-RO"/>
                    </w:rPr>
                  </m:ctrlPr>
                </m:funcPr>
                <m:fName>
                  <m:r>
                    <w:rPr>
                      <w:rFonts w:ascii="Cambria Math" w:hAnsi="Cambria Math"/>
                      <w:lang w:val="ro-RO"/>
                    </w:rPr>
                    <m:t>min</m:t>
                  </m:r>
                </m:fName>
                <m:e>
                  <m:d>
                    <m:dPr>
                      <m:begChr m:val="["/>
                      <m:endChr m:val="]"/>
                      <m:ctrlPr>
                        <w:rPr>
                          <w:rFonts w:ascii="Cambria Math" w:hAnsi="Cambria Math"/>
                          <w:i/>
                          <w:iCs/>
                          <w:lang w:val="ro-RO"/>
                        </w:rPr>
                      </m:ctrlPr>
                    </m:dPr>
                    <m:e>
                      <m:r>
                        <w:rPr>
                          <w:rFonts w:ascii="Cambria Math" w:hAnsi="Cambria Math"/>
                          <w:lang w:val="ro-RO"/>
                        </w:rPr>
                        <m:t>0,B</m:t>
                      </m:r>
                      <m:d>
                        <m:dPr>
                          <m:ctrlPr>
                            <w:rPr>
                              <w:rFonts w:ascii="Cambria Math" w:hAnsi="Cambria Math"/>
                              <w:i/>
                              <w:iCs/>
                              <w:lang w:val="ro-RO"/>
                            </w:rPr>
                          </m:ctrlPr>
                        </m:dPr>
                        <m:e>
                          <m:r>
                            <w:rPr>
                              <w:rFonts w:ascii="Cambria Math" w:hAnsi="Cambria Math"/>
                              <w:lang w:val="ro-RO"/>
                            </w:rPr>
                            <m:t>t,i</m:t>
                          </m:r>
                        </m:e>
                      </m:d>
                    </m:e>
                  </m:d>
                </m:e>
              </m:func>
            </m:e>
          </m:nary>
          <m:r>
            <w:rPr>
              <w:rFonts w:ascii="Cambria Math" w:hAnsi="Cambria Math"/>
              <w:lang w:val="ro-RO"/>
            </w:rPr>
            <m:t>*</m:t>
          </m:r>
          <m:f>
            <m:fPr>
              <m:ctrlPr>
                <w:rPr>
                  <w:rFonts w:ascii="Cambria Math" w:hAnsi="Cambria Math"/>
                  <w:i/>
                  <w:iCs/>
                  <w:lang w:val="ro-RO"/>
                </w:rPr>
              </m:ctrlPr>
            </m:fPr>
            <m:num>
              <m:r>
                <w:rPr>
                  <w:rFonts w:ascii="Cambria Math" w:hAnsi="Cambria Math"/>
                  <w:lang w:val="ro-RO"/>
                </w:rPr>
                <m:t>B(t,m)</m:t>
              </m:r>
            </m:num>
            <m:den>
              <m:nary>
                <m:naryPr>
                  <m:chr m:val="∑"/>
                  <m:supHide m:val="1"/>
                  <m:ctrlPr>
                    <w:rPr>
                      <w:rFonts w:ascii="Cambria Math" w:hAnsi="Cambria Math"/>
                      <w:i/>
                      <w:iCs/>
                      <w:lang w:val="ro-RO"/>
                    </w:rPr>
                  </m:ctrlPr>
                </m:naryPr>
                <m:sub>
                  <m:r>
                    <w:rPr>
                      <w:rFonts w:ascii="Cambria Math" w:hAnsi="Cambria Math"/>
                      <w:lang w:val="ro-RO"/>
                    </w:rPr>
                    <m:t>i∈NZM(t)</m:t>
                  </m:r>
                </m:sub>
                <m:sup/>
                <m:e>
                  <m:func>
                    <m:funcPr>
                      <m:ctrlPr>
                        <w:rPr>
                          <w:rFonts w:ascii="Cambria Math" w:hAnsi="Cambria Math"/>
                          <w:i/>
                          <w:iCs/>
                          <w:lang w:val="ro-RO"/>
                        </w:rPr>
                      </m:ctrlPr>
                    </m:funcPr>
                    <m:fName>
                      <m:r>
                        <w:rPr>
                          <w:rFonts w:ascii="Cambria Math" w:hAnsi="Cambria Math"/>
                          <w:lang w:val="ro-RO"/>
                        </w:rPr>
                        <m:t>max</m:t>
                      </m:r>
                    </m:fName>
                    <m:e>
                      <m:d>
                        <m:dPr>
                          <m:ctrlPr>
                            <w:rPr>
                              <w:rFonts w:ascii="Cambria Math" w:hAnsi="Cambria Math"/>
                              <w:i/>
                              <w:iCs/>
                              <w:lang w:val="ro-RO"/>
                            </w:rPr>
                          </m:ctrlPr>
                        </m:dPr>
                        <m:e>
                          <m:r>
                            <w:rPr>
                              <w:rFonts w:ascii="Cambria Math" w:hAnsi="Cambria Math"/>
                              <w:lang w:val="ro-RO"/>
                            </w:rPr>
                            <m:t>0,B</m:t>
                          </m:r>
                          <m:d>
                            <m:dPr>
                              <m:ctrlPr>
                                <w:rPr>
                                  <w:rFonts w:ascii="Cambria Math" w:hAnsi="Cambria Math"/>
                                  <w:i/>
                                  <w:iCs/>
                                  <w:lang w:val="ro-RO"/>
                                </w:rPr>
                              </m:ctrlPr>
                            </m:dPr>
                            <m:e>
                              <m:r>
                                <w:rPr>
                                  <w:rFonts w:ascii="Cambria Math" w:hAnsi="Cambria Math"/>
                                  <w:lang w:val="ro-RO"/>
                                </w:rPr>
                                <m:t>t,i</m:t>
                              </m:r>
                            </m:e>
                          </m:d>
                        </m:e>
                      </m:d>
                    </m:e>
                  </m:func>
                </m:e>
              </m:nary>
            </m:den>
          </m:f>
        </m:oMath>
      </m:oMathPara>
    </w:p>
    <w:p w:rsidR="00163BE0" w:rsidRPr="00944248" w:rsidRDefault="00163BE0" w:rsidP="00163BE0">
      <w:pPr>
        <w:rPr>
          <w:rFonts w:ascii="Times New Roman" w:hAnsi="Times New Roman"/>
          <w:lang w:val="ro-RO"/>
        </w:rPr>
      </w:pPr>
    </w:p>
    <w:p w:rsidR="00163BE0" w:rsidRPr="00944248" w:rsidRDefault="00163BE0" w:rsidP="00163BE0">
      <w:pPr>
        <w:jc w:val="both"/>
        <w:rPr>
          <w:rFonts w:ascii="Times New Roman" w:hAnsi="Times New Roman"/>
          <w:szCs w:val="19"/>
          <w:lang w:val="ro-RO"/>
        </w:rPr>
      </w:pPr>
      <w:r w:rsidRPr="00944248">
        <w:rPr>
          <w:rFonts w:ascii="Times New Roman" w:hAnsi="Times New Roman"/>
          <w:szCs w:val="19"/>
          <w:lang w:val="ro-RO"/>
        </w:rPr>
        <w:t>Toate importurile și exporturile IN sunt decontate la prețurile de decontare finale IN ale fiecărui membru IN.</w:t>
      </w:r>
    </w:p>
    <w:p w:rsidR="00163BE0" w:rsidRPr="00944248" w:rsidRDefault="00163BE0" w:rsidP="00163BE0">
      <w:pPr>
        <w:jc w:val="both"/>
        <w:rPr>
          <w:rFonts w:ascii="Times New Roman" w:hAnsi="Times New Roman"/>
          <w:szCs w:val="19"/>
          <w:lang w:val="ro-RO"/>
        </w:rPr>
      </w:pPr>
    </w:p>
    <w:p w:rsidR="00163BE0" w:rsidRPr="00944248" w:rsidRDefault="00163BE0" w:rsidP="00163BE0">
      <w:pPr>
        <w:jc w:val="both"/>
        <w:rPr>
          <w:rFonts w:ascii="Times New Roman" w:hAnsi="Times New Roman"/>
          <w:szCs w:val="19"/>
          <w:lang w:val="ro-RO"/>
        </w:rPr>
      </w:pPr>
    </w:p>
    <w:p w:rsidR="00163BE0" w:rsidRPr="00944248" w:rsidRDefault="00BB5A8C" w:rsidP="00163BE0">
      <w:pPr>
        <w:jc w:val="both"/>
        <w:rPr>
          <w:rFonts w:ascii="Times New Roman" w:hAnsi="Times New Roman"/>
          <w:szCs w:val="19"/>
          <w:lang w:val="ro-RO"/>
        </w:rPr>
      </w:pPr>
      <m:oMathPara>
        <m:oMath>
          <m:sSub>
            <m:sSubPr>
              <m:ctrlPr>
                <w:rPr>
                  <w:rFonts w:ascii="Cambria Math" w:hAnsi="Cambria Math"/>
                  <w:i/>
                  <w:iCs/>
                  <w:szCs w:val="19"/>
                  <w:lang w:val="ro-RO"/>
                </w:rPr>
              </m:ctrlPr>
            </m:sSubPr>
            <m:e>
              <m:r>
                <w:rPr>
                  <w:rFonts w:ascii="Cambria Math" w:hAnsi="Cambria Math"/>
                  <w:szCs w:val="19"/>
                  <w:lang w:val="ro-RO"/>
                </w:rPr>
                <m:t>P'</m:t>
              </m:r>
            </m:e>
            <m:sub>
              <m:r>
                <w:rPr>
                  <w:rFonts w:ascii="Cambria Math" w:hAnsi="Cambria Math"/>
                  <w:szCs w:val="19"/>
                  <w:lang w:val="ro-RO"/>
                </w:rPr>
                <m:t>IGCC</m:t>
              </m:r>
            </m:sub>
          </m:sSub>
          <m:d>
            <m:dPr>
              <m:ctrlPr>
                <w:rPr>
                  <w:rFonts w:ascii="Cambria Math" w:hAnsi="Cambria Math"/>
                  <w:i/>
                  <w:iCs/>
                  <w:szCs w:val="19"/>
                  <w:lang w:val="ro-RO"/>
                </w:rPr>
              </m:ctrlPr>
            </m:dPr>
            <m:e>
              <m:r>
                <w:rPr>
                  <w:rFonts w:ascii="Cambria Math" w:hAnsi="Cambria Math"/>
                  <w:szCs w:val="19"/>
                  <w:lang w:val="ro-RO"/>
                </w:rPr>
                <m:t>t,m</m:t>
              </m:r>
            </m:e>
          </m:d>
          <m:r>
            <w:rPr>
              <w:rFonts w:ascii="Cambria Math" w:hAnsi="Cambria Math"/>
              <w:szCs w:val="19"/>
              <w:lang w:val="ro-RO"/>
            </w:rPr>
            <m:t>=</m:t>
          </m:r>
          <m:d>
            <m:dPr>
              <m:begChr m:val="{"/>
              <m:endChr m:val=""/>
              <m:ctrlPr>
                <w:rPr>
                  <w:rFonts w:ascii="Cambria Math" w:hAnsi="Cambria Math"/>
                  <w:i/>
                  <w:iCs/>
                  <w:szCs w:val="19"/>
                  <w:lang w:val="ro-RO"/>
                </w:rPr>
              </m:ctrlPr>
            </m:dPr>
            <m:e>
              <m:m>
                <m:mPr>
                  <m:mcs>
                    <m:mc>
                      <m:mcPr>
                        <m:count m:val="3"/>
                        <m:mcJc m:val="center"/>
                      </m:mcPr>
                    </m:mc>
                  </m:mcs>
                  <m:ctrlPr>
                    <w:rPr>
                      <w:rFonts w:ascii="Cambria Math" w:hAnsi="Cambria Math"/>
                      <w:i/>
                      <w:iCs/>
                      <w:szCs w:val="19"/>
                      <w:lang w:val="ro-RO"/>
                    </w:rPr>
                  </m:ctrlPr>
                </m:mPr>
                <m:mr>
                  <m:e>
                    <m:m>
                      <m:mPr>
                        <m:mcs>
                          <m:mc>
                            <m:mcPr>
                              <m:count m:val="1"/>
                              <m:mcJc m:val="center"/>
                            </m:mcPr>
                          </m:mc>
                        </m:mcs>
                        <m:ctrlPr>
                          <w:rPr>
                            <w:rFonts w:ascii="Cambria Math" w:hAnsi="Cambria Math"/>
                            <w:i/>
                            <w:iCs/>
                            <w:szCs w:val="19"/>
                            <w:lang w:val="ro-RO"/>
                          </w:rPr>
                        </m:ctrlPr>
                      </m:mPr>
                      <m:mr>
                        <m:e>
                          <m:sSub>
                            <m:sSubPr>
                              <m:ctrlPr>
                                <w:rPr>
                                  <w:rFonts w:ascii="Cambria Math" w:hAnsi="Cambria Math"/>
                                  <w:i/>
                                  <w:iCs/>
                                  <w:szCs w:val="19"/>
                                  <w:lang w:val="ro-RO"/>
                                </w:rPr>
                              </m:ctrlPr>
                            </m:sSubPr>
                            <m:e>
                              <m:r>
                                <w:rPr>
                                  <w:rFonts w:ascii="Cambria Math" w:hAnsi="Cambria Math"/>
                                  <w:szCs w:val="19"/>
                                  <w:lang w:val="ro-RO"/>
                                </w:rPr>
                                <m:t>P</m:t>
                              </m:r>
                            </m:e>
                            <m:sub>
                              <m:r>
                                <w:rPr>
                                  <w:rFonts w:ascii="Cambria Math" w:hAnsi="Cambria Math"/>
                                  <w:szCs w:val="19"/>
                                  <w:lang w:val="ro-RO"/>
                                </w:rPr>
                                <m:t>IGCC</m:t>
                              </m:r>
                            </m:sub>
                          </m:sSub>
                          <m:d>
                            <m:dPr>
                              <m:ctrlPr>
                                <w:rPr>
                                  <w:rFonts w:ascii="Cambria Math" w:hAnsi="Cambria Math"/>
                                  <w:i/>
                                  <w:szCs w:val="19"/>
                                  <w:lang w:val="ro-RO"/>
                                </w:rPr>
                              </m:ctrlPr>
                            </m:dPr>
                            <m:e>
                              <m:r>
                                <w:rPr>
                                  <w:rFonts w:ascii="Cambria Math" w:hAnsi="Cambria Math"/>
                                  <w:szCs w:val="19"/>
                                  <w:lang w:val="ro-RO"/>
                                </w:rPr>
                                <m:t>t,m</m:t>
                              </m:r>
                            </m:e>
                          </m:d>
                          <m:r>
                            <w:rPr>
                              <w:rFonts w:ascii="Cambria Math" w:hAnsi="Cambria Math"/>
                              <w:szCs w:val="19"/>
                              <w:lang w:val="ro-RO"/>
                            </w:rPr>
                            <m:t>, dacă m ∉NZM(t)</m:t>
                          </m:r>
                        </m:e>
                      </m:mr>
                      <m:mr>
                        <m:e>
                          <m:f>
                            <m:fPr>
                              <m:ctrlPr>
                                <w:rPr>
                                  <w:rFonts w:ascii="Cambria Math" w:hAnsi="Cambria Math"/>
                                  <w:i/>
                                  <w:iCs/>
                                  <w:szCs w:val="19"/>
                                  <w:lang w:val="ro-RO"/>
                                </w:rPr>
                              </m:ctrlPr>
                            </m:fPr>
                            <m:num>
                              <m:sSup>
                                <m:sSupPr>
                                  <m:ctrlPr>
                                    <w:rPr>
                                      <w:rFonts w:ascii="Cambria Math" w:hAnsi="Cambria Math"/>
                                      <w:i/>
                                      <w:iCs/>
                                      <w:szCs w:val="19"/>
                                      <w:lang w:val="ro-RO"/>
                                    </w:rPr>
                                  </m:ctrlPr>
                                </m:sSupPr>
                                <m:e>
                                  <m:r>
                                    <w:rPr>
                                      <w:rFonts w:ascii="Cambria Math" w:hAnsi="Cambria Math"/>
                                      <w:szCs w:val="19"/>
                                      <w:lang w:val="ro-RO"/>
                                    </w:rPr>
                                    <m:t>S</m:t>
                                  </m:r>
                                </m:e>
                                <m:sup>
                                  <m:r>
                                    <w:rPr>
                                      <w:rFonts w:ascii="Cambria Math" w:hAnsi="Cambria Math"/>
                                      <w:szCs w:val="19"/>
                                      <w:lang w:val="ro-RO"/>
                                    </w:rPr>
                                    <m:t>'</m:t>
                                  </m:r>
                                </m:sup>
                              </m:sSup>
                              <m:d>
                                <m:dPr>
                                  <m:ctrlPr>
                                    <w:rPr>
                                      <w:rFonts w:ascii="Cambria Math" w:hAnsi="Cambria Math"/>
                                      <w:i/>
                                      <w:iCs/>
                                      <w:szCs w:val="19"/>
                                      <w:lang w:val="ro-RO"/>
                                    </w:rPr>
                                  </m:ctrlPr>
                                </m:dPr>
                                <m:e>
                                  <m:r>
                                    <w:rPr>
                                      <w:rFonts w:ascii="Cambria Math" w:hAnsi="Cambria Math"/>
                                      <w:szCs w:val="19"/>
                                      <w:lang w:val="ro-RO"/>
                                    </w:rPr>
                                    <m:t>t,m</m:t>
                                  </m:r>
                                </m:e>
                              </m:d>
                            </m:num>
                            <m:den>
                              <m:sSub>
                                <m:sSubPr>
                                  <m:ctrlPr>
                                    <w:rPr>
                                      <w:rFonts w:ascii="Cambria Math" w:hAnsi="Cambria Math"/>
                                      <w:i/>
                                      <w:iCs/>
                                      <w:szCs w:val="19"/>
                                      <w:lang w:val="ro-RO"/>
                                    </w:rPr>
                                  </m:ctrlPr>
                                </m:sSubPr>
                                <m:e>
                                  <m:r>
                                    <w:rPr>
                                      <w:rFonts w:ascii="Cambria Math" w:hAnsi="Cambria Math"/>
                                      <w:szCs w:val="19"/>
                                      <w:lang w:val="ro-RO"/>
                                    </w:rPr>
                                    <m:t>E</m:t>
                                  </m:r>
                                </m:e>
                                <m:sub>
                                  <m:r>
                                    <w:rPr>
                                      <w:rFonts w:ascii="Cambria Math" w:hAnsi="Cambria Math"/>
                                      <w:szCs w:val="19"/>
                                      <w:lang w:val="ro-RO"/>
                                    </w:rPr>
                                    <m:t>Imp</m:t>
                                  </m:r>
                                </m:sub>
                              </m:sSub>
                              <m:d>
                                <m:dPr>
                                  <m:ctrlPr>
                                    <w:rPr>
                                      <w:rFonts w:ascii="Cambria Math" w:hAnsi="Cambria Math"/>
                                      <w:i/>
                                      <w:iCs/>
                                      <w:szCs w:val="19"/>
                                      <w:lang w:val="ro-RO"/>
                                    </w:rPr>
                                  </m:ctrlPr>
                                </m:dPr>
                                <m:e>
                                  <m:r>
                                    <w:rPr>
                                      <w:rFonts w:ascii="Cambria Math" w:hAnsi="Cambria Math"/>
                                      <w:szCs w:val="19"/>
                                      <w:lang w:val="ro-RO"/>
                                    </w:rPr>
                                    <m:t>t,m</m:t>
                                  </m:r>
                                </m:e>
                              </m:d>
                              <m:r>
                                <w:rPr>
                                  <w:rFonts w:ascii="Cambria Math" w:hAnsi="Cambria Math"/>
                                  <w:szCs w:val="19"/>
                                  <w:lang w:val="ro-RO"/>
                                </w:rPr>
                                <m:t>-</m:t>
                              </m:r>
                              <m:sSub>
                                <m:sSubPr>
                                  <m:ctrlPr>
                                    <w:rPr>
                                      <w:rFonts w:ascii="Cambria Math" w:hAnsi="Cambria Math"/>
                                      <w:i/>
                                      <w:iCs/>
                                      <w:szCs w:val="19"/>
                                      <w:lang w:val="ro-RO"/>
                                    </w:rPr>
                                  </m:ctrlPr>
                                </m:sSubPr>
                                <m:e>
                                  <m:r>
                                    <w:rPr>
                                      <w:rFonts w:ascii="Cambria Math" w:hAnsi="Cambria Math"/>
                                      <w:szCs w:val="19"/>
                                      <w:lang w:val="ro-RO"/>
                                    </w:rPr>
                                    <m:t>E</m:t>
                                  </m:r>
                                </m:e>
                                <m:sub>
                                  <m:r>
                                    <w:rPr>
                                      <w:rFonts w:ascii="Cambria Math" w:hAnsi="Cambria Math"/>
                                      <w:szCs w:val="19"/>
                                      <w:lang w:val="ro-RO"/>
                                    </w:rPr>
                                    <m:t>Exp</m:t>
                                  </m:r>
                                </m:sub>
                              </m:sSub>
                              <m:d>
                                <m:dPr>
                                  <m:ctrlPr>
                                    <w:rPr>
                                      <w:rFonts w:ascii="Cambria Math" w:hAnsi="Cambria Math"/>
                                      <w:i/>
                                      <w:iCs/>
                                      <w:szCs w:val="19"/>
                                      <w:lang w:val="ro-RO"/>
                                    </w:rPr>
                                  </m:ctrlPr>
                                </m:dPr>
                                <m:e>
                                  <m:r>
                                    <w:rPr>
                                      <w:rFonts w:ascii="Cambria Math" w:hAnsi="Cambria Math"/>
                                      <w:szCs w:val="19"/>
                                      <w:lang w:val="ro-RO"/>
                                    </w:rPr>
                                    <m:t>t,m</m:t>
                                  </m:r>
                                </m:e>
                              </m:d>
                            </m:den>
                          </m:f>
                          <m:r>
                            <w:rPr>
                              <w:rFonts w:ascii="Cambria Math" w:hAnsi="Cambria Math"/>
                              <w:szCs w:val="19"/>
                              <w:lang w:val="ro-RO"/>
                            </w:rPr>
                            <m:t xml:space="preserve"> , dacă m∈NZM(t) </m:t>
                          </m:r>
                        </m:e>
                      </m:mr>
                    </m:m>
                  </m:e>
                  <m:e/>
                  <m:e>
                    <m:m>
                      <m:mPr>
                        <m:mcs>
                          <m:mc>
                            <m:mcPr>
                              <m:count m:val="1"/>
                              <m:mcJc m:val="center"/>
                            </m:mcPr>
                          </m:mc>
                        </m:mcs>
                        <m:ctrlPr>
                          <w:rPr>
                            <w:rFonts w:ascii="Cambria Math" w:hAnsi="Cambria Math"/>
                            <w:i/>
                            <w:iCs/>
                            <w:szCs w:val="19"/>
                            <w:lang w:val="ro-RO"/>
                          </w:rPr>
                        </m:ctrlPr>
                      </m:mPr>
                      <m:mr>
                        <m:e/>
                      </m:mr>
                      <m:mr>
                        <m:e/>
                      </m:mr>
                    </m:m>
                  </m:e>
                </m:mr>
              </m:m>
            </m:e>
          </m:d>
        </m:oMath>
      </m:oMathPara>
    </w:p>
    <w:p w:rsidR="00163BE0" w:rsidRPr="00944248" w:rsidRDefault="00163BE0" w:rsidP="00163BE0">
      <w:pPr>
        <w:jc w:val="both"/>
        <w:rPr>
          <w:rFonts w:ascii="Times New Roman" w:hAnsi="Times New Roman"/>
          <w:szCs w:val="19"/>
          <w:lang w:val="ro-RO"/>
        </w:rPr>
      </w:pPr>
    </w:p>
    <w:p w:rsidR="00163BE0" w:rsidRPr="00944248" w:rsidRDefault="00163BE0" w:rsidP="00955BB7">
      <w:pPr>
        <w:pStyle w:val="textregular"/>
        <w:rPr>
          <w:lang w:val="ro-RO"/>
        </w:rPr>
      </w:pPr>
      <w:r w:rsidRPr="00944248">
        <w:rPr>
          <w:lang w:val="ro-RO"/>
        </w:rPr>
        <w:t>În cazul în care există un tarif IN general negativ dar tarife individuale ale membrilor IN atât pozitive, cât și negative, se va aplica o procedură echivalentă cu cea descrisă mai sus, compensând până la zero toate tarifele individuale pozitive și reducând astfel în mod proporțional tarifele negative individuale ale membrilor IN afectați.</w:t>
      </w:r>
    </w:p>
    <w:p w:rsidR="00163BE0" w:rsidRPr="00944248" w:rsidRDefault="00163BE0" w:rsidP="00955BB7">
      <w:pPr>
        <w:pStyle w:val="textregular"/>
        <w:rPr>
          <w:lang w:val="ro-RO"/>
        </w:rPr>
      </w:pPr>
      <w:r w:rsidRPr="00944248">
        <w:rPr>
          <w:lang w:val="ro-RO"/>
        </w:rPr>
        <w:t>Nu va fi efectuată nicio ajustare în cazul unui tarif IN general negativ combinat cu toate tarifele IN individuale ale membrilor negative.</w:t>
      </w:r>
    </w:p>
    <w:p w:rsidR="00E33AE4" w:rsidRPr="00944248" w:rsidRDefault="00E33AE4" w:rsidP="00955BB7">
      <w:pPr>
        <w:pStyle w:val="textregular"/>
        <w:rPr>
          <w:lang w:val="ro-RO"/>
        </w:rPr>
      </w:pPr>
      <w:r w:rsidRPr="00944248">
        <w:rPr>
          <w:lang w:val="ro-RO"/>
        </w:rPr>
        <w:t>În cazul în care tariful general este egal cu zero, este necesară schimbarea tuturor tarifelor la 0 (pentru a evita posibilul scenariu în care membrii cu tarife negative se îndreaptă spre membrii cu tarife pozitive).</w:t>
      </w:r>
    </w:p>
    <w:p w:rsidR="00163BE0" w:rsidRPr="00944248" w:rsidRDefault="00163BE0" w:rsidP="00955BB7">
      <w:pPr>
        <w:pStyle w:val="textregular"/>
        <w:rPr>
          <w:lang w:val="ro-RO"/>
        </w:rPr>
      </w:pPr>
      <w:r w:rsidRPr="00944248">
        <w:rPr>
          <w:lang w:val="ro-RO"/>
        </w:rPr>
        <w:t>Următorul tabel ilustrează un exemplu complet pentru calculul prețurilor de decontare, sumelor de decontare, tarifelor, sumelor de decontare ajustate, tarifelor ajustate și a prețurilor de decontare ajustate.</w:t>
      </w:r>
    </w:p>
    <w:tbl>
      <w:tblPr>
        <w:tblW w:w="8248" w:type="dxa"/>
        <w:jc w:val="center"/>
        <w:tblCellMar>
          <w:top w:w="57" w:type="dxa"/>
          <w:left w:w="70" w:type="dxa"/>
          <w:bottom w:w="57" w:type="dxa"/>
          <w:right w:w="70" w:type="dxa"/>
        </w:tblCellMar>
        <w:tblLook w:val="04A0" w:firstRow="1" w:lastRow="0" w:firstColumn="1" w:lastColumn="0" w:noHBand="0" w:noVBand="1"/>
      </w:tblPr>
      <w:tblGrid>
        <w:gridCol w:w="959"/>
        <w:gridCol w:w="971"/>
        <w:gridCol w:w="1365"/>
        <w:gridCol w:w="1253"/>
        <w:gridCol w:w="1365"/>
        <w:gridCol w:w="1253"/>
        <w:gridCol w:w="1253"/>
      </w:tblGrid>
      <w:tr w:rsidR="006114F2" w:rsidRPr="00944248" w:rsidTr="00E702B3">
        <w:trPr>
          <w:trHeight w:val="20"/>
          <w:jc w:val="center"/>
        </w:trPr>
        <w:tc>
          <w:tcPr>
            <w:tcW w:w="874" w:type="dxa"/>
            <w:tcBorders>
              <w:top w:val="single" w:sz="4" w:space="0" w:color="auto"/>
              <w:left w:val="single" w:sz="4" w:space="0" w:color="auto"/>
              <w:bottom w:val="single" w:sz="4" w:space="0" w:color="auto"/>
              <w:right w:val="nil"/>
            </w:tcBorders>
            <w:shd w:val="clear" w:color="auto" w:fill="auto"/>
            <w:vAlign w:val="center"/>
            <w:hideMark/>
          </w:tcPr>
          <w:p w:rsidR="00163BE0" w:rsidRPr="00944248" w:rsidRDefault="00163BE0" w:rsidP="00E702B3">
            <w:pPr>
              <w:keepNext/>
              <w:jc w:val="center"/>
              <w:rPr>
                <w:rFonts w:ascii="Times New Roman" w:hAnsi="Times New Roman"/>
                <w:lang w:val="ro-RO"/>
              </w:rPr>
            </w:pPr>
            <w:r w:rsidRPr="00944248">
              <w:rPr>
                <w:rFonts w:ascii="Times New Roman" w:hAnsi="Times New Roman"/>
                <w:lang w:val="ro-RO"/>
              </w:rPr>
              <w:lastRenderedPageBreak/>
              <w:t>Variabilă</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BE0" w:rsidRPr="00944248" w:rsidRDefault="00163BE0" w:rsidP="00E702B3">
            <w:pPr>
              <w:keepNext/>
              <w:jc w:val="center"/>
              <w:rPr>
                <w:rFonts w:ascii="Times New Roman" w:hAnsi="Times New Roman"/>
                <w:lang w:val="ro-RO"/>
              </w:rPr>
            </w:pPr>
            <w:r w:rsidRPr="00944248">
              <w:rPr>
                <w:rFonts w:ascii="Times New Roman" w:hAnsi="Times New Roman"/>
                <w:lang w:val="ro-RO"/>
              </w:rPr>
              <w:t>Unitate</w:t>
            </w:r>
          </w:p>
        </w:tc>
        <w:tc>
          <w:tcPr>
            <w:tcW w:w="1365" w:type="dxa"/>
            <w:tcBorders>
              <w:top w:val="single" w:sz="4" w:space="0" w:color="auto"/>
              <w:left w:val="nil"/>
              <w:bottom w:val="single" w:sz="4" w:space="0" w:color="auto"/>
              <w:right w:val="single" w:sz="4" w:space="0" w:color="auto"/>
            </w:tcBorders>
            <w:shd w:val="clear" w:color="000000" w:fill="DAEEF3"/>
            <w:vAlign w:val="center"/>
            <w:hideMark/>
          </w:tcPr>
          <w:p w:rsidR="00163BE0" w:rsidRPr="00944248" w:rsidRDefault="00163BE0" w:rsidP="00E702B3">
            <w:pPr>
              <w:keepNext/>
              <w:jc w:val="center"/>
              <w:rPr>
                <w:rFonts w:ascii="Times New Roman" w:hAnsi="Times New Roman"/>
                <w:lang w:val="ro-RO"/>
              </w:rPr>
            </w:pPr>
            <w:r w:rsidRPr="00944248">
              <w:rPr>
                <w:rFonts w:ascii="Times New Roman" w:hAnsi="Times New Roman"/>
                <w:lang w:val="ro-RO"/>
              </w:rPr>
              <w:t>Membrul 1</w:t>
            </w:r>
          </w:p>
        </w:tc>
        <w:tc>
          <w:tcPr>
            <w:tcW w:w="1253" w:type="dxa"/>
            <w:tcBorders>
              <w:top w:val="single" w:sz="4" w:space="0" w:color="auto"/>
              <w:left w:val="nil"/>
              <w:bottom w:val="single" w:sz="4" w:space="0" w:color="auto"/>
              <w:right w:val="single" w:sz="4" w:space="0" w:color="auto"/>
            </w:tcBorders>
            <w:shd w:val="clear" w:color="000000" w:fill="DAEEF3"/>
            <w:vAlign w:val="center"/>
            <w:hideMark/>
          </w:tcPr>
          <w:p w:rsidR="00163BE0" w:rsidRPr="00944248" w:rsidRDefault="00163BE0" w:rsidP="00E702B3">
            <w:pPr>
              <w:keepNext/>
              <w:jc w:val="center"/>
              <w:rPr>
                <w:rFonts w:ascii="Times New Roman" w:hAnsi="Times New Roman"/>
                <w:lang w:val="ro-RO"/>
              </w:rPr>
            </w:pPr>
            <w:r w:rsidRPr="00944248">
              <w:rPr>
                <w:rFonts w:ascii="Times New Roman" w:hAnsi="Times New Roman"/>
                <w:lang w:val="ro-RO"/>
              </w:rPr>
              <w:t>Membrul 2</w:t>
            </w:r>
          </w:p>
        </w:tc>
        <w:tc>
          <w:tcPr>
            <w:tcW w:w="1365" w:type="dxa"/>
            <w:tcBorders>
              <w:top w:val="single" w:sz="4" w:space="0" w:color="auto"/>
              <w:left w:val="nil"/>
              <w:bottom w:val="single" w:sz="4" w:space="0" w:color="auto"/>
              <w:right w:val="single" w:sz="4" w:space="0" w:color="auto"/>
            </w:tcBorders>
            <w:shd w:val="clear" w:color="000000" w:fill="DAEEF3"/>
            <w:vAlign w:val="center"/>
            <w:hideMark/>
          </w:tcPr>
          <w:p w:rsidR="00163BE0" w:rsidRPr="00944248" w:rsidRDefault="00163BE0" w:rsidP="00E702B3">
            <w:pPr>
              <w:keepNext/>
              <w:jc w:val="center"/>
              <w:rPr>
                <w:rFonts w:ascii="Times New Roman" w:hAnsi="Times New Roman"/>
                <w:lang w:val="ro-RO"/>
              </w:rPr>
            </w:pPr>
            <w:r w:rsidRPr="00944248">
              <w:rPr>
                <w:rFonts w:ascii="Times New Roman" w:hAnsi="Times New Roman"/>
                <w:lang w:val="ro-RO"/>
              </w:rPr>
              <w:t>Membrul 3</w:t>
            </w:r>
          </w:p>
        </w:tc>
        <w:tc>
          <w:tcPr>
            <w:tcW w:w="1253" w:type="dxa"/>
            <w:tcBorders>
              <w:top w:val="single" w:sz="4" w:space="0" w:color="auto"/>
              <w:left w:val="nil"/>
              <w:bottom w:val="single" w:sz="4" w:space="0" w:color="auto"/>
              <w:right w:val="single" w:sz="4" w:space="0" w:color="auto"/>
            </w:tcBorders>
            <w:shd w:val="clear" w:color="000000" w:fill="DAEEF3"/>
            <w:vAlign w:val="center"/>
            <w:hideMark/>
          </w:tcPr>
          <w:p w:rsidR="00163BE0" w:rsidRPr="00944248" w:rsidRDefault="00163BE0" w:rsidP="00E702B3">
            <w:pPr>
              <w:keepNext/>
              <w:jc w:val="center"/>
              <w:rPr>
                <w:rFonts w:ascii="Times New Roman" w:hAnsi="Times New Roman"/>
                <w:lang w:val="ro-RO"/>
              </w:rPr>
            </w:pPr>
            <w:r w:rsidRPr="00944248">
              <w:rPr>
                <w:rFonts w:ascii="Times New Roman" w:hAnsi="Times New Roman"/>
                <w:lang w:val="ro-RO"/>
              </w:rPr>
              <w:t>Membrul 4</w:t>
            </w:r>
          </w:p>
        </w:tc>
        <w:tc>
          <w:tcPr>
            <w:tcW w:w="1253" w:type="dxa"/>
            <w:tcBorders>
              <w:top w:val="single" w:sz="4" w:space="0" w:color="auto"/>
              <w:left w:val="nil"/>
              <w:bottom w:val="single" w:sz="4" w:space="0" w:color="auto"/>
              <w:right w:val="single" w:sz="4" w:space="0" w:color="auto"/>
            </w:tcBorders>
            <w:shd w:val="clear" w:color="000000" w:fill="DAEEF3"/>
            <w:vAlign w:val="center"/>
            <w:hideMark/>
          </w:tcPr>
          <w:p w:rsidR="00163BE0" w:rsidRPr="00944248" w:rsidRDefault="00163BE0" w:rsidP="00E702B3">
            <w:pPr>
              <w:keepNext/>
              <w:jc w:val="center"/>
              <w:rPr>
                <w:rFonts w:ascii="Times New Roman" w:hAnsi="Times New Roman"/>
                <w:lang w:val="ro-RO"/>
              </w:rPr>
            </w:pPr>
            <w:r w:rsidRPr="00944248">
              <w:rPr>
                <w:rFonts w:ascii="Times New Roman" w:hAnsi="Times New Roman"/>
                <w:lang w:val="ro-RO"/>
              </w:rPr>
              <w:t>Membrul 5</w:t>
            </w:r>
          </w:p>
        </w:tc>
      </w:tr>
      <w:tr w:rsidR="00163BE0" w:rsidRPr="00944248" w:rsidTr="00E702B3">
        <w:trPr>
          <w:trHeight w:val="300"/>
          <w:jc w:val="center"/>
        </w:trPr>
        <w:tc>
          <w:tcPr>
            <w:tcW w:w="874" w:type="dxa"/>
            <w:tcBorders>
              <w:top w:val="nil"/>
              <w:left w:val="single" w:sz="4" w:space="0" w:color="auto"/>
              <w:bottom w:val="nil"/>
              <w:right w:val="nil"/>
            </w:tcBorders>
            <w:shd w:val="clear" w:color="000000" w:fill="CCC0DA"/>
            <w:vAlign w:val="center"/>
            <w:hideMark/>
          </w:tcPr>
          <w:p w:rsidR="00163BE0" w:rsidRPr="00944248" w:rsidRDefault="00BB5A8C" w:rsidP="00E702B3">
            <w:pPr>
              <w:keepNext/>
              <w:rPr>
                <w:rFonts w:ascii="Times New Roman" w:hAnsi="Times New Roman"/>
                <w:lang w:val="ro-RO"/>
              </w:rPr>
            </w:pPr>
            <m:oMathPara>
              <m:oMath>
                <m:sSub>
                  <m:sSubPr>
                    <m:ctrlPr>
                      <w:rPr>
                        <w:rFonts w:ascii="Cambria Math" w:hAnsi="Cambria Math"/>
                        <w:i/>
                        <w:iCs/>
                        <w:szCs w:val="22"/>
                        <w:lang w:val="ro-RO"/>
                      </w:rPr>
                    </m:ctrlPr>
                  </m:sSubPr>
                  <m:e>
                    <m:r>
                      <w:rPr>
                        <w:rFonts w:ascii="Cambria Math" w:hAnsi="Cambria Math"/>
                        <w:szCs w:val="22"/>
                        <w:lang w:val="ro-RO"/>
                      </w:rPr>
                      <m:t>E</m:t>
                    </m:r>
                  </m:e>
                  <m:sub>
                    <m:r>
                      <w:rPr>
                        <w:rFonts w:ascii="Cambria Math" w:hAnsi="Cambria Math"/>
                        <w:szCs w:val="22"/>
                        <w:lang w:val="ro-RO"/>
                      </w:rPr>
                      <m:t>Imp</m:t>
                    </m:r>
                  </m:sub>
                </m:sSub>
              </m:oMath>
            </m:oMathPara>
          </w:p>
        </w:tc>
        <w:tc>
          <w:tcPr>
            <w:tcW w:w="885" w:type="dxa"/>
            <w:tcBorders>
              <w:top w:val="nil"/>
              <w:left w:val="single" w:sz="4" w:space="0" w:color="auto"/>
              <w:bottom w:val="nil"/>
              <w:right w:val="single" w:sz="4" w:space="0" w:color="auto"/>
            </w:tcBorders>
            <w:shd w:val="clear" w:color="000000" w:fill="CCC0DA"/>
            <w:vAlign w:val="center"/>
            <w:hideMark/>
          </w:tcPr>
          <w:p w:rsidR="00163BE0" w:rsidRPr="00944248" w:rsidRDefault="00163BE0" w:rsidP="00E702B3">
            <w:pPr>
              <w:keepNext/>
              <w:jc w:val="center"/>
              <w:rPr>
                <w:rFonts w:ascii="Times New Roman" w:hAnsi="Times New Roman"/>
                <w:lang w:val="ro-RO"/>
              </w:rPr>
            </w:pPr>
            <w:r w:rsidRPr="00944248">
              <w:rPr>
                <w:rFonts w:ascii="Times New Roman" w:hAnsi="Times New Roman"/>
                <w:lang w:val="ro-RO"/>
              </w:rPr>
              <w:t>[MWh]</w:t>
            </w:r>
          </w:p>
        </w:tc>
        <w:tc>
          <w:tcPr>
            <w:tcW w:w="1365" w:type="dxa"/>
            <w:tcBorders>
              <w:top w:val="nil"/>
              <w:left w:val="nil"/>
              <w:bottom w:val="nil"/>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6,57</w:t>
            </w:r>
          </w:p>
        </w:tc>
        <w:tc>
          <w:tcPr>
            <w:tcW w:w="1253" w:type="dxa"/>
            <w:tcBorders>
              <w:top w:val="nil"/>
              <w:left w:val="nil"/>
              <w:bottom w:val="nil"/>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1,40</w:t>
            </w:r>
          </w:p>
        </w:tc>
        <w:tc>
          <w:tcPr>
            <w:tcW w:w="1365" w:type="dxa"/>
            <w:tcBorders>
              <w:top w:val="nil"/>
              <w:left w:val="nil"/>
              <w:bottom w:val="nil"/>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2,00</w:t>
            </w:r>
          </w:p>
        </w:tc>
        <w:tc>
          <w:tcPr>
            <w:tcW w:w="1253" w:type="dxa"/>
            <w:tcBorders>
              <w:top w:val="nil"/>
              <w:left w:val="nil"/>
              <w:bottom w:val="nil"/>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3,40</w:t>
            </w:r>
          </w:p>
        </w:tc>
        <w:tc>
          <w:tcPr>
            <w:tcW w:w="1253" w:type="dxa"/>
            <w:tcBorders>
              <w:top w:val="nil"/>
              <w:left w:val="nil"/>
              <w:bottom w:val="nil"/>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0,50</w:t>
            </w:r>
          </w:p>
        </w:tc>
      </w:tr>
      <w:tr w:rsidR="00163BE0" w:rsidRPr="00944248" w:rsidTr="00E702B3">
        <w:trPr>
          <w:trHeight w:val="300"/>
          <w:jc w:val="center"/>
        </w:trPr>
        <w:tc>
          <w:tcPr>
            <w:tcW w:w="874" w:type="dxa"/>
            <w:tcBorders>
              <w:top w:val="nil"/>
              <w:left w:val="single" w:sz="4" w:space="0" w:color="auto"/>
              <w:bottom w:val="single" w:sz="4" w:space="0" w:color="auto"/>
              <w:right w:val="nil"/>
            </w:tcBorders>
            <w:shd w:val="clear" w:color="000000" w:fill="CCC0DA"/>
            <w:vAlign w:val="center"/>
            <w:hideMark/>
          </w:tcPr>
          <w:p w:rsidR="00163BE0" w:rsidRPr="00944248" w:rsidRDefault="00BB5A8C" w:rsidP="00E702B3">
            <w:pPr>
              <w:keepNext/>
              <w:rPr>
                <w:rFonts w:ascii="Times New Roman" w:hAnsi="Times New Roman"/>
                <w:lang w:val="ro-RO"/>
              </w:rPr>
            </w:pPr>
            <m:oMathPara>
              <m:oMath>
                <m:sSub>
                  <m:sSubPr>
                    <m:ctrlPr>
                      <w:rPr>
                        <w:rFonts w:ascii="Cambria Math" w:hAnsi="Cambria Math"/>
                        <w:i/>
                        <w:iCs/>
                        <w:szCs w:val="22"/>
                        <w:lang w:val="ro-RO"/>
                      </w:rPr>
                    </m:ctrlPr>
                  </m:sSubPr>
                  <m:e>
                    <m:r>
                      <w:rPr>
                        <w:rFonts w:ascii="Cambria Math" w:hAnsi="Cambria Math"/>
                        <w:szCs w:val="22"/>
                        <w:lang w:val="ro-RO"/>
                      </w:rPr>
                      <m:t>E</m:t>
                    </m:r>
                  </m:e>
                  <m:sub>
                    <m:r>
                      <w:rPr>
                        <w:rFonts w:ascii="Cambria Math" w:hAnsi="Cambria Math"/>
                        <w:szCs w:val="22"/>
                        <w:lang w:val="ro-RO"/>
                      </w:rPr>
                      <m:t>Exp</m:t>
                    </m:r>
                  </m:sub>
                </m:sSub>
              </m:oMath>
            </m:oMathPara>
          </w:p>
        </w:tc>
        <w:tc>
          <w:tcPr>
            <w:tcW w:w="885" w:type="dxa"/>
            <w:tcBorders>
              <w:top w:val="nil"/>
              <w:left w:val="single" w:sz="4" w:space="0" w:color="auto"/>
              <w:bottom w:val="single" w:sz="4" w:space="0" w:color="auto"/>
              <w:right w:val="single" w:sz="4" w:space="0" w:color="auto"/>
            </w:tcBorders>
            <w:shd w:val="clear" w:color="000000" w:fill="CCC0DA"/>
            <w:vAlign w:val="center"/>
            <w:hideMark/>
          </w:tcPr>
          <w:p w:rsidR="00163BE0" w:rsidRPr="00944248" w:rsidRDefault="00163BE0" w:rsidP="00E702B3">
            <w:pPr>
              <w:keepNext/>
              <w:jc w:val="center"/>
              <w:rPr>
                <w:rFonts w:ascii="Times New Roman" w:hAnsi="Times New Roman"/>
                <w:lang w:val="ro-RO"/>
              </w:rPr>
            </w:pPr>
            <w:r w:rsidRPr="00944248">
              <w:rPr>
                <w:rFonts w:ascii="Times New Roman" w:hAnsi="Times New Roman"/>
                <w:lang w:val="ro-RO"/>
              </w:rPr>
              <w:t>[MWh]</w:t>
            </w:r>
          </w:p>
        </w:tc>
        <w:tc>
          <w:tcPr>
            <w:tcW w:w="1365" w:type="dxa"/>
            <w:tcBorders>
              <w:top w:val="nil"/>
              <w:left w:val="nil"/>
              <w:bottom w:val="single" w:sz="4" w:space="0" w:color="auto"/>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2,00</w:t>
            </w:r>
          </w:p>
        </w:tc>
        <w:tc>
          <w:tcPr>
            <w:tcW w:w="1253" w:type="dxa"/>
            <w:tcBorders>
              <w:top w:val="nil"/>
              <w:left w:val="nil"/>
              <w:bottom w:val="single" w:sz="4" w:space="0" w:color="auto"/>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1,40</w:t>
            </w:r>
          </w:p>
        </w:tc>
        <w:tc>
          <w:tcPr>
            <w:tcW w:w="1365" w:type="dxa"/>
            <w:tcBorders>
              <w:top w:val="nil"/>
              <w:left w:val="nil"/>
              <w:bottom w:val="single" w:sz="4" w:space="0" w:color="auto"/>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4,17</w:t>
            </w:r>
          </w:p>
        </w:tc>
        <w:tc>
          <w:tcPr>
            <w:tcW w:w="1253" w:type="dxa"/>
            <w:tcBorders>
              <w:top w:val="nil"/>
              <w:left w:val="nil"/>
              <w:bottom w:val="single" w:sz="4" w:space="0" w:color="auto"/>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5,80</w:t>
            </w:r>
          </w:p>
        </w:tc>
        <w:tc>
          <w:tcPr>
            <w:tcW w:w="1253" w:type="dxa"/>
            <w:tcBorders>
              <w:top w:val="nil"/>
              <w:left w:val="nil"/>
              <w:bottom w:val="single" w:sz="4" w:space="0" w:color="auto"/>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0,50</w:t>
            </w:r>
          </w:p>
        </w:tc>
      </w:tr>
      <w:tr w:rsidR="00163BE0" w:rsidRPr="00944248" w:rsidTr="00E702B3">
        <w:trPr>
          <w:trHeight w:val="300"/>
          <w:jc w:val="center"/>
        </w:trPr>
        <w:tc>
          <w:tcPr>
            <w:tcW w:w="874" w:type="dxa"/>
            <w:tcBorders>
              <w:top w:val="nil"/>
              <w:left w:val="single" w:sz="4" w:space="0" w:color="auto"/>
              <w:bottom w:val="nil"/>
              <w:right w:val="nil"/>
            </w:tcBorders>
            <w:shd w:val="clear" w:color="000000" w:fill="CCC0DA"/>
            <w:vAlign w:val="center"/>
            <w:hideMark/>
          </w:tcPr>
          <w:p w:rsidR="00163BE0" w:rsidRPr="00944248" w:rsidRDefault="00BB5A8C" w:rsidP="00E702B3">
            <w:pPr>
              <w:keepNext/>
              <w:rPr>
                <w:rFonts w:ascii="Times New Roman" w:hAnsi="Times New Roman"/>
                <w:lang w:val="ro-RO"/>
              </w:rPr>
            </w:pPr>
            <m:oMathPara>
              <m:oMath>
                <m:sSub>
                  <m:sSubPr>
                    <m:ctrlPr>
                      <w:rPr>
                        <w:rFonts w:ascii="Cambria Math" w:hAnsi="Cambria Math"/>
                        <w:i/>
                        <w:iCs/>
                        <w:szCs w:val="22"/>
                        <w:lang w:val="ro-RO"/>
                      </w:rPr>
                    </m:ctrlPr>
                  </m:sSubPr>
                  <m:e>
                    <m:r>
                      <w:rPr>
                        <w:rFonts w:ascii="Cambria Math" w:hAnsi="Cambria Math"/>
                        <w:szCs w:val="22"/>
                        <w:lang w:val="ro-RO"/>
                      </w:rPr>
                      <m:t>C</m:t>
                    </m:r>
                  </m:e>
                  <m:sub>
                    <m:r>
                      <w:rPr>
                        <w:rFonts w:ascii="Cambria Math" w:hAnsi="Cambria Math"/>
                        <w:szCs w:val="22"/>
                        <w:lang w:val="ro-RO"/>
                      </w:rPr>
                      <m:t>Imp</m:t>
                    </m:r>
                  </m:sub>
                </m:sSub>
              </m:oMath>
            </m:oMathPara>
          </w:p>
        </w:tc>
        <w:tc>
          <w:tcPr>
            <w:tcW w:w="885" w:type="dxa"/>
            <w:tcBorders>
              <w:top w:val="nil"/>
              <w:left w:val="single" w:sz="4" w:space="0" w:color="auto"/>
              <w:bottom w:val="nil"/>
              <w:right w:val="single" w:sz="4" w:space="0" w:color="auto"/>
            </w:tcBorders>
            <w:shd w:val="clear" w:color="000000" w:fill="CCC0DA"/>
            <w:vAlign w:val="center"/>
            <w:hideMark/>
          </w:tcPr>
          <w:p w:rsidR="00163BE0" w:rsidRPr="00944248" w:rsidRDefault="00163BE0" w:rsidP="00E702B3">
            <w:pPr>
              <w:keepNext/>
              <w:jc w:val="center"/>
              <w:rPr>
                <w:rFonts w:ascii="Times New Roman" w:hAnsi="Times New Roman"/>
                <w:lang w:val="ro-RO"/>
              </w:rPr>
            </w:pPr>
            <w:r w:rsidRPr="00944248">
              <w:rPr>
                <w:rFonts w:ascii="Times New Roman" w:hAnsi="Times New Roman"/>
                <w:lang w:val="ro-RO"/>
              </w:rPr>
              <w:t>[€/MWh]</w:t>
            </w:r>
          </w:p>
        </w:tc>
        <w:tc>
          <w:tcPr>
            <w:tcW w:w="1365" w:type="dxa"/>
            <w:tcBorders>
              <w:top w:val="nil"/>
              <w:left w:val="nil"/>
              <w:bottom w:val="nil"/>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59,50</w:t>
            </w:r>
          </w:p>
        </w:tc>
        <w:tc>
          <w:tcPr>
            <w:tcW w:w="1253" w:type="dxa"/>
            <w:tcBorders>
              <w:top w:val="nil"/>
              <w:left w:val="nil"/>
              <w:bottom w:val="nil"/>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51,00</w:t>
            </w:r>
          </w:p>
        </w:tc>
        <w:tc>
          <w:tcPr>
            <w:tcW w:w="1365" w:type="dxa"/>
            <w:tcBorders>
              <w:top w:val="nil"/>
              <w:left w:val="nil"/>
              <w:bottom w:val="nil"/>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75,95</w:t>
            </w:r>
          </w:p>
        </w:tc>
        <w:tc>
          <w:tcPr>
            <w:tcW w:w="1253" w:type="dxa"/>
            <w:tcBorders>
              <w:top w:val="nil"/>
              <w:left w:val="nil"/>
              <w:bottom w:val="nil"/>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67,69</w:t>
            </w:r>
          </w:p>
        </w:tc>
        <w:tc>
          <w:tcPr>
            <w:tcW w:w="1253" w:type="dxa"/>
            <w:tcBorders>
              <w:top w:val="nil"/>
              <w:left w:val="nil"/>
              <w:bottom w:val="nil"/>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10,00</w:t>
            </w:r>
          </w:p>
        </w:tc>
      </w:tr>
      <w:tr w:rsidR="00163BE0" w:rsidRPr="00944248" w:rsidTr="00E702B3">
        <w:trPr>
          <w:trHeight w:val="300"/>
          <w:jc w:val="center"/>
        </w:trPr>
        <w:tc>
          <w:tcPr>
            <w:tcW w:w="874" w:type="dxa"/>
            <w:tcBorders>
              <w:top w:val="nil"/>
              <w:left w:val="single" w:sz="4" w:space="0" w:color="auto"/>
              <w:bottom w:val="single" w:sz="4" w:space="0" w:color="auto"/>
              <w:right w:val="nil"/>
            </w:tcBorders>
            <w:shd w:val="clear" w:color="000000" w:fill="CCC0DA"/>
            <w:vAlign w:val="center"/>
            <w:hideMark/>
          </w:tcPr>
          <w:p w:rsidR="00163BE0" w:rsidRPr="00944248" w:rsidRDefault="00BB5A8C" w:rsidP="00E702B3">
            <w:pPr>
              <w:keepNext/>
              <w:rPr>
                <w:rFonts w:ascii="Times New Roman" w:hAnsi="Times New Roman"/>
                <w:lang w:val="ro-RO"/>
              </w:rPr>
            </w:pPr>
            <m:oMathPara>
              <m:oMath>
                <m:sSub>
                  <m:sSubPr>
                    <m:ctrlPr>
                      <w:rPr>
                        <w:rFonts w:ascii="Cambria Math" w:hAnsi="Cambria Math"/>
                        <w:i/>
                        <w:iCs/>
                        <w:szCs w:val="22"/>
                        <w:lang w:val="ro-RO"/>
                      </w:rPr>
                    </m:ctrlPr>
                  </m:sSubPr>
                  <m:e>
                    <m:r>
                      <w:rPr>
                        <w:rFonts w:ascii="Cambria Math" w:hAnsi="Cambria Math"/>
                        <w:szCs w:val="22"/>
                        <w:lang w:val="ro-RO"/>
                      </w:rPr>
                      <m:t>C</m:t>
                    </m:r>
                  </m:e>
                  <m:sub>
                    <m:r>
                      <w:rPr>
                        <w:rFonts w:ascii="Cambria Math" w:hAnsi="Cambria Math"/>
                        <w:szCs w:val="22"/>
                        <w:lang w:val="ro-RO"/>
                      </w:rPr>
                      <m:t>Exp</m:t>
                    </m:r>
                  </m:sub>
                </m:sSub>
              </m:oMath>
            </m:oMathPara>
          </w:p>
        </w:tc>
        <w:tc>
          <w:tcPr>
            <w:tcW w:w="885" w:type="dxa"/>
            <w:tcBorders>
              <w:top w:val="nil"/>
              <w:left w:val="single" w:sz="4" w:space="0" w:color="auto"/>
              <w:bottom w:val="single" w:sz="4" w:space="0" w:color="auto"/>
              <w:right w:val="single" w:sz="4" w:space="0" w:color="auto"/>
            </w:tcBorders>
            <w:shd w:val="clear" w:color="000000" w:fill="CCC0DA"/>
            <w:vAlign w:val="center"/>
            <w:hideMark/>
          </w:tcPr>
          <w:p w:rsidR="00163BE0" w:rsidRPr="00944248" w:rsidRDefault="00163BE0" w:rsidP="00E702B3">
            <w:pPr>
              <w:keepNext/>
              <w:jc w:val="center"/>
              <w:rPr>
                <w:rFonts w:ascii="Times New Roman" w:hAnsi="Times New Roman"/>
                <w:lang w:val="ro-RO"/>
              </w:rPr>
            </w:pPr>
            <w:r w:rsidRPr="00944248">
              <w:rPr>
                <w:rFonts w:ascii="Times New Roman" w:hAnsi="Times New Roman"/>
                <w:lang w:val="ro-RO"/>
              </w:rPr>
              <w:t>[€/MWh]</w:t>
            </w:r>
          </w:p>
        </w:tc>
        <w:tc>
          <w:tcPr>
            <w:tcW w:w="1365" w:type="dxa"/>
            <w:tcBorders>
              <w:top w:val="nil"/>
              <w:left w:val="nil"/>
              <w:bottom w:val="single" w:sz="4" w:space="0" w:color="auto"/>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12,00</w:t>
            </w:r>
          </w:p>
        </w:tc>
        <w:tc>
          <w:tcPr>
            <w:tcW w:w="1253" w:type="dxa"/>
            <w:tcBorders>
              <w:top w:val="nil"/>
              <w:left w:val="nil"/>
              <w:bottom w:val="single" w:sz="4" w:space="0" w:color="auto"/>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35,20</w:t>
            </w:r>
          </w:p>
        </w:tc>
        <w:tc>
          <w:tcPr>
            <w:tcW w:w="1365" w:type="dxa"/>
            <w:tcBorders>
              <w:top w:val="nil"/>
              <w:left w:val="nil"/>
              <w:bottom w:val="single" w:sz="4" w:space="0" w:color="auto"/>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29,94</w:t>
            </w:r>
          </w:p>
        </w:tc>
        <w:tc>
          <w:tcPr>
            <w:tcW w:w="1253" w:type="dxa"/>
            <w:tcBorders>
              <w:top w:val="nil"/>
              <w:left w:val="nil"/>
              <w:bottom w:val="single" w:sz="4" w:space="0" w:color="auto"/>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67,69</w:t>
            </w:r>
          </w:p>
        </w:tc>
        <w:tc>
          <w:tcPr>
            <w:tcW w:w="1253" w:type="dxa"/>
            <w:tcBorders>
              <w:top w:val="nil"/>
              <w:left w:val="nil"/>
              <w:bottom w:val="single" w:sz="4" w:space="0" w:color="auto"/>
              <w:right w:val="single" w:sz="4" w:space="0" w:color="auto"/>
            </w:tcBorders>
            <w:shd w:val="clear" w:color="auto" w:fill="auto"/>
            <w:vAlign w:val="center"/>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55,00</w:t>
            </w:r>
          </w:p>
        </w:tc>
      </w:tr>
      <w:tr w:rsidR="00163BE0" w:rsidRPr="00944248" w:rsidTr="00E702B3">
        <w:trPr>
          <w:trHeight w:val="20"/>
          <w:jc w:val="center"/>
        </w:trPr>
        <w:tc>
          <w:tcPr>
            <w:tcW w:w="874" w:type="dxa"/>
            <w:tcBorders>
              <w:top w:val="nil"/>
              <w:left w:val="single" w:sz="4" w:space="0" w:color="auto"/>
              <w:bottom w:val="single" w:sz="4" w:space="0" w:color="auto"/>
              <w:right w:val="nil"/>
            </w:tcBorders>
            <w:shd w:val="clear" w:color="000000" w:fill="CCC0DA"/>
            <w:vAlign w:val="center"/>
            <w:hideMark/>
          </w:tcPr>
          <w:p w:rsidR="00163BE0" w:rsidRPr="00944248" w:rsidRDefault="00BB5A8C" w:rsidP="00E702B3">
            <w:pPr>
              <w:keepNext/>
              <w:rPr>
                <w:rFonts w:ascii="Times New Roman" w:hAnsi="Times New Roman"/>
                <w:lang w:val="ro-RO"/>
              </w:rPr>
            </w:pPr>
            <m:oMathPara>
              <m:oMath>
                <m:sSub>
                  <m:sSubPr>
                    <m:ctrlPr>
                      <w:rPr>
                        <w:rFonts w:ascii="Cambria Math" w:hAnsi="Cambria Math"/>
                        <w:i/>
                        <w:iCs/>
                        <w:szCs w:val="22"/>
                        <w:lang w:val="ro-RO"/>
                      </w:rPr>
                    </m:ctrlPr>
                  </m:sSubPr>
                  <m:e>
                    <m:r>
                      <w:rPr>
                        <w:rFonts w:ascii="Cambria Math" w:hAnsi="Cambria Math"/>
                        <w:szCs w:val="22"/>
                        <w:lang w:val="ro-RO"/>
                      </w:rPr>
                      <m:t>P</m:t>
                    </m:r>
                  </m:e>
                  <m:sub>
                    <m:r>
                      <w:rPr>
                        <w:rFonts w:ascii="Cambria Math" w:hAnsi="Cambria Math"/>
                        <w:szCs w:val="22"/>
                        <w:lang w:val="ro-RO"/>
                      </w:rPr>
                      <m:t>IGCC</m:t>
                    </m:r>
                  </m:sub>
                </m:sSub>
              </m:oMath>
            </m:oMathPara>
          </w:p>
        </w:tc>
        <w:tc>
          <w:tcPr>
            <w:tcW w:w="885" w:type="dxa"/>
            <w:tcBorders>
              <w:top w:val="nil"/>
              <w:left w:val="single" w:sz="4" w:space="0" w:color="auto"/>
              <w:bottom w:val="single" w:sz="4" w:space="0" w:color="auto"/>
              <w:right w:val="single" w:sz="4" w:space="0" w:color="auto"/>
            </w:tcBorders>
            <w:shd w:val="clear" w:color="000000" w:fill="CCC0DA"/>
            <w:vAlign w:val="center"/>
            <w:hideMark/>
          </w:tcPr>
          <w:p w:rsidR="00163BE0" w:rsidRPr="00944248" w:rsidRDefault="00163BE0" w:rsidP="00E702B3">
            <w:pPr>
              <w:keepNext/>
              <w:jc w:val="center"/>
              <w:rPr>
                <w:rFonts w:ascii="Times New Roman" w:hAnsi="Times New Roman"/>
                <w:lang w:val="ro-RO"/>
              </w:rPr>
            </w:pPr>
            <w:r w:rsidRPr="00944248">
              <w:rPr>
                <w:rFonts w:ascii="Times New Roman" w:hAnsi="Times New Roman"/>
                <w:lang w:val="ro-RO"/>
              </w:rPr>
              <w:t>[€/MWh]</w:t>
            </w:r>
          </w:p>
        </w:tc>
        <w:tc>
          <w:tcPr>
            <w:tcW w:w="1365" w:type="dxa"/>
            <w:tcBorders>
              <w:top w:val="nil"/>
              <w:left w:val="nil"/>
              <w:bottom w:val="single" w:sz="4" w:space="0" w:color="auto"/>
              <w:right w:val="single" w:sz="4" w:space="0" w:color="auto"/>
            </w:tcBorders>
            <w:shd w:val="clear" w:color="000000" w:fill="D8E4BC"/>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52,905</w:t>
            </w:r>
          </w:p>
        </w:tc>
        <w:tc>
          <w:tcPr>
            <w:tcW w:w="1253" w:type="dxa"/>
            <w:tcBorders>
              <w:top w:val="nil"/>
              <w:left w:val="nil"/>
              <w:bottom w:val="single" w:sz="4" w:space="0" w:color="auto"/>
              <w:right w:val="single" w:sz="4" w:space="0" w:color="auto"/>
            </w:tcBorders>
            <w:shd w:val="clear" w:color="000000" w:fill="D8E4BC"/>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52,905</w:t>
            </w:r>
          </w:p>
        </w:tc>
        <w:tc>
          <w:tcPr>
            <w:tcW w:w="1365" w:type="dxa"/>
            <w:tcBorders>
              <w:top w:val="nil"/>
              <w:left w:val="nil"/>
              <w:bottom w:val="single" w:sz="4" w:space="0" w:color="auto"/>
              <w:right w:val="single" w:sz="4" w:space="0" w:color="auto"/>
            </w:tcBorders>
            <w:shd w:val="clear" w:color="000000" w:fill="D8E4BC"/>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52,905</w:t>
            </w:r>
          </w:p>
        </w:tc>
        <w:tc>
          <w:tcPr>
            <w:tcW w:w="1253" w:type="dxa"/>
            <w:tcBorders>
              <w:top w:val="nil"/>
              <w:left w:val="nil"/>
              <w:bottom w:val="single" w:sz="4" w:space="0" w:color="auto"/>
              <w:right w:val="single" w:sz="4" w:space="0" w:color="auto"/>
            </w:tcBorders>
            <w:shd w:val="clear" w:color="000000" w:fill="D8E4BC"/>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52,905</w:t>
            </w:r>
          </w:p>
        </w:tc>
        <w:tc>
          <w:tcPr>
            <w:tcW w:w="1253" w:type="dxa"/>
            <w:tcBorders>
              <w:top w:val="nil"/>
              <w:left w:val="nil"/>
              <w:bottom w:val="single" w:sz="4" w:space="0" w:color="auto"/>
              <w:right w:val="single" w:sz="4" w:space="0" w:color="auto"/>
            </w:tcBorders>
            <w:shd w:val="clear" w:color="000000" w:fill="D8E4BC"/>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52,905</w:t>
            </w:r>
          </w:p>
        </w:tc>
      </w:tr>
      <w:tr w:rsidR="006114F2" w:rsidRPr="00944248" w:rsidTr="00E702B3">
        <w:trPr>
          <w:trHeight w:val="20"/>
          <w:jc w:val="center"/>
        </w:trPr>
        <w:tc>
          <w:tcPr>
            <w:tcW w:w="874" w:type="dxa"/>
            <w:tcBorders>
              <w:top w:val="nil"/>
              <w:left w:val="single" w:sz="4" w:space="0" w:color="auto"/>
              <w:bottom w:val="single" w:sz="4" w:space="0" w:color="auto"/>
              <w:right w:val="nil"/>
            </w:tcBorders>
            <w:shd w:val="clear" w:color="000000" w:fill="CCC0DA"/>
            <w:vAlign w:val="center"/>
            <w:hideMark/>
          </w:tcPr>
          <w:p w:rsidR="00163BE0" w:rsidRPr="00944248" w:rsidRDefault="00163BE0" w:rsidP="00E702B3">
            <w:pPr>
              <w:keepNext/>
              <w:rPr>
                <w:rFonts w:ascii="Times New Roman" w:hAnsi="Times New Roman"/>
                <w:lang w:val="ro-RO"/>
              </w:rPr>
            </w:pPr>
            <m:oMathPara>
              <m:oMath>
                <m:r>
                  <w:rPr>
                    <w:rFonts w:ascii="Cambria Math" w:hAnsi="Cambria Math"/>
                    <w:szCs w:val="22"/>
                    <w:lang w:val="ro-RO"/>
                  </w:rPr>
                  <m:t>S</m:t>
                </m:r>
              </m:oMath>
            </m:oMathPara>
          </w:p>
        </w:tc>
        <w:tc>
          <w:tcPr>
            <w:tcW w:w="885" w:type="dxa"/>
            <w:tcBorders>
              <w:top w:val="nil"/>
              <w:left w:val="single" w:sz="4" w:space="0" w:color="auto"/>
              <w:bottom w:val="single" w:sz="4" w:space="0" w:color="auto"/>
              <w:right w:val="single" w:sz="4" w:space="0" w:color="auto"/>
            </w:tcBorders>
            <w:shd w:val="clear" w:color="000000" w:fill="CCC0DA"/>
            <w:vAlign w:val="center"/>
            <w:hideMark/>
          </w:tcPr>
          <w:p w:rsidR="00163BE0" w:rsidRPr="00944248" w:rsidRDefault="00163BE0" w:rsidP="00E702B3">
            <w:pPr>
              <w:keepNext/>
              <w:jc w:val="center"/>
              <w:rPr>
                <w:rFonts w:ascii="Times New Roman" w:hAnsi="Times New Roman"/>
                <w:lang w:val="ro-RO"/>
              </w:rPr>
            </w:pPr>
            <w:r w:rsidRPr="00944248">
              <w:rPr>
                <w:rFonts w:ascii="Times New Roman" w:hAnsi="Times New Roman"/>
                <w:lang w:val="ro-RO"/>
              </w:rPr>
              <w:t>[€]</w:t>
            </w:r>
          </w:p>
        </w:tc>
        <w:tc>
          <w:tcPr>
            <w:tcW w:w="1365" w:type="dxa"/>
            <w:tcBorders>
              <w:top w:val="nil"/>
              <w:left w:val="nil"/>
              <w:bottom w:val="single" w:sz="4" w:space="0" w:color="auto"/>
              <w:right w:val="single" w:sz="4" w:space="0" w:color="auto"/>
            </w:tcBorders>
            <w:shd w:val="clear" w:color="000000" w:fill="D8E4BC"/>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241,78</w:t>
            </w:r>
          </w:p>
        </w:tc>
        <w:tc>
          <w:tcPr>
            <w:tcW w:w="1253" w:type="dxa"/>
            <w:tcBorders>
              <w:top w:val="nil"/>
              <w:left w:val="nil"/>
              <w:bottom w:val="single" w:sz="4" w:space="0" w:color="auto"/>
              <w:right w:val="single" w:sz="4" w:space="0" w:color="auto"/>
            </w:tcBorders>
            <w:shd w:val="clear" w:color="000000" w:fill="D8E4BC"/>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0,00</w:t>
            </w:r>
          </w:p>
        </w:tc>
        <w:tc>
          <w:tcPr>
            <w:tcW w:w="1365" w:type="dxa"/>
            <w:tcBorders>
              <w:top w:val="nil"/>
              <w:left w:val="nil"/>
              <w:bottom w:val="single" w:sz="4" w:space="0" w:color="auto"/>
              <w:right w:val="single" w:sz="4" w:space="0" w:color="auto"/>
            </w:tcBorders>
            <w:shd w:val="clear" w:color="000000" w:fill="D8E4BC"/>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-114,80</w:t>
            </w:r>
          </w:p>
        </w:tc>
        <w:tc>
          <w:tcPr>
            <w:tcW w:w="1253" w:type="dxa"/>
            <w:tcBorders>
              <w:top w:val="nil"/>
              <w:left w:val="nil"/>
              <w:bottom w:val="single" w:sz="4" w:space="0" w:color="auto"/>
              <w:right w:val="single" w:sz="4" w:space="0" w:color="auto"/>
            </w:tcBorders>
            <w:shd w:val="clear" w:color="000000" w:fill="D8E4BC"/>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-126,97</w:t>
            </w:r>
          </w:p>
        </w:tc>
        <w:tc>
          <w:tcPr>
            <w:tcW w:w="1253" w:type="dxa"/>
            <w:tcBorders>
              <w:top w:val="nil"/>
              <w:left w:val="nil"/>
              <w:bottom w:val="single" w:sz="4" w:space="0" w:color="auto"/>
              <w:right w:val="single" w:sz="4" w:space="0" w:color="auto"/>
            </w:tcBorders>
            <w:shd w:val="clear" w:color="000000" w:fill="D8E4BC"/>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0,00</w:t>
            </w:r>
          </w:p>
        </w:tc>
      </w:tr>
      <w:tr w:rsidR="006114F2" w:rsidRPr="00944248" w:rsidTr="00E702B3">
        <w:trPr>
          <w:trHeight w:val="20"/>
          <w:jc w:val="center"/>
        </w:trPr>
        <w:tc>
          <w:tcPr>
            <w:tcW w:w="874" w:type="dxa"/>
            <w:tcBorders>
              <w:top w:val="single" w:sz="4" w:space="0" w:color="auto"/>
              <w:left w:val="single" w:sz="4" w:space="0" w:color="auto"/>
              <w:bottom w:val="single" w:sz="4" w:space="0" w:color="auto"/>
              <w:right w:val="nil"/>
            </w:tcBorders>
            <w:shd w:val="clear" w:color="000000" w:fill="CCC0DA"/>
            <w:vAlign w:val="center"/>
            <w:hideMark/>
          </w:tcPr>
          <w:p w:rsidR="00163BE0" w:rsidRPr="00944248" w:rsidRDefault="00163BE0" w:rsidP="00E702B3">
            <w:pPr>
              <w:keepNext/>
              <w:rPr>
                <w:rFonts w:ascii="Times New Roman" w:hAnsi="Times New Roman"/>
                <w:lang w:val="ro-RO"/>
              </w:rPr>
            </w:pPr>
            <m:oMathPara>
              <m:oMath>
                <m:r>
                  <w:rPr>
                    <w:rFonts w:ascii="Cambria Math" w:hAnsi="Cambria Math"/>
                    <w:szCs w:val="22"/>
                    <w:lang w:val="ro-RO"/>
                  </w:rPr>
                  <m:t>B</m:t>
                </m:r>
              </m:oMath>
            </m:oMathPara>
          </w:p>
        </w:tc>
        <w:tc>
          <w:tcPr>
            <w:tcW w:w="885" w:type="dxa"/>
            <w:tcBorders>
              <w:top w:val="single" w:sz="4" w:space="0" w:color="auto"/>
              <w:left w:val="single" w:sz="4" w:space="0" w:color="auto"/>
              <w:bottom w:val="single" w:sz="4" w:space="0" w:color="auto"/>
              <w:right w:val="single" w:sz="4" w:space="0" w:color="auto"/>
            </w:tcBorders>
            <w:shd w:val="clear" w:color="000000" w:fill="CCC0DA"/>
            <w:vAlign w:val="center"/>
            <w:hideMark/>
          </w:tcPr>
          <w:p w:rsidR="00163BE0" w:rsidRPr="00944248" w:rsidRDefault="00163BE0" w:rsidP="00E702B3">
            <w:pPr>
              <w:keepNext/>
              <w:jc w:val="center"/>
              <w:rPr>
                <w:rFonts w:ascii="Times New Roman" w:hAnsi="Times New Roman"/>
                <w:lang w:val="ro-RO"/>
              </w:rPr>
            </w:pPr>
            <w:r w:rsidRPr="00944248">
              <w:rPr>
                <w:rFonts w:ascii="Times New Roman" w:hAnsi="Times New Roman"/>
                <w:lang w:val="ro-RO"/>
              </w:rPr>
              <w:t>[€]</w:t>
            </w:r>
          </w:p>
        </w:tc>
        <w:tc>
          <w:tcPr>
            <w:tcW w:w="1365" w:type="dxa"/>
            <w:tcBorders>
              <w:top w:val="single" w:sz="4" w:space="0" w:color="auto"/>
              <w:left w:val="nil"/>
              <w:bottom w:val="single" w:sz="4" w:space="0" w:color="auto"/>
              <w:right w:val="single" w:sz="4" w:space="0" w:color="auto"/>
            </w:tcBorders>
            <w:shd w:val="clear" w:color="000000" w:fill="D8E4BC"/>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125,14</w:t>
            </w:r>
          </w:p>
        </w:tc>
        <w:tc>
          <w:tcPr>
            <w:tcW w:w="1253" w:type="dxa"/>
            <w:tcBorders>
              <w:top w:val="single" w:sz="4" w:space="0" w:color="auto"/>
              <w:left w:val="nil"/>
              <w:bottom w:val="single" w:sz="4" w:space="0" w:color="auto"/>
              <w:right w:val="single" w:sz="4" w:space="0" w:color="auto"/>
            </w:tcBorders>
            <w:shd w:val="clear" w:color="000000" w:fill="D8E4BC"/>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22,12</w:t>
            </w:r>
          </w:p>
        </w:tc>
        <w:tc>
          <w:tcPr>
            <w:tcW w:w="1365" w:type="dxa"/>
            <w:tcBorders>
              <w:top w:val="single" w:sz="4" w:space="0" w:color="auto"/>
              <w:left w:val="nil"/>
              <w:bottom w:val="single" w:sz="4" w:space="0" w:color="auto"/>
              <w:right w:val="single" w:sz="4" w:space="0" w:color="auto"/>
            </w:tcBorders>
            <w:shd w:val="clear" w:color="000000" w:fill="D8E4BC"/>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141,85</w:t>
            </w:r>
          </w:p>
        </w:tc>
        <w:tc>
          <w:tcPr>
            <w:tcW w:w="1253" w:type="dxa"/>
            <w:tcBorders>
              <w:top w:val="single" w:sz="4" w:space="0" w:color="auto"/>
              <w:left w:val="nil"/>
              <w:bottom w:val="single" w:sz="4" w:space="0" w:color="auto"/>
              <w:right w:val="single" w:sz="4" w:space="0" w:color="auto"/>
            </w:tcBorders>
            <w:shd w:val="clear" w:color="000000" w:fill="D8E4BC"/>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-35,48</w:t>
            </w:r>
          </w:p>
        </w:tc>
        <w:tc>
          <w:tcPr>
            <w:tcW w:w="1253" w:type="dxa"/>
            <w:tcBorders>
              <w:top w:val="single" w:sz="4" w:space="0" w:color="auto"/>
              <w:left w:val="nil"/>
              <w:bottom w:val="single" w:sz="4" w:space="0" w:color="auto"/>
              <w:right w:val="single" w:sz="4" w:space="0" w:color="auto"/>
            </w:tcBorders>
            <w:shd w:val="clear" w:color="000000" w:fill="D8E4BC"/>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-22,50</w:t>
            </w:r>
          </w:p>
        </w:tc>
      </w:tr>
      <w:tr w:rsidR="00163BE0" w:rsidRPr="00944248" w:rsidTr="00E702B3">
        <w:trPr>
          <w:trHeight w:val="300"/>
          <w:jc w:val="center"/>
        </w:trPr>
        <w:tc>
          <w:tcPr>
            <w:tcW w:w="874" w:type="dxa"/>
            <w:tcBorders>
              <w:top w:val="nil"/>
              <w:left w:val="single" w:sz="4" w:space="0" w:color="auto"/>
              <w:bottom w:val="single" w:sz="4" w:space="0" w:color="auto"/>
              <w:right w:val="nil"/>
            </w:tcBorders>
            <w:shd w:val="clear" w:color="000000" w:fill="CCC0DA"/>
            <w:vAlign w:val="center"/>
          </w:tcPr>
          <w:p w:rsidR="00163BE0" w:rsidRPr="00944248" w:rsidRDefault="00BB5A8C" w:rsidP="00E702B3">
            <w:pPr>
              <w:keepNext/>
              <w:rPr>
                <w:rFonts w:ascii="Times New Roman" w:hAnsi="Times New Roman"/>
                <w:lang w:val="ro-RO"/>
              </w:rPr>
            </w:pPr>
            <m:oMathPara>
              <m:oMath>
                <m:sSub>
                  <m:sSubPr>
                    <m:ctrlPr>
                      <w:rPr>
                        <w:rFonts w:ascii="Cambria Math" w:hAnsi="Cambria Math"/>
                        <w:i/>
                        <w:szCs w:val="22"/>
                        <w:lang w:val="ro-RO"/>
                      </w:rPr>
                    </m:ctrlPr>
                  </m:sSubPr>
                  <m:e>
                    <m:r>
                      <w:rPr>
                        <w:rFonts w:ascii="Cambria Math" w:hAnsi="Cambria Math"/>
                        <w:szCs w:val="22"/>
                        <w:lang w:val="ro-RO"/>
                      </w:rPr>
                      <m:t>B</m:t>
                    </m:r>
                  </m:e>
                  <m:sub>
                    <m:r>
                      <w:rPr>
                        <w:rFonts w:ascii="Cambria Math" w:hAnsi="Cambria Math"/>
                        <w:szCs w:val="22"/>
                        <w:lang w:val="ro-RO"/>
                      </w:rPr>
                      <m:t>IGCC</m:t>
                    </m:r>
                  </m:sub>
                </m:sSub>
              </m:oMath>
            </m:oMathPara>
          </w:p>
        </w:tc>
        <w:tc>
          <w:tcPr>
            <w:tcW w:w="885" w:type="dxa"/>
            <w:tcBorders>
              <w:top w:val="nil"/>
              <w:left w:val="single" w:sz="4" w:space="0" w:color="auto"/>
              <w:bottom w:val="single" w:sz="4" w:space="0" w:color="auto"/>
              <w:right w:val="single" w:sz="4" w:space="0" w:color="auto"/>
            </w:tcBorders>
            <w:shd w:val="clear" w:color="000000" w:fill="CCC0DA"/>
            <w:vAlign w:val="center"/>
          </w:tcPr>
          <w:p w:rsidR="00163BE0" w:rsidRPr="00944248" w:rsidRDefault="00163BE0" w:rsidP="00E702B3">
            <w:pPr>
              <w:keepNext/>
              <w:jc w:val="center"/>
              <w:rPr>
                <w:rFonts w:ascii="Times New Roman" w:hAnsi="Times New Roman"/>
                <w:lang w:val="ro-RO"/>
              </w:rPr>
            </w:pPr>
            <w:r w:rsidRPr="00944248">
              <w:rPr>
                <w:rFonts w:ascii="Times New Roman" w:hAnsi="Times New Roman"/>
                <w:lang w:val="ro-RO"/>
              </w:rPr>
              <w:t>[€]</w:t>
            </w:r>
          </w:p>
        </w:tc>
        <w:tc>
          <w:tcPr>
            <w:tcW w:w="6489" w:type="dxa"/>
            <w:gridSpan w:val="5"/>
            <w:tcBorders>
              <w:top w:val="nil"/>
              <w:left w:val="nil"/>
              <w:bottom w:val="single" w:sz="4" w:space="0" w:color="auto"/>
              <w:right w:val="single" w:sz="4" w:space="0" w:color="auto"/>
            </w:tcBorders>
            <w:shd w:val="clear" w:color="000000" w:fill="D8E4BC"/>
            <w:noWrap/>
            <w:vAlign w:val="bottom"/>
          </w:tcPr>
          <w:p w:rsidR="00163BE0" w:rsidRPr="00944248" w:rsidRDefault="00163BE0" w:rsidP="00DE1DDE">
            <w:pPr>
              <w:keepNext/>
              <w:jc w:val="center"/>
              <w:rPr>
                <w:rFonts w:ascii="Times New Roman" w:hAnsi="Times New Roman"/>
                <w:lang w:val="ro-RO"/>
              </w:rPr>
            </w:pPr>
            <w:r w:rsidRPr="00944248">
              <w:rPr>
                <w:rFonts w:ascii="Times New Roman" w:hAnsi="Times New Roman"/>
                <w:lang w:val="ro-RO"/>
              </w:rPr>
              <w:t>231,13</w:t>
            </w:r>
          </w:p>
        </w:tc>
      </w:tr>
      <w:tr w:rsidR="00163BE0" w:rsidRPr="00944248" w:rsidTr="00E702B3">
        <w:trPr>
          <w:trHeight w:val="20"/>
          <w:jc w:val="center"/>
        </w:trPr>
        <w:tc>
          <w:tcPr>
            <w:tcW w:w="874" w:type="dxa"/>
            <w:tcBorders>
              <w:top w:val="nil"/>
              <w:left w:val="single" w:sz="4" w:space="0" w:color="auto"/>
              <w:bottom w:val="single" w:sz="4" w:space="0" w:color="auto"/>
              <w:right w:val="nil"/>
            </w:tcBorders>
            <w:shd w:val="clear" w:color="000000" w:fill="CCC0DA"/>
            <w:vAlign w:val="center"/>
            <w:hideMark/>
          </w:tcPr>
          <w:p w:rsidR="00163BE0" w:rsidRPr="00944248" w:rsidRDefault="00BB5A8C" w:rsidP="00E702B3">
            <w:pPr>
              <w:keepNext/>
              <w:rPr>
                <w:rFonts w:ascii="Times New Roman" w:hAnsi="Times New Roman"/>
                <w:lang w:val="ro-RO"/>
              </w:rPr>
            </w:pPr>
            <m:oMathPara>
              <m:oMath>
                <m:sSup>
                  <m:sSupPr>
                    <m:ctrlPr>
                      <w:rPr>
                        <w:rFonts w:ascii="Cambria Math" w:hAnsi="Cambria Math"/>
                        <w:i/>
                        <w:iCs/>
                        <w:szCs w:val="22"/>
                        <w:lang w:val="ro-RO"/>
                      </w:rPr>
                    </m:ctrlPr>
                  </m:sSupPr>
                  <m:e>
                    <m:r>
                      <w:rPr>
                        <w:rFonts w:ascii="Cambria Math" w:hAnsi="Cambria Math"/>
                        <w:szCs w:val="22"/>
                        <w:lang w:val="ro-RO"/>
                      </w:rPr>
                      <m:t>S</m:t>
                    </m:r>
                  </m:e>
                  <m:sup>
                    <m:r>
                      <w:rPr>
                        <w:rFonts w:ascii="Cambria Math" w:hAnsi="Cambria Math"/>
                        <w:szCs w:val="22"/>
                        <w:lang w:val="ro-RO"/>
                      </w:rPr>
                      <m:t>'</m:t>
                    </m:r>
                  </m:sup>
                </m:sSup>
              </m:oMath>
            </m:oMathPara>
          </w:p>
        </w:tc>
        <w:tc>
          <w:tcPr>
            <w:tcW w:w="885" w:type="dxa"/>
            <w:tcBorders>
              <w:top w:val="nil"/>
              <w:left w:val="single" w:sz="4" w:space="0" w:color="auto"/>
              <w:bottom w:val="single" w:sz="4" w:space="0" w:color="auto"/>
              <w:right w:val="single" w:sz="4" w:space="0" w:color="auto"/>
            </w:tcBorders>
            <w:shd w:val="clear" w:color="000000" w:fill="CCC0DA"/>
            <w:vAlign w:val="center"/>
            <w:hideMark/>
          </w:tcPr>
          <w:p w:rsidR="00163BE0" w:rsidRPr="00944248" w:rsidRDefault="00163BE0" w:rsidP="00E702B3">
            <w:pPr>
              <w:keepNext/>
              <w:jc w:val="center"/>
              <w:rPr>
                <w:rFonts w:ascii="Times New Roman" w:hAnsi="Times New Roman"/>
                <w:lang w:val="ro-RO"/>
              </w:rPr>
            </w:pPr>
            <w:r w:rsidRPr="00944248">
              <w:rPr>
                <w:rFonts w:ascii="Times New Roman" w:hAnsi="Times New Roman"/>
                <w:lang w:val="ro-RO"/>
              </w:rPr>
              <w:t>[€]</w:t>
            </w:r>
          </w:p>
        </w:tc>
        <w:tc>
          <w:tcPr>
            <w:tcW w:w="1365" w:type="dxa"/>
            <w:tcBorders>
              <w:top w:val="nil"/>
              <w:left w:val="nil"/>
              <w:bottom w:val="single" w:sz="4" w:space="0" w:color="auto"/>
              <w:right w:val="single" w:sz="4" w:space="0" w:color="auto"/>
            </w:tcBorders>
            <w:shd w:val="clear" w:color="000000" w:fill="FABF8F"/>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258,41</w:t>
            </w:r>
          </w:p>
        </w:tc>
        <w:tc>
          <w:tcPr>
            <w:tcW w:w="1253" w:type="dxa"/>
            <w:tcBorders>
              <w:top w:val="nil"/>
              <w:left w:val="nil"/>
              <w:bottom w:val="single" w:sz="4" w:space="0" w:color="auto"/>
              <w:right w:val="single" w:sz="4" w:space="0" w:color="auto"/>
            </w:tcBorders>
            <w:shd w:val="clear" w:color="000000" w:fill="D8E4BC"/>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0</w:t>
            </w:r>
          </w:p>
        </w:tc>
        <w:tc>
          <w:tcPr>
            <w:tcW w:w="1365" w:type="dxa"/>
            <w:tcBorders>
              <w:top w:val="nil"/>
              <w:left w:val="nil"/>
              <w:bottom w:val="single" w:sz="4" w:space="0" w:color="auto"/>
              <w:right w:val="single" w:sz="4" w:space="0" w:color="auto"/>
            </w:tcBorders>
            <w:shd w:val="clear" w:color="000000" w:fill="FABF8F"/>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-95,95</w:t>
            </w:r>
          </w:p>
        </w:tc>
        <w:tc>
          <w:tcPr>
            <w:tcW w:w="1253" w:type="dxa"/>
            <w:tcBorders>
              <w:top w:val="nil"/>
              <w:left w:val="nil"/>
              <w:bottom w:val="single" w:sz="4" w:space="0" w:color="auto"/>
              <w:right w:val="single" w:sz="4" w:space="0" w:color="auto"/>
            </w:tcBorders>
            <w:shd w:val="clear" w:color="000000" w:fill="FABF8F"/>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-162,46</w:t>
            </w:r>
          </w:p>
        </w:tc>
        <w:tc>
          <w:tcPr>
            <w:tcW w:w="1253" w:type="dxa"/>
            <w:tcBorders>
              <w:top w:val="nil"/>
              <w:left w:val="nil"/>
              <w:bottom w:val="single" w:sz="4" w:space="0" w:color="auto"/>
              <w:right w:val="single" w:sz="4" w:space="0" w:color="auto"/>
            </w:tcBorders>
            <w:shd w:val="clear" w:color="000000" w:fill="D8E4BC"/>
            <w:noWrap/>
            <w:vAlign w:val="bottom"/>
            <w:hideMark/>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0</w:t>
            </w:r>
          </w:p>
        </w:tc>
      </w:tr>
      <w:tr w:rsidR="00163BE0" w:rsidRPr="00944248" w:rsidTr="00E702B3">
        <w:trPr>
          <w:trHeight w:val="20"/>
          <w:jc w:val="center"/>
        </w:trPr>
        <w:tc>
          <w:tcPr>
            <w:tcW w:w="874" w:type="dxa"/>
            <w:tcBorders>
              <w:top w:val="single" w:sz="4" w:space="0" w:color="auto"/>
              <w:left w:val="single" w:sz="4" w:space="0" w:color="auto"/>
              <w:bottom w:val="single" w:sz="4" w:space="0" w:color="auto"/>
              <w:right w:val="nil"/>
            </w:tcBorders>
            <w:shd w:val="clear" w:color="000000" w:fill="CCC0DA"/>
            <w:vAlign w:val="center"/>
            <w:hideMark/>
          </w:tcPr>
          <w:p w:rsidR="00163BE0" w:rsidRPr="00944248" w:rsidRDefault="00BB5A8C" w:rsidP="00E702B3">
            <w:pPr>
              <w:rPr>
                <w:rFonts w:ascii="Times New Roman" w:hAnsi="Times New Roman"/>
                <w:lang w:val="ro-RO"/>
              </w:rPr>
            </w:pPr>
            <m:oMathPara>
              <m:oMath>
                <m:sSub>
                  <m:sSubPr>
                    <m:ctrlPr>
                      <w:rPr>
                        <w:rFonts w:ascii="Cambria Math" w:hAnsi="Cambria Math"/>
                        <w:i/>
                        <w:iCs/>
                        <w:szCs w:val="22"/>
                        <w:lang w:val="ro-RO"/>
                      </w:rPr>
                    </m:ctrlPr>
                  </m:sSubPr>
                  <m:e>
                    <m:r>
                      <w:rPr>
                        <w:rFonts w:ascii="Cambria Math" w:hAnsi="Cambria Math"/>
                        <w:szCs w:val="22"/>
                        <w:lang w:val="ro-RO"/>
                      </w:rPr>
                      <m:t>P'</m:t>
                    </m:r>
                  </m:e>
                  <m:sub>
                    <m:r>
                      <w:rPr>
                        <w:rFonts w:ascii="Cambria Math" w:hAnsi="Cambria Math"/>
                        <w:szCs w:val="22"/>
                        <w:lang w:val="ro-RO"/>
                      </w:rPr>
                      <m:t>IGCC</m:t>
                    </m:r>
                  </m:sub>
                </m:sSub>
              </m:oMath>
            </m:oMathPara>
          </w:p>
        </w:tc>
        <w:tc>
          <w:tcPr>
            <w:tcW w:w="885" w:type="dxa"/>
            <w:tcBorders>
              <w:top w:val="single" w:sz="4" w:space="0" w:color="auto"/>
              <w:left w:val="single" w:sz="4" w:space="0" w:color="auto"/>
              <w:bottom w:val="single" w:sz="4" w:space="0" w:color="auto"/>
              <w:right w:val="single" w:sz="4" w:space="0" w:color="auto"/>
            </w:tcBorders>
            <w:shd w:val="clear" w:color="000000" w:fill="CCC0DA"/>
            <w:vAlign w:val="center"/>
            <w:hideMark/>
          </w:tcPr>
          <w:p w:rsidR="00163BE0" w:rsidRPr="00944248" w:rsidRDefault="00163BE0" w:rsidP="00E702B3">
            <w:pPr>
              <w:jc w:val="center"/>
              <w:rPr>
                <w:rFonts w:ascii="Times New Roman" w:hAnsi="Times New Roman"/>
                <w:lang w:val="ro-RO"/>
              </w:rPr>
            </w:pPr>
            <w:r w:rsidRPr="00944248">
              <w:rPr>
                <w:rFonts w:ascii="Times New Roman" w:hAnsi="Times New Roman"/>
                <w:lang w:val="ro-RO"/>
              </w:rPr>
              <w:t>[€/MWh]</w:t>
            </w:r>
          </w:p>
        </w:tc>
        <w:tc>
          <w:tcPr>
            <w:tcW w:w="1365" w:type="dxa"/>
            <w:tcBorders>
              <w:top w:val="single" w:sz="4" w:space="0" w:color="auto"/>
              <w:left w:val="nil"/>
              <w:bottom w:val="single" w:sz="4" w:space="0" w:color="auto"/>
              <w:right w:val="single" w:sz="4" w:space="0" w:color="auto"/>
            </w:tcBorders>
            <w:shd w:val="clear" w:color="000000" w:fill="FABF8F"/>
            <w:vAlign w:val="bottom"/>
            <w:hideMark/>
          </w:tcPr>
          <w:p w:rsidR="00163BE0" w:rsidRPr="00944248" w:rsidRDefault="00163BE0" w:rsidP="00955BB7">
            <w:pPr>
              <w:jc w:val="center"/>
              <w:rPr>
                <w:rFonts w:ascii="Times New Roman" w:hAnsi="Times New Roman"/>
                <w:lang w:val="ro-RO"/>
              </w:rPr>
            </w:pPr>
            <w:r w:rsidRPr="00944248">
              <w:rPr>
                <w:rFonts w:ascii="Times New Roman" w:hAnsi="Times New Roman"/>
                <w:lang w:val="ro-RO"/>
              </w:rPr>
              <w:t>56,545</w:t>
            </w:r>
          </w:p>
        </w:tc>
        <w:tc>
          <w:tcPr>
            <w:tcW w:w="1253" w:type="dxa"/>
            <w:tcBorders>
              <w:top w:val="single" w:sz="4" w:space="0" w:color="auto"/>
              <w:left w:val="nil"/>
              <w:bottom w:val="single" w:sz="4" w:space="0" w:color="auto"/>
              <w:right w:val="single" w:sz="4" w:space="0" w:color="auto"/>
            </w:tcBorders>
            <w:shd w:val="clear" w:color="000000" w:fill="D8E4BC"/>
            <w:vAlign w:val="bottom"/>
            <w:hideMark/>
          </w:tcPr>
          <w:p w:rsidR="00163BE0" w:rsidRPr="00944248" w:rsidRDefault="00163BE0" w:rsidP="00955BB7">
            <w:pPr>
              <w:jc w:val="center"/>
              <w:rPr>
                <w:rFonts w:ascii="Times New Roman" w:hAnsi="Times New Roman"/>
                <w:lang w:val="ro-RO"/>
              </w:rPr>
            </w:pPr>
            <w:r w:rsidRPr="00944248">
              <w:rPr>
                <w:rFonts w:ascii="Times New Roman" w:hAnsi="Times New Roman"/>
                <w:lang w:val="ro-RO"/>
              </w:rPr>
              <w:t>52,905</w:t>
            </w:r>
          </w:p>
        </w:tc>
        <w:tc>
          <w:tcPr>
            <w:tcW w:w="1365" w:type="dxa"/>
            <w:tcBorders>
              <w:top w:val="single" w:sz="4" w:space="0" w:color="auto"/>
              <w:left w:val="nil"/>
              <w:bottom w:val="single" w:sz="4" w:space="0" w:color="auto"/>
              <w:right w:val="single" w:sz="4" w:space="0" w:color="auto"/>
            </w:tcBorders>
            <w:shd w:val="clear" w:color="000000" w:fill="FABF8F"/>
            <w:vAlign w:val="bottom"/>
            <w:hideMark/>
          </w:tcPr>
          <w:p w:rsidR="00163BE0" w:rsidRPr="00944248" w:rsidRDefault="00163BE0" w:rsidP="00955BB7">
            <w:pPr>
              <w:jc w:val="center"/>
              <w:rPr>
                <w:rFonts w:ascii="Times New Roman" w:hAnsi="Times New Roman"/>
                <w:lang w:val="ro-RO"/>
              </w:rPr>
            </w:pPr>
            <w:r w:rsidRPr="00944248">
              <w:rPr>
                <w:rFonts w:ascii="Times New Roman" w:hAnsi="Times New Roman"/>
                <w:lang w:val="ro-RO"/>
              </w:rPr>
              <w:t>44,217</w:t>
            </w:r>
          </w:p>
        </w:tc>
        <w:tc>
          <w:tcPr>
            <w:tcW w:w="1253" w:type="dxa"/>
            <w:tcBorders>
              <w:top w:val="single" w:sz="4" w:space="0" w:color="auto"/>
              <w:left w:val="nil"/>
              <w:bottom w:val="single" w:sz="4" w:space="0" w:color="auto"/>
              <w:right w:val="single" w:sz="4" w:space="0" w:color="auto"/>
            </w:tcBorders>
            <w:shd w:val="clear" w:color="000000" w:fill="FABF8F"/>
            <w:vAlign w:val="bottom"/>
            <w:hideMark/>
          </w:tcPr>
          <w:p w:rsidR="00163BE0" w:rsidRPr="00944248" w:rsidRDefault="00163BE0" w:rsidP="00955BB7">
            <w:pPr>
              <w:jc w:val="center"/>
              <w:rPr>
                <w:rFonts w:ascii="Times New Roman" w:hAnsi="Times New Roman"/>
                <w:lang w:val="ro-RO"/>
              </w:rPr>
            </w:pPr>
            <w:r w:rsidRPr="00944248">
              <w:rPr>
                <w:rFonts w:ascii="Times New Roman" w:hAnsi="Times New Roman"/>
                <w:lang w:val="ro-RO"/>
              </w:rPr>
              <w:t>67,692</w:t>
            </w:r>
          </w:p>
        </w:tc>
        <w:tc>
          <w:tcPr>
            <w:tcW w:w="1253" w:type="dxa"/>
            <w:tcBorders>
              <w:top w:val="single" w:sz="4" w:space="0" w:color="auto"/>
              <w:left w:val="nil"/>
              <w:bottom w:val="single" w:sz="4" w:space="0" w:color="auto"/>
              <w:right w:val="single" w:sz="4" w:space="0" w:color="auto"/>
            </w:tcBorders>
            <w:shd w:val="clear" w:color="000000" w:fill="D8E4BC"/>
            <w:vAlign w:val="bottom"/>
            <w:hideMark/>
          </w:tcPr>
          <w:p w:rsidR="00163BE0" w:rsidRPr="00944248" w:rsidRDefault="00163BE0" w:rsidP="00955BB7">
            <w:pPr>
              <w:jc w:val="center"/>
              <w:rPr>
                <w:rFonts w:ascii="Times New Roman" w:hAnsi="Times New Roman"/>
                <w:lang w:val="ro-RO"/>
              </w:rPr>
            </w:pPr>
            <w:r w:rsidRPr="00944248">
              <w:rPr>
                <w:rFonts w:ascii="Times New Roman" w:hAnsi="Times New Roman"/>
                <w:lang w:val="ro-RO"/>
              </w:rPr>
              <w:t>52,905</w:t>
            </w:r>
          </w:p>
        </w:tc>
      </w:tr>
      <w:tr w:rsidR="006114F2" w:rsidRPr="00944248" w:rsidTr="00E702B3">
        <w:trPr>
          <w:trHeight w:val="20"/>
          <w:jc w:val="center"/>
        </w:trPr>
        <w:tc>
          <w:tcPr>
            <w:tcW w:w="874" w:type="dxa"/>
            <w:tcBorders>
              <w:top w:val="single" w:sz="4" w:space="0" w:color="auto"/>
              <w:left w:val="single" w:sz="4" w:space="0" w:color="auto"/>
              <w:bottom w:val="single" w:sz="4" w:space="0" w:color="auto"/>
              <w:right w:val="nil"/>
            </w:tcBorders>
            <w:shd w:val="clear" w:color="000000" w:fill="CCC0DA"/>
            <w:vAlign w:val="center"/>
          </w:tcPr>
          <w:p w:rsidR="00163BE0" w:rsidRPr="00944248" w:rsidRDefault="00163BE0" w:rsidP="00E702B3">
            <w:pPr>
              <w:keepNext/>
              <w:jc w:val="right"/>
              <w:rPr>
                <w:rFonts w:ascii="Times New Roman" w:hAnsi="Times New Roman"/>
                <w:lang w:val="ro-RO"/>
              </w:rPr>
            </w:pPr>
            <m:oMathPara>
              <m:oMath>
                <m:r>
                  <w:rPr>
                    <w:rFonts w:ascii="Cambria Math" w:hAnsi="Cambria Math"/>
                    <w:szCs w:val="22"/>
                    <w:lang w:val="ro-RO"/>
                  </w:rPr>
                  <m:t>B'</m:t>
                </m:r>
              </m:oMath>
            </m:oMathPara>
          </w:p>
        </w:tc>
        <w:tc>
          <w:tcPr>
            <w:tcW w:w="885" w:type="dxa"/>
            <w:tcBorders>
              <w:top w:val="single" w:sz="4" w:space="0" w:color="auto"/>
              <w:left w:val="single" w:sz="4" w:space="0" w:color="auto"/>
              <w:bottom w:val="single" w:sz="4" w:space="0" w:color="auto"/>
              <w:right w:val="single" w:sz="4" w:space="0" w:color="auto"/>
            </w:tcBorders>
            <w:shd w:val="clear" w:color="000000" w:fill="CCC0DA"/>
            <w:vAlign w:val="center"/>
          </w:tcPr>
          <w:p w:rsidR="00163BE0" w:rsidRPr="00944248" w:rsidRDefault="00163BE0" w:rsidP="00E702B3">
            <w:pPr>
              <w:keepNext/>
              <w:jc w:val="center"/>
              <w:rPr>
                <w:rFonts w:ascii="Times New Roman" w:hAnsi="Times New Roman"/>
                <w:lang w:val="ro-RO"/>
              </w:rPr>
            </w:pPr>
            <w:r w:rsidRPr="00944248">
              <w:rPr>
                <w:rFonts w:ascii="Times New Roman" w:hAnsi="Times New Roman"/>
                <w:lang w:val="ro-RO"/>
              </w:rPr>
              <w:t>[€]</w:t>
            </w:r>
          </w:p>
        </w:tc>
        <w:tc>
          <w:tcPr>
            <w:tcW w:w="1365" w:type="dxa"/>
            <w:tcBorders>
              <w:top w:val="single" w:sz="4" w:space="0" w:color="auto"/>
              <w:left w:val="nil"/>
              <w:bottom w:val="single" w:sz="4" w:space="0" w:color="auto"/>
              <w:right w:val="single" w:sz="4" w:space="0" w:color="auto"/>
            </w:tcBorders>
            <w:shd w:val="clear" w:color="000000" w:fill="FABF8F"/>
            <w:vAlign w:val="bottom"/>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108,51</w:t>
            </w:r>
          </w:p>
        </w:tc>
        <w:tc>
          <w:tcPr>
            <w:tcW w:w="1253" w:type="dxa"/>
            <w:tcBorders>
              <w:top w:val="single" w:sz="4" w:space="0" w:color="auto"/>
              <w:left w:val="nil"/>
              <w:bottom w:val="single" w:sz="4" w:space="0" w:color="auto"/>
              <w:right w:val="single" w:sz="4" w:space="0" w:color="auto"/>
            </w:tcBorders>
            <w:shd w:val="clear" w:color="000000" w:fill="D8E4BC"/>
            <w:vAlign w:val="bottom"/>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22,12</w:t>
            </w:r>
          </w:p>
        </w:tc>
        <w:tc>
          <w:tcPr>
            <w:tcW w:w="1365" w:type="dxa"/>
            <w:tcBorders>
              <w:top w:val="single" w:sz="4" w:space="0" w:color="auto"/>
              <w:left w:val="nil"/>
              <w:bottom w:val="single" w:sz="4" w:space="0" w:color="auto"/>
              <w:right w:val="single" w:sz="4" w:space="0" w:color="auto"/>
            </w:tcBorders>
            <w:shd w:val="clear" w:color="000000" w:fill="FABF8F"/>
            <w:vAlign w:val="bottom"/>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123,00</w:t>
            </w:r>
          </w:p>
        </w:tc>
        <w:tc>
          <w:tcPr>
            <w:tcW w:w="1253" w:type="dxa"/>
            <w:tcBorders>
              <w:top w:val="single" w:sz="4" w:space="0" w:color="auto"/>
              <w:left w:val="nil"/>
              <w:bottom w:val="single" w:sz="4" w:space="0" w:color="auto"/>
              <w:right w:val="single" w:sz="4" w:space="0" w:color="auto"/>
            </w:tcBorders>
            <w:shd w:val="clear" w:color="000000" w:fill="FABF8F"/>
            <w:vAlign w:val="bottom"/>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0,00</w:t>
            </w:r>
          </w:p>
        </w:tc>
        <w:tc>
          <w:tcPr>
            <w:tcW w:w="1253" w:type="dxa"/>
            <w:tcBorders>
              <w:top w:val="single" w:sz="4" w:space="0" w:color="auto"/>
              <w:left w:val="nil"/>
              <w:bottom w:val="single" w:sz="4" w:space="0" w:color="auto"/>
              <w:right w:val="single" w:sz="4" w:space="0" w:color="auto"/>
            </w:tcBorders>
            <w:shd w:val="clear" w:color="000000" w:fill="D8E4BC"/>
            <w:vAlign w:val="bottom"/>
          </w:tcPr>
          <w:p w:rsidR="00163BE0" w:rsidRPr="00944248" w:rsidRDefault="00163BE0" w:rsidP="00955BB7">
            <w:pPr>
              <w:keepNext/>
              <w:jc w:val="center"/>
              <w:rPr>
                <w:rFonts w:ascii="Times New Roman" w:hAnsi="Times New Roman"/>
                <w:lang w:val="ro-RO"/>
              </w:rPr>
            </w:pPr>
            <w:r w:rsidRPr="00944248">
              <w:rPr>
                <w:rFonts w:ascii="Times New Roman" w:hAnsi="Times New Roman"/>
                <w:lang w:val="ro-RO"/>
              </w:rPr>
              <w:t>-22,50</w:t>
            </w:r>
          </w:p>
        </w:tc>
      </w:tr>
    </w:tbl>
    <w:p w:rsidR="00DD5861" w:rsidRPr="00944248" w:rsidRDefault="00DD5861" w:rsidP="00DD5861">
      <w:pPr>
        <w:pStyle w:val="Caption"/>
        <w:keepNext/>
        <w:rPr>
          <w:lang w:val="ro-RO"/>
        </w:rPr>
      </w:pPr>
      <w:bookmarkStart w:id="199" w:name="_Toc535158356"/>
      <w:r w:rsidRPr="00944248">
        <w:rPr>
          <w:lang w:val="ro-RO"/>
        </w:rPr>
        <w:t xml:space="preserve">Tabelul </w:t>
      </w:r>
      <w:r w:rsidRPr="00944248">
        <w:rPr>
          <w:lang w:val="ro-RO"/>
        </w:rPr>
        <w:fldChar w:fldCharType="begin"/>
      </w:r>
      <w:r w:rsidRPr="00944248">
        <w:rPr>
          <w:lang w:val="ro-RO"/>
        </w:rPr>
        <w:instrText xml:space="preserve"> SEQ Table \* ARABIC </w:instrText>
      </w:r>
      <w:r w:rsidRPr="00944248">
        <w:rPr>
          <w:lang w:val="ro-RO"/>
        </w:rPr>
        <w:fldChar w:fldCharType="separate"/>
      </w:r>
      <w:r w:rsidRPr="00944248">
        <w:rPr>
          <w:lang w:val="ro-RO"/>
        </w:rPr>
        <w:t>9</w:t>
      </w:r>
      <w:r w:rsidRPr="00944248">
        <w:rPr>
          <w:lang w:val="ro-RO"/>
        </w:rPr>
        <w:fldChar w:fldCharType="end"/>
      </w:r>
      <w:r w:rsidRPr="00944248">
        <w:rPr>
          <w:lang w:val="ro-RO"/>
        </w:rPr>
        <w:t>:</w:t>
      </w:r>
      <w:r w:rsidRPr="00944248">
        <w:rPr>
          <w:b w:val="0"/>
          <w:bCs w:val="0"/>
          <w:lang w:val="ro-RO"/>
        </w:rPr>
        <w:t xml:space="preserve"> </w:t>
      </w:r>
      <w:r w:rsidRPr="00944248">
        <w:rPr>
          <w:lang w:val="ro-RO"/>
        </w:rPr>
        <w:t>Exemplu complet pentru decontarea ajustată</w:t>
      </w:r>
      <w:bookmarkEnd w:id="199"/>
    </w:p>
    <w:p w:rsidR="00163BE0" w:rsidRPr="00944248" w:rsidRDefault="00163BE0" w:rsidP="00955BB7">
      <w:pPr>
        <w:pStyle w:val="textregular"/>
        <w:rPr>
          <w:lang w:val="ro-RO"/>
        </w:rPr>
      </w:pPr>
      <w:r w:rsidRPr="00944248">
        <w:rPr>
          <w:lang w:val="ro-RO"/>
        </w:rPr>
        <w:t>Întrucât prețul de decontare IN poate fi pozitiv, negativ sau zero, importurile sau exporturile IN pot genera creanțe și datorii. Din acest motiv, facturile sau notele de credit vor fi emise de către OTS-ul care facturează. Acestea vor include următoarele poziții (din perspectiva OTS-ului care facturează):</w:t>
      </w:r>
    </w:p>
    <w:p w:rsidR="00163BE0" w:rsidRPr="00944248" w:rsidRDefault="00163BE0" w:rsidP="00DD58FA">
      <w:pPr>
        <w:widowControl w:val="0"/>
        <w:numPr>
          <w:ilvl w:val="0"/>
          <w:numId w:val="14"/>
        </w:numPr>
        <w:adjustRightInd w:val="0"/>
        <w:spacing w:line="360" w:lineRule="auto"/>
        <w:ind w:left="714" w:hanging="357"/>
        <w:jc w:val="both"/>
        <w:rPr>
          <w:rFonts w:ascii="Times New Roman" w:hAnsi="Times New Roman"/>
          <w:szCs w:val="19"/>
          <w:lang w:val="ro-RO"/>
        </w:rPr>
      </w:pPr>
      <w:r w:rsidRPr="00944248">
        <w:rPr>
          <w:rFonts w:ascii="Times New Roman" w:hAnsi="Times New Roman"/>
          <w:szCs w:val="19"/>
          <w:lang w:val="ro-RO"/>
        </w:rPr>
        <w:t>Membrul IN exportă către IN cu prețul de decontare IN pozitiv sau zero (membrul IN încasează plata)</w:t>
      </w:r>
      <w:r w:rsidR="00960672">
        <w:rPr>
          <w:rFonts w:ascii="Times New Roman" w:hAnsi="Times New Roman"/>
          <w:szCs w:val="19"/>
          <w:lang w:val="ro-RO"/>
        </w:rPr>
        <w:t>;</w:t>
      </w:r>
    </w:p>
    <w:p w:rsidR="00163BE0" w:rsidRPr="00944248" w:rsidRDefault="00163BE0" w:rsidP="00DD58FA">
      <w:pPr>
        <w:widowControl w:val="0"/>
        <w:numPr>
          <w:ilvl w:val="0"/>
          <w:numId w:val="14"/>
        </w:numPr>
        <w:adjustRightInd w:val="0"/>
        <w:spacing w:line="360" w:lineRule="auto"/>
        <w:ind w:left="714" w:hanging="357"/>
        <w:jc w:val="both"/>
        <w:rPr>
          <w:rFonts w:ascii="Times New Roman" w:hAnsi="Times New Roman"/>
          <w:szCs w:val="19"/>
          <w:lang w:val="ro-RO"/>
        </w:rPr>
      </w:pPr>
      <w:r w:rsidRPr="00944248">
        <w:rPr>
          <w:rFonts w:ascii="Times New Roman" w:hAnsi="Times New Roman"/>
          <w:szCs w:val="19"/>
          <w:lang w:val="ro-RO"/>
        </w:rPr>
        <w:t>Membrul IN exportă către IN cu prețul de decontare IN negativ (membrul IN achită)</w:t>
      </w:r>
      <w:r w:rsidR="00960672">
        <w:rPr>
          <w:rFonts w:ascii="Times New Roman" w:hAnsi="Times New Roman"/>
          <w:szCs w:val="19"/>
          <w:lang w:val="ro-RO"/>
        </w:rPr>
        <w:t>;</w:t>
      </w:r>
    </w:p>
    <w:p w:rsidR="00163BE0" w:rsidRPr="00944248" w:rsidRDefault="00163BE0" w:rsidP="00DD58FA">
      <w:pPr>
        <w:widowControl w:val="0"/>
        <w:numPr>
          <w:ilvl w:val="0"/>
          <w:numId w:val="14"/>
        </w:numPr>
        <w:adjustRightInd w:val="0"/>
        <w:spacing w:line="360" w:lineRule="auto"/>
        <w:ind w:left="714" w:hanging="357"/>
        <w:jc w:val="both"/>
        <w:rPr>
          <w:rFonts w:ascii="Times New Roman" w:hAnsi="Times New Roman"/>
          <w:szCs w:val="19"/>
          <w:lang w:val="ro-RO"/>
        </w:rPr>
      </w:pPr>
      <w:r w:rsidRPr="00944248">
        <w:rPr>
          <w:rFonts w:ascii="Times New Roman" w:hAnsi="Times New Roman"/>
          <w:szCs w:val="19"/>
          <w:lang w:val="ro-RO"/>
        </w:rPr>
        <w:t>Membrul IN importă din IN cu prețul de decontare IN negativ (membrul IN încasează plata)</w:t>
      </w:r>
      <w:r w:rsidR="00960672">
        <w:rPr>
          <w:rFonts w:ascii="Times New Roman" w:hAnsi="Times New Roman"/>
          <w:szCs w:val="19"/>
          <w:lang w:val="ro-RO"/>
        </w:rPr>
        <w:t>;</w:t>
      </w:r>
    </w:p>
    <w:p w:rsidR="00163BE0" w:rsidRPr="00960672" w:rsidRDefault="00163BE0" w:rsidP="00960672">
      <w:pPr>
        <w:widowControl w:val="0"/>
        <w:numPr>
          <w:ilvl w:val="0"/>
          <w:numId w:val="14"/>
        </w:numPr>
        <w:adjustRightInd w:val="0"/>
        <w:spacing w:line="360" w:lineRule="auto"/>
        <w:ind w:left="714" w:hanging="357"/>
        <w:jc w:val="both"/>
        <w:rPr>
          <w:rFonts w:ascii="Times New Roman" w:hAnsi="Times New Roman"/>
          <w:szCs w:val="19"/>
          <w:lang w:val="ro-RO"/>
        </w:rPr>
      </w:pPr>
      <w:r w:rsidRPr="00960672">
        <w:rPr>
          <w:rFonts w:ascii="Times New Roman" w:hAnsi="Times New Roman"/>
          <w:szCs w:val="19"/>
          <w:lang w:val="ro-RO"/>
        </w:rPr>
        <w:t>Membrul IN importă din IN cu prețul de decontare IN pozitiv sau zero (membrul IN achită)</w:t>
      </w:r>
      <w:r w:rsidR="00960672">
        <w:rPr>
          <w:rFonts w:ascii="Times New Roman" w:hAnsi="Times New Roman"/>
          <w:szCs w:val="19"/>
          <w:lang w:val="ro-RO"/>
        </w:rPr>
        <w:t>.</w:t>
      </w:r>
    </w:p>
    <w:p w:rsidR="002C754B" w:rsidRPr="00944248" w:rsidRDefault="00537E5F" w:rsidP="002C754B">
      <w:pPr>
        <w:pStyle w:val="Headline14pt"/>
        <w:numPr>
          <w:ilvl w:val="0"/>
          <w:numId w:val="8"/>
        </w:numPr>
        <w:jc w:val="both"/>
        <w:outlineLvl w:val="0"/>
        <w:rPr>
          <w:lang w:val="ro-RO"/>
        </w:rPr>
      </w:pPr>
      <w:bookmarkStart w:id="200" w:name="_Toc531787046"/>
      <w:bookmarkStart w:id="201" w:name="_Toc531687686"/>
      <w:bookmarkStart w:id="202" w:name="_Toc535158332"/>
      <w:bookmarkEnd w:id="200"/>
      <w:bookmarkEnd w:id="201"/>
      <w:r w:rsidRPr="00944248">
        <w:rPr>
          <w:bCs/>
          <w:lang w:val="ro-RO"/>
        </w:rPr>
        <w:lastRenderedPageBreak/>
        <w:t>Decontarea veniturilor din congestiile de echilibrare</w:t>
      </w:r>
      <w:bookmarkEnd w:id="202"/>
    </w:p>
    <w:p w:rsidR="002C754B" w:rsidRPr="00944248" w:rsidRDefault="002C754B" w:rsidP="00437863">
      <w:pPr>
        <w:pStyle w:val="textregular"/>
        <w:rPr>
          <w:lang w:val="ro-RO"/>
        </w:rPr>
      </w:pPr>
      <w:r w:rsidRPr="00944248">
        <w:rPr>
          <w:lang w:val="ro-RO"/>
        </w:rPr>
        <w:t>Veniturile din congestiile de echilibrare apar în situația în care capacitatea de transport disponibilă între locații nu este suficientă pentru a acomoda toate schimburile transfrontaliere optime din punct de vedere economic. Diferențele dintre CBMP-urile aferente zonelor necongestionate generează tarife care trebuie decontate între OTS-uri.</w:t>
      </w:r>
    </w:p>
    <w:p w:rsidR="0029600A" w:rsidRPr="00944248" w:rsidRDefault="0029600A" w:rsidP="00437863">
      <w:pPr>
        <w:pStyle w:val="textregular"/>
        <w:rPr>
          <w:lang w:val="ro-RO"/>
        </w:rPr>
      </w:pPr>
      <w:r w:rsidRPr="00944248">
        <w:rPr>
          <w:lang w:val="ro-RO"/>
        </w:rPr>
        <w:t>OTS-urile propun aplicarea aceleiași metodologii pentru repartizarea veniturilor din congestiile de echilibrare precum propunerea pentru repartizarea tarifelor de congestionare de pe piața pentru ziua următoare.</w:t>
      </w:r>
    </w:p>
    <w:sectPr w:rsidR="0029600A" w:rsidRPr="00944248" w:rsidSect="003E30AC">
      <w:headerReference w:type="default" r:id="rId31"/>
      <w:footerReference w:type="default" r:id="rId32"/>
      <w:endnotePr>
        <w:numFmt w:val="decimal"/>
      </w:endnotePr>
      <w:pgSz w:w="11906" w:h="16838" w:code="9"/>
      <w:pgMar w:top="1843" w:right="1021" w:bottom="170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5A8C" w:rsidRDefault="00BB5A8C">
      <w:r>
        <w:separator/>
      </w:r>
    </w:p>
    <w:p w:rsidR="00BB5A8C" w:rsidRDefault="00BB5A8C"/>
    <w:p w:rsidR="00BB5A8C" w:rsidRDefault="00BB5A8C"/>
    <w:p w:rsidR="00BB5A8C" w:rsidRDefault="00BB5A8C"/>
    <w:p w:rsidR="00BB5A8C" w:rsidRDefault="00BB5A8C"/>
  </w:endnote>
  <w:endnote w:type="continuationSeparator" w:id="0">
    <w:p w:rsidR="00BB5A8C" w:rsidRDefault="00BB5A8C">
      <w:r>
        <w:continuationSeparator/>
      </w:r>
    </w:p>
    <w:p w:rsidR="00BB5A8C" w:rsidRDefault="00BB5A8C"/>
    <w:p w:rsidR="00BB5A8C" w:rsidRDefault="00BB5A8C"/>
    <w:p w:rsidR="00BB5A8C" w:rsidRDefault="00BB5A8C"/>
    <w:p w:rsidR="00BB5A8C" w:rsidRDefault="00BB5A8C"/>
  </w:endnote>
  <w:endnote w:type="continuationNotice" w:id="1">
    <w:p w:rsidR="00BB5A8C" w:rsidRDefault="00BB5A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UAlbertina">
    <w:altName w:val="Arial"/>
    <w:panose1 w:val="00000000000000000000"/>
    <w:charset w:val="00"/>
    <w:family w:val="roman"/>
    <w:notTrueType/>
    <w:pitch w:val="default"/>
    <w:sig w:usb0="00000003" w:usb1="00000000" w:usb2="00000000" w:usb3="00000000" w:csb0="00000001" w:csb1="00000000"/>
  </w:font>
  <w:font w:name="AvenirNext LT Com Regular">
    <w:altName w:val="Arial"/>
    <w:charset w:val="00"/>
    <w:family w:val="swiss"/>
    <w:pitch w:val="variable"/>
    <w:sig w:usb0="00000001"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0653503"/>
      <w:docPartObj>
        <w:docPartGallery w:val="Page Numbers (Bottom of Page)"/>
        <w:docPartUnique/>
      </w:docPartObj>
    </w:sdtPr>
    <w:sdtEndPr>
      <w:rPr>
        <w:noProof/>
      </w:rPr>
    </w:sdtEndPr>
    <w:sdtContent>
      <w:p w:rsidR="00FF07F0" w:rsidRDefault="00FF07F0">
        <w:pPr>
          <w:pStyle w:val="Footer"/>
          <w:jc w:val="right"/>
        </w:pPr>
        <w:r>
          <w:rPr>
            <w:lang w:val="ro"/>
          </w:rPr>
          <w:fldChar w:fldCharType="begin"/>
        </w:r>
        <w:r>
          <w:rPr>
            <w:lang w:val="ro"/>
          </w:rPr>
          <w:instrText xml:space="preserve"> PAGE   \* MERGEFORMAT </w:instrText>
        </w:r>
        <w:r>
          <w:rPr>
            <w:lang w:val="ro"/>
          </w:rPr>
          <w:fldChar w:fldCharType="separate"/>
        </w:r>
        <w:r>
          <w:rPr>
            <w:noProof/>
            <w:lang w:val="ro"/>
          </w:rPr>
          <w:t>4</w:t>
        </w:r>
        <w:r>
          <w:rPr>
            <w:noProof/>
            <w:lang w:val="ro"/>
          </w:rPr>
          <w:fldChar w:fldCharType="end"/>
        </w:r>
      </w:p>
    </w:sdtContent>
  </w:sdt>
  <w:p w:rsidR="00FF07F0" w:rsidRDefault="00FF07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5A8C" w:rsidRDefault="00BB5A8C">
      <w:r>
        <w:separator/>
      </w:r>
    </w:p>
    <w:p w:rsidR="00BB5A8C" w:rsidRDefault="00BB5A8C"/>
    <w:p w:rsidR="00BB5A8C" w:rsidRDefault="00BB5A8C"/>
    <w:p w:rsidR="00BB5A8C" w:rsidRDefault="00BB5A8C"/>
    <w:p w:rsidR="00BB5A8C" w:rsidRDefault="00BB5A8C"/>
  </w:footnote>
  <w:footnote w:type="continuationSeparator" w:id="0">
    <w:p w:rsidR="00BB5A8C" w:rsidRDefault="00BB5A8C">
      <w:r>
        <w:continuationSeparator/>
      </w:r>
    </w:p>
    <w:p w:rsidR="00BB5A8C" w:rsidRDefault="00BB5A8C"/>
    <w:p w:rsidR="00BB5A8C" w:rsidRDefault="00BB5A8C"/>
    <w:p w:rsidR="00BB5A8C" w:rsidRDefault="00BB5A8C"/>
    <w:p w:rsidR="00BB5A8C" w:rsidRDefault="00BB5A8C"/>
  </w:footnote>
  <w:footnote w:type="continuationNotice" w:id="1">
    <w:p w:rsidR="00BB5A8C" w:rsidRDefault="00BB5A8C"/>
  </w:footnote>
  <w:footnote w:id="2">
    <w:p w:rsidR="00FF07F0" w:rsidRPr="007D7FC9" w:rsidRDefault="00FF07F0" w:rsidP="004513E0">
      <w:pPr>
        <w:pStyle w:val="FootnoteText"/>
      </w:pPr>
      <w:r>
        <w:rPr>
          <w:rStyle w:val="FootnoteReference"/>
          <w:lang w:val="ro"/>
        </w:rPr>
        <w:footnoteRef/>
      </w:r>
      <w:r>
        <w:rPr>
          <w:lang w:val="ro"/>
        </w:rPr>
        <w:t xml:space="preserve"> Pentru mai multe detalii privind determinarea CBMP-ului în cadrul procesului aRRF, vă rugăm să consultați propunerea privind stabilirea prețului.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07F0" w:rsidRDefault="00BB5A8C" w:rsidP="008550A3">
    <w:pPr>
      <w:pStyle w:val="Header"/>
      <w:tabs>
        <w:tab w:val="clear" w:pos="4536"/>
        <w:tab w:val="clear" w:pos="9072"/>
        <w:tab w:val="left" w:pos="8238"/>
      </w:tabs>
    </w:pPr>
    <w:r>
      <w:rPr>
        <w:noProof/>
        <w:lang w:val="ro"/>
      </w:rPr>
      <w:pict w14:anchorId="4796A01F">
        <v:shapetype id="_x0000_t202" coordsize="21600,21600" o:spt="202" path="m,l,21600r21600,l21600,xe">
          <v:stroke joinstyle="miter"/>
          <v:path gradientshapeok="t" o:connecttype="rect"/>
        </v:shapetype>
        <v:shape id="Text Box 2" o:spid="_x0000_s2050" type="#_x0000_t202" style="position:absolute;margin-left:2475.25pt;margin-top:-9.95pt;width:475.2pt;height:50.45pt;z-index:251658240;visibility:visible;mso-wrap-style:square;mso-width-percent:0;mso-wrap-distance-left:9pt;mso-wrap-distance-top:3.6pt;mso-wrap-distance-right:9pt;mso-wrap-distance-bottom:3.6pt;mso-position-horizontal:right;mso-position-horizontal-relative:margin;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" stroked="f">
          <v:textbox style="mso-next-textbox:#Text Box 2">
            <w:txbxContent>
              <w:p w:rsidR="00FF07F0" w:rsidRPr="00420A2D" w:rsidRDefault="00FF07F0" w:rsidP="00FF07F0">
                <w:pPr>
                  <w:jc w:val="both"/>
                </w:pPr>
                <w:r>
                  <w:rPr>
                    <w:rFonts w:ascii="Times New Roman" w:hAnsi="Times New Roman"/>
                    <w:sz w:val="16"/>
                    <w:szCs w:val="16"/>
                    <w:lang w:val="ro"/>
                  </w:rPr>
                  <w:t>Document explicativ cu privire la propunerea tuturor OTS-urilor pentru metodologia de determinare a prețurilor pentru energia de echilibrare și capacitatea interzonală utilizată pentru schimbul de energie de echilibrare sau pentru realizarea procesului de compensare a dezechilibrelor în conformitate cu articolul 30 din Regulamentul (UE) 2017/2195 al Comisiei din 23 noiembrie 2017 de stabilire a unei linii directoare privind echilibrarea sistemului de energie electrică</w:t>
                </w:r>
              </w:p>
            </w:txbxContent>
          </v:textbox>
          <w10:wrap type="square" anchorx="margin"/>
        </v:shape>
      </w:pict>
    </w:r>
    <w:r w:rsidR="00FF07F0">
      <w:rPr>
        <w:lang w:val="ro"/>
      </w:rPr>
      <w:tab/>
    </w:r>
    <w:r>
      <w:rPr>
        <w:noProof/>
        <w:lang w:val="ro"/>
      </w:rPr>
      <w:pict w14:anchorId="5483C4C7">
        <v:shapetype id="_x0000_t32" coordsize="21600,21600" o:spt="32" o:oned="t" path="m,l21600,21600e" filled="f">
          <v:path arrowok="t" fillok="f" o:connecttype="none"/>
          <o:lock v:ext="edit" shapetype="t"/>
        </v:shapetype>
        <v:shape id="AutoShape 8" o:spid="_x0000_s2049" type="#_x0000_t32" style="position:absolute;margin-left:-.35pt;margin-top:72.4pt;width:671.8pt;height:0;z-index:251658241;visibility:visible;mso-wrap-style:square;mso-width-percent:0;mso-height-percent:0;mso-wrap-distance-left:9pt;mso-wrap-distance-top:0;mso-wrap-distance-right:9pt;mso-wrap-distance-bottom:0;mso-position-horizontal-relative:pag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" strokecolor="#1f497d [3215]" strokeweight="1pt">
          <w10:wrap anchorx="page" anchory="page"/>
          <w10:anchorlock/>
        </v:shape>
      </w:pict>
    </w:r>
    <w:r w:rsidR="00FF07F0">
      <w:rPr>
        <w:noProof/>
        <w:lang w:val="ro"/>
      </w:rPr>
      <w:drawing>
        <wp:anchor distT="0" distB="0" distL="114300" distR="114300" simplePos="0" relativeHeight="251727872" behindDoc="0" locked="1" layoutInCell="1" allowOverlap="1">
          <wp:simplePos x="0" y="0"/>
          <wp:positionH relativeFrom="page">
            <wp:posOffset>7948295</wp:posOffset>
          </wp:positionH>
          <wp:positionV relativeFrom="page">
            <wp:posOffset>320675</wp:posOffset>
          </wp:positionV>
          <wp:extent cx="1514475" cy="381000"/>
          <wp:effectExtent l="0" t="0" r="9525" b="0"/>
          <wp:wrapNone/>
          <wp:docPr id="26"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rcRect l="48293"/>
                  <a:stretch>
                    <a:fillRect/>
                  </a:stretch>
                </pic:blipFill>
                <pic:spPr>
                  <a:xfrm>
                    <a:off x="0" y="0"/>
                    <a:ext cx="1514475" cy="381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74EE"/>
      </v:shape>
    </w:pict>
  </w:numPicBullet>
  <w:abstractNum w:abstractNumId="0" w15:restartNumberingAfterBreak="0">
    <w:nsid w:val="FFFFFF88"/>
    <w:multiLevelType w:val="singleLevel"/>
    <w:tmpl w:val="1554B636"/>
    <w:lvl w:ilvl="0">
      <w:start w:val="1"/>
      <w:numFmt w:val="decimal"/>
      <w:pStyle w:val="ListNumber"/>
      <w:lvlText w:val="%1."/>
      <w:lvlJc w:val="left"/>
      <w:pPr>
        <w:tabs>
          <w:tab w:val="num" w:pos="360"/>
        </w:tabs>
        <w:ind w:left="360" w:hanging="360"/>
      </w:pPr>
    </w:lvl>
  </w:abstractNum>
  <w:abstractNum w:abstractNumId="1" w15:restartNumberingAfterBreak="0">
    <w:nsid w:val="028012AD"/>
    <w:multiLevelType w:val="hybridMultilevel"/>
    <w:tmpl w:val="5F547D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3B1199"/>
    <w:multiLevelType w:val="multilevel"/>
    <w:tmpl w:val="B420AF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D5363EE"/>
    <w:multiLevelType w:val="hybridMultilevel"/>
    <w:tmpl w:val="C5A6228C"/>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44A1E39"/>
    <w:multiLevelType w:val="hybridMultilevel"/>
    <w:tmpl w:val="16C2748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5A3479F"/>
    <w:multiLevelType w:val="hybridMultilevel"/>
    <w:tmpl w:val="FE3AC4E8"/>
    <w:lvl w:ilvl="0" w:tplc="029462EA">
      <w:start w:val="1"/>
      <w:numFmt w:val="decimal"/>
      <w:lvlText w:val="%1)"/>
      <w:lvlJc w:val="left"/>
      <w:pPr>
        <w:ind w:left="360" w:hanging="360"/>
      </w:pPr>
      <w:rPr>
        <w:rFonts w:asciiTheme="majorHAnsi" w:hAnsiTheme="majorHAnsi" w:hint="default"/>
        <w:b w:val="0"/>
        <w:i w:val="0"/>
        <w:sz w:val="22"/>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6" w15:restartNumberingAfterBreak="0">
    <w:nsid w:val="163E70F5"/>
    <w:multiLevelType w:val="hybridMultilevel"/>
    <w:tmpl w:val="155E10E8"/>
    <w:lvl w:ilvl="0" w:tplc="0407000F">
      <w:start w:val="1"/>
      <w:numFmt w:val="decimal"/>
      <w:lvlText w:val="%1."/>
      <w:lvlJc w:val="left"/>
      <w:pPr>
        <w:tabs>
          <w:tab w:val="num" w:pos="720"/>
        </w:tabs>
        <w:ind w:left="720" w:hanging="360"/>
      </w:pPr>
      <w:rPr>
        <w:rFonts w:cs="Times New Roman" w:hint="default"/>
      </w:rPr>
    </w:lvl>
    <w:lvl w:ilvl="1" w:tplc="04070005">
      <w:start w:val="1"/>
      <w:numFmt w:val="bullet"/>
      <w:lvlText w:val=""/>
      <w:lvlJc w:val="left"/>
      <w:pPr>
        <w:tabs>
          <w:tab w:val="num" w:pos="1440"/>
        </w:tabs>
        <w:ind w:left="1440" w:hanging="360"/>
      </w:pPr>
      <w:rPr>
        <w:rFonts w:ascii="Wingdings" w:hAnsi="Wingding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3C78B8"/>
    <w:multiLevelType w:val="multilevel"/>
    <w:tmpl w:val="2ED4F4D0"/>
    <w:name w:val="4.708505E-02"/>
    <w:lvl w:ilvl="0">
      <w:start w:val="1"/>
      <w:numFmt w:val="decimal"/>
      <w:lvlRestart w:val="0"/>
      <w:lvlText w:val="(%1)"/>
      <w:lvlJc w:val="left"/>
      <w:pPr>
        <w:tabs>
          <w:tab w:val="num" w:pos="850"/>
        </w:tabs>
        <w:ind w:left="850" w:hanging="850"/>
      </w:pPr>
    </w:lvl>
    <w:lvl w:ilvl="1">
      <w:start w:val="1"/>
      <w:numFmt w:val="lowerLetter"/>
      <w:lvlText w:val="(%2)"/>
      <w:lvlJc w:val="left"/>
      <w:pPr>
        <w:tabs>
          <w:tab w:val="num" w:pos="850"/>
        </w:tabs>
        <w:ind w:left="850" w:hanging="850"/>
      </w:pPr>
    </w:lvl>
    <w:lvl w:ilvl="2">
      <w:start w:val="1"/>
      <w:numFmt w:val="decimal"/>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8" w15:restartNumberingAfterBreak="0">
    <w:nsid w:val="22E44180"/>
    <w:multiLevelType w:val="multilevel"/>
    <w:tmpl w:val="059EC5A4"/>
    <w:name w:val="0.3918988"/>
    <w:lvl w:ilvl="0">
      <w:start w:val="1"/>
      <w:numFmt w:val="decimal"/>
      <w:lvlRestart w:val="0"/>
      <w:lvlText w:val="%1."/>
      <w:lvlJc w:val="left"/>
      <w:pPr>
        <w:tabs>
          <w:tab w:val="num" w:pos="850"/>
        </w:tabs>
        <w:ind w:left="850" w:hanging="850"/>
      </w:pPr>
      <w:rPr>
        <w:rFonts w:ascii="Times New Roman" w:hAnsi="Times New Roman" w:cs="Times New Roman" w:hint="default"/>
        <w:sz w:val="24"/>
        <w:szCs w:val="24"/>
      </w:r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7B63A52"/>
    <w:multiLevelType w:val="hybridMultilevel"/>
    <w:tmpl w:val="257EC0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89F1EE3"/>
    <w:multiLevelType w:val="hybridMultilevel"/>
    <w:tmpl w:val="6180DF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CA276D"/>
    <w:multiLevelType w:val="hybridMultilevel"/>
    <w:tmpl w:val="B7A0196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C433BC8"/>
    <w:multiLevelType w:val="multilevel"/>
    <w:tmpl w:val="26C6E29E"/>
    <w:lvl w:ilvl="0">
      <w:start w:val="1"/>
      <w:numFmt w:val="bullet"/>
      <w:pStyle w:val="textbullets"/>
      <w:lvlText w:val="‒"/>
      <w:lvlJc w:val="left"/>
      <w:pPr>
        <w:ind w:left="397" w:hanging="397"/>
      </w:pPr>
      <w:rPr>
        <w:rFonts w:ascii="Times New Roman" w:hAnsi="Times New Roman" w:cs="Times New Roman" w:hint="default"/>
      </w:rPr>
    </w:lvl>
    <w:lvl w:ilvl="1">
      <w:start w:val="1"/>
      <w:numFmt w:val="bullet"/>
      <w:lvlText w:val="‒"/>
      <w:lvlJc w:val="left"/>
      <w:pPr>
        <w:ind w:left="794" w:hanging="397"/>
      </w:pPr>
      <w:rPr>
        <w:rFonts w:ascii="Times New Roman" w:hAnsi="Times New Roman" w:cs="Times New Roman" w:hint="default"/>
      </w:rPr>
    </w:lvl>
    <w:lvl w:ilvl="2">
      <w:start w:val="1"/>
      <w:numFmt w:val="bullet"/>
      <w:lvlText w:val=""/>
      <w:lvlJc w:val="left"/>
      <w:pPr>
        <w:ind w:left="1191" w:hanging="397"/>
      </w:pPr>
      <w:rPr>
        <w:rFonts w:ascii="Symbol" w:hAnsi="Symbol" w:hint="default"/>
      </w:rPr>
    </w:lvl>
    <w:lvl w:ilvl="3">
      <w:start w:val="1"/>
      <w:numFmt w:val="bullet"/>
      <w:lvlText w:val="‒"/>
      <w:lvlJc w:val="left"/>
      <w:pPr>
        <w:ind w:left="1588" w:hanging="397"/>
      </w:pPr>
      <w:rPr>
        <w:rFonts w:ascii="Times New Roman" w:hAnsi="Times New Roman" w:cs="Times New Roman" w:hint="default"/>
      </w:rPr>
    </w:lvl>
    <w:lvl w:ilvl="4">
      <w:start w:val="1"/>
      <w:numFmt w:val="bullet"/>
      <w:lvlText w:val="‒"/>
      <w:lvlJc w:val="left"/>
      <w:pPr>
        <w:ind w:left="1985" w:hanging="397"/>
      </w:pPr>
      <w:rPr>
        <w:rFonts w:ascii="Times New Roman" w:hAnsi="Times New Roman" w:cs="Times New Roman" w:hint="default"/>
      </w:rPr>
    </w:lvl>
    <w:lvl w:ilvl="5">
      <w:start w:val="1"/>
      <w:numFmt w:val="bullet"/>
      <w:lvlText w:val="‒"/>
      <w:lvlJc w:val="left"/>
      <w:pPr>
        <w:ind w:left="2382" w:hanging="397"/>
      </w:pPr>
      <w:rPr>
        <w:rFonts w:ascii="Times New Roman" w:hAnsi="Times New Roman" w:cs="Times New Roman" w:hint="default"/>
      </w:rPr>
    </w:lvl>
    <w:lvl w:ilvl="6">
      <w:start w:val="1"/>
      <w:numFmt w:val="bullet"/>
      <w:lvlText w:val="‒"/>
      <w:lvlJc w:val="left"/>
      <w:pPr>
        <w:ind w:left="2779" w:hanging="397"/>
      </w:pPr>
      <w:rPr>
        <w:rFonts w:ascii="Times New Roman" w:hAnsi="Times New Roman" w:cs="Times New Roman" w:hint="default"/>
      </w:rPr>
    </w:lvl>
    <w:lvl w:ilvl="7">
      <w:start w:val="1"/>
      <w:numFmt w:val="bullet"/>
      <w:lvlText w:val="‒"/>
      <w:lvlJc w:val="left"/>
      <w:pPr>
        <w:ind w:left="3176" w:hanging="397"/>
      </w:pPr>
      <w:rPr>
        <w:rFonts w:ascii="Times New Roman" w:hAnsi="Times New Roman" w:cs="Times New Roman" w:hint="default"/>
      </w:rPr>
    </w:lvl>
    <w:lvl w:ilvl="8">
      <w:start w:val="1"/>
      <w:numFmt w:val="bullet"/>
      <w:lvlRestart w:val="4"/>
      <w:lvlText w:val="̶"/>
      <w:lvlJc w:val="left"/>
      <w:pPr>
        <w:ind w:left="3573" w:hanging="397"/>
      </w:pPr>
      <w:rPr>
        <w:rFonts w:ascii="Times New Roman" w:hAnsi="Times New Roman" w:cs="Times New Roman" w:hint="default"/>
      </w:rPr>
    </w:lvl>
  </w:abstractNum>
  <w:abstractNum w:abstractNumId="13" w15:restartNumberingAfterBreak="0">
    <w:nsid w:val="2C893C0B"/>
    <w:multiLevelType w:val="hybridMultilevel"/>
    <w:tmpl w:val="4CBE6254"/>
    <w:lvl w:ilvl="0" w:tplc="4FB2C9E4">
      <w:start w:val="1"/>
      <w:numFmt w:val="lowerLetter"/>
      <w:lvlText w:val="(%1)"/>
      <w:lvlJc w:val="left"/>
      <w:pPr>
        <w:ind w:left="502" w:hanging="360"/>
      </w:pPr>
      <w:rPr>
        <w:rFonts w:hint="default"/>
        <w:b w:val="0"/>
        <w:i w:val="0"/>
      </w:rPr>
    </w:lvl>
    <w:lvl w:ilvl="1" w:tplc="040B001B">
      <w:start w:val="1"/>
      <w:numFmt w:val="lowerRoman"/>
      <w:lvlText w:val="%2."/>
      <w:lvlJc w:val="righ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35629DC"/>
    <w:multiLevelType w:val="hybridMultilevel"/>
    <w:tmpl w:val="61207402"/>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7E260A"/>
    <w:multiLevelType w:val="hybridMultilevel"/>
    <w:tmpl w:val="E9BA29AA"/>
    <w:lvl w:ilvl="0" w:tplc="4FB2C9E4">
      <w:start w:val="1"/>
      <w:numFmt w:val="lowerLetter"/>
      <w:lvlText w:val="(%1)"/>
      <w:lvlJc w:val="left"/>
      <w:pPr>
        <w:ind w:left="502" w:hanging="360"/>
      </w:pPr>
      <w:rPr>
        <w:rFonts w:hint="default"/>
        <w:b w:val="0"/>
        <w:i w:val="0"/>
      </w:rPr>
    </w:lvl>
    <w:lvl w:ilvl="1" w:tplc="040B001B">
      <w:start w:val="1"/>
      <w:numFmt w:val="lowerRoman"/>
      <w:lvlText w:val="%2."/>
      <w:lvlJc w:val="righ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76E2404"/>
    <w:multiLevelType w:val="hybridMultilevel"/>
    <w:tmpl w:val="1D38467C"/>
    <w:lvl w:ilvl="0" w:tplc="71DED4FA">
      <w:start w:val="1"/>
      <w:numFmt w:val="bullet"/>
      <w:pStyle w:val="decisionbullet1"/>
      <w:lvlText w:val="‒"/>
      <w:lvlJc w:val="left"/>
      <w:pPr>
        <w:ind w:left="530" w:hanging="360"/>
      </w:pPr>
      <w:rPr>
        <w:rFonts w:ascii="Times New Roman" w:hAnsi="Times New Roman" w:cs="Times New Roman" w:hint="default"/>
      </w:rPr>
    </w:lvl>
    <w:lvl w:ilvl="1" w:tplc="71DED4FA">
      <w:start w:val="1"/>
      <w:numFmt w:val="bullet"/>
      <w:lvlText w:val="‒"/>
      <w:lvlJc w:val="left"/>
      <w:pPr>
        <w:ind w:left="1440" w:hanging="360"/>
      </w:pPr>
      <w:rPr>
        <w:rFonts w:ascii="Times New Roman" w:hAnsi="Times New Roman" w:cs="Times New Roman"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997242A"/>
    <w:multiLevelType w:val="hybridMultilevel"/>
    <w:tmpl w:val="32369B8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ED07D13"/>
    <w:multiLevelType w:val="multilevel"/>
    <w:tmpl w:val="B776DF66"/>
    <w:styleLink w:val="Style2"/>
    <w:lvl w:ilvl="0">
      <w:start w:val="2"/>
      <w:numFmt w:val="decimal"/>
      <w:lvlText w:val="%1."/>
      <w:lvlJc w:val="left"/>
      <w:pPr>
        <w:ind w:left="360" w:hanging="360"/>
      </w:pPr>
      <w:rPr>
        <w:rFonts w:hint="default"/>
      </w:rPr>
    </w:lvl>
    <w:lvl w:ilvl="1">
      <w:start w:val="1"/>
      <w:numFmt w:val="decimal"/>
      <w:lvlText w:val="%1.%2."/>
      <w:lvlJc w:val="left"/>
      <w:pPr>
        <w:ind w:left="1283"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26E340E"/>
    <w:multiLevelType w:val="hybridMultilevel"/>
    <w:tmpl w:val="6C20A45C"/>
    <w:lvl w:ilvl="0" w:tplc="AD0A04AA">
      <w:start w:val="3"/>
      <w:numFmt w:val="bullet"/>
      <w:lvlText w:val="-"/>
      <w:lvlJc w:val="left"/>
      <w:pPr>
        <w:ind w:left="720" w:hanging="360"/>
      </w:pPr>
      <w:rPr>
        <w:rFonts w:ascii="Calibri" w:eastAsia="Calibri" w:hAnsi="Calibri" w:cs="Calibri"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20" w15:restartNumberingAfterBreak="0">
    <w:nsid w:val="43F54D03"/>
    <w:multiLevelType w:val="hybridMultilevel"/>
    <w:tmpl w:val="3BB8666A"/>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1" w15:restartNumberingAfterBreak="0">
    <w:nsid w:val="46697BDB"/>
    <w:multiLevelType w:val="multilevel"/>
    <w:tmpl w:val="4DDEC57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47D87F2F"/>
    <w:multiLevelType w:val="hybridMultilevel"/>
    <w:tmpl w:val="0408E5E2"/>
    <w:lvl w:ilvl="0" w:tplc="3988815C">
      <w:start w:val="6"/>
      <w:numFmt w:val="bullet"/>
      <w:lvlText w:val=""/>
      <w:lvlJc w:val="left"/>
      <w:pPr>
        <w:ind w:left="720" w:hanging="360"/>
      </w:pPr>
      <w:rPr>
        <w:rFonts w:ascii="Wingdings" w:eastAsia="Times New Roman" w:hAnsi="Wingdings"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48B87953"/>
    <w:multiLevelType w:val="hybridMultilevel"/>
    <w:tmpl w:val="66A2E3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F7C081F"/>
    <w:multiLevelType w:val="multilevel"/>
    <w:tmpl w:val="6CFA0A5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15:restartNumberingAfterBreak="0">
    <w:nsid w:val="51894164"/>
    <w:multiLevelType w:val="hybridMultilevel"/>
    <w:tmpl w:val="9292710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15:restartNumberingAfterBreak="0">
    <w:nsid w:val="564C7CAC"/>
    <w:multiLevelType w:val="hybridMultilevel"/>
    <w:tmpl w:val="71F2DA2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7" w15:restartNumberingAfterBreak="0">
    <w:nsid w:val="5CAC0186"/>
    <w:multiLevelType w:val="hybridMultilevel"/>
    <w:tmpl w:val="4A6A361A"/>
    <w:lvl w:ilvl="0" w:tplc="E6027530">
      <w:start w:val="1"/>
      <w:numFmt w:val="decimal"/>
      <w:pStyle w:val="textenumeration"/>
      <w:lvlText w:val="%1."/>
      <w:lvlJc w:val="left"/>
      <w:pPr>
        <w:ind w:left="36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5CF14156"/>
    <w:multiLevelType w:val="hybridMultilevel"/>
    <w:tmpl w:val="72F483D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9" w15:restartNumberingAfterBreak="0">
    <w:nsid w:val="606437BF"/>
    <w:multiLevelType w:val="hybridMultilevel"/>
    <w:tmpl w:val="A74ECC50"/>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0" w15:restartNumberingAfterBreak="0">
    <w:nsid w:val="61635C8C"/>
    <w:multiLevelType w:val="multilevel"/>
    <w:tmpl w:val="B69CFB3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3590BF1"/>
    <w:multiLevelType w:val="hybridMultilevel"/>
    <w:tmpl w:val="947832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4B076BC"/>
    <w:multiLevelType w:val="hybridMultilevel"/>
    <w:tmpl w:val="D3A272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BD92D09"/>
    <w:multiLevelType w:val="hybridMultilevel"/>
    <w:tmpl w:val="FA26464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4" w15:restartNumberingAfterBreak="0">
    <w:nsid w:val="75FC18FB"/>
    <w:multiLevelType w:val="hybridMultilevel"/>
    <w:tmpl w:val="495EEEBA"/>
    <w:lvl w:ilvl="0" w:tplc="CC72EED6">
      <w:start w:val="6"/>
      <w:numFmt w:val="bullet"/>
      <w:lvlText w:val=""/>
      <w:lvlJc w:val="left"/>
      <w:pPr>
        <w:ind w:left="720" w:hanging="360"/>
      </w:pPr>
      <w:rPr>
        <w:rFonts w:ascii="Wingdings" w:eastAsia="Times New Roman" w:hAnsi="Wingdings"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5" w15:restartNumberingAfterBreak="0">
    <w:nsid w:val="799B7DAD"/>
    <w:multiLevelType w:val="multilevel"/>
    <w:tmpl w:val="A1B4EC02"/>
    <w:styleLink w:val="Headline-Structur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A875FA2"/>
    <w:multiLevelType w:val="hybridMultilevel"/>
    <w:tmpl w:val="13307F4C"/>
    <w:lvl w:ilvl="0" w:tplc="4FB2C9E4">
      <w:start w:val="1"/>
      <w:numFmt w:val="lowerLetter"/>
      <w:lvlText w:val="(%1)"/>
      <w:lvlJc w:val="left"/>
      <w:pPr>
        <w:ind w:left="502" w:hanging="360"/>
      </w:pPr>
      <w:rPr>
        <w:rFonts w:hint="default"/>
        <w:b w:val="0"/>
        <w:i w:val="0"/>
      </w:rPr>
    </w:lvl>
    <w:lvl w:ilvl="1" w:tplc="0405001B">
      <w:start w:val="1"/>
      <w:numFmt w:val="lowerRoman"/>
      <w:lvlText w:val="%2."/>
      <w:lvlJc w:val="righ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6"/>
  </w:num>
  <w:num w:numId="2">
    <w:abstractNumId w:val="27"/>
  </w:num>
  <w:num w:numId="3">
    <w:abstractNumId w:val="12"/>
  </w:num>
  <w:num w:numId="4">
    <w:abstractNumId w:val="35"/>
  </w:num>
  <w:num w:numId="5">
    <w:abstractNumId w:val="0"/>
  </w:num>
  <w:num w:numId="6">
    <w:abstractNumId w:val="30"/>
  </w:num>
  <w:num w:numId="7">
    <w:abstractNumId w:val="18"/>
  </w:num>
  <w:num w:numId="8">
    <w:abstractNumId w:val="24"/>
  </w:num>
  <w:num w:numId="9">
    <w:abstractNumId w:val="14"/>
  </w:num>
  <w:num w:numId="10">
    <w:abstractNumId w:val="21"/>
  </w:num>
  <w:num w:numId="11">
    <w:abstractNumId w:val="20"/>
  </w:num>
  <w:num w:numId="12">
    <w:abstractNumId w:val="5"/>
  </w:num>
  <w:num w:numId="13">
    <w:abstractNumId w:val="11"/>
  </w:num>
  <w:num w:numId="14">
    <w:abstractNumId w:val="6"/>
  </w:num>
  <w:num w:numId="15">
    <w:abstractNumId w:val="13"/>
  </w:num>
  <w:num w:numId="16">
    <w:abstractNumId w:val="15"/>
  </w:num>
  <w:num w:numId="17">
    <w:abstractNumId w:val="36"/>
  </w:num>
  <w:num w:numId="18">
    <w:abstractNumId w:val="31"/>
  </w:num>
  <w:num w:numId="19">
    <w:abstractNumId w:val="23"/>
  </w:num>
  <w:num w:numId="20">
    <w:abstractNumId w:val="1"/>
  </w:num>
  <w:num w:numId="21">
    <w:abstractNumId w:val="32"/>
  </w:num>
  <w:num w:numId="22">
    <w:abstractNumId w:val="10"/>
  </w:num>
  <w:num w:numId="23">
    <w:abstractNumId w:val="9"/>
  </w:num>
  <w:num w:numId="24">
    <w:abstractNumId w:val="4"/>
  </w:num>
  <w:num w:numId="25">
    <w:abstractNumId w:val="17"/>
  </w:num>
  <w:num w:numId="26">
    <w:abstractNumId w:val="3"/>
  </w:num>
  <w:num w:numId="27">
    <w:abstractNumId w:val="26"/>
  </w:num>
  <w:num w:numId="28">
    <w:abstractNumId w:val="25"/>
  </w:num>
  <w:num w:numId="29">
    <w:abstractNumId w:val="33"/>
  </w:num>
  <w:num w:numId="30">
    <w:abstractNumId w:val="28"/>
  </w:num>
  <w:num w:numId="31">
    <w:abstractNumId w:val="29"/>
  </w:num>
  <w:num w:numId="32">
    <w:abstractNumId w:val="19"/>
  </w:num>
  <w:num w:numId="33">
    <w:abstractNumId w:val="2"/>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 w:numId="42">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de-DE" w:vendorID="64" w:dllVersion="6" w:nlCheck="1" w:checkStyle="0"/>
  <w:activeWritingStyle w:appName="MSWord" w:lang="en-GB" w:vendorID="64" w:dllVersion="6" w:nlCheck="1" w:checkStyle="1"/>
  <w:activeWritingStyle w:appName="MSWord" w:lang="fr-FR" w:vendorID="64" w:dllVersion="6" w:nlCheck="1" w:checkStyle="0"/>
  <w:activeWritingStyle w:appName="MSWord" w:lang="en-US" w:vendorID="64" w:dllVersion="6" w:nlCheck="1" w:checkStyle="1"/>
  <w:activeWritingStyle w:appName="MSWord" w:lang="fr-BE" w:vendorID="64" w:dllVersion="6" w:nlCheck="1" w:checkStyle="0"/>
  <w:activeWritingStyle w:appName="MSWord" w:lang="nb-NO" w:vendorID="64" w:dllVersion="6" w:nlCheck="1" w:checkStyle="0"/>
  <w:activeWritingStyle w:appName="MSWord" w:lang="de-CH" w:vendorID="64" w:dllVersion="6" w:nlCheck="1" w:checkStyle="0"/>
  <w:activeWritingStyle w:appName="MSWord" w:lang="en-CA" w:vendorID="64" w:dllVersion="6" w:nlCheck="1" w:checkStyle="0"/>
  <w:activeWritingStyle w:appName="MSWord" w:lang="fi-FI" w:vendorID="64" w:dllVersion="6" w:nlCheck="1" w:checkStyle="0"/>
  <w:activeWritingStyle w:appName="MSWord" w:lang="en-GB" w:vendorID="64" w:dllVersion="0" w:nlCheck="1" w:checkStyle="0"/>
  <w:activeWritingStyle w:appName="MSWord" w:lang="en-US" w:vendorID="64" w:dllVersion="0" w:nlCheck="1" w:checkStyle="0"/>
  <w:activeWritingStyle w:appName="MSWord" w:lang="fr-BE" w:vendorID="64" w:dllVersion="0" w:nlCheck="1" w:checkStyle="0"/>
  <w:activeWritingStyle w:appName="MSWord" w:lang="de-AT" w:vendorID="64" w:dllVersion="6" w:nlCheck="1" w:checkStyle="0"/>
  <w:activeWritingStyle w:appName="MSWord" w:lang="fr-CH" w:vendorID="64" w:dllVersion="0" w:nlCheck="1" w:checkStyle="0"/>
  <w:activeWritingStyle w:appName="MSWord" w:lang="es-ES" w:vendorID="64" w:dllVersion="0" w:nlCheck="1" w:checkStyle="0"/>
  <w:activeWritingStyle w:appName="MSWord" w:lang="en-GB" w:vendorID="64" w:dllVersion="4096" w:nlCheck="1" w:checkStyle="0"/>
  <w:activeWritingStyle w:appName="MSWord" w:lang="es-ES" w:vendorID="64" w:dllVersion="6" w:nlCheck="1" w:checkStyle="0"/>
  <w:activeWritingStyle w:appName="MSWord" w:lang="fr-FR" w:vendorID="64" w:dllVersion="0" w:nlCheck="1" w:checkStyle="0"/>
  <w:proofState w:spelling="clean" w:grammar="clean"/>
  <w:attachedTemplate r:id="rId1"/>
  <w:stylePaneFormatFilter w:val="F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1"/>
  <w:defaultTabStop w:val="709"/>
  <w:hyphenationZone w:val="425"/>
  <w:characterSpacingControl w:val="doNotCompress"/>
  <w:hdrShapeDefaults>
    <o:shapedefaults v:ext="edit" spidmax="2051">
      <o:colormru v:ext="edit" colors="#23236e"/>
    </o:shapedefaults>
    <o:shapelayout v:ext="edit">
      <o:idmap v:ext="edit" data="2"/>
      <o:rules v:ext="edit">
        <o:r id="V:Rule1" type="connector" idref="#AutoShape 8"/>
      </o:rules>
    </o:shapelayout>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czNzQxMzGxtDAyNjFU0lEKTi0uzszPAykwrgUApToBECwAAAA="/>
  </w:docVars>
  <w:rsids>
    <w:rsidRoot w:val="00CB63D9"/>
    <w:rsid w:val="00000263"/>
    <w:rsid w:val="000003B8"/>
    <w:rsid w:val="000010A1"/>
    <w:rsid w:val="0000117F"/>
    <w:rsid w:val="00001A00"/>
    <w:rsid w:val="000024C4"/>
    <w:rsid w:val="00002594"/>
    <w:rsid w:val="0000318A"/>
    <w:rsid w:val="0000397C"/>
    <w:rsid w:val="000045F1"/>
    <w:rsid w:val="0000495B"/>
    <w:rsid w:val="00004DE5"/>
    <w:rsid w:val="00005B0E"/>
    <w:rsid w:val="00006785"/>
    <w:rsid w:val="000077C9"/>
    <w:rsid w:val="00007961"/>
    <w:rsid w:val="00007D3A"/>
    <w:rsid w:val="000103DD"/>
    <w:rsid w:val="00010BCB"/>
    <w:rsid w:val="00011385"/>
    <w:rsid w:val="000114DB"/>
    <w:rsid w:val="0001167E"/>
    <w:rsid w:val="00011B58"/>
    <w:rsid w:val="0001274A"/>
    <w:rsid w:val="00012FFB"/>
    <w:rsid w:val="00013A82"/>
    <w:rsid w:val="000141C0"/>
    <w:rsid w:val="000152E1"/>
    <w:rsid w:val="00015592"/>
    <w:rsid w:val="00015A04"/>
    <w:rsid w:val="000164A8"/>
    <w:rsid w:val="000167DE"/>
    <w:rsid w:val="000168A8"/>
    <w:rsid w:val="0001699D"/>
    <w:rsid w:val="000170DE"/>
    <w:rsid w:val="00020347"/>
    <w:rsid w:val="00020D96"/>
    <w:rsid w:val="0002105A"/>
    <w:rsid w:val="00021D5B"/>
    <w:rsid w:val="0002233F"/>
    <w:rsid w:val="00024373"/>
    <w:rsid w:val="000256E7"/>
    <w:rsid w:val="000259A2"/>
    <w:rsid w:val="000260B8"/>
    <w:rsid w:val="000266DD"/>
    <w:rsid w:val="00026B9A"/>
    <w:rsid w:val="00026D5D"/>
    <w:rsid w:val="00027F93"/>
    <w:rsid w:val="00030230"/>
    <w:rsid w:val="000302C2"/>
    <w:rsid w:val="00030850"/>
    <w:rsid w:val="00030EA6"/>
    <w:rsid w:val="00031386"/>
    <w:rsid w:val="0003165C"/>
    <w:rsid w:val="000317D1"/>
    <w:rsid w:val="000318D4"/>
    <w:rsid w:val="00031B39"/>
    <w:rsid w:val="000329B4"/>
    <w:rsid w:val="000336A9"/>
    <w:rsid w:val="000348F0"/>
    <w:rsid w:val="00034C71"/>
    <w:rsid w:val="00034C99"/>
    <w:rsid w:val="000358E2"/>
    <w:rsid w:val="00035907"/>
    <w:rsid w:val="00035D08"/>
    <w:rsid w:val="00035D4F"/>
    <w:rsid w:val="00036421"/>
    <w:rsid w:val="000372AB"/>
    <w:rsid w:val="0003772D"/>
    <w:rsid w:val="00037C21"/>
    <w:rsid w:val="00037FF0"/>
    <w:rsid w:val="0004051E"/>
    <w:rsid w:val="00040607"/>
    <w:rsid w:val="00040D7D"/>
    <w:rsid w:val="000436AD"/>
    <w:rsid w:val="000459A3"/>
    <w:rsid w:val="0004643D"/>
    <w:rsid w:val="00046700"/>
    <w:rsid w:val="00046859"/>
    <w:rsid w:val="000516A9"/>
    <w:rsid w:val="00051749"/>
    <w:rsid w:val="00051D3A"/>
    <w:rsid w:val="00051DB2"/>
    <w:rsid w:val="00051E18"/>
    <w:rsid w:val="0005248A"/>
    <w:rsid w:val="0005268A"/>
    <w:rsid w:val="00052AAE"/>
    <w:rsid w:val="00052D21"/>
    <w:rsid w:val="000537BE"/>
    <w:rsid w:val="00054F19"/>
    <w:rsid w:val="00055BFA"/>
    <w:rsid w:val="00056AC4"/>
    <w:rsid w:val="00056CBC"/>
    <w:rsid w:val="00056E41"/>
    <w:rsid w:val="000612FC"/>
    <w:rsid w:val="0006135E"/>
    <w:rsid w:val="00062548"/>
    <w:rsid w:val="00062979"/>
    <w:rsid w:val="00062A1F"/>
    <w:rsid w:val="00062D5E"/>
    <w:rsid w:val="000645EB"/>
    <w:rsid w:val="0006590E"/>
    <w:rsid w:val="00065B74"/>
    <w:rsid w:val="00066293"/>
    <w:rsid w:val="00066C59"/>
    <w:rsid w:val="00067862"/>
    <w:rsid w:val="00067D87"/>
    <w:rsid w:val="000703F5"/>
    <w:rsid w:val="0007092C"/>
    <w:rsid w:val="00070ABB"/>
    <w:rsid w:val="00070FCA"/>
    <w:rsid w:val="00071012"/>
    <w:rsid w:val="000711A7"/>
    <w:rsid w:val="00071DDF"/>
    <w:rsid w:val="00071E57"/>
    <w:rsid w:val="00071F4D"/>
    <w:rsid w:val="000725CB"/>
    <w:rsid w:val="00072C39"/>
    <w:rsid w:val="00073039"/>
    <w:rsid w:val="000735F9"/>
    <w:rsid w:val="00073899"/>
    <w:rsid w:val="00073CEB"/>
    <w:rsid w:val="000745E8"/>
    <w:rsid w:val="00074C13"/>
    <w:rsid w:val="00074D9F"/>
    <w:rsid w:val="00075AC9"/>
    <w:rsid w:val="00075F1D"/>
    <w:rsid w:val="000767B3"/>
    <w:rsid w:val="00076AF8"/>
    <w:rsid w:val="00076F1E"/>
    <w:rsid w:val="000771A5"/>
    <w:rsid w:val="0007756F"/>
    <w:rsid w:val="0007774F"/>
    <w:rsid w:val="00080166"/>
    <w:rsid w:val="00080370"/>
    <w:rsid w:val="00080702"/>
    <w:rsid w:val="00080A33"/>
    <w:rsid w:val="00081815"/>
    <w:rsid w:val="00082176"/>
    <w:rsid w:val="00082E1E"/>
    <w:rsid w:val="00083401"/>
    <w:rsid w:val="00083BCD"/>
    <w:rsid w:val="00083CD1"/>
    <w:rsid w:val="00083EAA"/>
    <w:rsid w:val="0008444C"/>
    <w:rsid w:val="00084557"/>
    <w:rsid w:val="00084944"/>
    <w:rsid w:val="00084E16"/>
    <w:rsid w:val="0008503D"/>
    <w:rsid w:val="00086060"/>
    <w:rsid w:val="00086C96"/>
    <w:rsid w:val="00086F2D"/>
    <w:rsid w:val="00086FAF"/>
    <w:rsid w:val="00087118"/>
    <w:rsid w:val="00087411"/>
    <w:rsid w:val="00087D83"/>
    <w:rsid w:val="00090033"/>
    <w:rsid w:val="00090A80"/>
    <w:rsid w:val="00090D1F"/>
    <w:rsid w:val="000911E7"/>
    <w:rsid w:val="00091775"/>
    <w:rsid w:val="00091C73"/>
    <w:rsid w:val="00092031"/>
    <w:rsid w:val="00092CD6"/>
    <w:rsid w:val="00092FBA"/>
    <w:rsid w:val="000934E7"/>
    <w:rsid w:val="00093FDA"/>
    <w:rsid w:val="000940C9"/>
    <w:rsid w:val="000949BB"/>
    <w:rsid w:val="00094E0D"/>
    <w:rsid w:val="00094F0D"/>
    <w:rsid w:val="000950E6"/>
    <w:rsid w:val="0009548F"/>
    <w:rsid w:val="000A00D6"/>
    <w:rsid w:val="000A02E5"/>
    <w:rsid w:val="000A05CE"/>
    <w:rsid w:val="000A08B0"/>
    <w:rsid w:val="000A1FE7"/>
    <w:rsid w:val="000A21A6"/>
    <w:rsid w:val="000A38D5"/>
    <w:rsid w:val="000A41D6"/>
    <w:rsid w:val="000A4585"/>
    <w:rsid w:val="000A6402"/>
    <w:rsid w:val="000A66A1"/>
    <w:rsid w:val="000A7004"/>
    <w:rsid w:val="000B01B7"/>
    <w:rsid w:val="000B1B03"/>
    <w:rsid w:val="000B1C00"/>
    <w:rsid w:val="000B1DAC"/>
    <w:rsid w:val="000B294C"/>
    <w:rsid w:val="000B344E"/>
    <w:rsid w:val="000B4DAB"/>
    <w:rsid w:val="000B52A2"/>
    <w:rsid w:val="000B553B"/>
    <w:rsid w:val="000B5EEF"/>
    <w:rsid w:val="000B63BC"/>
    <w:rsid w:val="000B6496"/>
    <w:rsid w:val="000B6600"/>
    <w:rsid w:val="000C0201"/>
    <w:rsid w:val="000C0270"/>
    <w:rsid w:val="000C04DD"/>
    <w:rsid w:val="000C0FC2"/>
    <w:rsid w:val="000C178C"/>
    <w:rsid w:val="000C1D4B"/>
    <w:rsid w:val="000C1FCF"/>
    <w:rsid w:val="000C304C"/>
    <w:rsid w:val="000C3359"/>
    <w:rsid w:val="000C3490"/>
    <w:rsid w:val="000C3782"/>
    <w:rsid w:val="000C397D"/>
    <w:rsid w:val="000C3D26"/>
    <w:rsid w:val="000C3EDA"/>
    <w:rsid w:val="000C4C1C"/>
    <w:rsid w:val="000C566C"/>
    <w:rsid w:val="000C5B67"/>
    <w:rsid w:val="000C5DA8"/>
    <w:rsid w:val="000C5DDD"/>
    <w:rsid w:val="000C799A"/>
    <w:rsid w:val="000C79F9"/>
    <w:rsid w:val="000C7C86"/>
    <w:rsid w:val="000C7CC3"/>
    <w:rsid w:val="000D091E"/>
    <w:rsid w:val="000D12C4"/>
    <w:rsid w:val="000D1BB2"/>
    <w:rsid w:val="000D20D1"/>
    <w:rsid w:val="000D2BDF"/>
    <w:rsid w:val="000D2EE2"/>
    <w:rsid w:val="000D3097"/>
    <w:rsid w:val="000D340C"/>
    <w:rsid w:val="000D3658"/>
    <w:rsid w:val="000D3A7B"/>
    <w:rsid w:val="000D4065"/>
    <w:rsid w:val="000D4B89"/>
    <w:rsid w:val="000D5AAA"/>
    <w:rsid w:val="000D6A25"/>
    <w:rsid w:val="000D6D73"/>
    <w:rsid w:val="000D705F"/>
    <w:rsid w:val="000D7977"/>
    <w:rsid w:val="000D797C"/>
    <w:rsid w:val="000E06EA"/>
    <w:rsid w:val="000E0751"/>
    <w:rsid w:val="000E2076"/>
    <w:rsid w:val="000E2A4E"/>
    <w:rsid w:val="000E4230"/>
    <w:rsid w:val="000E5063"/>
    <w:rsid w:val="000E5DD1"/>
    <w:rsid w:val="000E7131"/>
    <w:rsid w:val="000E7488"/>
    <w:rsid w:val="000E7BF7"/>
    <w:rsid w:val="000F025D"/>
    <w:rsid w:val="000F0C1A"/>
    <w:rsid w:val="000F19BC"/>
    <w:rsid w:val="000F206A"/>
    <w:rsid w:val="000F2762"/>
    <w:rsid w:val="000F2767"/>
    <w:rsid w:val="000F315A"/>
    <w:rsid w:val="000F31C7"/>
    <w:rsid w:val="000F340C"/>
    <w:rsid w:val="000F453F"/>
    <w:rsid w:val="000F4722"/>
    <w:rsid w:val="000F4D0C"/>
    <w:rsid w:val="000F564B"/>
    <w:rsid w:val="000F5659"/>
    <w:rsid w:val="000F5F68"/>
    <w:rsid w:val="000F5F9E"/>
    <w:rsid w:val="000F6578"/>
    <w:rsid w:val="000F6D79"/>
    <w:rsid w:val="000F6FEA"/>
    <w:rsid w:val="000F71DE"/>
    <w:rsid w:val="000F7313"/>
    <w:rsid w:val="000F7517"/>
    <w:rsid w:val="000F7CB1"/>
    <w:rsid w:val="000F7D5E"/>
    <w:rsid w:val="00100250"/>
    <w:rsid w:val="00100360"/>
    <w:rsid w:val="001009D9"/>
    <w:rsid w:val="00100ADC"/>
    <w:rsid w:val="00101729"/>
    <w:rsid w:val="001029A2"/>
    <w:rsid w:val="00103E7F"/>
    <w:rsid w:val="00103EED"/>
    <w:rsid w:val="00104E67"/>
    <w:rsid w:val="00104FF2"/>
    <w:rsid w:val="001066C4"/>
    <w:rsid w:val="001067C8"/>
    <w:rsid w:val="00106C8B"/>
    <w:rsid w:val="00111F96"/>
    <w:rsid w:val="0011288A"/>
    <w:rsid w:val="00114478"/>
    <w:rsid w:val="00114C93"/>
    <w:rsid w:val="00114E21"/>
    <w:rsid w:val="001164D4"/>
    <w:rsid w:val="0011665C"/>
    <w:rsid w:val="001168D9"/>
    <w:rsid w:val="00116A2E"/>
    <w:rsid w:val="00116DA9"/>
    <w:rsid w:val="001171AB"/>
    <w:rsid w:val="001176CE"/>
    <w:rsid w:val="0011793D"/>
    <w:rsid w:val="001205D7"/>
    <w:rsid w:val="00120EDB"/>
    <w:rsid w:val="00120EE3"/>
    <w:rsid w:val="0012183D"/>
    <w:rsid w:val="00122ADB"/>
    <w:rsid w:val="00122D4D"/>
    <w:rsid w:val="001230EE"/>
    <w:rsid w:val="00124227"/>
    <w:rsid w:val="00124343"/>
    <w:rsid w:val="001258E3"/>
    <w:rsid w:val="00125CA9"/>
    <w:rsid w:val="001266B4"/>
    <w:rsid w:val="0012692B"/>
    <w:rsid w:val="00126D21"/>
    <w:rsid w:val="00126D3F"/>
    <w:rsid w:val="00126EED"/>
    <w:rsid w:val="00127235"/>
    <w:rsid w:val="001275C3"/>
    <w:rsid w:val="00130D8E"/>
    <w:rsid w:val="00131080"/>
    <w:rsid w:val="001314E8"/>
    <w:rsid w:val="00131A0D"/>
    <w:rsid w:val="0013249A"/>
    <w:rsid w:val="00132ED3"/>
    <w:rsid w:val="00132F85"/>
    <w:rsid w:val="001330E2"/>
    <w:rsid w:val="00134483"/>
    <w:rsid w:val="001359FE"/>
    <w:rsid w:val="00137A9E"/>
    <w:rsid w:val="00137C91"/>
    <w:rsid w:val="00137F14"/>
    <w:rsid w:val="00140757"/>
    <w:rsid w:val="0014075E"/>
    <w:rsid w:val="001409EA"/>
    <w:rsid w:val="0014145B"/>
    <w:rsid w:val="00141AD5"/>
    <w:rsid w:val="00142B9F"/>
    <w:rsid w:val="00143125"/>
    <w:rsid w:val="00143899"/>
    <w:rsid w:val="00143F61"/>
    <w:rsid w:val="0014508C"/>
    <w:rsid w:val="001451A9"/>
    <w:rsid w:val="0014540F"/>
    <w:rsid w:val="0014578D"/>
    <w:rsid w:val="0014620F"/>
    <w:rsid w:val="00146850"/>
    <w:rsid w:val="00147233"/>
    <w:rsid w:val="0014768D"/>
    <w:rsid w:val="001478E7"/>
    <w:rsid w:val="00147F02"/>
    <w:rsid w:val="00151CE0"/>
    <w:rsid w:val="00152801"/>
    <w:rsid w:val="00153C4F"/>
    <w:rsid w:val="0015450D"/>
    <w:rsid w:val="00154A44"/>
    <w:rsid w:val="001553AD"/>
    <w:rsid w:val="001557FE"/>
    <w:rsid w:val="00156A77"/>
    <w:rsid w:val="00156D3A"/>
    <w:rsid w:val="00157CA1"/>
    <w:rsid w:val="0016052C"/>
    <w:rsid w:val="001609AA"/>
    <w:rsid w:val="00160E42"/>
    <w:rsid w:val="00161114"/>
    <w:rsid w:val="00162ACD"/>
    <w:rsid w:val="00162BE7"/>
    <w:rsid w:val="00162FEE"/>
    <w:rsid w:val="0016374C"/>
    <w:rsid w:val="00163BE0"/>
    <w:rsid w:val="00163C76"/>
    <w:rsid w:val="00163DDB"/>
    <w:rsid w:val="00164F52"/>
    <w:rsid w:val="001652D0"/>
    <w:rsid w:val="001655D7"/>
    <w:rsid w:val="0016567E"/>
    <w:rsid w:val="00166058"/>
    <w:rsid w:val="00166624"/>
    <w:rsid w:val="0016668D"/>
    <w:rsid w:val="00166993"/>
    <w:rsid w:val="00166A0F"/>
    <w:rsid w:val="00166AFB"/>
    <w:rsid w:val="00166B51"/>
    <w:rsid w:val="00166E37"/>
    <w:rsid w:val="001670ED"/>
    <w:rsid w:val="001678AB"/>
    <w:rsid w:val="0017004A"/>
    <w:rsid w:val="001705A5"/>
    <w:rsid w:val="001709F0"/>
    <w:rsid w:val="00171660"/>
    <w:rsid w:val="00171F7E"/>
    <w:rsid w:val="0017200E"/>
    <w:rsid w:val="00172806"/>
    <w:rsid w:val="00172F02"/>
    <w:rsid w:val="00173FC7"/>
    <w:rsid w:val="001744D6"/>
    <w:rsid w:val="0017523C"/>
    <w:rsid w:val="00175974"/>
    <w:rsid w:val="00175CE3"/>
    <w:rsid w:val="00177D89"/>
    <w:rsid w:val="001801C1"/>
    <w:rsid w:val="0018044B"/>
    <w:rsid w:val="001818B5"/>
    <w:rsid w:val="00181CA5"/>
    <w:rsid w:val="00183199"/>
    <w:rsid w:val="001835C8"/>
    <w:rsid w:val="0018393A"/>
    <w:rsid w:val="00183F41"/>
    <w:rsid w:val="001842C5"/>
    <w:rsid w:val="00185183"/>
    <w:rsid w:val="0018602C"/>
    <w:rsid w:val="00186B4E"/>
    <w:rsid w:val="00187391"/>
    <w:rsid w:val="0018794B"/>
    <w:rsid w:val="00187A96"/>
    <w:rsid w:val="00191737"/>
    <w:rsid w:val="00191864"/>
    <w:rsid w:val="0019189C"/>
    <w:rsid w:val="00191D83"/>
    <w:rsid w:val="00191EA1"/>
    <w:rsid w:val="00192352"/>
    <w:rsid w:val="0019348B"/>
    <w:rsid w:val="00193F43"/>
    <w:rsid w:val="00194697"/>
    <w:rsid w:val="001949EF"/>
    <w:rsid w:val="00194DF3"/>
    <w:rsid w:val="00194EE1"/>
    <w:rsid w:val="001968CE"/>
    <w:rsid w:val="001969DC"/>
    <w:rsid w:val="001973C1"/>
    <w:rsid w:val="0019745D"/>
    <w:rsid w:val="00197C9D"/>
    <w:rsid w:val="001A0E77"/>
    <w:rsid w:val="001A1DA8"/>
    <w:rsid w:val="001A23C6"/>
    <w:rsid w:val="001A353E"/>
    <w:rsid w:val="001A3DB9"/>
    <w:rsid w:val="001A4CAD"/>
    <w:rsid w:val="001A5739"/>
    <w:rsid w:val="001A5E51"/>
    <w:rsid w:val="001A5F9C"/>
    <w:rsid w:val="001A6B8B"/>
    <w:rsid w:val="001A7519"/>
    <w:rsid w:val="001A780A"/>
    <w:rsid w:val="001A7C92"/>
    <w:rsid w:val="001B0179"/>
    <w:rsid w:val="001B03CF"/>
    <w:rsid w:val="001B0495"/>
    <w:rsid w:val="001B0B84"/>
    <w:rsid w:val="001B10A6"/>
    <w:rsid w:val="001B1851"/>
    <w:rsid w:val="001B1D79"/>
    <w:rsid w:val="001B1F53"/>
    <w:rsid w:val="001B2A0E"/>
    <w:rsid w:val="001B2B47"/>
    <w:rsid w:val="001B3317"/>
    <w:rsid w:val="001B3738"/>
    <w:rsid w:val="001B3CA2"/>
    <w:rsid w:val="001B47CD"/>
    <w:rsid w:val="001B4DE5"/>
    <w:rsid w:val="001B51A8"/>
    <w:rsid w:val="001B592D"/>
    <w:rsid w:val="001B6473"/>
    <w:rsid w:val="001B6673"/>
    <w:rsid w:val="001B7134"/>
    <w:rsid w:val="001B72F0"/>
    <w:rsid w:val="001B7CE6"/>
    <w:rsid w:val="001B7D49"/>
    <w:rsid w:val="001C02F7"/>
    <w:rsid w:val="001C1BAE"/>
    <w:rsid w:val="001C2504"/>
    <w:rsid w:val="001C2720"/>
    <w:rsid w:val="001C2769"/>
    <w:rsid w:val="001C2A4D"/>
    <w:rsid w:val="001C3DD2"/>
    <w:rsid w:val="001C4F8E"/>
    <w:rsid w:val="001C51FF"/>
    <w:rsid w:val="001C6385"/>
    <w:rsid w:val="001C6B85"/>
    <w:rsid w:val="001C74CC"/>
    <w:rsid w:val="001C7776"/>
    <w:rsid w:val="001D11EF"/>
    <w:rsid w:val="001D27C7"/>
    <w:rsid w:val="001D2A63"/>
    <w:rsid w:val="001D2D8D"/>
    <w:rsid w:val="001D3498"/>
    <w:rsid w:val="001D35FB"/>
    <w:rsid w:val="001D450B"/>
    <w:rsid w:val="001D4B4C"/>
    <w:rsid w:val="001D4F27"/>
    <w:rsid w:val="001D519D"/>
    <w:rsid w:val="001D53C3"/>
    <w:rsid w:val="001D558B"/>
    <w:rsid w:val="001D5BC2"/>
    <w:rsid w:val="001D6011"/>
    <w:rsid w:val="001D66E9"/>
    <w:rsid w:val="001D6857"/>
    <w:rsid w:val="001D775F"/>
    <w:rsid w:val="001E176C"/>
    <w:rsid w:val="001E21B0"/>
    <w:rsid w:val="001E3910"/>
    <w:rsid w:val="001E4136"/>
    <w:rsid w:val="001E46AF"/>
    <w:rsid w:val="001E52FC"/>
    <w:rsid w:val="001E5D3C"/>
    <w:rsid w:val="001E5EA2"/>
    <w:rsid w:val="001E6795"/>
    <w:rsid w:val="001E6F57"/>
    <w:rsid w:val="001E6F66"/>
    <w:rsid w:val="001E6FDF"/>
    <w:rsid w:val="001E703B"/>
    <w:rsid w:val="001E7C0B"/>
    <w:rsid w:val="001F03E0"/>
    <w:rsid w:val="001F1BBB"/>
    <w:rsid w:val="001F1EA6"/>
    <w:rsid w:val="001F1F84"/>
    <w:rsid w:val="001F221F"/>
    <w:rsid w:val="001F28FA"/>
    <w:rsid w:val="001F3455"/>
    <w:rsid w:val="001F3D7C"/>
    <w:rsid w:val="001F3E9E"/>
    <w:rsid w:val="001F4054"/>
    <w:rsid w:val="001F5D9A"/>
    <w:rsid w:val="001F6AFE"/>
    <w:rsid w:val="00200740"/>
    <w:rsid w:val="00200BBD"/>
    <w:rsid w:val="00200F0A"/>
    <w:rsid w:val="0020130B"/>
    <w:rsid w:val="0020264B"/>
    <w:rsid w:val="0020269E"/>
    <w:rsid w:val="002035A9"/>
    <w:rsid w:val="0020548F"/>
    <w:rsid w:val="002057E1"/>
    <w:rsid w:val="002059C8"/>
    <w:rsid w:val="00205E3D"/>
    <w:rsid w:val="002069A4"/>
    <w:rsid w:val="00206DB8"/>
    <w:rsid w:val="002075B1"/>
    <w:rsid w:val="00207DEC"/>
    <w:rsid w:val="002102CA"/>
    <w:rsid w:val="00210400"/>
    <w:rsid w:val="0021069F"/>
    <w:rsid w:val="002119AA"/>
    <w:rsid w:val="0021329C"/>
    <w:rsid w:val="00213C4D"/>
    <w:rsid w:val="00213F05"/>
    <w:rsid w:val="002142E0"/>
    <w:rsid w:val="00214941"/>
    <w:rsid w:val="002154A9"/>
    <w:rsid w:val="00215B13"/>
    <w:rsid w:val="00216E57"/>
    <w:rsid w:val="0021711D"/>
    <w:rsid w:val="0022033F"/>
    <w:rsid w:val="0022063C"/>
    <w:rsid w:val="0022068F"/>
    <w:rsid w:val="00220DDE"/>
    <w:rsid w:val="00221C03"/>
    <w:rsid w:val="00222340"/>
    <w:rsid w:val="002223B2"/>
    <w:rsid w:val="00222A4A"/>
    <w:rsid w:val="00222A65"/>
    <w:rsid w:val="00222BF8"/>
    <w:rsid w:val="00223943"/>
    <w:rsid w:val="00223954"/>
    <w:rsid w:val="0022399A"/>
    <w:rsid w:val="00224159"/>
    <w:rsid w:val="002243C7"/>
    <w:rsid w:val="002245D8"/>
    <w:rsid w:val="00224CA6"/>
    <w:rsid w:val="00225238"/>
    <w:rsid w:val="00225E42"/>
    <w:rsid w:val="00227C9A"/>
    <w:rsid w:val="00227CEE"/>
    <w:rsid w:val="0023095C"/>
    <w:rsid w:val="0023106C"/>
    <w:rsid w:val="00232363"/>
    <w:rsid w:val="00232618"/>
    <w:rsid w:val="00232A45"/>
    <w:rsid w:val="0023322A"/>
    <w:rsid w:val="00234003"/>
    <w:rsid w:val="0023402C"/>
    <w:rsid w:val="002347AA"/>
    <w:rsid w:val="00235466"/>
    <w:rsid w:val="00235605"/>
    <w:rsid w:val="00235748"/>
    <w:rsid w:val="002364F7"/>
    <w:rsid w:val="0023679B"/>
    <w:rsid w:val="00237805"/>
    <w:rsid w:val="00237DA3"/>
    <w:rsid w:val="00240228"/>
    <w:rsid w:val="002402E9"/>
    <w:rsid w:val="00240C73"/>
    <w:rsid w:val="002413CD"/>
    <w:rsid w:val="0024142C"/>
    <w:rsid w:val="002423FF"/>
    <w:rsid w:val="00242990"/>
    <w:rsid w:val="0024308D"/>
    <w:rsid w:val="00243ADA"/>
    <w:rsid w:val="002458AC"/>
    <w:rsid w:val="0024590D"/>
    <w:rsid w:val="00245A1C"/>
    <w:rsid w:val="00245EDE"/>
    <w:rsid w:val="00246BFD"/>
    <w:rsid w:val="00246C34"/>
    <w:rsid w:val="002470A1"/>
    <w:rsid w:val="00247AC5"/>
    <w:rsid w:val="0025065B"/>
    <w:rsid w:val="00250EF7"/>
    <w:rsid w:val="00251514"/>
    <w:rsid w:val="002519A0"/>
    <w:rsid w:val="002525F0"/>
    <w:rsid w:val="002529BB"/>
    <w:rsid w:val="00252E6B"/>
    <w:rsid w:val="00252F23"/>
    <w:rsid w:val="002532C9"/>
    <w:rsid w:val="002532E7"/>
    <w:rsid w:val="00253AAC"/>
    <w:rsid w:val="00254C2E"/>
    <w:rsid w:val="00256742"/>
    <w:rsid w:val="00256B68"/>
    <w:rsid w:val="00257ECA"/>
    <w:rsid w:val="0026060B"/>
    <w:rsid w:val="0026097E"/>
    <w:rsid w:val="00260D49"/>
    <w:rsid w:val="00260EA7"/>
    <w:rsid w:val="0026133B"/>
    <w:rsid w:val="00262868"/>
    <w:rsid w:val="00262AE5"/>
    <w:rsid w:val="00262AF8"/>
    <w:rsid w:val="00262D31"/>
    <w:rsid w:val="00263219"/>
    <w:rsid w:val="00263359"/>
    <w:rsid w:val="0026397C"/>
    <w:rsid w:val="00263B72"/>
    <w:rsid w:val="0026415D"/>
    <w:rsid w:val="002642D3"/>
    <w:rsid w:val="00264BEC"/>
    <w:rsid w:val="00264FEB"/>
    <w:rsid w:val="002656C1"/>
    <w:rsid w:val="00265908"/>
    <w:rsid w:val="00265A1D"/>
    <w:rsid w:val="00266539"/>
    <w:rsid w:val="002668ED"/>
    <w:rsid w:val="002676D2"/>
    <w:rsid w:val="002678BE"/>
    <w:rsid w:val="0027132B"/>
    <w:rsid w:val="002713B4"/>
    <w:rsid w:val="00272276"/>
    <w:rsid w:val="00272368"/>
    <w:rsid w:val="00272832"/>
    <w:rsid w:val="00273180"/>
    <w:rsid w:val="0027365B"/>
    <w:rsid w:val="0027451B"/>
    <w:rsid w:val="0027634D"/>
    <w:rsid w:val="00277966"/>
    <w:rsid w:val="0028062F"/>
    <w:rsid w:val="00280D89"/>
    <w:rsid w:val="00281078"/>
    <w:rsid w:val="0028319C"/>
    <w:rsid w:val="002849A9"/>
    <w:rsid w:val="00286B87"/>
    <w:rsid w:val="00286B8F"/>
    <w:rsid w:val="0028790B"/>
    <w:rsid w:val="00290B5E"/>
    <w:rsid w:val="00290C30"/>
    <w:rsid w:val="00291127"/>
    <w:rsid w:val="0029117C"/>
    <w:rsid w:val="00291291"/>
    <w:rsid w:val="00291401"/>
    <w:rsid w:val="00291AA6"/>
    <w:rsid w:val="00292771"/>
    <w:rsid w:val="002928CA"/>
    <w:rsid w:val="002931DC"/>
    <w:rsid w:val="00293EF0"/>
    <w:rsid w:val="00294637"/>
    <w:rsid w:val="00294D2C"/>
    <w:rsid w:val="00295268"/>
    <w:rsid w:val="002958C5"/>
    <w:rsid w:val="002958F2"/>
    <w:rsid w:val="0029600A"/>
    <w:rsid w:val="00296628"/>
    <w:rsid w:val="0029684F"/>
    <w:rsid w:val="002A01A0"/>
    <w:rsid w:val="002A0305"/>
    <w:rsid w:val="002A0CD0"/>
    <w:rsid w:val="002A0E05"/>
    <w:rsid w:val="002A144E"/>
    <w:rsid w:val="002A2ADE"/>
    <w:rsid w:val="002A2FBF"/>
    <w:rsid w:val="002A454E"/>
    <w:rsid w:val="002A46E0"/>
    <w:rsid w:val="002A4B57"/>
    <w:rsid w:val="002A6084"/>
    <w:rsid w:val="002A641E"/>
    <w:rsid w:val="002A716F"/>
    <w:rsid w:val="002B092E"/>
    <w:rsid w:val="002B0952"/>
    <w:rsid w:val="002B130B"/>
    <w:rsid w:val="002B1899"/>
    <w:rsid w:val="002B2170"/>
    <w:rsid w:val="002B2192"/>
    <w:rsid w:val="002B250E"/>
    <w:rsid w:val="002B4226"/>
    <w:rsid w:val="002B42B7"/>
    <w:rsid w:val="002B53AB"/>
    <w:rsid w:val="002B62D8"/>
    <w:rsid w:val="002B6900"/>
    <w:rsid w:val="002B6BF5"/>
    <w:rsid w:val="002B7E26"/>
    <w:rsid w:val="002C218D"/>
    <w:rsid w:val="002C2195"/>
    <w:rsid w:val="002C2326"/>
    <w:rsid w:val="002C29FE"/>
    <w:rsid w:val="002C3211"/>
    <w:rsid w:val="002C3A7B"/>
    <w:rsid w:val="002C4AEF"/>
    <w:rsid w:val="002C50DB"/>
    <w:rsid w:val="002C64E3"/>
    <w:rsid w:val="002C706F"/>
    <w:rsid w:val="002C754B"/>
    <w:rsid w:val="002D04FA"/>
    <w:rsid w:val="002D1B11"/>
    <w:rsid w:val="002D270E"/>
    <w:rsid w:val="002D2895"/>
    <w:rsid w:val="002D2AA9"/>
    <w:rsid w:val="002D2EA5"/>
    <w:rsid w:val="002D2F5B"/>
    <w:rsid w:val="002D41E1"/>
    <w:rsid w:val="002D4277"/>
    <w:rsid w:val="002D42A1"/>
    <w:rsid w:val="002D4453"/>
    <w:rsid w:val="002D4C05"/>
    <w:rsid w:val="002D55B0"/>
    <w:rsid w:val="002D564B"/>
    <w:rsid w:val="002D568C"/>
    <w:rsid w:val="002D572B"/>
    <w:rsid w:val="002D58DE"/>
    <w:rsid w:val="002D6034"/>
    <w:rsid w:val="002D6C46"/>
    <w:rsid w:val="002D7238"/>
    <w:rsid w:val="002D75FF"/>
    <w:rsid w:val="002D7857"/>
    <w:rsid w:val="002D7BC5"/>
    <w:rsid w:val="002D7EAB"/>
    <w:rsid w:val="002E00EE"/>
    <w:rsid w:val="002E0481"/>
    <w:rsid w:val="002E04A7"/>
    <w:rsid w:val="002E0FF7"/>
    <w:rsid w:val="002E10F5"/>
    <w:rsid w:val="002E12B7"/>
    <w:rsid w:val="002E146C"/>
    <w:rsid w:val="002E15A9"/>
    <w:rsid w:val="002E1A28"/>
    <w:rsid w:val="002E2092"/>
    <w:rsid w:val="002E20F8"/>
    <w:rsid w:val="002E275A"/>
    <w:rsid w:val="002E2F3D"/>
    <w:rsid w:val="002E3B69"/>
    <w:rsid w:val="002E49B0"/>
    <w:rsid w:val="002E49CD"/>
    <w:rsid w:val="002E4E0C"/>
    <w:rsid w:val="002E51DD"/>
    <w:rsid w:val="002E6A32"/>
    <w:rsid w:val="002E7017"/>
    <w:rsid w:val="002E77DC"/>
    <w:rsid w:val="002F0723"/>
    <w:rsid w:val="002F0FE5"/>
    <w:rsid w:val="002F11D4"/>
    <w:rsid w:val="002F139C"/>
    <w:rsid w:val="002F15EE"/>
    <w:rsid w:val="002F1C72"/>
    <w:rsid w:val="002F23A6"/>
    <w:rsid w:val="002F256C"/>
    <w:rsid w:val="002F406E"/>
    <w:rsid w:val="002F4552"/>
    <w:rsid w:val="002F455C"/>
    <w:rsid w:val="002F4859"/>
    <w:rsid w:val="002F49DA"/>
    <w:rsid w:val="002F4F41"/>
    <w:rsid w:val="002F55A9"/>
    <w:rsid w:val="002F5C45"/>
    <w:rsid w:val="002F5C6C"/>
    <w:rsid w:val="002F5D94"/>
    <w:rsid w:val="002F6188"/>
    <w:rsid w:val="002F702A"/>
    <w:rsid w:val="002F719F"/>
    <w:rsid w:val="002F793C"/>
    <w:rsid w:val="002F7948"/>
    <w:rsid w:val="003003CC"/>
    <w:rsid w:val="003011BE"/>
    <w:rsid w:val="00301467"/>
    <w:rsid w:val="00303B39"/>
    <w:rsid w:val="003044F0"/>
    <w:rsid w:val="00305EE0"/>
    <w:rsid w:val="0030738B"/>
    <w:rsid w:val="0030794B"/>
    <w:rsid w:val="00307C9E"/>
    <w:rsid w:val="00307E59"/>
    <w:rsid w:val="00307FA8"/>
    <w:rsid w:val="003106F4"/>
    <w:rsid w:val="0031155A"/>
    <w:rsid w:val="00311A21"/>
    <w:rsid w:val="00311A2E"/>
    <w:rsid w:val="00312108"/>
    <w:rsid w:val="00312188"/>
    <w:rsid w:val="00313A48"/>
    <w:rsid w:val="00314090"/>
    <w:rsid w:val="00314135"/>
    <w:rsid w:val="003144D8"/>
    <w:rsid w:val="00314849"/>
    <w:rsid w:val="00314B62"/>
    <w:rsid w:val="00315100"/>
    <w:rsid w:val="003158A2"/>
    <w:rsid w:val="00315EA1"/>
    <w:rsid w:val="003164A9"/>
    <w:rsid w:val="00316843"/>
    <w:rsid w:val="00316925"/>
    <w:rsid w:val="00316C2D"/>
    <w:rsid w:val="003171B2"/>
    <w:rsid w:val="00317267"/>
    <w:rsid w:val="00317583"/>
    <w:rsid w:val="00317E44"/>
    <w:rsid w:val="00320DA3"/>
    <w:rsid w:val="003221C4"/>
    <w:rsid w:val="0032291E"/>
    <w:rsid w:val="00322AAF"/>
    <w:rsid w:val="00323089"/>
    <w:rsid w:val="00323DA1"/>
    <w:rsid w:val="003246D5"/>
    <w:rsid w:val="003247E6"/>
    <w:rsid w:val="00324948"/>
    <w:rsid w:val="00324E5C"/>
    <w:rsid w:val="00324FF9"/>
    <w:rsid w:val="00325366"/>
    <w:rsid w:val="003253F1"/>
    <w:rsid w:val="0032565B"/>
    <w:rsid w:val="00326100"/>
    <w:rsid w:val="00326FB5"/>
    <w:rsid w:val="0032701F"/>
    <w:rsid w:val="00327FD1"/>
    <w:rsid w:val="003301DE"/>
    <w:rsid w:val="003315CF"/>
    <w:rsid w:val="003323CA"/>
    <w:rsid w:val="0033349E"/>
    <w:rsid w:val="00334162"/>
    <w:rsid w:val="003344A5"/>
    <w:rsid w:val="003345A9"/>
    <w:rsid w:val="00334851"/>
    <w:rsid w:val="00337CA6"/>
    <w:rsid w:val="00340F3C"/>
    <w:rsid w:val="00341082"/>
    <w:rsid w:val="00341C00"/>
    <w:rsid w:val="00341FBE"/>
    <w:rsid w:val="0034212C"/>
    <w:rsid w:val="00342892"/>
    <w:rsid w:val="0034490A"/>
    <w:rsid w:val="0034586E"/>
    <w:rsid w:val="00346A9F"/>
    <w:rsid w:val="00346F04"/>
    <w:rsid w:val="00347672"/>
    <w:rsid w:val="00350092"/>
    <w:rsid w:val="003503A4"/>
    <w:rsid w:val="00351A87"/>
    <w:rsid w:val="00351C58"/>
    <w:rsid w:val="00351EF7"/>
    <w:rsid w:val="0035216E"/>
    <w:rsid w:val="00352322"/>
    <w:rsid w:val="003537CF"/>
    <w:rsid w:val="003537F4"/>
    <w:rsid w:val="003549CE"/>
    <w:rsid w:val="003550E7"/>
    <w:rsid w:val="003552E7"/>
    <w:rsid w:val="003553FD"/>
    <w:rsid w:val="0035612F"/>
    <w:rsid w:val="003562AA"/>
    <w:rsid w:val="00356872"/>
    <w:rsid w:val="00357C97"/>
    <w:rsid w:val="00360311"/>
    <w:rsid w:val="00360D08"/>
    <w:rsid w:val="003613AC"/>
    <w:rsid w:val="00361CFE"/>
    <w:rsid w:val="00361DF7"/>
    <w:rsid w:val="00361E69"/>
    <w:rsid w:val="00362190"/>
    <w:rsid w:val="003621E8"/>
    <w:rsid w:val="00362718"/>
    <w:rsid w:val="00362E5D"/>
    <w:rsid w:val="00364142"/>
    <w:rsid w:val="003663A8"/>
    <w:rsid w:val="00366AC0"/>
    <w:rsid w:val="00366C1C"/>
    <w:rsid w:val="00367458"/>
    <w:rsid w:val="00367C6C"/>
    <w:rsid w:val="00370313"/>
    <w:rsid w:val="003703FE"/>
    <w:rsid w:val="0037098A"/>
    <w:rsid w:val="00371607"/>
    <w:rsid w:val="00371843"/>
    <w:rsid w:val="003726EE"/>
    <w:rsid w:val="00372706"/>
    <w:rsid w:val="00373A4B"/>
    <w:rsid w:val="00373F28"/>
    <w:rsid w:val="00374AE6"/>
    <w:rsid w:val="003759CD"/>
    <w:rsid w:val="00377248"/>
    <w:rsid w:val="0037732A"/>
    <w:rsid w:val="00377387"/>
    <w:rsid w:val="00377DA9"/>
    <w:rsid w:val="00380082"/>
    <w:rsid w:val="003823CE"/>
    <w:rsid w:val="003824C6"/>
    <w:rsid w:val="0038279F"/>
    <w:rsid w:val="00383279"/>
    <w:rsid w:val="00383813"/>
    <w:rsid w:val="00383BF4"/>
    <w:rsid w:val="00383E7A"/>
    <w:rsid w:val="00384C71"/>
    <w:rsid w:val="00385CC3"/>
    <w:rsid w:val="00385FC9"/>
    <w:rsid w:val="00385FDC"/>
    <w:rsid w:val="00386151"/>
    <w:rsid w:val="003865AD"/>
    <w:rsid w:val="003871BA"/>
    <w:rsid w:val="00387E4E"/>
    <w:rsid w:val="0039038B"/>
    <w:rsid w:val="003904EB"/>
    <w:rsid w:val="0039058F"/>
    <w:rsid w:val="00390A6A"/>
    <w:rsid w:val="003911D0"/>
    <w:rsid w:val="0039230B"/>
    <w:rsid w:val="003924A9"/>
    <w:rsid w:val="003935E0"/>
    <w:rsid w:val="00393E07"/>
    <w:rsid w:val="003948E1"/>
    <w:rsid w:val="00396DA7"/>
    <w:rsid w:val="003977F5"/>
    <w:rsid w:val="00397A71"/>
    <w:rsid w:val="003A0A60"/>
    <w:rsid w:val="003A0EBE"/>
    <w:rsid w:val="003A1759"/>
    <w:rsid w:val="003A2751"/>
    <w:rsid w:val="003A3657"/>
    <w:rsid w:val="003A4E94"/>
    <w:rsid w:val="003A4FB9"/>
    <w:rsid w:val="003A508D"/>
    <w:rsid w:val="003A54B3"/>
    <w:rsid w:val="003A592C"/>
    <w:rsid w:val="003A5E0E"/>
    <w:rsid w:val="003A6A47"/>
    <w:rsid w:val="003A6D47"/>
    <w:rsid w:val="003A6E77"/>
    <w:rsid w:val="003A715C"/>
    <w:rsid w:val="003A7A53"/>
    <w:rsid w:val="003A7CCC"/>
    <w:rsid w:val="003B02E8"/>
    <w:rsid w:val="003B086F"/>
    <w:rsid w:val="003B08E7"/>
    <w:rsid w:val="003B09F7"/>
    <w:rsid w:val="003B13F3"/>
    <w:rsid w:val="003B1458"/>
    <w:rsid w:val="003B1744"/>
    <w:rsid w:val="003B19B6"/>
    <w:rsid w:val="003B236A"/>
    <w:rsid w:val="003B2429"/>
    <w:rsid w:val="003B25DE"/>
    <w:rsid w:val="003B2AF1"/>
    <w:rsid w:val="003B2F42"/>
    <w:rsid w:val="003B334C"/>
    <w:rsid w:val="003B3DC6"/>
    <w:rsid w:val="003B4CE5"/>
    <w:rsid w:val="003B57B0"/>
    <w:rsid w:val="003B6D93"/>
    <w:rsid w:val="003B6FC7"/>
    <w:rsid w:val="003B730F"/>
    <w:rsid w:val="003B742E"/>
    <w:rsid w:val="003B7652"/>
    <w:rsid w:val="003B7BEC"/>
    <w:rsid w:val="003C0003"/>
    <w:rsid w:val="003C04EF"/>
    <w:rsid w:val="003C0797"/>
    <w:rsid w:val="003C0D7A"/>
    <w:rsid w:val="003C19F8"/>
    <w:rsid w:val="003C30D1"/>
    <w:rsid w:val="003C340A"/>
    <w:rsid w:val="003C3F42"/>
    <w:rsid w:val="003C4681"/>
    <w:rsid w:val="003C4696"/>
    <w:rsid w:val="003C4B1C"/>
    <w:rsid w:val="003C586B"/>
    <w:rsid w:val="003C59C3"/>
    <w:rsid w:val="003C5BFD"/>
    <w:rsid w:val="003C5F3E"/>
    <w:rsid w:val="003C7088"/>
    <w:rsid w:val="003C726B"/>
    <w:rsid w:val="003D07D6"/>
    <w:rsid w:val="003D0D6D"/>
    <w:rsid w:val="003D15D9"/>
    <w:rsid w:val="003D1996"/>
    <w:rsid w:val="003D3279"/>
    <w:rsid w:val="003D3ED2"/>
    <w:rsid w:val="003D408B"/>
    <w:rsid w:val="003D41B8"/>
    <w:rsid w:val="003D5006"/>
    <w:rsid w:val="003D5306"/>
    <w:rsid w:val="003D5B4B"/>
    <w:rsid w:val="003D67F5"/>
    <w:rsid w:val="003D6912"/>
    <w:rsid w:val="003D6FEB"/>
    <w:rsid w:val="003D761F"/>
    <w:rsid w:val="003D7658"/>
    <w:rsid w:val="003E086E"/>
    <w:rsid w:val="003E089B"/>
    <w:rsid w:val="003E091D"/>
    <w:rsid w:val="003E10B4"/>
    <w:rsid w:val="003E20D3"/>
    <w:rsid w:val="003E21E9"/>
    <w:rsid w:val="003E30AC"/>
    <w:rsid w:val="003E3788"/>
    <w:rsid w:val="003E39EC"/>
    <w:rsid w:val="003E3A40"/>
    <w:rsid w:val="003E3F5B"/>
    <w:rsid w:val="003E4182"/>
    <w:rsid w:val="003E4A68"/>
    <w:rsid w:val="003E4A8D"/>
    <w:rsid w:val="003E53A0"/>
    <w:rsid w:val="003E58DB"/>
    <w:rsid w:val="003E5C17"/>
    <w:rsid w:val="003E5E85"/>
    <w:rsid w:val="003E6316"/>
    <w:rsid w:val="003E691F"/>
    <w:rsid w:val="003E6A79"/>
    <w:rsid w:val="003E6C11"/>
    <w:rsid w:val="003E6E78"/>
    <w:rsid w:val="003E7307"/>
    <w:rsid w:val="003E7C6C"/>
    <w:rsid w:val="003E7D21"/>
    <w:rsid w:val="003F04FD"/>
    <w:rsid w:val="003F0945"/>
    <w:rsid w:val="003F0B91"/>
    <w:rsid w:val="003F0E6D"/>
    <w:rsid w:val="003F160F"/>
    <w:rsid w:val="003F1DA1"/>
    <w:rsid w:val="003F28DC"/>
    <w:rsid w:val="003F29E1"/>
    <w:rsid w:val="003F3C6F"/>
    <w:rsid w:val="003F3E49"/>
    <w:rsid w:val="003F438D"/>
    <w:rsid w:val="003F587E"/>
    <w:rsid w:val="003F594A"/>
    <w:rsid w:val="003F7B02"/>
    <w:rsid w:val="003F7D97"/>
    <w:rsid w:val="00400433"/>
    <w:rsid w:val="00400853"/>
    <w:rsid w:val="00400952"/>
    <w:rsid w:val="00400CD6"/>
    <w:rsid w:val="004014E7"/>
    <w:rsid w:val="00401C9E"/>
    <w:rsid w:val="00401EC7"/>
    <w:rsid w:val="00403570"/>
    <w:rsid w:val="00404D44"/>
    <w:rsid w:val="00404DB6"/>
    <w:rsid w:val="00404E9C"/>
    <w:rsid w:val="00404F18"/>
    <w:rsid w:val="004057F9"/>
    <w:rsid w:val="00405973"/>
    <w:rsid w:val="00405AAE"/>
    <w:rsid w:val="00405B4B"/>
    <w:rsid w:val="00406442"/>
    <w:rsid w:val="004069A4"/>
    <w:rsid w:val="00406A42"/>
    <w:rsid w:val="00407204"/>
    <w:rsid w:val="00407AE4"/>
    <w:rsid w:val="00407E62"/>
    <w:rsid w:val="0041007F"/>
    <w:rsid w:val="00410C7D"/>
    <w:rsid w:val="00411156"/>
    <w:rsid w:val="00411794"/>
    <w:rsid w:val="00411857"/>
    <w:rsid w:val="00411FEC"/>
    <w:rsid w:val="00412CB7"/>
    <w:rsid w:val="00412EB3"/>
    <w:rsid w:val="00414378"/>
    <w:rsid w:val="004148CF"/>
    <w:rsid w:val="00414AC7"/>
    <w:rsid w:val="0041501A"/>
    <w:rsid w:val="00415340"/>
    <w:rsid w:val="004165AC"/>
    <w:rsid w:val="004176B4"/>
    <w:rsid w:val="00417B63"/>
    <w:rsid w:val="00417CCA"/>
    <w:rsid w:val="00420A2D"/>
    <w:rsid w:val="00421119"/>
    <w:rsid w:val="0042154F"/>
    <w:rsid w:val="00421FA9"/>
    <w:rsid w:val="00422A80"/>
    <w:rsid w:val="0042315D"/>
    <w:rsid w:val="004234DF"/>
    <w:rsid w:val="00423B23"/>
    <w:rsid w:val="00423B81"/>
    <w:rsid w:val="00423BF2"/>
    <w:rsid w:val="004247C4"/>
    <w:rsid w:val="00424CBC"/>
    <w:rsid w:val="00424F7E"/>
    <w:rsid w:val="004250B4"/>
    <w:rsid w:val="00425253"/>
    <w:rsid w:val="00425727"/>
    <w:rsid w:val="004259D1"/>
    <w:rsid w:val="00425B67"/>
    <w:rsid w:val="00426AD5"/>
    <w:rsid w:val="00426B5A"/>
    <w:rsid w:val="0042768D"/>
    <w:rsid w:val="004276F5"/>
    <w:rsid w:val="0042781E"/>
    <w:rsid w:val="004278BD"/>
    <w:rsid w:val="004300E2"/>
    <w:rsid w:val="00431446"/>
    <w:rsid w:val="00432E82"/>
    <w:rsid w:val="00433610"/>
    <w:rsid w:val="0043379B"/>
    <w:rsid w:val="0043396D"/>
    <w:rsid w:val="004340FA"/>
    <w:rsid w:val="00434851"/>
    <w:rsid w:val="004355E0"/>
    <w:rsid w:val="00435840"/>
    <w:rsid w:val="00435AF4"/>
    <w:rsid w:val="0043640E"/>
    <w:rsid w:val="0043668D"/>
    <w:rsid w:val="00436E88"/>
    <w:rsid w:val="00437059"/>
    <w:rsid w:val="004370E1"/>
    <w:rsid w:val="00437863"/>
    <w:rsid w:val="00437C27"/>
    <w:rsid w:val="0044026C"/>
    <w:rsid w:val="00440AA7"/>
    <w:rsid w:val="00440D2A"/>
    <w:rsid w:val="004417DD"/>
    <w:rsid w:val="00441DD7"/>
    <w:rsid w:val="00442C30"/>
    <w:rsid w:val="00442F61"/>
    <w:rsid w:val="0044416C"/>
    <w:rsid w:val="0044529E"/>
    <w:rsid w:val="0044683F"/>
    <w:rsid w:val="00446AF7"/>
    <w:rsid w:val="00447360"/>
    <w:rsid w:val="00447729"/>
    <w:rsid w:val="004506AE"/>
    <w:rsid w:val="004509D7"/>
    <w:rsid w:val="0045113C"/>
    <w:rsid w:val="004513E0"/>
    <w:rsid w:val="004538F4"/>
    <w:rsid w:val="00453AB1"/>
    <w:rsid w:val="00454746"/>
    <w:rsid w:val="00455091"/>
    <w:rsid w:val="0045547E"/>
    <w:rsid w:val="00455CA7"/>
    <w:rsid w:val="00455CC4"/>
    <w:rsid w:val="00457BB2"/>
    <w:rsid w:val="0046112B"/>
    <w:rsid w:val="00461420"/>
    <w:rsid w:val="00462F5D"/>
    <w:rsid w:val="00463EE1"/>
    <w:rsid w:val="0046419F"/>
    <w:rsid w:val="00464253"/>
    <w:rsid w:val="00464357"/>
    <w:rsid w:val="00464521"/>
    <w:rsid w:val="00465191"/>
    <w:rsid w:val="00466D7E"/>
    <w:rsid w:val="004675F9"/>
    <w:rsid w:val="0047039A"/>
    <w:rsid w:val="004705F9"/>
    <w:rsid w:val="00472509"/>
    <w:rsid w:val="00472D54"/>
    <w:rsid w:val="00473278"/>
    <w:rsid w:val="0047354E"/>
    <w:rsid w:val="00474613"/>
    <w:rsid w:val="00475005"/>
    <w:rsid w:val="0047550D"/>
    <w:rsid w:val="00475974"/>
    <w:rsid w:val="00475CEE"/>
    <w:rsid w:val="00475E2C"/>
    <w:rsid w:val="00475E30"/>
    <w:rsid w:val="004776A4"/>
    <w:rsid w:val="0047794C"/>
    <w:rsid w:val="00477C58"/>
    <w:rsid w:val="00477E47"/>
    <w:rsid w:val="00481240"/>
    <w:rsid w:val="0048165A"/>
    <w:rsid w:val="004819FE"/>
    <w:rsid w:val="004821B5"/>
    <w:rsid w:val="004821FF"/>
    <w:rsid w:val="0048227B"/>
    <w:rsid w:val="00482887"/>
    <w:rsid w:val="00482AAD"/>
    <w:rsid w:val="00483722"/>
    <w:rsid w:val="00483EAF"/>
    <w:rsid w:val="004840E9"/>
    <w:rsid w:val="004846B2"/>
    <w:rsid w:val="0048473B"/>
    <w:rsid w:val="00485CCC"/>
    <w:rsid w:val="004872E4"/>
    <w:rsid w:val="004873AE"/>
    <w:rsid w:val="00487EE8"/>
    <w:rsid w:val="00490099"/>
    <w:rsid w:val="00491056"/>
    <w:rsid w:val="00491435"/>
    <w:rsid w:val="00491566"/>
    <w:rsid w:val="00491621"/>
    <w:rsid w:val="004918AA"/>
    <w:rsid w:val="004929D0"/>
    <w:rsid w:val="00493300"/>
    <w:rsid w:val="00493D49"/>
    <w:rsid w:val="0049516B"/>
    <w:rsid w:val="00495CF2"/>
    <w:rsid w:val="00495FE3"/>
    <w:rsid w:val="004962A8"/>
    <w:rsid w:val="00496353"/>
    <w:rsid w:val="00496799"/>
    <w:rsid w:val="004A0421"/>
    <w:rsid w:val="004A04E8"/>
    <w:rsid w:val="004A084A"/>
    <w:rsid w:val="004A193B"/>
    <w:rsid w:val="004A1C1E"/>
    <w:rsid w:val="004A1FF0"/>
    <w:rsid w:val="004A2896"/>
    <w:rsid w:val="004A28EF"/>
    <w:rsid w:val="004A3EBA"/>
    <w:rsid w:val="004A4ADF"/>
    <w:rsid w:val="004A551E"/>
    <w:rsid w:val="004A5562"/>
    <w:rsid w:val="004A5B3B"/>
    <w:rsid w:val="004A5C9D"/>
    <w:rsid w:val="004A5DDA"/>
    <w:rsid w:val="004A5EB5"/>
    <w:rsid w:val="004A687C"/>
    <w:rsid w:val="004A7141"/>
    <w:rsid w:val="004A7BDE"/>
    <w:rsid w:val="004B103B"/>
    <w:rsid w:val="004B209D"/>
    <w:rsid w:val="004B2225"/>
    <w:rsid w:val="004B2385"/>
    <w:rsid w:val="004B2C18"/>
    <w:rsid w:val="004B3159"/>
    <w:rsid w:val="004B3667"/>
    <w:rsid w:val="004B3784"/>
    <w:rsid w:val="004B391C"/>
    <w:rsid w:val="004B4034"/>
    <w:rsid w:val="004B43A8"/>
    <w:rsid w:val="004B5A0A"/>
    <w:rsid w:val="004B5DC8"/>
    <w:rsid w:val="004B6192"/>
    <w:rsid w:val="004B6268"/>
    <w:rsid w:val="004B7797"/>
    <w:rsid w:val="004B7B04"/>
    <w:rsid w:val="004B7BC4"/>
    <w:rsid w:val="004C0356"/>
    <w:rsid w:val="004C1A96"/>
    <w:rsid w:val="004C2AD7"/>
    <w:rsid w:val="004C3AB6"/>
    <w:rsid w:val="004C3D4D"/>
    <w:rsid w:val="004C4F1C"/>
    <w:rsid w:val="004C5439"/>
    <w:rsid w:val="004C5FAF"/>
    <w:rsid w:val="004C60E1"/>
    <w:rsid w:val="004C7832"/>
    <w:rsid w:val="004C7E10"/>
    <w:rsid w:val="004D0648"/>
    <w:rsid w:val="004D17D5"/>
    <w:rsid w:val="004D1E01"/>
    <w:rsid w:val="004D1EA1"/>
    <w:rsid w:val="004D24F5"/>
    <w:rsid w:val="004D3B93"/>
    <w:rsid w:val="004D4825"/>
    <w:rsid w:val="004D4AB0"/>
    <w:rsid w:val="004D4E15"/>
    <w:rsid w:val="004D5751"/>
    <w:rsid w:val="004D6193"/>
    <w:rsid w:val="004D6840"/>
    <w:rsid w:val="004D7F7D"/>
    <w:rsid w:val="004D7FD5"/>
    <w:rsid w:val="004E054F"/>
    <w:rsid w:val="004E060C"/>
    <w:rsid w:val="004E0D2E"/>
    <w:rsid w:val="004E257F"/>
    <w:rsid w:val="004E2D7E"/>
    <w:rsid w:val="004E391C"/>
    <w:rsid w:val="004E3C91"/>
    <w:rsid w:val="004E4881"/>
    <w:rsid w:val="004E4B1A"/>
    <w:rsid w:val="004E50F3"/>
    <w:rsid w:val="004E5352"/>
    <w:rsid w:val="004E65E3"/>
    <w:rsid w:val="004E6623"/>
    <w:rsid w:val="004E6711"/>
    <w:rsid w:val="004E683A"/>
    <w:rsid w:val="004E6897"/>
    <w:rsid w:val="004E6B07"/>
    <w:rsid w:val="004E75DA"/>
    <w:rsid w:val="004E770C"/>
    <w:rsid w:val="004E7ED7"/>
    <w:rsid w:val="004F025A"/>
    <w:rsid w:val="004F039F"/>
    <w:rsid w:val="004F0CEC"/>
    <w:rsid w:val="004F1592"/>
    <w:rsid w:val="004F1D99"/>
    <w:rsid w:val="004F1DA1"/>
    <w:rsid w:val="004F285F"/>
    <w:rsid w:val="004F28FB"/>
    <w:rsid w:val="004F2F00"/>
    <w:rsid w:val="004F2FA9"/>
    <w:rsid w:val="004F34EE"/>
    <w:rsid w:val="004F4059"/>
    <w:rsid w:val="004F570C"/>
    <w:rsid w:val="004F58A1"/>
    <w:rsid w:val="004F6B1E"/>
    <w:rsid w:val="004F701C"/>
    <w:rsid w:val="004F7153"/>
    <w:rsid w:val="004F73B7"/>
    <w:rsid w:val="004F75CE"/>
    <w:rsid w:val="004F77B3"/>
    <w:rsid w:val="004F7FD7"/>
    <w:rsid w:val="004F7FDA"/>
    <w:rsid w:val="005003FF"/>
    <w:rsid w:val="00501573"/>
    <w:rsid w:val="00501FB2"/>
    <w:rsid w:val="0050229E"/>
    <w:rsid w:val="0050274A"/>
    <w:rsid w:val="00502F73"/>
    <w:rsid w:val="00503978"/>
    <w:rsid w:val="00503F57"/>
    <w:rsid w:val="00504559"/>
    <w:rsid w:val="005051B9"/>
    <w:rsid w:val="005054EB"/>
    <w:rsid w:val="005058C6"/>
    <w:rsid w:val="00505ACB"/>
    <w:rsid w:val="0050633E"/>
    <w:rsid w:val="00510983"/>
    <w:rsid w:val="005111BC"/>
    <w:rsid w:val="005135EC"/>
    <w:rsid w:val="00514EA8"/>
    <w:rsid w:val="00515535"/>
    <w:rsid w:val="005156F7"/>
    <w:rsid w:val="00515985"/>
    <w:rsid w:val="00515ACF"/>
    <w:rsid w:val="00516033"/>
    <w:rsid w:val="005162F3"/>
    <w:rsid w:val="005163A4"/>
    <w:rsid w:val="0051656A"/>
    <w:rsid w:val="00516B97"/>
    <w:rsid w:val="00516E07"/>
    <w:rsid w:val="00517396"/>
    <w:rsid w:val="0051765B"/>
    <w:rsid w:val="0052039C"/>
    <w:rsid w:val="005209DB"/>
    <w:rsid w:val="005213DD"/>
    <w:rsid w:val="00521D10"/>
    <w:rsid w:val="0052289C"/>
    <w:rsid w:val="00522ACA"/>
    <w:rsid w:val="005239B0"/>
    <w:rsid w:val="00523D67"/>
    <w:rsid w:val="0052519D"/>
    <w:rsid w:val="005269A8"/>
    <w:rsid w:val="00530892"/>
    <w:rsid w:val="00530F80"/>
    <w:rsid w:val="005318CA"/>
    <w:rsid w:val="00531E01"/>
    <w:rsid w:val="005322E0"/>
    <w:rsid w:val="005341FF"/>
    <w:rsid w:val="0053558B"/>
    <w:rsid w:val="00535A29"/>
    <w:rsid w:val="005364F2"/>
    <w:rsid w:val="00536C54"/>
    <w:rsid w:val="00537E5F"/>
    <w:rsid w:val="00537FE9"/>
    <w:rsid w:val="00542E5D"/>
    <w:rsid w:val="00543252"/>
    <w:rsid w:val="005439DD"/>
    <w:rsid w:val="00543AD5"/>
    <w:rsid w:val="00544CFF"/>
    <w:rsid w:val="005450B7"/>
    <w:rsid w:val="005456D6"/>
    <w:rsid w:val="005460FF"/>
    <w:rsid w:val="00546D03"/>
    <w:rsid w:val="00546FA4"/>
    <w:rsid w:val="00547860"/>
    <w:rsid w:val="00547974"/>
    <w:rsid w:val="005479CC"/>
    <w:rsid w:val="00550141"/>
    <w:rsid w:val="005504D7"/>
    <w:rsid w:val="0055173F"/>
    <w:rsid w:val="005518BA"/>
    <w:rsid w:val="005518DB"/>
    <w:rsid w:val="00552B04"/>
    <w:rsid w:val="00552DB9"/>
    <w:rsid w:val="005544A7"/>
    <w:rsid w:val="005546E5"/>
    <w:rsid w:val="00555A9F"/>
    <w:rsid w:val="00556066"/>
    <w:rsid w:val="00556F52"/>
    <w:rsid w:val="005572F2"/>
    <w:rsid w:val="00560DF3"/>
    <w:rsid w:val="005611DD"/>
    <w:rsid w:val="00561715"/>
    <w:rsid w:val="00561DF8"/>
    <w:rsid w:val="00562FCA"/>
    <w:rsid w:val="00564E29"/>
    <w:rsid w:val="00565AD4"/>
    <w:rsid w:val="005670E5"/>
    <w:rsid w:val="0056736B"/>
    <w:rsid w:val="00567B75"/>
    <w:rsid w:val="00567F80"/>
    <w:rsid w:val="00570021"/>
    <w:rsid w:val="005701B7"/>
    <w:rsid w:val="005701DC"/>
    <w:rsid w:val="005702CA"/>
    <w:rsid w:val="00570D78"/>
    <w:rsid w:val="00572904"/>
    <w:rsid w:val="00574A2F"/>
    <w:rsid w:val="00574B71"/>
    <w:rsid w:val="00575139"/>
    <w:rsid w:val="00575BC5"/>
    <w:rsid w:val="00575EA2"/>
    <w:rsid w:val="00576823"/>
    <w:rsid w:val="00576A5B"/>
    <w:rsid w:val="00576F37"/>
    <w:rsid w:val="005771A2"/>
    <w:rsid w:val="0057722B"/>
    <w:rsid w:val="005779B7"/>
    <w:rsid w:val="00577E50"/>
    <w:rsid w:val="00580036"/>
    <w:rsid w:val="00580774"/>
    <w:rsid w:val="00580D86"/>
    <w:rsid w:val="00580D89"/>
    <w:rsid w:val="005813B5"/>
    <w:rsid w:val="0058190C"/>
    <w:rsid w:val="00582329"/>
    <w:rsid w:val="00582C1D"/>
    <w:rsid w:val="005830D1"/>
    <w:rsid w:val="00583325"/>
    <w:rsid w:val="0058349A"/>
    <w:rsid w:val="005834C6"/>
    <w:rsid w:val="00584A68"/>
    <w:rsid w:val="00585D42"/>
    <w:rsid w:val="00586413"/>
    <w:rsid w:val="00586954"/>
    <w:rsid w:val="00587608"/>
    <w:rsid w:val="00587D17"/>
    <w:rsid w:val="00587EC6"/>
    <w:rsid w:val="00590011"/>
    <w:rsid w:val="00590520"/>
    <w:rsid w:val="00590B67"/>
    <w:rsid w:val="00591B6F"/>
    <w:rsid w:val="00591F14"/>
    <w:rsid w:val="00593418"/>
    <w:rsid w:val="005936D8"/>
    <w:rsid w:val="005937C2"/>
    <w:rsid w:val="00594140"/>
    <w:rsid w:val="00594160"/>
    <w:rsid w:val="00594956"/>
    <w:rsid w:val="005957D5"/>
    <w:rsid w:val="005959C4"/>
    <w:rsid w:val="005968B5"/>
    <w:rsid w:val="005971A2"/>
    <w:rsid w:val="005977AC"/>
    <w:rsid w:val="005A0C9F"/>
    <w:rsid w:val="005A1045"/>
    <w:rsid w:val="005A14DF"/>
    <w:rsid w:val="005A1545"/>
    <w:rsid w:val="005A163E"/>
    <w:rsid w:val="005A3659"/>
    <w:rsid w:val="005A3FD3"/>
    <w:rsid w:val="005A4F54"/>
    <w:rsid w:val="005A68DB"/>
    <w:rsid w:val="005A7A28"/>
    <w:rsid w:val="005B0050"/>
    <w:rsid w:val="005B053C"/>
    <w:rsid w:val="005B1DC6"/>
    <w:rsid w:val="005B2EA8"/>
    <w:rsid w:val="005B2FA4"/>
    <w:rsid w:val="005B35A7"/>
    <w:rsid w:val="005B36DD"/>
    <w:rsid w:val="005B378F"/>
    <w:rsid w:val="005B3BF0"/>
    <w:rsid w:val="005B4541"/>
    <w:rsid w:val="005B47B5"/>
    <w:rsid w:val="005B4C00"/>
    <w:rsid w:val="005B5AB0"/>
    <w:rsid w:val="005B5D4A"/>
    <w:rsid w:val="005B5E33"/>
    <w:rsid w:val="005B69D6"/>
    <w:rsid w:val="005B6CB2"/>
    <w:rsid w:val="005B702F"/>
    <w:rsid w:val="005B713F"/>
    <w:rsid w:val="005B752E"/>
    <w:rsid w:val="005B7D31"/>
    <w:rsid w:val="005C1645"/>
    <w:rsid w:val="005C18C2"/>
    <w:rsid w:val="005C1EED"/>
    <w:rsid w:val="005C1F88"/>
    <w:rsid w:val="005C2BF1"/>
    <w:rsid w:val="005C41F4"/>
    <w:rsid w:val="005C56B7"/>
    <w:rsid w:val="005C579B"/>
    <w:rsid w:val="005C57B9"/>
    <w:rsid w:val="005C57CF"/>
    <w:rsid w:val="005C5B28"/>
    <w:rsid w:val="005C5FA0"/>
    <w:rsid w:val="005C5FFF"/>
    <w:rsid w:val="005C6842"/>
    <w:rsid w:val="005C7BE3"/>
    <w:rsid w:val="005D04F4"/>
    <w:rsid w:val="005D0D14"/>
    <w:rsid w:val="005D0DB9"/>
    <w:rsid w:val="005D0E3F"/>
    <w:rsid w:val="005D113F"/>
    <w:rsid w:val="005D12B7"/>
    <w:rsid w:val="005D174B"/>
    <w:rsid w:val="005D2E74"/>
    <w:rsid w:val="005D2FBC"/>
    <w:rsid w:val="005D3512"/>
    <w:rsid w:val="005D36F1"/>
    <w:rsid w:val="005D3703"/>
    <w:rsid w:val="005D4116"/>
    <w:rsid w:val="005D4256"/>
    <w:rsid w:val="005D42C8"/>
    <w:rsid w:val="005D43AE"/>
    <w:rsid w:val="005D5780"/>
    <w:rsid w:val="005D57D0"/>
    <w:rsid w:val="005D5DF6"/>
    <w:rsid w:val="005D61C3"/>
    <w:rsid w:val="005D6213"/>
    <w:rsid w:val="005D6816"/>
    <w:rsid w:val="005D7B69"/>
    <w:rsid w:val="005E038B"/>
    <w:rsid w:val="005E14B5"/>
    <w:rsid w:val="005E2053"/>
    <w:rsid w:val="005E348A"/>
    <w:rsid w:val="005E400E"/>
    <w:rsid w:val="005E49EB"/>
    <w:rsid w:val="005E5939"/>
    <w:rsid w:val="005E5F28"/>
    <w:rsid w:val="005E626E"/>
    <w:rsid w:val="005E68D2"/>
    <w:rsid w:val="005E7702"/>
    <w:rsid w:val="005E796A"/>
    <w:rsid w:val="005F0B94"/>
    <w:rsid w:val="005F1054"/>
    <w:rsid w:val="005F14A7"/>
    <w:rsid w:val="005F1E95"/>
    <w:rsid w:val="005F206D"/>
    <w:rsid w:val="005F364D"/>
    <w:rsid w:val="005F3C16"/>
    <w:rsid w:val="005F42B9"/>
    <w:rsid w:val="005F44E2"/>
    <w:rsid w:val="005F4769"/>
    <w:rsid w:val="005F53C2"/>
    <w:rsid w:val="005F53EB"/>
    <w:rsid w:val="005F7B59"/>
    <w:rsid w:val="00600096"/>
    <w:rsid w:val="006000F3"/>
    <w:rsid w:val="0060082E"/>
    <w:rsid w:val="00600E15"/>
    <w:rsid w:val="00600E83"/>
    <w:rsid w:val="00601063"/>
    <w:rsid w:val="006014C2"/>
    <w:rsid w:val="00601AE9"/>
    <w:rsid w:val="00601C5F"/>
    <w:rsid w:val="00602759"/>
    <w:rsid w:val="00602939"/>
    <w:rsid w:val="0060298F"/>
    <w:rsid w:val="00602AF3"/>
    <w:rsid w:val="00603D33"/>
    <w:rsid w:val="0060404C"/>
    <w:rsid w:val="006046CB"/>
    <w:rsid w:val="0060661C"/>
    <w:rsid w:val="00606C07"/>
    <w:rsid w:val="00607C46"/>
    <w:rsid w:val="00610C29"/>
    <w:rsid w:val="006110CF"/>
    <w:rsid w:val="006111A7"/>
    <w:rsid w:val="006114F2"/>
    <w:rsid w:val="00611DD5"/>
    <w:rsid w:val="00613011"/>
    <w:rsid w:val="00613531"/>
    <w:rsid w:val="00613AA1"/>
    <w:rsid w:val="00613BCC"/>
    <w:rsid w:val="00614302"/>
    <w:rsid w:val="00614881"/>
    <w:rsid w:val="00615A6F"/>
    <w:rsid w:val="00615CB5"/>
    <w:rsid w:val="006162B9"/>
    <w:rsid w:val="0061659A"/>
    <w:rsid w:val="0061689E"/>
    <w:rsid w:val="00616A4E"/>
    <w:rsid w:val="006211D0"/>
    <w:rsid w:val="006213D8"/>
    <w:rsid w:val="00621716"/>
    <w:rsid w:val="00621AD8"/>
    <w:rsid w:val="0062210D"/>
    <w:rsid w:val="00622775"/>
    <w:rsid w:val="006239D2"/>
    <w:rsid w:val="00624658"/>
    <w:rsid w:val="006249AA"/>
    <w:rsid w:val="00624B5F"/>
    <w:rsid w:val="00624FA8"/>
    <w:rsid w:val="00626432"/>
    <w:rsid w:val="00626B10"/>
    <w:rsid w:val="00626BBD"/>
    <w:rsid w:val="00627BD8"/>
    <w:rsid w:val="00627ECB"/>
    <w:rsid w:val="00630D8C"/>
    <w:rsid w:val="0063170B"/>
    <w:rsid w:val="006318F7"/>
    <w:rsid w:val="006319FE"/>
    <w:rsid w:val="00632EA0"/>
    <w:rsid w:val="006335E3"/>
    <w:rsid w:val="00633CD8"/>
    <w:rsid w:val="00633D59"/>
    <w:rsid w:val="00634E7E"/>
    <w:rsid w:val="0063532F"/>
    <w:rsid w:val="0063561B"/>
    <w:rsid w:val="00636C5B"/>
    <w:rsid w:val="00636E9D"/>
    <w:rsid w:val="006374C4"/>
    <w:rsid w:val="00637636"/>
    <w:rsid w:val="00637C49"/>
    <w:rsid w:val="00640FAE"/>
    <w:rsid w:val="006410B3"/>
    <w:rsid w:val="006413DC"/>
    <w:rsid w:val="006417B5"/>
    <w:rsid w:val="006418EE"/>
    <w:rsid w:val="00641A56"/>
    <w:rsid w:val="00641DB9"/>
    <w:rsid w:val="00642978"/>
    <w:rsid w:val="006429C3"/>
    <w:rsid w:val="00643553"/>
    <w:rsid w:val="00643C9E"/>
    <w:rsid w:val="006443C1"/>
    <w:rsid w:val="00644FBD"/>
    <w:rsid w:val="00646C98"/>
    <w:rsid w:val="00646FD6"/>
    <w:rsid w:val="0064723C"/>
    <w:rsid w:val="00647B3A"/>
    <w:rsid w:val="00647BBE"/>
    <w:rsid w:val="0065018E"/>
    <w:rsid w:val="00650E48"/>
    <w:rsid w:val="006516FD"/>
    <w:rsid w:val="00652179"/>
    <w:rsid w:val="00652BCD"/>
    <w:rsid w:val="0065387B"/>
    <w:rsid w:val="00653884"/>
    <w:rsid w:val="006539C9"/>
    <w:rsid w:val="00653C9C"/>
    <w:rsid w:val="00654CFE"/>
    <w:rsid w:val="006551F2"/>
    <w:rsid w:val="006556FB"/>
    <w:rsid w:val="006569A0"/>
    <w:rsid w:val="00657237"/>
    <w:rsid w:val="006572C6"/>
    <w:rsid w:val="0066068F"/>
    <w:rsid w:val="00661B72"/>
    <w:rsid w:val="00662667"/>
    <w:rsid w:val="00662827"/>
    <w:rsid w:val="0066360F"/>
    <w:rsid w:val="006637B4"/>
    <w:rsid w:val="0066420A"/>
    <w:rsid w:val="00664530"/>
    <w:rsid w:val="006648F3"/>
    <w:rsid w:val="00664C0F"/>
    <w:rsid w:val="00665988"/>
    <w:rsid w:val="00665C21"/>
    <w:rsid w:val="00665E45"/>
    <w:rsid w:val="00666207"/>
    <w:rsid w:val="00666A07"/>
    <w:rsid w:val="006672F4"/>
    <w:rsid w:val="0066746D"/>
    <w:rsid w:val="0066761C"/>
    <w:rsid w:val="00671204"/>
    <w:rsid w:val="006712A8"/>
    <w:rsid w:val="00671453"/>
    <w:rsid w:val="0067153F"/>
    <w:rsid w:val="00671727"/>
    <w:rsid w:val="00671755"/>
    <w:rsid w:val="00671A3E"/>
    <w:rsid w:val="00671A6C"/>
    <w:rsid w:val="00672A61"/>
    <w:rsid w:val="00672D9D"/>
    <w:rsid w:val="006733D1"/>
    <w:rsid w:val="006739AA"/>
    <w:rsid w:val="00673AC5"/>
    <w:rsid w:val="00673B4B"/>
    <w:rsid w:val="00674401"/>
    <w:rsid w:val="00675BE0"/>
    <w:rsid w:val="00676633"/>
    <w:rsid w:val="006771DF"/>
    <w:rsid w:val="00677905"/>
    <w:rsid w:val="00677A26"/>
    <w:rsid w:val="00677F39"/>
    <w:rsid w:val="00680AFD"/>
    <w:rsid w:val="00680D13"/>
    <w:rsid w:val="00681834"/>
    <w:rsid w:val="00681F79"/>
    <w:rsid w:val="006820F8"/>
    <w:rsid w:val="00682AA0"/>
    <w:rsid w:val="0068332E"/>
    <w:rsid w:val="00684937"/>
    <w:rsid w:val="006849D5"/>
    <w:rsid w:val="00684D8A"/>
    <w:rsid w:val="00684DF0"/>
    <w:rsid w:val="006850D4"/>
    <w:rsid w:val="006851B4"/>
    <w:rsid w:val="0068530A"/>
    <w:rsid w:val="00685F6B"/>
    <w:rsid w:val="006863E1"/>
    <w:rsid w:val="00686DB6"/>
    <w:rsid w:val="00690B69"/>
    <w:rsid w:val="00690EA8"/>
    <w:rsid w:val="00691748"/>
    <w:rsid w:val="00691873"/>
    <w:rsid w:val="00692B56"/>
    <w:rsid w:val="0069328C"/>
    <w:rsid w:val="00693E2B"/>
    <w:rsid w:val="006945B8"/>
    <w:rsid w:val="00695186"/>
    <w:rsid w:val="00695BCA"/>
    <w:rsid w:val="006962FB"/>
    <w:rsid w:val="006A026D"/>
    <w:rsid w:val="006A0E91"/>
    <w:rsid w:val="006A1D78"/>
    <w:rsid w:val="006A1D9F"/>
    <w:rsid w:val="006A1E99"/>
    <w:rsid w:val="006A3F1B"/>
    <w:rsid w:val="006A493D"/>
    <w:rsid w:val="006A5C46"/>
    <w:rsid w:val="006A6A32"/>
    <w:rsid w:val="006A6D48"/>
    <w:rsid w:val="006A6E4F"/>
    <w:rsid w:val="006B0B6C"/>
    <w:rsid w:val="006B10D4"/>
    <w:rsid w:val="006B1A6F"/>
    <w:rsid w:val="006B1A70"/>
    <w:rsid w:val="006B1D19"/>
    <w:rsid w:val="006B37DD"/>
    <w:rsid w:val="006B3E69"/>
    <w:rsid w:val="006B3FEE"/>
    <w:rsid w:val="006B4D3D"/>
    <w:rsid w:val="006B4E27"/>
    <w:rsid w:val="006B5733"/>
    <w:rsid w:val="006B5DAC"/>
    <w:rsid w:val="006B5DC9"/>
    <w:rsid w:val="006B7BC4"/>
    <w:rsid w:val="006C0FBA"/>
    <w:rsid w:val="006C13DF"/>
    <w:rsid w:val="006C1965"/>
    <w:rsid w:val="006C27D5"/>
    <w:rsid w:val="006C4A3D"/>
    <w:rsid w:val="006C4DE4"/>
    <w:rsid w:val="006C50F2"/>
    <w:rsid w:val="006C55D8"/>
    <w:rsid w:val="006C59B4"/>
    <w:rsid w:val="006C746B"/>
    <w:rsid w:val="006D0147"/>
    <w:rsid w:val="006D0D66"/>
    <w:rsid w:val="006D0E5E"/>
    <w:rsid w:val="006D0EF2"/>
    <w:rsid w:val="006D3A79"/>
    <w:rsid w:val="006D3ACF"/>
    <w:rsid w:val="006D4151"/>
    <w:rsid w:val="006D46AF"/>
    <w:rsid w:val="006D46B6"/>
    <w:rsid w:val="006D57F8"/>
    <w:rsid w:val="006D703B"/>
    <w:rsid w:val="006D71AE"/>
    <w:rsid w:val="006E01BD"/>
    <w:rsid w:val="006E01F2"/>
    <w:rsid w:val="006E02BB"/>
    <w:rsid w:val="006E1B67"/>
    <w:rsid w:val="006E2C3F"/>
    <w:rsid w:val="006E2EA7"/>
    <w:rsid w:val="006E30B9"/>
    <w:rsid w:val="006E3270"/>
    <w:rsid w:val="006E354C"/>
    <w:rsid w:val="006E4012"/>
    <w:rsid w:val="006E43C6"/>
    <w:rsid w:val="006E51CB"/>
    <w:rsid w:val="006E57FD"/>
    <w:rsid w:val="006E5E6E"/>
    <w:rsid w:val="006E6AD8"/>
    <w:rsid w:val="006E76D0"/>
    <w:rsid w:val="006E76E8"/>
    <w:rsid w:val="006E7955"/>
    <w:rsid w:val="006E7AA2"/>
    <w:rsid w:val="006E7EA6"/>
    <w:rsid w:val="006F043A"/>
    <w:rsid w:val="006F054B"/>
    <w:rsid w:val="006F056C"/>
    <w:rsid w:val="006F0ACB"/>
    <w:rsid w:val="006F10F0"/>
    <w:rsid w:val="006F11D6"/>
    <w:rsid w:val="006F2AB6"/>
    <w:rsid w:val="006F31A6"/>
    <w:rsid w:val="006F36EA"/>
    <w:rsid w:val="006F3AD3"/>
    <w:rsid w:val="006F3BCF"/>
    <w:rsid w:val="006F3D51"/>
    <w:rsid w:val="006F588F"/>
    <w:rsid w:val="006F5C08"/>
    <w:rsid w:val="006F5E0A"/>
    <w:rsid w:val="006F767E"/>
    <w:rsid w:val="00700A77"/>
    <w:rsid w:val="00700FF1"/>
    <w:rsid w:val="007011CC"/>
    <w:rsid w:val="00702005"/>
    <w:rsid w:val="007020B6"/>
    <w:rsid w:val="0070249A"/>
    <w:rsid w:val="007026ED"/>
    <w:rsid w:val="00703138"/>
    <w:rsid w:val="007031BB"/>
    <w:rsid w:val="00705494"/>
    <w:rsid w:val="007055CA"/>
    <w:rsid w:val="0070587B"/>
    <w:rsid w:val="0070595D"/>
    <w:rsid w:val="00705B8E"/>
    <w:rsid w:val="0070656B"/>
    <w:rsid w:val="0070792C"/>
    <w:rsid w:val="00707AD4"/>
    <w:rsid w:val="00707B3D"/>
    <w:rsid w:val="00707D4A"/>
    <w:rsid w:val="00710950"/>
    <w:rsid w:val="0071166E"/>
    <w:rsid w:val="007118CE"/>
    <w:rsid w:val="00711D86"/>
    <w:rsid w:val="00712B33"/>
    <w:rsid w:val="0071419B"/>
    <w:rsid w:val="00716AB5"/>
    <w:rsid w:val="007179F9"/>
    <w:rsid w:val="0072048D"/>
    <w:rsid w:val="0072167F"/>
    <w:rsid w:val="007219DD"/>
    <w:rsid w:val="0072203F"/>
    <w:rsid w:val="00722521"/>
    <w:rsid w:val="00722630"/>
    <w:rsid w:val="007226C6"/>
    <w:rsid w:val="0072276D"/>
    <w:rsid w:val="00723B7A"/>
    <w:rsid w:val="00724916"/>
    <w:rsid w:val="0072578F"/>
    <w:rsid w:val="00725A74"/>
    <w:rsid w:val="00725DD3"/>
    <w:rsid w:val="00726FF0"/>
    <w:rsid w:val="007272C0"/>
    <w:rsid w:val="007277F0"/>
    <w:rsid w:val="00727B88"/>
    <w:rsid w:val="00727CBC"/>
    <w:rsid w:val="007305F0"/>
    <w:rsid w:val="00730B01"/>
    <w:rsid w:val="00730B68"/>
    <w:rsid w:val="00730B7A"/>
    <w:rsid w:val="0073143C"/>
    <w:rsid w:val="0073166C"/>
    <w:rsid w:val="0073223B"/>
    <w:rsid w:val="0073229E"/>
    <w:rsid w:val="00732416"/>
    <w:rsid w:val="00732633"/>
    <w:rsid w:val="007330F7"/>
    <w:rsid w:val="00733B37"/>
    <w:rsid w:val="00734103"/>
    <w:rsid w:val="007342B6"/>
    <w:rsid w:val="00734D91"/>
    <w:rsid w:val="00734EB2"/>
    <w:rsid w:val="00735575"/>
    <w:rsid w:val="00735789"/>
    <w:rsid w:val="0073580E"/>
    <w:rsid w:val="00735BA0"/>
    <w:rsid w:val="00736617"/>
    <w:rsid w:val="0073778D"/>
    <w:rsid w:val="007400D5"/>
    <w:rsid w:val="00740195"/>
    <w:rsid w:val="007417D1"/>
    <w:rsid w:val="007420AA"/>
    <w:rsid w:val="0074372B"/>
    <w:rsid w:val="00743988"/>
    <w:rsid w:val="0074408F"/>
    <w:rsid w:val="007448E6"/>
    <w:rsid w:val="00744E37"/>
    <w:rsid w:val="00745632"/>
    <w:rsid w:val="007459F9"/>
    <w:rsid w:val="007468BA"/>
    <w:rsid w:val="007469C4"/>
    <w:rsid w:val="007471C0"/>
    <w:rsid w:val="0074724E"/>
    <w:rsid w:val="00747D5C"/>
    <w:rsid w:val="0075021C"/>
    <w:rsid w:val="00751F23"/>
    <w:rsid w:val="00752125"/>
    <w:rsid w:val="00752574"/>
    <w:rsid w:val="007532D6"/>
    <w:rsid w:val="00753505"/>
    <w:rsid w:val="00753C48"/>
    <w:rsid w:val="00753F6A"/>
    <w:rsid w:val="00755B42"/>
    <w:rsid w:val="00755B81"/>
    <w:rsid w:val="007564EF"/>
    <w:rsid w:val="00756920"/>
    <w:rsid w:val="00756D27"/>
    <w:rsid w:val="007573D3"/>
    <w:rsid w:val="00757B51"/>
    <w:rsid w:val="007616AC"/>
    <w:rsid w:val="0076230F"/>
    <w:rsid w:val="00762CCC"/>
    <w:rsid w:val="0076338B"/>
    <w:rsid w:val="0076352D"/>
    <w:rsid w:val="007635DB"/>
    <w:rsid w:val="00763B08"/>
    <w:rsid w:val="00765046"/>
    <w:rsid w:val="00765436"/>
    <w:rsid w:val="00765C51"/>
    <w:rsid w:val="00765D9E"/>
    <w:rsid w:val="007661C4"/>
    <w:rsid w:val="00766377"/>
    <w:rsid w:val="007669CF"/>
    <w:rsid w:val="00766ABE"/>
    <w:rsid w:val="00766CF1"/>
    <w:rsid w:val="00767EB7"/>
    <w:rsid w:val="0077040B"/>
    <w:rsid w:val="007707C3"/>
    <w:rsid w:val="00771550"/>
    <w:rsid w:val="00771C90"/>
    <w:rsid w:val="0077267C"/>
    <w:rsid w:val="00772CEC"/>
    <w:rsid w:val="0077329B"/>
    <w:rsid w:val="00773F6E"/>
    <w:rsid w:val="0077442B"/>
    <w:rsid w:val="0077586C"/>
    <w:rsid w:val="0077588A"/>
    <w:rsid w:val="007773DB"/>
    <w:rsid w:val="00777486"/>
    <w:rsid w:val="00777DD9"/>
    <w:rsid w:val="00780253"/>
    <w:rsid w:val="00780329"/>
    <w:rsid w:val="007806BE"/>
    <w:rsid w:val="00780708"/>
    <w:rsid w:val="00780D9B"/>
    <w:rsid w:val="00781719"/>
    <w:rsid w:val="00781D79"/>
    <w:rsid w:val="00782D37"/>
    <w:rsid w:val="00783630"/>
    <w:rsid w:val="0078380A"/>
    <w:rsid w:val="00783ECA"/>
    <w:rsid w:val="0078447D"/>
    <w:rsid w:val="007847F9"/>
    <w:rsid w:val="00786AAF"/>
    <w:rsid w:val="0078791E"/>
    <w:rsid w:val="00787F66"/>
    <w:rsid w:val="00790BBE"/>
    <w:rsid w:val="00790C0A"/>
    <w:rsid w:val="00791D03"/>
    <w:rsid w:val="007935D3"/>
    <w:rsid w:val="007937A7"/>
    <w:rsid w:val="00794551"/>
    <w:rsid w:val="00794C9E"/>
    <w:rsid w:val="00795596"/>
    <w:rsid w:val="00796199"/>
    <w:rsid w:val="00796651"/>
    <w:rsid w:val="00797017"/>
    <w:rsid w:val="0079729E"/>
    <w:rsid w:val="007975B6"/>
    <w:rsid w:val="007A0025"/>
    <w:rsid w:val="007A08F5"/>
    <w:rsid w:val="007A0F55"/>
    <w:rsid w:val="007A299A"/>
    <w:rsid w:val="007A3428"/>
    <w:rsid w:val="007A3598"/>
    <w:rsid w:val="007A3D9A"/>
    <w:rsid w:val="007A4350"/>
    <w:rsid w:val="007A5226"/>
    <w:rsid w:val="007A5A19"/>
    <w:rsid w:val="007A5E3D"/>
    <w:rsid w:val="007B0BF9"/>
    <w:rsid w:val="007B21DC"/>
    <w:rsid w:val="007B3299"/>
    <w:rsid w:val="007B3FD4"/>
    <w:rsid w:val="007B420D"/>
    <w:rsid w:val="007B4858"/>
    <w:rsid w:val="007B4BFB"/>
    <w:rsid w:val="007B5370"/>
    <w:rsid w:val="007B541E"/>
    <w:rsid w:val="007B5458"/>
    <w:rsid w:val="007B613A"/>
    <w:rsid w:val="007B63E2"/>
    <w:rsid w:val="007B680E"/>
    <w:rsid w:val="007B6B5D"/>
    <w:rsid w:val="007B79CC"/>
    <w:rsid w:val="007B7F0A"/>
    <w:rsid w:val="007C0B36"/>
    <w:rsid w:val="007C0B4C"/>
    <w:rsid w:val="007C1806"/>
    <w:rsid w:val="007C18F2"/>
    <w:rsid w:val="007C1A85"/>
    <w:rsid w:val="007C2056"/>
    <w:rsid w:val="007C223B"/>
    <w:rsid w:val="007C3706"/>
    <w:rsid w:val="007C38A4"/>
    <w:rsid w:val="007C45AA"/>
    <w:rsid w:val="007C45EC"/>
    <w:rsid w:val="007C4E00"/>
    <w:rsid w:val="007C5698"/>
    <w:rsid w:val="007C5754"/>
    <w:rsid w:val="007C582A"/>
    <w:rsid w:val="007C65C1"/>
    <w:rsid w:val="007C7178"/>
    <w:rsid w:val="007D0283"/>
    <w:rsid w:val="007D0FDB"/>
    <w:rsid w:val="007D1125"/>
    <w:rsid w:val="007D15EE"/>
    <w:rsid w:val="007D29D2"/>
    <w:rsid w:val="007D2AF4"/>
    <w:rsid w:val="007D30F9"/>
    <w:rsid w:val="007D501E"/>
    <w:rsid w:val="007D5CF3"/>
    <w:rsid w:val="007D5D51"/>
    <w:rsid w:val="007D71E4"/>
    <w:rsid w:val="007D72D0"/>
    <w:rsid w:val="007D7422"/>
    <w:rsid w:val="007D794F"/>
    <w:rsid w:val="007E00C4"/>
    <w:rsid w:val="007E065B"/>
    <w:rsid w:val="007E1682"/>
    <w:rsid w:val="007E1B9E"/>
    <w:rsid w:val="007E1C79"/>
    <w:rsid w:val="007E1DBE"/>
    <w:rsid w:val="007E1E75"/>
    <w:rsid w:val="007E2CA4"/>
    <w:rsid w:val="007E308C"/>
    <w:rsid w:val="007E312C"/>
    <w:rsid w:val="007E3152"/>
    <w:rsid w:val="007E38E0"/>
    <w:rsid w:val="007E3AA4"/>
    <w:rsid w:val="007E3B00"/>
    <w:rsid w:val="007E4879"/>
    <w:rsid w:val="007E5A13"/>
    <w:rsid w:val="007E5AA6"/>
    <w:rsid w:val="007E5AA9"/>
    <w:rsid w:val="007E690D"/>
    <w:rsid w:val="007E7474"/>
    <w:rsid w:val="007E750B"/>
    <w:rsid w:val="007F0D52"/>
    <w:rsid w:val="007F1250"/>
    <w:rsid w:val="007F156A"/>
    <w:rsid w:val="007F199C"/>
    <w:rsid w:val="007F23BF"/>
    <w:rsid w:val="007F4299"/>
    <w:rsid w:val="007F456D"/>
    <w:rsid w:val="007F539D"/>
    <w:rsid w:val="007F5CC8"/>
    <w:rsid w:val="007F5D47"/>
    <w:rsid w:val="007F6377"/>
    <w:rsid w:val="007F64C6"/>
    <w:rsid w:val="007F67B1"/>
    <w:rsid w:val="007F6F62"/>
    <w:rsid w:val="007F792B"/>
    <w:rsid w:val="007F7B88"/>
    <w:rsid w:val="008010F9"/>
    <w:rsid w:val="008012A6"/>
    <w:rsid w:val="008019A7"/>
    <w:rsid w:val="00801ECF"/>
    <w:rsid w:val="00801EFE"/>
    <w:rsid w:val="008028CF"/>
    <w:rsid w:val="008035D0"/>
    <w:rsid w:val="00803827"/>
    <w:rsid w:val="00803A1C"/>
    <w:rsid w:val="00804593"/>
    <w:rsid w:val="00804A42"/>
    <w:rsid w:val="0080540A"/>
    <w:rsid w:val="0080604F"/>
    <w:rsid w:val="008062B2"/>
    <w:rsid w:val="00807B34"/>
    <w:rsid w:val="00807F35"/>
    <w:rsid w:val="00810BD3"/>
    <w:rsid w:val="008111DA"/>
    <w:rsid w:val="00811706"/>
    <w:rsid w:val="0081203F"/>
    <w:rsid w:val="008127B9"/>
    <w:rsid w:val="00812D22"/>
    <w:rsid w:val="0081559C"/>
    <w:rsid w:val="00815F58"/>
    <w:rsid w:val="008162EC"/>
    <w:rsid w:val="0081630A"/>
    <w:rsid w:val="00816477"/>
    <w:rsid w:val="00816B7B"/>
    <w:rsid w:val="008171D0"/>
    <w:rsid w:val="008176B3"/>
    <w:rsid w:val="008209F2"/>
    <w:rsid w:val="00821044"/>
    <w:rsid w:val="0082197B"/>
    <w:rsid w:val="0082254D"/>
    <w:rsid w:val="008242BC"/>
    <w:rsid w:val="00824D21"/>
    <w:rsid w:val="00824D68"/>
    <w:rsid w:val="00824FC5"/>
    <w:rsid w:val="00825C7B"/>
    <w:rsid w:val="00825DD7"/>
    <w:rsid w:val="00826D83"/>
    <w:rsid w:val="00826E9D"/>
    <w:rsid w:val="008278D1"/>
    <w:rsid w:val="008301FB"/>
    <w:rsid w:val="00830584"/>
    <w:rsid w:val="00830A8E"/>
    <w:rsid w:val="00830DF7"/>
    <w:rsid w:val="008318DC"/>
    <w:rsid w:val="00831C45"/>
    <w:rsid w:val="00831D55"/>
    <w:rsid w:val="0083306D"/>
    <w:rsid w:val="008332BB"/>
    <w:rsid w:val="00834946"/>
    <w:rsid w:val="0083547D"/>
    <w:rsid w:val="00835C28"/>
    <w:rsid w:val="008361CB"/>
    <w:rsid w:val="00836E91"/>
    <w:rsid w:val="0084060A"/>
    <w:rsid w:val="008408BB"/>
    <w:rsid w:val="00840A13"/>
    <w:rsid w:val="00840F20"/>
    <w:rsid w:val="00841049"/>
    <w:rsid w:val="00841C51"/>
    <w:rsid w:val="00841E52"/>
    <w:rsid w:val="00841F0A"/>
    <w:rsid w:val="0084214B"/>
    <w:rsid w:val="0084349B"/>
    <w:rsid w:val="008442FA"/>
    <w:rsid w:val="00844432"/>
    <w:rsid w:val="0084497B"/>
    <w:rsid w:val="0084514A"/>
    <w:rsid w:val="008452AC"/>
    <w:rsid w:val="008453D4"/>
    <w:rsid w:val="00845A31"/>
    <w:rsid w:val="00846877"/>
    <w:rsid w:val="00846FA0"/>
    <w:rsid w:val="008473AF"/>
    <w:rsid w:val="00847F54"/>
    <w:rsid w:val="00850E40"/>
    <w:rsid w:val="00850EA8"/>
    <w:rsid w:val="008515CD"/>
    <w:rsid w:val="00851DD9"/>
    <w:rsid w:val="0085299F"/>
    <w:rsid w:val="00853517"/>
    <w:rsid w:val="00853C03"/>
    <w:rsid w:val="0085500D"/>
    <w:rsid w:val="008550A3"/>
    <w:rsid w:val="008552A2"/>
    <w:rsid w:val="008553CA"/>
    <w:rsid w:val="0085579D"/>
    <w:rsid w:val="00855C69"/>
    <w:rsid w:val="00856768"/>
    <w:rsid w:val="00856B42"/>
    <w:rsid w:val="00857B0E"/>
    <w:rsid w:val="00860B94"/>
    <w:rsid w:val="00860D1A"/>
    <w:rsid w:val="00861F4C"/>
    <w:rsid w:val="00862C35"/>
    <w:rsid w:val="00862D32"/>
    <w:rsid w:val="00863305"/>
    <w:rsid w:val="00863B33"/>
    <w:rsid w:val="008640B5"/>
    <w:rsid w:val="00864E7B"/>
    <w:rsid w:val="00864EDA"/>
    <w:rsid w:val="00865F30"/>
    <w:rsid w:val="00866B29"/>
    <w:rsid w:val="00866C65"/>
    <w:rsid w:val="008672F8"/>
    <w:rsid w:val="00867452"/>
    <w:rsid w:val="00867746"/>
    <w:rsid w:val="008679B8"/>
    <w:rsid w:val="00867DF4"/>
    <w:rsid w:val="008704EB"/>
    <w:rsid w:val="00870BD8"/>
    <w:rsid w:val="00870D04"/>
    <w:rsid w:val="00870DDB"/>
    <w:rsid w:val="008711C2"/>
    <w:rsid w:val="00871DA0"/>
    <w:rsid w:val="0087354A"/>
    <w:rsid w:val="008743DB"/>
    <w:rsid w:val="00874544"/>
    <w:rsid w:val="0087544C"/>
    <w:rsid w:val="00875495"/>
    <w:rsid w:val="0087598D"/>
    <w:rsid w:val="00875CD3"/>
    <w:rsid w:val="00875E8A"/>
    <w:rsid w:val="00876131"/>
    <w:rsid w:val="008764E2"/>
    <w:rsid w:val="008767BC"/>
    <w:rsid w:val="00876892"/>
    <w:rsid w:val="008770B7"/>
    <w:rsid w:val="0087775B"/>
    <w:rsid w:val="00877B8B"/>
    <w:rsid w:val="00880470"/>
    <w:rsid w:val="00880B5A"/>
    <w:rsid w:val="00880CC5"/>
    <w:rsid w:val="00881A4D"/>
    <w:rsid w:val="00881DBA"/>
    <w:rsid w:val="00882126"/>
    <w:rsid w:val="00882BFC"/>
    <w:rsid w:val="00882EA8"/>
    <w:rsid w:val="008830B2"/>
    <w:rsid w:val="0088391D"/>
    <w:rsid w:val="00883C5F"/>
    <w:rsid w:val="008842E3"/>
    <w:rsid w:val="00884786"/>
    <w:rsid w:val="008847E8"/>
    <w:rsid w:val="00885686"/>
    <w:rsid w:val="00886DA5"/>
    <w:rsid w:val="00886F3D"/>
    <w:rsid w:val="0088798C"/>
    <w:rsid w:val="0089092C"/>
    <w:rsid w:val="008910DE"/>
    <w:rsid w:val="008912A9"/>
    <w:rsid w:val="0089195C"/>
    <w:rsid w:val="00892011"/>
    <w:rsid w:val="0089377D"/>
    <w:rsid w:val="00894558"/>
    <w:rsid w:val="00894D91"/>
    <w:rsid w:val="00896481"/>
    <w:rsid w:val="0089683F"/>
    <w:rsid w:val="008974A4"/>
    <w:rsid w:val="00897520"/>
    <w:rsid w:val="00897587"/>
    <w:rsid w:val="0089769F"/>
    <w:rsid w:val="008A0D95"/>
    <w:rsid w:val="008A2649"/>
    <w:rsid w:val="008A2679"/>
    <w:rsid w:val="008A3104"/>
    <w:rsid w:val="008A3987"/>
    <w:rsid w:val="008A39E0"/>
    <w:rsid w:val="008A43A1"/>
    <w:rsid w:val="008A4BF0"/>
    <w:rsid w:val="008A529E"/>
    <w:rsid w:val="008A5EE3"/>
    <w:rsid w:val="008A6A02"/>
    <w:rsid w:val="008A6D54"/>
    <w:rsid w:val="008A72A2"/>
    <w:rsid w:val="008A7A44"/>
    <w:rsid w:val="008A7A78"/>
    <w:rsid w:val="008B0281"/>
    <w:rsid w:val="008B1367"/>
    <w:rsid w:val="008B1994"/>
    <w:rsid w:val="008B3CCC"/>
    <w:rsid w:val="008B4246"/>
    <w:rsid w:val="008B48FB"/>
    <w:rsid w:val="008B4AC0"/>
    <w:rsid w:val="008B5631"/>
    <w:rsid w:val="008B5962"/>
    <w:rsid w:val="008B67AC"/>
    <w:rsid w:val="008B6D69"/>
    <w:rsid w:val="008B6E4E"/>
    <w:rsid w:val="008B74E3"/>
    <w:rsid w:val="008B7A7D"/>
    <w:rsid w:val="008B7DDB"/>
    <w:rsid w:val="008C0923"/>
    <w:rsid w:val="008C1243"/>
    <w:rsid w:val="008C1689"/>
    <w:rsid w:val="008C16DB"/>
    <w:rsid w:val="008C1A82"/>
    <w:rsid w:val="008C31CE"/>
    <w:rsid w:val="008C324C"/>
    <w:rsid w:val="008C3A43"/>
    <w:rsid w:val="008C3E8A"/>
    <w:rsid w:val="008C479E"/>
    <w:rsid w:val="008C4801"/>
    <w:rsid w:val="008C4AC3"/>
    <w:rsid w:val="008C4D70"/>
    <w:rsid w:val="008C4E05"/>
    <w:rsid w:val="008C4E69"/>
    <w:rsid w:val="008C55CE"/>
    <w:rsid w:val="008C640E"/>
    <w:rsid w:val="008C69DB"/>
    <w:rsid w:val="008C6B4B"/>
    <w:rsid w:val="008C6ECE"/>
    <w:rsid w:val="008C7026"/>
    <w:rsid w:val="008C7281"/>
    <w:rsid w:val="008C78D0"/>
    <w:rsid w:val="008C7B6A"/>
    <w:rsid w:val="008C7CD1"/>
    <w:rsid w:val="008D03AA"/>
    <w:rsid w:val="008D046E"/>
    <w:rsid w:val="008D075B"/>
    <w:rsid w:val="008D0D92"/>
    <w:rsid w:val="008D0FA5"/>
    <w:rsid w:val="008D1105"/>
    <w:rsid w:val="008D1B9B"/>
    <w:rsid w:val="008D1F52"/>
    <w:rsid w:val="008D30B6"/>
    <w:rsid w:val="008D3372"/>
    <w:rsid w:val="008D39FB"/>
    <w:rsid w:val="008D3B81"/>
    <w:rsid w:val="008D3B84"/>
    <w:rsid w:val="008D3C3B"/>
    <w:rsid w:val="008D4310"/>
    <w:rsid w:val="008D4B18"/>
    <w:rsid w:val="008D565E"/>
    <w:rsid w:val="008D5720"/>
    <w:rsid w:val="008D601C"/>
    <w:rsid w:val="008D62FF"/>
    <w:rsid w:val="008D6CE6"/>
    <w:rsid w:val="008D7387"/>
    <w:rsid w:val="008D7EFD"/>
    <w:rsid w:val="008E092F"/>
    <w:rsid w:val="008E1FB5"/>
    <w:rsid w:val="008E2249"/>
    <w:rsid w:val="008E2967"/>
    <w:rsid w:val="008E327A"/>
    <w:rsid w:val="008E3823"/>
    <w:rsid w:val="008E39CD"/>
    <w:rsid w:val="008E3D47"/>
    <w:rsid w:val="008E3D86"/>
    <w:rsid w:val="008E3F31"/>
    <w:rsid w:val="008E54A5"/>
    <w:rsid w:val="008E5D46"/>
    <w:rsid w:val="008E5E2B"/>
    <w:rsid w:val="008E6135"/>
    <w:rsid w:val="008E634D"/>
    <w:rsid w:val="008E6E81"/>
    <w:rsid w:val="008E7B14"/>
    <w:rsid w:val="008F0B54"/>
    <w:rsid w:val="008F1692"/>
    <w:rsid w:val="008F1CBC"/>
    <w:rsid w:val="008F290B"/>
    <w:rsid w:val="008F2CFD"/>
    <w:rsid w:val="008F2E93"/>
    <w:rsid w:val="008F39E7"/>
    <w:rsid w:val="008F3A37"/>
    <w:rsid w:val="008F3B9E"/>
    <w:rsid w:val="008F3EA0"/>
    <w:rsid w:val="008F40B4"/>
    <w:rsid w:val="008F48F4"/>
    <w:rsid w:val="008F5F23"/>
    <w:rsid w:val="008F65FC"/>
    <w:rsid w:val="008F6A14"/>
    <w:rsid w:val="0090075A"/>
    <w:rsid w:val="00901091"/>
    <w:rsid w:val="0090182E"/>
    <w:rsid w:val="009018B6"/>
    <w:rsid w:val="00901DAA"/>
    <w:rsid w:val="0090255D"/>
    <w:rsid w:val="00902AB8"/>
    <w:rsid w:val="00904068"/>
    <w:rsid w:val="0090452F"/>
    <w:rsid w:val="0090464B"/>
    <w:rsid w:val="00904919"/>
    <w:rsid w:val="0090551E"/>
    <w:rsid w:val="0090570C"/>
    <w:rsid w:val="00905FEA"/>
    <w:rsid w:val="00906151"/>
    <w:rsid w:val="00906E13"/>
    <w:rsid w:val="00907033"/>
    <w:rsid w:val="009075A6"/>
    <w:rsid w:val="0090761D"/>
    <w:rsid w:val="00910569"/>
    <w:rsid w:val="00911A46"/>
    <w:rsid w:val="00911EF2"/>
    <w:rsid w:val="0091309C"/>
    <w:rsid w:val="00913124"/>
    <w:rsid w:val="009135F5"/>
    <w:rsid w:val="009138BB"/>
    <w:rsid w:val="00913A13"/>
    <w:rsid w:val="00913B77"/>
    <w:rsid w:val="00914356"/>
    <w:rsid w:val="00914C87"/>
    <w:rsid w:val="00915080"/>
    <w:rsid w:val="009155C9"/>
    <w:rsid w:val="00915FF3"/>
    <w:rsid w:val="009161E0"/>
    <w:rsid w:val="00916A09"/>
    <w:rsid w:val="00916CC5"/>
    <w:rsid w:val="00916F0C"/>
    <w:rsid w:val="009172B5"/>
    <w:rsid w:val="00917601"/>
    <w:rsid w:val="00920853"/>
    <w:rsid w:val="00920D94"/>
    <w:rsid w:val="00922401"/>
    <w:rsid w:val="00923301"/>
    <w:rsid w:val="00923418"/>
    <w:rsid w:val="00924DED"/>
    <w:rsid w:val="00925A48"/>
    <w:rsid w:val="0092658F"/>
    <w:rsid w:val="00926F5D"/>
    <w:rsid w:val="0092700E"/>
    <w:rsid w:val="00927A17"/>
    <w:rsid w:val="00927DFE"/>
    <w:rsid w:val="00930A8E"/>
    <w:rsid w:val="00930E0D"/>
    <w:rsid w:val="00931906"/>
    <w:rsid w:val="009326AF"/>
    <w:rsid w:val="0093290F"/>
    <w:rsid w:val="0093321F"/>
    <w:rsid w:val="009333E6"/>
    <w:rsid w:val="0093350B"/>
    <w:rsid w:val="00933553"/>
    <w:rsid w:val="009345DE"/>
    <w:rsid w:val="00935314"/>
    <w:rsid w:val="0093531E"/>
    <w:rsid w:val="009357B5"/>
    <w:rsid w:val="0093598C"/>
    <w:rsid w:val="00935B8C"/>
    <w:rsid w:val="00935F1F"/>
    <w:rsid w:val="0093637F"/>
    <w:rsid w:val="00936C33"/>
    <w:rsid w:val="00936DE8"/>
    <w:rsid w:val="00937384"/>
    <w:rsid w:val="009373DE"/>
    <w:rsid w:val="009416E6"/>
    <w:rsid w:val="00941FA4"/>
    <w:rsid w:val="00942E0F"/>
    <w:rsid w:val="00942F97"/>
    <w:rsid w:val="00943443"/>
    <w:rsid w:val="00943B39"/>
    <w:rsid w:val="00943E50"/>
    <w:rsid w:val="00944248"/>
    <w:rsid w:val="00944A19"/>
    <w:rsid w:val="00944D50"/>
    <w:rsid w:val="00944FB0"/>
    <w:rsid w:val="0094533E"/>
    <w:rsid w:val="00946C00"/>
    <w:rsid w:val="00946E77"/>
    <w:rsid w:val="009501E2"/>
    <w:rsid w:val="00950CB4"/>
    <w:rsid w:val="00950EB6"/>
    <w:rsid w:val="00951284"/>
    <w:rsid w:val="0095172E"/>
    <w:rsid w:val="00952B06"/>
    <w:rsid w:val="00953F5A"/>
    <w:rsid w:val="00953FC7"/>
    <w:rsid w:val="00954039"/>
    <w:rsid w:val="00954505"/>
    <w:rsid w:val="00954CE3"/>
    <w:rsid w:val="0095513C"/>
    <w:rsid w:val="0095561E"/>
    <w:rsid w:val="00955673"/>
    <w:rsid w:val="00955BB7"/>
    <w:rsid w:val="00956AE4"/>
    <w:rsid w:val="00957C44"/>
    <w:rsid w:val="00957C98"/>
    <w:rsid w:val="00957E40"/>
    <w:rsid w:val="0096001B"/>
    <w:rsid w:val="00960672"/>
    <w:rsid w:val="00960854"/>
    <w:rsid w:val="009611AC"/>
    <w:rsid w:val="009613B0"/>
    <w:rsid w:val="00961F2C"/>
    <w:rsid w:val="0096336F"/>
    <w:rsid w:val="009635F4"/>
    <w:rsid w:val="00963C8B"/>
    <w:rsid w:val="00964240"/>
    <w:rsid w:val="00964662"/>
    <w:rsid w:val="00964A1A"/>
    <w:rsid w:val="00965B95"/>
    <w:rsid w:val="00966EB8"/>
    <w:rsid w:val="00967ABF"/>
    <w:rsid w:val="00967C22"/>
    <w:rsid w:val="00967D62"/>
    <w:rsid w:val="00967E81"/>
    <w:rsid w:val="009706DF"/>
    <w:rsid w:val="00971005"/>
    <w:rsid w:val="00972163"/>
    <w:rsid w:val="00972290"/>
    <w:rsid w:val="009727ED"/>
    <w:rsid w:val="00972BF0"/>
    <w:rsid w:val="009736AC"/>
    <w:rsid w:val="00973F25"/>
    <w:rsid w:val="009740AB"/>
    <w:rsid w:val="009741E6"/>
    <w:rsid w:val="009742BF"/>
    <w:rsid w:val="009745E5"/>
    <w:rsid w:val="00975794"/>
    <w:rsid w:val="00975817"/>
    <w:rsid w:val="00977172"/>
    <w:rsid w:val="009775D2"/>
    <w:rsid w:val="00977B2F"/>
    <w:rsid w:val="009809B6"/>
    <w:rsid w:val="00981ADF"/>
    <w:rsid w:val="00983B12"/>
    <w:rsid w:val="00984183"/>
    <w:rsid w:val="00984427"/>
    <w:rsid w:val="0098458E"/>
    <w:rsid w:val="00984598"/>
    <w:rsid w:val="009846AE"/>
    <w:rsid w:val="009853EF"/>
    <w:rsid w:val="00985C4E"/>
    <w:rsid w:val="0098612A"/>
    <w:rsid w:val="00986C05"/>
    <w:rsid w:val="00987A5D"/>
    <w:rsid w:val="00987F0C"/>
    <w:rsid w:val="00990643"/>
    <w:rsid w:val="0099174E"/>
    <w:rsid w:val="009919DE"/>
    <w:rsid w:val="00992BD9"/>
    <w:rsid w:val="009930B5"/>
    <w:rsid w:val="00993D45"/>
    <w:rsid w:val="00993FCF"/>
    <w:rsid w:val="00994CB2"/>
    <w:rsid w:val="00996830"/>
    <w:rsid w:val="009969F8"/>
    <w:rsid w:val="00997220"/>
    <w:rsid w:val="009A0C37"/>
    <w:rsid w:val="009A3010"/>
    <w:rsid w:val="009A3059"/>
    <w:rsid w:val="009A3141"/>
    <w:rsid w:val="009A3659"/>
    <w:rsid w:val="009A3FF3"/>
    <w:rsid w:val="009A4BA3"/>
    <w:rsid w:val="009A4C44"/>
    <w:rsid w:val="009A55FE"/>
    <w:rsid w:val="009A562E"/>
    <w:rsid w:val="009A5BF1"/>
    <w:rsid w:val="009A6644"/>
    <w:rsid w:val="009A693A"/>
    <w:rsid w:val="009A6B5A"/>
    <w:rsid w:val="009A7179"/>
    <w:rsid w:val="009A7E0C"/>
    <w:rsid w:val="009B0D2F"/>
    <w:rsid w:val="009B1152"/>
    <w:rsid w:val="009B25FD"/>
    <w:rsid w:val="009B3439"/>
    <w:rsid w:val="009B4124"/>
    <w:rsid w:val="009B4F2B"/>
    <w:rsid w:val="009B5447"/>
    <w:rsid w:val="009B59AD"/>
    <w:rsid w:val="009B5F87"/>
    <w:rsid w:val="009B6FC0"/>
    <w:rsid w:val="009B7C2B"/>
    <w:rsid w:val="009B7D39"/>
    <w:rsid w:val="009C03E9"/>
    <w:rsid w:val="009C1189"/>
    <w:rsid w:val="009C1497"/>
    <w:rsid w:val="009C1C61"/>
    <w:rsid w:val="009C382B"/>
    <w:rsid w:val="009C4AA3"/>
    <w:rsid w:val="009C5A06"/>
    <w:rsid w:val="009C5BEE"/>
    <w:rsid w:val="009C6242"/>
    <w:rsid w:val="009C6BED"/>
    <w:rsid w:val="009C71CE"/>
    <w:rsid w:val="009C7586"/>
    <w:rsid w:val="009C75CC"/>
    <w:rsid w:val="009C79E1"/>
    <w:rsid w:val="009C7C83"/>
    <w:rsid w:val="009D0126"/>
    <w:rsid w:val="009D1454"/>
    <w:rsid w:val="009D1C00"/>
    <w:rsid w:val="009D1CBD"/>
    <w:rsid w:val="009D2042"/>
    <w:rsid w:val="009D2DD4"/>
    <w:rsid w:val="009D3293"/>
    <w:rsid w:val="009D3452"/>
    <w:rsid w:val="009D382C"/>
    <w:rsid w:val="009D3B9B"/>
    <w:rsid w:val="009D42F2"/>
    <w:rsid w:val="009D5D3D"/>
    <w:rsid w:val="009D671B"/>
    <w:rsid w:val="009D6A61"/>
    <w:rsid w:val="009D6DD0"/>
    <w:rsid w:val="009E01E3"/>
    <w:rsid w:val="009E0FF3"/>
    <w:rsid w:val="009E1117"/>
    <w:rsid w:val="009E2786"/>
    <w:rsid w:val="009E2B21"/>
    <w:rsid w:val="009E2D89"/>
    <w:rsid w:val="009E3BC1"/>
    <w:rsid w:val="009E41C8"/>
    <w:rsid w:val="009E45CF"/>
    <w:rsid w:val="009E4611"/>
    <w:rsid w:val="009E48C7"/>
    <w:rsid w:val="009E568B"/>
    <w:rsid w:val="009E57E6"/>
    <w:rsid w:val="009E6607"/>
    <w:rsid w:val="009E6B29"/>
    <w:rsid w:val="009E771F"/>
    <w:rsid w:val="009F0A29"/>
    <w:rsid w:val="009F136D"/>
    <w:rsid w:val="009F24AB"/>
    <w:rsid w:val="009F34FD"/>
    <w:rsid w:val="009F3897"/>
    <w:rsid w:val="009F4150"/>
    <w:rsid w:val="009F48E0"/>
    <w:rsid w:val="009F64C2"/>
    <w:rsid w:val="009F742D"/>
    <w:rsid w:val="009F74CC"/>
    <w:rsid w:val="009F7A29"/>
    <w:rsid w:val="009F7D67"/>
    <w:rsid w:val="00A0068E"/>
    <w:rsid w:val="00A00FE6"/>
    <w:rsid w:val="00A01F3B"/>
    <w:rsid w:val="00A020AF"/>
    <w:rsid w:val="00A02382"/>
    <w:rsid w:val="00A02B9E"/>
    <w:rsid w:val="00A03085"/>
    <w:rsid w:val="00A03D83"/>
    <w:rsid w:val="00A04655"/>
    <w:rsid w:val="00A0643F"/>
    <w:rsid w:val="00A069C4"/>
    <w:rsid w:val="00A06CD1"/>
    <w:rsid w:val="00A06DA7"/>
    <w:rsid w:val="00A07C69"/>
    <w:rsid w:val="00A07E9B"/>
    <w:rsid w:val="00A116CF"/>
    <w:rsid w:val="00A11796"/>
    <w:rsid w:val="00A12315"/>
    <w:rsid w:val="00A13326"/>
    <w:rsid w:val="00A13329"/>
    <w:rsid w:val="00A138F0"/>
    <w:rsid w:val="00A14226"/>
    <w:rsid w:val="00A14768"/>
    <w:rsid w:val="00A148F6"/>
    <w:rsid w:val="00A14F67"/>
    <w:rsid w:val="00A15451"/>
    <w:rsid w:val="00A15D14"/>
    <w:rsid w:val="00A16051"/>
    <w:rsid w:val="00A16FEE"/>
    <w:rsid w:val="00A173C4"/>
    <w:rsid w:val="00A178E2"/>
    <w:rsid w:val="00A17BD1"/>
    <w:rsid w:val="00A21960"/>
    <w:rsid w:val="00A21AFD"/>
    <w:rsid w:val="00A21CD0"/>
    <w:rsid w:val="00A22F86"/>
    <w:rsid w:val="00A23310"/>
    <w:rsid w:val="00A23905"/>
    <w:rsid w:val="00A23E1C"/>
    <w:rsid w:val="00A24AA2"/>
    <w:rsid w:val="00A25C66"/>
    <w:rsid w:val="00A26610"/>
    <w:rsid w:val="00A26D50"/>
    <w:rsid w:val="00A26EC8"/>
    <w:rsid w:val="00A27C27"/>
    <w:rsid w:val="00A27C93"/>
    <w:rsid w:val="00A30019"/>
    <w:rsid w:val="00A30771"/>
    <w:rsid w:val="00A3084E"/>
    <w:rsid w:val="00A30AB1"/>
    <w:rsid w:val="00A30EF3"/>
    <w:rsid w:val="00A30FAE"/>
    <w:rsid w:val="00A31A17"/>
    <w:rsid w:val="00A31D70"/>
    <w:rsid w:val="00A31FF5"/>
    <w:rsid w:val="00A32B28"/>
    <w:rsid w:val="00A32D04"/>
    <w:rsid w:val="00A332F8"/>
    <w:rsid w:val="00A333F7"/>
    <w:rsid w:val="00A33FBB"/>
    <w:rsid w:val="00A343D5"/>
    <w:rsid w:val="00A347F0"/>
    <w:rsid w:val="00A348E6"/>
    <w:rsid w:val="00A36B08"/>
    <w:rsid w:val="00A36EA6"/>
    <w:rsid w:val="00A370C9"/>
    <w:rsid w:val="00A3761E"/>
    <w:rsid w:val="00A37755"/>
    <w:rsid w:val="00A40534"/>
    <w:rsid w:val="00A40D44"/>
    <w:rsid w:val="00A41438"/>
    <w:rsid w:val="00A4144C"/>
    <w:rsid w:val="00A41517"/>
    <w:rsid w:val="00A41664"/>
    <w:rsid w:val="00A41DF3"/>
    <w:rsid w:val="00A42105"/>
    <w:rsid w:val="00A42D4F"/>
    <w:rsid w:val="00A430ED"/>
    <w:rsid w:val="00A432B3"/>
    <w:rsid w:val="00A43F8E"/>
    <w:rsid w:val="00A44344"/>
    <w:rsid w:val="00A447B3"/>
    <w:rsid w:val="00A447BA"/>
    <w:rsid w:val="00A45207"/>
    <w:rsid w:val="00A45885"/>
    <w:rsid w:val="00A45AD0"/>
    <w:rsid w:val="00A46C26"/>
    <w:rsid w:val="00A509E9"/>
    <w:rsid w:val="00A50B03"/>
    <w:rsid w:val="00A50EF2"/>
    <w:rsid w:val="00A5120F"/>
    <w:rsid w:val="00A5142A"/>
    <w:rsid w:val="00A52139"/>
    <w:rsid w:val="00A5222B"/>
    <w:rsid w:val="00A52DD6"/>
    <w:rsid w:val="00A53FA2"/>
    <w:rsid w:val="00A55355"/>
    <w:rsid w:val="00A55411"/>
    <w:rsid w:val="00A575DF"/>
    <w:rsid w:val="00A60365"/>
    <w:rsid w:val="00A60789"/>
    <w:rsid w:val="00A60B99"/>
    <w:rsid w:val="00A612B0"/>
    <w:rsid w:val="00A61C71"/>
    <w:rsid w:val="00A620DA"/>
    <w:rsid w:val="00A62B42"/>
    <w:rsid w:val="00A63364"/>
    <w:rsid w:val="00A63523"/>
    <w:rsid w:val="00A64372"/>
    <w:rsid w:val="00A64409"/>
    <w:rsid w:val="00A644E7"/>
    <w:rsid w:val="00A6480D"/>
    <w:rsid w:val="00A660B3"/>
    <w:rsid w:val="00A668A4"/>
    <w:rsid w:val="00A668B6"/>
    <w:rsid w:val="00A668BF"/>
    <w:rsid w:val="00A7023E"/>
    <w:rsid w:val="00A70847"/>
    <w:rsid w:val="00A70895"/>
    <w:rsid w:val="00A70B61"/>
    <w:rsid w:val="00A7117F"/>
    <w:rsid w:val="00A711F6"/>
    <w:rsid w:val="00A723A1"/>
    <w:rsid w:val="00A72CBC"/>
    <w:rsid w:val="00A72F80"/>
    <w:rsid w:val="00A73C5F"/>
    <w:rsid w:val="00A74002"/>
    <w:rsid w:val="00A74A06"/>
    <w:rsid w:val="00A75774"/>
    <w:rsid w:val="00A758ED"/>
    <w:rsid w:val="00A75D34"/>
    <w:rsid w:val="00A76340"/>
    <w:rsid w:val="00A76F5B"/>
    <w:rsid w:val="00A770B7"/>
    <w:rsid w:val="00A771BF"/>
    <w:rsid w:val="00A7796C"/>
    <w:rsid w:val="00A77AD5"/>
    <w:rsid w:val="00A801A6"/>
    <w:rsid w:val="00A809A0"/>
    <w:rsid w:val="00A80C81"/>
    <w:rsid w:val="00A80F61"/>
    <w:rsid w:val="00A82242"/>
    <w:rsid w:val="00A826D0"/>
    <w:rsid w:val="00A82A7A"/>
    <w:rsid w:val="00A84D3F"/>
    <w:rsid w:val="00A85674"/>
    <w:rsid w:val="00A861C3"/>
    <w:rsid w:val="00A863A5"/>
    <w:rsid w:val="00A8661A"/>
    <w:rsid w:val="00A86637"/>
    <w:rsid w:val="00A869A6"/>
    <w:rsid w:val="00A9074A"/>
    <w:rsid w:val="00A90B2F"/>
    <w:rsid w:val="00A90EBE"/>
    <w:rsid w:val="00A913D7"/>
    <w:rsid w:val="00A91D50"/>
    <w:rsid w:val="00A9356E"/>
    <w:rsid w:val="00A93592"/>
    <w:rsid w:val="00A936FD"/>
    <w:rsid w:val="00A93F5A"/>
    <w:rsid w:val="00A9415B"/>
    <w:rsid w:val="00A94205"/>
    <w:rsid w:val="00A943BF"/>
    <w:rsid w:val="00A94839"/>
    <w:rsid w:val="00A94A99"/>
    <w:rsid w:val="00A94F33"/>
    <w:rsid w:val="00A9652C"/>
    <w:rsid w:val="00A970FF"/>
    <w:rsid w:val="00A97300"/>
    <w:rsid w:val="00AA02E0"/>
    <w:rsid w:val="00AA0941"/>
    <w:rsid w:val="00AA141D"/>
    <w:rsid w:val="00AA1AE2"/>
    <w:rsid w:val="00AA264D"/>
    <w:rsid w:val="00AA34F5"/>
    <w:rsid w:val="00AA3ADA"/>
    <w:rsid w:val="00AA41CE"/>
    <w:rsid w:val="00AA4346"/>
    <w:rsid w:val="00AA44D8"/>
    <w:rsid w:val="00AA4BD2"/>
    <w:rsid w:val="00AA782F"/>
    <w:rsid w:val="00AA7FDE"/>
    <w:rsid w:val="00AB124D"/>
    <w:rsid w:val="00AB1336"/>
    <w:rsid w:val="00AB1C69"/>
    <w:rsid w:val="00AB2D96"/>
    <w:rsid w:val="00AB343B"/>
    <w:rsid w:val="00AB3533"/>
    <w:rsid w:val="00AB45CC"/>
    <w:rsid w:val="00AB46FF"/>
    <w:rsid w:val="00AB4978"/>
    <w:rsid w:val="00AB4B53"/>
    <w:rsid w:val="00AB5236"/>
    <w:rsid w:val="00AB683E"/>
    <w:rsid w:val="00AB688C"/>
    <w:rsid w:val="00AB740B"/>
    <w:rsid w:val="00AB7DC5"/>
    <w:rsid w:val="00AB7EEB"/>
    <w:rsid w:val="00AC0636"/>
    <w:rsid w:val="00AC19B1"/>
    <w:rsid w:val="00AC1E04"/>
    <w:rsid w:val="00AC1FCD"/>
    <w:rsid w:val="00AC2142"/>
    <w:rsid w:val="00AC3AE0"/>
    <w:rsid w:val="00AC3C25"/>
    <w:rsid w:val="00AC3D1B"/>
    <w:rsid w:val="00AC40F4"/>
    <w:rsid w:val="00AC46C3"/>
    <w:rsid w:val="00AC4E91"/>
    <w:rsid w:val="00AC50BB"/>
    <w:rsid w:val="00AC51DD"/>
    <w:rsid w:val="00AC5B5F"/>
    <w:rsid w:val="00AC674D"/>
    <w:rsid w:val="00AC6994"/>
    <w:rsid w:val="00AD0062"/>
    <w:rsid w:val="00AD00B2"/>
    <w:rsid w:val="00AD1E48"/>
    <w:rsid w:val="00AD3590"/>
    <w:rsid w:val="00AD3756"/>
    <w:rsid w:val="00AD3947"/>
    <w:rsid w:val="00AD3B16"/>
    <w:rsid w:val="00AD3D9F"/>
    <w:rsid w:val="00AD44D9"/>
    <w:rsid w:val="00AD4F7F"/>
    <w:rsid w:val="00AD74EE"/>
    <w:rsid w:val="00AD77C2"/>
    <w:rsid w:val="00AD78EF"/>
    <w:rsid w:val="00AD7D12"/>
    <w:rsid w:val="00AD7DCA"/>
    <w:rsid w:val="00AE05AD"/>
    <w:rsid w:val="00AE1835"/>
    <w:rsid w:val="00AE18CF"/>
    <w:rsid w:val="00AE1D72"/>
    <w:rsid w:val="00AE27A6"/>
    <w:rsid w:val="00AE31E9"/>
    <w:rsid w:val="00AE35A4"/>
    <w:rsid w:val="00AE35CB"/>
    <w:rsid w:val="00AE364D"/>
    <w:rsid w:val="00AE3D1B"/>
    <w:rsid w:val="00AE4151"/>
    <w:rsid w:val="00AE5B98"/>
    <w:rsid w:val="00AE6228"/>
    <w:rsid w:val="00AE7227"/>
    <w:rsid w:val="00AE7236"/>
    <w:rsid w:val="00AE7B77"/>
    <w:rsid w:val="00AE7CE8"/>
    <w:rsid w:val="00AF05F1"/>
    <w:rsid w:val="00AF098F"/>
    <w:rsid w:val="00AF0E0C"/>
    <w:rsid w:val="00AF2861"/>
    <w:rsid w:val="00AF32B3"/>
    <w:rsid w:val="00AF5ABC"/>
    <w:rsid w:val="00AF5F4E"/>
    <w:rsid w:val="00AF616D"/>
    <w:rsid w:val="00AF6523"/>
    <w:rsid w:val="00AF65F3"/>
    <w:rsid w:val="00AF6629"/>
    <w:rsid w:val="00AF73B0"/>
    <w:rsid w:val="00AF79BA"/>
    <w:rsid w:val="00B00057"/>
    <w:rsid w:val="00B00A19"/>
    <w:rsid w:val="00B015A4"/>
    <w:rsid w:val="00B01B4B"/>
    <w:rsid w:val="00B01FB9"/>
    <w:rsid w:val="00B02449"/>
    <w:rsid w:val="00B025BE"/>
    <w:rsid w:val="00B0382D"/>
    <w:rsid w:val="00B04212"/>
    <w:rsid w:val="00B062D6"/>
    <w:rsid w:val="00B0679D"/>
    <w:rsid w:val="00B06F22"/>
    <w:rsid w:val="00B07373"/>
    <w:rsid w:val="00B106B1"/>
    <w:rsid w:val="00B108E4"/>
    <w:rsid w:val="00B10DB4"/>
    <w:rsid w:val="00B11620"/>
    <w:rsid w:val="00B12CE3"/>
    <w:rsid w:val="00B131AE"/>
    <w:rsid w:val="00B137CB"/>
    <w:rsid w:val="00B14A89"/>
    <w:rsid w:val="00B14CFC"/>
    <w:rsid w:val="00B15EA9"/>
    <w:rsid w:val="00B16519"/>
    <w:rsid w:val="00B17013"/>
    <w:rsid w:val="00B17303"/>
    <w:rsid w:val="00B17657"/>
    <w:rsid w:val="00B2058A"/>
    <w:rsid w:val="00B20D7B"/>
    <w:rsid w:val="00B215DC"/>
    <w:rsid w:val="00B22670"/>
    <w:rsid w:val="00B22D2D"/>
    <w:rsid w:val="00B236D7"/>
    <w:rsid w:val="00B23BA6"/>
    <w:rsid w:val="00B23C41"/>
    <w:rsid w:val="00B2571B"/>
    <w:rsid w:val="00B26A8B"/>
    <w:rsid w:val="00B27509"/>
    <w:rsid w:val="00B302D2"/>
    <w:rsid w:val="00B30B37"/>
    <w:rsid w:val="00B30F66"/>
    <w:rsid w:val="00B31953"/>
    <w:rsid w:val="00B31AC7"/>
    <w:rsid w:val="00B31F54"/>
    <w:rsid w:val="00B31F64"/>
    <w:rsid w:val="00B3270B"/>
    <w:rsid w:val="00B32773"/>
    <w:rsid w:val="00B33713"/>
    <w:rsid w:val="00B33722"/>
    <w:rsid w:val="00B33740"/>
    <w:rsid w:val="00B337FA"/>
    <w:rsid w:val="00B33E01"/>
    <w:rsid w:val="00B345A2"/>
    <w:rsid w:val="00B346E0"/>
    <w:rsid w:val="00B350E8"/>
    <w:rsid w:val="00B360AE"/>
    <w:rsid w:val="00B36353"/>
    <w:rsid w:val="00B36D5F"/>
    <w:rsid w:val="00B4066A"/>
    <w:rsid w:val="00B4068A"/>
    <w:rsid w:val="00B409E2"/>
    <w:rsid w:val="00B41637"/>
    <w:rsid w:val="00B41686"/>
    <w:rsid w:val="00B417AE"/>
    <w:rsid w:val="00B41C2A"/>
    <w:rsid w:val="00B41CCF"/>
    <w:rsid w:val="00B427A5"/>
    <w:rsid w:val="00B4349D"/>
    <w:rsid w:val="00B4491F"/>
    <w:rsid w:val="00B449BA"/>
    <w:rsid w:val="00B44B15"/>
    <w:rsid w:val="00B45A8B"/>
    <w:rsid w:val="00B45BC0"/>
    <w:rsid w:val="00B4659E"/>
    <w:rsid w:val="00B46B0A"/>
    <w:rsid w:val="00B46B35"/>
    <w:rsid w:val="00B47FAD"/>
    <w:rsid w:val="00B5062C"/>
    <w:rsid w:val="00B50675"/>
    <w:rsid w:val="00B50B44"/>
    <w:rsid w:val="00B51F79"/>
    <w:rsid w:val="00B52624"/>
    <w:rsid w:val="00B52D1F"/>
    <w:rsid w:val="00B531FA"/>
    <w:rsid w:val="00B53438"/>
    <w:rsid w:val="00B53E6C"/>
    <w:rsid w:val="00B53F2C"/>
    <w:rsid w:val="00B54213"/>
    <w:rsid w:val="00B543C4"/>
    <w:rsid w:val="00B547B8"/>
    <w:rsid w:val="00B54B89"/>
    <w:rsid w:val="00B5573C"/>
    <w:rsid w:val="00B56BEE"/>
    <w:rsid w:val="00B56EB5"/>
    <w:rsid w:val="00B57257"/>
    <w:rsid w:val="00B57662"/>
    <w:rsid w:val="00B57930"/>
    <w:rsid w:val="00B60D2B"/>
    <w:rsid w:val="00B613C0"/>
    <w:rsid w:val="00B61D4D"/>
    <w:rsid w:val="00B61F43"/>
    <w:rsid w:val="00B6247C"/>
    <w:rsid w:val="00B62989"/>
    <w:rsid w:val="00B62A2D"/>
    <w:rsid w:val="00B63170"/>
    <w:rsid w:val="00B63250"/>
    <w:rsid w:val="00B63EDB"/>
    <w:rsid w:val="00B64642"/>
    <w:rsid w:val="00B65893"/>
    <w:rsid w:val="00B65F25"/>
    <w:rsid w:val="00B663CA"/>
    <w:rsid w:val="00B66663"/>
    <w:rsid w:val="00B67690"/>
    <w:rsid w:val="00B676D6"/>
    <w:rsid w:val="00B67C36"/>
    <w:rsid w:val="00B7088A"/>
    <w:rsid w:val="00B717DF"/>
    <w:rsid w:val="00B719A5"/>
    <w:rsid w:val="00B71DDC"/>
    <w:rsid w:val="00B71EF4"/>
    <w:rsid w:val="00B724FF"/>
    <w:rsid w:val="00B730D8"/>
    <w:rsid w:val="00B73D18"/>
    <w:rsid w:val="00B7476E"/>
    <w:rsid w:val="00B748BD"/>
    <w:rsid w:val="00B74F4D"/>
    <w:rsid w:val="00B75080"/>
    <w:rsid w:val="00B752D8"/>
    <w:rsid w:val="00B766F9"/>
    <w:rsid w:val="00B76AD0"/>
    <w:rsid w:val="00B7719F"/>
    <w:rsid w:val="00B77C4D"/>
    <w:rsid w:val="00B77CD5"/>
    <w:rsid w:val="00B77F88"/>
    <w:rsid w:val="00B80668"/>
    <w:rsid w:val="00B80A70"/>
    <w:rsid w:val="00B810E5"/>
    <w:rsid w:val="00B81D5B"/>
    <w:rsid w:val="00B81F28"/>
    <w:rsid w:val="00B82377"/>
    <w:rsid w:val="00B82878"/>
    <w:rsid w:val="00B82C45"/>
    <w:rsid w:val="00B8360C"/>
    <w:rsid w:val="00B837F2"/>
    <w:rsid w:val="00B83F7D"/>
    <w:rsid w:val="00B84441"/>
    <w:rsid w:val="00B84642"/>
    <w:rsid w:val="00B84965"/>
    <w:rsid w:val="00B850EC"/>
    <w:rsid w:val="00B85FF5"/>
    <w:rsid w:val="00B87A07"/>
    <w:rsid w:val="00B902E7"/>
    <w:rsid w:val="00B910C3"/>
    <w:rsid w:val="00B91759"/>
    <w:rsid w:val="00B91CA6"/>
    <w:rsid w:val="00B922FC"/>
    <w:rsid w:val="00B92773"/>
    <w:rsid w:val="00B92F2F"/>
    <w:rsid w:val="00B93136"/>
    <w:rsid w:val="00B93458"/>
    <w:rsid w:val="00B94677"/>
    <w:rsid w:val="00B94770"/>
    <w:rsid w:val="00B948B9"/>
    <w:rsid w:val="00B951A0"/>
    <w:rsid w:val="00B95929"/>
    <w:rsid w:val="00B96AFD"/>
    <w:rsid w:val="00B970D0"/>
    <w:rsid w:val="00B972C4"/>
    <w:rsid w:val="00B97702"/>
    <w:rsid w:val="00B97B10"/>
    <w:rsid w:val="00B97E8F"/>
    <w:rsid w:val="00BA0596"/>
    <w:rsid w:val="00BA0AE1"/>
    <w:rsid w:val="00BA0B57"/>
    <w:rsid w:val="00BA1411"/>
    <w:rsid w:val="00BA1486"/>
    <w:rsid w:val="00BA1F4A"/>
    <w:rsid w:val="00BA2D65"/>
    <w:rsid w:val="00BA2E46"/>
    <w:rsid w:val="00BA3B29"/>
    <w:rsid w:val="00BA3EBF"/>
    <w:rsid w:val="00BA44DE"/>
    <w:rsid w:val="00BA552F"/>
    <w:rsid w:val="00BA5726"/>
    <w:rsid w:val="00BA5E56"/>
    <w:rsid w:val="00BA6308"/>
    <w:rsid w:val="00BA6AEF"/>
    <w:rsid w:val="00BA6C9D"/>
    <w:rsid w:val="00BA6F05"/>
    <w:rsid w:val="00BA7976"/>
    <w:rsid w:val="00BA7A31"/>
    <w:rsid w:val="00BA7E26"/>
    <w:rsid w:val="00BA7F88"/>
    <w:rsid w:val="00BB08FF"/>
    <w:rsid w:val="00BB0AB5"/>
    <w:rsid w:val="00BB0C26"/>
    <w:rsid w:val="00BB132B"/>
    <w:rsid w:val="00BB2736"/>
    <w:rsid w:val="00BB29A7"/>
    <w:rsid w:val="00BB3581"/>
    <w:rsid w:val="00BB36E5"/>
    <w:rsid w:val="00BB3718"/>
    <w:rsid w:val="00BB4989"/>
    <w:rsid w:val="00BB541E"/>
    <w:rsid w:val="00BB559C"/>
    <w:rsid w:val="00BB596F"/>
    <w:rsid w:val="00BB5A8C"/>
    <w:rsid w:val="00BB61ED"/>
    <w:rsid w:val="00BB718E"/>
    <w:rsid w:val="00BB74BC"/>
    <w:rsid w:val="00BB7899"/>
    <w:rsid w:val="00BB7CCF"/>
    <w:rsid w:val="00BC0697"/>
    <w:rsid w:val="00BC18AE"/>
    <w:rsid w:val="00BC1FBB"/>
    <w:rsid w:val="00BC22F1"/>
    <w:rsid w:val="00BC2555"/>
    <w:rsid w:val="00BC29E8"/>
    <w:rsid w:val="00BC2F64"/>
    <w:rsid w:val="00BC318D"/>
    <w:rsid w:val="00BC38B7"/>
    <w:rsid w:val="00BC4A84"/>
    <w:rsid w:val="00BC5AF9"/>
    <w:rsid w:val="00BC60A6"/>
    <w:rsid w:val="00BC61E5"/>
    <w:rsid w:val="00BC7569"/>
    <w:rsid w:val="00BC799A"/>
    <w:rsid w:val="00BC7A11"/>
    <w:rsid w:val="00BD04AE"/>
    <w:rsid w:val="00BD08A4"/>
    <w:rsid w:val="00BD0FBE"/>
    <w:rsid w:val="00BD18C8"/>
    <w:rsid w:val="00BD1AC1"/>
    <w:rsid w:val="00BD263A"/>
    <w:rsid w:val="00BD346D"/>
    <w:rsid w:val="00BD3C24"/>
    <w:rsid w:val="00BD3D73"/>
    <w:rsid w:val="00BD3DAE"/>
    <w:rsid w:val="00BD46FE"/>
    <w:rsid w:val="00BD490D"/>
    <w:rsid w:val="00BD5746"/>
    <w:rsid w:val="00BD6AF7"/>
    <w:rsid w:val="00BD7AA8"/>
    <w:rsid w:val="00BD7CD4"/>
    <w:rsid w:val="00BE0181"/>
    <w:rsid w:val="00BE1177"/>
    <w:rsid w:val="00BE1F8B"/>
    <w:rsid w:val="00BE21CD"/>
    <w:rsid w:val="00BE2BAE"/>
    <w:rsid w:val="00BE2C35"/>
    <w:rsid w:val="00BE322B"/>
    <w:rsid w:val="00BE4179"/>
    <w:rsid w:val="00BE49D0"/>
    <w:rsid w:val="00BE4DD7"/>
    <w:rsid w:val="00BE64EB"/>
    <w:rsid w:val="00BE750A"/>
    <w:rsid w:val="00BF0586"/>
    <w:rsid w:val="00BF0741"/>
    <w:rsid w:val="00BF28B9"/>
    <w:rsid w:val="00BF29E8"/>
    <w:rsid w:val="00BF2D6A"/>
    <w:rsid w:val="00BF3A86"/>
    <w:rsid w:val="00BF40F5"/>
    <w:rsid w:val="00BF44DD"/>
    <w:rsid w:val="00BF4978"/>
    <w:rsid w:val="00BF589C"/>
    <w:rsid w:val="00BF59F7"/>
    <w:rsid w:val="00BF60B0"/>
    <w:rsid w:val="00BF6AA6"/>
    <w:rsid w:val="00BF6B46"/>
    <w:rsid w:val="00BF6E24"/>
    <w:rsid w:val="00BF7113"/>
    <w:rsid w:val="00BF7773"/>
    <w:rsid w:val="00C00C14"/>
    <w:rsid w:val="00C00F95"/>
    <w:rsid w:val="00C017BA"/>
    <w:rsid w:val="00C031B7"/>
    <w:rsid w:val="00C037B3"/>
    <w:rsid w:val="00C040C5"/>
    <w:rsid w:val="00C043C5"/>
    <w:rsid w:val="00C0477D"/>
    <w:rsid w:val="00C0480D"/>
    <w:rsid w:val="00C04FD6"/>
    <w:rsid w:val="00C05E5C"/>
    <w:rsid w:val="00C06103"/>
    <w:rsid w:val="00C06AB2"/>
    <w:rsid w:val="00C06FD9"/>
    <w:rsid w:val="00C074FB"/>
    <w:rsid w:val="00C07634"/>
    <w:rsid w:val="00C07DB3"/>
    <w:rsid w:val="00C07E9B"/>
    <w:rsid w:val="00C1096B"/>
    <w:rsid w:val="00C11B7E"/>
    <w:rsid w:val="00C12CC2"/>
    <w:rsid w:val="00C13113"/>
    <w:rsid w:val="00C13B8B"/>
    <w:rsid w:val="00C13E29"/>
    <w:rsid w:val="00C13F3E"/>
    <w:rsid w:val="00C14733"/>
    <w:rsid w:val="00C14931"/>
    <w:rsid w:val="00C14D60"/>
    <w:rsid w:val="00C14E4A"/>
    <w:rsid w:val="00C15710"/>
    <w:rsid w:val="00C16A4A"/>
    <w:rsid w:val="00C16A93"/>
    <w:rsid w:val="00C16C0F"/>
    <w:rsid w:val="00C16D02"/>
    <w:rsid w:val="00C17B10"/>
    <w:rsid w:val="00C17F78"/>
    <w:rsid w:val="00C217CF"/>
    <w:rsid w:val="00C22DF8"/>
    <w:rsid w:val="00C23090"/>
    <w:rsid w:val="00C23437"/>
    <w:rsid w:val="00C23AE7"/>
    <w:rsid w:val="00C25510"/>
    <w:rsid w:val="00C2565A"/>
    <w:rsid w:val="00C257A8"/>
    <w:rsid w:val="00C25B22"/>
    <w:rsid w:val="00C25E82"/>
    <w:rsid w:val="00C26129"/>
    <w:rsid w:val="00C261DF"/>
    <w:rsid w:val="00C26664"/>
    <w:rsid w:val="00C26D7F"/>
    <w:rsid w:val="00C3028C"/>
    <w:rsid w:val="00C30759"/>
    <w:rsid w:val="00C31600"/>
    <w:rsid w:val="00C318EA"/>
    <w:rsid w:val="00C31BF6"/>
    <w:rsid w:val="00C31E16"/>
    <w:rsid w:val="00C31EC5"/>
    <w:rsid w:val="00C33B64"/>
    <w:rsid w:val="00C3473E"/>
    <w:rsid w:val="00C35685"/>
    <w:rsid w:val="00C368FE"/>
    <w:rsid w:val="00C3692F"/>
    <w:rsid w:val="00C3718E"/>
    <w:rsid w:val="00C37C54"/>
    <w:rsid w:val="00C37FE4"/>
    <w:rsid w:val="00C415D6"/>
    <w:rsid w:val="00C4235C"/>
    <w:rsid w:val="00C42EC1"/>
    <w:rsid w:val="00C43473"/>
    <w:rsid w:val="00C43561"/>
    <w:rsid w:val="00C43865"/>
    <w:rsid w:val="00C4400D"/>
    <w:rsid w:val="00C44510"/>
    <w:rsid w:val="00C4514D"/>
    <w:rsid w:val="00C455A9"/>
    <w:rsid w:val="00C46998"/>
    <w:rsid w:val="00C47955"/>
    <w:rsid w:val="00C500E0"/>
    <w:rsid w:val="00C5057B"/>
    <w:rsid w:val="00C5076C"/>
    <w:rsid w:val="00C50EA5"/>
    <w:rsid w:val="00C50EAA"/>
    <w:rsid w:val="00C5160D"/>
    <w:rsid w:val="00C52EB4"/>
    <w:rsid w:val="00C52ED4"/>
    <w:rsid w:val="00C53320"/>
    <w:rsid w:val="00C54B6C"/>
    <w:rsid w:val="00C54F08"/>
    <w:rsid w:val="00C54FEA"/>
    <w:rsid w:val="00C551F1"/>
    <w:rsid w:val="00C5528D"/>
    <w:rsid w:val="00C55BC7"/>
    <w:rsid w:val="00C5605B"/>
    <w:rsid w:val="00C56CF6"/>
    <w:rsid w:val="00C57640"/>
    <w:rsid w:val="00C57B95"/>
    <w:rsid w:val="00C61649"/>
    <w:rsid w:val="00C622CD"/>
    <w:rsid w:val="00C62E5D"/>
    <w:rsid w:val="00C6323B"/>
    <w:rsid w:val="00C63B5F"/>
    <w:rsid w:val="00C6472D"/>
    <w:rsid w:val="00C647AA"/>
    <w:rsid w:val="00C65035"/>
    <w:rsid w:val="00C668A5"/>
    <w:rsid w:val="00C66B1F"/>
    <w:rsid w:val="00C66C23"/>
    <w:rsid w:val="00C670D4"/>
    <w:rsid w:val="00C679B3"/>
    <w:rsid w:val="00C67C35"/>
    <w:rsid w:val="00C704A1"/>
    <w:rsid w:val="00C704DC"/>
    <w:rsid w:val="00C70FB7"/>
    <w:rsid w:val="00C72362"/>
    <w:rsid w:val="00C7290F"/>
    <w:rsid w:val="00C72965"/>
    <w:rsid w:val="00C73774"/>
    <w:rsid w:val="00C74EC1"/>
    <w:rsid w:val="00C75C2A"/>
    <w:rsid w:val="00C75DAF"/>
    <w:rsid w:val="00C76329"/>
    <w:rsid w:val="00C76797"/>
    <w:rsid w:val="00C76BDC"/>
    <w:rsid w:val="00C7762D"/>
    <w:rsid w:val="00C77832"/>
    <w:rsid w:val="00C77BBA"/>
    <w:rsid w:val="00C80868"/>
    <w:rsid w:val="00C80C6D"/>
    <w:rsid w:val="00C80DA6"/>
    <w:rsid w:val="00C819ED"/>
    <w:rsid w:val="00C81A09"/>
    <w:rsid w:val="00C82315"/>
    <w:rsid w:val="00C8305C"/>
    <w:rsid w:val="00C83DF5"/>
    <w:rsid w:val="00C84A01"/>
    <w:rsid w:val="00C8585C"/>
    <w:rsid w:val="00C865A2"/>
    <w:rsid w:val="00C868C4"/>
    <w:rsid w:val="00C86979"/>
    <w:rsid w:val="00C86ED9"/>
    <w:rsid w:val="00C876A4"/>
    <w:rsid w:val="00C87E55"/>
    <w:rsid w:val="00C90310"/>
    <w:rsid w:val="00C90FC2"/>
    <w:rsid w:val="00C91EE1"/>
    <w:rsid w:val="00C92148"/>
    <w:rsid w:val="00C92944"/>
    <w:rsid w:val="00C93A62"/>
    <w:rsid w:val="00C943B5"/>
    <w:rsid w:val="00C945E0"/>
    <w:rsid w:val="00C94965"/>
    <w:rsid w:val="00C94983"/>
    <w:rsid w:val="00C94BFA"/>
    <w:rsid w:val="00C95813"/>
    <w:rsid w:val="00C960E1"/>
    <w:rsid w:val="00C96289"/>
    <w:rsid w:val="00C96A49"/>
    <w:rsid w:val="00C96C9A"/>
    <w:rsid w:val="00CA00CC"/>
    <w:rsid w:val="00CA0D1C"/>
    <w:rsid w:val="00CA1AFB"/>
    <w:rsid w:val="00CA222D"/>
    <w:rsid w:val="00CA2308"/>
    <w:rsid w:val="00CA2590"/>
    <w:rsid w:val="00CA2714"/>
    <w:rsid w:val="00CA3C70"/>
    <w:rsid w:val="00CA492D"/>
    <w:rsid w:val="00CA4C4E"/>
    <w:rsid w:val="00CA508D"/>
    <w:rsid w:val="00CA58FF"/>
    <w:rsid w:val="00CA5E5C"/>
    <w:rsid w:val="00CA608F"/>
    <w:rsid w:val="00CA609E"/>
    <w:rsid w:val="00CA6BDC"/>
    <w:rsid w:val="00CA6DBD"/>
    <w:rsid w:val="00CA7E74"/>
    <w:rsid w:val="00CB009E"/>
    <w:rsid w:val="00CB05AD"/>
    <w:rsid w:val="00CB09EC"/>
    <w:rsid w:val="00CB1353"/>
    <w:rsid w:val="00CB16C9"/>
    <w:rsid w:val="00CB1922"/>
    <w:rsid w:val="00CB1AA2"/>
    <w:rsid w:val="00CB1AE1"/>
    <w:rsid w:val="00CB3069"/>
    <w:rsid w:val="00CB3446"/>
    <w:rsid w:val="00CB4EAF"/>
    <w:rsid w:val="00CB519D"/>
    <w:rsid w:val="00CB51FC"/>
    <w:rsid w:val="00CB5DFB"/>
    <w:rsid w:val="00CB63D9"/>
    <w:rsid w:val="00CB68B2"/>
    <w:rsid w:val="00CB6EEC"/>
    <w:rsid w:val="00CB6F9F"/>
    <w:rsid w:val="00CB7096"/>
    <w:rsid w:val="00CB7356"/>
    <w:rsid w:val="00CC1798"/>
    <w:rsid w:val="00CC1FFD"/>
    <w:rsid w:val="00CC278D"/>
    <w:rsid w:val="00CC2DEC"/>
    <w:rsid w:val="00CC33B4"/>
    <w:rsid w:val="00CC51C2"/>
    <w:rsid w:val="00CC534C"/>
    <w:rsid w:val="00CC6542"/>
    <w:rsid w:val="00CC74D7"/>
    <w:rsid w:val="00CC7DDD"/>
    <w:rsid w:val="00CD0EF6"/>
    <w:rsid w:val="00CD1A5D"/>
    <w:rsid w:val="00CD1F4F"/>
    <w:rsid w:val="00CD313D"/>
    <w:rsid w:val="00CD3681"/>
    <w:rsid w:val="00CD49CC"/>
    <w:rsid w:val="00CD4D9F"/>
    <w:rsid w:val="00CD5038"/>
    <w:rsid w:val="00CD657C"/>
    <w:rsid w:val="00CD6C4F"/>
    <w:rsid w:val="00CD6D77"/>
    <w:rsid w:val="00CD77A2"/>
    <w:rsid w:val="00CD79D7"/>
    <w:rsid w:val="00CE0F19"/>
    <w:rsid w:val="00CE14D3"/>
    <w:rsid w:val="00CE17A3"/>
    <w:rsid w:val="00CE20FC"/>
    <w:rsid w:val="00CE22B2"/>
    <w:rsid w:val="00CE3ABC"/>
    <w:rsid w:val="00CE3FA7"/>
    <w:rsid w:val="00CE46E1"/>
    <w:rsid w:val="00CE4724"/>
    <w:rsid w:val="00CE7A98"/>
    <w:rsid w:val="00CE7B5C"/>
    <w:rsid w:val="00CF01E0"/>
    <w:rsid w:val="00CF049E"/>
    <w:rsid w:val="00CF084E"/>
    <w:rsid w:val="00CF117B"/>
    <w:rsid w:val="00CF2042"/>
    <w:rsid w:val="00CF24C5"/>
    <w:rsid w:val="00CF251E"/>
    <w:rsid w:val="00CF2851"/>
    <w:rsid w:val="00CF2D03"/>
    <w:rsid w:val="00CF3B36"/>
    <w:rsid w:val="00CF4166"/>
    <w:rsid w:val="00CF45B0"/>
    <w:rsid w:val="00CF47DB"/>
    <w:rsid w:val="00CF4827"/>
    <w:rsid w:val="00CF4916"/>
    <w:rsid w:val="00CF4969"/>
    <w:rsid w:val="00CF50F2"/>
    <w:rsid w:val="00CF5778"/>
    <w:rsid w:val="00CF5858"/>
    <w:rsid w:val="00CF5F16"/>
    <w:rsid w:val="00CF6575"/>
    <w:rsid w:val="00CF7D2D"/>
    <w:rsid w:val="00D00671"/>
    <w:rsid w:val="00D01A53"/>
    <w:rsid w:val="00D01AB8"/>
    <w:rsid w:val="00D01BBD"/>
    <w:rsid w:val="00D0292A"/>
    <w:rsid w:val="00D03087"/>
    <w:rsid w:val="00D04CA6"/>
    <w:rsid w:val="00D0589E"/>
    <w:rsid w:val="00D06C4D"/>
    <w:rsid w:val="00D06E01"/>
    <w:rsid w:val="00D0754F"/>
    <w:rsid w:val="00D07A64"/>
    <w:rsid w:val="00D10119"/>
    <w:rsid w:val="00D1022B"/>
    <w:rsid w:val="00D10242"/>
    <w:rsid w:val="00D10377"/>
    <w:rsid w:val="00D10B3B"/>
    <w:rsid w:val="00D10B3C"/>
    <w:rsid w:val="00D11D10"/>
    <w:rsid w:val="00D12C41"/>
    <w:rsid w:val="00D13B84"/>
    <w:rsid w:val="00D1408B"/>
    <w:rsid w:val="00D1506D"/>
    <w:rsid w:val="00D156D7"/>
    <w:rsid w:val="00D159F5"/>
    <w:rsid w:val="00D15E7B"/>
    <w:rsid w:val="00D20BD4"/>
    <w:rsid w:val="00D20DA5"/>
    <w:rsid w:val="00D211BF"/>
    <w:rsid w:val="00D21286"/>
    <w:rsid w:val="00D21BE1"/>
    <w:rsid w:val="00D232D6"/>
    <w:rsid w:val="00D23898"/>
    <w:rsid w:val="00D25244"/>
    <w:rsid w:val="00D253E6"/>
    <w:rsid w:val="00D25DA8"/>
    <w:rsid w:val="00D26672"/>
    <w:rsid w:val="00D2740D"/>
    <w:rsid w:val="00D27413"/>
    <w:rsid w:val="00D301C1"/>
    <w:rsid w:val="00D30498"/>
    <w:rsid w:val="00D30701"/>
    <w:rsid w:val="00D30972"/>
    <w:rsid w:val="00D30F96"/>
    <w:rsid w:val="00D31853"/>
    <w:rsid w:val="00D31909"/>
    <w:rsid w:val="00D32495"/>
    <w:rsid w:val="00D3299D"/>
    <w:rsid w:val="00D3326C"/>
    <w:rsid w:val="00D33392"/>
    <w:rsid w:val="00D3361C"/>
    <w:rsid w:val="00D33E9B"/>
    <w:rsid w:val="00D33F40"/>
    <w:rsid w:val="00D35123"/>
    <w:rsid w:val="00D35E48"/>
    <w:rsid w:val="00D35FC6"/>
    <w:rsid w:val="00D35FFF"/>
    <w:rsid w:val="00D3608D"/>
    <w:rsid w:val="00D36208"/>
    <w:rsid w:val="00D36E1B"/>
    <w:rsid w:val="00D37570"/>
    <w:rsid w:val="00D37C9F"/>
    <w:rsid w:val="00D37E48"/>
    <w:rsid w:val="00D408B7"/>
    <w:rsid w:val="00D41D8C"/>
    <w:rsid w:val="00D4249F"/>
    <w:rsid w:val="00D424A6"/>
    <w:rsid w:val="00D42567"/>
    <w:rsid w:val="00D42878"/>
    <w:rsid w:val="00D428EF"/>
    <w:rsid w:val="00D42E19"/>
    <w:rsid w:val="00D435DA"/>
    <w:rsid w:val="00D44214"/>
    <w:rsid w:val="00D44F09"/>
    <w:rsid w:val="00D45181"/>
    <w:rsid w:val="00D45405"/>
    <w:rsid w:val="00D46B1A"/>
    <w:rsid w:val="00D46E49"/>
    <w:rsid w:val="00D471DB"/>
    <w:rsid w:val="00D47374"/>
    <w:rsid w:val="00D500C4"/>
    <w:rsid w:val="00D50C2F"/>
    <w:rsid w:val="00D51281"/>
    <w:rsid w:val="00D51311"/>
    <w:rsid w:val="00D516C5"/>
    <w:rsid w:val="00D51811"/>
    <w:rsid w:val="00D52020"/>
    <w:rsid w:val="00D5203E"/>
    <w:rsid w:val="00D52826"/>
    <w:rsid w:val="00D52A8A"/>
    <w:rsid w:val="00D52AD6"/>
    <w:rsid w:val="00D52D22"/>
    <w:rsid w:val="00D52FC3"/>
    <w:rsid w:val="00D53446"/>
    <w:rsid w:val="00D53B21"/>
    <w:rsid w:val="00D54415"/>
    <w:rsid w:val="00D54460"/>
    <w:rsid w:val="00D575E5"/>
    <w:rsid w:val="00D577DC"/>
    <w:rsid w:val="00D6071B"/>
    <w:rsid w:val="00D60864"/>
    <w:rsid w:val="00D60B2A"/>
    <w:rsid w:val="00D61365"/>
    <w:rsid w:val="00D6192C"/>
    <w:rsid w:val="00D61F4D"/>
    <w:rsid w:val="00D620F0"/>
    <w:rsid w:val="00D62305"/>
    <w:rsid w:val="00D6284E"/>
    <w:rsid w:val="00D63150"/>
    <w:rsid w:val="00D63235"/>
    <w:rsid w:val="00D63488"/>
    <w:rsid w:val="00D63579"/>
    <w:rsid w:val="00D638F7"/>
    <w:rsid w:val="00D64033"/>
    <w:rsid w:val="00D65EAA"/>
    <w:rsid w:val="00D65F7B"/>
    <w:rsid w:val="00D66368"/>
    <w:rsid w:val="00D670A8"/>
    <w:rsid w:val="00D70072"/>
    <w:rsid w:val="00D70862"/>
    <w:rsid w:val="00D70910"/>
    <w:rsid w:val="00D716FB"/>
    <w:rsid w:val="00D724E2"/>
    <w:rsid w:val="00D74000"/>
    <w:rsid w:val="00D748D6"/>
    <w:rsid w:val="00D7498C"/>
    <w:rsid w:val="00D75777"/>
    <w:rsid w:val="00D75DC2"/>
    <w:rsid w:val="00D76041"/>
    <w:rsid w:val="00D76802"/>
    <w:rsid w:val="00D76B0D"/>
    <w:rsid w:val="00D7762A"/>
    <w:rsid w:val="00D808C5"/>
    <w:rsid w:val="00D81078"/>
    <w:rsid w:val="00D814AA"/>
    <w:rsid w:val="00D819DE"/>
    <w:rsid w:val="00D834EE"/>
    <w:rsid w:val="00D84CA0"/>
    <w:rsid w:val="00D852D2"/>
    <w:rsid w:val="00D85773"/>
    <w:rsid w:val="00D8597D"/>
    <w:rsid w:val="00D85F3B"/>
    <w:rsid w:val="00D8673E"/>
    <w:rsid w:val="00D86C88"/>
    <w:rsid w:val="00D86C89"/>
    <w:rsid w:val="00D876E5"/>
    <w:rsid w:val="00D877BD"/>
    <w:rsid w:val="00D90152"/>
    <w:rsid w:val="00D909D7"/>
    <w:rsid w:val="00D91285"/>
    <w:rsid w:val="00D91DC6"/>
    <w:rsid w:val="00D92218"/>
    <w:rsid w:val="00D928E1"/>
    <w:rsid w:val="00D932CA"/>
    <w:rsid w:val="00D932D1"/>
    <w:rsid w:val="00D934EA"/>
    <w:rsid w:val="00D93F53"/>
    <w:rsid w:val="00D945B9"/>
    <w:rsid w:val="00D94795"/>
    <w:rsid w:val="00D9559A"/>
    <w:rsid w:val="00D959C0"/>
    <w:rsid w:val="00D96A7B"/>
    <w:rsid w:val="00D96F07"/>
    <w:rsid w:val="00D96FDC"/>
    <w:rsid w:val="00D97381"/>
    <w:rsid w:val="00D97C23"/>
    <w:rsid w:val="00D97F9D"/>
    <w:rsid w:val="00DA08AB"/>
    <w:rsid w:val="00DA08EC"/>
    <w:rsid w:val="00DA1040"/>
    <w:rsid w:val="00DA1315"/>
    <w:rsid w:val="00DA1634"/>
    <w:rsid w:val="00DA1753"/>
    <w:rsid w:val="00DA1D64"/>
    <w:rsid w:val="00DA2A3B"/>
    <w:rsid w:val="00DA3A3A"/>
    <w:rsid w:val="00DA5681"/>
    <w:rsid w:val="00DA5786"/>
    <w:rsid w:val="00DA61AB"/>
    <w:rsid w:val="00DA6920"/>
    <w:rsid w:val="00DA7271"/>
    <w:rsid w:val="00DA799E"/>
    <w:rsid w:val="00DA7EED"/>
    <w:rsid w:val="00DB0495"/>
    <w:rsid w:val="00DB143B"/>
    <w:rsid w:val="00DB14C3"/>
    <w:rsid w:val="00DB19A9"/>
    <w:rsid w:val="00DB242D"/>
    <w:rsid w:val="00DB2547"/>
    <w:rsid w:val="00DB266E"/>
    <w:rsid w:val="00DB29BD"/>
    <w:rsid w:val="00DB34BA"/>
    <w:rsid w:val="00DB3752"/>
    <w:rsid w:val="00DB3AF3"/>
    <w:rsid w:val="00DB3E16"/>
    <w:rsid w:val="00DB4660"/>
    <w:rsid w:val="00DB4A68"/>
    <w:rsid w:val="00DB5021"/>
    <w:rsid w:val="00DB54EA"/>
    <w:rsid w:val="00DB58E9"/>
    <w:rsid w:val="00DB602C"/>
    <w:rsid w:val="00DB67BC"/>
    <w:rsid w:val="00DB68C4"/>
    <w:rsid w:val="00DB6949"/>
    <w:rsid w:val="00DB7162"/>
    <w:rsid w:val="00DC06BF"/>
    <w:rsid w:val="00DC09F0"/>
    <w:rsid w:val="00DC0A12"/>
    <w:rsid w:val="00DC0C8A"/>
    <w:rsid w:val="00DC16CC"/>
    <w:rsid w:val="00DC2367"/>
    <w:rsid w:val="00DC29CE"/>
    <w:rsid w:val="00DC317C"/>
    <w:rsid w:val="00DC470E"/>
    <w:rsid w:val="00DC5177"/>
    <w:rsid w:val="00DC589C"/>
    <w:rsid w:val="00DC6C10"/>
    <w:rsid w:val="00DC76A8"/>
    <w:rsid w:val="00DC7885"/>
    <w:rsid w:val="00DC7B9F"/>
    <w:rsid w:val="00DD03DE"/>
    <w:rsid w:val="00DD0A61"/>
    <w:rsid w:val="00DD2662"/>
    <w:rsid w:val="00DD2D2F"/>
    <w:rsid w:val="00DD471A"/>
    <w:rsid w:val="00DD4FB2"/>
    <w:rsid w:val="00DD5861"/>
    <w:rsid w:val="00DD58FA"/>
    <w:rsid w:val="00DD5B4E"/>
    <w:rsid w:val="00DD6AA2"/>
    <w:rsid w:val="00DD6EBB"/>
    <w:rsid w:val="00DD7B15"/>
    <w:rsid w:val="00DD7E69"/>
    <w:rsid w:val="00DE0A29"/>
    <w:rsid w:val="00DE16C0"/>
    <w:rsid w:val="00DE1DDE"/>
    <w:rsid w:val="00DE3CF4"/>
    <w:rsid w:val="00DE3D33"/>
    <w:rsid w:val="00DE49AC"/>
    <w:rsid w:val="00DE4E7D"/>
    <w:rsid w:val="00DE4EF5"/>
    <w:rsid w:val="00DE4FA3"/>
    <w:rsid w:val="00DE50C5"/>
    <w:rsid w:val="00DE58F2"/>
    <w:rsid w:val="00DE604D"/>
    <w:rsid w:val="00DE6C5B"/>
    <w:rsid w:val="00DE6D57"/>
    <w:rsid w:val="00DE71F0"/>
    <w:rsid w:val="00DE7F6D"/>
    <w:rsid w:val="00DF00FF"/>
    <w:rsid w:val="00DF0936"/>
    <w:rsid w:val="00DF0E8F"/>
    <w:rsid w:val="00DF1238"/>
    <w:rsid w:val="00DF1608"/>
    <w:rsid w:val="00DF2513"/>
    <w:rsid w:val="00DF25F2"/>
    <w:rsid w:val="00DF35DC"/>
    <w:rsid w:val="00DF3C4E"/>
    <w:rsid w:val="00DF3D83"/>
    <w:rsid w:val="00DF500E"/>
    <w:rsid w:val="00DF51F1"/>
    <w:rsid w:val="00DF5311"/>
    <w:rsid w:val="00DF5B91"/>
    <w:rsid w:val="00DF62F2"/>
    <w:rsid w:val="00DF649D"/>
    <w:rsid w:val="00DF7107"/>
    <w:rsid w:val="00DF71FE"/>
    <w:rsid w:val="00DF76A2"/>
    <w:rsid w:val="00DF776B"/>
    <w:rsid w:val="00DF7EF7"/>
    <w:rsid w:val="00E00328"/>
    <w:rsid w:val="00E01632"/>
    <w:rsid w:val="00E02461"/>
    <w:rsid w:val="00E025D2"/>
    <w:rsid w:val="00E028EC"/>
    <w:rsid w:val="00E02BBA"/>
    <w:rsid w:val="00E0333B"/>
    <w:rsid w:val="00E03693"/>
    <w:rsid w:val="00E03D0B"/>
    <w:rsid w:val="00E03FCD"/>
    <w:rsid w:val="00E05545"/>
    <w:rsid w:val="00E06767"/>
    <w:rsid w:val="00E070EC"/>
    <w:rsid w:val="00E105CB"/>
    <w:rsid w:val="00E106E9"/>
    <w:rsid w:val="00E106FA"/>
    <w:rsid w:val="00E117A7"/>
    <w:rsid w:val="00E12257"/>
    <w:rsid w:val="00E158FF"/>
    <w:rsid w:val="00E15AEB"/>
    <w:rsid w:val="00E15B85"/>
    <w:rsid w:val="00E17438"/>
    <w:rsid w:val="00E17ECB"/>
    <w:rsid w:val="00E20429"/>
    <w:rsid w:val="00E20543"/>
    <w:rsid w:val="00E208A1"/>
    <w:rsid w:val="00E20F9B"/>
    <w:rsid w:val="00E21F6E"/>
    <w:rsid w:val="00E223B4"/>
    <w:rsid w:val="00E239E6"/>
    <w:rsid w:val="00E24749"/>
    <w:rsid w:val="00E24A96"/>
    <w:rsid w:val="00E25A15"/>
    <w:rsid w:val="00E25E7C"/>
    <w:rsid w:val="00E31B4F"/>
    <w:rsid w:val="00E31C1D"/>
    <w:rsid w:val="00E33AE4"/>
    <w:rsid w:val="00E33C2C"/>
    <w:rsid w:val="00E33FC0"/>
    <w:rsid w:val="00E34195"/>
    <w:rsid w:val="00E345B5"/>
    <w:rsid w:val="00E346FC"/>
    <w:rsid w:val="00E34D45"/>
    <w:rsid w:val="00E351F0"/>
    <w:rsid w:val="00E35727"/>
    <w:rsid w:val="00E359CE"/>
    <w:rsid w:val="00E35BE9"/>
    <w:rsid w:val="00E362BE"/>
    <w:rsid w:val="00E37483"/>
    <w:rsid w:val="00E40EF9"/>
    <w:rsid w:val="00E41817"/>
    <w:rsid w:val="00E41A6D"/>
    <w:rsid w:val="00E41AC3"/>
    <w:rsid w:val="00E422BD"/>
    <w:rsid w:val="00E4254D"/>
    <w:rsid w:val="00E42698"/>
    <w:rsid w:val="00E441AC"/>
    <w:rsid w:val="00E442F9"/>
    <w:rsid w:val="00E456EE"/>
    <w:rsid w:val="00E45BC8"/>
    <w:rsid w:val="00E460FE"/>
    <w:rsid w:val="00E47774"/>
    <w:rsid w:val="00E47B86"/>
    <w:rsid w:val="00E50DDC"/>
    <w:rsid w:val="00E51708"/>
    <w:rsid w:val="00E51959"/>
    <w:rsid w:val="00E51E4E"/>
    <w:rsid w:val="00E52011"/>
    <w:rsid w:val="00E520A0"/>
    <w:rsid w:val="00E52774"/>
    <w:rsid w:val="00E52D8B"/>
    <w:rsid w:val="00E532BD"/>
    <w:rsid w:val="00E53D74"/>
    <w:rsid w:val="00E541CD"/>
    <w:rsid w:val="00E54799"/>
    <w:rsid w:val="00E54804"/>
    <w:rsid w:val="00E5491A"/>
    <w:rsid w:val="00E55309"/>
    <w:rsid w:val="00E567FE"/>
    <w:rsid w:val="00E57178"/>
    <w:rsid w:val="00E57629"/>
    <w:rsid w:val="00E5793C"/>
    <w:rsid w:val="00E57FAC"/>
    <w:rsid w:val="00E602E4"/>
    <w:rsid w:val="00E60BCF"/>
    <w:rsid w:val="00E60D86"/>
    <w:rsid w:val="00E60DAB"/>
    <w:rsid w:val="00E61A06"/>
    <w:rsid w:val="00E62122"/>
    <w:rsid w:val="00E62652"/>
    <w:rsid w:val="00E62915"/>
    <w:rsid w:val="00E64166"/>
    <w:rsid w:val="00E641D6"/>
    <w:rsid w:val="00E64742"/>
    <w:rsid w:val="00E64C65"/>
    <w:rsid w:val="00E66827"/>
    <w:rsid w:val="00E6698D"/>
    <w:rsid w:val="00E66A3F"/>
    <w:rsid w:val="00E66E98"/>
    <w:rsid w:val="00E67735"/>
    <w:rsid w:val="00E6779F"/>
    <w:rsid w:val="00E67B65"/>
    <w:rsid w:val="00E67D83"/>
    <w:rsid w:val="00E67FEC"/>
    <w:rsid w:val="00E702B3"/>
    <w:rsid w:val="00E71A28"/>
    <w:rsid w:val="00E726DF"/>
    <w:rsid w:val="00E72A50"/>
    <w:rsid w:val="00E75432"/>
    <w:rsid w:val="00E7664D"/>
    <w:rsid w:val="00E777B4"/>
    <w:rsid w:val="00E7786B"/>
    <w:rsid w:val="00E77AFB"/>
    <w:rsid w:val="00E77E3E"/>
    <w:rsid w:val="00E81088"/>
    <w:rsid w:val="00E81412"/>
    <w:rsid w:val="00E816E1"/>
    <w:rsid w:val="00E82E03"/>
    <w:rsid w:val="00E8315B"/>
    <w:rsid w:val="00E834DF"/>
    <w:rsid w:val="00E83B00"/>
    <w:rsid w:val="00E83EBE"/>
    <w:rsid w:val="00E8407E"/>
    <w:rsid w:val="00E8495F"/>
    <w:rsid w:val="00E86A89"/>
    <w:rsid w:val="00E87178"/>
    <w:rsid w:val="00E874AE"/>
    <w:rsid w:val="00E8771B"/>
    <w:rsid w:val="00E87B46"/>
    <w:rsid w:val="00E87EC9"/>
    <w:rsid w:val="00E87F14"/>
    <w:rsid w:val="00E912C3"/>
    <w:rsid w:val="00E92784"/>
    <w:rsid w:val="00E92A22"/>
    <w:rsid w:val="00E92B02"/>
    <w:rsid w:val="00E93DBF"/>
    <w:rsid w:val="00E94EF3"/>
    <w:rsid w:val="00E9510B"/>
    <w:rsid w:val="00E9606B"/>
    <w:rsid w:val="00E971DA"/>
    <w:rsid w:val="00EA0068"/>
    <w:rsid w:val="00EA0429"/>
    <w:rsid w:val="00EA087F"/>
    <w:rsid w:val="00EA0A0D"/>
    <w:rsid w:val="00EA0C7F"/>
    <w:rsid w:val="00EA135A"/>
    <w:rsid w:val="00EA1C77"/>
    <w:rsid w:val="00EA29C9"/>
    <w:rsid w:val="00EA2D3F"/>
    <w:rsid w:val="00EA3926"/>
    <w:rsid w:val="00EA3D23"/>
    <w:rsid w:val="00EA4746"/>
    <w:rsid w:val="00EA4D1B"/>
    <w:rsid w:val="00EA5AA0"/>
    <w:rsid w:val="00EA6D95"/>
    <w:rsid w:val="00EB02E7"/>
    <w:rsid w:val="00EB0557"/>
    <w:rsid w:val="00EB153B"/>
    <w:rsid w:val="00EB26BB"/>
    <w:rsid w:val="00EB26BE"/>
    <w:rsid w:val="00EB2D11"/>
    <w:rsid w:val="00EB2F2B"/>
    <w:rsid w:val="00EB32C0"/>
    <w:rsid w:val="00EB461C"/>
    <w:rsid w:val="00EB4EF1"/>
    <w:rsid w:val="00EB529D"/>
    <w:rsid w:val="00EB5F19"/>
    <w:rsid w:val="00EB6327"/>
    <w:rsid w:val="00EB6715"/>
    <w:rsid w:val="00EB6823"/>
    <w:rsid w:val="00EB6CC2"/>
    <w:rsid w:val="00EB797F"/>
    <w:rsid w:val="00EB7BA6"/>
    <w:rsid w:val="00EB7DA9"/>
    <w:rsid w:val="00EC0631"/>
    <w:rsid w:val="00EC0F53"/>
    <w:rsid w:val="00EC1260"/>
    <w:rsid w:val="00EC12CD"/>
    <w:rsid w:val="00EC15A9"/>
    <w:rsid w:val="00EC1AAF"/>
    <w:rsid w:val="00EC1C25"/>
    <w:rsid w:val="00EC221A"/>
    <w:rsid w:val="00EC23D8"/>
    <w:rsid w:val="00EC277F"/>
    <w:rsid w:val="00EC2E68"/>
    <w:rsid w:val="00EC3544"/>
    <w:rsid w:val="00EC3BE2"/>
    <w:rsid w:val="00EC3D7A"/>
    <w:rsid w:val="00EC4F2C"/>
    <w:rsid w:val="00EC51BC"/>
    <w:rsid w:val="00EC67B2"/>
    <w:rsid w:val="00EC71FA"/>
    <w:rsid w:val="00ED0079"/>
    <w:rsid w:val="00ED00C1"/>
    <w:rsid w:val="00ED10A7"/>
    <w:rsid w:val="00ED1246"/>
    <w:rsid w:val="00ED1851"/>
    <w:rsid w:val="00ED25EE"/>
    <w:rsid w:val="00ED3230"/>
    <w:rsid w:val="00ED351F"/>
    <w:rsid w:val="00ED3A0C"/>
    <w:rsid w:val="00ED44F8"/>
    <w:rsid w:val="00ED636C"/>
    <w:rsid w:val="00ED7240"/>
    <w:rsid w:val="00ED7AFA"/>
    <w:rsid w:val="00ED7D0B"/>
    <w:rsid w:val="00ED7FD7"/>
    <w:rsid w:val="00EE04AF"/>
    <w:rsid w:val="00EE0D79"/>
    <w:rsid w:val="00EE1A20"/>
    <w:rsid w:val="00EE2559"/>
    <w:rsid w:val="00EE478E"/>
    <w:rsid w:val="00EE515B"/>
    <w:rsid w:val="00EE5D62"/>
    <w:rsid w:val="00EE5F7E"/>
    <w:rsid w:val="00EE67D5"/>
    <w:rsid w:val="00EE6F69"/>
    <w:rsid w:val="00EE7014"/>
    <w:rsid w:val="00EE7504"/>
    <w:rsid w:val="00EF038F"/>
    <w:rsid w:val="00EF0B9D"/>
    <w:rsid w:val="00EF1387"/>
    <w:rsid w:val="00EF18B6"/>
    <w:rsid w:val="00EF1976"/>
    <w:rsid w:val="00EF289A"/>
    <w:rsid w:val="00EF2B37"/>
    <w:rsid w:val="00EF3C2C"/>
    <w:rsid w:val="00EF3F5F"/>
    <w:rsid w:val="00EF449F"/>
    <w:rsid w:val="00EF4D89"/>
    <w:rsid w:val="00EF4EF2"/>
    <w:rsid w:val="00EF5493"/>
    <w:rsid w:val="00EF5C26"/>
    <w:rsid w:val="00EF5F95"/>
    <w:rsid w:val="00EF6341"/>
    <w:rsid w:val="00EF6996"/>
    <w:rsid w:val="00EF7327"/>
    <w:rsid w:val="00F00B51"/>
    <w:rsid w:val="00F0174D"/>
    <w:rsid w:val="00F019A3"/>
    <w:rsid w:val="00F023BA"/>
    <w:rsid w:val="00F027BF"/>
    <w:rsid w:val="00F02A8F"/>
    <w:rsid w:val="00F02FAE"/>
    <w:rsid w:val="00F045D5"/>
    <w:rsid w:val="00F046A9"/>
    <w:rsid w:val="00F05367"/>
    <w:rsid w:val="00F05885"/>
    <w:rsid w:val="00F06056"/>
    <w:rsid w:val="00F06E6A"/>
    <w:rsid w:val="00F07212"/>
    <w:rsid w:val="00F101E4"/>
    <w:rsid w:val="00F10982"/>
    <w:rsid w:val="00F109E4"/>
    <w:rsid w:val="00F11015"/>
    <w:rsid w:val="00F11468"/>
    <w:rsid w:val="00F12580"/>
    <w:rsid w:val="00F13B10"/>
    <w:rsid w:val="00F13C42"/>
    <w:rsid w:val="00F14FC7"/>
    <w:rsid w:val="00F15687"/>
    <w:rsid w:val="00F15CC0"/>
    <w:rsid w:val="00F16A7C"/>
    <w:rsid w:val="00F16B66"/>
    <w:rsid w:val="00F16E7A"/>
    <w:rsid w:val="00F17DA7"/>
    <w:rsid w:val="00F20856"/>
    <w:rsid w:val="00F20A69"/>
    <w:rsid w:val="00F21DF4"/>
    <w:rsid w:val="00F21E72"/>
    <w:rsid w:val="00F222AB"/>
    <w:rsid w:val="00F229F9"/>
    <w:rsid w:val="00F2434B"/>
    <w:rsid w:val="00F24360"/>
    <w:rsid w:val="00F24D61"/>
    <w:rsid w:val="00F2543D"/>
    <w:rsid w:val="00F25574"/>
    <w:rsid w:val="00F25A6E"/>
    <w:rsid w:val="00F25F3A"/>
    <w:rsid w:val="00F2633E"/>
    <w:rsid w:val="00F26355"/>
    <w:rsid w:val="00F2661F"/>
    <w:rsid w:val="00F266E2"/>
    <w:rsid w:val="00F269B6"/>
    <w:rsid w:val="00F26DFE"/>
    <w:rsid w:val="00F277A5"/>
    <w:rsid w:val="00F27C18"/>
    <w:rsid w:val="00F27C25"/>
    <w:rsid w:val="00F27DA5"/>
    <w:rsid w:val="00F306BC"/>
    <w:rsid w:val="00F30787"/>
    <w:rsid w:val="00F30E27"/>
    <w:rsid w:val="00F3150A"/>
    <w:rsid w:val="00F315C4"/>
    <w:rsid w:val="00F318BA"/>
    <w:rsid w:val="00F32703"/>
    <w:rsid w:val="00F32DC4"/>
    <w:rsid w:val="00F32EF1"/>
    <w:rsid w:val="00F34D14"/>
    <w:rsid w:val="00F35428"/>
    <w:rsid w:val="00F36FA5"/>
    <w:rsid w:val="00F378FC"/>
    <w:rsid w:val="00F37E24"/>
    <w:rsid w:val="00F37F3B"/>
    <w:rsid w:val="00F40DBE"/>
    <w:rsid w:val="00F413D8"/>
    <w:rsid w:val="00F41F83"/>
    <w:rsid w:val="00F42380"/>
    <w:rsid w:val="00F423B9"/>
    <w:rsid w:val="00F43955"/>
    <w:rsid w:val="00F43AD3"/>
    <w:rsid w:val="00F458FD"/>
    <w:rsid w:val="00F45B1F"/>
    <w:rsid w:val="00F4725E"/>
    <w:rsid w:val="00F47271"/>
    <w:rsid w:val="00F47457"/>
    <w:rsid w:val="00F47BC8"/>
    <w:rsid w:val="00F50793"/>
    <w:rsid w:val="00F50C12"/>
    <w:rsid w:val="00F51113"/>
    <w:rsid w:val="00F5141C"/>
    <w:rsid w:val="00F517EF"/>
    <w:rsid w:val="00F5204C"/>
    <w:rsid w:val="00F52219"/>
    <w:rsid w:val="00F52EED"/>
    <w:rsid w:val="00F532FB"/>
    <w:rsid w:val="00F53FDC"/>
    <w:rsid w:val="00F547CF"/>
    <w:rsid w:val="00F54980"/>
    <w:rsid w:val="00F54B49"/>
    <w:rsid w:val="00F55305"/>
    <w:rsid w:val="00F5555D"/>
    <w:rsid w:val="00F55BF9"/>
    <w:rsid w:val="00F56E84"/>
    <w:rsid w:val="00F573AE"/>
    <w:rsid w:val="00F601EE"/>
    <w:rsid w:val="00F60B87"/>
    <w:rsid w:val="00F60EC7"/>
    <w:rsid w:val="00F6121F"/>
    <w:rsid w:val="00F6288F"/>
    <w:rsid w:val="00F62E01"/>
    <w:rsid w:val="00F63218"/>
    <w:rsid w:val="00F646F7"/>
    <w:rsid w:val="00F64953"/>
    <w:rsid w:val="00F6614A"/>
    <w:rsid w:val="00F661ED"/>
    <w:rsid w:val="00F66875"/>
    <w:rsid w:val="00F66BAA"/>
    <w:rsid w:val="00F66E8B"/>
    <w:rsid w:val="00F6725B"/>
    <w:rsid w:val="00F6753E"/>
    <w:rsid w:val="00F67682"/>
    <w:rsid w:val="00F679FE"/>
    <w:rsid w:val="00F67D2B"/>
    <w:rsid w:val="00F705E8"/>
    <w:rsid w:val="00F713AA"/>
    <w:rsid w:val="00F71C74"/>
    <w:rsid w:val="00F72611"/>
    <w:rsid w:val="00F72D8D"/>
    <w:rsid w:val="00F72DAA"/>
    <w:rsid w:val="00F72F56"/>
    <w:rsid w:val="00F73851"/>
    <w:rsid w:val="00F74381"/>
    <w:rsid w:val="00F74C8B"/>
    <w:rsid w:val="00F75577"/>
    <w:rsid w:val="00F75AE6"/>
    <w:rsid w:val="00F75BC8"/>
    <w:rsid w:val="00F75D5F"/>
    <w:rsid w:val="00F76071"/>
    <w:rsid w:val="00F7655D"/>
    <w:rsid w:val="00F7662B"/>
    <w:rsid w:val="00F76687"/>
    <w:rsid w:val="00F76C20"/>
    <w:rsid w:val="00F77703"/>
    <w:rsid w:val="00F8053C"/>
    <w:rsid w:val="00F807B2"/>
    <w:rsid w:val="00F80C87"/>
    <w:rsid w:val="00F816F5"/>
    <w:rsid w:val="00F8224E"/>
    <w:rsid w:val="00F82A27"/>
    <w:rsid w:val="00F82D88"/>
    <w:rsid w:val="00F83556"/>
    <w:rsid w:val="00F83677"/>
    <w:rsid w:val="00F84962"/>
    <w:rsid w:val="00F84C09"/>
    <w:rsid w:val="00F8559B"/>
    <w:rsid w:val="00F86CD6"/>
    <w:rsid w:val="00F872E8"/>
    <w:rsid w:val="00F8759F"/>
    <w:rsid w:val="00F901AF"/>
    <w:rsid w:val="00F905A7"/>
    <w:rsid w:val="00F90A8A"/>
    <w:rsid w:val="00F90CE6"/>
    <w:rsid w:val="00F9187A"/>
    <w:rsid w:val="00F91EB8"/>
    <w:rsid w:val="00F9459F"/>
    <w:rsid w:val="00F94CF8"/>
    <w:rsid w:val="00F9530D"/>
    <w:rsid w:val="00F953F4"/>
    <w:rsid w:val="00F97CD1"/>
    <w:rsid w:val="00F97D8F"/>
    <w:rsid w:val="00F97E1E"/>
    <w:rsid w:val="00FA14F7"/>
    <w:rsid w:val="00FA28EB"/>
    <w:rsid w:val="00FA387F"/>
    <w:rsid w:val="00FA39ED"/>
    <w:rsid w:val="00FA45BC"/>
    <w:rsid w:val="00FA4722"/>
    <w:rsid w:val="00FA49FF"/>
    <w:rsid w:val="00FA4BA3"/>
    <w:rsid w:val="00FA5209"/>
    <w:rsid w:val="00FA537F"/>
    <w:rsid w:val="00FA5502"/>
    <w:rsid w:val="00FA6644"/>
    <w:rsid w:val="00FA6B48"/>
    <w:rsid w:val="00FA6D3D"/>
    <w:rsid w:val="00FA77C9"/>
    <w:rsid w:val="00FA7A02"/>
    <w:rsid w:val="00FA7C7E"/>
    <w:rsid w:val="00FA7E00"/>
    <w:rsid w:val="00FB003A"/>
    <w:rsid w:val="00FB0DA2"/>
    <w:rsid w:val="00FB0F7C"/>
    <w:rsid w:val="00FB1C8F"/>
    <w:rsid w:val="00FB1EF0"/>
    <w:rsid w:val="00FB2186"/>
    <w:rsid w:val="00FB2234"/>
    <w:rsid w:val="00FB306B"/>
    <w:rsid w:val="00FB471C"/>
    <w:rsid w:val="00FB4CE1"/>
    <w:rsid w:val="00FB5FF8"/>
    <w:rsid w:val="00FB683A"/>
    <w:rsid w:val="00FB6979"/>
    <w:rsid w:val="00FB6BB4"/>
    <w:rsid w:val="00FB7045"/>
    <w:rsid w:val="00FB7256"/>
    <w:rsid w:val="00FB7612"/>
    <w:rsid w:val="00FB76F7"/>
    <w:rsid w:val="00FC193A"/>
    <w:rsid w:val="00FC2920"/>
    <w:rsid w:val="00FC4268"/>
    <w:rsid w:val="00FC47D2"/>
    <w:rsid w:val="00FC4E4A"/>
    <w:rsid w:val="00FC5894"/>
    <w:rsid w:val="00FC5A11"/>
    <w:rsid w:val="00FC6AB9"/>
    <w:rsid w:val="00FC6D3C"/>
    <w:rsid w:val="00FC701E"/>
    <w:rsid w:val="00FC73AF"/>
    <w:rsid w:val="00FC7DDB"/>
    <w:rsid w:val="00FC7DED"/>
    <w:rsid w:val="00FD063C"/>
    <w:rsid w:val="00FD0D79"/>
    <w:rsid w:val="00FD1B40"/>
    <w:rsid w:val="00FD23F8"/>
    <w:rsid w:val="00FD2B6E"/>
    <w:rsid w:val="00FD301F"/>
    <w:rsid w:val="00FD3364"/>
    <w:rsid w:val="00FD3998"/>
    <w:rsid w:val="00FD4043"/>
    <w:rsid w:val="00FD5739"/>
    <w:rsid w:val="00FD6E25"/>
    <w:rsid w:val="00FD7184"/>
    <w:rsid w:val="00FD755F"/>
    <w:rsid w:val="00FE02A3"/>
    <w:rsid w:val="00FE0F8D"/>
    <w:rsid w:val="00FE1422"/>
    <w:rsid w:val="00FE1C10"/>
    <w:rsid w:val="00FE2CAF"/>
    <w:rsid w:val="00FE453C"/>
    <w:rsid w:val="00FE459A"/>
    <w:rsid w:val="00FE558D"/>
    <w:rsid w:val="00FE5D3F"/>
    <w:rsid w:val="00FE64EB"/>
    <w:rsid w:val="00FE7D86"/>
    <w:rsid w:val="00FF07F0"/>
    <w:rsid w:val="00FF0AA6"/>
    <w:rsid w:val="00FF0E0D"/>
    <w:rsid w:val="00FF132C"/>
    <w:rsid w:val="00FF2FC3"/>
    <w:rsid w:val="00FF3815"/>
    <w:rsid w:val="00FF5014"/>
    <w:rsid w:val="276FAC6C"/>
    <w:rsid w:val="29C05D80"/>
    <w:rsid w:val="4C67A3C1"/>
    <w:rsid w:val="5D02F50D"/>
    <w:rsid w:val="5E1E8077"/>
    <w:rsid w:val="628EFF8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1">
      <o:colormru v:ext="edit" colors="#23236e"/>
    </o:shapedefaults>
    <o:shapelayout v:ext="edit">
      <o:idmap v:ext="edit" data="1"/>
    </o:shapelayout>
  </w:shapeDefaults>
  <w:decimalSymbol w:val="."/>
  <w:listSeparator w:val=","/>
  <w15:docId w15:val="{FD7D078D-DEFF-4C11-9C23-D56D58BD9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de-DE" w:eastAsia="de-DE" w:bidi="ar-SA"/>
      </w:rPr>
    </w:rPrDefault>
    <w:pPrDefault/>
  </w:docDefaults>
  <w:latentStyles w:defLockedState="0" w:defUIPriority="0" w:defSemiHidden="0" w:defUnhideWhenUsed="0" w:defQFormat="0" w:count="375">
    <w:lsdException w:name="Normal" w:qFormat="1"/>
    <w:lsdException w:name="heading 2" w:semiHidden="1" w:qFormat="1"/>
    <w:lsdException w:name="heading 3" w:semiHidden="1" w:uiPriority="99"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qFormat/>
    <w:rsid w:val="00272832"/>
    <w:rPr>
      <w:rFonts w:ascii="Arial" w:hAnsi="Arial"/>
      <w:szCs w:val="24"/>
      <w:lang w:val="en-GB"/>
    </w:rPr>
  </w:style>
  <w:style w:type="paragraph" w:styleId="Heading1">
    <w:name w:val="heading 1"/>
    <w:basedOn w:val="Normal"/>
    <w:next w:val="Normal"/>
    <w:link w:val="Heading1Char"/>
    <w:semiHidden/>
    <w:rsid w:val="00417CC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qFormat/>
    <w:rsid w:val="00501FB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9"/>
    <w:qFormat/>
    <w:rsid w:val="00146850"/>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semiHidden/>
    <w:qFormat/>
    <w:rsid w:val="00146850"/>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qFormat/>
    <w:rsid w:val="00146850"/>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qFormat/>
    <w:rsid w:val="00146850"/>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rsid w:val="00146850"/>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14685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nhideWhenUsed/>
    <w:qFormat/>
    <w:rsid w:val="0014685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ENTSO-E Table"/>
    <w:basedOn w:val="TableNormal"/>
    <w:rsid w:val="00015A04"/>
    <w:tblPr>
      <w:tblStyleRowBandSize w:val="1"/>
      <w:tblStyleColBandSize w:val="1"/>
      <w:tblBorders>
        <w:insideV w:val="single" w:sz="12" w:space="0" w:color="FFFFFF"/>
      </w:tblBorders>
      <w:tblCellMar>
        <w:top w:w="68" w:type="dxa"/>
        <w:left w:w="57" w:type="dxa"/>
        <w:bottom w:w="68" w:type="dxa"/>
        <w:right w:w="57" w:type="dxa"/>
      </w:tblCellMar>
    </w:tblPr>
    <w:tcPr>
      <w:shd w:val="clear" w:color="auto" w:fill="auto"/>
    </w:tcPr>
    <w:tblStylePr w:type="firstRow">
      <w:rPr>
        <w:rFonts w:ascii="Arial" w:hAnsi="Arial"/>
        <w:b w:val="0"/>
        <w:color w:val="23236E"/>
        <w:sz w:val="28"/>
      </w:rPr>
      <w:tblPr/>
      <w:tcPr>
        <w:tcBorders>
          <w:top w:val="nil"/>
          <w:left w:val="nil"/>
          <w:bottom w:val="nil"/>
          <w:right w:val="nil"/>
          <w:insideH w:val="nil"/>
          <w:insideV w:val="nil"/>
          <w:tl2br w:val="nil"/>
          <w:tr2bl w:val="nil"/>
        </w:tcBorders>
      </w:tcPr>
    </w:tblStylePr>
    <w:tblStylePr w:type="lastRow">
      <w:rPr>
        <w:rFonts w:ascii="Times New Roman" w:hAnsi="Times New Roman"/>
        <w:sz w:val="22"/>
      </w:rPr>
    </w:tblStylePr>
    <w:tblStylePr w:type="firstCol">
      <w:rPr>
        <w:rFonts w:ascii="Times New Roman" w:hAnsi="Times New Roman"/>
        <w:sz w:val="22"/>
      </w:rPr>
      <w:tblPr>
        <w:tblCellMar>
          <w:top w:w="34" w:type="dxa"/>
          <w:left w:w="57" w:type="dxa"/>
          <w:bottom w:w="34" w:type="dxa"/>
          <w:right w:w="85" w:type="dxa"/>
        </w:tblCellMar>
      </w:tblPr>
    </w:tblStylePr>
    <w:tblStylePr w:type="lastCol">
      <w:rPr>
        <w:rFonts w:ascii="Times New Roman" w:hAnsi="Times New Roman"/>
        <w:sz w:val="22"/>
      </w:rPr>
    </w:tblStylePr>
    <w:tblStylePr w:type="band2Vert">
      <w:rPr>
        <w:rFonts w:ascii="Times New Roman" w:hAnsi="Times New Roman"/>
      </w:rPr>
    </w:tblStylePr>
    <w:tblStylePr w:type="band1Horz">
      <w:rPr>
        <w:rFonts w:ascii="Times New Roman" w:hAnsi="Times New Roman"/>
        <w:sz w:val="18"/>
      </w:rPr>
      <w:tblPr/>
      <w:tcPr>
        <w:shd w:val="clear" w:color="auto" w:fill="D9D9D9" w:themeFill="background1" w:themeFillShade="D9"/>
      </w:tcPr>
    </w:tblStylePr>
  </w:style>
  <w:style w:type="paragraph" w:customStyle="1" w:styleId="headlineheader">
    <w:name w:val="headline header"/>
    <w:link w:val="headlineheaderZchn"/>
    <w:rsid w:val="000C304C"/>
    <w:pPr>
      <w:spacing w:after="200" w:line="380" w:lineRule="exact"/>
    </w:pPr>
    <w:rPr>
      <w:rFonts w:ascii="Arial" w:hAnsi="Arial"/>
      <w:b/>
      <w:bCs/>
      <w:color w:val="23236E"/>
      <w:sz w:val="40"/>
      <w:szCs w:val="24"/>
      <w:lang w:val="en-GB"/>
    </w:rPr>
  </w:style>
  <w:style w:type="character" w:customStyle="1" w:styleId="headlineheaderZchn">
    <w:name w:val="headline header Zchn"/>
    <w:basedOn w:val="DefaultParagraphFont"/>
    <w:link w:val="headlineheader"/>
    <w:rsid w:val="00F13C42"/>
    <w:rPr>
      <w:rFonts w:ascii="Arial" w:hAnsi="Arial"/>
      <w:b/>
      <w:bCs/>
      <w:color w:val="23236E"/>
      <w:sz w:val="40"/>
      <w:szCs w:val="24"/>
      <w:lang w:val="en-GB"/>
    </w:rPr>
  </w:style>
  <w:style w:type="paragraph" w:customStyle="1" w:styleId="exampleheaderdate">
    <w:name w:val="example header date"/>
    <w:basedOn w:val="headlineheader"/>
    <w:link w:val="exampleheaderdateZchn"/>
    <w:semiHidden/>
    <w:rsid w:val="000C304C"/>
    <w:pPr>
      <w:spacing w:after="380" w:line="340" w:lineRule="exact"/>
    </w:pPr>
    <w:rPr>
      <w:b w:val="0"/>
      <w:bCs w:val="0"/>
      <w:sz w:val="24"/>
    </w:rPr>
  </w:style>
  <w:style w:type="character" w:customStyle="1" w:styleId="exampleheaderdateZchn">
    <w:name w:val="example header date Zchn"/>
    <w:basedOn w:val="headlineheaderZchn"/>
    <w:link w:val="exampleheaderdate"/>
    <w:semiHidden/>
    <w:rsid w:val="00A7023E"/>
    <w:rPr>
      <w:rFonts w:ascii="Arial" w:hAnsi="Arial"/>
      <w:b/>
      <w:bCs/>
      <w:color w:val="23236E"/>
      <w:sz w:val="24"/>
      <w:szCs w:val="24"/>
      <w:lang w:val="en-GB"/>
    </w:rPr>
  </w:style>
  <w:style w:type="paragraph" w:customStyle="1" w:styleId="HEADERexample">
    <w:name w:val="HEADER example"/>
    <w:semiHidden/>
    <w:rsid w:val="00755B42"/>
    <w:pPr>
      <w:pBdr>
        <w:bottom w:val="single" w:sz="6" w:space="5" w:color="23236E"/>
      </w:pBdr>
      <w:spacing w:after="320"/>
    </w:pPr>
    <w:rPr>
      <w:rFonts w:ascii="Arial" w:hAnsi="Arial"/>
      <w:b/>
      <w:bCs/>
      <w:color w:val="23236E"/>
      <w:sz w:val="40"/>
      <w:lang w:val="en-GB"/>
    </w:rPr>
  </w:style>
  <w:style w:type="character" w:customStyle="1" w:styleId="tabletext">
    <w:name w:val="table text"/>
    <w:basedOn w:val="DefaultParagraphFont"/>
    <w:uiPriority w:val="2"/>
    <w:qFormat/>
    <w:rsid w:val="00A36B08"/>
    <w:rPr>
      <w:rFonts w:ascii="Times New Roman" w:hAnsi="Times New Roman"/>
      <w:sz w:val="22"/>
      <w:lang w:val="en-GB"/>
    </w:rPr>
  </w:style>
  <w:style w:type="paragraph" w:styleId="BalloonText">
    <w:name w:val="Balloon Text"/>
    <w:basedOn w:val="Normal"/>
    <w:link w:val="BalloonTextChar"/>
    <w:semiHidden/>
    <w:rsid w:val="004247C4"/>
    <w:rPr>
      <w:rFonts w:ascii="Tahoma" w:hAnsi="Tahoma" w:cs="Tahoma"/>
      <w:sz w:val="16"/>
      <w:szCs w:val="16"/>
    </w:rPr>
  </w:style>
  <w:style w:type="character" w:customStyle="1" w:styleId="BalloonTextChar">
    <w:name w:val="Balloon Text Char"/>
    <w:basedOn w:val="DefaultParagraphFont"/>
    <w:link w:val="BalloonText"/>
    <w:semiHidden/>
    <w:rsid w:val="004247C4"/>
    <w:rPr>
      <w:rFonts w:ascii="Tahoma" w:hAnsi="Tahoma" w:cs="Tahoma"/>
      <w:sz w:val="16"/>
      <w:szCs w:val="16"/>
    </w:rPr>
  </w:style>
  <w:style w:type="paragraph" w:customStyle="1" w:styleId="Day14pt">
    <w:name w:val="Day 14 pt"/>
    <w:basedOn w:val="exampleheaderdate"/>
    <w:next w:val="Normal"/>
    <w:link w:val="Day14ptZchn1"/>
    <w:semiHidden/>
    <w:rsid w:val="00371607"/>
    <w:pPr>
      <w:spacing w:after="120"/>
    </w:pPr>
    <w:rPr>
      <w:b/>
      <w:sz w:val="28"/>
      <w:szCs w:val="28"/>
    </w:rPr>
  </w:style>
  <w:style w:type="character" w:customStyle="1" w:styleId="Day14ptZchn1">
    <w:name w:val="Day 14 pt Zchn1"/>
    <w:basedOn w:val="exampleheaderdateZchn"/>
    <w:link w:val="Day14pt"/>
    <w:semiHidden/>
    <w:rsid w:val="00A7023E"/>
    <w:rPr>
      <w:rFonts w:ascii="Arial" w:hAnsi="Arial"/>
      <w:b/>
      <w:bCs/>
      <w:color w:val="23236E"/>
      <w:sz w:val="28"/>
      <w:szCs w:val="28"/>
      <w:lang w:val="en-GB"/>
    </w:rPr>
  </w:style>
  <w:style w:type="character" w:customStyle="1" w:styleId="Day14ptZchn">
    <w:name w:val="Day 14 pt Zchn"/>
    <w:basedOn w:val="exampleheaderdateZchn"/>
    <w:rsid w:val="00F13C42"/>
    <w:rPr>
      <w:rFonts w:ascii="Arial" w:hAnsi="Arial"/>
      <w:b/>
      <w:bCs/>
      <w:color w:val="23236E"/>
      <w:sz w:val="24"/>
      <w:szCs w:val="24"/>
      <w:lang w:val="en-GB"/>
    </w:rPr>
  </w:style>
  <w:style w:type="paragraph" w:styleId="ListParagraph">
    <w:name w:val="List Paragraph"/>
    <w:basedOn w:val="Normal"/>
    <w:link w:val="ListParagraphChar"/>
    <w:uiPriority w:val="34"/>
    <w:qFormat/>
    <w:rsid w:val="002F1C72"/>
    <w:pPr>
      <w:ind w:left="720"/>
      <w:contextualSpacing/>
    </w:pPr>
  </w:style>
  <w:style w:type="paragraph" w:customStyle="1" w:styleId="headline1">
    <w:name w:val="headline 1"/>
    <w:next w:val="ListNumber"/>
    <w:link w:val="headline1Zchn"/>
    <w:qFormat/>
    <w:rsid w:val="00CD3681"/>
    <w:pPr>
      <w:pageBreakBefore/>
      <w:spacing w:before="400" w:after="120" w:line="340" w:lineRule="exact"/>
      <w:ind w:left="357" w:hanging="357"/>
    </w:pPr>
    <w:rPr>
      <w:rFonts w:ascii="Arial" w:hAnsi="Arial"/>
      <w:b/>
      <w:color w:val="23236E"/>
      <w:sz w:val="28"/>
      <w:szCs w:val="28"/>
      <w:lang w:val="en-GB"/>
    </w:rPr>
  </w:style>
  <w:style w:type="character" w:customStyle="1" w:styleId="headline1Zchn">
    <w:name w:val="headline 1 Zchn"/>
    <w:basedOn w:val="DefaultParagraphFont"/>
    <w:link w:val="headline1"/>
    <w:rsid w:val="00CD3681"/>
    <w:rPr>
      <w:rFonts w:ascii="Arial" w:hAnsi="Arial"/>
      <w:b/>
      <w:color w:val="23236E"/>
      <w:sz w:val="28"/>
      <w:szCs w:val="28"/>
      <w:lang w:val="en-GB"/>
    </w:rPr>
  </w:style>
  <w:style w:type="paragraph" w:customStyle="1" w:styleId="tablehead">
    <w:name w:val="table head"/>
    <w:basedOn w:val="exampleheaderdate"/>
    <w:link w:val="tableheadZchn"/>
    <w:uiPriority w:val="2"/>
    <w:qFormat/>
    <w:rsid w:val="00D33F40"/>
    <w:rPr>
      <w:b/>
      <w:sz w:val="28"/>
      <w:szCs w:val="28"/>
    </w:rPr>
  </w:style>
  <w:style w:type="character" w:customStyle="1" w:styleId="tableheadZchn">
    <w:name w:val="table head Zchn"/>
    <w:basedOn w:val="exampleheaderdateZchn"/>
    <w:link w:val="tablehead"/>
    <w:uiPriority w:val="2"/>
    <w:rsid w:val="00D33F40"/>
    <w:rPr>
      <w:rFonts w:ascii="Arial" w:hAnsi="Arial"/>
      <w:b/>
      <w:bCs/>
      <w:color w:val="23236E"/>
      <w:sz w:val="28"/>
      <w:szCs w:val="28"/>
      <w:lang w:val="en-GB"/>
    </w:rPr>
  </w:style>
  <w:style w:type="paragraph" w:customStyle="1" w:styleId="textregular">
    <w:name w:val="text regular"/>
    <w:link w:val="textregularZchn"/>
    <w:qFormat/>
    <w:rsid w:val="00366C1C"/>
    <w:pPr>
      <w:spacing w:after="120"/>
      <w:jc w:val="both"/>
    </w:pPr>
    <w:rPr>
      <w:szCs w:val="19"/>
      <w:lang w:val="en-GB"/>
    </w:rPr>
  </w:style>
  <w:style w:type="character" w:customStyle="1" w:styleId="textregularZchn">
    <w:name w:val="text regular Zchn"/>
    <w:basedOn w:val="headline1Zchn"/>
    <w:link w:val="textregular"/>
    <w:rsid w:val="00366C1C"/>
    <w:rPr>
      <w:rFonts w:ascii="Arial" w:hAnsi="Arial"/>
      <w:b/>
      <w:color w:val="23236E"/>
      <w:sz w:val="22"/>
      <w:szCs w:val="19"/>
      <w:lang w:val="en-GB"/>
    </w:rPr>
  </w:style>
  <w:style w:type="paragraph" w:customStyle="1" w:styleId="decisionhead">
    <w:name w:val="decision head"/>
    <w:next w:val="Normal"/>
    <w:link w:val="decisionheadZchn"/>
    <w:uiPriority w:val="3"/>
    <w:qFormat/>
    <w:rsid w:val="000771A5"/>
    <w:pPr>
      <w:pBdr>
        <w:top w:val="single" w:sz="24" w:space="1" w:color="B4B4C8"/>
        <w:left w:val="single" w:sz="24" w:space="4" w:color="B4B4C8"/>
        <w:right w:val="single" w:sz="24" w:space="4" w:color="B4B4C8"/>
      </w:pBdr>
      <w:shd w:val="clear" w:color="auto" w:fill="B4B4C8"/>
      <w:spacing w:line="260" w:lineRule="exact"/>
      <w:ind w:left="170" w:right="170"/>
    </w:pPr>
    <w:rPr>
      <w:rFonts w:ascii="Arial" w:hAnsi="Arial" w:cs="Arial"/>
      <w:b/>
      <w:color w:val="23236E"/>
      <w:sz w:val="24"/>
      <w:lang w:val="en-GB"/>
    </w:rPr>
  </w:style>
  <w:style w:type="character" w:customStyle="1" w:styleId="decisionheadZchn">
    <w:name w:val="decision head Zchn"/>
    <w:basedOn w:val="DefaultParagraphFont"/>
    <w:link w:val="decisionhead"/>
    <w:uiPriority w:val="3"/>
    <w:rsid w:val="001330E2"/>
    <w:rPr>
      <w:rFonts w:ascii="Arial" w:hAnsi="Arial" w:cs="Arial"/>
      <w:b/>
      <w:color w:val="23236E"/>
      <w:sz w:val="24"/>
      <w:shd w:val="clear" w:color="auto" w:fill="B4B4C8"/>
      <w:lang w:val="en-GB"/>
    </w:rPr>
  </w:style>
  <w:style w:type="paragraph" w:customStyle="1" w:styleId="headline3">
    <w:name w:val="headline 3"/>
    <w:basedOn w:val="textregular"/>
    <w:next w:val="textregular"/>
    <w:link w:val="headline3Zchn"/>
    <w:qFormat/>
    <w:rsid w:val="00672A61"/>
    <w:pPr>
      <w:keepNext/>
      <w:spacing w:after="20"/>
      <w:ind w:left="1225" w:hanging="505"/>
    </w:pPr>
    <w:rPr>
      <w:b/>
      <w:color w:val="23236E"/>
    </w:rPr>
  </w:style>
  <w:style w:type="character" w:customStyle="1" w:styleId="headline3Zchn">
    <w:name w:val="headline 3 Zchn"/>
    <w:basedOn w:val="textregularZchn"/>
    <w:link w:val="headline3"/>
    <w:rsid w:val="00672A61"/>
    <w:rPr>
      <w:rFonts w:ascii="Arial" w:hAnsi="Arial"/>
      <w:b/>
      <w:color w:val="23236E"/>
      <w:sz w:val="22"/>
      <w:szCs w:val="19"/>
      <w:lang w:val="en-GB"/>
    </w:rPr>
  </w:style>
  <w:style w:type="paragraph" w:customStyle="1" w:styleId="textenumeration">
    <w:name w:val="text enumeration"/>
    <w:link w:val="textenumerationZchn"/>
    <w:uiPriority w:val="1"/>
    <w:qFormat/>
    <w:rsid w:val="00455CC4"/>
    <w:pPr>
      <w:numPr>
        <w:numId w:val="2"/>
      </w:numPr>
      <w:spacing w:after="120"/>
      <w:contextualSpacing/>
    </w:pPr>
    <w:rPr>
      <w:szCs w:val="19"/>
      <w:lang w:val="en-GB"/>
    </w:rPr>
  </w:style>
  <w:style w:type="character" w:customStyle="1" w:styleId="textenumerationZchn">
    <w:name w:val="text enumeration Zchn"/>
    <w:basedOn w:val="textregularZchn"/>
    <w:link w:val="textenumeration"/>
    <w:uiPriority w:val="1"/>
    <w:rsid w:val="00455CC4"/>
    <w:rPr>
      <w:rFonts w:ascii="Arial" w:hAnsi="Arial"/>
      <w:b w:val="0"/>
      <w:color w:val="23236E"/>
      <w:sz w:val="22"/>
      <w:szCs w:val="19"/>
      <w:lang w:val="en-GB"/>
    </w:rPr>
  </w:style>
  <w:style w:type="paragraph" w:customStyle="1" w:styleId="textbullets">
    <w:name w:val="text bullets"/>
    <w:link w:val="textbulletsZchn"/>
    <w:uiPriority w:val="1"/>
    <w:qFormat/>
    <w:rsid w:val="00BC38B7"/>
    <w:pPr>
      <w:numPr>
        <w:numId w:val="3"/>
      </w:numPr>
      <w:contextualSpacing/>
    </w:pPr>
    <w:rPr>
      <w:szCs w:val="19"/>
      <w:lang w:val="en-GB"/>
    </w:rPr>
  </w:style>
  <w:style w:type="character" w:customStyle="1" w:styleId="textbulletsZchn">
    <w:name w:val="text bullets Zchn"/>
    <w:basedOn w:val="textregularZchn"/>
    <w:link w:val="textbullets"/>
    <w:uiPriority w:val="1"/>
    <w:rsid w:val="001330E2"/>
    <w:rPr>
      <w:rFonts w:ascii="Arial" w:hAnsi="Arial"/>
      <w:b w:val="0"/>
      <w:color w:val="23236E"/>
      <w:sz w:val="22"/>
      <w:szCs w:val="19"/>
      <w:lang w:val="en-GB"/>
    </w:rPr>
  </w:style>
  <w:style w:type="paragraph" w:styleId="Footer">
    <w:name w:val="footer"/>
    <w:basedOn w:val="Normal"/>
    <w:link w:val="FooterChar"/>
    <w:uiPriority w:val="99"/>
    <w:rsid w:val="00D0292A"/>
    <w:pPr>
      <w:tabs>
        <w:tab w:val="center" w:pos="4536"/>
        <w:tab w:val="right" w:pos="9072"/>
      </w:tabs>
    </w:pPr>
  </w:style>
  <w:style w:type="character" w:customStyle="1" w:styleId="FooterChar">
    <w:name w:val="Footer Char"/>
    <w:basedOn w:val="DefaultParagraphFont"/>
    <w:link w:val="Footer"/>
    <w:uiPriority w:val="99"/>
    <w:rsid w:val="00D0292A"/>
    <w:rPr>
      <w:rFonts w:ascii="Arial" w:hAnsi="Arial"/>
      <w:szCs w:val="24"/>
    </w:rPr>
  </w:style>
  <w:style w:type="paragraph" w:styleId="Header">
    <w:name w:val="header"/>
    <w:basedOn w:val="Normal"/>
    <w:link w:val="HeaderChar"/>
    <w:uiPriority w:val="99"/>
    <w:rsid w:val="00D0292A"/>
    <w:pPr>
      <w:tabs>
        <w:tab w:val="center" w:pos="4536"/>
        <w:tab w:val="right" w:pos="9072"/>
      </w:tabs>
    </w:pPr>
  </w:style>
  <w:style w:type="character" w:customStyle="1" w:styleId="HeaderChar">
    <w:name w:val="Header Char"/>
    <w:basedOn w:val="DefaultParagraphFont"/>
    <w:link w:val="Header"/>
    <w:uiPriority w:val="99"/>
    <w:rsid w:val="00D0292A"/>
    <w:rPr>
      <w:rFonts w:ascii="Arial" w:hAnsi="Arial"/>
      <w:szCs w:val="24"/>
    </w:rPr>
  </w:style>
  <w:style w:type="paragraph" w:styleId="FootnoteText">
    <w:name w:val="footnote text"/>
    <w:aliases w:val="footnotes"/>
    <w:basedOn w:val="Normal"/>
    <w:link w:val="FootnoteTextChar"/>
    <w:uiPriority w:val="99"/>
    <w:rsid w:val="00A36B08"/>
    <w:rPr>
      <w:rFonts w:ascii="Times New Roman" w:hAnsi="Times New Roman"/>
      <w:sz w:val="19"/>
      <w:szCs w:val="20"/>
    </w:rPr>
  </w:style>
  <w:style w:type="character" w:customStyle="1" w:styleId="FootnoteTextChar">
    <w:name w:val="Footnote Text Char"/>
    <w:aliases w:val="footnotes Char"/>
    <w:basedOn w:val="DefaultParagraphFont"/>
    <w:link w:val="FootnoteText"/>
    <w:uiPriority w:val="99"/>
    <w:rsid w:val="00A36B08"/>
    <w:rPr>
      <w:sz w:val="19"/>
      <w:lang w:val="en-GB"/>
    </w:rPr>
  </w:style>
  <w:style w:type="character" w:styleId="FootnoteReference">
    <w:name w:val="footnote reference"/>
    <w:basedOn w:val="DefaultParagraphFont"/>
    <w:uiPriority w:val="99"/>
    <w:rsid w:val="00291401"/>
    <w:rPr>
      <w:vertAlign w:val="superscript"/>
    </w:rPr>
  </w:style>
  <w:style w:type="paragraph" w:customStyle="1" w:styleId="decisionbullet1">
    <w:name w:val="decision bullet 1"/>
    <w:basedOn w:val="Normal"/>
    <w:link w:val="decisionbullet1Zchn"/>
    <w:uiPriority w:val="3"/>
    <w:qFormat/>
    <w:rsid w:val="00B8360C"/>
    <w:pPr>
      <w:numPr>
        <w:numId w:val="1"/>
      </w:numPr>
      <w:pBdr>
        <w:top w:val="single" w:sz="24" w:space="0" w:color="B4B4C8"/>
        <w:left w:val="single" w:sz="24" w:space="4" w:color="B4B4C8"/>
        <w:bottom w:val="single" w:sz="24" w:space="0" w:color="B4B4C8"/>
        <w:right w:val="single" w:sz="24" w:space="4" w:color="B4B4C8"/>
      </w:pBdr>
      <w:shd w:val="clear" w:color="auto" w:fill="B4B4C8"/>
      <w:ind w:left="527" w:right="170" w:hanging="357"/>
    </w:pPr>
    <w:rPr>
      <w:rFonts w:ascii="Times New Roman" w:hAnsi="Times New Roman"/>
      <w:position w:val="8"/>
      <w:szCs w:val="19"/>
    </w:rPr>
  </w:style>
  <w:style w:type="character" w:customStyle="1" w:styleId="decisionbullet1Zchn">
    <w:name w:val="decision bullet 1 Zchn"/>
    <w:basedOn w:val="DefaultParagraphFont"/>
    <w:link w:val="decisionbullet1"/>
    <w:uiPriority w:val="3"/>
    <w:rsid w:val="00B8360C"/>
    <w:rPr>
      <w:position w:val="8"/>
      <w:szCs w:val="19"/>
      <w:shd w:val="clear" w:color="auto" w:fill="B4B4C8"/>
      <w:lang w:val="en-GB"/>
    </w:rPr>
  </w:style>
  <w:style w:type="paragraph" w:customStyle="1" w:styleId="decisionbullet2">
    <w:name w:val="decision bullet 2"/>
    <w:basedOn w:val="decisionbullet1"/>
    <w:link w:val="decisionbullet2Zchn"/>
    <w:uiPriority w:val="3"/>
    <w:qFormat/>
    <w:rsid w:val="0043379B"/>
    <w:pPr>
      <w:pBdr>
        <w:left w:val="single" w:sz="24" w:space="21" w:color="B4B4C8"/>
        <w:bottom w:val="single" w:sz="24" w:space="3" w:color="B4B4C8"/>
      </w:pBdr>
      <w:ind w:left="884" w:hanging="374"/>
      <w:outlineLvl w:val="0"/>
    </w:pPr>
  </w:style>
  <w:style w:type="character" w:customStyle="1" w:styleId="decisionbullet2Zchn">
    <w:name w:val="decision bullet 2 Zchn"/>
    <w:basedOn w:val="decisionbullet1Zchn"/>
    <w:link w:val="decisionbullet2"/>
    <w:uiPriority w:val="3"/>
    <w:rsid w:val="0043379B"/>
    <w:rPr>
      <w:position w:val="8"/>
      <w:szCs w:val="19"/>
      <w:shd w:val="clear" w:color="auto" w:fill="B4B4C8"/>
      <w:lang w:val="en-GB"/>
    </w:rPr>
  </w:style>
  <w:style w:type="paragraph" w:customStyle="1" w:styleId="headline2">
    <w:name w:val="headline 2"/>
    <w:basedOn w:val="headline1"/>
    <w:next w:val="textregular"/>
    <w:qFormat/>
    <w:rsid w:val="00A148F6"/>
    <w:pPr>
      <w:keepNext/>
      <w:pageBreakBefore w:val="0"/>
      <w:spacing w:line="260" w:lineRule="exact"/>
      <w:ind w:left="0" w:firstLine="0"/>
    </w:pPr>
    <w:rPr>
      <w:rFonts w:ascii="Times New Roman" w:hAnsi="Times New Roman"/>
      <w:bCs/>
      <w:szCs w:val="24"/>
    </w:rPr>
  </w:style>
  <w:style w:type="paragraph" w:customStyle="1" w:styleId="captions">
    <w:name w:val="captions"/>
    <w:next w:val="textregular"/>
    <w:uiPriority w:val="2"/>
    <w:qFormat/>
    <w:rsid w:val="00D33F40"/>
    <w:pPr>
      <w:spacing w:after="120"/>
    </w:pPr>
    <w:rPr>
      <w:i/>
      <w:szCs w:val="24"/>
      <w:lang w:val="en-GB"/>
    </w:rPr>
  </w:style>
  <w:style w:type="paragraph" w:styleId="NoteHeading">
    <w:name w:val="Note Heading"/>
    <w:basedOn w:val="Normal"/>
    <w:next w:val="Normal"/>
    <w:link w:val="NoteHeadingChar"/>
    <w:semiHidden/>
    <w:rsid w:val="0074372B"/>
    <w:rPr>
      <w:rFonts w:ascii="Times New Roman" w:hAnsi="Times New Roman"/>
      <w:sz w:val="19"/>
    </w:rPr>
  </w:style>
  <w:style w:type="character" w:customStyle="1" w:styleId="NoteHeadingChar">
    <w:name w:val="Note Heading Char"/>
    <w:basedOn w:val="DefaultParagraphFont"/>
    <w:link w:val="NoteHeading"/>
    <w:semiHidden/>
    <w:rsid w:val="0074372B"/>
    <w:rPr>
      <w:sz w:val="19"/>
      <w:szCs w:val="24"/>
    </w:rPr>
  </w:style>
  <w:style w:type="paragraph" w:styleId="EndnoteText">
    <w:name w:val="endnote text"/>
    <w:basedOn w:val="Normal"/>
    <w:link w:val="EndnoteTextChar"/>
    <w:semiHidden/>
    <w:rsid w:val="00084E16"/>
    <w:rPr>
      <w:rFonts w:ascii="Times New Roman" w:hAnsi="Times New Roman"/>
      <w:sz w:val="19"/>
      <w:szCs w:val="20"/>
    </w:rPr>
  </w:style>
  <w:style w:type="character" w:customStyle="1" w:styleId="EndnoteTextChar">
    <w:name w:val="Endnote Text Char"/>
    <w:basedOn w:val="DefaultParagraphFont"/>
    <w:link w:val="EndnoteText"/>
    <w:semiHidden/>
    <w:rsid w:val="00084E16"/>
    <w:rPr>
      <w:sz w:val="19"/>
      <w:szCs w:val="20"/>
    </w:rPr>
  </w:style>
  <w:style w:type="character" w:styleId="EndnoteReference">
    <w:name w:val="endnote reference"/>
    <w:basedOn w:val="DefaultParagraphFont"/>
    <w:semiHidden/>
    <w:rsid w:val="00084E16"/>
    <w:rPr>
      <w:vertAlign w:val="superscript"/>
    </w:rPr>
  </w:style>
  <w:style w:type="character" w:customStyle="1" w:styleId="TabTimes95pt">
    <w:name w:val="Tab Times 9_5 pt"/>
    <w:basedOn w:val="DefaultParagraphFont"/>
    <w:qFormat/>
    <w:rsid w:val="00CA222D"/>
    <w:rPr>
      <w:rFonts w:ascii="Times New Roman" w:hAnsi="Times New Roman"/>
      <w:sz w:val="19"/>
    </w:rPr>
  </w:style>
  <w:style w:type="character" w:customStyle="1" w:styleId="Heading1Char">
    <w:name w:val="Heading 1 Char"/>
    <w:basedOn w:val="DefaultParagraphFont"/>
    <w:link w:val="Heading1"/>
    <w:semiHidden/>
    <w:rsid w:val="00417CC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17CCA"/>
    <w:pPr>
      <w:spacing w:line="276" w:lineRule="auto"/>
      <w:outlineLvl w:val="9"/>
    </w:pPr>
  </w:style>
  <w:style w:type="paragraph" w:styleId="TOC1">
    <w:name w:val="toc 1"/>
    <w:basedOn w:val="Normal"/>
    <w:next w:val="Normal"/>
    <w:autoRedefine/>
    <w:uiPriority w:val="39"/>
    <w:unhideWhenUsed/>
    <w:rsid w:val="00530F80"/>
    <w:pPr>
      <w:tabs>
        <w:tab w:val="left" w:pos="440"/>
        <w:tab w:val="right" w:leader="dot" w:pos="9514"/>
      </w:tabs>
      <w:spacing w:after="100"/>
    </w:pPr>
    <w:rPr>
      <w:rFonts w:ascii="Times New Roman" w:hAnsi="Times New Roman"/>
      <w:b/>
      <w:noProof/>
    </w:rPr>
  </w:style>
  <w:style w:type="character" w:styleId="Hyperlink">
    <w:name w:val="Hyperlink"/>
    <w:basedOn w:val="DefaultParagraphFont"/>
    <w:uiPriority w:val="99"/>
    <w:unhideWhenUsed/>
    <w:rsid w:val="00AD7D12"/>
    <w:rPr>
      <w:color w:val="0000FF" w:themeColor="hyperlink"/>
      <w:u w:val="single"/>
    </w:rPr>
  </w:style>
  <w:style w:type="paragraph" w:styleId="TOC2">
    <w:name w:val="toc 2"/>
    <w:basedOn w:val="Normal"/>
    <w:next w:val="Normal"/>
    <w:autoRedefine/>
    <w:uiPriority w:val="39"/>
    <w:unhideWhenUsed/>
    <w:rsid w:val="002F4859"/>
    <w:pPr>
      <w:tabs>
        <w:tab w:val="left" w:pos="880"/>
        <w:tab w:val="right" w:leader="dot" w:pos="9514"/>
      </w:tabs>
      <w:spacing w:after="100"/>
      <w:ind w:left="220"/>
    </w:pPr>
    <w:rPr>
      <w:rFonts w:ascii="Times New Roman" w:hAnsi="Times New Roman"/>
    </w:rPr>
  </w:style>
  <w:style w:type="paragraph" w:styleId="TOC3">
    <w:name w:val="toc 3"/>
    <w:basedOn w:val="Normal"/>
    <w:next w:val="Normal"/>
    <w:autoRedefine/>
    <w:uiPriority w:val="39"/>
    <w:unhideWhenUsed/>
    <w:rsid w:val="002D7EAB"/>
    <w:pPr>
      <w:spacing w:after="100"/>
      <w:ind w:left="440"/>
    </w:pPr>
    <w:rPr>
      <w:rFonts w:ascii="Times New Roman" w:hAnsi="Times New Roman"/>
    </w:rPr>
  </w:style>
  <w:style w:type="paragraph" w:customStyle="1" w:styleId="Default">
    <w:name w:val="Default"/>
    <w:rsid w:val="00B23BA6"/>
    <w:pPr>
      <w:autoSpaceDE w:val="0"/>
      <w:autoSpaceDN w:val="0"/>
      <w:adjustRightInd w:val="0"/>
    </w:pPr>
    <w:rPr>
      <w:rFonts w:ascii="Arial" w:eastAsiaTheme="minorHAnsi" w:hAnsi="Arial" w:cs="Arial"/>
      <w:color w:val="000000"/>
      <w:sz w:val="24"/>
      <w:szCs w:val="24"/>
      <w:lang w:val="nb-NO" w:eastAsia="en-US"/>
    </w:rPr>
  </w:style>
  <w:style w:type="character" w:styleId="CommentReference">
    <w:name w:val="annotation reference"/>
    <w:aliases w:val="Stinking Styles6,Marque de commentaire1,Verwijzing opmerking,Rimando commento"/>
    <w:basedOn w:val="DefaultParagraphFont"/>
    <w:uiPriority w:val="99"/>
    <w:unhideWhenUsed/>
    <w:rsid w:val="00B23BA6"/>
    <w:rPr>
      <w:sz w:val="16"/>
      <w:szCs w:val="16"/>
    </w:rPr>
  </w:style>
  <w:style w:type="paragraph" w:styleId="CommentText">
    <w:name w:val="annotation text"/>
    <w:aliases w:val="Stinking Styles5,Tekst opmerking,Testo commento,Texto comentario"/>
    <w:basedOn w:val="Normal"/>
    <w:link w:val="CommentTextChar"/>
    <w:uiPriority w:val="99"/>
    <w:unhideWhenUsed/>
    <w:rsid w:val="00BC799A"/>
    <w:rPr>
      <w:sz w:val="20"/>
      <w:szCs w:val="20"/>
    </w:rPr>
  </w:style>
  <w:style w:type="character" w:customStyle="1" w:styleId="CommentTextChar">
    <w:name w:val="Comment Text Char"/>
    <w:aliases w:val="Stinking Styles5 Char,Tekst opmerking Char,Testo commento Char,Texto comentario Char"/>
    <w:basedOn w:val="DefaultParagraphFont"/>
    <w:link w:val="CommentText"/>
    <w:uiPriority w:val="99"/>
    <w:rsid w:val="00BC799A"/>
    <w:rPr>
      <w:rFonts w:ascii="Arial" w:hAnsi="Arial"/>
      <w:sz w:val="20"/>
      <w:szCs w:val="20"/>
    </w:rPr>
  </w:style>
  <w:style w:type="paragraph" w:styleId="CommentSubject">
    <w:name w:val="annotation subject"/>
    <w:basedOn w:val="CommentText"/>
    <w:next w:val="CommentText"/>
    <w:link w:val="CommentSubjectChar"/>
    <w:semiHidden/>
    <w:unhideWhenUsed/>
    <w:rsid w:val="00BC799A"/>
    <w:rPr>
      <w:b/>
      <w:bCs/>
    </w:rPr>
  </w:style>
  <w:style w:type="character" w:customStyle="1" w:styleId="CommentSubjectChar">
    <w:name w:val="Comment Subject Char"/>
    <w:basedOn w:val="CommentTextChar"/>
    <w:link w:val="CommentSubject"/>
    <w:semiHidden/>
    <w:rsid w:val="00BC799A"/>
    <w:rPr>
      <w:rFonts w:ascii="Arial" w:hAnsi="Arial"/>
      <w:b/>
      <w:bCs/>
      <w:sz w:val="20"/>
      <w:szCs w:val="20"/>
    </w:rPr>
  </w:style>
  <w:style w:type="paragraph" w:customStyle="1" w:styleId="Copy95pt">
    <w:name w:val="Copy 9.5 pt"/>
    <w:basedOn w:val="Normal"/>
    <w:link w:val="Copy95ptZchn"/>
    <w:qFormat/>
    <w:rsid w:val="00BC799A"/>
    <w:pPr>
      <w:spacing w:after="120" w:line="360" w:lineRule="auto"/>
    </w:pPr>
    <w:rPr>
      <w:rFonts w:ascii="Times New Roman" w:hAnsi="Times New Roman"/>
      <w:sz w:val="20"/>
      <w:szCs w:val="13"/>
    </w:rPr>
  </w:style>
  <w:style w:type="character" w:customStyle="1" w:styleId="Copy95ptZchn">
    <w:name w:val="Copy 9.5 pt Zchn"/>
    <w:basedOn w:val="DefaultParagraphFont"/>
    <w:link w:val="Copy95pt"/>
    <w:rsid w:val="00BC799A"/>
    <w:rPr>
      <w:sz w:val="20"/>
      <w:szCs w:val="13"/>
      <w:lang w:val="en-GB"/>
    </w:rPr>
  </w:style>
  <w:style w:type="paragraph" w:customStyle="1" w:styleId="NumPar1">
    <w:name w:val="NumPar 1"/>
    <w:next w:val="Normal"/>
    <w:rsid w:val="005B2FA4"/>
    <w:pPr>
      <w:pBdr>
        <w:top w:val="nil"/>
        <w:left w:val="nil"/>
        <w:bottom w:val="nil"/>
        <w:right w:val="nil"/>
        <w:between w:val="nil"/>
        <w:bar w:val="nil"/>
      </w:pBdr>
      <w:tabs>
        <w:tab w:val="left" w:pos="850"/>
      </w:tabs>
      <w:spacing w:before="120" w:after="120"/>
      <w:ind w:left="850" w:hanging="850"/>
      <w:jc w:val="both"/>
    </w:pPr>
    <w:rPr>
      <w:rFonts w:eastAsia="Arial Unicode MS" w:hAnsi="Arial Unicode MS" w:cs="Arial Unicode MS"/>
      <w:color w:val="000000"/>
      <w:sz w:val="24"/>
      <w:szCs w:val="24"/>
      <w:u w:color="000000"/>
      <w:bdr w:val="nil"/>
      <w:lang w:val="en-US" w:eastAsia="en-GB"/>
    </w:rPr>
  </w:style>
  <w:style w:type="paragraph" w:customStyle="1" w:styleId="Point1letter">
    <w:name w:val="Point 1 (letter)"/>
    <w:rsid w:val="005D5DF6"/>
    <w:pPr>
      <w:pBdr>
        <w:top w:val="nil"/>
        <w:left w:val="nil"/>
        <w:bottom w:val="nil"/>
        <w:right w:val="nil"/>
        <w:between w:val="nil"/>
        <w:bar w:val="nil"/>
      </w:pBdr>
      <w:tabs>
        <w:tab w:val="left" w:pos="1417"/>
      </w:tabs>
      <w:spacing w:before="120" w:after="120"/>
      <w:ind w:left="1417" w:hanging="567"/>
      <w:jc w:val="both"/>
    </w:pPr>
    <w:rPr>
      <w:rFonts w:eastAsia="Arial Unicode MS" w:hAnsi="Arial Unicode MS" w:cs="Arial Unicode MS"/>
      <w:color w:val="000000"/>
      <w:sz w:val="24"/>
      <w:szCs w:val="24"/>
      <w:u w:color="000000"/>
      <w:bdr w:val="nil"/>
      <w:lang w:val="en-US" w:eastAsia="en-GB"/>
    </w:rPr>
  </w:style>
  <w:style w:type="paragraph" w:customStyle="1" w:styleId="CM1">
    <w:name w:val="CM1"/>
    <w:basedOn w:val="Default"/>
    <w:next w:val="Default"/>
    <w:uiPriority w:val="99"/>
    <w:rsid w:val="002F256C"/>
    <w:rPr>
      <w:rFonts w:ascii="EUAlbertina" w:eastAsia="Times New Roman" w:hAnsi="EUAlbertina" w:cs="Times New Roman"/>
      <w:color w:val="auto"/>
      <w:lang w:val="sv-SE" w:eastAsia="de-DE"/>
    </w:rPr>
  </w:style>
  <w:style w:type="paragraph" w:customStyle="1" w:styleId="CM3">
    <w:name w:val="CM3"/>
    <w:basedOn w:val="Default"/>
    <w:next w:val="Default"/>
    <w:uiPriority w:val="99"/>
    <w:rsid w:val="002F256C"/>
    <w:rPr>
      <w:rFonts w:ascii="EUAlbertina" w:eastAsia="Times New Roman" w:hAnsi="EUAlbertina" w:cs="Times New Roman"/>
      <w:color w:val="auto"/>
      <w:lang w:val="sv-SE" w:eastAsia="de-DE"/>
    </w:rPr>
  </w:style>
  <w:style w:type="paragraph" w:styleId="Revision">
    <w:name w:val="Revision"/>
    <w:hidden/>
    <w:uiPriority w:val="99"/>
    <w:semiHidden/>
    <w:rsid w:val="00804A42"/>
    <w:rPr>
      <w:rFonts w:ascii="Arial" w:hAnsi="Arial"/>
      <w:szCs w:val="24"/>
    </w:rPr>
  </w:style>
  <w:style w:type="paragraph" w:customStyle="1" w:styleId="Headline14pt">
    <w:name w:val="Headline 14 pt"/>
    <w:basedOn w:val="Normal"/>
    <w:next w:val="textregular"/>
    <w:link w:val="Headline14ptZchn"/>
    <w:qFormat/>
    <w:rsid w:val="00A148F6"/>
    <w:pPr>
      <w:keepNext/>
      <w:pageBreakBefore/>
      <w:spacing w:before="400" w:after="120" w:line="340" w:lineRule="exact"/>
    </w:pPr>
    <w:rPr>
      <w:rFonts w:ascii="Times New Roman" w:hAnsi="Times New Roman"/>
      <w:b/>
      <w:color w:val="23236E"/>
      <w:sz w:val="32"/>
      <w:szCs w:val="28"/>
    </w:rPr>
  </w:style>
  <w:style w:type="character" w:customStyle="1" w:styleId="Headline14ptZchn">
    <w:name w:val="Headline 14 pt Zchn"/>
    <w:basedOn w:val="DefaultParagraphFont"/>
    <w:link w:val="Headline14pt"/>
    <w:rsid w:val="00A148F6"/>
    <w:rPr>
      <w:b/>
      <w:color w:val="23236E"/>
      <w:sz w:val="32"/>
      <w:szCs w:val="28"/>
      <w:lang w:val="en-GB"/>
    </w:rPr>
  </w:style>
  <w:style w:type="table" w:customStyle="1" w:styleId="TableGrid1">
    <w:name w:val="Table Grid1"/>
    <w:basedOn w:val="TableNormal"/>
    <w:next w:val="TableGrid"/>
    <w:uiPriority w:val="59"/>
    <w:rsid w:val="00CB4E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B4EAF"/>
    <w:rPr>
      <w:color w:val="808080"/>
    </w:rPr>
  </w:style>
  <w:style w:type="table" w:customStyle="1" w:styleId="TableGrid2">
    <w:name w:val="Table Grid2"/>
    <w:basedOn w:val="TableNormal"/>
    <w:next w:val="TableGrid"/>
    <w:uiPriority w:val="59"/>
    <w:rsid w:val="006D3A7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75C2A"/>
    <w:pPr>
      <w:spacing w:before="100" w:beforeAutospacing="1" w:after="100" w:afterAutospacing="1"/>
    </w:pPr>
    <w:rPr>
      <w:rFonts w:ascii="Times New Roman" w:eastAsiaTheme="minorEastAsia" w:hAnsi="Times New Roman"/>
      <w:sz w:val="24"/>
      <w:lang w:val="fi-FI" w:eastAsia="fi-FI"/>
    </w:rPr>
  </w:style>
  <w:style w:type="paragraph" w:customStyle="1" w:styleId="Paragraphe">
    <w:name w:val="Paragraphe"/>
    <w:basedOn w:val="Normal"/>
    <w:uiPriority w:val="99"/>
    <w:rsid w:val="00362718"/>
    <w:pPr>
      <w:keepLines/>
      <w:widowControl w:val="0"/>
      <w:autoSpaceDE w:val="0"/>
      <w:autoSpaceDN w:val="0"/>
      <w:spacing w:before="120" w:after="120" w:line="276" w:lineRule="auto"/>
      <w:jc w:val="both"/>
    </w:pPr>
    <w:rPr>
      <w:rFonts w:ascii="AvenirNext LT Com Regular" w:hAnsi="AvenirNext LT Com Regular" w:cs="AvenirNext LT Com Regular"/>
      <w:lang w:val="en-US" w:eastAsia="fr-FR"/>
    </w:rPr>
  </w:style>
  <w:style w:type="character" w:customStyle="1" w:styleId="ListParagraphChar">
    <w:name w:val="List Paragraph Char"/>
    <w:link w:val="ListParagraph"/>
    <w:uiPriority w:val="34"/>
    <w:locked/>
    <w:rsid w:val="00362718"/>
    <w:rPr>
      <w:rFonts w:ascii="Arial" w:hAnsi="Arial"/>
      <w:szCs w:val="24"/>
    </w:rPr>
  </w:style>
  <w:style w:type="character" w:customStyle="1" w:styleId="Heading2Char">
    <w:name w:val="Heading 2 Char"/>
    <w:basedOn w:val="DefaultParagraphFont"/>
    <w:link w:val="Heading2"/>
    <w:uiPriority w:val="99"/>
    <w:rsid w:val="00501FB2"/>
    <w:rPr>
      <w:rFonts w:asciiTheme="majorHAnsi" w:eastAsiaTheme="majorEastAsia" w:hAnsiTheme="majorHAnsi" w:cstheme="majorBidi"/>
      <w:color w:val="365F91" w:themeColor="accent1" w:themeShade="BF"/>
      <w:sz w:val="26"/>
      <w:szCs w:val="26"/>
    </w:rPr>
  </w:style>
  <w:style w:type="paragraph" w:styleId="Caption">
    <w:name w:val="caption"/>
    <w:basedOn w:val="Normal"/>
    <w:next w:val="Normal"/>
    <w:qFormat/>
    <w:rsid w:val="006239D2"/>
    <w:pPr>
      <w:spacing w:after="240"/>
      <w:ind w:left="851" w:hanging="851"/>
      <w:jc w:val="center"/>
    </w:pPr>
    <w:rPr>
      <w:rFonts w:ascii="Times New Roman" w:eastAsia="Calibri" w:hAnsi="Times New Roman"/>
      <w:b/>
      <w:bCs/>
      <w:smallCaps/>
      <w:sz w:val="20"/>
      <w:szCs w:val="20"/>
    </w:rPr>
  </w:style>
  <w:style w:type="character" w:customStyle="1" w:styleId="Heading3Char">
    <w:name w:val="Heading 3 Char"/>
    <w:basedOn w:val="DefaultParagraphFont"/>
    <w:link w:val="Heading3"/>
    <w:semiHidden/>
    <w:rsid w:val="0014685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semiHidden/>
    <w:rsid w:val="00146850"/>
    <w:rPr>
      <w:rFonts w:asciiTheme="majorHAnsi" w:eastAsiaTheme="majorEastAsia" w:hAnsiTheme="majorHAnsi" w:cstheme="majorBidi"/>
      <w:i/>
      <w:iCs/>
      <w:color w:val="365F91" w:themeColor="accent1" w:themeShade="BF"/>
      <w:szCs w:val="24"/>
    </w:rPr>
  </w:style>
  <w:style w:type="character" w:customStyle="1" w:styleId="Heading5Char">
    <w:name w:val="Heading 5 Char"/>
    <w:basedOn w:val="DefaultParagraphFont"/>
    <w:link w:val="Heading5"/>
    <w:semiHidden/>
    <w:rsid w:val="00146850"/>
    <w:rPr>
      <w:rFonts w:asciiTheme="majorHAnsi" w:eastAsiaTheme="majorEastAsia" w:hAnsiTheme="majorHAnsi" w:cstheme="majorBidi"/>
      <w:color w:val="365F91" w:themeColor="accent1" w:themeShade="BF"/>
      <w:szCs w:val="24"/>
    </w:rPr>
  </w:style>
  <w:style w:type="character" w:customStyle="1" w:styleId="Heading6Char">
    <w:name w:val="Heading 6 Char"/>
    <w:basedOn w:val="DefaultParagraphFont"/>
    <w:link w:val="Heading6"/>
    <w:semiHidden/>
    <w:rsid w:val="00146850"/>
    <w:rPr>
      <w:rFonts w:asciiTheme="majorHAnsi" w:eastAsiaTheme="majorEastAsia" w:hAnsiTheme="majorHAnsi" w:cstheme="majorBidi"/>
      <w:color w:val="243F60" w:themeColor="accent1" w:themeShade="7F"/>
      <w:szCs w:val="24"/>
    </w:rPr>
  </w:style>
  <w:style w:type="character" w:customStyle="1" w:styleId="Heading7Char">
    <w:name w:val="Heading 7 Char"/>
    <w:basedOn w:val="DefaultParagraphFont"/>
    <w:link w:val="Heading7"/>
    <w:semiHidden/>
    <w:rsid w:val="00146850"/>
    <w:rPr>
      <w:rFonts w:asciiTheme="majorHAnsi" w:eastAsiaTheme="majorEastAsia" w:hAnsiTheme="majorHAnsi" w:cstheme="majorBidi"/>
      <w:i/>
      <w:iCs/>
      <w:color w:val="243F60" w:themeColor="accent1" w:themeShade="7F"/>
      <w:szCs w:val="24"/>
    </w:rPr>
  </w:style>
  <w:style w:type="character" w:customStyle="1" w:styleId="Heading8Char">
    <w:name w:val="Heading 8 Char"/>
    <w:basedOn w:val="DefaultParagraphFont"/>
    <w:link w:val="Heading8"/>
    <w:semiHidden/>
    <w:rsid w:val="0014685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146850"/>
    <w:rPr>
      <w:rFonts w:asciiTheme="majorHAnsi" w:eastAsiaTheme="majorEastAsia" w:hAnsiTheme="majorHAnsi" w:cstheme="majorBidi"/>
      <w:i/>
      <w:iCs/>
      <w:color w:val="272727" w:themeColor="text1" w:themeTint="D8"/>
      <w:sz w:val="21"/>
      <w:szCs w:val="21"/>
    </w:rPr>
  </w:style>
  <w:style w:type="numbering" w:customStyle="1" w:styleId="Headline-Structure">
    <w:name w:val="Headline-Structure"/>
    <w:basedOn w:val="NoList"/>
    <w:uiPriority w:val="99"/>
    <w:rsid w:val="00146850"/>
    <w:pPr>
      <w:numPr>
        <w:numId w:val="4"/>
      </w:numPr>
    </w:pPr>
  </w:style>
  <w:style w:type="paragraph" w:customStyle="1" w:styleId="Figure">
    <w:name w:val="Figure"/>
    <w:basedOn w:val="Normal"/>
    <w:link w:val="FigureZchn"/>
    <w:qFormat/>
    <w:rsid w:val="008515CD"/>
    <w:pPr>
      <w:keepNext/>
      <w:spacing w:after="60"/>
      <w:jc w:val="center"/>
    </w:pPr>
    <w:rPr>
      <w:rFonts w:eastAsia="Calibri"/>
      <w:sz w:val="20"/>
      <w:szCs w:val="22"/>
      <w:lang w:val="en-US" w:eastAsia="en-US"/>
    </w:rPr>
  </w:style>
  <w:style w:type="character" w:customStyle="1" w:styleId="FigureZchn">
    <w:name w:val="Figure Zchn"/>
    <w:basedOn w:val="DefaultParagraphFont"/>
    <w:link w:val="Figure"/>
    <w:rsid w:val="008515CD"/>
    <w:rPr>
      <w:rFonts w:ascii="Arial" w:eastAsia="Calibri" w:hAnsi="Arial"/>
      <w:sz w:val="20"/>
      <w:lang w:val="en-US" w:eastAsia="en-US"/>
    </w:rPr>
  </w:style>
  <w:style w:type="paragraph" w:styleId="ListNumber">
    <w:name w:val="List Number"/>
    <w:basedOn w:val="Normal"/>
    <w:semiHidden/>
    <w:rsid w:val="009A3659"/>
    <w:pPr>
      <w:numPr>
        <w:numId w:val="5"/>
      </w:numPr>
      <w:contextualSpacing/>
    </w:pPr>
  </w:style>
  <w:style w:type="paragraph" w:styleId="TableofFigures">
    <w:name w:val="table of figures"/>
    <w:basedOn w:val="Normal"/>
    <w:next w:val="Normal"/>
    <w:uiPriority w:val="99"/>
    <w:unhideWhenUsed/>
    <w:rsid w:val="0089092C"/>
    <w:rPr>
      <w:rFonts w:ascii="Times New Roman" w:hAnsi="Times New Roman"/>
    </w:rPr>
  </w:style>
  <w:style w:type="character" w:styleId="FollowedHyperlink">
    <w:name w:val="FollowedHyperlink"/>
    <w:basedOn w:val="DefaultParagraphFont"/>
    <w:semiHidden/>
    <w:unhideWhenUsed/>
    <w:rsid w:val="004A193B"/>
    <w:rPr>
      <w:color w:val="800080" w:themeColor="followedHyperlink"/>
      <w:u w:val="single"/>
    </w:rPr>
  </w:style>
  <w:style w:type="table" w:customStyle="1" w:styleId="Tabellenraster1">
    <w:name w:val="Tabellenraster1"/>
    <w:basedOn w:val="TableNormal"/>
    <w:next w:val="TableGrid"/>
    <w:uiPriority w:val="59"/>
    <w:rsid w:val="0050633E"/>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3E6316"/>
    <w:pPr>
      <w:numPr>
        <w:numId w:val="6"/>
      </w:numPr>
    </w:pPr>
  </w:style>
  <w:style w:type="numbering" w:customStyle="1" w:styleId="Style2">
    <w:name w:val="Style2"/>
    <w:uiPriority w:val="99"/>
    <w:rsid w:val="00F50793"/>
    <w:pPr>
      <w:numPr>
        <w:numId w:val="7"/>
      </w:numPr>
    </w:pPr>
  </w:style>
  <w:style w:type="character" w:customStyle="1" w:styleId="UnresolvedMention1">
    <w:name w:val="Unresolved Mention1"/>
    <w:basedOn w:val="DefaultParagraphFont"/>
    <w:uiPriority w:val="99"/>
    <w:semiHidden/>
    <w:unhideWhenUsed/>
    <w:rsid w:val="00D90152"/>
    <w:rPr>
      <w:color w:val="808080"/>
      <w:shd w:val="clear" w:color="auto" w:fill="E6E6E6"/>
    </w:rPr>
  </w:style>
  <w:style w:type="paragraph" w:styleId="TOC4">
    <w:name w:val="toc 4"/>
    <w:basedOn w:val="Normal"/>
    <w:next w:val="Normal"/>
    <w:autoRedefine/>
    <w:semiHidden/>
    <w:unhideWhenUsed/>
    <w:rsid w:val="002D7EAB"/>
    <w:pPr>
      <w:spacing w:after="100"/>
      <w:ind w:left="660"/>
    </w:pPr>
    <w:rPr>
      <w:rFonts w:ascii="Times New Roman" w:hAnsi="Times New Roman"/>
    </w:rPr>
  </w:style>
  <w:style w:type="character" w:customStyle="1" w:styleId="UnresolvedMention2">
    <w:name w:val="Unresolved Mention2"/>
    <w:basedOn w:val="DefaultParagraphFont"/>
    <w:uiPriority w:val="99"/>
    <w:semiHidden/>
    <w:unhideWhenUsed/>
    <w:rsid w:val="0014620F"/>
    <w:rPr>
      <w:color w:val="808080"/>
      <w:shd w:val="clear" w:color="auto" w:fill="E6E6E6"/>
    </w:rPr>
  </w:style>
  <w:style w:type="table" w:customStyle="1" w:styleId="PlainTable41">
    <w:name w:val="Plain Table 41"/>
    <w:basedOn w:val="TableNormal"/>
    <w:uiPriority w:val="44"/>
    <w:rsid w:val="0034289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auGrille4-Accentuation51">
    <w:name w:val="Tableau Grille 4 - Accentuation 51"/>
    <w:basedOn w:val="TableNormal"/>
    <w:uiPriority w:val="49"/>
    <w:rsid w:val="00755B81"/>
    <w:rPr>
      <w:rFonts w:asciiTheme="minorHAnsi" w:eastAsiaTheme="minorHAnsi" w:hAnsiTheme="minorHAnsi" w:cstheme="minorBidi"/>
      <w:lang w:val="fr-FR" w:eastAsia="en-US"/>
    </w:rPr>
    <w:tblPr>
      <w:tblStyleRowBandSize w:val="1"/>
      <w:tblStyleColBandSize w:val="1"/>
      <w:jc w:val="center"/>
      <w:tblInd w:w="0" w:type="nil"/>
      <w:tblBorders>
        <w:top w:val="single" w:sz="4" w:space="0" w:color="215868" w:themeColor="accent5" w:themeShade="80"/>
        <w:left w:val="single" w:sz="4" w:space="0" w:color="215868" w:themeColor="accent5" w:themeShade="80"/>
        <w:bottom w:val="single" w:sz="4" w:space="0" w:color="215868" w:themeColor="accent5" w:themeShade="80"/>
        <w:right w:val="single" w:sz="4" w:space="0" w:color="215868" w:themeColor="accent5" w:themeShade="80"/>
        <w:insideH w:val="single" w:sz="4" w:space="0" w:color="215868" w:themeColor="accent5" w:themeShade="80"/>
        <w:insideV w:val="single" w:sz="4" w:space="0" w:color="215868" w:themeColor="accent5" w:themeShade="80"/>
      </w:tblBorders>
    </w:tblPr>
    <w:trPr>
      <w:jc w:val="center"/>
    </w:trPr>
    <w:tblStylePr w:type="firstRow">
      <w:rPr>
        <w:b/>
        <w:bCs/>
        <w:color w:val="FFFFFF" w:themeColor="background1"/>
      </w:rPr>
      <w:tblPr/>
      <w:tcPr>
        <w:tcBorders>
          <w:top w:val="single" w:sz="6" w:space="0" w:color="215868" w:themeColor="accent5" w:themeShade="80"/>
          <w:left w:val="single" w:sz="6" w:space="0" w:color="215868" w:themeColor="accent5" w:themeShade="80"/>
          <w:bottom w:val="single" w:sz="6" w:space="0" w:color="215868" w:themeColor="accent5" w:themeShade="80"/>
          <w:right w:val="single" w:sz="6" w:space="0" w:color="215868" w:themeColor="accent5" w:themeShade="80"/>
          <w:insideH w:val="nil"/>
          <w:insideV w:val="nil"/>
          <w:tl2br w:val="nil"/>
          <w:tr2bl w:val="nil"/>
        </w:tcBorders>
        <w:shd w:val="clear" w:color="auto" w:fill="215868" w:themeFill="accent5" w:themeFillShade="80"/>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FFFFFF" w:themeFill="background1"/>
      </w:tcPr>
    </w:tblStylePr>
    <w:tblStylePr w:type="band2Horz">
      <w:tblPr/>
      <w:tcPr>
        <w:shd w:val="clear" w:color="auto" w:fill="DBE5F1" w:themeFill="accent1" w:themeFillTint="33"/>
      </w:tcPr>
    </w:tblStylePr>
  </w:style>
  <w:style w:type="table" w:customStyle="1" w:styleId="GridTable5Dark-Accent11">
    <w:name w:val="Grid Table 5 Dark - Accent 11"/>
    <w:basedOn w:val="TableNormal"/>
    <w:uiPriority w:val="50"/>
    <w:rsid w:val="0018393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itternetztabelle5dunkelAkzent11">
    <w:name w:val="Gitternetztabelle 5 dunkel  – Akzent 11"/>
    <w:basedOn w:val="TableNormal"/>
    <w:uiPriority w:val="50"/>
    <w:rsid w:val="006114F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NumPar2">
    <w:name w:val="NumPar 2"/>
    <w:basedOn w:val="Normal"/>
    <w:next w:val="Normal"/>
    <w:rsid w:val="00681F79"/>
    <w:pPr>
      <w:tabs>
        <w:tab w:val="num" w:pos="850"/>
      </w:tabs>
      <w:spacing w:before="120" w:after="120"/>
      <w:ind w:left="850" w:hanging="850"/>
      <w:jc w:val="both"/>
    </w:pPr>
    <w:rPr>
      <w:rFonts w:ascii="Times New Roman" w:eastAsiaTheme="minorHAnsi" w:hAnsi="Times New Roman"/>
      <w:sz w:val="24"/>
      <w:szCs w:val="22"/>
      <w:lang w:eastAsia="en-US"/>
    </w:rPr>
  </w:style>
  <w:style w:type="paragraph" w:customStyle="1" w:styleId="NumPar3">
    <w:name w:val="NumPar 3"/>
    <w:basedOn w:val="Normal"/>
    <w:next w:val="Normal"/>
    <w:rsid w:val="00681F79"/>
    <w:pPr>
      <w:tabs>
        <w:tab w:val="num" w:pos="850"/>
      </w:tabs>
      <w:spacing w:before="120" w:after="120"/>
      <w:ind w:left="850" w:hanging="850"/>
      <w:jc w:val="both"/>
    </w:pPr>
    <w:rPr>
      <w:rFonts w:ascii="Times New Roman" w:eastAsiaTheme="minorHAnsi" w:hAnsi="Times New Roman"/>
      <w:sz w:val="24"/>
      <w:szCs w:val="22"/>
      <w:lang w:eastAsia="en-US"/>
    </w:rPr>
  </w:style>
  <w:style w:type="paragraph" w:customStyle="1" w:styleId="NumPar4">
    <w:name w:val="NumPar 4"/>
    <w:basedOn w:val="Normal"/>
    <w:next w:val="Normal"/>
    <w:rsid w:val="00681F79"/>
    <w:pPr>
      <w:tabs>
        <w:tab w:val="num" w:pos="850"/>
      </w:tabs>
      <w:spacing w:before="120" w:after="120"/>
      <w:ind w:left="850" w:hanging="850"/>
      <w:jc w:val="both"/>
    </w:pPr>
    <w:rPr>
      <w:rFonts w:ascii="Times New Roman" w:eastAsiaTheme="minorHAnsi" w:hAnsi="Times New Roman"/>
      <w:sz w:val="24"/>
      <w:szCs w:val="22"/>
      <w:lang w:eastAsia="en-US"/>
    </w:rPr>
  </w:style>
  <w:style w:type="paragraph" w:customStyle="1" w:styleId="Point0number">
    <w:name w:val="Point 0 (number)"/>
    <w:basedOn w:val="Normal"/>
    <w:rsid w:val="00681F79"/>
    <w:pPr>
      <w:tabs>
        <w:tab w:val="num" w:pos="850"/>
      </w:tabs>
      <w:spacing w:before="120" w:after="120"/>
      <w:ind w:left="850" w:hanging="850"/>
      <w:jc w:val="both"/>
    </w:pPr>
    <w:rPr>
      <w:rFonts w:ascii="Times New Roman" w:eastAsiaTheme="minorHAnsi" w:hAnsi="Times New Roman"/>
      <w:sz w:val="24"/>
      <w:szCs w:val="22"/>
      <w:lang w:eastAsia="en-US"/>
    </w:rPr>
  </w:style>
  <w:style w:type="paragraph" w:customStyle="1" w:styleId="Point1number">
    <w:name w:val="Point 1 (number)"/>
    <w:basedOn w:val="Normal"/>
    <w:rsid w:val="00681F79"/>
    <w:pPr>
      <w:tabs>
        <w:tab w:val="num" w:pos="1417"/>
      </w:tabs>
      <w:spacing w:before="120" w:after="120"/>
      <w:ind w:left="1417" w:hanging="567"/>
      <w:jc w:val="both"/>
    </w:pPr>
    <w:rPr>
      <w:rFonts w:ascii="Times New Roman" w:eastAsiaTheme="minorHAnsi" w:hAnsi="Times New Roman"/>
      <w:sz w:val="24"/>
      <w:szCs w:val="22"/>
      <w:lang w:eastAsia="en-US"/>
    </w:rPr>
  </w:style>
  <w:style w:type="paragraph" w:customStyle="1" w:styleId="Point2number">
    <w:name w:val="Point 2 (number)"/>
    <w:basedOn w:val="Normal"/>
    <w:rsid w:val="00681F79"/>
    <w:pPr>
      <w:tabs>
        <w:tab w:val="num" w:pos="1984"/>
      </w:tabs>
      <w:spacing w:before="120" w:after="120"/>
      <w:ind w:left="1984" w:hanging="567"/>
      <w:jc w:val="both"/>
    </w:pPr>
    <w:rPr>
      <w:rFonts w:ascii="Times New Roman" w:eastAsiaTheme="minorHAnsi" w:hAnsi="Times New Roman"/>
      <w:sz w:val="24"/>
      <w:szCs w:val="22"/>
      <w:lang w:eastAsia="en-US"/>
    </w:rPr>
  </w:style>
  <w:style w:type="paragraph" w:customStyle="1" w:styleId="Point3number">
    <w:name w:val="Point 3 (number)"/>
    <w:basedOn w:val="Normal"/>
    <w:rsid w:val="00681F79"/>
    <w:pPr>
      <w:tabs>
        <w:tab w:val="num" w:pos="2551"/>
      </w:tabs>
      <w:spacing w:before="120" w:after="120"/>
      <w:ind w:left="2551" w:hanging="567"/>
      <w:jc w:val="both"/>
    </w:pPr>
    <w:rPr>
      <w:rFonts w:ascii="Times New Roman" w:eastAsiaTheme="minorHAnsi" w:hAnsi="Times New Roman"/>
      <w:sz w:val="24"/>
      <w:szCs w:val="22"/>
      <w:lang w:eastAsia="en-US"/>
    </w:rPr>
  </w:style>
  <w:style w:type="paragraph" w:customStyle="1" w:styleId="Point0letter">
    <w:name w:val="Point 0 (letter)"/>
    <w:basedOn w:val="Normal"/>
    <w:rsid w:val="00681F79"/>
    <w:pPr>
      <w:tabs>
        <w:tab w:val="num" w:pos="850"/>
      </w:tabs>
      <w:spacing w:before="120" w:after="120"/>
      <w:ind w:left="850" w:hanging="850"/>
      <w:jc w:val="both"/>
    </w:pPr>
    <w:rPr>
      <w:rFonts w:ascii="Times New Roman" w:eastAsiaTheme="minorHAnsi" w:hAnsi="Times New Roman"/>
      <w:sz w:val="24"/>
      <w:szCs w:val="22"/>
      <w:lang w:eastAsia="en-US"/>
    </w:rPr>
  </w:style>
  <w:style w:type="paragraph" w:customStyle="1" w:styleId="Point2letter">
    <w:name w:val="Point 2 (letter)"/>
    <w:basedOn w:val="Normal"/>
    <w:rsid w:val="00681F79"/>
    <w:pPr>
      <w:tabs>
        <w:tab w:val="num" w:pos="1984"/>
      </w:tabs>
      <w:spacing w:before="120" w:after="120"/>
      <w:ind w:left="1984" w:hanging="567"/>
      <w:jc w:val="both"/>
    </w:pPr>
    <w:rPr>
      <w:rFonts w:ascii="Times New Roman" w:eastAsiaTheme="minorHAnsi" w:hAnsi="Times New Roman"/>
      <w:sz w:val="24"/>
      <w:szCs w:val="22"/>
      <w:lang w:eastAsia="en-US"/>
    </w:rPr>
  </w:style>
  <w:style w:type="paragraph" w:customStyle="1" w:styleId="Point3letter">
    <w:name w:val="Point 3 (letter)"/>
    <w:basedOn w:val="Normal"/>
    <w:rsid w:val="00681F79"/>
    <w:pPr>
      <w:tabs>
        <w:tab w:val="num" w:pos="2551"/>
      </w:tabs>
      <w:spacing w:before="120" w:after="120"/>
      <w:ind w:left="2551" w:hanging="567"/>
      <w:jc w:val="both"/>
    </w:pPr>
    <w:rPr>
      <w:rFonts w:ascii="Times New Roman" w:eastAsiaTheme="minorHAnsi" w:hAnsi="Times New Roman"/>
      <w:sz w:val="24"/>
      <w:szCs w:val="22"/>
      <w:lang w:eastAsia="en-US"/>
    </w:rPr>
  </w:style>
  <w:style w:type="paragraph" w:customStyle="1" w:styleId="Point4letter">
    <w:name w:val="Point 4 (letter)"/>
    <w:basedOn w:val="Normal"/>
    <w:rsid w:val="00681F79"/>
    <w:pPr>
      <w:tabs>
        <w:tab w:val="num" w:pos="3118"/>
      </w:tabs>
      <w:spacing w:before="120" w:after="120"/>
      <w:ind w:left="3118" w:hanging="567"/>
      <w:jc w:val="both"/>
    </w:pPr>
    <w:rPr>
      <w:rFonts w:ascii="Times New Roman" w:eastAsiaTheme="minorHAnsi" w:hAnsi="Times New Roman"/>
      <w:sz w:val="24"/>
      <w:szCs w:val="22"/>
      <w:lang w:eastAsia="en-US"/>
    </w:rPr>
  </w:style>
  <w:style w:type="paragraph" w:customStyle="1" w:styleId="Luettelokappale22">
    <w:name w:val="Luettelokappale22"/>
    <w:basedOn w:val="Normal"/>
    <w:link w:val="Luettelokappale22Char"/>
    <w:uiPriority w:val="99"/>
    <w:rsid w:val="00681F79"/>
    <w:pPr>
      <w:suppressAutoHyphens/>
      <w:autoSpaceDN w:val="0"/>
      <w:spacing w:after="200" w:line="276" w:lineRule="auto"/>
      <w:ind w:left="720"/>
      <w:textAlignment w:val="baseline"/>
    </w:pPr>
    <w:rPr>
      <w:rFonts w:ascii="Calibri" w:eastAsia="Calibri" w:hAnsi="Calibri"/>
      <w:szCs w:val="20"/>
      <w:lang w:val="fr-BE" w:eastAsia="en-US"/>
    </w:rPr>
  </w:style>
  <w:style w:type="character" w:customStyle="1" w:styleId="Luettelokappale22Char">
    <w:name w:val="Luettelokappale22 Char"/>
    <w:link w:val="Luettelokappale22"/>
    <w:uiPriority w:val="99"/>
    <w:locked/>
    <w:rsid w:val="00681F79"/>
    <w:rPr>
      <w:rFonts w:ascii="Calibri" w:eastAsia="Calibri" w:hAnsi="Calibri"/>
      <w:szCs w:val="20"/>
      <w:lang w:val="fr-B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833191">
      <w:bodyDiv w:val="1"/>
      <w:marLeft w:val="0"/>
      <w:marRight w:val="0"/>
      <w:marTop w:val="0"/>
      <w:marBottom w:val="0"/>
      <w:divBdr>
        <w:top w:val="none" w:sz="0" w:space="0" w:color="auto"/>
        <w:left w:val="none" w:sz="0" w:space="0" w:color="auto"/>
        <w:bottom w:val="none" w:sz="0" w:space="0" w:color="auto"/>
        <w:right w:val="none" w:sz="0" w:space="0" w:color="auto"/>
      </w:divBdr>
    </w:div>
    <w:div w:id="405690997">
      <w:bodyDiv w:val="1"/>
      <w:marLeft w:val="0"/>
      <w:marRight w:val="0"/>
      <w:marTop w:val="0"/>
      <w:marBottom w:val="0"/>
      <w:divBdr>
        <w:top w:val="none" w:sz="0" w:space="0" w:color="auto"/>
        <w:left w:val="none" w:sz="0" w:space="0" w:color="auto"/>
        <w:bottom w:val="none" w:sz="0" w:space="0" w:color="auto"/>
        <w:right w:val="none" w:sz="0" w:space="0" w:color="auto"/>
      </w:divBdr>
    </w:div>
    <w:div w:id="455686980">
      <w:bodyDiv w:val="1"/>
      <w:marLeft w:val="0"/>
      <w:marRight w:val="0"/>
      <w:marTop w:val="0"/>
      <w:marBottom w:val="0"/>
      <w:divBdr>
        <w:top w:val="none" w:sz="0" w:space="0" w:color="auto"/>
        <w:left w:val="none" w:sz="0" w:space="0" w:color="auto"/>
        <w:bottom w:val="none" w:sz="0" w:space="0" w:color="auto"/>
        <w:right w:val="none" w:sz="0" w:space="0" w:color="auto"/>
      </w:divBdr>
    </w:div>
    <w:div w:id="733355569">
      <w:bodyDiv w:val="1"/>
      <w:marLeft w:val="0"/>
      <w:marRight w:val="0"/>
      <w:marTop w:val="0"/>
      <w:marBottom w:val="0"/>
      <w:divBdr>
        <w:top w:val="none" w:sz="0" w:space="0" w:color="auto"/>
        <w:left w:val="none" w:sz="0" w:space="0" w:color="auto"/>
        <w:bottom w:val="none" w:sz="0" w:space="0" w:color="auto"/>
        <w:right w:val="none" w:sz="0" w:space="0" w:color="auto"/>
      </w:divBdr>
    </w:div>
    <w:div w:id="1094742905">
      <w:bodyDiv w:val="1"/>
      <w:marLeft w:val="0"/>
      <w:marRight w:val="0"/>
      <w:marTop w:val="0"/>
      <w:marBottom w:val="0"/>
      <w:divBdr>
        <w:top w:val="none" w:sz="0" w:space="0" w:color="auto"/>
        <w:left w:val="none" w:sz="0" w:space="0" w:color="auto"/>
        <w:bottom w:val="none" w:sz="0" w:space="0" w:color="auto"/>
        <w:right w:val="none" w:sz="0" w:space="0" w:color="auto"/>
      </w:divBdr>
    </w:div>
    <w:div w:id="1292518100">
      <w:bodyDiv w:val="1"/>
      <w:marLeft w:val="0"/>
      <w:marRight w:val="0"/>
      <w:marTop w:val="0"/>
      <w:marBottom w:val="0"/>
      <w:divBdr>
        <w:top w:val="none" w:sz="0" w:space="0" w:color="auto"/>
        <w:left w:val="none" w:sz="0" w:space="0" w:color="auto"/>
        <w:bottom w:val="none" w:sz="0" w:space="0" w:color="auto"/>
        <w:right w:val="none" w:sz="0" w:space="0" w:color="auto"/>
      </w:divBdr>
    </w:div>
    <w:div w:id="1498230400">
      <w:bodyDiv w:val="1"/>
      <w:marLeft w:val="0"/>
      <w:marRight w:val="0"/>
      <w:marTop w:val="0"/>
      <w:marBottom w:val="0"/>
      <w:divBdr>
        <w:top w:val="none" w:sz="0" w:space="0" w:color="auto"/>
        <w:left w:val="none" w:sz="0" w:space="0" w:color="auto"/>
        <w:bottom w:val="none" w:sz="0" w:space="0" w:color="auto"/>
        <w:right w:val="none" w:sz="0" w:space="0" w:color="auto"/>
      </w:divBdr>
    </w:div>
    <w:div w:id="1589265400">
      <w:bodyDiv w:val="1"/>
      <w:marLeft w:val="0"/>
      <w:marRight w:val="0"/>
      <w:marTop w:val="0"/>
      <w:marBottom w:val="0"/>
      <w:divBdr>
        <w:top w:val="none" w:sz="0" w:space="0" w:color="auto"/>
        <w:left w:val="none" w:sz="0" w:space="0" w:color="auto"/>
        <w:bottom w:val="none" w:sz="0" w:space="0" w:color="auto"/>
        <w:right w:val="none" w:sz="0" w:space="0" w:color="auto"/>
      </w:divBdr>
    </w:div>
    <w:div w:id="1705716006">
      <w:bodyDiv w:val="1"/>
      <w:marLeft w:val="0"/>
      <w:marRight w:val="0"/>
      <w:marTop w:val="0"/>
      <w:marBottom w:val="0"/>
      <w:divBdr>
        <w:top w:val="none" w:sz="0" w:space="0" w:color="auto"/>
        <w:left w:val="none" w:sz="0" w:space="0" w:color="auto"/>
        <w:bottom w:val="none" w:sz="0" w:space="0" w:color="auto"/>
        <w:right w:val="none" w:sz="0" w:space="0" w:color="auto"/>
      </w:divBdr>
    </w:div>
    <w:div w:id="1818524534">
      <w:bodyDiv w:val="1"/>
      <w:marLeft w:val="0"/>
      <w:marRight w:val="0"/>
      <w:marTop w:val="0"/>
      <w:marBottom w:val="0"/>
      <w:divBdr>
        <w:top w:val="none" w:sz="0" w:space="0" w:color="auto"/>
        <w:left w:val="none" w:sz="0" w:space="0" w:color="auto"/>
        <w:bottom w:val="none" w:sz="0" w:space="0" w:color="auto"/>
        <w:right w:val="none" w:sz="0" w:space="0" w:color="auto"/>
      </w:divBdr>
    </w:div>
    <w:div w:id="1838422824">
      <w:bodyDiv w:val="1"/>
      <w:marLeft w:val="0"/>
      <w:marRight w:val="0"/>
      <w:marTop w:val="0"/>
      <w:marBottom w:val="0"/>
      <w:divBdr>
        <w:top w:val="none" w:sz="0" w:space="0" w:color="auto"/>
        <w:left w:val="none" w:sz="0" w:space="0" w:color="auto"/>
        <w:bottom w:val="none" w:sz="0" w:space="0" w:color="auto"/>
        <w:right w:val="none" w:sz="0" w:space="0" w:color="auto"/>
      </w:divBdr>
    </w:div>
    <w:div w:id="1973050752">
      <w:bodyDiv w:val="1"/>
      <w:marLeft w:val="0"/>
      <w:marRight w:val="0"/>
      <w:marTop w:val="0"/>
      <w:marBottom w:val="0"/>
      <w:divBdr>
        <w:top w:val="none" w:sz="0" w:space="0" w:color="auto"/>
        <w:left w:val="none" w:sz="0" w:space="0" w:color="auto"/>
        <w:bottom w:val="none" w:sz="0" w:space="0" w:color="auto"/>
        <w:right w:val="none" w:sz="0" w:space="0" w:color="auto"/>
      </w:divBdr>
    </w:div>
    <w:div w:id="2039235457">
      <w:bodyDiv w:val="1"/>
      <w:marLeft w:val="0"/>
      <w:marRight w:val="0"/>
      <w:marTop w:val="0"/>
      <w:marBottom w:val="0"/>
      <w:divBdr>
        <w:top w:val="none" w:sz="0" w:space="0" w:color="auto"/>
        <w:left w:val="none" w:sz="0" w:space="0" w:color="auto"/>
        <w:bottom w:val="none" w:sz="0" w:space="0" w:color="auto"/>
        <w:right w:val="none" w:sz="0" w:space="0" w:color="auto"/>
      </w:divBdr>
    </w:div>
    <w:div w:id="2073263882">
      <w:bodyDiv w:val="1"/>
      <w:marLeft w:val="0"/>
      <w:marRight w:val="0"/>
      <w:marTop w:val="0"/>
      <w:marBottom w:val="0"/>
      <w:divBdr>
        <w:top w:val="none" w:sz="0" w:space="0" w:color="auto"/>
        <w:left w:val="none" w:sz="0" w:space="0" w:color="auto"/>
        <w:bottom w:val="none" w:sz="0" w:space="0" w:color="auto"/>
        <w:right w:val="none" w:sz="0" w:space="0" w:color="auto"/>
      </w:divBdr>
    </w:div>
    <w:div w:id="213555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emf"/><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emf"/><Relationship Id="rId29" Type="http://schemas.openxmlformats.org/officeDocument/2006/relationships/image" Target="media/image20.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6.emf"/><Relationship Id="rId23" Type="http://schemas.openxmlformats.org/officeDocument/2006/relationships/image" Target="media/image14.png"/><Relationship Id="rId28" Type="http://schemas.openxmlformats.org/officeDocument/2006/relationships/image" Target="media/image19.emf"/><Relationship Id="rId10" Type="http://schemas.openxmlformats.org/officeDocument/2006/relationships/endnotes" Target="endnotes.xml"/><Relationship Id="rId19" Type="http://schemas.openxmlformats.org/officeDocument/2006/relationships/image" Target="media/image10.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emf"/><Relationship Id="rId30" Type="http://schemas.openxmlformats.org/officeDocument/2006/relationships/image" Target="media/image21.emf"/></Relationships>
</file>

<file path=word/_rels/header1.xml.rels><?xml version="1.0" encoding="UTF-8" standalone="yes"?>
<Relationships xmlns="http://schemas.openxmlformats.org/package/2006/relationships"><Relationship Id="rId1" Type="http://schemas.openxmlformats.org/officeDocument/2006/relationships/image" Target="media/image22.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lassource\AppData\Roaming\Microsoft\Templates\ENTSOE\131028_Template_ENTSO-E_Minutes.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7A5AA713F11E4C8447F851B217553D" ma:contentTypeVersion="0" ma:contentTypeDescription="Create a new document." ma:contentTypeScope="" ma:versionID="46adfe984b43dabeab822b4668d1b485">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AFB5DE-FB99-4632-B5E6-9F5025057C55}">
  <ds:schemaRefs>
    <ds:schemaRef ds:uri="http://schemas.microsoft.com/sharepoint/v3/contenttype/forms"/>
  </ds:schemaRefs>
</ds:datastoreItem>
</file>

<file path=customXml/itemProps2.xml><?xml version="1.0" encoding="utf-8"?>
<ds:datastoreItem xmlns:ds="http://schemas.openxmlformats.org/officeDocument/2006/customXml" ds:itemID="{BC5C6C5F-62EF-40EF-BA8F-C42BAC03C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FED100D-DE5D-4ABA-8083-5DE6AB9FCA2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412879F-9652-43E8-ABB7-E1E40260B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131028_Template_ENTSO-E_Minutes</Template>
  <TotalTime>15</TotalTime>
  <Pages>29</Pages>
  <Words>9247</Words>
  <Characters>51697</Characters>
  <Application>Microsoft Office Word</Application>
  <DocSecurity>0</DocSecurity>
  <Lines>1077</Lines>
  <Paragraphs>708</Paragraphs>
  <ScaleCrop>false</ScaleCrop>
  <HeadingPairs>
    <vt:vector size="22" baseType="variant">
      <vt:variant>
        <vt:lpstr>Title</vt:lpstr>
      </vt:variant>
      <vt:variant>
        <vt:i4>1</vt:i4>
      </vt:variant>
      <vt:variant>
        <vt:lpstr>Tittel</vt:lpstr>
      </vt:variant>
      <vt:variant>
        <vt:i4>1</vt:i4>
      </vt:variant>
      <vt:variant>
        <vt:lpstr>Titel</vt:lpstr>
      </vt:variant>
      <vt:variant>
        <vt:i4>1</vt:i4>
      </vt:variant>
      <vt:variant>
        <vt:lpstr>Título</vt:lpstr>
      </vt:variant>
      <vt:variant>
        <vt:i4>1</vt:i4>
      </vt:variant>
      <vt:variant>
        <vt:lpstr>Titre</vt:lpstr>
      </vt:variant>
      <vt:variant>
        <vt:i4>1</vt:i4>
      </vt:variant>
      <vt:variant>
        <vt:lpstr>Tytuł</vt:lpstr>
      </vt:variant>
      <vt:variant>
        <vt:i4>1</vt:i4>
      </vt:variant>
      <vt:variant>
        <vt:lpstr>Cím</vt:lpstr>
      </vt:variant>
      <vt:variant>
        <vt:i4>1</vt:i4>
      </vt:variant>
      <vt:variant>
        <vt:lpstr>Titolo</vt:lpstr>
      </vt:variant>
      <vt:variant>
        <vt:i4>1</vt:i4>
      </vt:variant>
      <vt:variant>
        <vt:lpstr>Název</vt:lpstr>
      </vt:variant>
      <vt:variant>
        <vt:i4>1</vt:i4>
      </vt:variant>
      <vt:variant>
        <vt:lpstr>Názov</vt:lpstr>
      </vt:variant>
      <vt:variant>
        <vt:i4>1</vt:i4>
      </vt:variant>
      <vt:variant>
        <vt:lpstr>Rubrik</vt:lpstr>
      </vt:variant>
      <vt:variant>
        <vt:i4>1</vt:i4>
      </vt:variant>
    </vt:vector>
  </HeadingPairs>
  <TitlesOfParts>
    <vt:vector size="11" baseType="lpstr">
      <vt:lpstr>Explanatory document</vt:lpstr>
      <vt:lpstr>Explanatory document</vt:lpstr>
      <vt:lpstr>Explanatory document</vt:lpstr>
      <vt:lpstr>Explanatory document</vt:lpstr>
      <vt:lpstr>Explanatory document</vt:lpstr>
      <vt:lpstr>Explanatory document</vt:lpstr>
      <vt:lpstr>Explanatory document</vt:lpstr>
      <vt:lpstr/>
      <vt:lpstr/>
      <vt:lpstr>All TSOs’ proposal for intraday cross-zonal gate opening and gate closure times in accordance with Article 59 of Commission Regulation (EU) 2015/1222 of 24 July 2015 establishing a guideline on capacity allocation and congestion management</vt:lpstr>
      <vt:lpstr>All TSOs’ proposal for intraday cross-zonal gate opening and gate closure times in accordance with Article 59 of Commission Regulation (EU) 2015/1222 of 24 July 2015 establishing a guideline on capacity allocation and congestion management</vt:lpstr>
    </vt:vector>
  </TitlesOfParts>
  <Company>Visuelle Kommunikation &amp; Illustration</Company>
  <LinksUpToDate>false</LinksUpToDate>
  <CharactersWithSpaces>60236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Explanatory document</dc:title>
  <cp:revision>13</cp:revision>
  <cp:lastPrinted>2018-12-11T10:40:00Z</cp:lastPrinted>
  <dcterms:created xsi:type="dcterms:W3CDTF">2018-12-14T07:40:00Z</dcterms:created>
  <dcterms:modified xsi:type="dcterms:W3CDTF">2019-01-17T08:29:00Z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0x0101000F7A5AA713F11E4C8447F851B217553D</vt:lpwstr>
  </property>
  <property fmtid="{D5CDD505-2E9C-101B-9397-08002B2CF9AE}" pid="3" name="TaxKeyword">
    <vt:lpwstr/>
  </property>
  <property fmtid="{D5CDD505-2E9C-101B-9397-08002B2CF9AE}" pid="4" name="m21e1f176c4a4ad491d679d83442a8a3">
    <vt:lpwstr/>
  </property>
  <property fmtid="{D5CDD505-2E9C-101B-9397-08002B2CF9AE}" pid="5" name="b">
    <vt:lpwstr/>
  </property>
  <property fmtid="{D5CDD505-2E9C-101B-9397-08002B2CF9AE}" pid="6" name="Addo_DocID">
    <vt:lpwstr>892fe2dd-9120-4201-8946-6b79358841ee</vt:lpwstr>
  </property>
  <property fmtid="{D5CDD505-2E9C-101B-9397-08002B2CF9AE}" pid="7" name="_NewReviewCycle">
    <vt:lpwstr/>
  </property>
  <property fmtid="{D5CDD505-2E9C-101B-9397-08002B2CF9AE}" pid="8" name="MSIP_Label_55b74f4c-7570-4ac9-8413-c450456f7dc6_Enabled">
    <vt:lpwstr>True</vt:lpwstr>
  </property>
  <property fmtid="{D5CDD505-2E9C-101B-9397-08002B2CF9AE}" pid="9" name="MSIP_Label_55b74f4c-7570-4ac9-8413-c450456f7dc6_SiteId">
    <vt:lpwstr>a8d61462-f252-44b2-bf6a-d7231960c041</vt:lpwstr>
  </property>
  <property fmtid="{D5CDD505-2E9C-101B-9397-08002B2CF9AE}" pid="10" name="MSIP_Label_55b74f4c-7570-4ac9-8413-c450456f7dc6_Owner">
    <vt:lpwstr>Martha.Oberg@statnett.no</vt:lpwstr>
  </property>
  <property fmtid="{D5CDD505-2E9C-101B-9397-08002B2CF9AE}" pid="11" name="MSIP_Label_55b74f4c-7570-4ac9-8413-c450456f7dc6_SetDate">
    <vt:lpwstr>2018-12-10T08:24:00.5308096Z</vt:lpwstr>
  </property>
  <property fmtid="{D5CDD505-2E9C-101B-9397-08002B2CF9AE}" pid="12" name="MSIP_Label_55b74f4c-7570-4ac9-8413-c450456f7dc6_Name">
    <vt:lpwstr>Statnett intern</vt:lpwstr>
  </property>
  <property fmtid="{D5CDD505-2E9C-101B-9397-08002B2CF9AE}" pid="13" name="MSIP_Label_55b74f4c-7570-4ac9-8413-c450456f7dc6_Application">
    <vt:lpwstr>Microsoft Azure Information Protection</vt:lpwstr>
  </property>
  <property fmtid="{D5CDD505-2E9C-101B-9397-08002B2CF9AE}" pid="14" name="MSIP_Label_55b74f4c-7570-4ac9-8413-c450456f7dc6_Extended_MSFT_Method">
    <vt:lpwstr>Manual</vt:lpwstr>
  </property>
  <property fmtid="{D5CDD505-2E9C-101B-9397-08002B2CF9AE}" pid="15" name="Sensitivity">
    <vt:lpwstr>Statnett intern</vt:lpwstr>
  </property>
</Properties>
</file>