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B39" w:rsidRPr="00CD18DC" w:rsidRDefault="00B719F7" w:rsidP="00A74C57">
      <w:pPr>
        <w:pStyle w:val="Heading5"/>
        <w:tabs>
          <w:tab w:val="center" w:pos="4323"/>
          <w:tab w:val="left" w:pos="7335"/>
        </w:tabs>
        <w:spacing w:line="360" w:lineRule="auto"/>
        <w:jc w:val="left"/>
        <w:rPr>
          <w:rFonts w:ascii="Times New Roman" w:hAnsi="Times New Roman"/>
          <w:color w:val="000000"/>
          <w:lang w:val="fr-FR"/>
        </w:rPr>
      </w:pPr>
      <w:r w:rsidRPr="00CD18DC">
        <w:rPr>
          <w:rFonts w:ascii="Times New Roman" w:hAnsi="Times New Roman"/>
          <w:color w:val="000000"/>
          <w:position w:val="-10"/>
          <w:lang w:val="fr-FR"/>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7.25pt" o:ole="">
            <v:imagedata r:id="rId9" o:title=""/>
          </v:shape>
          <o:OLEObject Type="Embed" ProgID="Equation.3" ShapeID="_x0000_i1025" DrawAspect="Content" ObjectID="_1515241635" r:id="rId10"/>
        </w:object>
      </w:r>
      <w:r w:rsidR="006E2B39" w:rsidRPr="00CD18DC">
        <w:rPr>
          <w:rFonts w:ascii="Times New Roman" w:hAnsi="Times New Roman"/>
          <w:color w:val="000000"/>
          <w:lang w:val="fr-FR"/>
        </w:rPr>
        <w:tab/>
        <w:t>ORDIN nr. din</w:t>
      </w:r>
      <w:r w:rsidR="006E2B39" w:rsidRPr="00CD18DC">
        <w:rPr>
          <w:rFonts w:ascii="Times New Roman" w:hAnsi="Times New Roman"/>
          <w:color w:val="000000"/>
          <w:lang w:val="fr-FR"/>
        </w:rPr>
        <w:tab/>
      </w:r>
    </w:p>
    <w:p w:rsidR="006E2B39" w:rsidRPr="00CD18DC" w:rsidRDefault="006E2B39" w:rsidP="00A74C57">
      <w:pPr>
        <w:spacing w:line="360" w:lineRule="auto"/>
        <w:rPr>
          <w:lang w:val="fr-FR"/>
        </w:rPr>
      </w:pPr>
    </w:p>
    <w:p w:rsidR="006E2B39" w:rsidRPr="00CD18DC" w:rsidRDefault="006E2B39" w:rsidP="00A74C57">
      <w:pPr>
        <w:spacing w:line="360" w:lineRule="auto"/>
        <w:rPr>
          <w:color w:val="000000"/>
          <w:lang w:val="fr-FR"/>
        </w:rPr>
      </w:pPr>
    </w:p>
    <w:p w:rsidR="006E2B39" w:rsidRPr="00CD18DC" w:rsidRDefault="006E2B39" w:rsidP="00A74C57">
      <w:pPr>
        <w:spacing w:line="360" w:lineRule="auto"/>
        <w:jc w:val="center"/>
        <w:rPr>
          <w:b/>
          <w:sz w:val="24"/>
          <w:szCs w:val="24"/>
          <w:lang w:val="ro-RO"/>
        </w:rPr>
      </w:pPr>
      <w:r w:rsidRPr="00CD18DC">
        <w:rPr>
          <w:b/>
          <w:color w:val="000000"/>
          <w:sz w:val="24"/>
          <w:lang w:val="fr-FR"/>
        </w:rPr>
        <w:t xml:space="preserve">privind modificarea și completarea </w:t>
      </w:r>
      <w:r w:rsidRPr="00CD18DC">
        <w:rPr>
          <w:b/>
          <w:sz w:val="24"/>
          <w:szCs w:val="24"/>
          <w:lang w:val="ro-RO"/>
        </w:rPr>
        <w:t>Metodologiei de determinare și monitorizare a supracompensării activității de producere a energiei electrice și termice în cogenerare de înaltă eficiență care beneficiază de schema de sprijin de tip bonus, aprobate prin Ordinul președintelui ANRE nr. 84/2013</w:t>
      </w:r>
    </w:p>
    <w:p w:rsidR="006E2B39" w:rsidRPr="00CD18DC" w:rsidRDefault="006E2B39" w:rsidP="00A74C57">
      <w:pPr>
        <w:spacing w:line="360" w:lineRule="auto"/>
        <w:jc w:val="center"/>
        <w:rPr>
          <w:b/>
          <w:sz w:val="24"/>
          <w:szCs w:val="24"/>
          <w:lang w:val="ro-RO"/>
        </w:rPr>
      </w:pPr>
    </w:p>
    <w:p w:rsidR="006E2B39" w:rsidRPr="00CD18DC" w:rsidRDefault="006E2B39" w:rsidP="00A74C57">
      <w:pPr>
        <w:spacing w:after="120" w:line="360" w:lineRule="auto"/>
        <w:ind w:firstLine="720"/>
        <w:jc w:val="both"/>
        <w:rPr>
          <w:sz w:val="24"/>
          <w:szCs w:val="24"/>
          <w:lang w:val="nb-NO"/>
        </w:rPr>
      </w:pPr>
      <w:r w:rsidRPr="00CD18DC">
        <w:rPr>
          <w:sz w:val="24"/>
          <w:szCs w:val="24"/>
          <w:lang w:val="ro-RO"/>
        </w:rPr>
        <w:t>Având în vedere prevederile art. 5 alin. (1) lit. b) și alin. (5) din Ordonanța de urgență a Guvernului nr. 33/2007 privind organizarea și funcționarea Autorității Naționale de Reglementare în Domeniul Energiei, aprobată cu modificări și completǎri prin Legea nr. 160/2012, ale art. 76 din Legea energiei electrice și a gazelor naturale nr. 123/2012 și ale art. 6 lit. g), art. 23 și art. 24 din Hotărârea Guvernului nr. 1215/2009 privind stabilirea criteriilor și a condițiilor necesare implementării schemei de sprijin pentru promovarea cogenerării de înaltă eficiență pe baza cererii de energie termică utilă, cu modificările ulterioare,</w:t>
      </w:r>
    </w:p>
    <w:p w:rsidR="00207010" w:rsidRPr="00CD18DC" w:rsidRDefault="00207010" w:rsidP="00A74C57">
      <w:pPr>
        <w:spacing w:after="200" w:line="360" w:lineRule="auto"/>
        <w:ind w:firstLine="720"/>
        <w:jc w:val="both"/>
        <w:rPr>
          <w:rFonts w:eastAsia="Calibri"/>
          <w:sz w:val="24"/>
          <w:szCs w:val="24"/>
          <w:lang w:val="en-GB"/>
        </w:rPr>
      </w:pPr>
      <w:r w:rsidRPr="00CD18DC">
        <w:rPr>
          <w:rFonts w:eastAsia="Calibri"/>
          <w:sz w:val="24"/>
          <w:szCs w:val="24"/>
          <w:lang w:val="en-GB"/>
        </w:rPr>
        <w:t>în temeiul dispoziţiilor art. 5 alin. (1) lit. b)  şi ale art. 9 alin. (1) lit. (x) din Ordonanța de urgență a Guvernului nr. 33/2007, privind organizarea și funcționarea Autorității Naționale de Reglementare în Domeniul Energiei, aprobată cu modificări și completări prin Legea nr. 160/2012,</w:t>
      </w:r>
    </w:p>
    <w:p w:rsidR="006E2B39" w:rsidRPr="00CD18DC" w:rsidRDefault="006E2B39" w:rsidP="00A74C57">
      <w:pPr>
        <w:spacing w:after="120" w:line="360" w:lineRule="auto"/>
        <w:ind w:firstLine="720"/>
        <w:jc w:val="both"/>
        <w:rPr>
          <w:b/>
          <w:sz w:val="24"/>
          <w:szCs w:val="24"/>
          <w:lang w:val="nb-NO"/>
        </w:rPr>
      </w:pPr>
      <w:r w:rsidRPr="00CD18DC">
        <w:rPr>
          <w:b/>
          <w:sz w:val="24"/>
          <w:szCs w:val="24"/>
          <w:lang w:val="nb-NO"/>
        </w:rPr>
        <w:t>președintele Autorității Naționale de Reglementare în Domeniul Energiei emite următorul ordin:</w:t>
      </w:r>
    </w:p>
    <w:p w:rsidR="003124DE" w:rsidRPr="00CD18DC" w:rsidRDefault="003124DE" w:rsidP="00A74C57">
      <w:pPr>
        <w:spacing w:line="360" w:lineRule="auto"/>
        <w:jc w:val="both"/>
        <w:rPr>
          <w:color w:val="000000"/>
          <w:sz w:val="24"/>
          <w:szCs w:val="24"/>
          <w:lang w:val="ro-RO"/>
        </w:rPr>
      </w:pPr>
      <w:r w:rsidRPr="00CD18DC">
        <w:rPr>
          <w:b/>
          <w:color w:val="000000"/>
          <w:sz w:val="24"/>
          <w:szCs w:val="24"/>
          <w:lang w:val="ro-RO"/>
        </w:rPr>
        <w:t>Art. I.</w:t>
      </w:r>
      <w:r w:rsidRPr="00CD18DC">
        <w:rPr>
          <w:color w:val="000000"/>
          <w:sz w:val="24"/>
          <w:szCs w:val="24"/>
          <w:lang w:val="ro-RO"/>
        </w:rPr>
        <w:t xml:space="preserve"> – Metodologia de determinare și monitorizare a supracompensării activității de producere a energiei electrice și termice în cogenerare de înaltă eficiență care beneficiază de schema de sprijin de tip bonus, aprobată prin Ordinul preşedintelui ANRE nr. 84/2013, publicat în Monitorul Oficial al României, Partea I, nr. </w:t>
      </w:r>
      <w:r w:rsidR="000258AC" w:rsidRPr="00CD18DC">
        <w:rPr>
          <w:color w:val="000000"/>
          <w:sz w:val="24"/>
          <w:szCs w:val="24"/>
          <w:lang w:val="ro-RO"/>
        </w:rPr>
        <w:t>735</w:t>
      </w:r>
      <w:r w:rsidRPr="00CD18DC">
        <w:rPr>
          <w:color w:val="000000"/>
          <w:sz w:val="24"/>
          <w:szCs w:val="24"/>
          <w:lang w:val="ro-RO"/>
        </w:rPr>
        <w:t xml:space="preserve"> din </w:t>
      </w:r>
      <w:r w:rsidR="000258AC" w:rsidRPr="00CD18DC">
        <w:rPr>
          <w:color w:val="000000"/>
          <w:sz w:val="24"/>
          <w:szCs w:val="24"/>
          <w:lang w:val="ro-RO"/>
        </w:rPr>
        <w:t>28</w:t>
      </w:r>
      <w:r w:rsidRPr="00CD18DC">
        <w:rPr>
          <w:color w:val="000000"/>
          <w:sz w:val="24"/>
          <w:szCs w:val="24"/>
          <w:lang w:val="ro-RO"/>
        </w:rPr>
        <w:t xml:space="preserve"> </w:t>
      </w:r>
      <w:r w:rsidR="000258AC" w:rsidRPr="00CD18DC">
        <w:rPr>
          <w:color w:val="000000"/>
          <w:sz w:val="24"/>
          <w:szCs w:val="24"/>
          <w:lang w:val="ro-RO"/>
        </w:rPr>
        <w:t>noiembri</w:t>
      </w:r>
      <w:r w:rsidR="00415985" w:rsidRPr="00CD18DC">
        <w:rPr>
          <w:color w:val="000000"/>
          <w:sz w:val="24"/>
          <w:szCs w:val="24"/>
          <w:lang w:val="ro-RO"/>
        </w:rPr>
        <w:t>e</w:t>
      </w:r>
      <w:r w:rsidRPr="00CD18DC">
        <w:rPr>
          <w:color w:val="000000"/>
          <w:sz w:val="24"/>
          <w:szCs w:val="24"/>
          <w:lang w:val="ro-RO"/>
        </w:rPr>
        <w:t xml:space="preserve"> 201</w:t>
      </w:r>
      <w:r w:rsidR="000258AC" w:rsidRPr="00CD18DC">
        <w:rPr>
          <w:color w:val="000000"/>
          <w:sz w:val="24"/>
          <w:szCs w:val="24"/>
          <w:lang w:val="ro-RO"/>
        </w:rPr>
        <w:t>3</w:t>
      </w:r>
      <w:r w:rsidRPr="00CD18DC">
        <w:rPr>
          <w:color w:val="000000"/>
          <w:sz w:val="24"/>
          <w:szCs w:val="24"/>
          <w:lang w:val="ro-RO"/>
        </w:rPr>
        <w:t xml:space="preserve">, se </w:t>
      </w:r>
      <w:r w:rsidR="000258AC" w:rsidRPr="00CD18DC">
        <w:rPr>
          <w:color w:val="000000"/>
          <w:sz w:val="24"/>
          <w:szCs w:val="24"/>
          <w:lang w:val="ro-RO"/>
        </w:rPr>
        <w:t xml:space="preserve">modifică și se </w:t>
      </w:r>
      <w:r w:rsidRPr="00CD18DC">
        <w:rPr>
          <w:color w:val="000000"/>
          <w:sz w:val="24"/>
          <w:szCs w:val="24"/>
          <w:lang w:val="ro-RO"/>
        </w:rPr>
        <w:t>completează după cum urmează:</w:t>
      </w:r>
    </w:p>
    <w:p w:rsidR="002536B8" w:rsidRPr="00CD18DC" w:rsidRDefault="00207010" w:rsidP="00A74C57">
      <w:pPr>
        <w:pStyle w:val="ListParagraph"/>
        <w:numPr>
          <w:ilvl w:val="0"/>
          <w:numId w:val="1"/>
        </w:numPr>
        <w:spacing w:after="120" w:line="360" w:lineRule="auto"/>
        <w:jc w:val="both"/>
        <w:rPr>
          <w:sz w:val="24"/>
          <w:szCs w:val="24"/>
          <w:lang w:val="nb-NO"/>
        </w:rPr>
      </w:pPr>
      <w:r w:rsidRPr="00CD18DC">
        <w:rPr>
          <w:sz w:val="24"/>
          <w:szCs w:val="24"/>
          <w:lang w:val="nb-NO"/>
        </w:rPr>
        <w:t xml:space="preserve">Pe tot parcursul </w:t>
      </w:r>
      <w:r w:rsidR="005D5320" w:rsidRPr="00CD18DC">
        <w:rPr>
          <w:sz w:val="24"/>
          <w:szCs w:val="24"/>
          <w:lang w:val="nb-NO"/>
        </w:rPr>
        <w:t>metodologiei se înlocuiește</w:t>
      </w:r>
      <w:r w:rsidR="00017433" w:rsidRPr="00CD18DC">
        <w:rPr>
          <w:sz w:val="24"/>
          <w:szCs w:val="24"/>
          <w:lang w:val="nb-NO"/>
        </w:rPr>
        <w:t xml:space="preserve"> sintagma</w:t>
      </w:r>
      <w:r w:rsidR="00867A93" w:rsidRPr="00CD18DC">
        <w:rPr>
          <w:sz w:val="24"/>
          <w:szCs w:val="24"/>
          <w:lang w:val="nb-NO"/>
        </w:rPr>
        <w:t xml:space="preserve"> ”</w:t>
      </w:r>
      <w:r w:rsidR="00867A93" w:rsidRPr="00CD18DC">
        <w:rPr>
          <w:sz w:val="24"/>
          <w:szCs w:val="24"/>
          <w:lang w:val="ro-RO"/>
        </w:rPr>
        <w:t xml:space="preserve">Hotărârea Guvernului nr. 1215/2009 privind stabilirea criteriilor și a condițiilor necesare implementării schemei de sprijin pentru promovarea cogenerării de înaltă eficiență pe baza cererii de energie termică utilă” cu </w:t>
      </w:r>
      <w:r w:rsidR="00017433" w:rsidRPr="00CD18DC">
        <w:rPr>
          <w:sz w:val="24"/>
          <w:szCs w:val="24"/>
          <w:lang w:val="ro-RO"/>
        </w:rPr>
        <w:t xml:space="preserve">sintagma </w:t>
      </w:r>
      <w:r w:rsidR="00867A93" w:rsidRPr="00CD18DC">
        <w:rPr>
          <w:sz w:val="24"/>
          <w:szCs w:val="24"/>
          <w:lang w:val="ro-RO"/>
        </w:rPr>
        <w:t>”Hotărârea Guvernului nr. 1215/2009 privind stabilirea criteriilor și a condițiilor necesare implementării schemei de sprijin pentru promovarea cogenerării de înaltă eficiență pe baza cererii de energie termică utilă, cu modificările ulterioare”</w:t>
      </w:r>
      <w:r w:rsidR="002536B8" w:rsidRPr="00CD18DC">
        <w:rPr>
          <w:sz w:val="24"/>
          <w:szCs w:val="24"/>
          <w:lang w:val="ro-RO"/>
        </w:rPr>
        <w:t>.</w:t>
      </w:r>
    </w:p>
    <w:p w:rsidR="003124DE" w:rsidRPr="00CD18DC" w:rsidRDefault="002536B8" w:rsidP="00A74C57">
      <w:pPr>
        <w:pStyle w:val="ListParagraph"/>
        <w:numPr>
          <w:ilvl w:val="0"/>
          <w:numId w:val="1"/>
        </w:numPr>
        <w:spacing w:after="120" w:line="360" w:lineRule="auto"/>
        <w:jc w:val="both"/>
        <w:rPr>
          <w:sz w:val="24"/>
          <w:szCs w:val="24"/>
          <w:lang w:val="nb-NO"/>
        </w:rPr>
      </w:pPr>
      <w:r w:rsidRPr="00CD18DC">
        <w:rPr>
          <w:sz w:val="24"/>
          <w:szCs w:val="24"/>
          <w:lang w:val="ro-RO"/>
        </w:rPr>
        <w:lastRenderedPageBreak/>
        <w:t xml:space="preserve">Pe tot </w:t>
      </w:r>
      <w:r w:rsidR="005D5320" w:rsidRPr="00CD18DC">
        <w:rPr>
          <w:sz w:val="24"/>
          <w:szCs w:val="24"/>
          <w:lang w:val="nb-NO"/>
        </w:rPr>
        <w:t xml:space="preserve"> </w:t>
      </w:r>
      <w:r w:rsidRPr="00CD18DC">
        <w:rPr>
          <w:sz w:val="24"/>
          <w:szCs w:val="24"/>
          <w:lang w:val="nb-NO"/>
        </w:rPr>
        <w:t xml:space="preserve">parcursul metodologiei se înlocuiește </w:t>
      </w:r>
      <w:r w:rsidR="00017433" w:rsidRPr="00CD18DC">
        <w:rPr>
          <w:sz w:val="24"/>
          <w:szCs w:val="24"/>
          <w:lang w:val="nb-NO"/>
        </w:rPr>
        <w:t xml:space="preserve">sintagma </w:t>
      </w:r>
      <w:r w:rsidR="001763DC" w:rsidRPr="00CD18DC">
        <w:rPr>
          <w:sz w:val="24"/>
          <w:szCs w:val="24"/>
          <w:lang w:val="nb-NO"/>
        </w:rPr>
        <w:t>”</w:t>
      </w:r>
      <w:r w:rsidR="001763DC" w:rsidRPr="00CD18DC">
        <w:rPr>
          <w:rFonts w:eastAsia="Calibri"/>
          <w:sz w:val="24"/>
          <w:szCs w:val="24"/>
          <w:lang w:val="ro-RO"/>
        </w:rPr>
        <w:t xml:space="preserve">Hotărârea Guvernului nr. 219/2007 privind promovarea cogenerării bazate pe cererea de energie termică utilă” cu </w:t>
      </w:r>
      <w:r w:rsidR="00017433" w:rsidRPr="00CD18DC">
        <w:rPr>
          <w:rFonts w:eastAsia="Calibri"/>
          <w:sz w:val="24"/>
          <w:szCs w:val="24"/>
          <w:lang w:val="ro-RO"/>
        </w:rPr>
        <w:t xml:space="preserve">sintagma </w:t>
      </w:r>
      <w:r w:rsidR="001763DC" w:rsidRPr="00CD18DC">
        <w:rPr>
          <w:rFonts w:eastAsia="Calibri"/>
          <w:sz w:val="24"/>
          <w:szCs w:val="24"/>
          <w:lang w:val="ro-RO"/>
        </w:rPr>
        <w:t>”Hotărârea Guvernului nr. 219/2007 privind promovarea cogenerării bazate pe cererea de energie termică utilă, cu modificările ulterioare”</w:t>
      </w:r>
      <w:r w:rsidR="004415AE" w:rsidRPr="00CD18DC">
        <w:rPr>
          <w:rFonts w:eastAsia="Calibri"/>
          <w:sz w:val="24"/>
          <w:szCs w:val="24"/>
          <w:lang w:val="ro-RO"/>
        </w:rPr>
        <w:t>.</w:t>
      </w:r>
    </w:p>
    <w:p w:rsidR="001763DC" w:rsidRPr="00CD18DC" w:rsidRDefault="00502A7F" w:rsidP="00A74C57">
      <w:pPr>
        <w:pStyle w:val="ListParagraph"/>
        <w:numPr>
          <w:ilvl w:val="0"/>
          <w:numId w:val="1"/>
        </w:numPr>
        <w:spacing w:after="120" w:line="360" w:lineRule="auto"/>
        <w:jc w:val="both"/>
        <w:rPr>
          <w:sz w:val="24"/>
          <w:szCs w:val="24"/>
          <w:lang w:val="nb-NO"/>
        </w:rPr>
      </w:pPr>
      <w:r w:rsidRPr="00CD18DC">
        <w:rPr>
          <w:rFonts w:eastAsia="Calibri"/>
          <w:sz w:val="24"/>
          <w:szCs w:val="24"/>
          <w:lang w:val="ro-RO"/>
        </w:rPr>
        <w:t xml:space="preserve">Pe tot parcursul metodologiei se înlocuiește </w:t>
      </w:r>
      <w:r w:rsidR="0087650E" w:rsidRPr="00CD18DC">
        <w:rPr>
          <w:rFonts w:eastAsia="Calibri"/>
          <w:sz w:val="24"/>
          <w:szCs w:val="24"/>
          <w:lang w:val="ro-RO"/>
        </w:rPr>
        <w:t xml:space="preserve">sintagma </w:t>
      </w:r>
      <w:r w:rsidRPr="00CD18DC">
        <w:rPr>
          <w:rFonts w:eastAsia="Calibri"/>
          <w:sz w:val="24"/>
          <w:szCs w:val="24"/>
          <w:lang w:val="ro-RO"/>
        </w:rPr>
        <w:t>”</w:t>
      </w:r>
      <w:r w:rsidRPr="00CD18DC">
        <w:rPr>
          <w:rFonts w:eastAsia="Calibri"/>
          <w:sz w:val="24"/>
          <w:szCs w:val="24"/>
          <w:lang w:val="pt-BR"/>
        </w:rPr>
        <w:t xml:space="preserve">Ordinul președintelui ANRE nr. </w:t>
      </w:r>
      <w:r w:rsidR="004415AE" w:rsidRPr="00CD18DC">
        <w:rPr>
          <w:rFonts w:eastAsia="Calibri"/>
          <w:sz w:val="24"/>
          <w:szCs w:val="24"/>
          <w:lang w:val="pt-BR"/>
        </w:rPr>
        <w:t xml:space="preserve">23/2010” </w:t>
      </w:r>
      <w:r w:rsidRPr="00CD18DC">
        <w:rPr>
          <w:rFonts w:eastAsia="Calibri"/>
          <w:sz w:val="24"/>
          <w:szCs w:val="24"/>
          <w:lang w:val="pt-BR"/>
        </w:rPr>
        <w:t xml:space="preserve">cu </w:t>
      </w:r>
      <w:r w:rsidR="0087650E" w:rsidRPr="00CD18DC">
        <w:rPr>
          <w:rFonts w:eastAsia="Calibri"/>
          <w:sz w:val="24"/>
          <w:szCs w:val="24"/>
          <w:lang w:val="pt-BR"/>
        </w:rPr>
        <w:t xml:space="preserve">sintagma </w:t>
      </w:r>
      <w:r w:rsidR="004415AE" w:rsidRPr="00CD18DC">
        <w:rPr>
          <w:rFonts w:eastAsia="Calibri"/>
          <w:sz w:val="24"/>
          <w:szCs w:val="24"/>
          <w:lang w:val="pt-BR"/>
        </w:rPr>
        <w:t>”</w:t>
      </w:r>
      <w:r w:rsidRPr="00CD18DC">
        <w:rPr>
          <w:rFonts w:eastAsia="Calibri"/>
          <w:sz w:val="24"/>
          <w:szCs w:val="24"/>
          <w:lang w:val="pt-BR"/>
        </w:rPr>
        <w:t>Ordinul președintelui ANRE nr.</w:t>
      </w:r>
      <w:r w:rsidR="004415AE" w:rsidRPr="00CD18DC">
        <w:rPr>
          <w:rFonts w:eastAsia="Calibri"/>
          <w:sz w:val="24"/>
          <w:szCs w:val="24"/>
          <w:lang w:val="pt-BR"/>
        </w:rPr>
        <w:t xml:space="preserve"> 114/2013”.</w:t>
      </w:r>
    </w:p>
    <w:p w:rsidR="0087650E" w:rsidRPr="00CD18DC" w:rsidRDefault="0087650E" w:rsidP="00A74C57">
      <w:pPr>
        <w:pStyle w:val="ListParagraph"/>
        <w:numPr>
          <w:ilvl w:val="0"/>
          <w:numId w:val="1"/>
        </w:numPr>
        <w:spacing w:after="120" w:line="360" w:lineRule="auto"/>
        <w:jc w:val="both"/>
        <w:rPr>
          <w:sz w:val="24"/>
          <w:szCs w:val="24"/>
          <w:lang w:val="nb-NO"/>
        </w:rPr>
      </w:pPr>
      <w:r w:rsidRPr="00CD18DC">
        <w:rPr>
          <w:rFonts w:eastAsia="Calibri"/>
          <w:sz w:val="24"/>
          <w:szCs w:val="24"/>
          <w:lang w:val="pt-BR"/>
        </w:rPr>
        <w:t xml:space="preserve">Art. 5 alin. (3) se modifică și va avea următorul </w:t>
      </w:r>
      <w:r w:rsidR="007E1E5C" w:rsidRPr="00CD18DC">
        <w:rPr>
          <w:rFonts w:eastAsia="Calibri"/>
          <w:sz w:val="24"/>
          <w:szCs w:val="24"/>
          <w:lang w:val="pt-BR"/>
        </w:rPr>
        <w:t>cuprins</w:t>
      </w:r>
      <w:r w:rsidRPr="00CD18DC">
        <w:rPr>
          <w:rFonts w:eastAsia="Calibri"/>
          <w:sz w:val="24"/>
          <w:szCs w:val="24"/>
          <w:lang w:val="pt-BR"/>
        </w:rPr>
        <w:t>:</w:t>
      </w:r>
    </w:p>
    <w:p w:rsidR="0087650E" w:rsidRPr="00CD18DC" w:rsidRDefault="0087650E" w:rsidP="00A74C57">
      <w:pPr>
        <w:pStyle w:val="ListParagraph"/>
        <w:spacing w:after="120" w:line="360" w:lineRule="auto"/>
        <w:ind w:left="0"/>
        <w:jc w:val="both"/>
        <w:rPr>
          <w:sz w:val="24"/>
          <w:szCs w:val="24"/>
          <w:lang w:val="nb-NO"/>
        </w:rPr>
      </w:pPr>
      <w:r w:rsidRPr="00CD18DC">
        <w:rPr>
          <w:sz w:val="24"/>
          <w:szCs w:val="24"/>
          <w:lang w:val="nb-NO"/>
        </w:rPr>
        <w:t>”(3) Veniturile din energia electrică se determină prin înmulțirea cantității de energie electrică ce beneficiază de bonus</w:t>
      </w:r>
      <w:r w:rsidR="001A3A5C" w:rsidRPr="00CD18DC">
        <w:rPr>
          <w:sz w:val="24"/>
          <w:szCs w:val="24"/>
          <w:lang w:val="nb-NO"/>
        </w:rPr>
        <w:t>, cantitate aprobată prin decizia de calificare emisă de ANRE pentru fiecare an al perioadei de evaluare a supracompensării,</w:t>
      </w:r>
      <w:r w:rsidRPr="00CD18DC">
        <w:rPr>
          <w:sz w:val="24"/>
          <w:szCs w:val="24"/>
          <w:lang w:val="nb-NO"/>
        </w:rPr>
        <w:t xml:space="preserve"> cu prețul de referință al energiei electrice, aferente fiecărui an al perioadei de evaluare a supracompensării, pentru fiecare producător.”</w:t>
      </w:r>
    </w:p>
    <w:p w:rsidR="001A3A5C" w:rsidRPr="00CD18DC" w:rsidRDefault="001A3A5C" w:rsidP="00A74C57">
      <w:pPr>
        <w:pStyle w:val="ListParagraph"/>
        <w:numPr>
          <w:ilvl w:val="0"/>
          <w:numId w:val="1"/>
        </w:numPr>
        <w:spacing w:after="120" w:line="360" w:lineRule="auto"/>
        <w:jc w:val="both"/>
        <w:rPr>
          <w:sz w:val="24"/>
          <w:szCs w:val="24"/>
          <w:lang w:val="nb-NO"/>
        </w:rPr>
      </w:pPr>
      <w:r w:rsidRPr="00CD18DC">
        <w:rPr>
          <w:rFonts w:eastAsia="Calibri"/>
          <w:sz w:val="24"/>
          <w:szCs w:val="24"/>
          <w:lang w:val="pt-BR"/>
        </w:rPr>
        <w:t xml:space="preserve">Art. 5 alin. (4) se modifică și va avea următorul </w:t>
      </w:r>
      <w:r w:rsidR="007E1E5C" w:rsidRPr="00CD18DC">
        <w:rPr>
          <w:rFonts w:eastAsia="Calibri"/>
          <w:sz w:val="24"/>
          <w:szCs w:val="24"/>
          <w:lang w:val="pt-BR"/>
        </w:rPr>
        <w:t>cuprins</w:t>
      </w:r>
      <w:r w:rsidRPr="00CD18DC">
        <w:rPr>
          <w:rFonts w:eastAsia="Calibri"/>
          <w:sz w:val="24"/>
          <w:szCs w:val="24"/>
          <w:lang w:val="pt-BR"/>
        </w:rPr>
        <w:t>:</w:t>
      </w:r>
    </w:p>
    <w:p w:rsidR="001A3A5C" w:rsidRPr="00CD18DC" w:rsidRDefault="00DE18C4" w:rsidP="00A74C57">
      <w:pPr>
        <w:pStyle w:val="ListParagraph"/>
        <w:spacing w:after="120" w:line="360" w:lineRule="auto"/>
        <w:ind w:left="0"/>
        <w:jc w:val="both"/>
        <w:rPr>
          <w:sz w:val="24"/>
          <w:szCs w:val="24"/>
          <w:lang w:val="nb-NO"/>
        </w:rPr>
      </w:pPr>
      <w:r w:rsidRPr="00CD18DC">
        <w:rPr>
          <w:sz w:val="24"/>
          <w:szCs w:val="24"/>
          <w:lang w:val="nb-NO"/>
        </w:rPr>
        <w:t>”</w:t>
      </w:r>
      <w:r w:rsidR="001A3A5C" w:rsidRPr="00CD18DC">
        <w:rPr>
          <w:sz w:val="24"/>
          <w:szCs w:val="24"/>
          <w:lang w:val="nb-NO"/>
        </w:rPr>
        <w:t>(4) Veniturile realizate din aplicarea schemei de sprijin se determină prin înmulțirea cantității totale de energie ele</w:t>
      </w:r>
      <w:r w:rsidRPr="00CD18DC">
        <w:rPr>
          <w:sz w:val="24"/>
          <w:szCs w:val="24"/>
          <w:lang w:val="nb-NO"/>
        </w:rPr>
        <w:t xml:space="preserve">ctrică ce beneficiază de bonus </w:t>
      </w:r>
      <w:r w:rsidR="001A3A5C" w:rsidRPr="00CD18DC">
        <w:rPr>
          <w:sz w:val="24"/>
          <w:szCs w:val="24"/>
          <w:lang w:val="nb-NO"/>
        </w:rPr>
        <w:t>cu bonusul aprobat prin decizie a președintelui ANRE pentru fiecare producător, pentru fiecare an al perioadei de evaluare a supracompensării.</w:t>
      </w:r>
      <w:r w:rsidRPr="00CD18DC">
        <w:rPr>
          <w:sz w:val="24"/>
          <w:szCs w:val="24"/>
          <w:lang w:val="nb-NO"/>
        </w:rPr>
        <w:t>”</w:t>
      </w:r>
    </w:p>
    <w:p w:rsidR="00DA6C67" w:rsidRPr="00CD18DC" w:rsidRDefault="004415AE" w:rsidP="00A74C57">
      <w:pPr>
        <w:pStyle w:val="ListParagraph"/>
        <w:numPr>
          <w:ilvl w:val="0"/>
          <w:numId w:val="1"/>
        </w:numPr>
        <w:spacing w:before="240" w:after="120" w:line="360" w:lineRule="auto"/>
        <w:jc w:val="both"/>
        <w:rPr>
          <w:rFonts w:eastAsia="Calibri"/>
          <w:sz w:val="24"/>
          <w:szCs w:val="24"/>
          <w:lang w:val="ro-RO"/>
        </w:rPr>
      </w:pPr>
      <w:r w:rsidRPr="00CD18DC">
        <w:rPr>
          <w:sz w:val="24"/>
          <w:szCs w:val="24"/>
          <w:lang w:val="nb-NO"/>
        </w:rPr>
        <w:t xml:space="preserve">Art. </w:t>
      </w:r>
      <w:r w:rsidR="00B62C57" w:rsidRPr="00CD18DC">
        <w:rPr>
          <w:sz w:val="24"/>
          <w:szCs w:val="24"/>
          <w:lang w:val="nb-NO"/>
        </w:rPr>
        <w:t xml:space="preserve">5 alin. (5) se modifică și va avea următorul </w:t>
      </w:r>
      <w:r w:rsidR="007E1E5C" w:rsidRPr="00CD18DC">
        <w:rPr>
          <w:sz w:val="24"/>
          <w:szCs w:val="24"/>
          <w:lang w:val="nb-NO"/>
        </w:rPr>
        <w:t>cuprins</w:t>
      </w:r>
      <w:r w:rsidR="00B62C57" w:rsidRPr="00CD18DC">
        <w:rPr>
          <w:sz w:val="24"/>
          <w:szCs w:val="24"/>
          <w:lang w:val="nb-NO"/>
        </w:rPr>
        <w:t>:</w:t>
      </w:r>
      <w:r w:rsidR="00586399" w:rsidRPr="00CD18DC">
        <w:rPr>
          <w:rFonts w:eastAsia="Calibri"/>
          <w:sz w:val="24"/>
          <w:szCs w:val="24"/>
          <w:lang w:val="ro-RO"/>
        </w:rPr>
        <w:t xml:space="preserve"> </w:t>
      </w:r>
    </w:p>
    <w:p w:rsidR="00317470" w:rsidRPr="00CD18DC" w:rsidRDefault="00DA6C67" w:rsidP="00A74C57">
      <w:pPr>
        <w:spacing w:before="240" w:after="120" w:line="360" w:lineRule="auto"/>
        <w:jc w:val="both"/>
        <w:rPr>
          <w:rFonts w:eastAsia="Calibri"/>
          <w:sz w:val="24"/>
          <w:szCs w:val="24"/>
          <w:lang w:val="ro-RO"/>
        </w:rPr>
      </w:pPr>
      <w:r w:rsidRPr="00CD18DC">
        <w:rPr>
          <w:rFonts w:eastAsia="Calibri"/>
          <w:sz w:val="24"/>
          <w:szCs w:val="24"/>
          <w:lang w:val="ro-RO"/>
        </w:rPr>
        <w:t>”</w:t>
      </w:r>
      <w:r w:rsidR="00586399" w:rsidRPr="00CD18DC">
        <w:rPr>
          <w:rFonts w:eastAsia="Calibri"/>
          <w:sz w:val="24"/>
          <w:szCs w:val="24"/>
          <w:lang w:val="ro-RO"/>
        </w:rPr>
        <w:t xml:space="preserve">(5) </w:t>
      </w:r>
      <w:r w:rsidR="00317470" w:rsidRPr="00CD18DC">
        <w:rPr>
          <w:rFonts w:eastAsia="Calibri"/>
          <w:sz w:val="24"/>
          <w:szCs w:val="24"/>
          <w:lang w:val="ro-RO"/>
        </w:rPr>
        <w:t>Alte venituri specifice activității de producere a energiei electrice și termice în cogenerare de înaltă eficiență se determină pe baza altor categorii de venituri realizate de producător, pentru fiecare an al perioadei de evaluare a supracompensării, precum:</w:t>
      </w:r>
    </w:p>
    <w:p w:rsidR="00317470" w:rsidRPr="00CD18DC" w:rsidRDefault="00317470" w:rsidP="00A74C57">
      <w:pPr>
        <w:spacing w:before="240" w:after="120" w:line="360" w:lineRule="auto"/>
        <w:jc w:val="both"/>
        <w:rPr>
          <w:rFonts w:eastAsia="Calibri"/>
          <w:sz w:val="24"/>
          <w:szCs w:val="24"/>
          <w:lang w:val="ro-RO"/>
        </w:rPr>
      </w:pPr>
      <w:r w:rsidRPr="00CD18DC">
        <w:rPr>
          <w:rFonts w:eastAsia="Calibri"/>
          <w:sz w:val="24"/>
          <w:szCs w:val="24"/>
          <w:lang w:val="ro-RO"/>
        </w:rPr>
        <w:t>a) venituri din vânzarea de certificate CO</w:t>
      </w:r>
      <w:r w:rsidRPr="00CD18DC">
        <w:rPr>
          <w:rFonts w:eastAsia="Calibri"/>
          <w:sz w:val="24"/>
          <w:szCs w:val="24"/>
          <w:vertAlign w:val="subscript"/>
          <w:lang w:val="ro-RO"/>
        </w:rPr>
        <w:t>2</w:t>
      </w:r>
      <w:r w:rsidRPr="00CD18DC">
        <w:rPr>
          <w:rFonts w:eastAsia="Calibri"/>
          <w:sz w:val="24"/>
          <w:szCs w:val="24"/>
          <w:lang w:val="ro-RO"/>
        </w:rPr>
        <w:t>, determinate pe baza</w:t>
      </w:r>
      <w:r w:rsidRPr="00CD18DC">
        <w:rPr>
          <w:rFonts w:eastAsia="Calibri"/>
          <w:sz w:val="24"/>
          <w:szCs w:val="24"/>
          <w:vertAlign w:val="subscript"/>
          <w:lang w:val="ro-RO"/>
        </w:rPr>
        <w:t xml:space="preserve"> </w:t>
      </w:r>
      <w:r w:rsidRPr="00CD18DC">
        <w:rPr>
          <w:rFonts w:eastAsia="Calibri"/>
          <w:sz w:val="24"/>
          <w:szCs w:val="24"/>
          <w:lang w:val="ro-RO"/>
        </w:rPr>
        <w:t>diferenței dintre alocările gratuite de certificate și restituirile pentru emisiile efectiv realizate în anul analizat și a prețului mediu al unui certificat de CO</w:t>
      </w:r>
      <w:r w:rsidRPr="00CD18DC">
        <w:rPr>
          <w:rFonts w:eastAsia="Calibri"/>
          <w:sz w:val="24"/>
          <w:szCs w:val="24"/>
          <w:vertAlign w:val="subscript"/>
          <w:lang w:val="ro-RO"/>
        </w:rPr>
        <w:t>2</w:t>
      </w:r>
      <w:r w:rsidRPr="00CD18DC">
        <w:rPr>
          <w:rFonts w:eastAsia="Calibri"/>
          <w:sz w:val="24"/>
          <w:szCs w:val="24"/>
          <w:lang w:val="ro-RO"/>
        </w:rPr>
        <w:t>, determinat pe baza prețurilor medii de achiziție a certificatelor de CO</w:t>
      </w:r>
      <w:r w:rsidRPr="00CD18DC">
        <w:rPr>
          <w:rFonts w:eastAsia="Calibri"/>
          <w:sz w:val="24"/>
          <w:szCs w:val="24"/>
          <w:vertAlign w:val="subscript"/>
          <w:lang w:val="ro-RO"/>
        </w:rPr>
        <w:t xml:space="preserve">2 </w:t>
      </w:r>
      <w:r w:rsidRPr="00CD18DC">
        <w:rPr>
          <w:rFonts w:eastAsia="Calibri"/>
          <w:sz w:val="24"/>
          <w:szCs w:val="24"/>
          <w:lang w:val="ro-RO"/>
        </w:rPr>
        <w:t>realizate de producători;</w:t>
      </w:r>
      <w:r w:rsidRPr="00CD18DC">
        <w:rPr>
          <w:rFonts w:eastAsia="Calibri"/>
          <w:strike/>
          <w:sz w:val="24"/>
          <w:szCs w:val="24"/>
          <w:lang w:val="ro-RO"/>
        </w:rPr>
        <w:t xml:space="preserve"> </w:t>
      </w:r>
    </w:p>
    <w:p w:rsidR="00317470" w:rsidRPr="00CD18DC" w:rsidRDefault="00317470" w:rsidP="00A74C57">
      <w:pPr>
        <w:spacing w:before="240" w:after="120" w:line="360" w:lineRule="auto"/>
        <w:jc w:val="both"/>
        <w:rPr>
          <w:rFonts w:eastAsia="Calibri"/>
          <w:sz w:val="24"/>
          <w:szCs w:val="24"/>
          <w:lang w:val="ro-RO"/>
        </w:rPr>
      </w:pPr>
      <w:r w:rsidRPr="00CD18DC">
        <w:rPr>
          <w:rFonts w:eastAsia="Calibri"/>
          <w:sz w:val="24"/>
          <w:szCs w:val="24"/>
          <w:lang w:val="ro-RO"/>
        </w:rPr>
        <w:t>b) venituri din vânzarea apei de adaos și a condensului nereturnat;</w:t>
      </w:r>
    </w:p>
    <w:p w:rsidR="00317470" w:rsidRPr="00CD18DC" w:rsidRDefault="00317470" w:rsidP="00A74C57">
      <w:pPr>
        <w:spacing w:before="240" w:after="120" w:line="360" w:lineRule="auto"/>
        <w:jc w:val="both"/>
        <w:rPr>
          <w:rFonts w:eastAsia="Calibri"/>
          <w:sz w:val="24"/>
          <w:szCs w:val="24"/>
          <w:lang w:val="ro-RO"/>
        </w:rPr>
      </w:pPr>
      <w:r w:rsidRPr="00CD18DC">
        <w:rPr>
          <w:rFonts w:eastAsia="Calibri"/>
          <w:sz w:val="24"/>
          <w:szCs w:val="24"/>
          <w:lang w:val="ro-RO"/>
        </w:rPr>
        <w:t xml:space="preserve">c) venituri din vânzarea apei demineralizate.” </w:t>
      </w:r>
    </w:p>
    <w:p w:rsidR="00317470" w:rsidRPr="00CD18DC" w:rsidRDefault="00317470" w:rsidP="00A74C57">
      <w:pPr>
        <w:pStyle w:val="ListParagraph"/>
        <w:numPr>
          <w:ilvl w:val="0"/>
          <w:numId w:val="1"/>
        </w:numPr>
        <w:spacing w:before="240" w:after="120" w:line="360" w:lineRule="auto"/>
        <w:jc w:val="both"/>
        <w:rPr>
          <w:rFonts w:eastAsia="Calibri"/>
          <w:sz w:val="24"/>
          <w:szCs w:val="24"/>
          <w:lang w:val="ro-RO"/>
        </w:rPr>
      </w:pPr>
      <w:r w:rsidRPr="00CD18DC">
        <w:rPr>
          <w:rFonts w:eastAsia="Calibri"/>
          <w:sz w:val="24"/>
          <w:szCs w:val="24"/>
          <w:lang w:val="ro-RO"/>
        </w:rPr>
        <w:t xml:space="preserve">Art. 5 alin. (6) se modifică </w:t>
      </w:r>
      <w:r w:rsidRPr="00CD18DC">
        <w:rPr>
          <w:sz w:val="24"/>
          <w:szCs w:val="24"/>
          <w:lang w:val="nb-NO"/>
        </w:rPr>
        <w:t>și va avea următorul cuprins:</w:t>
      </w:r>
      <w:r w:rsidRPr="00CD18DC">
        <w:rPr>
          <w:rFonts w:eastAsia="Calibri"/>
          <w:sz w:val="24"/>
          <w:szCs w:val="24"/>
          <w:lang w:val="ro-RO"/>
        </w:rPr>
        <w:t xml:space="preserve"> </w:t>
      </w:r>
    </w:p>
    <w:p w:rsidR="00317470" w:rsidRPr="00CD18DC" w:rsidRDefault="00317470" w:rsidP="00A74C57">
      <w:pPr>
        <w:spacing w:before="240" w:after="120" w:line="360" w:lineRule="auto"/>
        <w:jc w:val="both"/>
        <w:rPr>
          <w:rFonts w:eastAsia="Calibri"/>
          <w:sz w:val="24"/>
          <w:szCs w:val="24"/>
          <w:lang w:val="ro-RO"/>
        </w:rPr>
      </w:pPr>
      <w:r w:rsidRPr="00CD18DC">
        <w:rPr>
          <w:rFonts w:eastAsia="Calibri"/>
          <w:sz w:val="24"/>
          <w:szCs w:val="24"/>
          <w:lang w:val="ro-RO"/>
        </w:rPr>
        <w:t>”(6) Nu se iau în considerare:</w:t>
      </w:r>
    </w:p>
    <w:p w:rsidR="00317470" w:rsidRPr="00CD18DC" w:rsidRDefault="00317470" w:rsidP="00A74C57">
      <w:pPr>
        <w:spacing w:before="240" w:after="120" w:line="360" w:lineRule="auto"/>
        <w:jc w:val="both"/>
        <w:rPr>
          <w:rFonts w:eastAsia="Calibri"/>
          <w:sz w:val="24"/>
          <w:szCs w:val="24"/>
          <w:lang w:val="ro-RO"/>
        </w:rPr>
      </w:pPr>
      <w:r w:rsidRPr="00CD18DC">
        <w:rPr>
          <w:rFonts w:eastAsia="Calibri"/>
          <w:sz w:val="24"/>
          <w:szCs w:val="24"/>
          <w:lang w:val="ro-RO"/>
        </w:rPr>
        <w:lastRenderedPageBreak/>
        <w:t>a) venituri rezultate pe piețele concurențiale de energie electrică și termică;</w:t>
      </w:r>
    </w:p>
    <w:p w:rsidR="00317470" w:rsidRPr="00CD18DC" w:rsidRDefault="00317470" w:rsidP="00A74C57">
      <w:pPr>
        <w:spacing w:before="240" w:after="120" w:line="360" w:lineRule="auto"/>
        <w:jc w:val="both"/>
        <w:rPr>
          <w:rFonts w:eastAsia="Calibri"/>
          <w:sz w:val="24"/>
          <w:szCs w:val="24"/>
          <w:lang w:val="ro-RO"/>
        </w:rPr>
      </w:pPr>
      <w:r w:rsidRPr="00CD18DC">
        <w:rPr>
          <w:rFonts w:eastAsia="Calibri"/>
          <w:sz w:val="24"/>
          <w:szCs w:val="24"/>
          <w:lang w:val="ro-RO"/>
        </w:rPr>
        <w:t xml:space="preserve">b) venituri din alte activități decât producerea de energie electrică și termică: chirii și redevență, venituri din produse reziduale și deșeuri, diferențe de curs valutar, dobânzi bancare, venituri financiare, ajustări pentru deprecierea activelor, venituri din recuperare cheltuieli de judecată și creanțe, </w:t>
      </w:r>
      <w:r w:rsidR="00A55458" w:rsidRPr="00CD18DC">
        <w:rPr>
          <w:rFonts w:eastAsia="Calibri"/>
          <w:sz w:val="24"/>
          <w:szCs w:val="24"/>
          <w:lang w:val="ro-RO"/>
        </w:rPr>
        <w:t xml:space="preserve">venituri din vânzări active, </w:t>
      </w:r>
      <w:r w:rsidR="00970DAE" w:rsidRPr="00CD18DC">
        <w:rPr>
          <w:rFonts w:eastAsia="Calibri"/>
          <w:sz w:val="24"/>
          <w:szCs w:val="24"/>
          <w:lang w:val="ro-RO"/>
        </w:rPr>
        <w:t xml:space="preserve">venituri din pompaj energie termică, </w:t>
      </w:r>
      <w:r w:rsidRPr="00CD18DC">
        <w:rPr>
          <w:rFonts w:eastAsia="Calibri"/>
          <w:sz w:val="24"/>
          <w:szCs w:val="24"/>
          <w:lang w:val="ro-RO"/>
        </w:rPr>
        <w:t xml:space="preserve">venituri din producția de imobilizări și venituri obținute prin refacturări; </w:t>
      </w:r>
    </w:p>
    <w:p w:rsidR="00317470" w:rsidRPr="00CD18DC" w:rsidRDefault="00317470" w:rsidP="00A74C57">
      <w:pPr>
        <w:spacing w:before="240" w:after="120" w:line="360" w:lineRule="auto"/>
        <w:jc w:val="both"/>
        <w:rPr>
          <w:rFonts w:eastAsia="Calibri"/>
          <w:sz w:val="24"/>
          <w:szCs w:val="24"/>
          <w:lang w:val="ro-RO"/>
        </w:rPr>
      </w:pPr>
      <w:r w:rsidRPr="00CD18DC">
        <w:rPr>
          <w:rFonts w:eastAsia="Calibri"/>
          <w:sz w:val="24"/>
          <w:szCs w:val="24"/>
          <w:lang w:val="ro-RO"/>
        </w:rPr>
        <w:t>c) venituri din provizioane;</w:t>
      </w:r>
    </w:p>
    <w:p w:rsidR="00317470" w:rsidRPr="00CD18DC" w:rsidRDefault="00317470" w:rsidP="00A74C57">
      <w:pPr>
        <w:spacing w:before="240" w:after="120" w:line="360" w:lineRule="auto"/>
        <w:jc w:val="both"/>
        <w:rPr>
          <w:rFonts w:eastAsia="Calibri"/>
          <w:sz w:val="24"/>
          <w:szCs w:val="24"/>
          <w:lang w:val="ro-RO"/>
        </w:rPr>
      </w:pPr>
      <w:r w:rsidRPr="00CD18DC">
        <w:rPr>
          <w:rFonts w:eastAsia="Calibri"/>
          <w:sz w:val="24"/>
          <w:szCs w:val="24"/>
          <w:lang w:val="ro-RO"/>
        </w:rPr>
        <w:t>d) venituri din penalități;</w:t>
      </w:r>
    </w:p>
    <w:p w:rsidR="00317470" w:rsidRPr="00CD18DC" w:rsidRDefault="00317470" w:rsidP="00A74C57">
      <w:pPr>
        <w:spacing w:before="240" w:after="120" w:line="360" w:lineRule="auto"/>
        <w:jc w:val="both"/>
        <w:rPr>
          <w:rFonts w:eastAsia="Calibri"/>
          <w:sz w:val="24"/>
          <w:szCs w:val="24"/>
          <w:lang w:val="ro-RO"/>
        </w:rPr>
      </w:pPr>
      <w:r w:rsidRPr="00CD18DC">
        <w:rPr>
          <w:rFonts w:eastAsia="Calibri"/>
          <w:sz w:val="24"/>
          <w:szCs w:val="24"/>
          <w:lang w:val="ro-RO"/>
        </w:rPr>
        <w:t>e) venituri din subvenții pentru investiții și cele primite prin orice ajutor acordat în afara schemei de tip bonus.</w:t>
      </w:r>
      <w:r w:rsidR="0043484B" w:rsidRPr="00CD18DC">
        <w:rPr>
          <w:rFonts w:eastAsia="Calibri"/>
          <w:sz w:val="24"/>
          <w:szCs w:val="24"/>
          <w:lang w:val="ro-RO"/>
        </w:rPr>
        <w:t>”</w:t>
      </w:r>
    </w:p>
    <w:p w:rsidR="004415AE" w:rsidRPr="00CD18DC" w:rsidRDefault="00BC6AE7" w:rsidP="00A74C57">
      <w:pPr>
        <w:pStyle w:val="ListParagraph"/>
        <w:numPr>
          <w:ilvl w:val="0"/>
          <w:numId w:val="1"/>
        </w:numPr>
        <w:spacing w:before="240" w:after="120" w:line="360" w:lineRule="auto"/>
        <w:jc w:val="both"/>
        <w:rPr>
          <w:rFonts w:eastAsia="Calibri"/>
          <w:sz w:val="24"/>
          <w:szCs w:val="24"/>
          <w:lang w:val="ro-RO"/>
        </w:rPr>
      </w:pPr>
      <w:r w:rsidRPr="00CD18DC">
        <w:rPr>
          <w:sz w:val="24"/>
          <w:szCs w:val="24"/>
          <w:lang w:val="nb-NO"/>
        </w:rPr>
        <w:t xml:space="preserve">Art. 13 se modifică și va avea următorul </w:t>
      </w:r>
      <w:r w:rsidR="007E1E5C" w:rsidRPr="00CD18DC">
        <w:rPr>
          <w:sz w:val="24"/>
          <w:szCs w:val="24"/>
          <w:lang w:val="nb-NO"/>
        </w:rPr>
        <w:t>cuprins</w:t>
      </w:r>
      <w:r w:rsidRPr="00CD18DC">
        <w:rPr>
          <w:sz w:val="24"/>
          <w:szCs w:val="24"/>
          <w:lang w:val="nb-NO"/>
        </w:rPr>
        <w:t>:</w:t>
      </w:r>
    </w:p>
    <w:p w:rsidR="0043484B" w:rsidRPr="00CD18DC" w:rsidRDefault="00344B1D" w:rsidP="00A74C57">
      <w:pPr>
        <w:numPr>
          <w:ilvl w:val="0"/>
          <w:numId w:val="3"/>
        </w:numPr>
        <w:tabs>
          <w:tab w:val="left" w:pos="851"/>
          <w:tab w:val="left" w:pos="1134"/>
        </w:tabs>
        <w:spacing w:before="240" w:after="120" w:line="360" w:lineRule="auto"/>
        <w:jc w:val="both"/>
        <w:rPr>
          <w:rFonts w:eastAsia="Calibri"/>
          <w:b/>
          <w:bCs/>
          <w:sz w:val="24"/>
          <w:szCs w:val="24"/>
          <w:lang w:val="pt-BR"/>
        </w:rPr>
      </w:pPr>
      <w:r w:rsidRPr="00CD18DC">
        <w:rPr>
          <w:rFonts w:eastAsia="Calibri"/>
          <w:sz w:val="24"/>
          <w:szCs w:val="24"/>
          <w:lang w:val="pt-BR"/>
        </w:rPr>
        <w:t>”</w:t>
      </w:r>
      <w:r w:rsidR="0043484B" w:rsidRPr="00CD18DC">
        <w:rPr>
          <w:rFonts w:eastAsia="Calibri"/>
          <w:sz w:val="24"/>
          <w:szCs w:val="24"/>
          <w:lang w:val="pt-BR"/>
        </w:rPr>
        <w:t xml:space="preserve"> (1) Determinarea veniturilor aferente energiei termice se realizează pe baza energiei termice utile livrate din capacit</w:t>
      </w:r>
      <w:r w:rsidR="0043484B" w:rsidRPr="00CD18DC">
        <w:rPr>
          <w:rFonts w:eastAsia="Calibri"/>
          <w:sz w:val="24"/>
          <w:szCs w:val="24"/>
          <w:lang w:val="ro-RO"/>
        </w:rPr>
        <w:t>ățile</w:t>
      </w:r>
      <w:r w:rsidR="0043484B" w:rsidRPr="00CD18DC">
        <w:rPr>
          <w:rFonts w:eastAsia="Calibri"/>
          <w:sz w:val="24"/>
          <w:szCs w:val="24"/>
          <w:lang w:val="pt-BR"/>
        </w:rPr>
        <w:t xml:space="preserve"> de cogenerare care beneficiază de schema de sprijin, validate de ANRE, și a prețului de referință pentru energia termică, aprobat prin ordin al președintelui ANRE, pentru fiecare an al perioadei de evaluare a supracompensării, astfel:</w:t>
      </w:r>
    </w:p>
    <w:p w:rsidR="0043484B" w:rsidRPr="00CD18DC" w:rsidRDefault="00876920" w:rsidP="00A74C57">
      <w:pPr>
        <w:spacing w:before="240" w:after="120" w:line="360" w:lineRule="auto"/>
        <w:jc w:val="both"/>
        <w:rPr>
          <w:rFonts w:eastAsia="Calibri"/>
          <w:sz w:val="24"/>
          <w:szCs w:val="24"/>
          <w:lang w:val="pt-BR"/>
        </w:rPr>
      </w:pPr>
      <w:r>
        <w:rPr>
          <w:rFonts w:eastAsia="Calibri"/>
          <w:position w:val="-20"/>
          <w:sz w:val="24"/>
          <w:szCs w:val="24"/>
          <w:lang w:val="en-GB"/>
        </w:rPr>
        <w:pict>
          <v:shape id="_x0000_i1026" type="#_x0000_t75" style="width:299.25pt;height:27pt">
            <v:imagedata r:id="rId11" o:title=""/>
          </v:shape>
        </w:pict>
      </w:r>
      <w:r w:rsidR="0043484B" w:rsidRPr="00CD18DC">
        <w:rPr>
          <w:rFonts w:eastAsia="Calibri"/>
          <w:position w:val="-20"/>
          <w:sz w:val="24"/>
          <w:szCs w:val="24"/>
          <w:lang w:val="pt-BR"/>
        </w:rPr>
        <w:t xml:space="preserve"> </w:t>
      </w:r>
      <w:r w:rsidR="0043484B" w:rsidRPr="00CD18DC">
        <w:rPr>
          <w:rFonts w:eastAsia="Calibri"/>
          <w:sz w:val="24"/>
          <w:szCs w:val="24"/>
          <w:lang w:val="pt-BR"/>
        </w:rPr>
        <w:t xml:space="preserve">(lei), </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unde:</w:t>
      </w:r>
    </w:p>
    <w:p w:rsidR="0043484B" w:rsidRPr="00CD18DC" w:rsidRDefault="00876920" w:rsidP="00A74C57">
      <w:pPr>
        <w:spacing w:before="240" w:after="120" w:line="360" w:lineRule="auto"/>
        <w:jc w:val="both"/>
        <w:rPr>
          <w:rFonts w:eastAsia="Calibri"/>
          <w:position w:val="-14"/>
          <w:sz w:val="24"/>
          <w:szCs w:val="24"/>
          <w:lang w:val="pt-BR"/>
        </w:rPr>
      </w:pPr>
      <w:r>
        <w:rPr>
          <w:rFonts w:eastAsia="Calibri"/>
          <w:position w:val="-14"/>
          <w:sz w:val="24"/>
          <w:szCs w:val="24"/>
          <w:lang w:val="en-GB"/>
        </w:rPr>
        <w:pict>
          <v:shape id="_x0000_i1027" type="#_x0000_t75" style="width:39pt;height:21.75pt">
            <v:imagedata r:id="rId12" o:title=""/>
          </v:shape>
        </w:pict>
      </w:r>
      <w:r w:rsidR="0043484B" w:rsidRPr="00CD18DC">
        <w:rPr>
          <w:rFonts w:eastAsia="Calibri"/>
          <w:position w:val="-14"/>
          <w:sz w:val="24"/>
          <w:szCs w:val="24"/>
          <w:lang w:val="pt-BR"/>
        </w:rPr>
        <w:t xml:space="preserve">- </w:t>
      </w:r>
      <w:r w:rsidR="0043484B" w:rsidRPr="00CD18DC">
        <w:rPr>
          <w:rFonts w:eastAsia="Calibri"/>
          <w:position w:val="-6"/>
          <w:sz w:val="24"/>
          <w:szCs w:val="24"/>
          <w:lang w:val="pt-BR"/>
        </w:rPr>
        <w:t>venituri aferente energiei termice utile livrate din capacitățile de cogenerare care beneficiază de schema de sprijin (lei);</w:t>
      </w:r>
    </w:p>
    <w:p w:rsidR="0043484B" w:rsidRPr="00CD18DC" w:rsidRDefault="00876920" w:rsidP="00A74C57">
      <w:pPr>
        <w:spacing w:before="240" w:after="120" w:line="360" w:lineRule="auto"/>
        <w:jc w:val="both"/>
        <w:rPr>
          <w:rFonts w:eastAsia="Calibri"/>
          <w:sz w:val="24"/>
          <w:szCs w:val="24"/>
          <w:lang w:val="ro-RO"/>
        </w:rPr>
      </w:pPr>
      <w:r>
        <w:rPr>
          <w:rFonts w:eastAsia="Calibri"/>
          <w:position w:val="-16"/>
          <w:sz w:val="24"/>
          <w:szCs w:val="24"/>
          <w:lang w:val="en-GB"/>
        </w:rPr>
        <w:pict>
          <v:shape id="_x0000_i1028" type="#_x0000_t75" style="width:204.75pt;height:23.25pt">
            <v:imagedata r:id="rId13" o:title=""/>
          </v:shape>
        </w:pict>
      </w:r>
      <w:r w:rsidR="0043484B" w:rsidRPr="00CD18DC">
        <w:rPr>
          <w:rFonts w:eastAsia="Calibri"/>
          <w:sz w:val="24"/>
          <w:szCs w:val="24"/>
          <w:lang w:val="pt-BR"/>
        </w:rPr>
        <w:t xml:space="preserve"> - energia termică utilă livrată populației și/sau consumatorilor noncasnici din capacitățile de cogenerare care beneficiază de schema de sprijin, validată de ANRE din documentațiile de calificare, pentru fiecare an al perioadei de evaluare a supracompensării. În energia termică utilă livrată consumatorilor se consideră și energia termic</w:t>
      </w:r>
      <w:r w:rsidR="0043484B" w:rsidRPr="00CD18DC">
        <w:rPr>
          <w:rFonts w:eastAsia="Calibri"/>
          <w:sz w:val="24"/>
          <w:szCs w:val="24"/>
          <w:lang w:val="ro-RO"/>
        </w:rPr>
        <w:t>ă utilizată de producător în alte activități decât cele de producere a energiei electrice și termice</w:t>
      </w:r>
      <w:r w:rsidR="0043484B" w:rsidRPr="00CD18DC">
        <w:rPr>
          <w:rFonts w:eastAsia="Calibri"/>
          <w:sz w:val="24"/>
          <w:szCs w:val="24"/>
          <w:lang w:val="pt-BR"/>
        </w:rPr>
        <w:t xml:space="preserve"> (MWh);</w:t>
      </w:r>
    </w:p>
    <w:p w:rsidR="0043484B" w:rsidRPr="00CD18DC" w:rsidRDefault="00876920" w:rsidP="00A74C57">
      <w:pPr>
        <w:spacing w:before="240" w:after="120" w:line="360" w:lineRule="auto"/>
        <w:jc w:val="both"/>
        <w:rPr>
          <w:rFonts w:eastAsia="Calibri"/>
          <w:sz w:val="24"/>
          <w:szCs w:val="24"/>
          <w:lang w:val="pt-BR"/>
        </w:rPr>
      </w:pPr>
      <w:r>
        <w:rPr>
          <w:rFonts w:eastAsia="Calibri"/>
          <w:position w:val="-20"/>
          <w:sz w:val="24"/>
          <w:szCs w:val="24"/>
          <w:lang w:val="en-GB"/>
        </w:rPr>
        <w:lastRenderedPageBreak/>
        <w:pict>
          <v:shape id="_x0000_i1029" type="#_x0000_t75" style="width:39pt;height:27pt">
            <v:imagedata r:id="rId14" o:title=""/>
          </v:shape>
        </w:pict>
      </w:r>
      <w:r w:rsidR="0043484B" w:rsidRPr="00CD18DC">
        <w:rPr>
          <w:rFonts w:eastAsia="Calibri"/>
          <w:position w:val="-20"/>
          <w:sz w:val="24"/>
          <w:szCs w:val="24"/>
          <w:lang w:val="en-GB"/>
        </w:rPr>
        <w:t>,</w:t>
      </w:r>
      <w:r w:rsidR="0043484B" w:rsidRPr="00CD18DC">
        <w:rPr>
          <w:rFonts w:eastAsia="Calibri"/>
          <w:position w:val="-38"/>
          <w:sz w:val="24"/>
          <w:szCs w:val="24"/>
          <w:vertAlign w:val="superscript"/>
          <w:lang w:val="pt-BR"/>
        </w:rPr>
        <w:t xml:space="preserve"> </w:t>
      </w:r>
      <w:r>
        <w:rPr>
          <w:rFonts w:eastAsia="Calibri"/>
          <w:position w:val="-20"/>
          <w:sz w:val="24"/>
          <w:szCs w:val="24"/>
          <w:lang w:val="en-GB"/>
        </w:rPr>
        <w:pict>
          <v:shape id="_x0000_i1030" type="#_x0000_t75" style="width:56.25pt;height:27pt">
            <v:imagedata r:id="rId15" o:title=""/>
          </v:shape>
        </w:pict>
      </w:r>
      <w:r w:rsidR="0043484B" w:rsidRPr="00CD18DC">
        <w:rPr>
          <w:rFonts w:eastAsia="Calibri"/>
          <w:sz w:val="24"/>
          <w:szCs w:val="24"/>
          <w:lang w:val="pt-BR"/>
        </w:rPr>
        <w:t>– prețurile de referință ale energiei termice livrate populației, respectiv consumatorilor noncasnici (în situația în care acestea nu sunt diferențiate după categoria de consumatori, se va utiliza același preț atât pentru populație, cât și pentru consumatorii noncasnici), aprobate prin ordin al președintelui ANRE, pentru fiecare an al perioadei de evaluare a supracompensării (lei/MWh).</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 xml:space="preserve">(2) În cazul în care pentru un producător există o hotărâre judecătorească </w:t>
      </w:r>
      <w:r w:rsidR="00757380" w:rsidRPr="00CD18DC">
        <w:rPr>
          <w:rFonts w:eastAsia="Calibri"/>
          <w:sz w:val="24"/>
          <w:szCs w:val="24"/>
          <w:lang w:val="pt-BR"/>
        </w:rPr>
        <w:t xml:space="preserve">emisă de Curtea de Apel București </w:t>
      </w:r>
      <w:r w:rsidRPr="00CD18DC">
        <w:rPr>
          <w:rFonts w:eastAsia="Calibri"/>
          <w:sz w:val="24"/>
          <w:szCs w:val="24"/>
          <w:lang w:val="pt-BR"/>
        </w:rPr>
        <w:t>prin care:</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 se suspendă/anulează decizia ANRE privind aprobarea prețurilor reglementate pentru energia termică livrată de producătorul respectiv, aplicabile în anul pentru care se realizează analiza de supracompensare și/sau</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 se impune utilizarea unui preț reglementat pentru energia termică, aprobat printr-o decizie ANRE anterioară,</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pentru determinarea veniturilor aferente energiei termice se utilizează prețurile de referință, aprobate prin ordin al președintelui ANRE, care au stat la baza stabilirii prețurilor reglementate  impuse prin hotarârea judecătorească</w:t>
      </w:r>
      <w:r w:rsidR="00143B51" w:rsidRPr="00CD18DC">
        <w:rPr>
          <w:rFonts w:eastAsia="Calibri"/>
          <w:sz w:val="24"/>
          <w:szCs w:val="24"/>
          <w:lang w:val="pt-BR"/>
        </w:rPr>
        <w:t xml:space="preserve"> sau cele care au stat la baza stabilirii prețurilor reglementate care nu fac obiectul suspendării/anulării printr-o hotărâre judecătorească</w:t>
      </w:r>
      <w:r w:rsidRPr="00CD18DC">
        <w:rPr>
          <w:rFonts w:eastAsia="Calibri"/>
          <w:sz w:val="24"/>
          <w:szCs w:val="24"/>
          <w:lang w:val="pt-BR"/>
        </w:rPr>
        <w:t xml:space="preserve">. </w:t>
      </w:r>
    </w:p>
    <w:p w:rsidR="00E42A5E" w:rsidRPr="00CD18DC" w:rsidRDefault="0043484B" w:rsidP="00A74C57">
      <w:pPr>
        <w:tabs>
          <w:tab w:val="left" w:pos="851"/>
          <w:tab w:val="left" w:pos="1134"/>
        </w:tabs>
        <w:spacing w:before="240" w:after="120" w:line="360" w:lineRule="auto"/>
        <w:jc w:val="both"/>
        <w:rPr>
          <w:rFonts w:eastAsia="Calibri"/>
          <w:sz w:val="24"/>
          <w:szCs w:val="24"/>
          <w:lang w:val="pt-BR"/>
        </w:rPr>
      </w:pPr>
      <w:r w:rsidRPr="00CD18DC">
        <w:rPr>
          <w:rFonts w:eastAsia="Calibri"/>
          <w:sz w:val="24"/>
          <w:szCs w:val="24"/>
          <w:lang w:val="pt-BR"/>
        </w:rPr>
        <w:t>(3) În cazul în care, prin hotărâre judecătorească definitivă și irevocabilă, emisă</w:t>
      </w:r>
      <w:r w:rsidRPr="00CD18DC">
        <w:rPr>
          <w:rFonts w:eastAsia="Calibri"/>
          <w:sz w:val="24"/>
          <w:szCs w:val="24"/>
          <w:lang w:val="ro-RO"/>
        </w:rPr>
        <w:t xml:space="preserve"> în cursul perioadei de evaluare sau în termen de trei luni de la sfârșitul acesteia, </w:t>
      </w:r>
      <w:r w:rsidRPr="00CD18DC">
        <w:rPr>
          <w:rFonts w:eastAsia="Calibri"/>
          <w:sz w:val="24"/>
          <w:szCs w:val="24"/>
          <w:lang w:val="pt-BR"/>
        </w:rPr>
        <w:t>este infirmată situaţia prezentată la alin. (2), se utilizează prețurile de referință aprobate prin ordin al președintelui ANRE pentru perioada de evaluare a supracompensării.</w:t>
      </w:r>
      <w:r w:rsidR="00E42A5E" w:rsidRPr="00CD18DC">
        <w:rPr>
          <w:rFonts w:eastAsia="Calibri"/>
          <w:sz w:val="24"/>
          <w:szCs w:val="24"/>
          <w:lang w:val="pt-BR"/>
        </w:rPr>
        <w:t>”</w:t>
      </w:r>
    </w:p>
    <w:p w:rsidR="0043484B" w:rsidRPr="00CD18DC" w:rsidRDefault="0043484B" w:rsidP="00A74C57">
      <w:pPr>
        <w:pStyle w:val="ListParagraph"/>
        <w:numPr>
          <w:ilvl w:val="0"/>
          <w:numId w:val="1"/>
        </w:numPr>
        <w:spacing w:after="120" w:line="360" w:lineRule="auto"/>
        <w:jc w:val="both"/>
        <w:rPr>
          <w:sz w:val="24"/>
          <w:szCs w:val="24"/>
          <w:lang w:val="nb-NO"/>
        </w:rPr>
      </w:pPr>
      <w:r w:rsidRPr="00CD18DC">
        <w:rPr>
          <w:sz w:val="24"/>
          <w:szCs w:val="24"/>
          <w:lang w:val="nb-NO"/>
        </w:rPr>
        <w:t xml:space="preserve">Art. 16. se modifică și va avea următorul </w:t>
      </w:r>
      <w:r w:rsidRPr="00CD18DC">
        <w:rPr>
          <w:rFonts w:eastAsia="Calibri"/>
          <w:sz w:val="24"/>
          <w:szCs w:val="24"/>
          <w:lang w:val="pt-BR"/>
        </w:rPr>
        <w:t>cuprins</w:t>
      </w:r>
      <w:r w:rsidRPr="00CD18DC">
        <w:rPr>
          <w:sz w:val="24"/>
          <w:szCs w:val="24"/>
          <w:lang w:val="nb-NO"/>
        </w:rPr>
        <w:t>:</w:t>
      </w:r>
    </w:p>
    <w:p w:rsidR="0043484B" w:rsidRPr="00CD18DC" w:rsidRDefault="0043484B" w:rsidP="00A74C57">
      <w:pPr>
        <w:tabs>
          <w:tab w:val="left" w:pos="709"/>
          <w:tab w:val="left" w:pos="851"/>
          <w:tab w:val="left" w:pos="1134"/>
        </w:tabs>
        <w:spacing w:before="240" w:after="120" w:line="360" w:lineRule="auto"/>
        <w:jc w:val="both"/>
        <w:rPr>
          <w:rFonts w:eastAsia="Calibri"/>
          <w:sz w:val="24"/>
          <w:szCs w:val="24"/>
          <w:lang w:val="ro-RO"/>
        </w:rPr>
      </w:pPr>
      <w:r w:rsidRPr="00CD18DC">
        <w:rPr>
          <w:rFonts w:eastAsia="Calibri"/>
          <w:sz w:val="24"/>
          <w:szCs w:val="24"/>
          <w:lang w:val="pt-BR"/>
        </w:rPr>
        <w:t>”Art. 16. Alte venituri din cogenerarea de înaltă eficiență, menționate la art. 5 alin. (5), se determină astfel:</w:t>
      </w:r>
    </w:p>
    <w:p w:rsidR="0043484B" w:rsidRPr="00CD18DC" w:rsidRDefault="00876920" w:rsidP="00A74C57">
      <w:pPr>
        <w:spacing w:before="240" w:after="120" w:line="360" w:lineRule="auto"/>
        <w:jc w:val="both"/>
        <w:rPr>
          <w:rFonts w:eastAsia="Calibri"/>
          <w:sz w:val="24"/>
          <w:szCs w:val="24"/>
          <w:lang w:val="pt-BR"/>
        </w:rPr>
      </w:pPr>
      <w:r>
        <w:rPr>
          <w:rFonts w:eastAsia="Calibri"/>
          <w:position w:val="-40"/>
          <w:sz w:val="24"/>
          <w:szCs w:val="24"/>
          <w:lang w:val="en-GB"/>
        </w:rPr>
        <w:pict>
          <v:shape id="_x0000_i1031" type="#_x0000_t75" style="width:139.5pt;height:44.25pt">
            <v:imagedata r:id="rId16" o:title=""/>
          </v:shape>
        </w:pict>
      </w:r>
      <w:r w:rsidR="0043484B" w:rsidRPr="00CD18DC">
        <w:rPr>
          <w:rFonts w:eastAsia="Calibri"/>
          <w:sz w:val="24"/>
          <w:szCs w:val="24"/>
          <w:lang w:val="pt-BR"/>
        </w:rPr>
        <w:t xml:space="preserve"> (lei), </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unde:</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lastRenderedPageBreak/>
        <w:pict>
          <v:shape id="_x0000_i1032" type="#_x0000_t75" style="width:37.5pt;height:21pt">
            <v:imagedata r:id="rId17" o:title=""/>
          </v:shape>
        </w:pict>
      </w:r>
      <w:r w:rsidR="0043484B" w:rsidRPr="00CD18DC">
        <w:rPr>
          <w:rFonts w:eastAsia="Calibri"/>
          <w:sz w:val="24"/>
          <w:szCs w:val="24"/>
          <w:lang w:val="pt-BR"/>
        </w:rPr>
        <w:t>- alte venituri aferente cogenerării de înaltă eficiență (lei);</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33" type="#_x0000_t75" style="width:28.5pt;height:21pt">
            <v:imagedata r:id="rId18" o:title=""/>
          </v:shape>
        </w:pict>
      </w:r>
      <w:r w:rsidR="0043484B" w:rsidRPr="00CD18DC">
        <w:rPr>
          <w:rFonts w:eastAsia="Calibri"/>
          <w:sz w:val="24"/>
          <w:szCs w:val="24"/>
          <w:lang w:val="pt-BR"/>
        </w:rPr>
        <w:t xml:space="preserve"> - alte venituri realizate de producător, pentru fiecare an al perioadei de evaluare a supracompensării, pe total centrală (lei), care se determină astfel:</w:t>
      </w:r>
    </w:p>
    <w:p w:rsidR="0043484B" w:rsidRPr="00CD18DC" w:rsidRDefault="0043484B" w:rsidP="00A74C57">
      <w:pPr>
        <w:spacing w:before="240" w:after="120" w:line="360" w:lineRule="auto"/>
        <w:jc w:val="both"/>
        <w:rPr>
          <w:rFonts w:eastAsia="Calibri"/>
          <w:sz w:val="24"/>
          <w:szCs w:val="24"/>
          <w:lang w:val="pt-BR"/>
        </w:rPr>
      </w:pPr>
      <w:r w:rsidRPr="00CD18DC">
        <w:rPr>
          <w:position w:val="-18"/>
          <w:sz w:val="24"/>
          <w:szCs w:val="24"/>
          <w:lang w:val="ro-RO"/>
        </w:rPr>
        <w:object w:dxaOrig="3060" w:dyaOrig="480">
          <v:shape id="_x0000_i1034" type="#_x0000_t75" style="width:150pt;height:23.25pt" o:ole="">
            <v:imagedata r:id="rId19" o:title=""/>
          </v:shape>
          <o:OLEObject Type="Embed" ProgID="Equation.3" ShapeID="_x0000_i1034" DrawAspect="Content" ObjectID="_1515241636" r:id="rId20"/>
        </w:object>
      </w:r>
      <w:r w:rsidRPr="00CD18DC">
        <w:rPr>
          <w:position w:val="-20"/>
          <w:sz w:val="24"/>
          <w:szCs w:val="24"/>
          <w:lang w:val="ro-RO"/>
        </w:rPr>
        <w:t xml:space="preserve"> </w:t>
      </w:r>
      <w:r w:rsidRPr="00CD18DC">
        <w:rPr>
          <w:rFonts w:eastAsia="Calibri"/>
          <w:sz w:val="24"/>
          <w:szCs w:val="24"/>
          <w:lang w:val="pt-BR"/>
        </w:rPr>
        <w:t xml:space="preserve">(lei), </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unde:</w:t>
      </w:r>
    </w:p>
    <w:p w:rsidR="0043484B" w:rsidRPr="00CD18DC" w:rsidRDefault="0043484B" w:rsidP="00A74C57">
      <w:pPr>
        <w:spacing w:before="240" w:after="120" w:line="360" w:lineRule="auto"/>
        <w:jc w:val="both"/>
        <w:rPr>
          <w:rFonts w:eastAsia="Calibri"/>
          <w:sz w:val="24"/>
          <w:szCs w:val="24"/>
          <w:lang w:val="pt-BR"/>
        </w:rPr>
      </w:pPr>
      <w:r w:rsidRPr="00CD18DC">
        <w:rPr>
          <w:position w:val="-18"/>
          <w:sz w:val="24"/>
          <w:szCs w:val="24"/>
          <w:lang w:val="ro-RO"/>
        </w:rPr>
        <w:object w:dxaOrig="1560" w:dyaOrig="480">
          <v:shape id="_x0000_i1035" type="#_x0000_t75" style="width:76.5pt;height:23.25pt" o:ole="">
            <v:imagedata r:id="rId21" o:title=""/>
          </v:shape>
          <o:OLEObject Type="Embed" ProgID="Equation.3" ShapeID="_x0000_i1035" DrawAspect="Content" ObjectID="_1515241637" r:id="rId22"/>
        </w:object>
      </w:r>
      <w:r w:rsidRPr="00CD18DC">
        <w:rPr>
          <w:position w:val="-20"/>
          <w:sz w:val="24"/>
          <w:szCs w:val="24"/>
          <w:lang w:val="ro-RO"/>
        </w:rPr>
        <w:t xml:space="preserve"> </w:t>
      </w:r>
      <w:r w:rsidRPr="00CD18DC">
        <w:rPr>
          <w:rFonts w:eastAsia="Calibri"/>
          <w:sz w:val="24"/>
          <w:szCs w:val="24"/>
          <w:lang w:val="pt-BR"/>
        </w:rPr>
        <w:t>- venituri din apa de adaos, apa demineralizată și condensul nereturnat</w:t>
      </w:r>
      <w:r w:rsidR="00880BF4" w:rsidRPr="00CD18DC">
        <w:rPr>
          <w:rFonts w:eastAsia="Calibri"/>
          <w:sz w:val="24"/>
          <w:szCs w:val="24"/>
          <w:lang w:val="pt-BR"/>
        </w:rPr>
        <w:t xml:space="preserve">, </w:t>
      </w:r>
      <w:r w:rsidRPr="00CD18DC">
        <w:rPr>
          <w:rFonts w:eastAsia="Calibri"/>
          <w:sz w:val="24"/>
          <w:szCs w:val="24"/>
          <w:lang w:val="pt-BR"/>
        </w:rPr>
        <w:t xml:space="preserve"> </w:t>
      </w:r>
      <w:r w:rsidR="00880BF4" w:rsidRPr="00CD18DC">
        <w:rPr>
          <w:rFonts w:eastAsia="Calibri"/>
          <w:sz w:val="24"/>
          <w:szCs w:val="24"/>
          <w:lang w:val="pt-BR"/>
        </w:rPr>
        <w:t xml:space="preserve">pentru perioada de evaluare a supracompensării, pe total centrală </w:t>
      </w:r>
      <w:r w:rsidRPr="00CD18DC">
        <w:rPr>
          <w:rFonts w:eastAsia="Calibri"/>
          <w:sz w:val="24"/>
          <w:szCs w:val="24"/>
          <w:lang w:val="pt-BR"/>
        </w:rPr>
        <w:t>(lei);</w:t>
      </w:r>
    </w:p>
    <w:p w:rsidR="0043484B" w:rsidRPr="00CD18DC" w:rsidRDefault="0043484B" w:rsidP="00A74C57">
      <w:pPr>
        <w:spacing w:before="240" w:after="120" w:line="360" w:lineRule="auto"/>
        <w:jc w:val="both"/>
        <w:rPr>
          <w:rFonts w:eastAsia="Calibri"/>
          <w:sz w:val="24"/>
          <w:szCs w:val="24"/>
          <w:lang w:val="pt-BR"/>
        </w:rPr>
      </w:pPr>
      <w:r w:rsidRPr="00CD18DC">
        <w:rPr>
          <w:position w:val="-14"/>
          <w:sz w:val="24"/>
          <w:szCs w:val="24"/>
          <w:lang w:val="ro-RO"/>
        </w:rPr>
        <w:object w:dxaOrig="580" w:dyaOrig="440">
          <v:shape id="_x0000_i1036" type="#_x0000_t75" style="width:28.5pt;height:21.75pt" o:ole="">
            <v:imagedata r:id="rId23" o:title=""/>
          </v:shape>
          <o:OLEObject Type="Embed" ProgID="Equation.3" ShapeID="_x0000_i1036" DrawAspect="Content" ObjectID="_1515241638" r:id="rId24"/>
        </w:object>
      </w:r>
      <w:r w:rsidRPr="00CD18DC">
        <w:rPr>
          <w:position w:val="-20"/>
          <w:sz w:val="24"/>
          <w:szCs w:val="24"/>
          <w:lang w:val="ro-RO"/>
        </w:rPr>
        <w:t xml:space="preserve"> </w:t>
      </w:r>
      <w:r w:rsidRPr="00CD18DC">
        <w:rPr>
          <w:rFonts w:eastAsia="Calibri"/>
          <w:sz w:val="24"/>
          <w:szCs w:val="24"/>
          <w:lang w:val="pt-BR"/>
        </w:rPr>
        <w:t>- venituri din CO</w:t>
      </w:r>
      <w:r w:rsidRPr="00CD18DC">
        <w:rPr>
          <w:rFonts w:eastAsia="Calibri"/>
          <w:sz w:val="24"/>
          <w:szCs w:val="24"/>
          <w:vertAlign w:val="subscript"/>
          <w:lang w:val="pt-BR"/>
        </w:rPr>
        <w:t xml:space="preserve">2 </w:t>
      </w:r>
      <w:r w:rsidRPr="00CD18DC">
        <w:rPr>
          <w:rFonts w:eastAsia="Calibri"/>
          <w:sz w:val="24"/>
          <w:szCs w:val="24"/>
          <w:lang w:val="pt-BR"/>
        </w:rPr>
        <w:t xml:space="preserve">(lei), </w:t>
      </w:r>
      <w:r w:rsidR="00880BF4" w:rsidRPr="00CD18DC">
        <w:rPr>
          <w:rFonts w:eastAsia="Calibri"/>
          <w:sz w:val="24"/>
          <w:szCs w:val="24"/>
          <w:lang w:val="pt-BR"/>
        </w:rPr>
        <w:t xml:space="preserve">pentru perioada de evaluare a supracompensării, pe total centrală, </w:t>
      </w:r>
      <w:r w:rsidRPr="00CD18DC">
        <w:rPr>
          <w:rFonts w:eastAsia="Calibri"/>
          <w:sz w:val="24"/>
          <w:szCs w:val="24"/>
          <w:lang w:val="pt-BR"/>
        </w:rPr>
        <w:t>determinate astfel:</w:t>
      </w:r>
    </w:p>
    <w:p w:rsidR="00B719F7" w:rsidRPr="00CD18DC" w:rsidRDefault="00B719F7" w:rsidP="00A74C57">
      <w:pPr>
        <w:spacing w:before="240" w:after="120" w:line="360" w:lineRule="auto"/>
        <w:jc w:val="both"/>
        <w:rPr>
          <w:rFonts w:eastAsia="Calibri"/>
          <w:sz w:val="24"/>
          <w:szCs w:val="24"/>
          <w:lang w:val="pt-BR"/>
        </w:rPr>
      </w:pPr>
      <w:r w:rsidRPr="00CD18DC">
        <w:rPr>
          <w:rFonts w:eastAsia="Calibri"/>
          <w:position w:val="-18"/>
          <w:sz w:val="24"/>
          <w:szCs w:val="24"/>
          <w:lang w:val="en-GB"/>
        </w:rPr>
        <w:object w:dxaOrig="3920" w:dyaOrig="520">
          <v:shape id="_x0000_i1037" type="#_x0000_t75" style="width:195.75pt;height:26.25pt" o:ole="">
            <v:imagedata r:id="rId25" o:title=""/>
          </v:shape>
          <o:OLEObject Type="Embed" ProgID="Equation.3" ShapeID="_x0000_i1037" DrawAspect="Content" ObjectID="_1515241639" r:id="rId26"/>
        </w:object>
      </w:r>
      <w:r w:rsidRPr="00CD18DC">
        <w:rPr>
          <w:rFonts w:eastAsia="Calibri"/>
          <w:sz w:val="24"/>
          <w:szCs w:val="24"/>
          <w:lang w:val="pt-BR"/>
        </w:rPr>
        <w:t>(lei), unde:</w:t>
      </w:r>
    </w:p>
    <w:p w:rsidR="0043484B" w:rsidRPr="00CD18DC" w:rsidRDefault="0043484B" w:rsidP="00A74C57">
      <w:pPr>
        <w:spacing w:before="240" w:after="120" w:line="360" w:lineRule="auto"/>
        <w:jc w:val="both"/>
        <w:rPr>
          <w:rFonts w:eastAsia="Calibri"/>
          <w:sz w:val="24"/>
          <w:szCs w:val="24"/>
          <w:lang w:val="pt-BR"/>
        </w:rPr>
      </w:pPr>
      <w:r w:rsidRPr="00CD18DC">
        <w:rPr>
          <w:position w:val="-14"/>
          <w:sz w:val="24"/>
          <w:szCs w:val="24"/>
          <w:lang w:val="ro-RO"/>
        </w:rPr>
        <w:object w:dxaOrig="1080" w:dyaOrig="440">
          <v:shape id="_x0000_i1038" type="#_x0000_t75" style="width:52.5pt;height:21.75pt" o:ole="">
            <v:imagedata r:id="rId27" o:title=""/>
          </v:shape>
          <o:OLEObject Type="Embed" ProgID="Equation.3" ShapeID="_x0000_i1038" DrawAspect="Content" ObjectID="_1515241640" r:id="rId28"/>
        </w:object>
      </w:r>
      <w:r w:rsidRPr="00CD18DC">
        <w:rPr>
          <w:rFonts w:eastAsia="Calibri"/>
          <w:sz w:val="24"/>
          <w:szCs w:val="24"/>
          <w:lang w:val="pt-BR"/>
        </w:rPr>
        <w:t>- număr de certificate de CO</w:t>
      </w:r>
      <w:r w:rsidRPr="00CD18DC">
        <w:rPr>
          <w:rFonts w:eastAsia="Calibri"/>
          <w:sz w:val="24"/>
          <w:szCs w:val="24"/>
          <w:vertAlign w:val="subscript"/>
          <w:lang w:val="pt-BR"/>
        </w:rPr>
        <w:t xml:space="preserve">2 </w:t>
      </w:r>
      <w:r w:rsidRPr="00CD18DC">
        <w:rPr>
          <w:rFonts w:eastAsia="Calibri"/>
          <w:sz w:val="24"/>
          <w:szCs w:val="24"/>
          <w:lang w:val="pt-BR"/>
        </w:rPr>
        <w:t>alocate cu titlu gratuit,</w:t>
      </w:r>
      <w:r w:rsidR="00880BF4" w:rsidRPr="00CD18DC">
        <w:rPr>
          <w:rFonts w:eastAsia="Calibri"/>
          <w:sz w:val="24"/>
          <w:szCs w:val="24"/>
          <w:lang w:val="pt-BR"/>
        </w:rPr>
        <w:t xml:space="preserve"> pentru perioada de evaluare a supracompensării, pe total centrală,</w:t>
      </w:r>
    </w:p>
    <w:p w:rsidR="0043484B" w:rsidRPr="00CD18DC" w:rsidRDefault="0043484B" w:rsidP="00A74C57">
      <w:pPr>
        <w:spacing w:before="240" w:after="120" w:line="360" w:lineRule="auto"/>
        <w:jc w:val="both"/>
        <w:rPr>
          <w:rFonts w:eastAsia="Calibri"/>
          <w:sz w:val="24"/>
          <w:szCs w:val="24"/>
          <w:lang w:val="pt-BR"/>
        </w:rPr>
      </w:pPr>
      <w:r w:rsidRPr="00CD18DC">
        <w:rPr>
          <w:position w:val="-14"/>
          <w:sz w:val="24"/>
          <w:szCs w:val="24"/>
          <w:lang w:val="ro-RO"/>
        </w:rPr>
        <w:object w:dxaOrig="1160" w:dyaOrig="440">
          <v:shape id="_x0000_i1039" type="#_x0000_t75" style="width:57pt;height:21.75pt" o:ole="">
            <v:imagedata r:id="rId29" o:title=""/>
          </v:shape>
          <o:OLEObject Type="Embed" ProgID="Equation.3" ShapeID="_x0000_i1039" DrawAspect="Content" ObjectID="_1515241641" r:id="rId30"/>
        </w:object>
      </w:r>
      <w:r w:rsidRPr="00CD18DC">
        <w:rPr>
          <w:rFonts w:eastAsia="Calibri"/>
          <w:sz w:val="24"/>
          <w:szCs w:val="24"/>
          <w:lang w:val="pt-BR"/>
        </w:rPr>
        <w:t>- numărul de certificate de CO</w:t>
      </w:r>
      <w:r w:rsidRPr="00CD18DC">
        <w:rPr>
          <w:rFonts w:eastAsia="Calibri"/>
          <w:sz w:val="24"/>
          <w:szCs w:val="24"/>
          <w:vertAlign w:val="subscript"/>
          <w:lang w:val="pt-BR"/>
        </w:rPr>
        <w:t>2</w:t>
      </w:r>
      <w:r w:rsidRPr="00CD18DC">
        <w:rPr>
          <w:rFonts w:eastAsia="Calibri"/>
          <w:sz w:val="24"/>
          <w:szCs w:val="24"/>
          <w:lang w:val="pt-BR"/>
        </w:rPr>
        <w:t xml:space="preserve"> restituite conform emisiilor efectiv realizate pentru perioada de evaluare a supracompensării</w:t>
      </w:r>
      <w:r w:rsidR="00880BF4" w:rsidRPr="00CD18DC">
        <w:rPr>
          <w:rFonts w:eastAsia="Calibri"/>
          <w:sz w:val="24"/>
          <w:szCs w:val="24"/>
          <w:lang w:val="pt-BR"/>
        </w:rPr>
        <w:t xml:space="preserve"> pe total centrală</w:t>
      </w:r>
      <w:r w:rsidRPr="00CD18DC">
        <w:rPr>
          <w:rFonts w:eastAsia="Calibri"/>
          <w:sz w:val="24"/>
          <w:szCs w:val="24"/>
          <w:lang w:val="pt-BR"/>
        </w:rPr>
        <w:t>,</w:t>
      </w:r>
    </w:p>
    <w:p w:rsidR="0043484B" w:rsidRPr="00CD18DC" w:rsidRDefault="0043484B" w:rsidP="00A74C57">
      <w:pPr>
        <w:spacing w:before="240" w:after="120" w:line="360" w:lineRule="auto"/>
        <w:jc w:val="both"/>
        <w:rPr>
          <w:rFonts w:eastAsia="Calibri"/>
          <w:sz w:val="24"/>
          <w:szCs w:val="24"/>
          <w:lang w:val="pt-BR"/>
        </w:rPr>
      </w:pPr>
      <w:r w:rsidRPr="00CD18DC">
        <w:rPr>
          <w:position w:val="-18"/>
          <w:sz w:val="24"/>
          <w:szCs w:val="24"/>
          <w:lang w:val="ro-RO"/>
        </w:rPr>
        <w:object w:dxaOrig="580" w:dyaOrig="520">
          <v:shape id="_x0000_i1040" type="#_x0000_t75" style="width:28.5pt;height:25.5pt" o:ole="">
            <v:imagedata r:id="rId31" o:title=""/>
          </v:shape>
          <o:OLEObject Type="Embed" ProgID="Equation.3" ShapeID="_x0000_i1040" DrawAspect="Content" ObjectID="_1515241642" r:id="rId32"/>
        </w:object>
      </w:r>
      <w:r w:rsidR="005A18C4">
        <w:rPr>
          <w:position w:val="-18"/>
          <w:sz w:val="24"/>
          <w:szCs w:val="24"/>
          <w:lang w:val="ro-RO"/>
        </w:rPr>
        <w:t xml:space="preserve"> </w:t>
      </w:r>
      <w:r w:rsidR="005A18C4" w:rsidRPr="005A18C4">
        <w:rPr>
          <w:rFonts w:eastAsia="Calibri"/>
          <w:sz w:val="24"/>
          <w:szCs w:val="24"/>
          <w:lang w:val="pt-BR"/>
        </w:rPr>
        <w:t xml:space="preserve">- </w:t>
      </w:r>
      <w:r w:rsidRPr="00CD18DC">
        <w:rPr>
          <w:rFonts w:eastAsia="Calibri"/>
          <w:sz w:val="24"/>
          <w:szCs w:val="24"/>
          <w:lang w:val="pt-BR"/>
        </w:rPr>
        <w:t>preț</w:t>
      </w:r>
      <w:bookmarkStart w:id="0" w:name="_GoBack"/>
      <w:bookmarkEnd w:id="0"/>
      <w:r w:rsidRPr="00CD18DC">
        <w:rPr>
          <w:rFonts w:eastAsia="Calibri"/>
          <w:sz w:val="24"/>
          <w:szCs w:val="24"/>
          <w:lang w:val="pt-BR"/>
        </w:rPr>
        <w:t>ul unui certificat de CO</w:t>
      </w:r>
      <w:r w:rsidRPr="00CD18DC">
        <w:rPr>
          <w:rFonts w:eastAsia="Calibri"/>
          <w:sz w:val="24"/>
          <w:szCs w:val="24"/>
          <w:vertAlign w:val="subscript"/>
          <w:lang w:val="pt-BR"/>
        </w:rPr>
        <w:t>2</w:t>
      </w:r>
      <w:r w:rsidRPr="00CD18DC">
        <w:rPr>
          <w:rFonts w:eastAsia="Calibri"/>
          <w:sz w:val="24"/>
          <w:szCs w:val="24"/>
          <w:lang w:val="pt-BR"/>
        </w:rPr>
        <w:t>, lei/certificat, determinat astfel:</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ab/>
        <w:t>- în cadrul analizei de supracompensare, pe baza prețurilor medii de achiziție a certificatelor de CO</w:t>
      </w:r>
      <w:r w:rsidRPr="00CD18DC">
        <w:rPr>
          <w:rFonts w:eastAsia="Calibri"/>
          <w:sz w:val="24"/>
          <w:szCs w:val="24"/>
          <w:vertAlign w:val="subscript"/>
          <w:lang w:val="pt-BR"/>
        </w:rPr>
        <w:t>2</w:t>
      </w:r>
      <w:r w:rsidRPr="00CD18DC">
        <w:rPr>
          <w:rFonts w:eastAsia="Calibri"/>
          <w:sz w:val="24"/>
          <w:szCs w:val="24"/>
          <w:lang w:val="pt-BR"/>
        </w:rPr>
        <w:t xml:space="preserve"> declarate de producători,</w:t>
      </w:r>
      <w:r w:rsidR="00E838DC" w:rsidRPr="00CD18DC">
        <w:rPr>
          <w:rFonts w:eastAsia="Calibri"/>
          <w:sz w:val="24"/>
          <w:szCs w:val="24"/>
          <w:lang w:val="pt-BR"/>
        </w:rPr>
        <w:t xml:space="preserve"> pentru perioada de evaluare a supracompensării, pe total centrală;</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ab/>
        <w:t>- în cazul analizei de ante-supracompensare, pe baza prețurilor medii de achiziție a certificatelor de CO</w:t>
      </w:r>
      <w:r w:rsidRPr="00CD18DC">
        <w:rPr>
          <w:rFonts w:eastAsia="Calibri"/>
          <w:sz w:val="24"/>
          <w:szCs w:val="24"/>
          <w:vertAlign w:val="subscript"/>
          <w:lang w:val="pt-BR"/>
        </w:rPr>
        <w:t>2</w:t>
      </w:r>
      <w:r w:rsidRPr="00CD18DC">
        <w:rPr>
          <w:rFonts w:eastAsia="Calibri"/>
          <w:sz w:val="24"/>
          <w:szCs w:val="24"/>
          <w:lang w:val="pt-BR"/>
        </w:rPr>
        <w:t xml:space="preserve"> declarate de producători și utilizate în analiza de ajustare a bonusurilor de referință.</w:t>
      </w:r>
    </w:p>
    <w:p w:rsidR="0043484B" w:rsidRPr="00CD18DC" w:rsidRDefault="00876920" w:rsidP="00A74C57">
      <w:pPr>
        <w:spacing w:before="240" w:after="120" w:line="360" w:lineRule="auto"/>
        <w:jc w:val="both"/>
        <w:rPr>
          <w:rFonts w:eastAsia="Calibri"/>
          <w:sz w:val="24"/>
          <w:szCs w:val="24"/>
          <w:lang w:val="pt-BR"/>
        </w:rPr>
      </w:pPr>
      <w:r>
        <w:rPr>
          <w:rFonts w:eastAsia="Calibri"/>
          <w:sz w:val="24"/>
          <w:szCs w:val="24"/>
          <w:lang w:val="pt-BR"/>
        </w:rPr>
        <w:lastRenderedPageBreak/>
        <w:pict>
          <v:shape id="_x0000_i1041" type="#_x0000_t75" style="width:25.5pt;height:24pt">
            <v:imagedata r:id="rId33" o:title=""/>
          </v:shape>
        </w:pict>
      </w:r>
      <w:r w:rsidR="0043484B" w:rsidRPr="00CD18DC">
        <w:rPr>
          <w:rFonts w:eastAsia="Calibri"/>
          <w:sz w:val="24"/>
          <w:szCs w:val="24"/>
          <w:lang w:val="pt-BR"/>
        </w:rPr>
        <w:t>- consumul anual de combustibil al capacităților de producere în cogenerare, atât al</w:t>
      </w:r>
      <w:r w:rsidR="0043484B" w:rsidRPr="00CD18DC">
        <w:rPr>
          <w:rFonts w:eastAsia="Calibri"/>
          <w:position w:val="-14"/>
          <w:sz w:val="24"/>
          <w:szCs w:val="24"/>
          <w:lang w:val="en-GB"/>
        </w:rPr>
        <w:t xml:space="preserve"> </w:t>
      </w:r>
      <w:r w:rsidR="0043484B" w:rsidRPr="00CD18DC">
        <w:rPr>
          <w:rFonts w:eastAsia="Calibri"/>
          <w:sz w:val="24"/>
          <w:szCs w:val="24"/>
          <w:lang w:val="pt-BR"/>
        </w:rPr>
        <w:t xml:space="preserve">celor </w:t>
      </w:r>
      <w:r w:rsidR="0043484B" w:rsidRPr="00CD18DC">
        <w:rPr>
          <w:rFonts w:eastAsia="Calibri"/>
          <w:position w:val="-14"/>
          <w:sz w:val="24"/>
          <w:szCs w:val="24"/>
          <w:lang w:val="en-GB"/>
        </w:rPr>
        <w:t>care beneficiază de schema de sprijin, cât și al celor care nu beneficiază de schema de</w:t>
      </w:r>
      <w:r w:rsidR="0043484B" w:rsidRPr="00CD18DC">
        <w:rPr>
          <w:rFonts w:eastAsia="Calibri"/>
          <w:sz w:val="24"/>
          <w:szCs w:val="24"/>
          <w:lang w:val="pt-BR"/>
        </w:rPr>
        <w:t xml:space="preserve"> </w:t>
      </w:r>
      <w:r w:rsidR="0043484B" w:rsidRPr="00CD18DC">
        <w:rPr>
          <w:rFonts w:eastAsia="Calibri"/>
          <w:position w:val="-14"/>
          <w:sz w:val="24"/>
          <w:szCs w:val="24"/>
          <w:lang w:val="en-GB"/>
        </w:rPr>
        <w:t xml:space="preserve">sprijin </w:t>
      </w:r>
      <w:r w:rsidR="0043484B" w:rsidRPr="00CD18DC">
        <w:rPr>
          <w:rFonts w:eastAsia="Calibri"/>
          <w:sz w:val="24"/>
          <w:szCs w:val="24"/>
          <w:lang w:val="pt-BR"/>
        </w:rPr>
        <w:t>(MWh);</w:t>
      </w:r>
    </w:p>
    <w:p w:rsidR="0043484B" w:rsidRPr="00CD18DC" w:rsidRDefault="00876920" w:rsidP="00A74C57">
      <w:pPr>
        <w:spacing w:before="240" w:after="120" w:line="360" w:lineRule="auto"/>
        <w:jc w:val="both"/>
        <w:rPr>
          <w:rFonts w:eastAsia="Calibri"/>
          <w:sz w:val="24"/>
          <w:szCs w:val="24"/>
          <w:lang w:val="pt-BR"/>
        </w:rPr>
      </w:pPr>
      <w:r>
        <w:rPr>
          <w:rFonts w:eastAsia="Calibri"/>
          <w:position w:val="-18"/>
          <w:sz w:val="24"/>
          <w:szCs w:val="24"/>
          <w:lang w:val="en-GB"/>
        </w:rPr>
        <w:pict>
          <v:shape id="_x0000_i1042" type="#_x0000_t75" style="width:23.25pt;height:24pt">
            <v:imagedata r:id="rId34" o:title=""/>
          </v:shape>
        </w:pict>
      </w:r>
      <w:r w:rsidR="0043484B" w:rsidRPr="00CD18DC">
        <w:rPr>
          <w:rFonts w:eastAsia="Calibri"/>
          <w:sz w:val="24"/>
          <w:szCs w:val="24"/>
          <w:lang w:val="pt-BR"/>
        </w:rPr>
        <w:t>- consumul anual de combustibil al capacităților de producere separată a energiei electrice și/sau termice (MWh);</w:t>
      </w:r>
    </w:p>
    <w:p w:rsidR="0043484B" w:rsidRPr="00CD18DC" w:rsidRDefault="00876920" w:rsidP="00A74C57">
      <w:pPr>
        <w:spacing w:before="240" w:after="120" w:line="360" w:lineRule="auto"/>
        <w:jc w:val="both"/>
        <w:rPr>
          <w:rFonts w:eastAsia="Calibri"/>
          <w:sz w:val="24"/>
          <w:szCs w:val="24"/>
          <w:lang w:val="en-GB"/>
        </w:rPr>
      </w:pPr>
      <w:r>
        <w:rPr>
          <w:rFonts w:eastAsia="Calibri"/>
          <w:position w:val="-18"/>
          <w:sz w:val="24"/>
          <w:szCs w:val="24"/>
          <w:lang w:val="en-GB"/>
        </w:rPr>
        <w:pict>
          <v:shape id="_x0000_i1043" type="#_x0000_t75" style="width:39pt;height:23.25pt">
            <v:imagedata r:id="rId35" o:title=""/>
          </v:shape>
        </w:pict>
      </w:r>
      <w:r w:rsidR="0043484B" w:rsidRPr="00CD18DC">
        <w:rPr>
          <w:rFonts w:eastAsia="Calibri"/>
          <w:sz w:val="24"/>
          <w:szCs w:val="24"/>
          <w:lang w:val="en-GB"/>
        </w:rPr>
        <w:t>– consumul anual de combustibil pentru cogenerarea de înaltă eficiență, rezultat din calculul de autoevaluare validat de ANRE, din documentația de calificare anuală (MWh).</w:t>
      </w:r>
      <w:r w:rsidR="0043484B" w:rsidRPr="00CD18DC">
        <w:rPr>
          <w:rFonts w:eastAsia="Calibri"/>
          <w:sz w:val="24"/>
          <w:szCs w:val="24"/>
          <w:lang w:val="pt-BR"/>
        </w:rPr>
        <w:t>”</w:t>
      </w:r>
    </w:p>
    <w:p w:rsidR="0043484B" w:rsidRPr="00CD18DC" w:rsidRDefault="0043484B" w:rsidP="00A74C57">
      <w:pPr>
        <w:tabs>
          <w:tab w:val="left" w:pos="851"/>
          <w:tab w:val="left" w:pos="1134"/>
        </w:tabs>
        <w:spacing w:before="240" w:after="120" w:line="360" w:lineRule="auto"/>
        <w:jc w:val="both"/>
        <w:rPr>
          <w:rFonts w:eastAsia="Calibri"/>
          <w:sz w:val="24"/>
          <w:szCs w:val="24"/>
          <w:lang w:val="pt-BR"/>
        </w:rPr>
      </w:pPr>
    </w:p>
    <w:p w:rsidR="00BC6AE7" w:rsidRPr="00CD18DC" w:rsidRDefault="003469C0" w:rsidP="00A74C57">
      <w:pPr>
        <w:pStyle w:val="ListParagraph"/>
        <w:numPr>
          <w:ilvl w:val="0"/>
          <w:numId w:val="1"/>
        </w:numPr>
        <w:spacing w:after="120" w:line="360" w:lineRule="auto"/>
        <w:jc w:val="both"/>
        <w:rPr>
          <w:sz w:val="24"/>
          <w:szCs w:val="24"/>
          <w:lang w:val="nb-NO"/>
        </w:rPr>
      </w:pPr>
      <w:r w:rsidRPr="00CD18DC">
        <w:rPr>
          <w:sz w:val="24"/>
          <w:szCs w:val="24"/>
          <w:lang w:val="nb-NO"/>
        </w:rPr>
        <w:t xml:space="preserve">Art. 19. se modifică și va avea următorul </w:t>
      </w:r>
      <w:r w:rsidR="00192780" w:rsidRPr="00CD18DC">
        <w:rPr>
          <w:rFonts w:eastAsia="Calibri"/>
          <w:sz w:val="24"/>
          <w:szCs w:val="24"/>
          <w:lang w:val="pt-BR"/>
        </w:rPr>
        <w:t>cuprins</w:t>
      </w:r>
      <w:r w:rsidRPr="00CD18DC">
        <w:rPr>
          <w:sz w:val="24"/>
          <w:szCs w:val="24"/>
          <w:lang w:val="nb-NO"/>
        </w:rPr>
        <w:t>:</w:t>
      </w:r>
    </w:p>
    <w:p w:rsidR="0043484B" w:rsidRPr="00CD18DC" w:rsidRDefault="00C93E21" w:rsidP="00A74C57">
      <w:pPr>
        <w:tabs>
          <w:tab w:val="left" w:pos="709"/>
          <w:tab w:val="left" w:pos="851"/>
          <w:tab w:val="left" w:pos="993"/>
          <w:tab w:val="left" w:pos="1276"/>
        </w:tabs>
        <w:spacing w:before="240" w:after="120" w:line="360" w:lineRule="auto"/>
        <w:jc w:val="both"/>
        <w:rPr>
          <w:rFonts w:eastAsia="Calibri"/>
          <w:bCs/>
          <w:sz w:val="24"/>
          <w:szCs w:val="24"/>
          <w:lang w:val="pt-BR"/>
        </w:rPr>
      </w:pPr>
      <w:r w:rsidRPr="00CD18DC">
        <w:rPr>
          <w:rFonts w:eastAsia="Calibri"/>
          <w:bCs/>
          <w:sz w:val="24"/>
          <w:szCs w:val="24"/>
          <w:lang w:val="pt-BR"/>
        </w:rPr>
        <w:t>”Art</w:t>
      </w:r>
      <w:r w:rsidR="0043484B" w:rsidRPr="00CD18DC">
        <w:rPr>
          <w:rFonts w:eastAsia="Calibri"/>
          <w:bCs/>
          <w:sz w:val="24"/>
          <w:szCs w:val="24"/>
          <w:lang w:val="pt-BR"/>
        </w:rPr>
        <w:t>. 19. Alocarea costurilor variabile, altele decât costurile cu combustibilul, se realizează astfel:</w:t>
      </w:r>
    </w:p>
    <w:p w:rsidR="0043484B" w:rsidRPr="00CD18DC" w:rsidRDefault="00876920" w:rsidP="00A74C57">
      <w:pPr>
        <w:spacing w:before="240" w:after="120" w:line="360" w:lineRule="auto"/>
        <w:jc w:val="both"/>
        <w:rPr>
          <w:rFonts w:eastAsia="Calibri"/>
          <w:sz w:val="24"/>
          <w:szCs w:val="24"/>
          <w:lang w:val="pt-BR"/>
        </w:rPr>
      </w:pPr>
      <w:r>
        <w:rPr>
          <w:rFonts w:eastAsia="Calibri"/>
          <w:position w:val="-40"/>
          <w:sz w:val="24"/>
          <w:szCs w:val="24"/>
          <w:lang w:val="en-GB"/>
        </w:rPr>
        <w:pict>
          <v:shape id="_x0000_i1044" type="#_x0000_t75" style="width:309.75pt;height:44.25pt">
            <v:imagedata r:id="rId36" o:title=""/>
          </v:shape>
        </w:pict>
      </w:r>
      <w:r w:rsidR="0043484B" w:rsidRPr="00CD18DC">
        <w:rPr>
          <w:rFonts w:eastAsia="Calibri"/>
          <w:sz w:val="24"/>
          <w:szCs w:val="24"/>
          <w:lang w:val="pt-BR"/>
        </w:rPr>
        <w:t xml:space="preserve">  (lei); </w:t>
      </w:r>
    </w:p>
    <w:p w:rsidR="0043484B" w:rsidRPr="00CD18DC" w:rsidRDefault="00876920" w:rsidP="00A74C57">
      <w:pPr>
        <w:spacing w:before="240" w:after="120" w:line="360" w:lineRule="auto"/>
        <w:jc w:val="both"/>
        <w:rPr>
          <w:rFonts w:eastAsia="Calibri"/>
          <w:sz w:val="24"/>
          <w:szCs w:val="24"/>
          <w:lang w:val="pt-BR"/>
        </w:rPr>
      </w:pPr>
      <w:r>
        <w:rPr>
          <w:rFonts w:eastAsia="Calibri"/>
          <w:position w:val="-40"/>
          <w:sz w:val="24"/>
          <w:szCs w:val="24"/>
          <w:lang w:val="en-GB"/>
        </w:rPr>
        <w:pict>
          <v:shape id="_x0000_i1045" type="#_x0000_t75" style="width:314.25pt;height:44.25pt">
            <v:imagedata r:id="rId37" o:title=""/>
          </v:shape>
        </w:pict>
      </w:r>
      <w:r w:rsidR="0043484B" w:rsidRPr="00CD18DC">
        <w:rPr>
          <w:rFonts w:eastAsia="Calibri"/>
          <w:sz w:val="24"/>
          <w:szCs w:val="24"/>
          <w:lang w:val="pt-BR"/>
        </w:rPr>
        <w:t>(lei);</w:t>
      </w:r>
      <w:r w:rsidR="0043484B" w:rsidRPr="00CD18DC">
        <w:rPr>
          <w:rFonts w:eastAsia="Calibri"/>
          <w:position w:val="-38"/>
          <w:sz w:val="24"/>
          <w:szCs w:val="24"/>
          <w:lang w:val="pt-BR"/>
        </w:rPr>
        <w:t xml:space="preserve">   </w:t>
      </w:r>
      <w:r w:rsidR="0043484B" w:rsidRPr="00CD18DC">
        <w:rPr>
          <w:rFonts w:eastAsia="Calibri"/>
          <w:sz w:val="24"/>
          <w:szCs w:val="24"/>
          <w:lang w:val="pt-BR"/>
        </w:rPr>
        <w:t xml:space="preserve"> </w:t>
      </w:r>
      <w:r>
        <w:rPr>
          <w:rFonts w:eastAsia="Calibri"/>
          <w:position w:val="-40"/>
          <w:sz w:val="24"/>
          <w:szCs w:val="24"/>
          <w:lang w:val="en-GB"/>
        </w:rPr>
        <w:pict>
          <v:shape id="_x0000_i1046" type="#_x0000_t75" style="width:171pt;height:44.25pt">
            <v:imagedata r:id="rId38" o:title=""/>
          </v:shape>
        </w:pict>
      </w:r>
      <w:r w:rsidR="0043484B" w:rsidRPr="00CD18DC">
        <w:rPr>
          <w:rFonts w:eastAsia="Calibri"/>
          <w:position w:val="-38"/>
          <w:sz w:val="24"/>
          <w:szCs w:val="24"/>
          <w:lang w:val="pt-BR"/>
        </w:rPr>
        <w:t xml:space="preserve">   </w:t>
      </w:r>
      <w:r w:rsidR="0043484B" w:rsidRPr="00CD18DC">
        <w:rPr>
          <w:rFonts w:eastAsia="Calibri"/>
          <w:sz w:val="24"/>
          <w:szCs w:val="24"/>
          <w:lang w:val="pt-BR"/>
        </w:rPr>
        <w:t xml:space="preserve">(lei), </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unde:</w:t>
      </w:r>
    </w:p>
    <w:p w:rsidR="0043484B" w:rsidRPr="00CD18DC" w:rsidRDefault="00876920" w:rsidP="00A74C57">
      <w:pPr>
        <w:spacing w:before="240" w:after="120" w:line="360" w:lineRule="auto"/>
        <w:jc w:val="both"/>
        <w:rPr>
          <w:rFonts w:eastAsia="Calibri"/>
          <w:sz w:val="24"/>
          <w:szCs w:val="24"/>
          <w:lang w:val="pt-BR"/>
        </w:rPr>
      </w:pPr>
      <w:r>
        <w:rPr>
          <w:rFonts w:eastAsia="Calibri"/>
          <w:position w:val="-18"/>
          <w:sz w:val="24"/>
          <w:szCs w:val="24"/>
          <w:lang w:val="en-GB"/>
        </w:rPr>
        <w:pict>
          <v:shape id="_x0000_i1047" type="#_x0000_t75" style="width:60.75pt;height:23.25pt">
            <v:imagedata r:id="rId39" o:title=""/>
          </v:shape>
        </w:pict>
      </w:r>
      <w:r w:rsidR="0043484B" w:rsidRPr="00CD18DC">
        <w:rPr>
          <w:rFonts w:eastAsia="Calibri"/>
          <w:sz w:val="24"/>
          <w:szCs w:val="24"/>
          <w:lang w:val="pt-BR"/>
        </w:rPr>
        <w:t xml:space="preserve"> – costuri aferente cogenerării și producerii separate a energiei electrice, precum costuri aferente contractelor de transport, contractelor de distribuție, dezechilibrelor (lei); nu se iau în considerare costurile aferente </w:t>
      </w:r>
      <w:r w:rsidR="0043484B" w:rsidRPr="00CD18DC">
        <w:rPr>
          <w:rFonts w:eastAsia="Calibri"/>
          <w:sz w:val="24"/>
          <w:szCs w:val="24"/>
          <w:lang w:val="ro-RO"/>
        </w:rPr>
        <w:t>piețelor concurențiale de energie electrică;</w:t>
      </w:r>
    </w:p>
    <w:p w:rsidR="0043484B" w:rsidRPr="00CD18DC" w:rsidRDefault="00876920" w:rsidP="00A74C57">
      <w:pPr>
        <w:spacing w:line="360" w:lineRule="auto"/>
        <w:jc w:val="both"/>
        <w:rPr>
          <w:rFonts w:eastAsia="Calibri"/>
          <w:sz w:val="24"/>
          <w:szCs w:val="24"/>
          <w:lang w:val="pt-BR"/>
        </w:rPr>
      </w:pPr>
      <w:r>
        <w:rPr>
          <w:rFonts w:eastAsia="Calibri"/>
          <w:position w:val="-14"/>
          <w:sz w:val="24"/>
          <w:szCs w:val="24"/>
          <w:lang w:val="en-GB"/>
        </w:rPr>
        <w:pict>
          <v:shape id="_x0000_i1048" type="#_x0000_t75" style="width:51pt;height:21pt">
            <v:imagedata r:id="rId40" o:title=""/>
          </v:shape>
        </w:pict>
      </w:r>
      <w:r w:rsidR="0043484B" w:rsidRPr="00CD18DC">
        <w:rPr>
          <w:rFonts w:eastAsia="Calibri"/>
          <w:sz w:val="24"/>
          <w:szCs w:val="24"/>
          <w:lang w:val="pt-BR"/>
        </w:rPr>
        <w:t xml:space="preserve"> - costuri comune cogenerării și capacităților  de producere separată a energiei electrice și/sau termice, precum: achiziție energie electrică pentru consumul propriu tehnologic, achiziție certificate verzi, achiziție certificate de CO</w:t>
      </w:r>
      <w:r w:rsidR="0043484B" w:rsidRPr="00CD18DC">
        <w:rPr>
          <w:rFonts w:eastAsia="Calibri"/>
          <w:sz w:val="24"/>
          <w:szCs w:val="24"/>
          <w:vertAlign w:val="subscript"/>
          <w:lang w:val="pt-BR"/>
        </w:rPr>
        <w:t>2</w:t>
      </w:r>
      <w:r w:rsidR="0043484B" w:rsidRPr="00CD18DC">
        <w:rPr>
          <w:rFonts w:eastAsia="Calibri"/>
          <w:sz w:val="24"/>
          <w:szCs w:val="24"/>
          <w:lang w:val="pt-BR"/>
        </w:rPr>
        <w:t xml:space="preserve">, contribuția pentru </w:t>
      </w:r>
      <w:r w:rsidR="0043484B" w:rsidRPr="00CD18DC">
        <w:rPr>
          <w:rFonts w:eastAsia="Calibri"/>
          <w:sz w:val="24"/>
          <w:szCs w:val="24"/>
          <w:lang w:val="pt-BR"/>
        </w:rPr>
        <w:lastRenderedPageBreak/>
        <w:t xml:space="preserve">cogenerare, costurile cu apa tehnologică, cu reactivi, mase ionice și alte chimicale, uleiuri, combustibil netehnologic, cu accizele, perisabilități cărbune </w:t>
      </w:r>
      <w:r w:rsidR="00990FA1" w:rsidRPr="00CD18DC">
        <w:rPr>
          <w:rFonts w:eastAsia="Calibri"/>
          <w:sz w:val="24"/>
          <w:szCs w:val="24"/>
          <w:lang w:val="pt-BR"/>
        </w:rPr>
        <w:t xml:space="preserve">precum și alte costuri similare </w:t>
      </w:r>
      <w:r w:rsidR="0043484B" w:rsidRPr="00CD18DC">
        <w:rPr>
          <w:rFonts w:eastAsia="Calibri"/>
          <w:sz w:val="24"/>
          <w:szCs w:val="24"/>
          <w:lang w:val="pt-BR"/>
        </w:rPr>
        <w:t>(lei); nu se iau în considerare costurile cu certificatele verzi și cu contribuția pentru cogenerare refacturate, precum și orice alt cost refacurat</w:t>
      </w:r>
      <w:r w:rsidR="00990FA1" w:rsidRPr="00CD18DC">
        <w:rPr>
          <w:rFonts w:eastAsia="Calibri"/>
          <w:sz w:val="24"/>
          <w:szCs w:val="24"/>
          <w:lang w:val="pt-BR"/>
        </w:rPr>
        <w:t xml:space="preserve"> sau similar</w:t>
      </w:r>
      <w:r w:rsidR="0043484B" w:rsidRPr="00CD18DC">
        <w:rPr>
          <w:rFonts w:eastAsia="Calibri"/>
          <w:sz w:val="24"/>
          <w:szCs w:val="24"/>
          <w:lang w:val="pt-BR"/>
        </w:rPr>
        <w:t>;</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49" type="#_x0000_t75" style="width:39.75pt;height:21pt">
            <v:imagedata r:id="rId41" o:title=""/>
          </v:shape>
        </w:pict>
      </w:r>
      <w:r w:rsidR="0043484B" w:rsidRPr="00CD18DC">
        <w:rPr>
          <w:rFonts w:eastAsia="Calibri"/>
          <w:sz w:val="24"/>
          <w:szCs w:val="24"/>
          <w:lang w:val="pt-BR"/>
        </w:rPr>
        <w:t>– costuri variabile aferente capacităților de cogenerare, altele dec</w:t>
      </w:r>
      <w:r w:rsidR="0043484B" w:rsidRPr="00CD18DC">
        <w:rPr>
          <w:rFonts w:eastAsia="Calibri"/>
          <w:sz w:val="24"/>
          <w:szCs w:val="24"/>
          <w:lang w:val="ro-RO"/>
        </w:rPr>
        <w:t>ât costurile cu combustibilul</w:t>
      </w:r>
      <w:r w:rsidR="0043484B" w:rsidRPr="00CD18DC">
        <w:rPr>
          <w:rFonts w:eastAsia="Calibri"/>
          <w:sz w:val="24"/>
          <w:szCs w:val="24"/>
          <w:lang w:val="pt-BR"/>
        </w:rPr>
        <w:t xml:space="preserve"> (lei);</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50" type="#_x0000_t75" style="width:45.75pt;height:21pt">
            <v:imagedata r:id="rId42" o:title=""/>
          </v:shape>
        </w:pict>
      </w:r>
      <w:r w:rsidR="0043484B" w:rsidRPr="00CD18DC">
        <w:rPr>
          <w:rFonts w:eastAsia="Calibri"/>
          <w:sz w:val="24"/>
          <w:szCs w:val="24"/>
          <w:lang w:val="pt-BR"/>
        </w:rPr>
        <w:t xml:space="preserve"> – costuri variabile aferente capacităților separate de producere a energiei electrice, altele decât costurile cu combustibilul (lei);</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51" type="#_x0000_t75" style="width:45.75pt;height:21pt">
            <v:imagedata r:id="rId43" o:title=""/>
          </v:shape>
        </w:pict>
      </w:r>
      <w:r w:rsidR="0043484B" w:rsidRPr="00CD18DC">
        <w:rPr>
          <w:rFonts w:eastAsia="Calibri"/>
          <w:sz w:val="24"/>
          <w:szCs w:val="24"/>
          <w:lang w:val="pt-BR"/>
        </w:rPr>
        <w:t xml:space="preserve"> – costuri variabile aferente capacităților separate de producere a energiei termice, altele decât costurile cu combustibilul (lei).</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(2)   Din cadrul categoriei de costuri comune cogenerării și capacităților  de producere separată a energiei electrice și/sau termice,</w:t>
      </w:r>
      <w:r w:rsidR="00876920">
        <w:rPr>
          <w:rFonts w:eastAsia="Calibri"/>
          <w:sz w:val="24"/>
          <w:szCs w:val="24"/>
          <w:lang w:val="pt-BR"/>
        </w:rPr>
        <w:pict>
          <v:shape id="_x0000_i1052" type="#_x0000_t75" style="width:51pt;height:21pt">
            <v:imagedata r:id="rId40" o:title=""/>
          </v:shape>
        </w:pict>
      </w:r>
      <w:r w:rsidRPr="00CD18DC">
        <w:rPr>
          <w:rFonts w:eastAsia="Calibri"/>
          <w:sz w:val="24"/>
          <w:szCs w:val="24"/>
          <w:lang w:val="pt-BR"/>
        </w:rPr>
        <w:t>, următoarele costuri se determină astfel:</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i) costul cu achiziția certificatelor de CO</w:t>
      </w:r>
      <w:r w:rsidRPr="00CD18DC">
        <w:rPr>
          <w:rFonts w:eastAsia="Calibri"/>
          <w:sz w:val="24"/>
          <w:szCs w:val="24"/>
          <w:vertAlign w:val="subscript"/>
          <w:lang w:val="pt-BR"/>
        </w:rPr>
        <w:t xml:space="preserve">2 </w:t>
      </w:r>
      <w:r w:rsidRPr="00CD18DC">
        <w:rPr>
          <w:rFonts w:eastAsia="Calibri"/>
          <w:sz w:val="24"/>
          <w:szCs w:val="24"/>
          <w:lang w:val="pt-BR"/>
        </w:rPr>
        <w:t>:</w:t>
      </w:r>
    </w:p>
    <w:p w:rsidR="00B719F7" w:rsidRPr="00CD18DC" w:rsidRDefault="00B719F7" w:rsidP="00A74C57">
      <w:pPr>
        <w:spacing w:before="240" w:after="120" w:line="360" w:lineRule="auto"/>
        <w:jc w:val="both"/>
        <w:rPr>
          <w:rFonts w:eastAsia="Calibri"/>
          <w:sz w:val="24"/>
          <w:szCs w:val="24"/>
          <w:lang w:val="pt-BR"/>
        </w:rPr>
      </w:pPr>
      <w:r w:rsidRPr="00CD18DC">
        <w:rPr>
          <w:rFonts w:eastAsia="Calibri"/>
          <w:position w:val="-18"/>
          <w:sz w:val="24"/>
          <w:szCs w:val="24"/>
          <w:lang w:val="en-GB"/>
        </w:rPr>
        <w:object w:dxaOrig="3940" w:dyaOrig="520">
          <v:shape id="_x0000_i1053" type="#_x0000_t75" style="width:197.25pt;height:26.25pt" o:ole="">
            <v:imagedata r:id="rId44" o:title=""/>
          </v:shape>
          <o:OLEObject Type="Embed" ProgID="Equation.3" ShapeID="_x0000_i1053" DrawAspect="Content" ObjectID="_1515241643" r:id="rId45"/>
        </w:object>
      </w:r>
      <w:r w:rsidRPr="00CD18DC">
        <w:rPr>
          <w:rFonts w:eastAsia="Calibri"/>
          <w:sz w:val="24"/>
          <w:szCs w:val="24"/>
          <w:lang w:val="pt-BR"/>
        </w:rPr>
        <w:t>(lei), unde:</w:t>
      </w:r>
    </w:p>
    <w:p w:rsidR="0043484B" w:rsidRPr="00CD18DC" w:rsidRDefault="0043484B" w:rsidP="00A74C57">
      <w:pPr>
        <w:spacing w:before="240" w:after="120" w:line="360" w:lineRule="auto"/>
        <w:jc w:val="both"/>
        <w:rPr>
          <w:rFonts w:eastAsia="Calibri"/>
          <w:sz w:val="24"/>
          <w:szCs w:val="24"/>
          <w:lang w:val="pt-BR"/>
        </w:rPr>
      </w:pPr>
      <w:r w:rsidRPr="00CD18DC">
        <w:rPr>
          <w:position w:val="-14"/>
          <w:sz w:val="24"/>
          <w:szCs w:val="24"/>
          <w:lang w:val="ro-RO"/>
        </w:rPr>
        <w:object w:dxaOrig="600" w:dyaOrig="440">
          <v:shape id="_x0000_i1054" type="#_x0000_t75" style="width:29.25pt;height:21.75pt" o:ole="">
            <v:imagedata r:id="rId46" o:title=""/>
          </v:shape>
          <o:OLEObject Type="Embed" ProgID="Equation.3" ShapeID="_x0000_i1054" DrawAspect="Content" ObjectID="_1515241644" r:id="rId47"/>
        </w:object>
      </w:r>
      <w:r w:rsidRPr="00CD18DC">
        <w:rPr>
          <w:position w:val="-20"/>
          <w:sz w:val="24"/>
          <w:szCs w:val="24"/>
          <w:lang w:val="ro-RO"/>
        </w:rPr>
        <w:t xml:space="preserve"> </w:t>
      </w:r>
      <w:r w:rsidRPr="00CD18DC">
        <w:rPr>
          <w:rFonts w:eastAsia="Calibri"/>
          <w:sz w:val="24"/>
          <w:szCs w:val="24"/>
          <w:lang w:val="pt-BR"/>
        </w:rPr>
        <w:t>- cost cu achiziția certificatelor de CO</w:t>
      </w:r>
      <w:r w:rsidRPr="00CD18DC">
        <w:rPr>
          <w:rFonts w:eastAsia="Calibri"/>
          <w:sz w:val="24"/>
          <w:szCs w:val="24"/>
          <w:vertAlign w:val="subscript"/>
          <w:lang w:val="pt-BR"/>
        </w:rPr>
        <w:t>2</w:t>
      </w:r>
      <w:r w:rsidRPr="00CD18DC">
        <w:rPr>
          <w:rFonts w:eastAsia="Calibri"/>
          <w:sz w:val="24"/>
          <w:szCs w:val="24"/>
          <w:lang w:val="pt-BR"/>
        </w:rPr>
        <w:t xml:space="preserve">, </w:t>
      </w:r>
      <w:r w:rsidR="00990FA1" w:rsidRPr="00CD18DC">
        <w:rPr>
          <w:rFonts w:eastAsia="Calibri"/>
          <w:sz w:val="24"/>
          <w:szCs w:val="24"/>
          <w:lang w:val="pt-BR"/>
        </w:rPr>
        <w:t xml:space="preserve">pentru perioada de evaluare a supracompensării, pe total centrală, </w:t>
      </w:r>
      <w:r w:rsidRPr="00CD18DC">
        <w:rPr>
          <w:rFonts w:eastAsia="Calibri"/>
          <w:sz w:val="24"/>
          <w:szCs w:val="24"/>
          <w:lang w:val="pt-BR"/>
        </w:rPr>
        <w:t>(lei),</w:t>
      </w:r>
    </w:p>
    <w:p w:rsidR="0043484B" w:rsidRPr="00CD18DC" w:rsidRDefault="0043484B" w:rsidP="00A74C57">
      <w:pPr>
        <w:spacing w:before="240" w:after="120" w:line="360" w:lineRule="auto"/>
        <w:jc w:val="both"/>
        <w:rPr>
          <w:rFonts w:eastAsia="Calibri"/>
          <w:sz w:val="24"/>
          <w:szCs w:val="24"/>
          <w:lang w:val="pt-BR"/>
        </w:rPr>
      </w:pPr>
      <w:r w:rsidRPr="00CD18DC">
        <w:rPr>
          <w:position w:val="-14"/>
          <w:sz w:val="24"/>
          <w:szCs w:val="24"/>
          <w:lang w:val="ro-RO"/>
        </w:rPr>
        <w:object w:dxaOrig="1080" w:dyaOrig="440">
          <v:shape id="_x0000_i1055" type="#_x0000_t75" style="width:52.5pt;height:21.75pt" o:ole="">
            <v:imagedata r:id="rId27" o:title=""/>
          </v:shape>
          <o:OLEObject Type="Embed" ProgID="Equation.3" ShapeID="_x0000_i1055" DrawAspect="Content" ObjectID="_1515241645" r:id="rId48"/>
        </w:object>
      </w:r>
      <w:r w:rsidRPr="00CD18DC">
        <w:rPr>
          <w:rFonts w:eastAsia="Calibri"/>
          <w:sz w:val="24"/>
          <w:szCs w:val="24"/>
          <w:lang w:val="pt-BR"/>
        </w:rPr>
        <w:t>- număr de certificate de CO</w:t>
      </w:r>
      <w:r w:rsidRPr="00CD18DC">
        <w:rPr>
          <w:rFonts w:eastAsia="Calibri"/>
          <w:sz w:val="24"/>
          <w:szCs w:val="24"/>
          <w:vertAlign w:val="subscript"/>
          <w:lang w:val="pt-BR"/>
        </w:rPr>
        <w:t xml:space="preserve">2 </w:t>
      </w:r>
      <w:r w:rsidRPr="00CD18DC">
        <w:rPr>
          <w:rFonts w:eastAsia="Calibri"/>
          <w:sz w:val="24"/>
          <w:szCs w:val="24"/>
          <w:lang w:val="pt-BR"/>
        </w:rPr>
        <w:t>alocate cu titlu gratuit,</w:t>
      </w:r>
      <w:r w:rsidR="00990FA1" w:rsidRPr="00CD18DC">
        <w:rPr>
          <w:rFonts w:eastAsia="Calibri"/>
          <w:sz w:val="24"/>
          <w:szCs w:val="24"/>
          <w:lang w:val="pt-BR"/>
        </w:rPr>
        <w:t xml:space="preserve"> pentru perioada de evaluare a supracompensării, pe total centrală,</w:t>
      </w:r>
    </w:p>
    <w:p w:rsidR="0043484B" w:rsidRPr="00CD18DC" w:rsidRDefault="0043484B" w:rsidP="00A74C57">
      <w:pPr>
        <w:spacing w:before="240" w:after="120" w:line="360" w:lineRule="auto"/>
        <w:jc w:val="both"/>
        <w:rPr>
          <w:rFonts w:eastAsia="Calibri"/>
          <w:sz w:val="24"/>
          <w:szCs w:val="24"/>
          <w:lang w:val="pt-BR"/>
        </w:rPr>
      </w:pPr>
      <w:r w:rsidRPr="00CD18DC">
        <w:rPr>
          <w:position w:val="-14"/>
          <w:sz w:val="24"/>
          <w:szCs w:val="24"/>
          <w:lang w:val="ro-RO"/>
        </w:rPr>
        <w:object w:dxaOrig="1160" w:dyaOrig="440">
          <v:shape id="_x0000_i1056" type="#_x0000_t75" style="width:57pt;height:21.75pt" o:ole="">
            <v:imagedata r:id="rId29" o:title=""/>
          </v:shape>
          <o:OLEObject Type="Embed" ProgID="Equation.3" ShapeID="_x0000_i1056" DrawAspect="Content" ObjectID="_1515241646" r:id="rId49"/>
        </w:object>
      </w:r>
      <w:r w:rsidRPr="00CD18DC">
        <w:rPr>
          <w:rFonts w:eastAsia="Calibri"/>
          <w:sz w:val="24"/>
          <w:szCs w:val="24"/>
          <w:lang w:val="pt-BR"/>
        </w:rPr>
        <w:t>- numărul de certificate de CO</w:t>
      </w:r>
      <w:r w:rsidRPr="00CD18DC">
        <w:rPr>
          <w:rFonts w:eastAsia="Calibri"/>
          <w:sz w:val="24"/>
          <w:szCs w:val="24"/>
          <w:vertAlign w:val="subscript"/>
          <w:lang w:val="pt-BR"/>
        </w:rPr>
        <w:t>2</w:t>
      </w:r>
      <w:r w:rsidRPr="00CD18DC">
        <w:rPr>
          <w:rFonts w:eastAsia="Calibri"/>
          <w:sz w:val="24"/>
          <w:szCs w:val="24"/>
          <w:lang w:val="pt-BR"/>
        </w:rPr>
        <w:t xml:space="preserve"> restituite conform emisiilor efectiv realizate pentru perioada de evaluare a supracompensării,</w:t>
      </w:r>
      <w:r w:rsidR="00990FA1" w:rsidRPr="00CD18DC">
        <w:rPr>
          <w:rFonts w:eastAsia="Calibri"/>
          <w:sz w:val="24"/>
          <w:szCs w:val="24"/>
          <w:lang w:val="pt-BR"/>
        </w:rPr>
        <w:t xml:space="preserve"> pentru perioada de evaluare a supracompensării, pe total centrală,</w:t>
      </w:r>
    </w:p>
    <w:p w:rsidR="0043484B" w:rsidRPr="00CD18DC" w:rsidRDefault="0043484B" w:rsidP="00A74C57">
      <w:pPr>
        <w:spacing w:before="240" w:after="120" w:line="360" w:lineRule="auto"/>
        <w:jc w:val="both"/>
        <w:rPr>
          <w:rFonts w:eastAsia="Calibri"/>
          <w:sz w:val="24"/>
          <w:szCs w:val="24"/>
          <w:lang w:val="pt-BR"/>
        </w:rPr>
      </w:pPr>
      <w:r w:rsidRPr="00CD18DC">
        <w:rPr>
          <w:position w:val="-18"/>
          <w:sz w:val="24"/>
          <w:szCs w:val="24"/>
          <w:lang w:val="ro-RO"/>
        </w:rPr>
        <w:object w:dxaOrig="580" w:dyaOrig="520">
          <v:shape id="_x0000_i1057" type="#_x0000_t75" style="width:28.5pt;height:25.5pt" o:ole="">
            <v:imagedata r:id="rId31" o:title=""/>
          </v:shape>
          <o:OLEObject Type="Embed" ProgID="Equation.3" ShapeID="_x0000_i1057" DrawAspect="Content" ObjectID="_1515241647" r:id="rId50"/>
        </w:object>
      </w:r>
      <w:r w:rsidR="00CD18DC">
        <w:rPr>
          <w:position w:val="-18"/>
          <w:sz w:val="24"/>
          <w:szCs w:val="24"/>
          <w:lang w:val="ro-RO"/>
        </w:rPr>
        <w:t xml:space="preserve"> </w:t>
      </w:r>
      <w:r w:rsidR="00CD18DC" w:rsidRPr="00CD18DC">
        <w:rPr>
          <w:rFonts w:eastAsia="Calibri"/>
          <w:sz w:val="24"/>
          <w:szCs w:val="24"/>
          <w:lang w:val="pt-BR"/>
        </w:rPr>
        <w:t>-</w:t>
      </w:r>
      <w:r w:rsidR="00CD18DC">
        <w:rPr>
          <w:position w:val="-18"/>
          <w:sz w:val="24"/>
          <w:szCs w:val="24"/>
          <w:lang w:val="ro-RO"/>
        </w:rPr>
        <w:t xml:space="preserve"> </w:t>
      </w:r>
      <w:r w:rsidRPr="00CD18DC">
        <w:rPr>
          <w:rFonts w:eastAsia="Calibri"/>
          <w:sz w:val="24"/>
          <w:szCs w:val="24"/>
          <w:lang w:val="pt-BR"/>
        </w:rPr>
        <w:t>prețul unui certificat de CO</w:t>
      </w:r>
      <w:r w:rsidRPr="00CD18DC">
        <w:rPr>
          <w:rFonts w:eastAsia="Calibri"/>
          <w:sz w:val="24"/>
          <w:szCs w:val="24"/>
          <w:vertAlign w:val="subscript"/>
          <w:lang w:val="pt-BR"/>
        </w:rPr>
        <w:t>2</w:t>
      </w:r>
      <w:r w:rsidRPr="00CD18DC">
        <w:rPr>
          <w:rFonts w:eastAsia="Calibri"/>
          <w:sz w:val="24"/>
          <w:szCs w:val="24"/>
          <w:lang w:val="pt-BR"/>
        </w:rPr>
        <w:t>, lei/certificat, determinat astfel:</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lastRenderedPageBreak/>
        <w:tab/>
        <w:t>- în cadrul analizei de supracompensare, pe baza prețurilor medii de achiziție a certificatelor de CO</w:t>
      </w:r>
      <w:r w:rsidRPr="00CD18DC">
        <w:rPr>
          <w:rFonts w:eastAsia="Calibri"/>
          <w:sz w:val="24"/>
          <w:szCs w:val="24"/>
          <w:vertAlign w:val="subscript"/>
          <w:lang w:val="pt-BR"/>
        </w:rPr>
        <w:t>2</w:t>
      </w:r>
      <w:r w:rsidRPr="00CD18DC">
        <w:rPr>
          <w:rFonts w:eastAsia="Calibri"/>
          <w:sz w:val="24"/>
          <w:szCs w:val="24"/>
          <w:lang w:val="pt-BR"/>
        </w:rPr>
        <w:t xml:space="preserve"> declarate de producători,</w:t>
      </w:r>
      <w:r w:rsidR="00990FA1" w:rsidRPr="00CD18DC">
        <w:rPr>
          <w:rFonts w:eastAsia="Calibri"/>
          <w:sz w:val="24"/>
          <w:szCs w:val="24"/>
          <w:lang w:val="pt-BR"/>
        </w:rPr>
        <w:t xml:space="preserve"> pentru perioada de evaluare a supracompensării, pe total centrală;</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ab/>
        <w:t>- în cazul analizei de ante-supracompensare, pe baza prețurilor medii de achiziție a certificatelor de CO</w:t>
      </w:r>
      <w:r w:rsidRPr="00CD18DC">
        <w:rPr>
          <w:rFonts w:eastAsia="Calibri"/>
          <w:sz w:val="24"/>
          <w:szCs w:val="24"/>
          <w:vertAlign w:val="subscript"/>
          <w:lang w:val="pt-BR"/>
        </w:rPr>
        <w:t>2</w:t>
      </w:r>
      <w:r w:rsidRPr="00CD18DC">
        <w:rPr>
          <w:rFonts w:eastAsia="Calibri"/>
          <w:sz w:val="24"/>
          <w:szCs w:val="24"/>
          <w:lang w:val="pt-BR"/>
        </w:rPr>
        <w:t xml:space="preserve"> declarate de producători și utilizate în analiza de ajustare a bonusurilor de referință</w:t>
      </w:r>
      <w:r w:rsidR="00990FA1" w:rsidRPr="00CD18DC">
        <w:rPr>
          <w:rFonts w:eastAsia="Calibri"/>
          <w:sz w:val="24"/>
          <w:szCs w:val="24"/>
          <w:lang w:val="pt-BR"/>
        </w:rPr>
        <w:t>.</w:t>
      </w:r>
    </w:p>
    <w:p w:rsidR="0043484B" w:rsidRPr="00CD18DC" w:rsidRDefault="0043484B" w:rsidP="00A74C57">
      <w:pPr>
        <w:spacing w:before="240" w:after="120" w:line="360" w:lineRule="auto"/>
        <w:jc w:val="both"/>
        <w:rPr>
          <w:sz w:val="24"/>
          <w:szCs w:val="24"/>
          <w:lang w:val="nb-NO"/>
        </w:rPr>
      </w:pPr>
      <w:r w:rsidRPr="00CD18DC">
        <w:rPr>
          <w:rFonts w:eastAsia="Calibri"/>
          <w:sz w:val="24"/>
          <w:szCs w:val="24"/>
          <w:lang w:val="pt-BR"/>
        </w:rPr>
        <w:t>ii) costul cu contribuția pentru cogenerare și cu certificatele verzi de determină ca diferența dintre ace</w:t>
      </w:r>
      <w:r w:rsidRPr="00CD18DC">
        <w:rPr>
          <w:sz w:val="24"/>
          <w:szCs w:val="24"/>
          <w:lang w:val="nb-NO"/>
        </w:rPr>
        <w:t>ste costuri și veniturile aferente obținute prin refacturare</w:t>
      </w:r>
      <w:r w:rsidR="00990FA1" w:rsidRPr="00CD18DC">
        <w:rPr>
          <w:sz w:val="24"/>
          <w:szCs w:val="24"/>
          <w:lang w:val="nb-NO"/>
        </w:rPr>
        <w:t xml:space="preserve">, </w:t>
      </w:r>
      <w:r w:rsidR="00990FA1" w:rsidRPr="00CD18DC">
        <w:rPr>
          <w:rFonts w:eastAsia="Calibri"/>
          <w:sz w:val="24"/>
          <w:szCs w:val="24"/>
          <w:lang w:val="pt-BR"/>
        </w:rPr>
        <w:t>pentru perioada de evaluare a supracompensării, pe total centrală</w:t>
      </w:r>
      <w:r w:rsidRPr="00CD18DC">
        <w:rPr>
          <w:sz w:val="24"/>
          <w:szCs w:val="24"/>
          <w:lang w:val="nb-NO"/>
        </w:rPr>
        <w:t>.</w:t>
      </w:r>
      <w:r w:rsidR="00DA1868" w:rsidRPr="00CD18DC">
        <w:rPr>
          <w:sz w:val="24"/>
          <w:szCs w:val="24"/>
          <w:lang w:val="nb-NO"/>
        </w:rPr>
        <w:t>”</w:t>
      </w:r>
    </w:p>
    <w:p w:rsidR="0043484B" w:rsidRPr="00CD18DC" w:rsidRDefault="00DA1868" w:rsidP="00A74C57">
      <w:pPr>
        <w:pStyle w:val="ListParagraph"/>
        <w:numPr>
          <w:ilvl w:val="0"/>
          <w:numId w:val="1"/>
        </w:numPr>
        <w:spacing w:after="120" w:line="360" w:lineRule="auto"/>
        <w:jc w:val="both"/>
        <w:rPr>
          <w:sz w:val="24"/>
          <w:szCs w:val="24"/>
          <w:lang w:val="nb-NO"/>
        </w:rPr>
      </w:pPr>
      <w:r w:rsidRPr="00CD18DC">
        <w:rPr>
          <w:sz w:val="24"/>
          <w:szCs w:val="24"/>
          <w:lang w:val="nb-NO"/>
        </w:rPr>
        <w:t>Art. 20</w:t>
      </w:r>
      <w:r w:rsidR="0043484B" w:rsidRPr="00CD18DC">
        <w:rPr>
          <w:sz w:val="24"/>
          <w:szCs w:val="24"/>
          <w:lang w:val="nb-NO"/>
        </w:rPr>
        <w:t xml:space="preserve">. se modifică și va avea următorul </w:t>
      </w:r>
      <w:r w:rsidR="0043484B" w:rsidRPr="00CD18DC">
        <w:rPr>
          <w:rFonts w:eastAsia="Calibri"/>
          <w:sz w:val="24"/>
          <w:szCs w:val="24"/>
          <w:lang w:val="pt-BR"/>
        </w:rPr>
        <w:t>cuprins</w:t>
      </w:r>
      <w:r w:rsidR="0043484B" w:rsidRPr="00CD18DC">
        <w:rPr>
          <w:sz w:val="24"/>
          <w:szCs w:val="24"/>
          <w:lang w:val="nb-NO"/>
        </w:rPr>
        <w:t>:</w:t>
      </w:r>
    </w:p>
    <w:p w:rsidR="0043484B" w:rsidRPr="00CD18DC" w:rsidRDefault="00DA1868" w:rsidP="00A74C57">
      <w:pPr>
        <w:tabs>
          <w:tab w:val="left" w:pos="709"/>
          <w:tab w:val="left" w:pos="851"/>
        </w:tabs>
        <w:spacing w:before="240" w:after="120" w:line="360" w:lineRule="auto"/>
        <w:jc w:val="both"/>
        <w:rPr>
          <w:rFonts w:eastAsia="Calibri"/>
          <w:bCs/>
          <w:sz w:val="24"/>
          <w:szCs w:val="24"/>
          <w:lang w:val="en-GB"/>
        </w:rPr>
      </w:pPr>
      <w:r w:rsidRPr="00CD18DC">
        <w:rPr>
          <w:rFonts w:eastAsia="Calibri"/>
          <w:bCs/>
          <w:sz w:val="24"/>
          <w:szCs w:val="24"/>
          <w:lang w:val="pt-BR"/>
        </w:rPr>
        <w:t>”</w:t>
      </w:r>
      <w:r w:rsidRPr="00CD18DC">
        <w:rPr>
          <w:rFonts w:eastAsia="Calibri"/>
          <w:bCs/>
          <w:sz w:val="24"/>
          <w:szCs w:val="24"/>
          <w:lang w:val="en-GB"/>
        </w:rPr>
        <w:t xml:space="preserve">Art. 20. </w:t>
      </w:r>
      <w:r w:rsidR="0043484B" w:rsidRPr="00CD18DC">
        <w:rPr>
          <w:rFonts w:eastAsia="Calibri"/>
          <w:bCs/>
          <w:sz w:val="24"/>
          <w:szCs w:val="24"/>
          <w:lang w:val="en-GB"/>
        </w:rPr>
        <w:t>Alocarea costurilor fixe se realizează astfel:</w:t>
      </w:r>
    </w:p>
    <w:p w:rsidR="0043484B" w:rsidRPr="00CD18DC" w:rsidRDefault="00876920" w:rsidP="00A74C57">
      <w:pPr>
        <w:tabs>
          <w:tab w:val="left" w:pos="709"/>
          <w:tab w:val="left" w:pos="851"/>
        </w:tabs>
        <w:spacing w:before="240" w:after="120" w:line="360" w:lineRule="auto"/>
        <w:jc w:val="both"/>
        <w:rPr>
          <w:rFonts w:eastAsia="Calibri"/>
          <w:bCs/>
          <w:sz w:val="24"/>
          <w:szCs w:val="24"/>
          <w:lang w:val="en-GB"/>
        </w:rPr>
      </w:pPr>
      <w:r>
        <w:rPr>
          <w:rFonts w:eastAsia="Calibri"/>
          <w:position w:val="-18"/>
          <w:sz w:val="24"/>
          <w:szCs w:val="24"/>
          <w:lang w:val="en-GB"/>
        </w:rPr>
        <w:pict>
          <v:shape id="_x0000_i1058" type="#_x0000_t75" style="width:135.75pt;height:24pt">
            <v:imagedata r:id="rId51" o:title=""/>
          </v:shape>
        </w:pict>
      </w:r>
      <w:r w:rsidR="0043484B" w:rsidRPr="00CD18DC">
        <w:rPr>
          <w:rFonts w:eastAsia="Calibri"/>
          <w:position w:val="-36"/>
          <w:sz w:val="24"/>
          <w:szCs w:val="24"/>
          <w:lang w:val="en-GB"/>
        </w:rPr>
        <w:t>(lei)</w:t>
      </w:r>
    </w:p>
    <w:p w:rsidR="0043484B" w:rsidRPr="00CD18DC" w:rsidRDefault="00876920" w:rsidP="00A74C57">
      <w:pPr>
        <w:tabs>
          <w:tab w:val="left" w:pos="709"/>
          <w:tab w:val="left" w:pos="851"/>
        </w:tabs>
        <w:spacing w:before="240" w:after="120" w:line="360" w:lineRule="auto"/>
        <w:jc w:val="both"/>
        <w:rPr>
          <w:rFonts w:eastAsia="Calibri"/>
          <w:sz w:val="24"/>
          <w:szCs w:val="24"/>
          <w:lang w:val="pt-BR"/>
        </w:rPr>
      </w:pPr>
      <w:r>
        <w:rPr>
          <w:rFonts w:eastAsia="Calibri"/>
          <w:position w:val="-18"/>
          <w:sz w:val="24"/>
          <w:szCs w:val="24"/>
          <w:lang w:val="en-GB"/>
        </w:rPr>
        <w:pict>
          <v:shape id="_x0000_i1059" type="#_x0000_t75" style="width:251.25pt;height:24pt">
            <v:imagedata r:id="rId52" o:title=""/>
          </v:shape>
        </w:pict>
      </w:r>
      <w:r w:rsidR="0043484B" w:rsidRPr="00CD18DC">
        <w:rPr>
          <w:rFonts w:eastAsia="Calibri"/>
          <w:sz w:val="24"/>
          <w:szCs w:val="24"/>
          <w:lang w:val="pt-BR"/>
        </w:rPr>
        <w:t>(lei)</w:t>
      </w:r>
    </w:p>
    <w:p w:rsidR="0043484B" w:rsidRPr="00CD18DC" w:rsidRDefault="00876920" w:rsidP="00A74C57">
      <w:pPr>
        <w:spacing w:before="240" w:after="120" w:line="360" w:lineRule="auto"/>
        <w:jc w:val="both"/>
        <w:rPr>
          <w:rFonts w:eastAsia="Calibri"/>
          <w:sz w:val="24"/>
          <w:szCs w:val="24"/>
          <w:lang w:val="pt-BR"/>
        </w:rPr>
      </w:pPr>
      <w:r>
        <w:rPr>
          <w:rFonts w:eastAsia="Calibri"/>
          <w:position w:val="-36"/>
          <w:sz w:val="24"/>
          <w:szCs w:val="24"/>
          <w:lang w:val="en-GB"/>
        </w:rPr>
        <w:pict>
          <v:shape id="_x0000_i1060" type="#_x0000_t75" style="width:3in;height:42pt">
            <v:imagedata r:id="rId53" o:title=""/>
          </v:shape>
        </w:pict>
      </w:r>
      <w:r w:rsidR="0043484B" w:rsidRPr="00CD18DC">
        <w:rPr>
          <w:rFonts w:eastAsia="Calibri"/>
          <w:sz w:val="24"/>
          <w:szCs w:val="24"/>
          <w:lang w:val="pt-BR"/>
        </w:rPr>
        <w:t xml:space="preserve"> (lei); </w:t>
      </w:r>
    </w:p>
    <w:p w:rsidR="0043484B" w:rsidRPr="00CD18DC" w:rsidRDefault="00876920" w:rsidP="00A74C57">
      <w:pPr>
        <w:spacing w:before="240" w:after="120" w:line="360" w:lineRule="auto"/>
        <w:jc w:val="both"/>
        <w:rPr>
          <w:rFonts w:eastAsia="Calibri"/>
          <w:sz w:val="24"/>
          <w:szCs w:val="24"/>
          <w:lang w:val="pt-BR"/>
        </w:rPr>
      </w:pPr>
      <w:r>
        <w:rPr>
          <w:rFonts w:eastAsia="Calibri"/>
          <w:position w:val="-36"/>
          <w:sz w:val="24"/>
          <w:szCs w:val="24"/>
          <w:lang w:val="en-GB"/>
        </w:rPr>
        <w:pict>
          <v:shape id="_x0000_i1061" type="#_x0000_t75" style="width:279.75pt;height:42pt">
            <v:imagedata r:id="rId54" o:title=""/>
          </v:shape>
        </w:pict>
      </w:r>
      <w:r w:rsidR="0043484B" w:rsidRPr="00CD18DC">
        <w:rPr>
          <w:rFonts w:eastAsia="Calibri"/>
          <w:sz w:val="24"/>
          <w:szCs w:val="24"/>
          <w:lang w:val="pt-BR"/>
        </w:rPr>
        <w:t xml:space="preserve"> (lei), </w:t>
      </w:r>
    </w:p>
    <w:p w:rsidR="0043484B" w:rsidRPr="00CD18DC" w:rsidRDefault="0043484B" w:rsidP="00A74C57">
      <w:pPr>
        <w:spacing w:before="240" w:after="120" w:line="360" w:lineRule="auto"/>
        <w:jc w:val="both"/>
        <w:rPr>
          <w:rFonts w:eastAsia="Calibri"/>
          <w:sz w:val="24"/>
          <w:szCs w:val="24"/>
          <w:lang w:val="pt-BR"/>
        </w:rPr>
      </w:pPr>
      <w:r w:rsidRPr="00CD18DC">
        <w:rPr>
          <w:rFonts w:eastAsia="Calibri"/>
          <w:sz w:val="24"/>
          <w:szCs w:val="24"/>
          <w:lang w:val="pt-BR"/>
        </w:rPr>
        <w:t>unde:</w:t>
      </w:r>
    </w:p>
    <w:p w:rsidR="0043484B" w:rsidRPr="00CD18DC" w:rsidRDefault="00876920" w:rsidP="00A74C57">
      <w:pPr>
        <w:spacing w:line="360" w:lineRule="auto"/>
        <w:jc w:val="both"/>
        <w:rPr>
          <w:rFonts w:eastAsia="Calibri"/>
          <w:sz w:val="24"/>
          <w:szCs w:val="24"/>
          <w:lang w:val="pt-BR"/>
        </w:rPr>
      </w:pPr>
      <w:r>
        <w:rPr>
          <w:rFonts w:eastAsia="Calibri"/>
          <w:position w:val="-14"/>
          <w:sz w:val="24"/>
          <w:szCs w:val="24"/>
          <w:lang w:val="en-GB"/>
        </w:rPr>
        <w:pict>
          <v:shape id="_x0000_i1062" type="#_x0000_t75" style="width:44.25pt;height:21.75pt">
            <v:imagedata r:id="rId55" o:title=""/>
          </v:shape>
        </w:pict>
      </w:r>
      <w:r w:rsidR="0043484B" w:rsidRPr="00CD18DC">
        <w:rPr>
          <w:rFonts w:eastAsia="Calibri"/>
          <w:sz w:val="24"/>
          <w:szCs w:val="24"/>
          <w:lang w:val="pt-BR"/>
        </w:rPr>
        <w:t>– costurile fixe anuale pentru capacitățile de producere în cogenerare și pentru capacitățile de producere separată, pentru fiecare an al perioadei de evaluare a supracompensării; sunt costuri aferente activit</w:t>
      </w:r>
      <w:r w:rsidR="0043484B" w:rsidRPr="00CD18DC">
        <w:rPr>
          <w:rFonts w:eastAsia="Calibri"/>
          <w:sz w:val="24"/>
          <w:szCs w:val="24"/>
          <w:lang w:val="ro-RO"/>
        </w:rPr>
        <w:t xml:space="preserve">ății de producere, </w:t>
      </w:r>
      <w:r w:rsidR="0043484B" w:rsidRPr="00CD18DC">
        <w:rPr>
          <w:rFonts w:eastAsia="Calibri"/>
          <w:sz w:val="24"/>
          <w:szCs w:val="24"/>
          <w:lang w:val="pt-BR"/>
        </w:rPr>
        <w:t xml:space="preserve">precum costuri cu amortizarea și de operare și mentenanță, servicii executate cu terți, salarii și asimilate, de protecția mediului, costuri materiale, redevențe/chirii, costuri financiare exclusiv cele aferente creditelor pentru investiții, costuri cu utilitățile, autorizații și taxe, impozite exclusiv impozitul pe profit, transport bunuri și persoane ocazionate de procesul de producere, costuri poștale, studii și cercetări, contribuție ANRE, protecția muncii, cheltuieli de exploatare, fond </w:t>
      </w:r>
      <w:r w:rsidR="0043484B" w:rsidRPr="00CD18DC">
        <w:rPr>
          <w:rFonts w:eastAsia="Calibri"/>
          <w:sz w:val="24"/>
          <w:szCs w:val="24"/>
          <w:lang w:val="pt-BR"/>
        </w:rPr>
        <w:lastRenderedPageBreak/>
        <w:t>special drumuri publice, a</w:t>
      </w:r>
      <w:r w:rsidR="0026148A" w:rsidRPr="00CD18DC">
        <w:rPr>
          <w:rFonts w:eastAsia="Calibri"/>
          <w:sz w:val="24"/>
          <w:szCs w:val="24"/>
          <w:lang w:val="pt-BR"/>
        </w:rPr>
        <w:t>s</w:t>
      </w:r>
      <w:r w:rsidR="0043484B" w:rsidRPr="00CD18DC">
        <w:rPr>
          <w:rFonts w:eastAsia="Calibri"/>
          <w:sz w:val="24"/>
          <w:szCs w:val="24"/>
          <w:lang w:val="pt-BR"/>
        </w:rPr>
        <w:t>igurări mijloace de producție și transport</w:t>
      </w:r>
      <w:r w:rsidR="0026148A" w:rsidRPr="00CD18DC">
        <w:rPr>
          <w:rFonts w:eastAsia="Calibri"/>
          <w:sz w:val="24"/>
          <w:szCs w:val="24"/>
          <w:lang w:val="pt-BR"/>
        </w:rPr>
        <w:t>, precum și alte costuri similare</w:t>
      </w:r>
      <w:r w:rsidR="0043484B" w:rsidRPr="00CD18DC">
        <w:rPr>
          <w:rFonts w:eastAsia="Calibri"/>
          <w:sz w:val="24"/>
          <w:szCs w:val="24"/>
          <w:lang w:val="pt-BR"/>
        </w:rPr>
        <w:t>; nu se iau în considerare provizioanele de orice natură, penalitățile, amenzile și pierderile de orice natură, cheltuieli de judecată, costurile sociale și culturale, inclusiv cele ocazionate de disponibilizări ale personalului, impozitul pe profit, supracompensarea determinată pentru o perioadă anterioară celei analizate, costurile financiare aferente creditelor pentru investiții, costuri refacturate de orice natură, onorarii și comisioane de orice natură, reclame și publicitate, diferențe de curs valutar, cheltuieli active cedate neamortizate, protocol, lipsă gestiune, cheltuieli cu TVA, donații, cheltuieli ajustare la depreciere imobilizări corporale</w:t>
      </w:r>
      <w:r w:rsidR="0026148A" w:rsidRPr="00CD18DC">
        <w:rPr>
          <w:rFonts w:eastAsia="Calibri"/>
          <w:sz w:val="24"/>
          <w:szCs w:val="24"/>
          <w:lang w:val="pt-BR"/>
        </w:rPr>
        <w:t>,</w:t>
      </w:r>
      <w:r w:rsidR="0043484B" w:rsidRPr="00CD18DC">
        <w:rPr>
          <w:rFonts w:eastAsia="Calibri"/>
          <w:sz w:val="24"/>
          <w:szCs w:val="24"/>
          <w:lang w:val="pt-BR"/>
        </w:rPr>
        <w:t xml:space="preserve"> </w:t>
      </w:r>
      <w:r w:rsidR="0026148A" w:rsidRPr="00CD18DC">
        <w:rPr>
          <w:rFonts w:eastAsia="Calibri"/>
          <w:sz w:val="24"/>
          <w:szCs w:val="24"/>
          <w:lang w:val="pt-BR"/>
        </w:rPr>
        <w:t xml:space="preserve">precum și alte costuri similare </w:t>
      </w:r>
      <w:r w:rsidR="0043484B" w:rsidRPr="00CD18DC">
        <w:rPr>
          <w:rFonts w:eastAsia="Calibri"/>
          <w:sz w:val="24"/>
          <w:szCs w:val="24"/>
          <w:lang w:val="pt-BR"/>
        </w:rPr>
        <w:t>(lei);</w:t>
      </w:r>
    </w:p>
    <w:p w:rsidR="0043484B" w:rsidRPr="00CD18DC" w:rsidRDefault="00876920" w:rsidP="00A74C57">
      <w:pPr>
        <w:spacing w:before="240" w:after="120" w:line="360" w:lineRule="auto"/>
        <w:jc w:val="both"/>
        <w:rPr>
          <w:rFonts w:eastAsia="Calibri"/>
          <w:sz w:val="24"/>
          <w:szCs w:val="24"/>
          <w:lang w:val="pt-BR"/>
        </w:rPr>
      </w:pPr>
      <w:r>
        <w:rPr>
          <w:rFonts w:eastAsia="Calibri"/>
          <w:position w:val="-18"/>
          <w:sz w:val="24"/>
          <w:szCs w:val="24"/>
          <w:lang w:val="en-GB"/>
        </w:rPr>
        <w:pict>
          <v:shape id="_x0000_i1063" type="#_x0000_t75" style="width:39pt;height:24pt">
            <v:imagedata r:id="rId56" o:title=""/>
          </v:shape>
        </w:pict>
      </w:r>
      <w:r w:rsidR="0043484B" w:rsidRPr="00CD18DC">
        <w:rPr>
          <w:rFonts w:eastAsia="Calibri"/>
          <w:sz w:val="24"/>
          <w:szCs w:val="24"/>
          <w:vertAlign w:val="superscript"/>
          <w:lang w:val="pt-BR"/>
        </w:rPr>
        <w:t xml:space="preserve">  </w:t>
      </w:r>
      <w:r w:rsidR="0043484B" w:rsidRPr="00CD18DC">
        <w:rPr>
          <w:rFonts w:eastAsia="Calibri"/>
          <w:sz w:val="24"/>
          <w:szCs w:val="24"/>
          <w:lang w:val="pt-BR"/>
        </w:rPr>
        <w:t>-</w:t>
      </w:r>
      <w:r w:rsidR="0043484B" w:rsidRPr="00CD18DC">
        <w:rPr>
          <w:rFonts w:eastAsia="Calibri"/>
          <w:sz w:val="24"/>
          <w:szCs w:val="24"/>
          <w:vertAlign w:val="superscript"/>
          <w:lang w:val="pt-BR"/>
        </w:rPr>
        <w:t xml:space="preserve"> </w:t>
      </w:r>
      <w:r w:rsidR="0043484B" w:rsidRPr="00CD18DC">
        <w:rPr>
          <w:rFonts w:eastAsia="Calibri"/>
          <w:sz w:val="24"/>
          <w:szCs w:val="24"/>
          <w:lang w:val="pt-BR"/>
        </w:rPr>
        <w:t xml:space="preserve">costurile fixe alocate pentru capacitățile de producere în cogenerare, atât pentru cele care beneficiază de schema de sprijin, cât și pentru cele care nu beneficiază de schema de sprijin (lei); </w:t>
      </w:r>
    </w:p>
    <w:p w:rsidR="0043484B" w:rsidRPr="00CD18DC" w:rsidRDefault="00876920" w:rsidP="00A74C57">
      <w:pPr>
        <w:spacing w:before="240" w:after="120" w:line="360" w:lineRule="auto"/>
        <w:jc w:val="both"/>
        <w:rPr>
          <w:rFonts w:eastAsia="Calibri"/>
          <w:sz w:val="24"/>
          <w:szCs w:val="24"/>
          <w:lang w:val="pt-BR"/>
        </w:rPr>
      </w:pPr>
      <w:r>
        <w:rPr>
          <w:rFonts w:eastAsia="Calibri"/>
          <w:position w:val="-18"/>
          <w:sz w:val="24"/>
          <w:szCs w:val="24"/>
          <w:lang w:val="en-GB"/>
        </w:rPr>
        <w:pict>
          <v:shape id="_x0000_i1064" type="#_x0000_t75" style="width:36.75pt;height:24pt">
            <v:imagedata r:id="rId57" o:title=""/>
          </v:shape>
        </w:pict>
      </w:r>
      <w:r w:rsidR="0043484B" w:rsidRPr="00CD18DC">
        <w:rPr>
          <w:rFonts w:eastAsia="Calibri"/>
          <w:sz w:val="24"/>
          <w:szCs w:val="24"/>
          <w:lang w:val="pt-BR"/>
        </w:rPr>
        <w:t>- costurile fixe alocate pentru capacit</w:t>
      </w:r>
      <w:r w:rsidR="0043484B" w:rsidRPr="00CD18DC">
        <w:rPr>
          <w:rFonts w:eastAsia="Calibri"/>
          <w:sz w:val="24"/>
          <w:szCs w:val="24"/>
          <w:lang w:val="ro-RO"/>
        </w:rPr>
        <w:t xml:space="preserve">ățile de </w:t>
      </w:r>
      <w:r w:rsidR="0043484B" w:rsidRPr="00CD18DC">
        <w:rPr>
          <w:rFonts w:eastAsia="Calibri"/>
          <w:sz w:val="24"/>
          <w:szCs w:val="24"/>
          <w:lang w:val="pt-BR"/>
        </w:rPr>
        <w:t>producere separată a energiei electrice și/sau termice (lei);</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65" type="#_x0000_t75" style="width:50.25pt;height:21.75pt">
            <v:imagedata r:id="rId58" o:title=""/>
          </v:shape>
        </w:pict>
      </w:r>
      <w:r w:rsidR="0043484B" w:rsidRPr="00CD18DC">
        <w:rPr>
          <w:rFonts w:eastAsia="Calibri"/>
          <w:position w:val="-36"/>
          <w:sz w:val="24"/>
          <w:szCs w:val="24"/>
          <w:lang w:val="en-GB"/>
        </w:rPr>
        <w:t xml:space="preserve"> </w:t>
      </w:r>
      <w:r w:rsidR="0043484B" w:rsidRPr="00CD18DC">
        <w:rPr>
          <w:rFonts w:eastAsia="Calibri"/>
          <w:sz w:val="24"/>
          <w:szCs w:val="24"/>
          <w:lang w:val="pt-BR"/>
        </w:rPr>
        <w:t>-</w:t>
      </w:r>
      <w:r w:rsidR="0043484B" w:rsidRPr="00CD18DC">
        <w:rPr>
          <w:rFonts w:eastAsia="Calibri"/>
          <w:position w:val="-36"/>
          <w:sz w:val="24"/>
          <w:szCs w:val="24"/>
          <w:lang w:val="en-GB"/>
        </w:rPr>
        <w:t xml:space="preserve"> </w:t>
      </w:r>
      <w:r w:rsidR="0043484B" w:rsidRPr="00CD18DC">
        <w:rPr>
          <w:rFonts w:eastAsia="Calibri"/>
          <w:sz w:val="24"/>
          <w:szCs w:val="24"/>
          <w:lang w:val="pt-BR"/>
        </w:rPr>
        <w:t>costurile fixe comune, care nu au putut fi alocate direct capacităților de producere (lei);</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66" type="#_x0000_t75" style="width:50.25pt;height:21.75pt">
            <v:imagedata r:id="rId59" o:title=""/>
          </v:shape>
        </w:pict>
      </w:r>
      <w:r w:rsidR="0043484B" w:rsidRPr="00CD18DC">
        <w:rPr>
          <w:rFonts w:eastAsia="Calibri"/>
          <w:position w:val="-36"/>
          <w:sz w:val="24"/>
          <w:szCs w:val="24"/>
          <w:lang w:val="en-GB"/>
        </w:rPr>
        <w:t xml:space="preserve"> </w:t>
      </w:r>
      <w:r w:rsidR="0043484B" w:rsidRPr="00CD18DC">
        <w:rPr>
          <w:rFonts w:eastAsia="Calibri"/>
          <w:sz w:val="24"/>
          <w:szCs w:val="24"/>
          <w:lang w:val="pt-BR"/>
        </w:rPr>
        <w:t>-</w:t>
      </w:r>
      <w:r w:rsidR="0043484B" w:rsidRPr="00CD18DC">
        <w:rPr>
          <w:rFonts w:eastAsia="Calibri"/>
          <w:position w:val="-36"/>
          <w:sz w:val="24"/>
          <w:szCs w:val="24"/>
          <w:lang w:val="en-GB"/>
        </w:rPr>
        <w:t xml:space="preserve"> </w:t>
      </w:r>
      <w:r w:rsidR="0043484B" w:rsidRPr="00CD18DC">
        <w:rPr>
          <w:rFonts w:eastAsia="Calibri"/>
          <w:sz w:val="24"/>
          <w:szCs w:val="24"/>
          <w:lang w:val="pt-BR"/>
        </w:rPr>
        <w:t>costurile fixe comune capacităților de producere în cogenerare (lei);</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67" type="#_x0000_t75" style="width:69pt;height:21.75pt">
            <v:imagedata r:id="rId60" o:title=""/>
          </v:shape>
        </w:pict>
      </w:r>
      <w:r w:rsidR="0043484B" w:rsidRPr="00CD18DC">
        <w:rPr>
          <w:rFonts w:eastAsia="Calibri"/>
          <w:position w:val="-36"/>
          <w:sz w:val="24"/>
          <w:szCs w:val="24"/>
          <w:lang w:val="en-GB"/>
        </w:rPr>
        <w:t xml:space="preserve"> </w:t>
      </w:r>
      <w:r w:rsidR="0043484B" w:rsidRPr="00CD18DC">
        <w:rPr>
          <w:rFonts w:eastAsia="Calibri"/>
          <w:sz w:val="24"/>
          <w:szCs w:val="24"/>
          <w:lang w:val="pt-BR"/>
        </w:rPr>
        <w:t>- c</w:t>
      </w:r>
      <w:r w:rsidR="0043484B" w:rsidRPr="00CD18DC">
        <w:rPr>
          <w:rFonts w:eastAsia="Calibri"/>
          <w:sz w:val="24"/>
          <w:szCs w:val="24"/>
          <w:lang w:val="ro-RO"/>
        </w:rPr>
        <w:t xml:space="preserve">osturile de operare și mentenanță, servicii executate cu terți și cele cu amortizarea, alocate direct capacităților de producere </w:t>
      </w:r>
      <w:r w:rsidR="0043484B" w:rsidRPr="00CD18DC">
        <w:rPr>
          <w:rFonts w:eastAsia="Calibri"/>
          <w:sz w:val="24"/>
          <w:szCs w:val="24"/>
          <w:lang w:val="pt-BR"/>
        </w:rPr>
        <w:t>în cogenerare care accesează schema de sprijin, pe baza documentelor justificative (lei);</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68" type="#_x0000_t75" style="width:69pt;height:21.75pt">
            <v:imagedata r:id="rId61" o:title=""/>
          </v:shape>
        </w:pict>
      </w:r>
      <w:r w:rsidR="0043484B" w:rsidRPr="00CD18DC">
        <w:rPr>
          <w:rFonts w:eastAsia="Calibri"/>
          <w:position w:val="-36"/>
          <w:sz w:val="24"/>
          <w:szCs w:val="24"/>
          <w:lang w:val="en-GB"/>
        </w:rPr>
        <w:t xml:space="preserve"> </w:t>
      </w:r>
      <w:r w:rsidR="0043484B" w:rsidRPr="00CD18DC">
        <w:rPr>
          <w:rFonts w:eastAsia="Calibri"/>
          <w:sz w:val="24"/>
          <w:szCs w:val="24"/>
          <w:lang w:val="pt-BR"/>
        </w:rPr>
        <w:t>- c</w:t>
      </w:r>
      <w:r w:rsidR="0043484B" w:rsidRPr="00CD18DC">
        <w:rPr>
          <w:rFonts w:eastAsia="Calibri"/>
          <w:sz w:val="24"/>
          <w:szCs w:val="24"/>
          <w:lang w:val="ro-RO"/>
        </w:rPr>
        <w:t xml:space="preserve">osturile de operare și mentenanță, servicii executate cu terți și cele cu amortizarea, alocate direct capacităților de producere </w:t>
      </w:r>
      <w:r w:rsidR="0043484B" w:rsidRPr="00CD18DC">
        <w:rPr>
          <w:rFonts w:eastAsia="Calibri"/>
          <w:sz w:val="24"/>
          <w:szCs w:val="24"/>
          <w:lang w:val="pt-BR"/>
        </w:rPr>
        <w:t>în cogenerare care nu accesează schema de sprijin, pe baza documentelor justificative (lei);</w:t>
      </w:r>
    </w:p>
    <w:p w:rsidR="0043484B" w:rsidRPr="00CD18DC" w:rsidRDefault="00876920" w:rsidP="00A74C57">
      <w:pPr>
        <w:spacing w:line="360" w:lineRule="auto"/>
        <w:jc w:val="both"/>
        <w:rPr>
          <w:rFonts w:eastAsia="Calibri"/>
          <w:sz w:val="24"/>
          <w:szCs w:val="24"/>
          <w:lang w:val="pt-BR"/>
        </w:rPr>
      </w:pPr>
      <w:r>
        <w:rPr>
          <w:rFonts w:eastAsia="Calibri"/>
          <w:position w:val="-14"/>
          <w:sz w:val="24"/>
          <w:szCs w:val="24"/>
          <w:lang w:val="en-GB"/>
        </w:rPr>
        <w:pict>
          <v:shape id="_x0000_i1069" type="#_x0000_t75" style="width:69pt;height:21.75pt">
            <v:imagedata r:id="rId62" o:title=""/>
          </v:shape>
        </w:pict>
      </w:r>
      <w:r w:rsidR="0043484B" w:rsidRPr="00CD18DC">
        <w:rPr>
          <w:rFonts w:eastAsia="Calibri"/>
          <w:position w:val="-36"/>
          <w:sz w:val="24"/>
          <w:szCs w:val="24"/>
          <w:lang w:val="en-GB"/>
        </w:rPr>
        <w:t xml:space="preserve">  </w:t>
      </w:r>
      <w:r w:rsidR="0043484B" w:rsidRPr="00CD18DC">
        <w:rPr>
          <w:rFonts w:eastAsia="Calibri"/>
          <w:sz w:val="24"/>
          <w:szCs w:val="24"/>
          <w:lang w:val="pt-BR"/>
        </w:rPr>
        <w:t>- c</w:t>
      </w:r>
      <w:r w:rsidR="0043484B" w:rsidRPr="00CD18DC">
        <w:rPr>
          <w:rFonts w:eastAsia="Calibri"/>
          <w:sz w:val="24"/>
          <w:szCs w:val="24"/>
          <w:lang w:val="ro-RO"/>
        </w:rPr>
        <w:t>osturile de operare și mentenanță, servicii executate cu terți și cele cu amortizarea, alocate direct capacităților de producere separată a energiei electrice și/sau termice</w:t>
      </w:r>
      <w:r w:rsidR="0043484B" w:rsidRPr="00CD18DC">
        <w:rPr>
          <w:rFonts w:eastAsia="Calibri"/>
          <w:sz w:val="24"/>
          <w:szCs w:val="24"/>
          <w:lang w:val="pt-BR"/>
        </w:rPr>
        <w:t>, pe baza documentelor justificative (lei);</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lastRenderedPageBreak/>
        <w:pict>
          <v:shape id="_x0000_i1070" type="#_x0000_t75" style="width:45.75pt;height:21.75pt">
            <v:imagedata r:id="rId63" o:title=""/>
          </v:shape>
        </w:pict>
      </w:r>
      <w:r w:rsidR="0043484B" w:rsidRPr="00CD18DC">
        <w:rPr>
          <w:rFonts w:eastAsia="Calibri"/>
          <w:sz w:val="24"/>
          <w:szCs w:val="24"/>
          <w:lang w:val="pt-BR"/>
        </w:rPr>
        <w:t xml:space="preserve"> – energia electrică livrată din capacitățile de producere în cogenerare, atât din cele care beneficiază de schema de sprijin, cât și din cele care nu beneficiază de schema de sprijin (MWh); </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71" type="#_x0000_t75" style="width:45.75pt;height:21.75pt">
            <v:imagedata r:id="rId64" o:title=""/>
          </v:shape>
        </w:pict>
      </w:r>
      <w:r w:rsidR="0043484B" w:rsidRPr="00CD18DC">
        <w:rPr>
          <w:rFonts w:eastAsia="Calibri"/>
          <w:sz w:val="24"/>
          <w:szCs w:val="24"/>
          <w:lang w:val="pt-BR"/>
        </w:rPr>
        <w:t xml:space="preserve"> – energia electrică livrată din capacitățile de producere separată a energiei electrice (MWh);</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72" type="#_x0000_t75" style="width:45.75pt;height:21.75pt">
            <v:imagedata r:id="rId65" o:title=""/>
          </v:shape>
        </w:pict>
      </w:r>
      <w:r w:rsidR="0043484B" w:rsidRPr="00CD18DC">
        <w:rPr>
          <w:rFonts w:eastAsia="Calibri"/>
          <w:sz w:val="24"/>
          <w:szCs w:val="24"/>
          <w:vertAlign w:val="subscript"/>
          <w:lang w:val="pt-BR"/>
        </w:rPr>
        <w:t xml:space="preserve"> </w:t>
      </w:r>
      <w:r w:rsidR="0043484B" w:rsidRPr="00CD18DC">
        <w:rPr>
          <w:rFonts w:eastAsia="Calibri"/>
          <w:sz w:val="24"/>
          <w:szCs w:val="24"/>
          <w:lang w:val="pt-BR"/>
        </w:rPr>
        <w:t xml:space="preserve"> - energia electrică livrată din centrală (MWh); </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73" type="#_x0000_t75" style="width:45.75pt;height:21.75pt">
            <v:imagedata r:id="rId66" o:title=""/>
          </v:shape>
        </w:pict>
      </w:r>
      <w:r w:rsidR="0043484B" w:rsidRPr="00CD18DC">
        <w:rPr>
          <w:rFonts w:eastAsia="Calibri"/>
          <w:sz w:val="24"/>
          <w:szCs w:val="24"/>
          <w:vertAlign w:val="subscript"/>
          <w:lang w:val="pt-BR"/>
        </w:rPr>
        <w:t xml:space="preserve"> </w:t>
      </w:r>
      <w:r w:rsidR="0043484B" w:rsidRPr="00CD18DC">
        <w:rPr>
          <w:rFonts w:eastAsia="Calibri"/>
          <w:sz w:val="24"/>
          <w:szCs w:val="24"/>
          <w:lang w:val="pt-BR"/>
        </w:rPr>
        <w:t>– energia termică livrată din capacitățile de cogenerare, atât din cele care beneficiază de schema de sprijin, cât și din cele care nu beneficiază de schema de sprijin, inclusiv energia termic</w:t>
      </w:r>
      <w:r w:rsidR="0043484B" w:rsidRPr="00CD18DC">
        <w:rPr>
          <w:rFonts w:eastAsia="Calibri"/>
          <w:sz w:val="24"/>
          <w:szCs w:val="24"/>
          <w:lang w:val="ro-RO"/>
        </w:rPr>
        <w:t>ă utilizată de producător în alte activități decât cele de producere a energiei electrice și termice</w:t>
      </w:r>
      <w:r w:rsidR="0043484B" w:rsidRPr="00CD18DC" w:rsidDel="00320CB4">
        <w:rPr>
          <w:rFonts w:eastAsia="Calibri"/>
          <w:sz w:val="24"/>
          <w:szCs w:val="24"/>
          <w:lang w:val="pt-BR"/>
        </w:rPr>
        <w:t xml:space="preserve"> </w:t>
      </w:r>
      <w:r w:rsidR="0043484B" w:rsidRPr="00CD18DC">
        <w:rPr>
          <w:rFonts w:eastAsia="Calibri"/>
          <w:sz w:val="24"/>
          <w:szCs w:val="24"/>
          <w:lang w:val="pt-BR"/>
        </w:rPr>
        <w:t xml:space="preserve">(MWh); </w:t>
      </w:r>
    </w:p>
    <w:p w:rsidR="0043484B" w:rsidRPr="00CD18DC" w:rsidRDefault="00876920" w:rsidP="00A74C57">
      <w:pPr>
        <w:spacing w:before="240" w:after="120" w:line="360" w:lineRule="auto"/>
        <w:jc w:val="both"/>
        <w:rPr>
          <w:rFonts w:eastAsia="Calibri"/>
          <w:sz w:val="24"/>
          <w:szCs w:val="24"/>
        </w:rPr>
      </w:pPr>
      <w:r>
        <w:rPr>
          <w:rFonts w:eastAsia="Calibri"/>
          <w:position w:val="-14"/>
          <w:sz w:val="24"/>
          <w:szCs w:val="24"/>
          <w:lang w:val="en-GB"/>
        </w:rPr>
        <w:pict>
          <v:shape id="_x0000_i1074" type="#_x0000_t75" style="width:45.75pt;height:21.75pt">
            <v:imagedata r:id="rId67" o:title=""/>
          </v:shape>
        </w:pict>
      </w:r>
      <w:r w:rsidR="0043484B" w:rsidRPr="00CD18DC">
        <w:rPr>
          <w:rFonts w:eastAsia="Calibri"/>
          <w:sz w:val="24"/>
          <w:szCs w:val="24"/>
          <w:vertAlign w:val="subscript"/>
          <w:lang w:val="pt-BR"/>
        </w:rPr>
        <w:t xml:space="preserve"> </w:t>
      </w:r>
      <w:r w:rsidR="0043484B" w:rsidRPr="00CD18DC">
        <w:rPr>
          <w:rFonts w:eastAsia="Calibri"/>
          <w:sz w:val="24"/>
          <w:szCs w:val="24"/>
          <w:lang w:val="pt-BR"/>
        </w:rPr>
        <w:t>- energia termică livrată din capacitățile de producere separată a energiei termice (MWh)</w:t>
      </w:r>
      <w:r w:rsidR="0043484B" w:rsidRPr="00CD18DC">
        <w:rPr>
          <w:rFonts w:eastAsia="Calibri"/>
          <w:sz w:val="24"/>
          <w:szCs w:val="24"/>
        </w:rPr>
        <w:t>;</w:t>
      </w:r>
    </w:p>
    <w:p w:rsidR="0043484B"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75" type="#_x0000_t75" style="width:45.75pt;height:21.75pt">
            <v:imagedata r:id="rId68" o:title=""/>
          </v:shape>
        </w:pict>
      </w:r>
      <w:r w:rsidR="0043484B" w:rsidRPr="00CD18DC">
        <w:rPr>
          <w:rFonts w:eastAsia="Calibri"/>
          <w:sz w:val="24"/>
          <w:szCs w:val="24"/>
          <w:vertAlign w:val="subscript"/>
          <w:lang w:val="pt-BR"/>
        </w:rPr>
        <w:t xml:space="preserve"> </w:t>
      </w:r>
      <w:r w:rsidR="0043484B" w:rsidRPr="00CD18DC">
        <w:rPr>
          <w:rFonts w:eastAsia="Calibri"/>
          <w:sz w:val="24"/>
          <w:szCs w:val="24"/>
          <w:lang w:val="pt-BR"/>
        </w:rPr>
        <w:t xml:space="preserve"> - energia termică livrată din centrală (MWh).</w:t>
      </w:r>
      <w:r w:rsidR="00DA1868" w:rsidRPr="00CD18DC">
        <w:rPr>
          <w:rFonts w:eastAsia="Calibri"/>
          <w:bCs/>
          <w:sz w:val="24"/>
          <w:szCs w:val="24"/>
          <w:lang w:val="pt-BR"/>
        </w:rPr>
        <w:t>”</w:t>
      </w:r>
      <w:r w:rsidR="0043484B" w:rsidRPr="00CD18DC">
        <w:rPr>
          <w:rFonts w:eastAsia="Calibri"/>
          <w:sz w:val="24"/>
          <w:szCs w:val="24"/>
          <w:lang w:val="pt-BR"/>
        </w:rPr>
        <w:t xml:space="preserve"> </w:t>
      </w:r>
    </w:p>
    <w:p w:rsidR="0043484B" w:rsidRPr="00CD18DC" w:rsidRDefault="0043484B" w:rsidP="00A74C57">
      <w:pPr>
        <w:pStyle w:val="ListParagraph"/>
        <w:spacing w:before="240" w:after="120" w:line="360" w:lineRule="auto"/>
        <w:ind w:left="1080"/>
        <w:jc w:val="both"/>
        <w:rPr>
          <w:rFonts w:eastAsia="Calibri"/>
          <w:sz w:val="24"/>
          <w:szCs w:val="24"/>
          <w:lang w:val="pt-BR"/>
        </w:rPr>
      </w:pPr>
    </w:p>
    <w:p w:rsidR="00DA1868" w:rsidRPr="00CD18DC" w:rsidRDefault="0073363C" w:rsidP="00A74C57">
      <w:pPr>
        <w:pStyle w:val="ListParagraph"/>
        <w:numPr>
          <w:ilvl w:val="0"/>
          <w:numId w:val="1"/>
        </w:numPr>
        <w:spacing w:after="120" w:line="360" w:lineRule="auto"/>
        <w:jc w:val="both"/>
        <w:rPr>
          <w:rFonts w:eastAsia="Calibri"/>
          <w:sz w:val="24"/>
          <w:szCs w:val="24"/>
          <w:lang w:val="pt-BR"/>
        </w:rPr>
      </w:pPr>
      <w:r w:rsidRPr="00CD18DC">
        <w:rPr>
          <w:rFonts w:eastAsia="Calibri"/>
          <w:sz w:val="24"/>
          <w:szCs w:val="24"/>
          <w:lang w:val="pt-BR"/>
        </w:rPr>
        <w:t>La art. 21</w:t>
      </w:r>
      <w:r w:rsidR="00F40F22" w:rsidRPr="00CD18DC">
        <w:rPr>
          <w:rFonts w:eastAsia="Calibri"/>
          <w:sz w:val="24"/>
          <w:szCs w:val="24"/>
          <w:lang w:val="pt-BR"/>
        </w:rPr>
        <w:t>, după alineatul (1</w:t>
      </w:r>
      <w:r w:rsidR="00F40F22" w:rsidRPr="00CD18DC">
        <w:rPr>
          <w:rFonts w:eastAsia="Calibri"/>
          <w:sz w:val="24"/>
          <w:szCs w:val="24"/>
          <w:vertAlign w:val="superscript"/>
          <w:lang w:val="pt-BR"/>
        </w:rPr>
        <w:t>1</w:t>
      </w:r>
      <w:r w:rsidR="00F40F22" w:rsidRPr="00CD18DC">
        <w:rPr>
          <w:rFonts w:eastAsia="Calibri"/>
          <w:sz w:val="24"/>
          <w:szCs w:val="24"/>
          <w:lang w:val="pt-BR"/>
        </w:rPr>
        <w:t xml:space="preserve">), </w:t>
      </w:r>
      <w:r w:rsidRPr="00CD18DC">
        <w:rPr>
          <w:rFonts w:eastAsia="Calibri"/>
          <w:sz w:val="24"/>
          <w:szCs w:val="24"/>
          <w:lang w:val="pt-BR"/>
        </w:rPr>
        <w:t xml:space="preserve"> se int</w:t>
      </w:r>
      <w:r w:rsidR="0025283D" w:rsidRPr="00CD18DC">
        <w:rPr>
          <w:rFonts w:eastAsia="Calibri"/>
          <w:sz w:val="24"/>
          <w:szCs w:val="24"/>
          <w:lang w:val="pt-BR"/>
        </w:rPr>
        <w:t>r</w:t>
      </w:r>
      <w:r w:rsidRPr="00CD18DC">
        <w:rPr>
          <w:rFonts w:eastAsia="Calibri"/>
          <w:sz w:val="24"/>
          <w:szCs w:val="24"/>
          <w:lang w:val="pt-BR"/>
        </w:rPr>
        <w:t xml:space="preserve">oduc </w:t>
      </w:r>
      <w:r w:rsidR="007E1E5C" w:rsidRPr="00CD18DC">
        <w:rPr>
          <w:rFonts w:eastAsia="Calibri"/>
          <w:sz w:val="24"/>
          <w:szCs w:val="24"/>
          <w:lang w:val="pt-BR"/>
        </w:rPr>
        <w:t>două alineate noi,</w:t>
      </w:r>
      <w:r w:rsidRPr="00CD18DC">
        <w:rPr>
          <w:rFonts w:eastAsia="Calibri"/>
          <w:sz w:val="24"/>
          <w:szCs w:val="24"/>
          <w:lang w:val="pt-BR"/>
        </w:rPr>
        <w:t xml:space="preserve"> (1</w:t>
      </w:r>
      <w:r w:rsidR="005D0867" w:rsidRPr="00CD18DC">
        <w:rPr>
          <w:rFonts w:eastAsia="Calibri"/>
          <w:sz w:val="24"/>
          <w:szCs w:val="24"/>
          <w:vertAlign w:val="superscript"/>
          <w:lang w:val="pt-BR"/>
        </w:rPr>
        <w:t>2</w:t>
      </w:r>
      <w:r w:rsidR="005D0867" w:rsidRPr="00CD18DC">
        <w:rPr>
          <w:rFonts w:eastAsia="Calibri"/>
          <w:sz w:val="24"/>
          <w:szCs w:val="24"/>
          <w:lang w:val="pt-BR"/>
        </w:rPr>
        <w:t>) și (1</w:t>
      </w:r>
      <w:r w:rsidR="005D0867" w:rsidRPr="00CD18DC">
        <w:rPr>
          <w:rFonts w:eastAsia="Calibri"/>
          <w:sz w:val="24"/>
          <w:szCs w:val="24"/>
          <w:vertAlign w:val="superscript"/>
          <w:lang w:val="pt-BR"/>
        </w:rPr>
        <w:t>3</w:t>
      </w:r>
      <w:r w:rsidR="005D0867" w:rsidRPr="00CD18DC">
        <w:rPr>
          <w:rFonts w:eastAsia="Calibri"/>
          <w:sz w:val="24"/>
          <w:szCs w:val="24"/>
          <w:lang w:val="pt-BR"/>
        </w:rPr>
        <w:t>)</w:t>
      </w:r>
      <w:r w:rsidR="00192780" w:rsidRPr="00CD18DC">
        <w:rPr>
          <w:rFonts w:eastAsia="Calibri"/>
          <w:sz w:val="24"/>
          <w:szCs w:val="24"/>
          <w:lang w:val="pt-BR"/>
        </w:rPr>
        <w:t>, cu următ</w:t>
      </w:r>
      <w:r w:rsidR="007E1E5C" w:rsidRPr="00CD18DC">
        <w:rPr>
          <w:rFonts w:eastAsia="Calibri"/>
          <w:sz w:val="24"/>
          <w:szCs w:val="24"/>
          <w:lang w:val="pt-BR"/>
        </w:rPr>
        <w:t>orul cuprins:</w:t>
      </w:r>
    </w:p>
    <w:p w:rsidR="00DA1868" w:rsidRPr="00CD18DC" w:rsidRDefault="00DA1868" w:rsidP="00A74C57">
      <w:pPr>
        <w:spacing w:after="120" w:line="360" w:lineRule="auto"/>
        <w:jc w:val="both"/>
        <w:rPr>
          <w:rFonts w:eastAsia="Calibri"/>
          <w:sz w:val="24"/>
          <w:szCs w:val="24"/>
          <w:lang w:val="pt-BR"/>
        </w:rPr>
      </w:pPr>
      <w:r w:rsidRPr="00CD18DC">
        <w:rPr>
          <w:rFonts w:eastAsia="Calibri"/>
          <w:bCs/>
          <w:sz w:val="24"/>
          <w:szCs w:val="24"/>
          <w:lang w:val="pt-BR"/>
        </w:rPr>
        <w:t>”</w:t>
      </w:r>
      <w:r w:rsidRPr="00CD18DC">
        <w:rPr>
          <w:rFonts w:eastAsia="Calibri"/>
          <w:sz w:val="24"/>
          <w:szCs w:val="24"/>
          <w:lang w:val="pt-BR"/>
        </w:rPr>
        <w:t>(1</w:t>
      </w:r>
      <w:r w:rsidRPr="00CD18DC">
        <w:rPr>
          <w:rFonts w:eastAsia="Calibri"/>
          <w:sz w:val="24"/>
          <w:szCs w:val="24"/>
          <w:vertAlign w:val="superscript"/>
          <w:lang w:val="pt-BR"/>
        </w:rPr>
        <w:t>2</w:t>
      </w:r>
      <w:r w:rsidRPr="00CD18DC">
        <w:rPr>
          <w:rFonts w:eastAsia="Calibri"/>
          <w:sz w:val="24"/>
          <w:szCs w:val="24"/>
          <w:lang w:val="pt-BR"/>
        </w:rPr>
        <w:t xml:space="preserve">) </w:t>
      </w:r>
      <w:r w:rsidRPr="00CD18DC">
        <w:rPr>
          <w:color w:val="000000"/>
          <w:sz w:val="24"/>
          <w:lang w:val="ro-RO"/>
        </w:rPr>
        <w:t>Cantitatea de combustibil aferentă îndeplinirii criteriilor de definire a cogenerării de înaltă eficiență</w:t>
      </w:r>
      <w:r w:rsidRPr="00CD18DC">
        <w:rPr>
          <w:rFonts w:eastAsia="Calibri"/>
          <w:sz w:val="24"/>
          <w:szCs w:val="24"/>
          <w:lang w:val="pt-BR"/>
        </w:rPr>
        <w:t xml:space="preserve">, </w:t>
      </w:r>
      <w:r w:rsidRPr="00CD18DC">
        <w:rPr>
          <w:position w:val="-16"/>
        </w:rPr>
        <w:object w:dxaOrig="1140" w:dyaOrig="460">
          <v:shape id="_x0000_i1076" type="#_x0000_t75" style="width:57pt;height:23.25pt" o:ole="">
            <v:imagedata r:id="rId69" o:title=""/>
          </v:shape>
          <o:OLEObject Type="Embed" ProgID="Equation.3" ShapeID="_x0000_i1076" DrawAspect="Content" ObjectID="_1515241648" r:id="rId70"/>
        </w:object>
      </w:r>
      <w:r w:rsidRPr="00CD18DC" w:rsidDel="008D24A6">
        <w:rPr>
          <w:rFonts w:eastAsia="Calibri"/>
          <w:sz w:val="24"/>
          <w:szCs w:val="24"/>
          <w:lang w:val="pt-BR"/>
        </w:rPr>
        <w:t xml:space="preserve"> </w:t>
      </w:r>
      <w:r w:rsidRPr="00CD18DC">
        <w:rPr>
          <w:rFonts w:eastAsia="Calibri"/>
          <w:sz w:val="24"/>
          <w:szCs w:val="24"/>
          <w:lang w:val="pt-BR"/>
        </w:rPr>
        <w:t>, se determină astfel:</w:t>
      </w:r>
      <w:r w:rsidR="00B719F7" w:rsidRPr="00CD18DC">
        <w:rPr>
          <w:position w:val="-28"/>
        </w:rPr>
        <w:object w:dxaOrig="10460" w:dyaOrig="700">
          <v:shape id="_x0000_i1077" type="#_x0000_t75" style="width:470.25pt;height:31.5pt" o:ole="">
            <v:imagedata r:id="rId71" o:title=""/>
          </v:shape>
          <o:OLEObject Type="Embed" ProgID="Equation.3" ShapeID="_x0000_i1077" DrawAspect="Content" ObjectID="_1515241649" r:id="rId72"/>
        </w:object>
      </w:r>
      <w:r w:rsidRPr="00CD18DC">
        <w:rPr>
          <w:color w:val="000000"/>
          <w:sz w:val="24"/>
          <w:lang w:val="ro-RO"/>
        </w:rPr>
        <w:t xml:space="preserve"> (MWh)</w:t>
      </w:r>
    </w:p>
    <w:p w:rsidR="00DA1868" w:rsidRPr="00CD18DC" w:rsidRDefault="00DA1868" w:rsidP="00A74C57">
      <w:pPr>
        <w:spacing w:before="120" w:line="360" w:lineRule="auto"/>
        <w:jc w:val="both"/>
        <w:rPr>
          <w:color w:val="000000"/>
          <w:sz w:val="24"/>
          <w:lang w:val="ro-RO"/>
        </w:rPr>
      </w:pPr>
      <w:r w:rsidRPr="00CD18DC">
        <w:rPr>
          <w:color w:val="000000"/>
          <w:sz w:val="24"/>
          <w:lang w:val="ro-RO"/>
        </w:rPr>
        <w:t>unde:</w:t>
      </w:r>
    </w:p>
    <w:p w:rsidR="00DA1868" w:rsidRPr="00CD18DC" w:rsidRDefault="00DA1868" w:rsidP="00A74C57">
      <w:pPr>
        <w:spacing w:before="120" w:line="360" w:lineRule="auto"/>
        <w:jc w:val="both"/>
        <w:rPr>
          <w:color w:val="000000"/>
          <w:sz w:val="24"/>
          <w:lang w:val="ro-RO"/>
        </w:rPr>
      </w:pPr>
      <w:r w:rsidRPr="00CD18DC">
        <w:rPr>
          <w:color w:val="000000"/>
          <w:sz w:val="24"/>
          <w:lang w:val="ro-RO"/>
        </w:rPr>
        <w:t>n – numărul de configurații dintr-o centrală, cu eficiența energetică superioară criteriilor de definire a cogenerării de înaltă eficiență prevăzute de legislația în vigoare, configurații constituite din unități de cogenerare cu capacități electrice instalate mai mari sau egale cu 1 MW;</w:t>
      </w:r>
    </w:p>
    <w:p w:rsidR="00DA1868" w:rsidRPr="00CD18DC" w:rsidRDefault="00DA1868" w:rsidP="00A74C57">
      <w:pPr>
        <w:spacing w:before="120" w:line="360" w:lineRule="auto"/>
        <w:jc w:val="both"/>
        <w:rPr>
          <w:sz w:val="24"/>
          <w:lang w:val="ro-RO"/>
        </w:rPr>
      </w:pPr>
      <w:r w:rsidRPr="00CD18DC">
        <w:rPr>
          <w:sz w:val="24"/>
          <w:lang w:val="ro-RO"/>
        </w:rPr>
        <w:lastRenderedPageBreak/>
        <w:t>j – numărul de configurații dintr-o centrală, cu eficiența energetică superioară criteriilor de definire a cogenerării de înaltă eficiență prevăzute de legislația în vigoare, configurații constituite din unități de cogenerare de mică putere sau micro-cogenerare;</w:t>
      </w:r>
    </w:p>
    <w:p w:rsidR="00DA1868" w:rsidRPr="00CD18DC" w:rsidRDefault="00DA1868" w:rsidP="00A74C57">
      <w:pPr>
        <w:spacing w:before="120" w:line="360" w:lineRule="auto"/>
        <w:jc w:val="both"/>
        <w:rPr>
          <w:sz w:val="24"/>
          <w:lang w:val="ro-RO"/>
        </w:rPr>
      </w:pPr>
      <w:r w:rsidRPr="00CD18DC">
        <w:rPr>
          <w:sz w:val="24"/>
          <w:lang w:val="ro-RO"/>
        </w:rPr>
        <w:t>m – numărul de configurații dintr-o centrală, pentru care producătorul a accesat schema de sprijin, m≥n+j</w:t>
      </w:r>
    </w:p>
    <w:p w:rsidR="00DA1868" w:rsidRPr="00CD18DC" w:rsidRDefault="00572A2A" w:rsidP="00A74C57">
      <w:pPr>
        <w:spacing w:before="120" w:line="360" w:lineRule="auto"/>
        <w:ind w:firstLine="720"/>
        <w:jc w:val="both"/>
        <w:rPr>
          <w:color w:val="000000"/>
          <w:sz w:val="24"/>
          <w:lang w:val="ro-RO"/>
        </w:rPr>
      </w:pPr>
      <w:r w:rsidRPr="00CD18DC">
        <w:rPr>
          <w:position w:val="-14"/>
        </w:rPr>
        <w:object w:dxaOrig="960" w:dyaOrig="440">
          <v:shape id="_x0000_i1078" type="#_x0000_t75" style="width:48pt;height:21.75pt" o:ole="">
            <v:imagedata r:id="rId73" o:title=""/>
          </v:shape>
          <o:OLEObject Type="Embed" ProgID="Equation.3" ShapeID="_x0000_i1078" DrawAspect="Content" ObjectID="_1515241650" r:id="rId74"/>
        </w:object>
      </w:r>
      <w:r w:rsidR="00192780" w:rsidRPr="00CD18DC">
        <w:rPr>
          <w:color w:val="000000"/>
          <w:sz w:val="24"/>
          <w:lang w:val="ro-RO"/>
        </w:rPr>
        <w:t xml:space="preserve"> - </w:t>
      </w:r>
      <w:r w:rsidR="00DA1868" w:rsidRPr="00CD18DC">
        <w:rPr>
          <w:color w:val="000000"/>
          <w:sz w:val="24"/>
          <w:lang w:val="ro-RO"/>
        </w:rPr>
        <w:t xml:space="preserve">economia de energie primară în valori absolute, pe configurația i, respectiv configurația j, determinată în conformitate cu prevederile </w:t>
      </w:r>
      <w:r w:rsidR="00DA1868" w:rsidRPr="00CD18DC">
        <w:rPr>
          <w:rFonts w:eastAsia="Calibri"/>
          <w:sz w:val="24"/>
          <w:szCs w:val="24"/>
          <w:lang w:val="pt-BR"/>
        </w:rPr>
        <w:t xml:space="preserve">Regulamentului de calificare a producției de energie electrică în cogenerare de înaltă eficiență și de verificare și monitorizare a consumului de combustibil și a producțiilor de energie electrică și energie termică utilă în cogenerare de înaltă eficiență, aprobat prin Ordinul președintelui ANRE nr. 114/2013, atât pentru configurațiile </w:t>
      </w:r>
      <w:r w:rsidR="00DA1868" w:rsidRPr="00CD18DC">
        <w:rPr>
          <w:color w:val="000000"/>
          <w:sz w:val="24"/>
          <w:lang w:val="ro-RO"/>
        </w:rPr>
        <w:t>constituite din unități de cogenerare cu capacități electrice instalate mai mari sau egale cu 1 MW</w:t>
      </w:r>
      <w:r w:rsidR="00DA1868" w:rsidRPr="00CD18DC">
        <w:rPr>
          <w:rFonts w:eastAsia="Calibri"/>
          <w:sz w:val="24"/>
          <w:szCs w:val="24"/>
          <w:lang w:val="pt-BR"/>
        </w:rPr>
        <w:t>, cât și pentru cele constituite din unități de cogenerare de mică putere sau microcogenerare</w:t>
      </w:r>
      <w:r w:rsidR="00DA1868" w:rsidRPr="00CD18DC">
        <w:rPr>
          <w:color w:val="000000"/>
          <w:sz w:val="24"/>
          <w:lang w:val="ro-RO"/>
        </w:rPr>
        <w:t xml:space="preserve"> (MWh)</w:t>
      </w:r>
    </w:p>
    <w:p w:rsidR="00DA1868" w:rsidRPr="00CD18DC" w:rsidRDefault="00192780" w:rsidP="00A74C57">
      <w:pPr>
        <w:spacing w:before="120" w:line="360" w:lineRule="auto"/>
        <w:ind w:firstLine="720"/>
        <w:jc w:val="both"/>
        <w:rPr>
          <w:color w:val="000000"/>
          <w:sz w:val="24"/>
          <w:lang w:val="ro-RO"/>
        </w:rPr>
      </w:pPr>
      <w:r w:rsidRPr="00CD18DC">
        <w:rPr>
          <w:position w:val="-18"/>
          <w:szCs w:val="24"/>
        </w:rPr>
        <w:object w:dxaOrig="1300" w:dyaOrig="480">
          <v:shape id="_x0000_i1079" type="#_x0000_t75" style="width:65.25pt;height:24pt" o:ole="">
            <v:imagedata r:id="rId75" o:title=""/>
          </v:shape>
          <o:OLEObject Type="Embed" ProgID="Equation.3" ShapeID="_x0000_i1079" DrawAspect="Content" ObjectID="_1515241651" r:id="rId76"/>
        </w:object>
      </w:r>
      <w:r w:rsidRPr="00CD18DC">
        <w:rPr>
          <w:color w:val="000000"/>
          <w:sz w:val="24"/>
          <w:lang w:val="ro-RO"/>
        </w:rPr>
        <w:t xml:space="preserve">– </w:t>
      </w:r>
      <w:r w:rsidR="00DA1868" w:rsidRPr="00CD18DC">
        <w:rPr>
          <w:color w:val="000000"/>
          <w:sz w:val="24"/>
          <w:lang w:val="ro-RO"/>
        </w:rPr>
        <w:t xml:space="preserve">consumul de combustibil aferent producţiei de energie electrică şi termică în cogenerare de înaltă eficienţă  al configuraţiei i, respectiv l, determinat în conformitate cu prevederile </w:t>
      </w:r>
      <w:r w:rsidR="00DA1868" w:rsidRPr="00CD18DC">
        <w:rPr>
          <w:rFonts w:eastAsia="Calibri"/>
          <w:sz w:val="24"/>
          <w:szCs w:val="24"/>
          <w:lang w:val="pt-BR"/>
        </w:rPr>
        <w:t>Regulamentului de calificare a producției de energie electrică în cogenerare de înaltă eficiență și de verificare și monitorizare a consumului de combustibil și a producțiilor de energie electrică și energie termică utilă în cogenerare de înaltă eficiență, aprobat prin Ordinul președintelui ANRE nr. 114/2013</w:t>
      </w:r>
      <w:r w:rsidR="00DA1868" w:rsidRPr="00CD18DC">
        <w:rPr>
          <w:color w:val="000000"/>
          <w:sz w:val="24"/>
          <w:lang w:val="ro-RO"/>
        </w:rPr>
        <w:t xml:space="preserve"> (MWh)</w:t>
      </w:r>
    </w:p>
    <w:p w:rsidR="00DA1868" w:rsidRPr="00CD18DC" w:rsidRDefault="00876920" w:rsidP="00A74C57">
      <w:pPr>
        <w:spacing w:before="120" w:line="360" w:lineRule="auto"/>
        <w:ind w:firstLine="720"/>
        <w:jc w:val="both"/>
        <w:rPr>
          <w:rFonts w:ascii="TimesRomanR" w:hAnsi="TimesRomanR"/>
          <w:sz w:val="22"/>
          <w:szCs w:val="22"/>
        </w:rPr>
      </w:pPr>
      <w:r>
        <w:rPr>
          <w:position w:val="-28"/>
          <w:sz w:val="24"/>
          <w:szCs w:val="24"/>
        </w:rPr>
        <w:pict>
          <v:shape id="_x0000_i1080" type="#_x0000_t75" style="width:146.25pt;height:41.25pt">
            <v:imagedata r:id="rId77" o:title=""/>
          </v:shape>
        </w:pict>
      </w:r>
    </w:p>
    <w:p w:rsidR="00DA1868" w:rsidRPr="00CD18DC" w:rsidRDefault="00DA1868" w:rsidP="00A74C57">
      <w:pPr>
        <w:spacing w:before="120" w:line="360" w:lineRule="auto"/>
        <w:ind w:firstLine="720"/>
        <w:jc w:val="both"/>
        <w:rPr>
          <w:rFonts w:ascii="TimesRomanR" w:hAnsi="TimesRomanR"/>
          <w:sz w:val="22"/>
          <w:szCs w:val="22"/>
        </w:rPr>
      </w:pPr>
      <w:r w:rsidRPr="00CD18DC">
        <w:rPr>
          <w:rFonts w:ascii="TimesRomanR" w:eastAsia="Calibri" w:hAnsi="TimesRomanR"/>
          <w:sz w:val="24"/>
          <w:szCs w:val="24"/>
          <w:lang w:val="en-GB"/>
        </w:rPr>
        <w:t xml:space="preserve"> </w:t>
      </w:r>
    </w:p>
    <w:p w:rsidR="00DA1868" w:rsidRPr="00CD18DC" w:rsidRDefault="00DA1868" w:rsidP="00A74C57">
      <w:pPr>
        <w:spacing w:before="120" w:line="360" w:lineRule="auto"/>
        <w:ind w:firstLine="720"/>
        <w:jc w:val="both"/>
        <w:rPr>
          <w:rFonts w:eastAsia="Calibri"/>
          <w:sz w:val="24"/>
          <w:szCs w:val="24"/>
          <w:lang w:val="pt-BR"/>
        </w:rPr>
      </w:pPr>
      <w:r w:rsidRPr="00CD18DC">
        <w:rPr>
          <w:rFonts w:eastAsia="Calibri"/>
          <w:sz w:val="24"/>
          <w:szCs w:val="24"/>
          <w:lang w:val="pt-BR"/>
        </w:rPr>
        <w:t>(1</w:t>
      </w:r>
      <w:r w:rsidRPr="00CD18DC">
        <w:rPr>
          <w:rFonts w:eastAsia="Calibri"/>
          <w:sz w:val="24"/>
          <w:szCs w:val="24"/>
          <w:vertAlign w:val="superscript"/>
          <w:lang w:val="pt-BR"/>
        </w:rPr>
        <w:t>3</w:t>
      </w:r>
      <w:r w:rsidRPr="00CD18DC">
        <w:rPr>
          <w:rFonts w:eastAsia="Calibri"/>
          <w:sz w:val="24"/>
          <w:szCs w:val="24"/>
          <w:lang w:val="pt-BR"/>
        </w:rPr>
        <w:t>) Pentru configurațiile care nu îndeplinesc pentru energia electrică totală a configurație</w:t>
      </w:r>
      <w:r w:rsidR="004738CB" w:rsidRPr="00CD18DC">
        <w:rPr>
          <w:rFonts w:eastAsia="Calibri"/>
          <w:sz w:val="24"/>
          <w:szCs w:val="24"/>
          <w:lang w:val="pt-BR"/>
        </w:rPr>
        <w:t>i</w:t>
      </w:r>
      <w:r w:rsidRPr="00CD18DC">
        <w:rPr>
          <w:rFonts w:eastAsia="Calibri"/>
          <w:sz w:val="24"/>
          <w:szCs w:val="24"/>
          <w:lang w:val="pt-BR"/>
        </w:rPr>
        <w:t xml:space="preserve"> condiția impusă la art. 10 alin. (1) din Regulamentul de calificare a producției de energie electrică în cogenerare de înaltă eficiență și de verificare și monitorizare a consumului de combustibil și a producțiilor de energie electrică și energie termică utilă în cogenerare de înaltă eficiență, aprobat prin Ordinul președintelui ANRE nr. 114/2013, , nu se aplică prevederile alin. (1</w:t>
      </w:r>
      <w:r w:rsidRPr="00CD18DC">
        <w:rPr>
          <w:rFonts w:eastAsia="Calibri"/>
          <w:sz w:val="24"/>
          <w:szCs w:val="24"/>
          <w:vertAlign w:val="superscript"/>
          <w:lang w:val="pt-BR"/>
        </w:rPr>
        <w:t>1</w:t>
      </w:r>
      <w:r w:rsidR="00CC1143">
        <w:rPr>
          <w:rFonts w:eastAsia="Calibri"/>
          <w:sz w:val="24"/>
          <w:szCs w:val="24"/>
          <w:lang w:val="pt-BR"/>
        </w:rPr>
        <w:t>).</w:t>
      </w:r>
      <w:r w:rsidRPr="00CD18DC">
        <w:rPr>
          <w:rFonts w:eastAsia="Calibri"/>
          <w:bCs/>
          <w:sz w:val="24"/>
          <w:szCs w:val="24"/>
          <w:lang w:val="pt-BR"/>
        </w:rPr>
        <w:t>”</w:t>
      </w:r>
    </w:p>
    <w:p w:rsidR="00D61180" w:rsidRPr="00CD18DC" w:rsidRDefault="00B10133" w:rsidP="00A74C57">
      <w:pPr>
        <w:pStyle w:val="ListParagraph"/>
        <w:numPr>
          <w:ilvl w:val="0"/>
          <w:numId w:val="1"/>
        </w:numPr>
        <w:spacing w:before="120" w:line="360" w:lineRule="auto"/>
        <w:jc w:val="both"/>
        <w:rPr>
          <w:rFonts w:eastAsia="Calibri"/>
          <w:sz w:val="24"/>
          <w:szCs w:val="24"/>
          <w:lang w:val="ro-RO"/>
        </w:rPr>
      </w:pPr>
      <w:r w:rsidRPr="00CD18DC">
        <w:rPr>
          <w:rFonts w:eastAsia="Calibri"/>
          <w:sz w:val="24"/>
          <w:szCs w:val="24"/>
          <w:lang w:val="pt-BR"/>
        </w:rPr>
        <w:t>A</w:t>
      </w:r>
      <w:r w:rsidR="008934F4" w:rsidRPr="00CD18DC">
        <w:rPr>
          <w:rFonts w:eastAsia="Calibri"/>
          <w:sz w:val="24"/>
          <w:szCs w:val="24"/>
          <w:lang w:val="pt-BR"/>
        </w:rPr>
        <w:t xml:space="preserve">rt. 24 </w:t>
      </w:r>
      <w:r w:rsidRPr="00CD18DC">
        <w:rPr>
          <w:rFonts w:eastAsia="Calibri"/>
          <w:sz w:val="24"/>
          <w:szCs w:val="24"/>
          <w:lang w:val="pt-BR"/>
        </w:rPr>
        <w:t>se modifică și va avea următorul conținut:</w:t>
      </w:r>
    </w:p>
    <w:p w:rsidR="00DA1868" w:rsidRPr="00CD18DC" w:rsidRDefault="00B821DC" w:rsidP="00A74C57">
      <w:pPr>
        <w:tabs>
          <w:tab w:val="left" w:pos="851"/>
        </w:tabs>
        <w:spacing w:before="240" w:after="120" w:line="360" w:lineRule="auto"/>
        <w:jc w:val="both"/>
        <w:rPr>
          <w:rFonts w:eastAsia="Calibri"/>
          <w:position w:val="-36"/>
          <w:sz w:val="24"/>
          <w:szCs w:val="24"/>
          <w:lang w:val="pt-BR"/>
        </w:rPr>
      </w:pPr>
      <w:r w:rsidRPr="00CD18DC">
        <w:rPr>
          <w:rFonts w:eastAsia="Calibri"/>
          <w:position w:val="-38"/>
          <w:sz w:val="24"/>
          <w:szCs w:val="24"/>
          <w:lang w:val="pt-BR"/>
        </w:rPr>
        <w:lastRenderedPageBreak/>
        <w:t>”Art. 24. -</w:t>
      </w:r>
      <w:r w:rsidR="00A74C57" w:rsidRPr="00CD18DC">
        <w:rPr>
          <w:rFonts w:eastAsia="Calibri"/>
          <w:position w:val="-38"/>
          <w:sz w:val="24"/>
          <w:szCs w:val="24"/>
          <w:lang w:val="pt-BR"/>
        </w:rPr>
        <w:t xml:space="preserve"> </w:t>
      </w:r>
      <w:r w:rsidR="00DA1868" w:rsidRPr="00CD18DC">
        <w:rPr>
          <w:rFonts w:eastAsia="Calibri"/>
          <w:position w:val="-38"/>
          <w:sz w:val="24"/>
          <w:szCs w:val="24"/>
          <w:lang w:val="pt-BR"/>
        </w:rPr>
        <w:t xml:space="preserve">(1) Determinarea rentabilității bazei reglementate a activelor se realizează prin aplicarea </w:t>
      </w:r>
      <w:r w:rsidR="00DA1868" w:rsidRPr="00CD18DC">
        <w:rPr>
          <w:rFonts w:eastAsia="Calibri"/>
          <w:position w:val="-36"/>
          <w:sz w:val="24"/>
          <w:szCs w:val="24"/>
          <w:lang w:val="pt-BR"/>
        </w:rPr>
        <w:t>ratei maxime acceptabile a rentabilității la baza reglementat</w:t>
      </w:r>
      <w:r w:rsidR="00DA1868" w:rsidRPr="00CD18DC">
        <w:rPr>
          <w:rFonts w:eastAsia="Calibri"/>
          <w:position w:val="-36"/>
          <w:sz w:val="24"/>
          <w:szCs w:val="24"/>
          <w:lang w:val="ro-RO"/>
        </w:rPr>
        <w:t>ă</w:t>
      </w:r>
      <w:r w:rsidR="00DA1868" w:rsidRPr="00CD18DC">
        <w:rPr>
          <w:rFonts w:eastAsia="Calibri"/>
          <w:position w:val="-36"/>
          <w:sz w:val="24"/>
          <w:szCs w:val="24"/>
          <w:lang w:val="pt-BR"/>
        </w:rPr>
        <w:t xml:space="preserve"> medie a activelor din fiecare an al perioadei de evaluare a supracompensării, astfel:</w:t>
      </w:r>
    </w:p>
    <w:p w:rsidR="00DA1868" w:rsidRPr="00CD18DC" w:rsidRDefault="00876920" w:rsidP="00A74C57">
      <w:pPr>
        <w:spacing w:before="240" w:after="120" w:line="360" w:lineRule="auto"/>
        <w:jc w:val="both"/>
        <w:rPr>
          <w:rFonts w:eastAsia="Calibri"/>
          <w:position w:val="-22"/>
          <w:sz w:val="24"/>
          <w:szCs w:val="24"/>
          <w:lang w:val="pt-BR"/>
        </w:rPr>
      </w:pPr>
      <w:r>
        <w:rPr>
          <w:rFonts w:eastAsia="Calibri"/>
          <w:position w:val="-22"/>
          <w:sz w:val="24"/>
          <w:szCs w:val="24"/>
          <w:lang w:val="en-GB"/>
        </w:rPr>
        <w:pict>
          <v:shape id="_x0000_i1081" type="#_x0000_t75" style="width:102pt;height:24pt">
            <v:imagedata r:id="rId78" o:title=""/>
          </v:shape>
        </w:pict>
      </w:r>
      <w:r w:rsidR="00DA1868" w:rsidRPr="00CD18DC">
        <w:rPr>
          <w:rFonts w:eastAsia="Calibri"/>
          <w:position w:val="-22"/>
          <w:sz w:val="24"/>
          <w:szCs w:val="24"/>
          <w:lang w:val="pt-BR"/>
        </w:rPr>
        <w:t xml:space="preserve">   </w:t>
      </w:r>
      <w:r w:rsidR="00DA1868" w:rsidRPr="00CD18DC">
        <w:rPr>
          <w:rFonts w:eastAsia="Calibri"/>
          <w:sz w:val="24"/>
          <w:szCs w:val="24"/>
          <w:lang w:val="pt-BR"/>
        </w:rPr>
        <w:t>(lei);</w:t>
      </w:r>
    </w:p>
    <w:p w:rsidR="00DA1868" w:rsidRPr="00CD18DC" w:rsidRDefault="00876920" w:rsidP="00A74C57">
      <w:pPr>
        <w:spacing w:before="240" w:after="120" w:line="360" w:lineRule="auto"/>
        <w:jc w:val="both"/>
        <w:rPr>
          <w:rFonts w:eastAsia="Calibri"/>
          <w:sz w:val="24"/>
          <w:szCs w:val="24"/>
          <w:lang w:val="pt-BR"/>
        </w:rPr>
      </w:pPr>
      <w:r>
        <w:rPr>
          <w:rFonts w:eastAsia="Calibri"/>
          <w:position w:val="-22"/>
          <w:sz w:val="24"/>
          <w:szCs w:val="24"/>
          <w:lang w:val="en-GB"/>
        </w:rPr>
        <w:pict>
          <v:shape id="_x0000_i1082" type="#_x0000_t75" style="width:214.5pt;height:27pt">
            <v:imagedata r:id="rId79" o:title=""/>
          </v:shape>
        </w:pict>
      </w:r>
      <w:r w:rsidR="00DA1868" w:rsidRPr="00CD18DC">
        <w:rPr>
          <w:rFonts w:eastAsia="Calibri"/>
          <w:position w:val="-16"/>
          <w:sz w:val="24"/>
          <w:szCs w:val="24"/>
          <w:lang w:val="en-GB"/>
        </w:rPr>
        <w:t xml:space="preserve"> </w:t>
      </w:r>
      <w:r w:rsidR="00DA1868" w:rsidRPr="00CD18DC">
        <w:rPr>
          <w:rFonts w:eastAsia="Calibri"/>
          <w:sz w:val="24"/>
          <w:szCs w:val="24"/>
          <w:lang w:val="pt-BR"/>
        </w:rPr>
        <w:t>(lei),</w:t>
      </w:r>
    </w:p>
    <w:p w:rsidR="00DA1868" w:rsidRPr="00CD18DC" w:rsidRDefault="00DA1868" w:rsidP="00A74C57">
      <w:pPr>
        <w:spacing w:before="240" w:after="120" w:line="360" w:lineRule="auto"/>
        <w:jc w:val="both"/>
        <w:rPr>
          <w:rFonts w:eastAsia="Calibri"/>
          <w:position w:val="-16"/>
          <w:sz w:val="24"/>
          <w:szCs w:val="24"/>
          <w:lang w:val="pt-BR"/>
        </w:rPr>
      </w:pPr>
      <w:r w:rsidRPr="00CD18DC">
        <w:rPr>
          <w:rFonts w:eastAsia="Calibri"/>
          <w:position w:val="-16"/>
          <w:sz w:val="24"/>
          <w:szCs w:val="24"/>
          <w:lang w:val="pt-BR"/>
        </w:rPr>
        <w:t>unde:</w:t>
      </w:r>
      <w:r w:rsidRPr="00CD18DC">
        <w:rPr>
          <w:rFonts w:eastAsia="Calibri"/>
          <w:position w:val="-16"/>
          <w:sz w:val="24"/>
          <w:szCs w:val="24"/>
          <w:lang w:val="pt-BR"/>
        </w:rPr>
        <w:tab/>
      </w:r>
    </w:p>
    <w:p w:rsidR="00DA1868" w:rsidRPr="00CD18DC" w:rsidRDefault="00876920" w:rsidP="00A74C57">
      <w:pPr>
        <w:spacing w:before="240" w:after="120" w:line="360" w:lineRule="auto"/>
        <w:jc w:val="both"/>
        <w:rPr>
          <w:rFonts w:eastAsia="Calibri"/>
          <w:sz w:val="24"/>
          <w:szCs w:val="24"/>
          <w:lang w:val="pt-BR"/>
        </w:rPr>
      </w:pPr>
      <w:r>
        <w:rPr>
          <w:rFonts w:eastAsia="Calibri"/>
          <w:position w:val="-18"/>
          <w:sz w:val="24"/>
          <w:szCs w:val="24"/>
          <w:lang w:val="en-GB"/>
        </w:rPr>
        <w:pict>
          <v:shape id="_x0000_i1083" type="#_x0000_t75" style="width:18.75pt;height:24pt">
            <v:imagedata r:id="rId80" o:title=""/>
          </v:shape>
        </w:pict>
      </w:r>
      <w:r w:rsidR="00DA1868" w:rsidRPr="00CD18DC">
        <w:rPr>
          <w:rFonts w:eastAsia="Calibri"/>
          <w:position w:val="-22"/>
          <w:sz w:val="24"/>
          <w:szCs w:val="24"/>
          <w:lang w:val="pt-BR"/>
        </w:rPr>
        <w:t xml:space="preserve"> </w:t>
      </w:r>
      <w:r w:rsidR="00DA1868" w:rsidRPr="00CD18DC">
        <w:rPr>
          <w:rFonts w:eastAsia="Calibri"/>
          <w:sz w:val="24"/>
          <w:szCs w:val="24"/>
          <w:lang w:val="pt-BR"/>
        </w:rPr>
        <w:t>- rentabilitatea bazei reglementate a activelor (lei);</w:t>
      </w:r>
    </w:p>
    <w:p w:rsidR="00DA1868" w:rsidRPr="00CD18DC" w:rsidRDefault="00876920" w:rsidP="00A74C57">
      <w:pPr>
        <w:spacing w:before="240" w:after="120" w:line="360" w:lineRule="auto"/>
        <w:jc w:val="both"/>
        <w:rPr>
          <w:rFonts w:eastAsia="Calibri"/>
          <w:sz w:val="24"/>
          <w:szCs w:val="24"/>
          <w:lang w:val="en-GB"/>
        </w:rPr>
      </w:pPr>
      <w:r>
        <w:rPr>
          <w:rFonts w:eastAsia="Calibri"/>
          <w:position w:val="-14"/>
          <w:sz w:val="24"/>
          <w:szCs w:val="24"/>
          <w:lang w:val="en-GB"/>
        </w:rPr>
        <w:pict>
          <v:shape id="_x0000_i1084" type="#_x0000_t75" style="width:54pt;height:21pt">
            <v:imagedata r:id="rId81" o:title=""/>
          </v:shape>
        </w:pict>
      </w:r>
      <w:r w:rsidR="00DA1868" w:rsidRPr="00CD18DC">
        <w:rPr>
          <w:rFonts w:eastAsia="Calibri"/>
          <w:position w:val="-16"/>
          <w:sz w:val="24"/>
          <w:szCs w:val="24"/>
          <w:lang w:val="en-GB"/>
        </w:rPr>
        <w:t xml:space="preserve"> </w:t>
      </w:r>
      <w:r w:rsidR="00DA1868" w:rsidRPr="00CD18DC">
        <w:rPr>
          <w:rFonts w:eastAsia="Calibri"/>
          <w:sz w:val="24"/>
          <w:szCs w:val="24"/>
          <w:lang w:val="en-GB"/>
        </w:rPr>
        <w:t>- baza reglementată medie a activelor în fiecare an al perioadei de evaluare a supracompensării (lei);</w:t>
      </w:r>
    </w:p>
    <w:p w:rsidR="00DA1868" w:rsidRPr="00CD18DC" w:rsidRDefault="00876920" w:rsidP="00A74C57">
      <w:pPr>
        <w:spacing w:before="240" w:after="120" w:line="360" w:lineRule="auto"/>
        <w:jc w:val="both"/>
        <w:rPr>
          <w:rFonts w:eastAsia="Calibri"/>
          <w:position w:val="-14"/>
          <w:sz w:val="24"/>
          <w:szCs w:val="24"/>
          <w:lang w:val="en-GB"/>
        </w:rPr>
      </w:pPr>
      <w:r>
        <w:rPr>
          <w:rFonts w:eastAsia="Calibri"/>
          <w:position w:val="-14"/>
          <w:sz w:val="24"/>
          <w:szCs w:val="24"/>
          <w:lang w:val="en-GB"/>
        </w:rPr>
        <w:pict>
          <v:shape id="_x0000_i1085" type="#_x0000_t75" style="width:226.5pt;height:21.75pt">
            <v:imagedata r:id="rId82" o:title=""/>
          </v:shape>
        </w:pict>
      </w:r>
      <w:r w:rsidR="00DA1868" w:rsidRPr="00CD18DC">
        <w:rPr>
          <w:rFonts w:eastAsia="Calibri"/>
          <w:position w:val="-14"/>
          <w:sz w:val="24"/>
          <w:szCs w:val="24"/>
          <w:lang w:val="en-GB"/>
        </w:rPr>
        <w:t xml:space="preserve"> </w:t>
      </w:r>
      <w:r w:rsidR="00DA1868" w:rsidRPr="00CD18DC">
        <w:rPr>
          <w:rFonts w:eastAsia="Calibri"/>
          <w:sz w:val="24"/>
          <w:szCs w:val="24"/>
          <w:lang w:val="pt-BR"/>
        </w:rPr>
        <w:t>(lei),</w:t>
      </w:r>
    </w:p>
    <w:p w:rsidR="00DA1868" w:rsidRPr="00CD18DC" w:rsidRDefault="00DA1868" w:rsidP="00A74C57">
      <w:pPr>
        <w:spacing w:before="240" w:after="120" w:line="360" w:lineRule="auto"/>
        <w:jc w:val="both"/>
        <w:rPr>
          <w:rFonts w:eastAsia="Calibri"/>
          <w:position w:val="-14"/>
          <w:sz w:val="24"/>
          <w:szCs w:val="24"/>
          <w:lang w:val="pt-BR"/>
        </w:rPr>
      </w:pPr>
      <w:r w:rsidRPr="00CD18DC">
        <w:rPr>
          <w:rFonts w:eastAsia="Calibri"/>
          <w:position w:val="-14"/>
          <w:sz w:val="24"/>
          <w:szCs w:val="24"/>
          <w:lang w:val="pt-BR"/>
        </w:rPr>
        <w:t>unde:</w:t>
      </w:r>
    </w:p>
    <w:p w:rsidR="00DA1868"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86" type="#_x0000_t75" style="width:51.75pt;height:21pt">
            <v:imagedata r:id="rId83" o:title=""/>
          </v:shape>
        </w:pict>
      </w:r>
      <w:r w:rsidR="00DA1868" w:rsidRPr="00CD18DC">
        <w:rPr>
          <w:rFonts w:eastAsia="Calibri"/>
          <w:position w:val="-16"/>
          <w:sz w:val="24"/>
          <w:szCs w:val="24"/>
          <w:lang w:val="pt-BR"/>
        </w:rPr>
        <w:t xml:space="preserve"> </w:t>
      </w:r>
      <w:r w:rsidR="00DA1868" w:rsidRPr="00CD18DC">
        <w:rPr>
          <w:rFonts w:eastAsia="Calibri"/>
          <w:sz w:val="24"/>
          <w:szCs w:val="24"/>
          <w:lang w:val="pt-BR"/>
        </w:rPr>
        <w:t>- valoarea BAR la începutul fiecărui an al perioadei de evaluare a supracompensării</w:t>
      </w:r>
      <w:r w:rsidR="00DA1868" w:rsidRPr="00CD18DC">
        <w:rPr>
          <w:rFonts w:eastAsia="Calibri"/>
          <w:position w:val="-16"/>
          <w:sz w:val="24"/>
          <w:szCs w:val="24"/>
          <w:lang w:val="pt-BR"/>
        </w:rPr>
        <w:t xml:space="preserve"> </w:t>
      </w:r>
      <w:r w:rsidR="00DA1868" w:rsidRPr="00CD18DC">
        <w:rPr>
          <w:rFonts w:eastAsia="Calibri"/>
          <w:sz w:val="24"/>
          <w:szCs w:val="24"/>
          <w:lang w:val="pt-BR"/>
        </w:rPr>
        <w:t>(lei);</w:t>
      </w:r>
    </w:p>
    <w:p w:rsidR="00DA1868"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pict>
          <v:shape id="_x0000_i1087" type="#_x0000_t75" style="width:53.25pt;height:21pt">
            <v:imagedata r:id="rId84" o:title=""/>
          </v:shape>
        </w:pict>
      </w:r>
      <w:r w:rsidR="00DA1868" w:rsidRPr="00CD18DC">
        <w:rPr>
          <w:rFonts w:eastAsia="Calibri"/>
          <w:position w:val="-16"/>
          <w:sz w:val="24"/>
          <w:szCs w:val="24"/>
          <w:lang w:val="pt-BR"/>
        </w:rPr>
        <w:t xml:space="preserve"> </w:t>
      </w:r>
      <w:r w:rsidR="00DA1868" w:rsidRPr="00CD18DC">
        <w:rPr>
          <w:rFonts w:eastAsia="Calibri"/>
          <w:sz w:val="24"/>
          <w:szCs w:val="24"/>
          <w:lang w:val="pt-BR"/>
        </w:rPr>
        <w:t>- valoarea BAR la sfârșitul fiecărui an al perioadei de evaluare a supracompensării (lei);</w:t>
      </w:r>
    </w:p>
    <w:p w:rsidR="00DA1868" w:rsidRPr="00CD18DC" w:rsidRDefault="00876920" w:rsidP="00A74C57">
      <w:pPr>
        <w:spacing w:before="240" w:after="120" w:line="360" w:lineRule="auto"/>
        <w:jc w:val="both"/>
        <w:rPr>
          <w:rFonts w:eastAsia="Calibri"/>
          <w:position w:val="-6"/>
          <w:sz w:val="24"/>
          <w:szCs w:val="24"/>
          <w:lang w:val="pt-BR"/>
        </w:rPr>
      </w:pPr>
      <w:r>
        <w:rPr>
          <w:rFonts w:eastAsia="Calibri"/>
          <w:position w:val="-14"/>
          <w:sz w:val="24"/>
          <w:szCs w:val="24"/>
          <w:lang w:val="en-GB"/>
        </w:rPr>
        <w:pict>
          <v:shape id="_x0000_i1088" type="#_x0000_t75" style="width:24pt;height:21.75pt">
            <v:imagedata r:id="rId85" o:title=""/>
          </v:shape>
        </w:pict>
      </w:r>
      <w:r w:rsidR="00DA1868" w:rsidRPr="00CD18DC">
        <w:rPr>
          <w:rFonts w:eastAsia="Calibri"/>
          <w:position w:val="-14"/>
          <w:sz w:val="24"/>
          <w:szCs w:val="24"/>
          <w:lang w:val="pt-BR"/>
        </w:rPr>
        <w:t xml:space="preserve">  </w:t>
      </w:r>
      <w:r w:rsidR="00DA1868" w:rsidRPr="00CD18DC">
        <w:rPr>
          <w:rFonts w:eastAsia="Calibri"/>
          <w:sz w:val="24"/>
          <w:szCs w:val="24"/>
          <w:lang w:val="pt-BR"/>
        </w:rPr>
        <w:t>-</w:t>
      </w:r>
      <w:r w:rsidR="00DA1868" w:rsidRPr="00CD18DC">
        <w:rPr>
          <w:rFonts w:eastAsia="Calibri"/>
          <w:position w:val="-14"/>
          <w:sz w:val="24"/>
          <w:szCs w:val="24"/>
          <w:lang w:val="pt-BR"/>
        </w:rPr>
        <w:t xml:space="preserve"> </w:t>
      </w:r>
      <w:r w:rsidR="00DA1868" w:rsidRPr="00CD18DC">
        <w:rPr>
          <w:rFonts w:eastAsia="Calibri"/>
          <w:position w:val="-6"/>
          <w:sz w:val="24"/>
          <w:szCs w:val="24"/>
          <w:lang w:val="pt-BR"/>
        </w:rPr>
        <w:t>intrările de active în cursul fiecărui an al perioadei de evaluare a supracompensării (lei);</w:t>
      </w:r>
    </w:p>
    <w:p w:rsidR="00DA1868" w:rsidRPr="00CD18DC" w:rsidRDefault="00876920" w:rsidP="00A74C57">
      <w:pPr>
        <w:spacing w:before="240" w:after="120" w:line="360" w:lineRule="auto"/>
        <w:jc w:val="both"/>
        <w:rPr>
          <w:rFonts w:eastAsia="Calibri"/>
          <w:position w:val="-6"/>
          <w:sz w:val="24"/>
          <w:szCs w:val="24"/>
          <w:lang w:val="pt-BR"/>
        </w:rPr>
      </w:pPr>
      <w:r>
        <w:rPr>
          <w:rFonts w:eastAsia="Calibri"/>
          <w:position w:val="-14"/>
          <w:sz w:val="24"/>
          <w:szCs w:val="24"/>
          <w:lang w:val="en-GB"/>
        </w:rPr>
        <w:pict>
          <v:shape id="_x0000_i1089" type="#_x0000_t75" style="width:28.5pt;height:21.75pt">
            <v:imagedata r:id="rId86" o:title=""/>
          </v:shape>
        </w:pict>
      </w:r>
      <w:r w:rsidR="00DA1868" w:rsidRPr="00CD18DC">
        <w:rPr>
          <w:rFonts w:eastAsia="Calibri"/>
          <w:position w:val="-14"/>
          <w:sz w:val="24"/>
          <w:szCs w:val="24"/>
          <w:lang w:val="en-GB"/>
        </w:rPr>
        <w:t xml:space="preserve"> </w:t>
      </w:r>
      <w:r w:rsidR="00DA1868" w:rsidRPr="00CD18DC">
        <w:rPr>
          <w:rFonts w:eastAsia="Calibri"/>
          <w:sz w:val="24"/>
          <w:szCs w:val="24"/>
          <w:lang w:val="pt-BR"/>
        </w:rPr>
        <w:t>-</w:t>
      </w:r>
      <w:r w:rsidR="00DA1868" w:rsidRPr="00CD18DC">
        <w:rPr>
          <w:rFonts w:eastAsia="Calibri"/>
          <w:position w:val="-14"/>
          <w:sz w:val="24"/>
          <w:szCs w:val="24"/>
          <w:lang w:val="pt-BR"/>
        </w:rPr>
        <w:t xml:space="preserve"> </w:t>
      </w:r>
      <w:r w:rsidR="00DA1868" w:rsidRPr="00CD18DC">
        <w:rPr>
          <w:rFonts w:eastAsia="Calibri"/>
          <w:position w:val="-6"/>
          <w:sz w:val="24"/>
          <w:szCs w:val="24"/>
          <w:lang w:val="pt-BR"/>
        </w:rPr>
        <w:t>ieșirile de active în cursul fiecărui an al perioadei de evaluare a supracompensării (lei);</w:t>
      </w:r>
    </w:p>
    <w:p w:rsidR="00DA1868" w:rsidRPr="00CD18DC" w:rsidRDefault="00876920" w:rsidP="00A74C57">
      <w:pPr>
        <w:spacing w:before="240" w:after="120" w:line="360" w:lineRule="auto"/>
        <w:jc w:val="both"/>
        <w:rPr>
          <w:rFonts w:eastAsia="Calibri"/>
          <w:sz w:val="24"/>
          <w:szCs w:val="24"/>
          <w:lang w:val="pt-BR"/>
        </w:rPr>
      </w:pPr>
      <w:r>
        <w:rPr>
          <w:rFonts w:eastAsia="Calibri"/>
          <w:position w:val="-14"/>
          <w:sz w:val="24"/>
          <w:szCs w:val="24"/>
          <w:lang w:val="en-GB"/>
        </w:rPr>
        <w:lastRenderedPageBreak/>
        <w:pict>
          <v:shape id="_x0000_i1090" type="#_x0000_t75" style="width:36pt;height:21pt">
            <v:imagedata r:id="rId87" o:title=""/>
          </v:shape>
        </w:pict>
      </w:r>
      <w:r w:rsidR="00DA1868" w:rsidRPr="00CD18DC">
        <w:rPr>
          <w:rFonts w:eastAsia="Calibri"/>
          <w:position w:val="-16"/>
          <w:sz w:val="24"/>
          <w:szCs w:val="24"/>
          <w:lang w:val="pt-BR"/>
        </w:rPr>
        <w:t xml:space="preserve"> </w:t>
      </w:r>
      <w:r w:rsidR="00DA1868" w:rsidRPr="00CD18DC">
        <w:rPr>
          <w:rFonts w:eastAsia="Calibri"/>
          <w:sz w:val="24"/>
          <w:szCs w:val="24"/>
          <w:lang w:val="pt-BR"/>
        </w:rPr>
        <w:t xml:space="preserve">- amortizarea anuală aferentă activelor ce compun </w:t>
      </w:r>
      <w:r>
        <w:rPr>
          <w:rFonts w:eastAsia="Calibri"/>
          <w:position w:val="-14"/>
          <w:sz w:val="24"/>
          <w:szCs w:val="24"/>
          <w:lang w:val="en-GB"/>
        </w:rPr>
        <w:pict>
          <v:shape id="_x0000_i1091" type="#_x0000_t75" style="width:51.75pt;height:21pt">
            <v:imagedata r:id="rId83" o:title=""/>
          </v:shape>
        </w:pict>
      </w:r>
      <w:r w:rsidR="00DA1868" w:rsidRPr="00CD18DC">
        <w:rPr>
          <w:rFonts w:eastAsia="Calibri"/>
          <w:sz w:val="24"/>
          <w:szCs w:val="24"/>
          <w:lang w:val="pt-BR"/>
        </w:rPr>
        <w:t xml:space="preserve"> , la care se adaugă cea aferentă activelor puse în/scoase din funcțiune în fiecare an al perioadei de evaluare a supracompensării (lei);</w:t>
      </w:r>
    </w:p>
    <w:p w:rsidR="00DA1868" w:rsidRPr="00CD18DC" w:rsidRDefault="00876920" w:rsidP="00A74C57">
      <w:pPr>
        <w:spacing w:before="240" w:after="120" w:line="360" w:lineRule="auto"/>
        <w:jc w:val="both"/>
        <w:rPr>
          <w:rFonts w:eastAsia="Calibri"/>
          <w:sz w:val="24"/>
          <w:szCs w:val="24"/>
          <w:lang w:val="pt-BR"/>
        </w:rPr>
      </w:pPr>
      <w:r>
        <w:rPr>
          <w:rFonts w:eastAsia="Calibri"/>
          <w:position w:val="-18"/>
          <w:sz w:val="24"/>
          <w:szCs w:val="24"/>
          <w:lang w:val="en-GB"/>
        </w:rPr>
        <w:pict>
          <v:shape id="_x0000_i1092" type="#_x0000_t75" style="width:15pt;height:23.25pt">
            <v:imagedata r:id="rId88" o:title=""/>
          </v:shape>
        </w:pict>
      </w:r>
      <w:r w:rsidR="00DA1868" w:rsidRPr="00CD18DC">
        <w:rPr>
          <w:rFonts w:eastAsia="Calibri"/>
          <w:position w:val="-36"/>
          <w:sz w:val="24"/>
          <w:szCs w:val="24"/>
          <w:lang w:val="pt-BR"/>
        </w:rPr>
        <w:t xml:space="preserve"> </w:t>
      </w:r>
      <w:r w:rsidR="00DA1868" w:rsidRPr="00CD18DC">
        <w:rPr>
          <w:rFonts w:eastAsia="Calibri"/>
          <w:sz w:val="24"/>
          <w:szCs w:val="24"/>
          <w:lang w:val="pt-BR"/>
        </w:rPr>
        <w:t xml:space="preserve">- </w:t>
      </w:r>
      <w:r w:rsidR="00DA1868" w:rsidRPr="00CD18DC">
        <w:rPr>
          <w:rFonts w:eastAsia="Calibri"/>
          <w:sz w:val="24"/>
          <w:szCs w:val="24"/>
        </w:rPr>
        <w:t>rata rentabilităţii în valori reale, înainte de impozitare, de cel mult 0,09 (adică 9%)</w:t>
      </w:r>
      <w:r w:rsidR="00DA1868" w:rsidRPr="00CD18DC">
        <w:rPr>
          <w:rFonts w:eastAsia="Calibri"/>
          <w:sz w:val="24"/>
          <w:szCs w:val="24"/>
          <w:lang w:val="pt-BR"/>
        </w:rPr>
        <w:t>, conform HG nr. 1215/2009.</w:t>
      </w:r>
    </w:p>
    <w:p w:rsidR="00DA1868" w:rsidRPr="00CD18DC" w:rsidRDefault="00DA1868" w:rsidP="00A74C57">
      <w:pPr>
        <w:spacing w:before="240" w:after="120" w:line="360" w:lineRule="auto"/>
        <w:jc w:val="both"/>
        <w:rPr>
          <w:rFonts w:eastAsia="Calibri"/>
          <w:sz w:val="24"/>
          <w:szCs w:val="24"/>
          <w:lang w:val="ro-RO"/>
        </w:rPr>
      </w:pPr>
      <w:r w:rsidRPr="00CD18DC">
        <w:rPr>
          <w:rFonts w:eastAsia="Calibri"/>
          <w:sz w:val="24"/>
          <w:szCs w:val="24"/>
          <w:lang w:val="ro-RO"/>
        </w:rPr>
        <w:t>(2) La determinarea bazei reglementate a activelor nu se iau în considerare:</w:t>
      </w:r>
    </w:p>
    <w:p w:rsidR="00DA1868" w:rsidRPr="00CD18DC" w:rsidRDefault="00DA1868" w:rsidP="00A74C57">
      <w:pPr>
        <w:numPr>
          <w:ilvl w:val="0"/>
          <w:numId w:val="4"/>
        </w:numPr>
        <w:spacing w:before="240" w:after="120" w:line="360" w:lineRule="auto"/>
        <w:jc w:val="both"/>
        <w:rPr>
          <w:rFonts w:eastAsia="Calibri"/>
          <w:sz w:val="24"/>
          <w:szCs w:val="24"/>
          <w:lang w:val="ro-RO"/>
        </w:rPr>
      </w:pPr>
      <w:r w:rsidRPr="00CD18DC">
        <w:rPr>
          <w:rFonts w:eastAsia="Calibri"/>
          <w:sz w:val="24"/>
          <w:szCs w:val="24"/>
          <w:lang w:val="ro-RO"/>
        </w:rPr>
        <w:t xml:space="preserve">mijloacele fixe care nu aparțin producătorului și, deci, nu se supun amortizării; </w:t>
      </w:r>
    </w:p>
    <w:p w:rsidR="00DA1868" w:rsidRPr="00CD18DC" w:rsidRDefault="00DA1868" w:rsidP="00A74C57">
      <w:pPr>
        <w:numPr>
          <w:ilvl w:val="0"/>
          <w:numId w:val="4"/>
        </w:numPr>
        <w:spacing w:before="240" w:after="120" w:line="360" w:lineRule="auto"/>
        <w:jc w:val="both"/>
        <w:rPr>
          <w:rFonts w:eastAsia="Calibri"/>
          <w:sz w:val="24"/>
          <w:szCs w:val="24"/>
          <w:lang w:val="ro-RO"/>
        </w:rPr>
      </w:pPr>
      <w:r w:rsidRPr="00CD18DC">
        <w:rPr>
          <w:rFonts w:eastAsia="Calibri"/>
          <w:sz w:val="24"/>
          <w:szCs w:val="24"/>
          <w:lang w:val="ro-RO"/>
        </w:rPr>
        <w:t>mijloacele fixe realizate pe baza subvențiilor și/sau ajutoarelor primite prin orice alt ajutor acordat în afara schemei de sprijin de tip bonus.</w:t>
      </w:r>
    </w:p>
    <w:p w:rsidR="00DA1868" w:rsidRPr="00CD18DC" w:rsidRDefault="00DA1868" w:rsidP="00A74C57">
      <w:pPr>
        <w:spacing w:before="240" w:after="120" w:line="360" w:lineRule="auto"/>
        <w:jc w:val="both"/>
        <w:rPr>
          <w:rFonts w:eastAsia="Calibri"/>
          <w:sz w:val="24"/>
          <w:szCs w:val="24"/>
          <w:lang w:val="ro-RO"/>
        </w:rPr>
      </w:pPr>
      <w:r w:rsidRPr="00CD18DC">
        <w:rPr>
          <w:rFonts w:eastAsia="Calibri"/>
          <w:sz w:val="24"/>
          <w:szCs w:val="24"/>
          <w:lang w:val="ro-RO"/>
        </w:rPr>
        <w:t>(2</w:t>
      </w:r>
      <w:r w:rsidRPr="00CD18DC">
        <w:rPr>
          <w:rFonts w:eastAsia="Calibri"/>
          <w:sz w:val="24"/>
          <w:szCs w:val="24"/>
          <w:vertAlign w:val="superscript"/>
          <w:lang w:val="ro-RO"/>
        </w:rPr>
        <w:t>1</w:t>
      </w:r>
      <w:r w:rsidRPr="00CD18DC">
        <w:rPr>
          <w:rFonts w:eastAsia="Calibri"/>
          <w:sz w:val="24"/>
          <w:szCs w:val="24"/>
          <w:lang w:val="ro-RO"/>
        </w:rPr>
        <w:t>) Baza reglementată a activelor poate fi modificată de producător conform prevederilor legale în urma unei reevaluări numai în cazul în care reevaluarea este efectuată de evaluatori autorizaţi conform legii, membri ai unui organism profesional în domeniu.</w:t>
      </w:r>
    </w:p>
    <w:p w:rsidR="00DA1868" w:rsidRPr="00CD18DC" w:rsidRDefault="00DA1868" w:rsidP="00A74C57">
      <w:pPr>
        <w:spacing w:before="240" w:after="120" w:line="360" w:lineRule="auto"/>
        <w:jc w:val="both"/>
        <w:rPr>
          <w:rFonts w:eastAsia="Calibri"/>
          <w:sz w:val="24"/>
          <w:szCs w:val="24"/>
          <w:lang w:val="ro-RO"/>
        </w:rPr>
      </w:pPr>
      <w:r w:rsidRPr="00CD18DC">
        <w:rPr>
          <w:rFonts w:eastAsia="Calibri"/>
          <w:sz w:val="24"/>
          <w:szCs w:val="24"/>
          <w:lang w:val="ro-RO"/>
        </w:rPr>
        <w:t xml:space="preserve">(3) Baza reglementată medie a activelor, definită la alin. (1), se va determina distinct pentru capacitățile de producere în cogenerare care accesează schema de sprijin, pentru capacitățile de producere în cogenerare care nu accesează schema de sprijin, pentru capacitățile de producere separată și pentru activele comune capacităților de producere. </w:t>
      </w:r>
    </w:p>
    <w:p w:rsidR="00B10133" w:rsidRPr="00CD18DC" w:rsidRDefault="00DA1868" w:rsidP="00A74C57">
      <w:pPr>
        <w:spacing w:after="120" w:line="360" w:lineRule="auto"/>
        <w:jc w:val="both"/>
        <w:rPr>
          <w:rFonts w:eastAsia="Calibri"/>
          <w:sz w:val="24"/>
          <w:szCs w:val="24"/>
          <w:lang w:val="ro-RO"/>
        </w:rPr>
      </w:pPr>
      <w:r w:rsidRPr="00CD18DC">
        <w:rPr>
          <w:rFonts w:eastAsia="Calibri"/>
          <w:sz w:val="24"/>
          <w:szCs w:val="24"/>
          <w:lang w:val="pt-BR"/>
        </w:rPr>
        <w:t xml:space="preserve">(4) Rentabilitatea pentru producerea în cogenerare de înaltă eficiență </w:t>
      </w:r>
      <w:r w:rsidR="00876920">
        <w:rPr>
          <w:rFonts w:eastAsia="Calibri"/>
          <w:position w:val="-18"/>
          <w:sz w:val="24"/>
          <w:szCs w:val="24"/>
          <w:lang w:val="en-GB"/>
        </w:rPr>
        <w:pict>
          <v:shape id="_x0000_i1093" type="#_x0000_t75" style="width:38.25pt;height:24pt">
            <v:imagedata r:id="rId89" o:title=""/>
          </v:shape>
        </w:pict>
      </w:r>
      <w:r w:rsidRPr="00CD18DC">
        <w:rPr>
          <w:rFonts w:eastAsia="Calibri"/>
          <w:sz w:val="24"/>
          <w:szCs w:val="24"/>
          <w:lang w:val="pt-BR"/>
        </w:rPr>
        <w:t xml:space="preserve">se determină utilizând </w:t>
      </w:r>
      <w:r w:rsidRPr="00CD18DC">
        <w:rPr>
          <w:rFonts w:eastAsia="Calibri"/>
          <w:sz w:val="24"/>
          <w:szCs w:val="24"/>
          <w:lang w:val="ro-RO"/>
        </w:rPr>
        <w:t xml:space="preserve">baza reglementată medie a activelor aferente capacităților de producere în cogenerare care accesează schema de sprijin și cea aferentă activelor comune, ajustate proporțional cu cantitățile de energie electrică și termică livrate în cogenerare de înaltă eficiență, la care se aplică </w:t>
      </w:r>
      <w:r w:rsidRPr="00CD18DC">
        <w:rPr>
          <w:rFonts w:eastAsia="Calibri"/>
          <w:sz w:val="24"/>
          <w:szCs w:val="24"/>
          <w:lang w:val="pt-BR"/>
        </w:rPr>
        <w:t>rata rentabilității definită la alin. (1)</w:t>
      </w:r>
      <w:r w:rsidRPr="00CD18DC">
        <w:rPr>
          <w:rFonts w:eastAsia="Calibri"/>
          <w:sz w:val="24"/>
          <w:szCs w:val="24"/>
          <w:lang w:val="ro-RO"/>
        </w:rPr>
        <w:t>.</w:t>
      </w:r>
      <w:r w:rsidR="00CC1143">
        <w:rPr>
          <w:rFonts w:eastAsia="Calibri"/>
          <w:sz w:val="24"/>
          <w:szCs w:val="24"/>
          <w:lang w:val="ro-RO"/>
        </w:rPr>
        <w:t>”</w:t>
      </w:r>
    </w:p>
    <w:p w:rsidR="00D61180" w:rsidRPr="00CD18DC" w:rsidRDefault="008D3CE6" w:rsidP="00A74C57">
      <w:pPr>
        <w:pStyle w:val="ListParagraph"/>
        <w:numPr>
          <w:ilvl w:val="0"/>
          <w:numId w:val="1"/>
        </w:numPr>
        <w:spacing w:before="120" w:line="360" w:lineRule="auto"/>
        <w:jc w:val="both"/>
        <w:rPr>
          <w:rFonts w:eastAsia="Calibri"/>
          <w:sz w:val="24"/>
          <w:szCs w:val="24"/>
          <w:lang w:val="ro-RO"/>
        </w:rPr>
      </w:pPr>
      <w:r w:rsidRPr="00CD18DC">
        <w:rPr>
          <w:rFonts w:eastAsia="Calibri"/>
          <w:sz w:val="24"/>
          <w:szCs w:val="24"/>
          <w:lang w:val="ro-RO"/>
        </w:rPr>
        <w:t>Art. 26 alin. (1) se modifică și va avea următorul conținut:</w:t>
      </w:r>
    </w:p>
    <w:p w:rsidR="00A74C57" w:rsidRPr="00CD18DC" w:rsidRDefault="008D3CE6" w:rsidP="00A74C57">
      <w:pPr>
        <w:tabs>
          <w:tab w:val="left" w:pos="851"/>
        </w:tabs>
        <w:spacing w:before="240" w:after="120" w:line="360" w:lineRule="auto"/>
        <w:jc w:val="both"/>
        <w:rPr>
          <w:rFonts w:eastAsia="Calibri"/>
          <w:sz w:val="24"/>
          <w:szCs w:val="24"/>
          <w:lang w:val="pt-BR"/>
        </w:rPr>
      </w:pPr>
      <w:r w:rsidRPr="00CD18DC">
        <w:rPr>
          <w:rFonts w:eastAsia="Calibri"/>
          <w:sz w:val="24"/>
          <w:szCs w:val="24"/>
          <w:lang w:val="pt-BR"/>
        </w:rPr>
        <w:t xml:space="preserve">”(1) </w:t>
      </w:r>
      <w:r w:rsidR="00A74C57" w:rsidRPr="00CD18DC">
        <w:rPr>
          <w:rFonts w:eastAsia="Calibri"/>
          <w:sz w:val="24"/>
          <w:szCs w:val="24"/>
          <w:lang w:val="pt-BR"/>
        </w:rPr>
        <w:t>Valoarea supracompensării constatate pentru un producător, actualizată cu dobânda de referință, aferentă perioadei de evaluare a supracompensării, stabilită de Comisia Europeană pentru România, se aprobă prin decizie a președintelui ANRE până la data de 31 martie a anului următor perioadei de evaluare a supracompensării.”</w:t>
      </w:r>
    </w:p>
    <w:p w:rsidR="00A74C57" w:rsidRPr="00CD18DC" w:rsidRDefault="00A74C57" w:rsidP="00A74C57">
      <w:pPr>
        <w:pStyle w:val="ListParagraph"/>
        <w:numPr>
          <w:ilvl w:val="0"/>
          <w:numId w:val="1"/>
        </w:numPr>
        <w:spacing w:before="120" w:line="360" w:lineRule="auto"/>
        <w:jc w:val="both"/>
        <w:rPr>
          <w:rFonts w:eastAsia="Calibri"/>
          <w:sz w:val="24"/>
          <w:szCs w:val="24"/>
          <w:lang w:val="ro-RO"/>
        </w:rPr>
      </w:pPr>
      <w:r w:rsidRPr="00CD18DC">
        <w:rPr>
          <w:rFonts w:eastAsia="Calibri"/>
          <w:sz w:val="24"/>
          <w:szCs w:val="24"/>
          <w:lang w:val="pt-BR"/>
        </w:rPr>
        <w:lastRenderedPageBreak/>
        <w:t>La Art. 26, dup</w:t>
      </w:r>
      <w:r w:rsidRPr="00CD18DC">
        <w:rPr>
          <w:rFonts w:eastAsia="Calibri"/>
          <w:sz w:val="24"/>
          <w:szCs w:val="24"/>
          <w:lang w:val="ro-RO"/>
        </w:rPr>
        <w:t xml:space="preserve">ă alin. (3), se introduce un alineat nou, </w:t>
      </w:r>
      <w:r w:rsidR="00704F1B" w:rsidRPr="00CD18DC">
        <w:rPr>
          <w:rFonts w:eastAsia="Calibri"/>
          <w:sz w:val="24"/>
          <w:szCs w:val="24"/>
          <w:lang w:val="ro-RO"/>
        </w:rPr>
        <w:t xml:space="preserve">alin. </w:t>
      </w:r>
      <w:r w:rsidRPr="00CD18DC">
        <w:rPr>
          <w:rFonts w:eastAsia="Calibri"/>
          <w:sz w:val="24"/>
          <w:szCs w:val="24"/>
          <w:lang w:val="ro-RO"/>
        </w:rPr>
        <w:t>(4), cu următorul conținut:</w:t>
      </w:r>
    </w:p>
    <w:p w:rsidR="008D3CE6" w:rsidRPr="00CD18DC" w:rsidRDefault="00A74C57" w:rsidP="00A74C57">
      <w:pPr>
        <w:spacing w:line="360" w:lineRule="auto"/>
        <w:jc w:val="both"/>
        <w:rPr>
          <w:rFonts w:eastAsia="Calibri"/>
          <w:sz w:val="24"/>
          <w:szCs w:val="24"/>
          <w:lang w:val="pt-BR"/>
        </w:rPr>
      </w:pPr>
      <w:r w:rsidRPr="00CD18DC">
        <w:rPr>
          <w:rFonts w:eastAsia="Calibri"/>
          <w:sz w:val="24"/>
          <w:szCs w:val="24"/>
          <w:lang w:val="pt-BR"/>
        </w:rPr>
        <w:t xml:space="preserve">”(4) În termen de 15 zile lucrătoare de la emiterea deciziei privind aprobarea valorii supracompensării, ANRE transmite </w:t>
      </w:r>
      <w:r w:rsidR="00B238C3" w:rsidRPr="00CD18DC">
        <w:rPr>
          <w:rFonts w:eastAsia="Calibri"/>
          <w:sz w:val="24"/>
          <w:szCs w:val="24"/>
          <w:lang w:val="pt-BR"/>
        </w:rPr>
        <w:t xml:space="preserve">producătorilor pentru care s-a determinat supracompensare </w:t>
      </w:r>
      <w:r w:rsidRPr="00CD18DC">
        <w:rPr>
          <w:rFonts w:eastAsia="Calibri"/>
          <w:sz w:val="24"/>
          <w:szCs w:val="24"/>
          <w:lang w:val="pt-BR"/>
        </w:rPr>
        <w:t>datele care au stat la baza determinării supracompensării, conform Anexei nr. 4.”</w:t>
      </w:r>
    </w:p>
    <w:p w:rsidR="007B524E" w:rsidRPr="00CD18DC" w:rsidRDefault="007B524E" w:rsidP="00A74C57">
      <w:pPr>
        <w:pStyle w:val="ListParagraph"/>
        <w:numPr>
          <w:ilvl w:val="0"/>
          <w:numId w:val="1"/>
        </w:numPr>
        <w:spacing w:before="120" w:line="360" w:lineRule="auto"/>
        <w:jc w:val="both"/>
        <w:rPr>
          <w:rFonts w:eastAsia="Calibri"/>
          <w:sz w:val="24"/>
          <w:szCs w:val="24"/>
          <w:lang w:val="pt-BR"/>
        </w:rPr>
      </w:pPr>
      <w:r w:rsidRPr="00CD18DC">
        <w:rPr>
          <w:rFonts w:eastAsia="Calibri"/>
          <w:sz w:val="24"/>
          <w:szCs w:val="24"/>
          <w:lang w:val="pt-BR"/>
        </w:rPr>
        <w:t>Art. 31 se modifică și va avea următorul conținut:</w:t>
      </w:r>
    </w:p>
    <w:p w:rsidR="007B524E" w:rsidRPr="00CD18DC" w:rsidRDefault="007B524E" w:rsidP="00A74C57">
      <w:pPr>
        <w:tabs>
          <w:tab w:val="left" w:pos="851"/>
        </w:tabs>
        <w:spacing w:before="240" w:after="120" w:line="360" w:lineRule="auto"/>
        <w:jc w:val="both"/>
        <w:rPr>
          <w:rFonts w:eastAsia="Calibri"/>
          <w:sz w:val="24"/>
          <w:szCs w:val="24"/>
          <w:lang w:val="pt-BR"/>
        </w:rPr>
      </w:pPr>
      <w:r w:rsidRPr="00CD18DC">
        <w:rPr>
          <w:rFonts w:eastAsia="Calibri"/>
          <w:sz w:val="24"/>
          <w:szCs w:val="24"/>
          <w:lang w:val="pt-BR"/>
        </w:rPr>
        <w:t>”Art. 31. (1) În situația în care se constată că, din aplicarea schemei de sprijin pentru anul următor, se înregistrează o supracompensare S</w:t>
      </w:r>
      <w:r w:rsidRPr="00CD18DC">
        <w:rPr>
          <w:rFonts w:eastAsia="Calibri"/>
          <w:sz w:val="24"/>
          <w:szCs w:val="24"/>
          <w:vertAlign w:val="subscript"/>
          <w:lang w:val="pt-BR"/>
        </w:rPr>
        <w:t xml:space="preserve">ante </w:t>
      </w:r>
      <w:r w:rsidRPr="00CD18DC">
        <w:rPr>
          <w:rFonts w:eastAsia="Calibri"/>
          <w:sz w:val="24"/>
          <w:szCs w:val="24"/>
          <w:lang w:val="pt-BR"/>
        </w:rPr>
        <w:t>a activității de producere a energiei electrice și termice în cogenerare de înaltă eficiență, determinată conform prevederilor prezentei metodologii, ANRE diminueaz</w:t>
      </w:r>
      <w:r w:rsidRPr="00CD18DC">
        <w:rPr>
          <w:rFonts w:eastAsia="Calibri"/>
          <w:sz w:val="24"/>
          <w:szCs w:val="24"/>
          <w:lang w:val="ro-RO"/>
        </w:rPr>
        <w:t>ă</w:t>
      </w:r>
      <w:r w:rsidRPr="00CD18DC">
        <w:rPr>
          <w:rFonts w:eastAsia="Calibri"/>
          <w:sz w:val="24"/>
          <w:szCs w:val="24"/>
          <w:lang w:val="pt-BR"/>
        </w:rPr>
        <w:t xml:space="preserve"> bonusul pentru acel producător</w:t>
      </w:r>
      <w:r w:rsidRPr="00CD18DC">
        <w:rPr>
          <w:rFonts w:eastAsia="Calibri"/>
          <w:sz w:val="24"/>
          <w:szCs w:val="24"/>
          <w:lang w:val="ro-RO"/>
        </w:rPr>
        <w:t>,</w:t>
      </w:r>
      <w:r w:rsidRPr="00CD18DC">
        <w:rPr>
          <w:rFonts w:eastAsia="Calibri"/>
          <w:sz w:val="24"/>
          <w:szCs w:val="24"/>
          <w:lang w:val="pt-BR"/>
        </w:rPr>
        <w:t xml:space="preserve"> pentru anul  următor, astfel încât să fie redusă posibilitatea apariției supracompensării în anul respectiv:</w:t>
      </w:r>
    </w:p>
    <w:p w:rsidR="007B524E" w:rsidRPr="00CD18DC" w:rsidRDefault="00876920" w:rsidP="00A74C57">
      <w:pPr>
        <w:spacing w:before="240" w:after="120" w:line="360" w:lineRule="auto"/>
        <w:jc w:val="both"/>
        <w:rPr>
          <w:rFonts w:eastAsia="Calibri"/>
          <w:sz w:val="24"/>
          <w:szCs w:val="24"/>
          <w:lang w:val="en-GB"/>
        </w:rPr>
      </w:pPr>
      <w:r>
        <w:rPr>
          <w:rFonts w:eastAsia="Calibri"/>
          <w:position w:val="-36"/>
          <w:sz w:val="24"/>
          <w:szCs w:val="24"/>
          <w:lang w:val="en-GB"/>
        </w:rPr>
        <w:pict>
          <v:shape id="_x0000_i1094" type="#_x0000_t75" style="width:94.5pt;height:42.75pt">
            <v:imagedata r:id="rId90" o:title=""/>
          </v:shape>
        </w:pict>
      </w:r>
      <w:r w:rsidR="007B524E" w:rsidRPr="00CD18DC">
        <w:rPr>
          <w:rFonts w:eastAsia="Calibri"/>
          <w:position w:val="-46"/>
          <w:sz w:val="24"/>
          <w:szCs w:val="24"/>
          <w:lang w:val="en-GB"/>
        </w:rPr>
        <w:t xml:space="preserve"> </w:t>
      </w:r>
      <w:r w:rsidR="007B524E" w:rsidRPr="00CD18DC">
        <w:rPr>
          <w:rFonts w:eastAsia="Calibri"/>
          <w:sz w:val="24"/>
          <w:szCs w:val="24"/>
          <w:lang w:val="en-GB"/>
        </w:rPr>
        <w:t>(lei/MWh),</w:t>
      </w:r>
    </w:p>
    <w:p w:rsidR="007B524E" w:rsidRPr="00CD18DC" w:rsidRDefault="007B524E" w:rsidP="00A74C57">
      <w:pPr>
        <w:spacing w:before="240" w:after="120" w:line="360" w:lineRule="auto"/>
        <w:jc w:val="both"/>
        <w:rPr>
          <w:rFonts w:eastAsia="Calibri"/>
          <w:sz w:val="24"/>
          <w:szCs w:val="24"/>
          <w:lang w:val="en-GB"/>
        </w:rPr>
      </w:pPr>
      <w:r w:rsidRPr="00CD18DC">
        <w:rPr>
          <w:rFonts w:eastAsia="Calibri"/>
          <w:sz w:val="24"/>
          <w:szCs w:val="24"/>
          <w:lang w:val="en-GB"/>
        </w:rPr>
        <w:t>unde:</w:t>
      </w:r>
    </w:p>
    <w:p w:rsidR="007B524E" w:rsidRPr="00CD18DC" w:rsidRDefault="00876920" w:rsidP="00A74C57">
      <w:pPr>
        <w:spacing w:before="240" w:after="120" w:line="360" w:lineRule="auto"/>
        <w:jc w:val="both"/>
        <w:rPr>
          <w:rFonts w:eastAsia="Calibri"/>
          <w:sz w:val="24"/>
          <w:szCs w:val="24"/>
          <w:lang w:val="pt-BR"/>
        </w:rPr>
      </w:pPr>
      <w:r>
        <w:rPr>
          <w:rFonts w:eastAsia="Calibri"/>
          <w:position w:val="-22"/>
          <w:sz w:val="24"/>
          <w:szCs w:val="24"/>
          <w:lang w:val="en-GB"/>
        </w:rPr>
        <w:pict>
          <v:shape id="_x0000_i1095" type="#_x0000_t75" style="width:19.5pt;height:27.75pt">
            <v:imagedata r:id="rId91" o:title=""/>
          </v:shape>
        </w:pict>
      </w:r>
      <w:r w:rsidR="007B524E" w:rsidRPr="00CD18DC">
        <w:rPr>
          <w:rFonts w:eastAsia="Calibri"/>
          <w:sz w:val="24"/>
          <w:szCs w:val="24"/>
          <w:lang w:val="pt-BR"/>
        </w:rPr>
        <w:t>– bonusul</w:t>
      </w:r>
      <w:r w:rsidR="007B524E" w:rsidRPr="00CD18DC">
        <w:rPr>
          <w:rFonts w:eastAsia="Calibri"/>
          <w:sz w:val="24"/>
          <w:szCs w:val="24"/>
          <w:vertAlign w:val="subscript"/>
          <w:lang w:val="pt-BR"/>
        </w:rPr>
        <w:t xml:space="preserve"> </w:t>
      </w:r>
      <w:r w:rsidR="007B524E" w:rsidRPr="00CD18DC">
        <w:rPr>
          <w:rFonts w:eastAsia="Calibri"/>
          <w:sz w:val="24"/>
          <w:szCs w:val="24"/>
          <w:lang w:val="pt-BR"/>
        </w:rPr>
        <w:t>pentru producătorul care a înregistrat supracompensare, în urma analizei de ante-supracompensare realizate de ANRE (lei/MWh);</w:t>
      </w:r>
    </w:p>
    <w:p w:rsidR="007B524E" w:rsidRPr="00CD18DC" w:rsidRDefault="00876920" w:rsidP="00A74C57">
      <w:pPr>
        <w:spacing w:before="240" w:after="120" w:line="360" w:lineRule="auto"/>
        <w:jc w:val="both"/>
        <w:rPr>
          <w:rFonts w:eastAsia="Calibri"/>
          <w:sz w:val="24"/>
          <w:szCs w:val="24"/>
          <w:lang w:val="pt-BR"/>
        </w:rPr>
      </w:pPr>
      <w:r>
        <w:rPr>
          <w:rFonts w:eastAsia="Calibri"/>
          <w:position w:val="-18"/>
          <w:sz w:val="24"/>
          <w:szCs w:val="24"/>
          <w:lang w:val="en-GB"/>
        </w:rPr>
        <w:pict>
          <v:shape id="_x0000_i1096" type="#_x0000_t75" style="width:21.75pt;height:24pt">
            <v:imagedata r:id="rId92" o:title=""/>
          </v:shape>
        </w:pict>
      </w:r>
      <w:r w:rsidR="007B524E" w:rsidRPr="00CD18DC">
        <w:rPr>
          <w:rFonts w:eastAsia="Calibri"/>
          <w:position w:val="-46"/>
          <w:sz w:val="24"/>
          <w:szCs w:val="24"/>
          <w:lang w:val="pt-BR"/>
        </w:rPr>
        <w:t xml:space="preserve"> </w:t>
      </w:r>
      <w:r w:rsidR="007B524E" w:rsidRPr="00CD18DC">
        <w:rPr>
          <w:rFonts w:eastAsia="Calibri"/>
          <w:sz w:val="24"/>
          <w:szCs w:val="24"/>
          <w:lang w:val="pt-BR"/>
        </w:rPr>
        <w:t>- bonusul de referință aprobat de ANRE pentru anul următor (lei/MWh);</w:t>
      </w:r>
    </w:p>
    <w:p w:rsidR="007B524E" w:rsidRPr="00CD18DC" w:rsidRDefault="00876920" w:rsidP="00A74C57">
      <w:pPr>
        <w:spacing w:before="240" w:after="120" w:line="360" w:lineRule="auto"/>
        <w:jc w:val="both"/>
        <w:rPr>
          <w:rFonts w:eastAsia="Calibri"/>
          <w:sz w:val="24"/>
          <w:szCs w:val="24"/>
          <w:lang w:val="pt-BR"/>
        </w:rPr>
      </w:pPr>
      <w:r>
        <w:rPr>
          <w:rFonts w:eastAsia="Calibri"/>
          <w:position w:val="-18"/>
          <w:sz w:val="24"/>
          <w:szCs w:val="24"/>
          <w:lang w:val="en-GB"/>
        </w:rPr>
        <w:pict>
          <v:shape id="_x0000_i1097" type="#_x0000_t75" style="width:30.75pt;height:25.5pt">
            <v:imagedata r:id="rId93" o:title=""/>
          </v:shape>
        </w:pict>
      </w:r>
      <w:r w:rsidR="007B524E" w:rsidRPr="00CD18DC">
        <w:rPr>
          <w:rFonts w:eastAsia="Calibri"/>
          <w:sz w:val="24"/>
          <w:szCs w:val="24"/>
          <w:lang w:val="pt-BR"/>
        </w:rPr>
        <w:t xml:space="preserve"> - supracompensarea determinată în urma analizei de ante-supracompensare (lei).</w:t>
      </w:r>
    </w:p>
    <w:p w:rsidR="007B524E" w:rsidRPr="00CD18DC" w:rsidRDefault="007B524E" w:rsidP="00A74C57">
      <w:pPr>
        <w:spacing w:line="360" w:lineRule="auto"/>
        <w:jc w:val="both"/>
        <w:rPr>
          <w:rFonts w:eastAsia="Calibri"/>
          <w:sz w:val="24"/>
          <w:szCs w:val="24"/>
          <w:lang w:val="pt-BR"/>
        </w:rPr>
      </w:pPr>
      <w:r w:rsidRPr="00CD18DC">
        <w:rPr>
          <w:rFonts w:eastAsia="Calibri"/>
          <w:sz w:val="24"/>
          <w:szCs w:val="24"/>
          <w:lang w:val="pt-BR"/>
        </w:rPr>
        <w:t xml:space="preserve">(2) În situaţia în care, în cadrul analizei de ante-supracompensare, se constată amortizarea completă a centralei în cursul anului următor, nu se mai acordă bonus.     </w:t>
      </w:r>
    </w:p>
    <w:p w:rsidR="007B524E" w:rsidRPr="00CD18DC" w:rsidRDefault="007B524E" w:rsidP="00A74C57">
      <w:pPr>
        <w:spacing w:line="360" w:lineRule="auto"/>
        <w:jc w:val="both"/>
        <w:rPr>
          <w:rFonts w:eastAsia="Calibri"/>
          <w:sz w:val="24"/>
          <w:szCs w:val="24"/>
          <w:lang w:val="pt-BR"/>
        </w:rPr>
      </w:pPr>
      <w:r w:rsidRPr="00CD18DC">
        <w:rPr>
          <w:rFonts w:eastAsia="Calibri"/>
          <w:sz w:val="24"/>
          <w:szCs w:val="24"/>
          <w:lang w:val="pt-BR"/>
        </w:rPr>
        <w:t xml:space="preserve"> (3) </w:t>
      </w:r>
      <w:r w:rsidR="00A74C57" w:rsidRPr="00CD18DC">
        <w:rPr>
          <w:rFonts w:eastAsia="Calibri"/>
          <w:sz w:val="24"/>
          <w:szCs w:val="24"/>
          <w:lang w:val="pt-BR"/>
        </w:rPr>
        <w:t>În termen de 15 zile lucrătoare de la emiterea deciziei privind aprobarea valorii bonusului, ANRE transmite datele care au stat la baza determinării bonusului, în cazul în care acesta a fost diminuat față de bonusul de referință.</w:t>
      </w:r>
      <w:r w:rsidR="005A51D2" w:rsidRPr="00CD18DC">
        <w:rPr>
          <w:rFonts w:eastAsia="Calibri"/>
          <w:sz w:val="24"/>
          <w:szCs w:val="24"/>
          <w:lang w:val="pt-BR"/>
        </w:rPr>
        <w:t>”</w:t>
      </w:r>
    </w:p>
    <w:p w:rsidR="00A74C57" w:rsidRPr="00CD18DC" w:rsidRDefault="00A74C57" w:rsidP="00A74C57">
      <w:pPr>
        <w:pStyle w:val="ListParagraph"/>
        <w:numPr>
          <w:ilvl w:val="0"/>
          <w:numId w:val="1"/>
        </w:numPr>
        <w:spacing w:before="240" w:after="120" w:line="360" w:lineRule="auto"/>
        <w:jc w:val="both"/>
        <w:rPr>
          <w:rFonts w:eastAsia="Calibri"/>
          <w:sz w:val="24"/>
          <w:szCs w:val="24"/>
          <w:lang w:val="pt-BR"/>
        </w:rPr>
      </w:pPr>
      <w:r w:rsidRPr="00CD18DC">
        <w:rPr>
          <w:rFonts w:eastAsia="Calibri"/>
          <w:sz w:val="24"/>
          <w:szCs w:val="24"/>
          <w:lang w:val="pt-BR"/>
        </w:rPr>
        <w:t xml:space="preserve">La </w:t>
      </w:r>
      <w:r w:rsidR="00C87EA1" w:rsidRPr="00CD18DC">
        <w:rPr>
          <w:rFonts w:eastAsia="Calibri"/>
          <w:sz w:val="24"/>
          <w:szCs w:val="24"/>
          <w:lang w:val="pt-BR"/>
        </w:rPr>
        <w:t>A</w:t>
      </w:r>
      <w:r w:rsidRPr="00CD18DC">
        <w:rPr>
          <w:rFonts w:eastAsia="Calibri"/>
          <w:sz w:val="24"/>
          <w:szCs w:val="24"/>
          <w:lang w:val="pt-BR"/>
        </w:rPr>
        <w:t>rt. 32 alin. (2) se modifică și va avea următorul conținut:</w:t>
      </w:r>
    </w:p>
    <w:p w:rsidR="00A74C57" w:rsidRPr="00CC1143" w:rsidRDefault="00A74C57" w:rsidP="00CC1143">
      <w:pPr>
        <w:tabs>
          <w:tab w:val="left" w:pos="851"/>
        </w:tabs>
        <w:spacing w:before="240" w:after="120" w:line="360" w:lineRule="auto"/>
        <w:jc w:val="both"/>
        <w:rPr>
          <w:rFonts w:eastAsia="Calibri"/>
          <w:color w:val="000000"/>
          <w:sz w:val="24"/>
          <w:szCs w:val="24"/>
          <w:lang w:val="ro-RO"/>
        </w:rPr>
      </w:pPr>
      <w:r w:rsidRPr="00CD18DC">
        <w:rPr>
          <w:rFonts w:eastAsia="Calibri"/>
          <w:sz w:val="24"/>
          <w:szCs w:val="24"/>
          <w:lang w:val="pt-BR"/>
        </w:rPr>
        <w:lastRenderedPageBreak/>
        <w:t>”</w:t>
      </w:r>
      <w:r w:rsidRPr="00CD18DC">
        <w:rPr>
          <w:rFonts w:eastAsia="Calibri"/>
          <w:color w:val="000000"/>
          <w:sz w:val="24"/>
          <w:szCs w:val="24"/>
          <w:lang w:val="ro-RO"/>
        </w:rPr>
        <w:t xml:space="preserve"> (2) Suma rezultată în urma regularizării efectuate în conformitate cu alin. (1), </w:t>
      </w:r>
      <w:r w:rsidRPr="00CD18DC">
        <w:rPr>
          <w:rFonts w:eastAsia="Calibri"/>
          <w:sz w:val="24"/>
          <w:szCs w:val="24"/>
          <w:lang w:val="pt-BR"/>
        </w:rPr>
        <w:t>actualizată cu dobânda de referință, aferentă perioadei de evaluare a supracompensării, stabilită de Comisia Europeană pentru România,</w:t>
      </w:r>
      <w:r w:rsidRPr="00CD18DC">
        <w:rPr>
          <w:rFonts w:eastAsia="Calibri"/>
          <w:color w:val="000000"/>
          <w:sz w:val="24"/>
          <w:szCs w:val="24"/>
          <w:lang w:val="ro-RO"/>
        </w:rPr>
        <w:t xml:space="preserve"> se aprobă prin decizie a președintelui ANRE până la data de 31 martie a anului următor </w:t>
      </w:r>
      <w:r w:rsidRPr="00CD18DC">
        <w:rPr>
          <w:rFonts w:eastAsia="Calibri"/>
          <w:sz w:val="24"/>
          <w:szCs w:val="24"/>
          <w:lang w:val="pt-BR"/>
        </w:rPr>
        <w:t>perioadei de evaluare a supracompensării</w:t>
      </w:r>
      <w:r w:rsidRPr="00CD18DC">
        <w:rPr>
          <w:rFonts w:eastAsia="Calibri"/>
          <w:color w:val="000000"/>
          <w:sz w:val="24"/>
          <w:szCs w:val="24"/>
          <w:lang w:val="ro-RO"/>
        </w:rPr>
        <w:t>. Decizia se comunică producătorului respectiv și se notifică Administratorului schemei de sprijin.</w:t>
      </w:r>
      <w:r w:rsidRPr="00CD18DC">
        <w:rPr>
          <w:rFonts w:eastAsia="Calibri"/>
          <w:sz w:val="24"/>
          <w:szCs w:val="24"/>
          <w:lang w:val="pt-BR"/>
        </w:rPr>
        <w:t>”</w:t>
      </w:r>
    </w:p>
    <w:p w:rsidR="008C003F" w:rsidRPr="00CD18DC" w:rsidRDefault="00C87EA1" w:rsidP="00C87EA1">
      <w:pPr>
        <w:pStyle w:val="ListParagraph"/>
        <w:numPr>
          <w:ilvl w:val="0"/>
          <w:numId w:val="1"/>
        </w:numPr>
        <w:spacing w:before="240" w:after="120" w:line="360" w:lineRule="auto"/>
        <w:jc w:val="both"/>
        <w:rPr>
          <w:rFonts w:eastAsia="Calibri"/>
          <w:sz w:val="24"/>
          <w:szCs w:val="24"/>
          <w:lang w:val="pt-BR"/>
        </w:rPr>
      </w:pPr>
      <w:r w:rsidRPr="00CD18DC">
        <w:rPr>
          <w:rFonts w:eastAsia="Calibri"/>
          <w:sz w:val="24"/>
          <w:szCs w:val="24"/>
          <w:lang w:val="pt-BR"/>
        </w:rPr>
        <w:t>La A</w:t>
      </w:r>
      <w:r w:rsidR="008C003F" w:rsidRPr="00CD18DC">
        <w:rPr>
          <w:rFonts w:eastAsia="Calibri"/>
          <w:sz w:val="24"/>
          <w:szCs w:val="24"/>
          <w:lang w:val="pt-BR"/>
        </w:rPr>
        <w:t>rt. 33 alin. (1), d</w:t>
      </w:r>
      <w:r w:rsidR="00A74C57" w:rsidRPr="00CD18DC">
        <w:rPr>
          <w:rFonts w:eastAsia="Calibri"/>
          <w:sz w:val="24"/>
          <w:szCs w:val="24"/>
          <w:lang w:val="pt-BR"/>
        </w:rPr>
        <w:t>upă lit. b), se introduc</w:t>
      </w:r>
      <w:r w:rsidR="008C003F" w:rsidRPr="00CD18DC">
        <w:rPr>
          <w:rFonts w:eastAsia="Calibri"/>
          <w:sz w:val="24"/>
          <w:szCs w:val="24"/>
          <w:lang w:val="pt-BR"/>
        </w:rPr>
        <w:t xml:space="preserve"> </w:t>
      </w:r>
      <w:r w:rsidR="00A74C57" w:rsidRPr="00CD18DC">
        <w:rPr>
          <w:rFonts w:eastAsia="Calibri"/>
          <w:sz w:val="24"/>
          <w:szCs w:val="24"/>
          <w:lang w:val="pt-BR"/>
        </w:rPr>
        <w:t>d</w:t>
      </w:r>
      <w:r w:rsidR="008C003F" w:rsidRPr="00CD18DC">
        <w:rPr>
          <w:rFonts w:eastAsia="Calibri"/>
          <w:sz w:val="24"/>
          <w:szCs w:val="24"/>
          <w:lang w:val="pt-BR"/>
        </w:rPr>
        <w:t>o</w:t>
      </w:r>
      <w:r w:rsidR="00A74C57" w:rsidRPr="00CD18DC">
        <w:rPr>
          <w:rFonts w:eastAsia="Calibri"/>
          <w:sz w:val="24"/>
          <w:szCs w:val="24"/>
          <w:lang w:val="pt-BR"/>
        </w:rPr>
        <w:t>uă</w:t>
      </w:r>
      <w:r w:rsidR="008C003F" w:rsidRPr="00CD18DC">
        <w:rPr>
          <w:rFonts w:eastAsia="Calibri"/>
          <w:sz w:val="24"/>
          <w:szCs w:val="24"/>
          <w:lang w:val="pt-BR"/>
        </w:rPr>
        <w:t xml:space="preserve"> liter</w:t>
      </w:r>
      <w:r w:rsidR="00A74C57" w:rsidRPr="00CD18DC">
        <w:rPr>
          <w:rFonts w:eastAsia="Calibri"/>
          <w:sz w:val="24"/>
          <w:szCs w:val="24"/>
          <w:lang w:val="pt-BR"/>
        </w:rPr>
        <w:t>e</w:t>
      </w:r>
      <w:r w:rsidR="008C003F" w:rsidRPr="00CD18DC">
        <w:rPr>
          <w:rFonts w:eastAsia="Calibri"/>
          <w:sz w:val="24"/>
          <w:szCs w:val="24"/>
          <w:lang w:val="pt-BR"/>
        </w:rPr>
        <w:t xml:space="preserve"> no</w:t>
      </w:r>
      <w:r w:rsidR="00A74C57" w:rsidRPr="00CD18DC">
        <w:rPr>
          <w:rFonts w:eastAsia="Calibri"/>
          <w:sz w:val="24"/>
          <w:szCs w:val="24"/>
          <w:lang w:val="pt-BR"/>
        </w:rPr>
        <w:t>i</w:t>
      </w:r>
      <w:r w:rsidR="008C003F" w:rsidRPr="00CD18DC">
        <w:rPr>
          <w:rFonts w:eastAsia="Calibri"/>
          <w:sz w:val="24"/>
          <w:szCs w:val="24"/>
          <w:lang w:val="pt-BR"/>
        </w:rPr>
        <w:t>, c)</w:t>
      </w:r>
      <w:r w:rsidR="00A74C57" w:rsidRPr="00CD18DC">
        <w:rPr>
          <w:rFonts w:eastAsia="Calibri"/>
          <w:sz w:val="24"/>
          <w:szCs w:val="24"/>
          <w:lang w:val="pt-BR"/>
        </w:rPr>
        <w:t xml:space="preserve"> și d) </w:t>
      </w:r>
      <w:r w:rsidR="008C003F" w:rsidRPr="00CD18DC">
        <w:rPr>
          <w:rFonts w:eastAsia="Calibri"/>
          <w:sz w:val="24"/>
          <w:szCs w:val="24"/>
          <w:lang w:val="pt-BR"/>
        </w:rPr>
        <w:t>, cu următorul conținut:</w:t>
      </w:r>
    </w:p>
    <w:p w:rsidR="00A74C57" w:rsidRPr="00CD18DC" w:rsidRDefault="008C003F" w:rsidP="00A74C57">
      <w:pPr>
        <w:tabs>
          <w:tab w:val="left" w:pos="851"/>
        </w:tabs>
        <w:spacing w:before="240" w:after="120" w:line="360" w:lineRule="auto"/>
        <w:jc w:val="both"/>
        <w:rPr>
          <w:rFonts w:eastAsia="Calibri"/>
          <w:sz w:val="24"/>
          <w:szCs w:val="24"/>
          <w:lang w:val="pt-BR"/>
        </w:rPr>
      </w:pPr>
      <w:r w:rsidRPr="00CD18DC">
        <w:rPr>
          <w:rFonts w:eastAsia="Calibri"/>
          <w:sz w:val="24"/>
          <w:szCs w:val="24"/>
          <w:lang w:val="pt-BR"/>
        </w:rPr>
        <w:t>”c</w:t>
      </w:r>
      <w:r w:rsidR="00A74C57" w:rsidRPr="00CD18DC">
        <w:rPr>
          <w:rFonts w:eastAsia="Calibri"/>
          <w:sz w:val="24"/>
          <w:szCs w:val="24"/>
          <w:lang w:val="pt-BR"/>
        </w:rPr>
        <w:t>)   balanța analitică pe perioada de evaluare a supracompensării;</w:t>
      </w:r>
    </w:p>
    <w:p w:rsidR="00A74C57" w:rsidRPr="00CD18DC" w:rsidRDefault="00A74C57" w:rsidP="00A74C57">
      <w:pPr>
        <w:tabs>
          <w:tab w:val="left" w:pos="851"/>
        </w:tabs>
        <w:spacing w:before="240" w:after="120" w:line="360" w:lineRule="auto"/>
        <w:jc w:val="both"/>
        <w:rPr>
          <w:rFonts w:eastAsia="Calibri"/>
          <w:sz w:val="24"/>
          <w:szCs w:val="24"/>
          <w:lang w:val="pt-BR"/>
        </w:rPr>
      </w:pPr>
      <w:r w:rsidRPr="00CD18DC">
        <w:rPr>
          <w:rFonts w:eastAsia="Calibri"/>
          <w:sz w:val="24"/>
          <w:szCs w:val="24"/>
          <w:lang w:val="pt-BR"/>
        </w:rPr>
        <w:t>d)  persoana de contact desemnată, responsabilă cu transmiterea/completarea/corectarea datelor necesare în analizele de supracompensare/ante-supracompensare.</w:t>
      </w:r>
      <w:r w:rsidR="00C87EA1" w:rsidRPr="00CD18DC">
        <w:rPr>
          <w:rFonts w:eastAsia="Calibri"/>
          <w:sz w:val="24"/>
          <w:szCs w:val="24"/>
          <w:lang w:val="pt-BR"/>
        </w:rPr>
        <w:t>”</w:t>
      </w:r>
    </w:p>
    <w:p w:rsidR="003679EF" w:rsidRPr="00CD18DC" w:rsidRDefault="003679EF" w:rsidP="00C87EA1">
      <w:pPr>
        <w:pStyle w:val="ListParagraph"/>
        <w:numPr>
          <w:ilvl w:val="0"/>
          <w:numId w:val="1"/>
        </w:numPr>
        <w:spacing w:before="240" w:after="120" w:line="360" w:lineRule="auto"/>
        <w:jc w:val="both"/>
        <w:rPr>
          <w:rFonts w:eastAsia="Calibri"/>
          <w:sz w:val="24"/>
          <w:szCs w:val="24"/>
          <w:lang w:val="pt-BR"/>
        </w:rPr>
      </w:pPr>
      <w:r w:rsidRPr="00CD18DC">
        <w:rPr>
          <w:rFonts w:eastAsia="Calibri"/>
          <w:sz w:val="24"/>
          <w:szCs w:val="24"/>
          <w:lang w:val="pt-BR"/>
        </w:rPr>
        <w:t>Art. 34 se modifică și va avea următorul conținut:</w:t>
      </w:r>
    </w:p>
    <w:p w:rsidR="00572987" w:rsidRPr="00CD18DC" w:rsidRDefault="00572987" w:rsidP="00A74C57">
      <w:pPr>
        <w:tabs>
          <w:tab w:val="left" w:pos="851"/>
        </w:tabs>
        <w:spacing w:before="240" w:after="120" w:line="360" w:lineRule="auto"/>
        <w:jc w:val="both"/>
        <w:rPr>
          <w:rFonts w:eastAsia="Calibri"/>
          <w:sz w:val="24"/>
          <w:szCs w:val="24"/>
          <w:lang w:val="pt-BR"/>
        </w:rPr>
      </w:pPr>
      <w:r w:rsidRPr="00CD18DC">
        <w:rPr>
          <w:rFonts w:eastAsia="Calibri"/>
          <w:sz w:val="24"/>
          <w:szCs w:val="24"/>
          <w:lang w:val="pt-BR"/>
        </w:rPr>
        <w:t>”Art. 35. Prin excep</w:t>
      </w:r>
      <w:r w:rsidRPr="00CD18DC">
        <w:rPr>
          <w:rFonts w:eastAsia="Calibri"/>
          <w:sz w:val="24"/>
          <w:szCs w:val="24"/>
          <w:lang w:val="ro-RO"/>
        </w:rPr>
        <w:t>ție de la prevederile art. 33, p</w:t>
      </w:r>
      <w:r w:rsidRPr="00CD18DC">
        <w:rPr>
          <w:rFonts w:eastAsia="Calibri"/>
          <w:sz w:val="24"/>
          <w:szCs w:val="24"/>
          <w:lang w:val="pt-BR"/>
        </w:rPr>
        <w:t>roducătorii care se află în primul an de accesare a schemei de sprijin sau care notifică ANRE schimbarea structurii de capacități de cogenerare care accesează schema de sprijin transmit datele solicitate la art. 33 începând cu anul următor anului de accesare a schemei de sprijin sau de schimbare a structurii de capacități de cogenerare.”</w:t>
      </w:r>
    </w:p>
    <w:p w:rsidR="00C87EA1" w:rsidRPr="00CD18DC" w:rsidRDefault="00C87EA1" w:rsidP="00C87EA1">
      <w:pPr>
        <w:pStyle w:val="ListParagraph"/>
        <w:numPr>
          <w:ilvl w:val="0"/>
          <w:numId w:val="1"/>
        </w:numPr>
        <w:spacing w:before="240" w:after="120" w:line="360" w:lineRule="auto"/>
        <w:jc w:val="both"/>
        <w:rPr>
          <w:rFonts w:eastAsia="Calibri"/>
          <w:sz w:val="24"/>
          <w:szCs w:val="24"/>
          <w:lang w:val="pt-BR"/>
        </w:rPr>
      </w:pPr>
      <w:r w:rsidRPr="00CD18DC">
        <w:rPr>
          <w:rFonts w:eastAsia="Calibri"/>
          <w:sz w:val="24"/>
          <w:szCs w:val="24"/>
          <w:lang w:val="pt-BR"/>
        </w:rPr>
        <w:t>Art. 35 se modifică și va avea următorul conținut:</w:t>
      </w:r>
    </w:p>
    <w:p w:rsidR="00C87EA1" w:rsidRPr="00CD18DC" w:rsidRDefault="00C87EA1" w:rsidP="00C87EA1">
      <w:pPr>
        <w:tabs>
          <w:tab w:val="left" w:pos="851"/>
        </w:tabs>
        <w:spacing w:before="240" w:after="120" w:line="360" w:lineRule="auto"/>
        <w:jc w:val="both"/>
        <w:rPr>
          <w:rFonts w:eastAsia="Calibri"/>
          <w:sz w:val="24"/>
          <w:szCs w:val="24"/>
          <w:lang w:val="pt-BR"/>
        </w:rPr>
      </w:pPr>
      <w:r w:rsidRPr="00CD18DC">
        <w:rPr>
          <w:rFonts w:eastAsia="Calibri"/>
          <w:sz w:val="24"/>
          <w:szCs w:val="24"/>
          <w:lang w:val="pt-BR"/>
        </w:rPr>
        <w:t>”Art. 35.  - (1) Producătorii de energie electrică și termică în cogenerare, beneficiari ai  schemei de sprijin, transmit la ANRE până la data de 1 februarie a fiecărui an documentația necesară realizării analizei de supracompensare: valorile realizate ale veniturilor/costurilor/producțiilor/livrărilor/consumurilor pentru anul anterior, în conformitate cu machetele de raportare prevăzute în Anexele nr. 1, 2 și 3, completate cu datele aferente perioadei în care au accesat schema de sprijin.</w:t>
      </w:r>
    </w:p>
    <w:p w:rsidR="00C87EA1" w:rsidRPr="00EB2F59" w:rsidRDefault="00C87EA1" w:rsidP="00EB2F59">
      <w:pPr>
        <w:tabs>
          <w:tab w:val="left" w:pos="851"/>
        </w:tabs>
        <w:spacing w:before="240" w:after="120" w:line="360" w:lineRule="auto"/>
        <w:jc w:val="both"/>
        <w:rPr>
          <w:rFonts w:eastAsia="Calibri"/>
          <w:sz w:val="24"/>
          <w:szCs w:val="24"/>
          <w:lang w:val="pt-BR"/>
        </w:rPr>
      </w:pPr>
      <w:r w:rsidRPr="00CD18DC">
        <w:rPr>
          <w:rFonts w:eastAsia="Calibri"/>
          <w:sz w:val="24"/>
          <w:szCs w:val="24"/>
          <w:lang w:val="pt-BR"/>
        </w:rPr>
        <w:t>(2) În anul 2016, producătorii vor transmite datele completate conform noilor machete, până la 22 febru</w:t>
      </w:r>
      <w:r w:rsidR="008A677B" w:rsidRPr="00CD18DC">
        <w:rPr>
          <w:rFonts w:eastAsia="Calibri"/>
          <w:sz w:val="24"/>
          <w:szCs w:val="24"/>
          <w:lang w:val="pt-BR"/>
        </w:rPr>
        <w:t>a</w:t>
      </w:r>
      <w:r w:rsidR="00A06A76">
        <w:rPr>
          <w:rFonts w:eastAsia="Calibri"/>
          <w:sz w:val="24"/>
          <w:szCs w:val="24"/>
          <w:lang w:val="pt-BR"/>
        </w:rPr>
        <w:t>rie 2016.</w:t>
      </w:r>
      <w:r w:rsidR="00EB2F59">
        <w:rPr>
          <w:rFonts w:eastAsia="Calibri"/>
          <w:sz w:val="24"/>
          <w:szCs w:val="24"/>
          <w:lang w:val="pt-BR"/>
        </w:rPr>
        <w:t>”</w:t>
      </w:r>
      <w:r w:rsidRPr="00EB2F59">
        <w:rPr>
          <w:rFonts w:eastAsia="Calibri"/>
          <w:sz w:val="24"/>
          <w:szCs w:val="24"/>
          <w:lang w:val="pt-BR"/>
        </w:rPr>
        <w:t xml:space="preserve"> </w:t>
      </w:r>
    </w:p>
    <w:p w:rsidR="00B821DC" w:rsidRPr="00A06A76" w:rsidRDefault="000B47BB" w:rsidP="00A06A76">
      <w:pPr>
        <w:pStyle w:val="ListParagraph"/>
        <w:numPr>
          <w:ilvl w:val="0"/>
          <w:numId w:val="1"/>
        </w:numPr>
        <w:spacing w:before="240" w:after="120" w:line="360" w:lineRule="auto"/>
        <w:jc w:val="both"/>
        <w:rPr>
          <w:rFonts w:eastAsia="Calibri"/>
          <w:sz w:val="24"/>
          <w:szCs w:val="24"/>
          <w:lang w:val="pt-BR"/>
        </w:rPr>
      </w:pPr>
      <w:r w:rsidRPr="00CD18DC">
        <w:rPr>
          <w:rFonts w:eastAsia="Calibri"/>
          <w:sz w:val="24"/>
          <w:szCs w:val="24"/>
          <w:lang w:val="pt-BR"/>
        </w:rPr>
        <w:t>Anexa nr. 1 la Metodologie se modifică și va avea următorul conținut:</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9"/>
        <w:gridCol w:w="161"/>
        <w:gridCol w:w="1015"/>
        <w:gridCol w:w="1483"/>
      </w:tblGrid>
      <w:tr w:rsidR="00B821DC" w:rsidRPr="00CD18DC" w:rsidTr="00E256E0">
        <w:trPr>
          <w:trHeight w:val="31"/>
        </w:trPr>
        <w:tc>
          <w:tcPr>
            <w:tcW w:w="7439" w:type="dxa"/>
            <w:tcBorders>
              <w:top w:val="nil"/>
              <w:left w:val="nil"/>
              <w:bottom w:val="nil"/>
              <w:right w:val="nil"/>
            </w:tcBorders>
            <w:shd w:val="clear" w:color="auto" w:fill="auto"/>
            <w:noWrap/>
            <w:hideMark/>
          </w:tcPr>
          <w:p w:rsidR="00B821DC" w:rsidRPr="00CD18DC" w:rsidRDefault="00B821DC" w:rsidP="00A74C57">
            <w:pPr>
              <w:spacing w:line="360" w:lineRule="auto"/>
              <w:jc w:val="both"/>
              <w:rPr>
                <w:rFonts w:eastAsia="Calibri"/>
                <w:sz w:val="24"/>
                <w:szCs w:val="24"/>
              </w:rPr>
            </w:pPr>
          </w:p>
        </w:tc>
        <w:tc>
          <w:tcPr>
            <w:tcW w:w="1176" w:type="dxa"/>
            <w:gridSpan w:val="2"/>
            <w:tcBorders>
              <w:top w:val="nil"/>
              <w:left w:val="nil"/>
              <w:bottom w:val="nil"/>
              <w:right w:val="nil"/>
            </w:tcBorders>
            <w:shd w:val="clear" w:color="auto" w:fill="auto"/>
            <w:noWrap/>
            <w:hideMark/>
          </w:tcPr>
          <w:p w:rsidR="00B821DC" w:rsidRPr="00CD18DC" w:rsidRDefault="00B821DC" w:rsidP="00A74C57">
            <w:pPr>
              <w:spacing w:line="360" w:lineRule="auto"/>
              <w:jc w:val="both"/>
              <w:rPr>
                <w:rFonts w:eastAsia="Calibri"/>
                <w:sz w:val="24"/>
                <w:szCs w:val="24"/>
              </w:rPr>
            </w:pPr>
            <w:r w:rsidRPr="00CD18DC">
              <w:rPr>
                <w:rFonts w:eastAsia="Calibri"/>
                <w:sz w:val="24"/>
                <w:szCs w:val="24"/>
              </w:rPr>
              <w:t> </w:t>
            </w:r>
          </w:p>
        </w:tc>
        <w:tc>
          <w:tcPr>
            <w:tcW w:w="1483" w:type="dxa"/>
            <w:tcBorders>
              <w:top w:val="nil"/>
              <w:left w:val="nil"/>
              <w:bottom w:val="nil"/>
              <w:right w:val="nil"/>
            </w:tcBorders>
            <w:shd w:val="clear" w:color="auto" w:fill="auto"/>
            <w:noWrap/>
            <w:hideMark/>
          </w:tcPr>
          <w:p w:rsidR="00EB2F59" w:rsidRDefault="00EB2F59" w:rsidP="00A74C57">
            <w:pPr>
              <w:spacing w:line="360" w:lineRule="auto"/>
              <w:jc w:val="center"/>
              <w:rPr>
                <w:rFonts w:eastAsia="Calibri"/>
                <w:b/>
                <w:bCs/>
                <w:sz w:val="24"/>
                <w:szCs w:val="24"/>
              </w:rPr>
            </w:pPr>
          </w:p>
          <w:p w:rsidR="001E424C" w:rsidRDefault="001E424C" w:rsidP="00A74C57">
            <w:pPr>
              <w:spacing w:line="360" w:lineRule="auto"/>
              <w:jc w:val="center"/>
              <w:rPr>
                <w:rFonts w:eastAsia="Calibri"/>
                <w:b/>
                <w:bCs/>
                <w:sz w:val="24"/>
                <w:szCs w:val="24"/>
              </w:rPr>
            </w:pPr>
          </w:p>
          <w:p w:rsidR="00B821DC" w:rsidRPr="00CD18DC" w:rsidRDefault="00B821DC" w:rsidP="00A74C57">
            <w:pPr>
              <w:spacing w:line="360" w:lineRule="auto"/>
              <w:jc w:val="center"/>
              <w:rPr>
                <w:rFonts w:eastAsia="Calibri"/>
                <w:b/>
                <w:bCs/>
                <w:sz w:val="24"/>
                <w:szCs w:val="24"/>
              </w:rPr>
            </w:pPr>
            <w:r w:rsidRPr="00CD18DC">
              <w:rPr>
                <w:rFonts w:eastAsia="Calibri"/>
                <w:b/>
                <w:bCs/>
                <w:sz w:val="24"/>
                <w:szCs w:val="24"/>
              </w:rPr>
              <w:lastRenderedPageBreak/>
              <w:t>Anexa nr. 1</w:t>
            </w:r>
          </w:p>
          <w:p w:rsidR="00B821DC" w:rsidRPr="00CD18DC" w:rsidRDefault="00B821DC" w:rsidP="00A74C57">
            <w:pPr>
              <w:spacing w:line="360" w:lineRule="auto"/>
              <w:jc w:val="center"/>
              <w:rPr>
                <w:rFonts w:eastAsia="Calibri"/>
                <w:b/>
                <w:bCs/>
                <w:sz w:val="24"/>
                <w:szCs w:val="24"/>
              </w:rPr>
            </w:pPr>
            <w:r w:rsidRPr="00CD18DC">
              <w:rPr>
                <w:rFonts w:eastAsia="Calibri"/>
                <w:b/>
                <w:bCs/>
                <w:sz w:val="24"/>
                <w:szCs w:val="24"/>
              </w:rPr>
              <w:t>la Metodologie</w:t>
            </w:r>
          </w:p>
        </w:tc>
      </w:tr>
      <w:tr w:rsidR="00B821DC" w:rsidRPr="00CD18DC" w:rsidTr="00E256E0">
        <w:trPr>
          <w:trHeight w:val="31"/>
        </w:trPr>
        <w:tc>
          <w:tcPr>
            <w:tcW w:w="7439" w:type="dxa"/>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b/>
                <w:bCs/>
                <w:sz w:val="24"/>
                <w:szCs w:val="24"/>
              </w:rPr>
            </w:pPr>
          </w:p>
          <w:p w:rsidR="00B821DC" w:rsidRPr="00CD18DC" w:rsidRDefault="00B821DC" w:rsidP="00A74C57">
            <w:pPr>
              <w:spacing w:line="360" w:lineRule="auto"/>
              <w:rPr>
                <w:rFonts w:eastAsia="Calibri"/>
                <w:b/>
                <w:bCs/>
                <w:sz w:val="24"/>
                <w:szCs w:val="24"/>
              </w:rPr>
            </w:pPr>
            <w:r w:rsidRPr="00CD18DC">
              <w:rPr>
                <w:rFonts w:eastAsia="Calibri"/>
                <w:b/>
                <w:bCs/>
                <w:sz w:val="24"/>
                <w:szCs w:val="24"/>
              </w:rPr>
              <w:t xml:space="preserve">Venituri, costuri, productii si consumuri aferente </w:t>
            </w:r>
          </w:p>
        </w:tc>
        <w:tc>
          <w:tcPr>
            <w:tcW w:w="1176" w:type="dxa"/>
            <w:gridSpan w:val="2"/>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c>
          <w:tcPr>
            <w:tcW w:w="1483" w:type="dxa"/>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r>
      <w:tr w:rsidR="00B821DC" w:rsidRPr="00CD18DC" w:rsidTr="00E256E0">
        <w:trPr>
          <w:trHeight w:val="42"/>
        </w:trPr>
        <w:tc>
          <w:tcPr>
            <w:tcW w:w="7439" w:type="dxa"/>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b/>
                <w:bCs/>
                <w:sz w:val="24"/>
                <w:szCs w:val="24"/>
              </w:rPr>
            </w:pPr>
            <w:r w:rsidRPr="00CD18DC">
              <w:rPr>
                <w:rFonts w:eastAsia="Calibri"/>
                <w:b/>
                <w:bCs/>
                <w:sz w:val="24"/>
                <w:szCs w:val="24"/>
              </w:rPr>
              <w:t>Nume producator:</w:t>
            </w:r>
          </w:p>
        </w:tc>
        <w:tc>
          <w:tcPr>
            <w:tcW w:w="1176" w:type="dxa"/>
            <w:gridSpan w:val="2"/>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c>
          <w:tcPr>
            <w:tcW w:w="1483" w:type="dxa"/>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r>
      <w:tr w:rsidR="00B821DC" w:rsidRPr="00CD18DC" w:rsidTr="00E256E0">
        <w:trPr>
          <w:trHeight w:val="43"/>
        </w:trPr>
        <w:tc>
          <w:tcPr>
            <w:tcW w:w="7439" w:type="dxa"/>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b/>
                <w:bCs/>
                <w:sz w:val="24"/>
                <w:szCs w:val="24"/>
              </w:rPr>
            </w:pPr>
            <w:r w:rsidRPr="00CD18DC">
              <w:rPr>
                <w:rFonts w:eastAsia="Calibri"/>
                <w:b/>
                <w:bCs/>
                <w:sz w:val="24"/>
                <w:szCs w:val="24"/>
              </w:rPr>
              <w:t>Centrala :</w:t>
            </w:r>
          </w:p>
        </w:tc>
        <w:tc>
          <w:tcPr>
            <w:tcW w:w="1176" w:type="dxa"/>
            <w:gridSpan w:val="2"/>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c>
          <w:tcPr>
            <w:tcW w:w="1483" w:type="dxa"/>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r>
      <w:tr w:rsidR="00B821DC" w:rsidRPr="00CD18DC" w:rsidTr="00E256E0">
        <w:trPr>
          <w:trHeight w:val="45"/>
        </w:trPr>
        <w:tc>
          <w:tcPr>
            <w:tcW w:w="7439" w:type="dxa"/>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b/>
                <w:bCs/>
                <w:sz w:val="24"/>
                <w:szCs w:val="24"/>
              </w:rPr>
            </w:pPr>
            <w:r w:rsidRPr="00CD18DC">
              <w:rPr>
                <w:rFonts w:eastAsia="Calibri"/>
                <w:b/>
                <w:bCs/>
                <w:sz w:val="24"/>
                <w:szCs w:val="24"/>
              </w:rPr>
              <w:t>Perioada de accesare schema din anul:</w:t>
            </w:r>
          </w:p>
        </w:tc>
        <w:tc>
          <w:tcPr>
            <w:tcW w:w="1176" w:type="dxa"/>
            <w:gridSpan w:val="2"/>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c>
          <w:tcPr>
            <w:tcW w:w="1483" w:type="dxa"/>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r>
      <w:tr w:rsidR="00B821DC" w:rsidRPr="00CD18DC" w:rsidTr="00E256E0">
        <w:trPr>
          <w:trHeight w:val="31"/>
        </w:trPr>
        <w:tc>
          <w:tcPr>
            <w:tcW w:w="7439" w:type="dxa"/>
            <w:tcBorders>
              <w:top w:val="nil"/>
              <w:left w:val="nil"/>
              <w:bottom w:val="single" w:sz="4" w:space="0" w:color="auto"/>
              <w:right w:val="nil"/>
            </w:tcBorders>
            <w:shd w:val="clear" w:color="auto" w:fill="auto"/>
            <w:noWrap/>
            <w:hideMark/>
          </w:tcPr>
          <w:p w:rsidR="00B821DC" w:rsidRPr="00CD18DC" w:rsidRDefault="00B821DC" w:rsidP="00A74C57">
            <w:pPr>
              <w:spacing w:line="360" w:lineRule="auto"/>
              <w:rPr>
                <w:rFonts w:eastAsia="Calibri"/>
                <w:b/>
                <w:bCs/>
                <w:sz w:val="24"/>
                <w:szCs w:val="24"/>
              </w:rPr>
            </w:pPr>
            <w:r w:rsidRPr="00CD18DC">
              <w:rPr>
                <w:rFonts w:eastAsia="Calibri"/>
                <w:b/>
                <w:bCs/>
                <w:sz w:val="24"/>
                <w:szCs w:val="24"/>
              </w:rPr>
              <w:t> </w:t>
            </w:r>
          </w:p>
        </w:tc>
        <w:tc>
          <w:tcPr>
            <w:tcW w:w="1176" w:type="dxa"/>
            <w:gridSpan w:val="2"/>
            <w:tcBorders>
              <w:top w:val="nil"/>
              <w:left w:val="nil"/>
              <w:bottom w:val="single" w:sz="4" w:space="0" w:color="auto"/>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c>
          <w:tcPr>
            <w:tcW w:w="1483" w:type="dxa"/>
            <w:tcBorders>
              <w:top w:val="nil"/>
              <w:left w:val="nil"/>
              <w:bottom w:val="single" w:sz="4" w:space="0" w:color="auto"/>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r>
      <w:tr w:rsidR="00B821DC" w:rsidRPr="00CD18DC" w:rsidTr="00E256E0">
        <w:trPr>
          <w:trHeight w:val="31"/>
        </w:trPr>
        <w:tc>
          <w:tcPr>
            <w:tcW w:w="7439" w:type="dxa"/>
            <w:tcBorders>
              <w:top w:val="single" w:sz="4" w:space="0" w:color="auto"/>
            </w:tcBorders>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Denumire</w:t>
            </w:r>
          </w:p>
        </w:tc>
        <w:tc>
          <w:tcPr>
            <w:tcW w:w="1176" w:type="dxa"/>
            <w:gridSpan w:val="2"/>
            <w:tcBorders>
              <w:top w:val="single" w:sz="4" w:space="0" w:color="auto"/>
            </w:tcBorders>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Cantitate</w:t>
            </w:r>
          </w:p>
        </w:tc>
        <w:tc>
          <w:tcPr>
            <w:tcW w:w="1483" w:type="dxa"/>
            <w:tcBorders>
              <w:top w:val="single" w:sz="4" w:space="0" w:color="auto"/>
            </w:tcBorders>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 xml:space="preserve">Valoare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VENITURI TOTALE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Venituri piata reglementata de energie electrica si termica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0"/>
        </w:trPr>
        <w:tc>
          <w:tcPr>
            <w:tcW w:w="7439" w:type="dxa"/>
            <w:shd w:val="clear" w:color="auto" w:fill="auto"/>
            <w:hideMark/>
          </w:tcPr>
          <w:p w:rsidR="00B821DC" w:rsidRPr="00CD18DC" w:rsidRDefault="00B821DC" w:rsidP="00E256E0">
            <w:pPr>
              <w:rPr>
                <w:rFonts w:eastAsia="Calibri"/>
                <w:sz w:val="24"/>
                <w:szCs w:val="24"/>
              </w:rPr>
            </w:pPr>
            <w:r w:rsidRPr="00CD18DC">
              <w:rPr>
                <w:rFonts w:eastAsia="Calibri"/>
                <w:sz w:val="24"/>
                <w:szCs w:val="24"/>
              </w:rPr>
              <w:t xml:space="preserve">        -venituri din activitatea de producere energie electrica (contracte reglementate)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-venituri din vanzarea de energie electrica pe piata reglementata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venituri din bonusul de cogenerare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venituri pe piata serviciilor tehnologice de sistem (contracte reglementate)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venituri pe piata de energie termica  (contracte reglementate)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61"/>
        </w:trPr>
        <w:tc>
          <w:tcPr>
            <w:tcW w:w="7439" w:type="dxa"/>
            <w:shd w:val="clear" w:color="auto" w:fill="auto"/>
            <w:hideMark/>
          </w:tcPr>
          <w:p w:rsidR="00B821DC" w:rsidRPr="00CD18DC" w:rsidRDefault="00B821DC" w:rsidP="00E256E0">
            <w:pPr>
              <w:rPr>
                <w:rFonts w:eastAsia="Calibri"/>
                <w:sz w:val="24"/>
                <w:szCs w:val="24"/>
              </w:rPr>
            </w:pPr>
            <w:r w:rsidRPr="00CD18DC">
              <w:rPr>
                <w:rFonts w:eastAsia="Calibri"/>
                <w:sz w:val="24"/>
                <w:szCs w:val="24"/>
              </w:rPr>
              <w:t xml:space="preserve">        - alte venituri rezultate din aplicarea sistemelor de promovare adoptate la nivel national/local sau individuale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Venituri piata concurentiala de energie electrica si termica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-venituri contracte bilaterale de vanzare energie electrica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venituri pe piata serviciilor tehnologice de sistem (contracte negociate, licitatie)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-venituri pe Piata pentru Ziua Urmatoare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-venituri pe Piata de Echilibrare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-venituri pentru dezechilibre pozitive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-venituri pe piata energiei termice (contracte negociate)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Venituri pe piata certificatelor verzi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Venituri vanzare certificate CO2</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53"/>
        </w:trPr>
        <w:tc>
          <w:tcPr>
            <w:tcW w:w="7439" w:type="dxa"/>
            <w:shd w:val="clear" w:color="auto" w:fill="auto"/>
            <w:hideMark/>
          </w:tcPr>
          <w:p w:rsidR="00B821DC" w:rsidRPr="00CD18DC" w:rsidRDefault="00C87EA1" w:rsidP="00E256E0">
            <w:pPr>
              <w:rPr>
                <w:rFonts w:eastAsia="Calibri"/>
                <w:b/>
                <w:bCs/>
                <w:sz w:val="24"/>
                <w:szCs w:val="24"/>
              </w:rPr>
            </w:pPr>
            <w:r w:rsidRPr="00CD18DC">
              <w:rPr>
                <w:rFonts w:eastAsia="Calibri"/>
                <w:b/>
                <w:bCs/>
                <w:sz w:val="24"/>
                <w:szCs w:val="24"/>
              </w:rPr>
              <w:t xml:space="preserve">Alte venituri  </w:t>
            </w:r>
            <w:r w:rsidRPr="00CD18DC">
              <w:rPr>
                <w:rFonts w:eastAsia="Calibri"/>
                <w:sz w:val="24"/>
                <w:szCs w:val="24"/>
              </w:rPr>
              <w:t>(altele decat cele realizate pe piata reglementata si concurentiala de energie electrica si termica), din care (vor fi detaliate toate categoriile respective conform prevederilor Metodologiei):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hideMark/>
          </w:tcPr>
          <w:p w:rsidR="00B821DC" w:rsidRPr="00CD18DC" w:rsidRDefault="00B821DC" w:rsidP="00E256E0">
            <w:pPr>
              <w:rPr>
                <w:rFonts w:eastAsia="Calibri"/>
                <w:b/>
                <w:bCs/>
                <w:sz w:val="24"/>
                <w:szCs w:val="24"/>
              </w:rPr>
            </w:pPr>
            <w:r w:rsidRPr="00CD18DC">
              <w:rPr>
                <w:rFonts w:eastAsia="Calibri"/>
                <w:b/>
                <w:bCs/>
                <w:sz w:val="24"/>
                <w:szCs w:val="24"/>
              </w:rPr>
              <w:t xml:space="preserve">        -</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hideMark/>
          </w:tcPr>
          <w:p w:rsidR="00B821DC" w:rsidRPr="00CD18DC" w:rsidRDefault="00B821DC" w:rsidP="00E256E0">
            <w:pPr>
              <w:rPr>
                <w:rFonts w:eastAsia="Calibri"/>
                <w:b/>
                <w:bCs/>
                <w:sz w:val="24"/>
                <w:szCs w:val="24"/>
              </w:rPr>
            </w:pPr>
            <w:r w:rsidRPr="00CD18DC">
              <w:rPr>
                <w:rFonts w:eastAsia="Calibri"/>
                <w:b/>
                <w:bCs/>
                <w:sz w:val="24"/>
                <w:szCs w:val="24"/>
              </w:rPr>
              <w:t xml:space="preserve">        …….</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COSTURI TOTALE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Costuri variabile,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combustibil, inclusiv transportul acestuia la centrala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aferente contracte de achizitie energie electrica pe piata cu amanuntul</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55"/>
        </w:trPr>
        <w:tc>
          <w:tcPr>
            <w:tcW w:w="7439" w:type="dxa"/>
            <w:shd w:val="clear" w:color="auto" w:fill="auto"/>
            <w:hideMark/>
          </w:tcPr>
          <w:p w:rsidR="00B821DC" w:rsidRPr="00CD18DC" w:rsidRDefault="00B821DC" w:rsidP="00E256E0">
            <w:pPr>
              <w:rPr>
                <w:rFonts w:eastAsia="Calibri"/>
                <w:sz w:val="24"/>
                <w:szCs w:val="24"/>
              </w:rPr>
            </w:pPr>
            <w:r w:rsidRPr="00CD18DC">
              <w:rPr>
                <w:rFonts w:eastAsia="Calibri"/>
                <w:sz w:val="24"/>
                <w:szCs w:val="24"/>
              </w:rPr>
              <w:t xml:space="preserve">      -costuri aferente contracte bilaterale de achizitie energie electrica (negociate bilateral cu furnizori/producatori, PCCB, PCCB-NC, export, consumatori eligibili etc.)</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pe Piata pentru Ziua Urmatoare </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lastRenderedPageBreak/>
              <w:t xml:space="preserve">      -costuri pe Piata de Echilibrare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pentru dezechilibre negative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cumparare certificate verzi,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tcPr>
          <w:p w:rsidR="00B821DC" w:rsidRPr="00CD18DC" w:rsidRDefault="00B821DC" w:rsidP="00E256E0">
            <w:pPr>
              <w:rPr>
                <w:rFonts w:eastAsia="Calibri"/>
                <w:sz w:val="24"/>
                <w:szCs w:val="24"/>
              </w:rPr>
            </w:pPr>
            <w:r w:rsidRPr="00CD18DC">
              <w:rPr>
                <w:rFonts w:eastAsia="Calibri"/>
                <w:sz w:val="24"/>
                <w:szCs w:val="24"/>
              </w:rPr>
              <w:t xml:space="preserve">                           -refacturate</w:t>
            </w:r>
          </w:p>
        </w:tc>
        <w:tc>
          <w:tcPr>
            <w:tcW w:w="1176" w:type="dxa"/>
            <w:gridSpan w:val="2"/>
            <w:shd w:val="clear" w:color="auto" w:fill="auto"/>
            <w:noWrap/>
          </w:tcPr>
          <w:p w:rsidR="00B821DC" w:rsidRPr="00CD18DC" w:rsidRDefault="00B821DC" w:rsidP="00E256E0">
            <w:pPr>
              <w:rPr>
                <w:rFonts w:eastAsia="Calibri"/>
                <w:sz w:val="24"/>
                <w:szCs w:val="24"/>
              </w:rPr>
            </w:pPr>
          </w:p>
        </w:tc>
        <w:tc>
          <w:tcPr>
            <w:tcW w:w="1483" w:type="dxa"/>
            <w:shd w:val="clear" w:color="auto" w:fill="auto"/>
            <w:noWrap/>
          </w:tcPr>
          <w:p w:rsidR="00B821DC" w:rsidRPr="00CD18DC" w:rsidRDefault="00B821DC" w:rsidP="00E256E0">
            <w:pPr>
              <w:rPr>
                <w:rFonts w:eastAsia="Calibri"/>
                <w:sz w:val="24"/>
                <w:szCs w:val="24"/>
              </w:rPr>
            </w:pP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contracte de transport/servicii sistem/administrare piata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contracte de distributie pentru consumatori eligibili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pentru utilizare capacitate de interconexiune (licitatie)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cumparare certificate CO2,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tcPr>
          <w:p w:rsidR="00B821DC" w:rsidRPr="00CD18DC" w:rsidRDefault="00B821DC" w:rsidP="00E256E0">
            <w:pPr>
              <w:rPr>
                <w:rFonts w:eastAsia="Calibri"/>
                <w:sz w:val="24"/>
                <w:szCs w:val="24"/>
              </w:rPr>
            </w:pPr>
            <w:r w:rsidRPr="00CD18DC">
              <w:rPr>
                <w:rFonts w:eastAsia="Calibri"/>
                <w:sz w:val="24"/>
                <w:szCs w:val="24"/>
              </w:rPr>
              <w:t xml:space="preserve">                           -refacturate</w:t>
            </w:r>
          </w:p>
        </w:tc>
        <w:tc>
          <w:tcPr>
            <w:tcW w:w="1176" w:type="dxa"/>
            <w:gridSpan w:val="2"/>
            <w:shd w:val="clear" w:color="auto" w:fill="auto"/>
            <w:noWrap/>
          </w:tcPr>
          <w:p w:rsidR="00B821DC" w:rsidRPr="00CD18DC" w:rsidRDefault="00B821DC" w:rsidP="00E256E0">
            <w:pPr>
              <w:rPr>
                <w:rFonts w:eastAsia="Calibri"/>
                <w:sz w:val="24"/>
                <w:szCs w:val="24"/>
              </w:rPr>
            </w:pPr>
          </w:p>
        </w:tc>
        <w:tc>
          <w:tcPr>
            <w:tcW w:w="1483" w:type="dxa"/>
            <w:shd w:val="clear" w:color="auto" w:fill="auto"/>
            <w:noWrap/>
          </w:tcPr>
          <w:p w:rsidR="00B821DC" w:rsidRPr="00CD18DC" w:rsidRDefault="00B821DC" w:rsidP="00E256E0">
            <w:pPr>
              <w:rPr>
                <w:rFonts w:eastAsia="Calibri"/>
                <w:sz w:val="24"/>
                <w:szCs w:val="24"/>
              </w:rPr>
            </w:pP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w:t>
            </w:r>
            <w:r w:rsidR="00C87EA1" w:rsidRPr="00CD18DC">
              <w:rPr>
                <w:rFonts w:eastAsia="Calibri"/>
                <w:sz w:val="24"/>
                <w:szCs w:val="24"/>
              </w:rPr>
              <w:t xml:space="preserve">      -alte costuri variabile, din care (vor fi detaliate toate categoriile respective conform prevederilor Metodologiei):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tcPr>
          <w:p w:rsidR="00B821DC" w:rsidRPr="00CD18DC" w:rsidRDefault="0050638A" w:rsidP="00E256E0">
            <w:pPr>
              <w:rPr>
                <w:rFonts w:eastAsia="Calibri"/>
                <w:sz w:val="24"/>
                <w:szCs w:val="24"/>
              </w:rPr>
            </w:pPr>
            <w:r w:rsidRPr="00CD18DC">
              <w:rPr>
                <w:rFonts w:eastAsia="Calibri"/>
                <w:sz w:val="24"/>
                <w:szCs w:val="24"/>
              </w:rPr>
              <w:t xml:space="preserve">                  -</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Costuri fixe,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operare si mentenanta,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-echipamente principale -cog care acceseaza schema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-echipamente principale -cog care nu acceseaza schema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-echipamente principale-capacitati producere separata ET</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-echipamente principale-capacitati producere separata EE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-comune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materiale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amortizare,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-echipamente principale -cog care acceseaza schema,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tcPr>
          <w:p w:rsidR="00B821DC" w:rsidRPr="00CD18DC" w:rsidRDefault="00B821DC" w:rsidP="00E256E0">
            <w:pPr>
              <w:rPr>
                <w:rFonts w:eastAsia="Calibri"/>
                <w:sz w:val="24"/>
                <w:szCs w:val="24"/>
              </w:rPr>
            </w:pPr>
            <w:r w:rsidRPr="00CD18DC">
              <w:rPr>
                <w:rFonts w:eastAsia="Calibri"/>
                <w:sz w:val="24"/>
                <w:szCs w:val="24"/>
              </w:rPr>
              <w:t xml:space="preserve">                                      -aferente activelor realizate cf. art. 8 alin.(2)</w:t>
            </w:r>
          </w:p>
        </w:tc>
        <w:tc>
          <w:tcPr>
            <w:tcW w:w="1176" w:type="dxa"/>
            <w:gridSpan w:val="2"/>
            <w:shd w:val="clear" w:color="auto" w:fill="auto"/>
            <w:noWrap/>
          </w:tcPr>
          <w:p w:rsidR="00B821DC" w:rsidRPr="00CD18DC" w:rsidRDefault="00B821DC" w:rsidP="00E256E0">
            <w:pPr>
              <w:rPr>
                <w:rFonts w:eastAsia="Calibri"/>
                <w:sz w:val="24"/>
                <w:szCs w:val="24"/>
              </w:rPr>
            </w:pPr>
          </w:p>
        </w:tc>
        <w:tc>
          <w:tcPr>
            <w:tcW w:w="1483" w:type="dxa"/>
            <w:shd w:val="clear" w:color="auto" w:fill="auto"/>
            <w:noWrap/>
          </w:tcPr>
          <w:p w:rsidR="00B821DC" w:rsidRPr="00CD18DC" w:rsidRDefault="00B821DC" w:rsidP="00E256E0">
            <w:pPr>
              <w:rPr>
                <w:rFonts w:eastAsia="Calibri"/>
                <w:sz w:val="24"/>
                <w:szCs w:val="24"/>
              </w:rPr>
            </w:pP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-echipamente principale -cog care nu acceseaza schema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tcPr>
          <w:p w:rsidR="00B821DC" w:rsidRPr="00CD18DC" w:rsidRDefault="00B821DC" w:rsidP="00E256E0">
            <w:pPr>
              <w:rPr>
                <w:rFonts w:eastAsia="Calibri"/>
                <w:sz w:val="24"/>
                <w:szCs w:val="24"/>
              </w:rPr>
            </w:pPr>
            <w:r w:rsidRPr="00CD18DC">
              <w:rPr>
                <w:rFonts w:eastAsia="Calibri"/>
                <w:sz w:val="24"/>
                <w:szCs w:val="24"/>
              </w:rPr>
              <w:t xml:space="preserve">                                      -aferente activelor realizate cf. art. 8 alin.(2)</w:t>
            </w:r>
          </w:p>
        </w:tc>
        <w:tc>
          <w:tcPr>
            <w:tcW w:w="1176" w:type="dxa"/>
            <w:gridSpan w:val="2"/>
            <w:shd w:val="clear" w:color="auto" w:fill="auto"/>
            <w:noWrap/>
          </w:tcPr>
          <w:p w:rsidR="00B821DC" w:rsidRPr="00CD18DC" w:rsidRDefault="00B821DC" w:rsidP="00E256E0">
            <w:pPr>
              <w:rPr>
                <w:rFonts w:eastAsia="Calibri"/>
                <w:sz w:val="24"/>
                <w:szCs w:val="24"/>
              </w:rPr>
            </w:pPr>
          </w:p>
        </w:tc>
        <w:tc>
          <w:tcPr>
            <w:tcW w:w="1483" w:type="dxa"/>
            <w:shd w:val="clear" w:color="auto" w:fill="auto"/>
            <w:noWrap/>
          </w:tcPr>
          <w:p w:rsidR="00B821DC" w:rsidRPr="00CD18DC" w:rsidRDefault="00B821DC" w:rsidP="00E256E0">
            <w:pPr>
              <w:rPr>
                <w:rFonts w:eastAsia="Calibri"/>
                <w:sz w:val="24"/>
                <w:szCs w:val="24"/>
              </w:rPr>
            </w:pP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-echipamente principale-capacitati producere separata ET</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tcPr>
          <w:p w:rsidR="00B821DC" w:rsidRPr="00CD18DC" w:rsidRDefault="00B821DC" w:rsidP="00E256E0">
            <w:pPr>
              <w:rPr>
                <w:rFonts w:eastAsia="Calibri"/>
                <w:sz w:val="24"/>
                <w:szCs w:val="24"/>
              </w:rPr>
            </w:pPr>
            <w:r w:rsidRPr="00CD18DC">
              <w:rPr>
                <w:rFonts w:eastAsia="Calibri"/>
                <w:sz w:val="24"/>
                <w:szCs w:val="24"/>
              </w:rPr>
              <w:t xml:space="preserve">                                       -aferente activelor realizate cf. art. 8 alin.(2)</w:t>
            </w:r>
          </w:p>
        </w:tc>
        <w:tc>
          <w:tcPr>
            <w:tcW w:w="1176" w:type="dxa"/>
            <w:gridSpan w:val="2"/>
            <w:shd w:val="clear" w:color="auto" w:fill="auto"/>
            <w:noWrap/>
          </w:tcPr>
          <w:p w:rsidR="00B821DC" w:rsidRPr="00CD18DC" w:rsidRDefault="00B821DC" w:rsidP="00E256E0">
            <w:pPr>
              <w:rPr>
                <w:rFonts w:eastAsia="Calibri"/>
                <w:sz w:val="24"/>
                <w:szCs w:val="24"/>
              </w:rPr>
            </w:pPr>
          </w:p>
        </w:tc>
        <w:tc>
          <w:tcPr>
            <w:tcW w:w="1483" w:type="dxa"/>
            <w:shd w:val="clear" w:color="auto" w:fill="auto"/>
            <w:noWrap/>
          </w:tcPr>
          <w:p w:rsidR="00B821DC" w:rsidRPr="00CD18DC" w:rsidRDefault="00B821DC" w:rsidP="00E256E0">
            <w:pPr>
              <w:rPr>
                <w:rFonts w:eastAsia="Calibri"/>
                <w:sz w:val="24"/>
                <w:szCs w:val="24"/>
              </w:rPr>
            </w:pP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-echipamente principale-capacitati producere separata EE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tcPr>
          <w:p w:rsidR="00B821DC" w:rsidRPr="00CD18DC" w:rsidRDefault="00B821DC" w:rsidP="00E256E0">
            <w:pPr>
              <w:rPr>
                <w:rFonts w:eastAsia="Calibri"/>
                <w:sz w:val="24"/>
                <w:szCs w:val="24"/>
              </w:rPr>
            </w:pPr>
            <w:r w:rsidRPr="00CD18DC">
              <w:rPr>
                <w:rFonts w:eastAsia="Calibri"/>
                <w:sz w:val="24"/>
                <w:szCs w:val="24"/>
              </w:rPr>
              <w:t xml:space="preserve">                                      -aferente activelor realizate cf. art. 8 alin.(2)</w:t>
            </w:r>
          </w:p>
        </w:tc>
        <w:tc>
          <w:tcPr>
            <w:tcW w:w="1176" w:type="dxa"/>
            <w:gridSpan w:val="2"/>
            <w:shd w:val="clear" w:color="auto" w:fill="auto"/>
            <w:noWrap/>
          </w:tcPr>
          <w:p w:rsidR="00B821DC" w:rsidRPr="00CD18DC" w:rsidRDefault="00B821DC" w:rsidP="00E256E0">
            <w:pPr>
              <w:rPr>
                <w:rFonts w:eastAsia="Calibri"/>
                <w:sz w:val="24"/>
                <w:szCs w:val="24"/>
              </w:rPr>
            </w:pPr>
          </w:p>
        </w:tc>
        <w:tc>
          <w:tcPr>
            <w:tcW w:w="1483" w:type="dxa"/>
            <w:shd w:val="clear" w:color="auto" w:fill="auto"/>
            <w:noWrap/>
          </w:tcPr>
          <w:p w:rsidR="00B821DC" w:rsidRPr="00CD18DC" w:rsidRDefault="00B821DC" w:rsidP="00E256E0">
            <w:pPr>
              <w:rPr>
                <w:rFonts w:eastAsia="Calibri"/>
                <w:sz w:val="24"/>
                <w:szCs w:val="24"/>
              </w:rPr>
            </w:pP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-comune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tcPr>
          <w:p w:rsidR="00B821DC" w:rsidRPr="00CD18DC" w:rsidRDefault="00B821DC" w:rsidP="00E256E0">
            <w:pPr>
              <w:rPr>
                <w:rFonts w:eastAsia="Calibri"/>
                <w:sz w:val="24"/>
                <w:szCs w:val="24"/>
              </w:rPr>
            </w:pPr>
            <w:r w:rsidRPr="00CD18DC">
              <w:rPr>
                <w:rFonts w:eastAsia="Calibri"/>
                <w:sz w:val="24"/>
                <w:szCs w:val="24"/>
              </w:rPr>
              <w:t xml:space="preserve">                                      -aferente activelor realizate cf. art. 8 alin.(2)</w:t>
            </w:r>
          </w:p>
        </w:tc>
        <w:tc>
          <w:tcPr>
            <w:tcW w:w="1176" w:type="dxa"/>
            <w:gridSpan w:val="2"/>
            <w:shd w:val="clear" w:color="auto" w:fill="auto"/>
            <w:noWrap/>
          </w:tcPr>
          <w:p w:rsidR="00B821DC" w:rsidRPr="00CD18DC" w:rsidRDefault="00B821DC" w:rsidP="00E256E0">
            <w:pPr>
              <w:rPr>
                <w:rFonts w:eastAsia="Calibri"/>
                <w:sz w:val="24"/>
                <w:szCs w:val="24"/>
              </w:rPr>
            </w:pPr>
          </w:p>
        </w:tc>
        <w:tc>
          <w:tcPr>
            <w:tcW w:w="1483" w:type="dxa"/>
            <w:shd w:val="clear" w:color="auto" w:fill="auto"/>
            <w:noWrap/>
          </w:tcPr>
          <w:p w:rsidR="00B821DC" w:rsidRPr="00CD18DC" w:rsidRDefault="00B821DC" w:rsidP="00E256E0">
            <w:pPr>
              <w:rPr>
                <w:rFonts w:eastAsia="Calibri"/>
                <w:sz w:val="24"/>
                <w:szCs w:val="24"/>
              </w:rPr>
            </w:pP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redeventa/chirii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utilitati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salarii si asimilate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protectia mediului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servicii executate cu tertii,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-echipamente principale –cog care acceseaza schema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-echipamente principale –cog care nu acceseaza schema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-echipamente principale-capacitati producere separata ET</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-echipamente principale-capacitati producere separata EE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-comune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-costuri financiare,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tcPr>
          <w:p w:rsidR="00B821DC" w:rsidRPr="00CD18DC" w:rsidRDefault="00B821DC" w:rsidP="00E256E0">
            <w:pPr>
              <w:rPr>
                <w:rFonts w:eastAsia="Calibri"/>
                <w:sz w:val="24"/>
                <w:szCs w:val="24"/>
              </w:rPr>
            </w:pPr>
            <w:r w:rsidRPr="00CD18DC">
              <w:rPr>
                <w:rFonts w:eastAsia="Calibri"/>
                <w:sz w:val="24"/>
                <w:szCs w:val="24"/>
              </w:rPr>
              <w:t xml:space="preserve">                       -aferente creditelor pentru investitii</w:t>
            </w:r>
          </w:p>
        </w:tc>
        <w:tc>
          <w:tcPr>
            <w:tcW w:w="1176" w:type="dxa"/>
            <w:gridSpan w:val="2"/>
            <w:shd w:val="clear" w:color="auto" w:fill="auto"/>
            <w:noWrap/>
          </w:tcPr>
          <w:p w:rsidR="00B821DC" w:rsidRPr="00CD18DC" w:rsidRDefault="00B821DC" w:rsidP="00E256E0">
            <w:pPr>
              <w:rPr>
                <w:rFonts w:eastAsia="Calibri"/>
                <w:sz w:val="24"/>
                <w:szCs w:val="24"/>
              </w:rPr>
            </w:pPr>
          </w:p>
        </w:tc>
        <w:tc>
          <w:tcPr>
            <w:tcW w:w="1483" w:type="dxa"/>
            <w:shd w:val="clear" w:color="auto" w:fill="auto"/>
            <w:noWrap/>
          </w:tcPr>
          <w:p w:rsidR="00B821DC" w:rsidRPr="00CD18DC" w:rsidRDefault="00B821DC" w:rsidP="00E256E0">
            <w:pPr>
              <w:rPr>
                <w:rFonts w:eastAsia="Calibri"/>
                <w:sz w:val="24"/>
                <w:szCs w:val="24"/>
              </w:rPr>
            </w:pPr>
          </w:p>
        </w:tc>
      </w:tr>
      <w:tr w:rsidR="00B821DC" w:rsidRPr="00CD18DC" w:rsidTr="00E256E0">
        <w:trPr>
          <w:trHeight w:val="31"/>
        </w:trPr>
        <w:tc>
          <w:tcPr>
            <w:tcW w:w="7439" w:type="dxa"/>
            <w:shd w:val="clear" w:color="auto" w:fill="auto"/>
            <w:noWrap/>
            <w:hideMark/>
          </w:tcPr>
          <w:p w:rsidR="00B821DC" w:rsidRPr="00CD18DC" w:rsidRDefault="00C87EA1" w:rsidP="00E256E0">
            <w:pPr>
              <w:rPr>
                <w:rFonts w:eastAsia="Calibri"/>
                <w:sz w:val="24"/>
                <w:szCs w:val="24"/>
              </w:rPr>
            </w:pPr>
            <w:r w:rsidRPr="00CD18DC">
              <w:rPr>
                <w:rFonts w:eastAsia="Calibri"/>
                <w:sz w:val="24"/>
                <w:szCs w:val="24"/>
              </w:rPr>
              <w:t xml:space="preserve">     -alte costuri fixe, din care  (vor fi detaliate toate categoriile respective conform prevederilor Metodologiei):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tcPr>
          <w:p w:rsidR="00B821DC" w:rsidRPr="00CD18DC" w:rsidRDefault="00C87EA1" w:rsidP="00E256E0">
            <w:pPr>
              <w:tabs>
                <w:tab w:val="left" w:pos="2745"/>
              </w:tabs>
              <w:rPr>
                <w:rFonts w:eastAsia="Calibri"/>
                <w:sz w:val="24"/>
                <w:szCs w:val="24"/>
              </w:rPr>
            </w:pPr>
            <w:r w:rsidRPr="00CD18DC">
              <w:rPr>
                <w:rFonts w:eastAsia="Calibri"/>
                <w:sz w:val="24"/>
                <w:szCs w:val="24"/>
              </w:rPr>
              <w:t xml:space="preserve">                        -</w:t>
            </w:r>
          </w:p>
        </w:tc>
        <w:tc>
          <w:tcPr>
            <w:tcW w:w="1176" w:type="dxa"/>
            <w:gridSpan w:val="2"/>
            <w:shd w:val="clear" w:color="auto" w:fill="auto"/>
            <w:noWrap/>
          </w:tcPr>
          <w:p w:rsidR="00B821DC" w:rsidRPr="00CD18DC" w:rsidRDefault="00B821DC" w:rsidP="00E256E0">
            <w:pPr>
              <w:rPr>
                <w:rFonts w:eastAsia="Calibri"/>
                <w:sz w:val="24"/>
                <w:szCs w:val="24"/>
              </w:rPr>
            </w:pPr>
          </w:p>
        </w:tc>
        <w:tc>
          <w:tcPr>
            <w:tcW w:w="1483" w:type="dxa"/>
            <w:shd w:val="clear" w:color="auto" w:fill="auto"/>
            <w:noWrap/>
          </w:tcPr>
          <w:p w:rsidR="00B821DC" w:rsidRPr="00CD18DC" w:rsidRDefault="00B821DC" w:rsidP="00E256E0">
            <w:pPr>
              <w:rPr>
                <w:rFonts w:eastAsia="Calibri"/>
                <w:sz w:val="24"/>
                <w:szCs w:val="24"/>
              </w:rPr>
            </w:pP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lastRenderedPageBreak/>
              <w:t xml:space="preserve">                      ……………..</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Ajutoare de investitii primite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Alte date: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 xml:space="preserve">Energie electrica la borne, </w:t>
            </w:r>
            <w:r w:rsidRPr="00CD18DC">
              <w:rPr>
                <w:rFonts w:eastAsia="Calibri"/>
                <w:sz w:val="24"/>
                <w:szCs w:val="24"/>
              </w:rPr>
              <w:t>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-in cogenerare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-in capacitati de producere separata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 xml:space="preserve">Energie electrica livrata, </w:t>
            </w:r>
            <w:r w:rsidRPr="00CD18DC">
              <w:rPr>
                <w:rFonts w:eastAsia="Calibri"/>
                <w:sz w:val="24"/>
                <w:szCs w:val="24"/>
              </w:rPr>
              <w:t>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-din unitati de cogenerare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-din capacitati de producere separata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Autoconsum</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 xml:space="preserve">Energie electrica care a beneficiat de bonus </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b/>
                <w:bCs/>
                <w:sz w:val="24"/>
                <w:szCs w:val="24"/>
              </w:rPr>
            </w:pPr>
            <w:r w:rsidRPr="00CD18DC">
              <w:rPr>
                <w:rFonts w:eastAsia="Calibri"/>
                <w:b/>
                <w:bCs/>
                <w:sz w:val="24"/>
                <w:szCs w:val="24"/>
              </w:rPr>
              <w:t xml:space="preserve">Energie termica livrata la gardul centralei,  </w:t>
            </w:r>
            <w:r w:rsidRPr="00CD18DC">
              <w:rPr>
                <w:rFonts w:eastAsia="Calibri"/>
                <w:sz w:val="24"/>
                <w:szCs w:val="24"/>
              </w:rPr>
              <w:t>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-capacitati de producere separata pentru consumatorii casnici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-capacitati de producere separata pentru consumatorii noncasnici,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-energie termica sub forma de abur</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-cogenerare pentru consumatorii casnici </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tcPr>
          <w:p w:rsidR="00B821DC" w:rsidRPr="00CD18DC" w:rsidRDefault="00B821DC" w:rsidP="00E256E0">
            <w:pPr>
              <w:ind w:firstLine="720"/>
              <w:rPr>
                <w:rFonts w:eastAsia="Calibri"/>
                <w:sz w:val="24"/>
                <w:szCs w:val="24"/>
              </w:rPr>
            </w:pPr>
            <w:r w:rsidRPr="00CD18DC">
              <w:rPr>
                <w:rFonts w:eastAsia="Calibri"/>
                <w:sz w:val="24"/>
                <w:szCs w:val="24"/>
              </w:rPr>
              <w:t>-cogenerare pentru consumatorii noncasnici, din care:</w:t>
            </w:r>
          </w:p>
        </w:tc>
        <w:tc>
          <w:tcPr>
            <w:tcW w:w="1176" w:type="dxa"/>
            <w:gridSpan w:val="2"/>
            <w:shd w:val="clear" w:color="auto" w:fill="auto"/>
            <w:noWrap/>
          </w:tcPr>
          <w:p w:rsidR="00B821DC" w:rsidRPr="00CD18DC" w:rsidRDefault="00B821DC" w:rsidP="00E256E0">
            <w:pPr>
              <w:rPr>
                <w:rFonts w:eastAsia="Calibri"/>
                <w:sz w:val="24"/>
                <w:szCs w:val="24"/>
              </w:rPr>
            </w:pPr>
          </w:p>
        </w:tc>
        <w:tc>
          <w:tcPr>
            <w:tcW w:w="1483" w:type="dxa"/>
            <w:shd w:val="clear" w:color="auto" w:fill="auto"/>
            <w:noWrap/>
          </w:tcPr>
          <w:p w:rsidR="00B821DC" w:rsidRPr="00CD18DC" w:rsidRDefault="00B821DC" w:rsidP="00E256E0">
            <w:pPr>
              <w:rPr>
                <w:rFonts w:eastAsia="Calibri"/>
                <w:sz w:val="24"/>
                <w:szCs w:val="24"/>
              </w:rPr>
            </w:pPr>
          </w:p>
        </w:tc>
      </w:tr>
      <w:tr w:rsidR="00B821DC" w:rsidRPr="00CD18DC" w:rsidTr="00E256E0">
        <w:trPr>
          <w:trHeight w:val="31"/>
        </w:trPr>
        <w:tc>
          <w:tcPr>
            <w:tcW w:w="7439" w:type="dxa"/>
            <w:shd w:val="clear" w:color="auto" w:fill="auto"/>
            <w:noWrap/>
          </w:tcPr>
          <w:p w:rsidR="00B821DC" w:rsidRPr="00CD18DC" w:rsidRDefault="00B821DC" w:rsidP="00E256E0">
            <w:pPr>
              <w:rPr>
                <w:rFonts w:eastAsia="Calibri"/>
                <w:sz w:val="24"/>
                <w:szCs w:val="24"/>
              </w:rPr>
            </w:pPr>
            <w:r w:rsidRPr="00CD18DC">
              <w:rPr>
                <w:rFonts w:eastAsia="Calibri"/>
                <w:sz w:val="24"/>
                <w:szCs w:val="24"/>
              </w:rPr>
              <w:t xml:space="preserve">                           -energie termica sub formă de abur</w:t>
            </w:r>
          </w:p>
        </w:tc>
        <w:tc>
          <w:tcPr>
            <w:tcW w:w="1176" w:type="dxa"/>
            <w:gridSpan w:val="2"/>
            <w:shd w:val="clear" w:color="auto" w:fill="auto"/>
            <w:noWrap/>
          </w:tcPr>
          <w:p w:rsidR="00B821DC" w:rsidRPr="00CD18DC" w:rsidRDefault="00B821DC" w:rsidP="00E256E0">
            <w:pPr>
              <w:rPr>
                <w:rFonts w:eastAsia="Calibri"/>
                <w:sz w:val="24"/>
                <w:szCs w:val="24"/>
              </w:rPr>
            </w:pPr>
          </w:p>
        </w:tc>
        <w:tc>
          <w:tcPr>
            <w:tcW w:w="1483" w:type="dxa"/>
            <w:shd w:val="clear" w:color="auto" w:fill="auto"/>
            <w:noWrap/>
          </w:tcPr>
          <w:p w:rsidR="00B821DC" w:rsidRPr="00CD18DC" w:rsidRDefault="00B821DC" w:rsidP="00E256E0">
            <w:pPr>
              <w:rPr>
                <w:rFonts w:eastAsia="Calibri"/>
                <w:sz w:val="24"/>
                <w:szCs w:val="24"/>
              </w:rPr>
            </w:pP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-cogenerare pe schema de sprijin,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-pentru consumatorii casnici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tcPr>
          <w:p w:rsidR="00B821DC" w:rsidRPr="00CD18DC" w:rsidDel="009C7CCA" w:rsidRDefault="00B821DC" w:rsidP="00E256E0">
            <w:pPr>
              <w:rPr>
                <w:rFonts w:eastAsia="Calibri"/>
                <w:bCs/>
                <w:sz w:val="24"/>
                <w:szCs w:val="24"/>
              </w:rPr>
            </w:pPr>
            <w:r w:rsidRPr="00CD18DC">
              <w:rPr>
                <w:rFonts w:eastAsia="Calibri"/>
                <w:bCs/>
                <w:sz w:val="24"/>
                <w:szCs w:val="24"/>
              </w:rPr>
              <w:t xml:space="preserve">                           -pentru consumatorii noncasnici, din care:</w:t>
            </w:r>
          </w:p>
        </w:tc>
        <w:tc>
          <w:tcPr>
            <w:tcW w:w="1176" w:type="dxa"/>
            <w:gridSpan w:val="2"/>
            <w:shd w:val="clear" w:color="auto" w:fill="auto"/>
            <w:noWrap/>
          </w:tcPr>
          <w:p w:rsidR="00B821DC" w:rsidRPr="00CD18DC" w:rsidDel="009C7CCA" w:rsidRDefault="00B821DC" w:rsidP="00E256E0">
            <w:pPr>
              <w:rPr>
                <w:rFonts w:eastAsia="Calibri"/>
                <w:sz w:val="24"/>
                <w:szCs w:val="24"/>
              </w:rPr>
            </w:pPr>
          </w:p>
        </w:tc>
        <w:tc>
          <w:tcPr>
            <w:tcW w:w="1483" w:type="dxa"/>
            <w:shd w:val="clear" w:color="auto" w:fill="auto"/>
            <w:noWrap/>
          </w:tcPr>
          <w:p w:rsidR="00B821DC" w:rsidRPr="00CD18DC" w:rsidDel="009C7CCA" w:rsidRDefault="00B821DC" w:rsidP="00E256E0">
            <w:pPr>
              <w:rPr>
                <w:rFonts w:eastAsia="Calibri"/>
                <w:sz w:val="24"/>
                <w:szCs w:val="24"/>
              </w:rPr>
            </w:pPr>
          </w:p>
        </w:tc>
      </w:tr>
      <w:tr w:rsidR="00B821DC" w:rsidRPr="00CD18DC" w:rsidTr="00E256E0">
        <w:trPr>
          <w:trHeight w:val="31"/>
        </w:trPr>
        <w:tc>
          <w:tcPr>
            <w:tcW w:w="7439" w:type="dxa"/>
            <w:shd w:val="clear" w:color="auto" w:fill="auto"/>
            <w:noWrap/>
          </w:tcPr>
          <w:p w:rsidR="00B821DC" w:rsidRPr="00CD18DC" w:rsidDel="009C7CCA" w:rsidRDefault="00B821DC" w:rsidP="00E256E0">
            <w:pPr>
              <w:rPr>
                <w:rFonts w:eastAsia="Calibri"/>
                <w:bCs/>
                <w:sz w:val="24"/>
                <w:szCs w:val="24"/>
              </w:rPr>
            </w:pPr>
            <w:r w:rsidRPr="00CD18DC">
              <w:rPr>
                <w:rFonts w:eastAsia="Calibri"/>
                <w:bCs/>
                <w:sz w:val="24"/>
                <w:szCs w:val="24"/>
              </w:rPr>
              <w:t xml:space="preserve">                                               -energie termică sub formă de abur</w:t>
            </w:r>
          </w:p>
        </w:tc>
        <w:tc>
          <w:tcPr>
            <w:tcW w:w="1176" w:type="dxa"/>
            <w:gridSpan w:val="2"/>
            <w:shd w:val="clear" w:color="auto" w:fill="auto"/>
            <w:noWrap/>
          </w:tcPr>
          <w:p w:rsidR="00B821DC" w:rsidRPr="00CD18DC" w:rsidDel="009C7CCA" w:rsidRDefault="00B821DC" w:rsidP="00E256E0">
            <w:pPr>
              <w:rPr>
                <w:rFonts w:eastAsia="Calibri"/>
                <w:sz w:val="24"/>
                <w:szCs w:val="24"/>
              </w:rPr>
            </w:pPr>
          </w:p>
        </w:tc>
        <w:tc>
          <w:tcPr>
            <w:tcW w:w="1483" w:type="dxa"/>
            <w:shd w:val="clear" w:color="auto" w:fill="auto"/>
            <w:noWrap/>
          </w:tcPr>
          <w:p w:rsidR="00B821DC" w:rsidRPr="00CD18DC" w:rsidDel="009C7CCA" w:rsidRDefault="00B821DC" w:rsidP="00E256E0">
            <w:pPr>
              <w:rPr>
                <w:rFonts w:eastAsia="Calibri"/>
                <w:sz w:val="24"/>
                <w:szCs w:val="24"/>
              </w:rPr>
            </w:pP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b/>
                <w:bCs/>
                <w:sz w:val="24"/>
                <w:szCs w:val="24"/>
              </w:rPr>
              <w:t>Energie din combustibil total</w:t>
            </w:r>
            <w:r w:rsidRPr="00CD18DC">
              <w:rPr>
                <w:rFonts w:eastAsia="Calibri"/>
                <w:sz w:val="24"/>
                <w:szCs w:val="24"/>
              </w:rPr>
              <w:t>,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cogenerare care acceseaza schema de sprijin,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-GN pentru energia termica pentru consumatorii casnici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-GN pentru energia termica pentru consumatorii noncasnici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-GN producere energie electrica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-combustibil solid</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-pacura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-alti combustibili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cogenerare care nu acceseaza schema de sprijin, din care: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-GN pentru energia termica pentru consumatorii casnici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-GN pentru energia termica pentru consumatorii noncasnici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-GN producere energie electrica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-combustibil solid</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-pacura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-alti combustibili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capacitati de producere separata a energiei termice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-GN pentru energie termica pentru consumatorii casnici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-GN pentru energie termica pentru consumatorii noncasnici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-combustibil solid</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-pacura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-alti combustibili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capacitati de producere separata a energiei electrice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-GN </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-combustibil solid</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-pacura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lastRenderedPageBreak/>
              <w:t xml:space="preserve">                -alti combustibili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Pret mediu anual de achizitie a GN consumate: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-in cogenerare pentru energia termica pentru consumatori casnici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cogenerare care acceseaza schema de sprijin</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cogenerare care nu acceseaza schema de sprijin</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-in cogenerare pentru energia termica pentru consumatori noncasnici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cogenerare care acceseaza schema de sprijin</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cogenerare care nu acceseaza schema de sprijin</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-in cogenerare pentru energia electrica</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cogenerare care acceseaza schema de sprijin</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 cogenerare care nu acceseaza schema de sprijin</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-in capacitati separate pentru energia termica pentru consumatori casnici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-in capacitati separate pentru energia termica pentru consumatori noncasnici</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xml:space="preserve">                 -in capacitati separate pentru producerea energiei electrice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Pret mediu anual de achizitie a pacurii consumate</w:t>
            </w:r>
          </w:p>
        </w:tc>
        <w:tc>
          <w:tcPr>
            <w:tcW w:w="1176" w:type="dxa"/>
            <w:gridSpan w:val="2"/>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tcBorders>
              <w:bottom w:val="single" w:sz="4" w:space="0" w:color="auto"/>
            </w:tcBorders>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Pret mediu anual de achizitie a combustibilului solid consumat</w:t>
            </w:r>
          </w:p>
        </w:tc>
        <w:tc>
          <w:tcPr>
            <w:tcW w:w="1176" w:type="dxa"/>
            <w:gridSpan w:val="2"/>
            <w:tcBorders>
              <w:bottom w:val="single" w:sz="4" w:space="0" w:color="auto"/>
            </w:tcBorders>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tcBorders>
              <w:bottom w:val="single" w:sz="4" w:space="0" w:color="auto"/>
            </w:tcBorders>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tcBorders>
              <w:bottom w:val="single" w:sz="4" w:space="0" w:color="auto"/>
            </w:tcBorders>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Pret mediu anual de achizitie alt combustibil</w:t>
            </w:r>
          </w:p>
        </w:tc>
        <w:tc>
          <w:tcPr>
            <w:tcW w:w="1176" w:type="dxa"/>
            <w:gridSpan w:val="2"/>
            <w:tcBorders>
              <w:bottom w:val="single" w:sz="4" w:space="0" w:color="auto"/>
            </w:tcBorders>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c>
          <w:tcPr>
            <w:tcW w:w="1483" w:type="dxa"/>
            <w:tcBorders>
              <w:bottom w:val="single" w:sz="4" w:space="0" w:color="auto"/>
            </w:tcBorders>
            <w:shd w:val="clear" w:color="auto" w:fill="auto"/>
            <w:noWrap/>
            <w:hideMark/>
          </w:tcPr>
          <w:p w:rsidR="00B821DC" w:rsidRPr="00CD18DC" w:rsidRDefault="00B821DC" w:rsidP="00E256E0">
            <w:pPr>
              <w:rPr>
                <w:rFonts w:eastAsia="Calibri"/>
                <w:sz w:val="24"/>
                <w:szCs w:val="24"/>
              </w:rPr>
            </w:pPr>
            <w:r w:rsidRPr="00CD18DC">
              <w:rPr>
                <w:rFonts w:eastAsia="Calibri"/>
                <w:sz w:val="24"/>
                <w:szCs w:val="24"/>
              </w:rPr>
              <w:t> </w:t>
            </w:r>
          </w:p>
        </w:tc>
      </w:tr>
      <w:tr w:rsidR="00B821DC" w:rsidRPr="00CD18DC" w:rsidTr="00E256E0">
        <w:trPr>
          <w:trHeight w:val="31"/>
        </w:trPr>
        <w:tc>
          <w:tcPr>
            <w:tcW w:w="7439" w:type="dxa"/>
            <w:tcBorders>
              <w:bottom w:val="single" w:sz="4" w:space="0" w:color="auto"/>
            </w:tcBorders>
            <w:shd w:val="clear" w:color="auto" w:fill="auto"/>
            <w:noWrap/>
          </w:tcPr>
          <w:p w:rsidR="00B821DC" w:rsidRPr="00CD18DC" w:rsidRDefault="00B821DC" w:rsidP="00E256E0">
            <w:pPr>
              <w:rPr>
                <w:rFonts w:eastAsia="Calibri"/>
                <w:sz w:val="24"/>
                <w:szCs w:val="24"/>
              </w:rPr>
            </w:pPr>
            <w:r w:rsidRPr="00CD18DC">
              <w:rPr>
                <w:rFonts w:eastAsia="Calibri"/>
                <w:b/>
                <w:bCs/>
                <w:sz w:val="24"/>
                <w:szCs w:val="24"/>
              </w:rPr>
              <w:t>Valoare investiții realizate</w:t>
            </w:r>
            <w:r w:rsidRPr="00CD18DC">
              <w:rPr>
                <w:rFonts w:eastAsia="Calibri"/>
                <w:sz w:val="24"/>
                <w:szCs w:val="24"/>
              </w:rPr>
              <w:t>, din care</w:t>
            </w:r>
            <w:r w:rsidR="003C14C3">
              <w:rPr>
                <w:rFonts w:eastAsia="Calibri"/>
                <w:sz w:val="24"/>
                <w:szCs w:val="24"/>
              </w:rPr>
              <w:t>:</w:t>
            </w:r>
            <w:r w:rsidRPr="00CD18DC">
              <w:rPr>
                <w:rFonts w:eastAsia="Calibri"/>
                <w:sz w:val="24"/>
                <w:szCs w:val="24"/>
              </w:rPr>
              <w:t xml:space="preserve"> </w:t>
            </w:r>
          </w:p>
        </w:tc>
        <w:tc>
          <w:tcPr>
            <w:tcW w:w="1176" w:type="dxa"/>
            <w:gridSpan w:val="2"/>
            <w:tcBorders>
              <w:bottom w:val="single" w:sz="4" w:space="0" w:color="auto"/>
            </w:tcBorders>
            <w:shd w:val="clear" w:color="auto" w:fill="auto"/>
            <w:noWrap/>
          </w:tcPr>
          <w:p w:rsidR="00B821DC" w:rsidRPr="00CD18DC" w:rsidRDefault="00B821DC" w:rsidP="00E256E0">
            <w:pPr>
              <w:rPr>
                <w:rFonts w:eastAsia="Calibri"/>
                <w:sz w:val="24"/>
                <w:szCs w:val="24"/>
              </w:rPr>
            </w:pPr>
          </w:p>
        </w:tc>
        <w:tc>
          <w:tcPr>
            <w:tcW w:w="1483" w:type="dxa"/>
            <w:tcBorders>
              <w:bottom w:val="single" w:sz="4" w:space="0" w:color="auto"/>
            </w:tcBorders>
            <w:shd w:val="clear" w:color="auto" w:fill="auto"/>
            <w:noWrap/>
          </w:tcPr>
          <w:p w:rsidR="00B821DC" w:rsidRPr="00CD18DC" w:rsidRDefault="00B821DC" w:rsidP="00E256E0">
            <w:pPr>
              <w:rPr>
                <w:rFonts w:eastAsia="Calibri"/>
                <w:sz w:val="24"/>
                <w:szCs w:val="24"/>
              </w:rPr>
            </w:pPr>
          </w:p>
        </w:tc>
      </w:tr>
      <w:tr w:rsidR="00B821DC" w:rsidRPr="00CD18DC" w:rsidTr="00E256E0">
        <w:trPr>
          <w:trHeight w:val="31"/>
        </w:trPr>
        <w:tc>
          <w:tcPr>
            <w:tcW w:w="7439" w:type="dxa"/>
            <w:tcBorders>
              <w:bottom w:val="single" w:sz="4" w:space="0" w:color="auto"/>
            </w:tcBorders>
            <w:shd w:val="clear" w:color="auto" w:fill="auto"/>
            <w:noWrap/>
          </w:tcPr>
          <w:p w:rsidR="00B821DC" w:rsidRPr="00CD18DC" w:rsidRDefault="00B821DC" w:rsidP="00E256E0">
            <w:pPr>
              <w:rPr>
                <w:rFonts w:eastAsia="Calibri"/>
                <w:sz w:val="24"/>
                <w:szCs w:val="24"/>
              </w:rPr>
            </w:pPr>
            <w:r w:rsidRPr="00CD18DC">
              <w:rPr>
                <w:rFonts w:eastAsia="Calibri"/>
                <w:sz w:val="24"/>
                <w:szCs w:val="24"/>
              </w:rPr>
              <w:t xml:space="preserve">             -in cogenerare</w:t>
            </w:r>
          </w:p>
        </w:tc>
        <w:tc>
          <w:tcPr>
            <w:tcW w:w="1176" w:type="dxa"/>
            <w:gridSpan w:val="2"/>
            <w:tcBorders>
              <w:bottom w:val="single" w:sz="4" w:space="0" w:color="auto"/>
            </w:tcBorders>
            <w:shd w:val="clear" w:color="auto" w:fill="auto"/>
            <w:noWrap/>
          </w:tcPr>
          <w:p w:rsidR="00B821DC" w:rsidRPr="00CD18DC" w:rsidRDefault="00B821DC" w:rsidP="00E256E0">
            <w:pPr>
              <w:rPr>
                <w:rFonts w:eastAsia="Calibri"/>
                <w:sz w:val="24"/>
                <w:szCs w:val="24"/>
              </w:rPr>
            </w:pPr>
          </w:p>
        </w:tc>
        <w:tc>
          <w:tcPr>
            <w:tcW w:w="1483" w:type="dxa"/>
            <w:tcBorders>
              <w:bottom w:val="single" w:sz="4" w:space="0" w:color="auto"/>
            </w:tcBorders>
            <w:shd w:val="clear" w:color="auto" w:fill="auto"/>
            <w:noWrap/>
          </w:tcPr>
          <w:p w:rsidR="00B821DC" w:rsidRPr="00CD18DC" w:rsidRDefault="00B821DC" w:rsidP="00E256E0">
            <w:pPr>
              <w:rPr>
                <w:rFonts w:eastAsia="Calibri"/>
                <w:sz w:val="24"/>
                <w:szCs w:val="24"/>
              </w:rPr>
            </w:pPr>
          </w:p>
        </w:tc>
      </w:tr>
      <w:tr w:rsidR="00B821DC" w:rsidRPr="00CD18DC" w:rsidTr="00E256E0">
        <w:trPr>
          <w:trHeight w:val="45"/>
        </w:trPr>
        <w:tc>
          <w:tcPr>
            <w:tcW w:w="7439" w:type="dxa"/>
            <w:tcBorders>
              <w:top w:val="single" w:sz="4" w:space="0" w:color="auto"/>
              <w:left w:val="nil"/>
              <w:bottom w:val="nil"/>
              <w:right w:val="nil"/>
            </w:tcBorders>
            <w:shd w:val="clear" w:color="auto" w:fill="auto"/>
            <w:noWrap/>
            <w:hideMark/>
          </w:tcPr>
          <w:p w:rsidR="00B821DC" w:rsidRPr="00CD18DC" w:rsidRDefault="00B821DC" w:rsidP="00A74C57">
            <w:pPr>
              <w:spacing w:line="360" w:lineRule="auto"/>
              <w:rPr>
                <w:rFonts w:eastAsia="Calibri"/>
                <w:b/>
                <w:bCs/>
                <w:sz w:val="24"/>
                <w:szCs w:val="24"/>
              </w:rPr>
            </w:pPr>
            <w:r w:rsidRPr="00CD18DC">
              <w:rPr>
                <w:rFonts w:eastAsia="Calibri"/>
                <w:b/>
                <w:bCs/>
                <w:sz w:val="24"/>
                <w:szCs w:val="24"/>
              </w:rPr>
              <w:t>Notă</w:t>
            </w:r>
            <w:r w:rsidRPr="00CD18DC">
              <w:rPr>
                <w:rFonts w:eastAsia="Calibri"/>
                <w:bCs/>
                <w:sz w:val="24"/>
                <w:szCs w:val="24"/>
              </w:rPr>
              <w:t>:</w:t>
            </w:r>
            <w:r w:rsidRPr="00CD18DC">
              <w:rPr>
                <w:rFonts w:eastAsia="Calibri"/>
                <w:b/>
                <w:bCs/>
                <w:sz w:val="24"/>
                <w:szCs w:val="24"/>
              </w:rPr>
              <w:t xml:space="preserve">   </w:t>
            </w:r>
            <w:r w:rsidRPr="00CD18DC">
              <w:rPr>
                <w:rFonts w:eastAsia="Calibri"/>
                <w:sz w:val="24"/>
                <w:szCs w:val="24"/>
              </w:rPr>
              <w:t>1. Datele vor fi prezentate pe total centrala</w:t>
            </w:r>
          </w:p>
        </w:tc>
        <w:tc>
          <w:tcPr>
            <w:tcW w:w="1176" w:type="dxa"/>
            <w:gridSpan w:val="2"/>
            <w:tcBorders>
              <w:top w:val="single" w:sz="4" w:space="0" w:color="auto"/>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c>
          <w:tcPr>
            <w:tcW w:w="1483" w:type="dxa"/>
            <w:tcBorders>
              <w:top w:val="single" w:sz="4" w:space="0" w:color="auto"/>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r>
      <w:tr w:rsidR="00B821DC" w:rsidRPr="00CD18DC" w:rsidTr="00E256E0">
        <w:trPr>
          <w:trHeight w:val="43"/>
        </w:trPr>
        <w:tc>
          <w:tcPr>
            <w:tcW w:w="8615" w:type="dxa"/>
            <w:gridSpan w:val="3"/>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xml:space="preserve">            2. Energia din combustibil si pretul mediu al combustibilului se vor determina la puterea calorifica inferioara.</w:t>
            </w:r>
          </w:p>
        </w:tc>
        <w:tc>
          <w:tcPr>
            <w:tcW w:w="1483" w:type="dxa"/>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r>
      <w:tr w:rsidR="00B821DC" w:rsidRPr="00CD18DC" w:rsidTr="00E256E0">
        <w:trPr>
          <w:trHeight w:val="43"/>
        </w:trPr>
        <w:tc>
          <w:tcPr>
            <w:tcW w:w="7600" w:type="dxa"/>
            <w:gridSpan w:val="2"/>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xml:space="preserve">            3.Pretul mediu al combustibilului va include si costurile cu transportul</w:t>
            </w:r>
          </w:p>
        </w:tc>
        <w:tc>
          <w:tcPr>
            <w:tcW w:w="1015" w:type="dxa"/>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c>
          <w:tcPr>
            <w:tcW w:w="1483" w:type="dxa"/>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w:t>
            </w:r>
          </w:p>
        </w:tc>
      </w:tr>
      <w:tr w:rsidR="00B821DC" w:rsidRPr="00CD18DC" w:rsidTr="00E256E0">
        <w:trPr>
          <w:trHeight w:val="45"/>
        </w:trPr>
        <w:tc>
          <w:tcPr>
            <w:tcW w:w="10098" w:type="dxa"/>
            <w:gridSpan w:val="4"/>
            <w:tcBorders>
              <w:top w:val="nil"/>
              <w:left w:val="nil"/>
              <w:bottom w:val="nil"/>
              <w:right w:val="nil"/>
            </w:tcBorders>
            <w:shd w:val="clear" w:color="auto" w:fill="auto"/>
            <w:noWrap/>
            <w:hideMark/>
          </w:tcPr>
          <w:p w:rsidR="00B821DC" w:rsidRPr="00CD18DC" w:rsidRDefault="00B821DC" w:rsidP="00A74C57">
            <w:pPr>
              <w:spacing w:line="360" w:lineRule="auto"/>
              <w:rPr>
                <w:rFonts w:eastAsia="Calibri"/>
                <w:sz w:val="24"/>
                <w:szCs w:val="24"/>
              </w:rPr>
            </w:pPr>
            <w:r w:rsidRPr="00CD18DC">
              <w:rPr>
                <w:rFonts w:eastAsia="Calibri"/>
                <w:sz w:val="24"/>
                <w:szCs w:val="24"/>
              </w:rPr>
              <w:t xml:space="preserve">            4. Preturile medii ale combustibililor vor fi prezentate, dupa caz, pentru fiecare tip de capacitate de producere (in cogenerare care</w:t>
            </w:r>
            <w:r w:rsidR="006B4B25" w:rsidRPr="00CD18DC">
              <w:rPr>
                <w:rFonts w:eastAsia="Calibri"/>
                <w:sz w:val="24"/>
                <w:szCs w:val="24"/>
              </w:rPr>
              <w:t xml:space="preserve"> acceseaza/nu acceseaza schema in capacitati separate de producere energie electrica/energie termica) si pe tip de consum (casnic/noncasnic)</w:t>
            </w:r>
          </w:p>
          <w:tbl>
            <w:tblPr>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6"/>
              <w:gridCol w:w="1110"/>
              <w:gridCol w:w="1630"/>
            </w:tblGrid>
            <w:tr w:rsidR="006B4B25" w:rsidRPr="00CD18DC" w:rsidTr="00E256E0">
              <w:trPr>
                <w:trHeight w:val="45"/>
              </w:trPr>
              <w:tc>
                <w:tcPr>
                  <w:tcW w:w="7066"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xml:space="preserve">           5. Costurile si veniturile se exprima in lei</w:t>
                  </w:r>
                </w:p>
              </w:tc>
              <w:tc>
                <w:tcPr>
                  <w:tcW w:w="1110"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c>
                <w:tcPr>
                  <w:tcW w:w="1630"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r>
            <w:tr w:rsidR="006B4B25" w:rsidRPr="00CD18DC" w:rsidTr="00E256E0">
              <w:trPr>
                <w:trHeight w:val="42"/>
              </w:trPr>
              <w:tc>
                <w:tcPr>
                  <w:tcW w:w="7066"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xml:space="preserve">           6. Productiile si consumurile de combustibil se exprima in MWh</w:t>
                  </w:r>
                </w:p>
              </w:tc>
              <w:tc>
                <w:tcPr>
                  <w:tcW w:w="1110"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c>
                <w:tcPr>
                  <w:tcW w:w="1630"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r>
            <w:tr w:rsidR="006B4B25" w:rsidRPr="00CD18DC" w:rsidTr="00E256E0">
              <w:trPr>
                <w:trHeight w:val="43"/>
              </w:trPr>
              <w:tc>
                <w:tcPr>
                  <w:tcW w:w="7066"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xml:space="preserve">           7. Preturile se exprima in lei/MWh</w:t>
                  </w:r>
                </w:p>
              </w:tc>
              <w:tc>
                <w:tcPr>
                  <w:tcW w:w="1110"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c>
                <w:tcPr>
                  <w:tcW w:w="1630"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r>
          </w:tbl>
          <w:p w:rsidR="006B4B25" w:rsidRPr="00CD18DC" w:rsidRDefault="006B4B25" w:rsidP="00A74C57">
            <w:pPr>
              <w:spacing w:line="360" w:lineRule="auto"/>
              <w:rPr>
                <w:rFonts w:eastAsia="Calibri"/>
                <w:sz w:val="24"/>
                <w:szCs w:val="24"/>
              </w:rPr>
            </w:pPr>
          </w:p>
        </w:tc>
      </w:tr>
    </w:tbl>
    <w:p w:rsidR="000B47BB" w:rsidRPr="00CD18DC" w:rsidRDefault="006B4B25" w:rsidP="00C87EA1">
      <w:pPr>
        <w:pStyle w:val="ListParagraph"/>
        <w:numPr>
          <w:ilvl w:val="0"/>
          <w:numId w:val="1"/>
        </w:numPr>
        <w:spacing w:before="240" w:after="120" w:line="360" w:lineRule="auto"/>
        <w:jc w:val="both"/>
        <w:rPr>
          <w:rFonts w:eastAsia="Calibri"/>
          <w:sz w:val="24"/>
          <w:szCs w:val="24"/>
          <w:lang w:val="pt-BR"/>
        </w:rPr>
      </w:pPr>
      <w:r w:rsidRPr="00CD18DC">
        <w:rPr>
          <w:rFonts w:eastAsia="Calibri"/>
          <w:sz w:val="24"/>
          <w:szCs w:val="24"/>
          <w:lang w:val="pt-BR"/>
        </w:rPr>
        <w:t>Anexa nr. 2 la Metodologie se modifică și va avea următorul conținut:</w:t>
      </w:r>
    </w:p>
    <w:p w:rsidR="003679EF" w:rsidRPr="00CD18DC" w:rsidRDefault="006B4B25" w:rsidP="00A74C57">
      <w:pPr>
        <w:pStyle w:val="ListParagraph"/>
        <w:tabs>
          <w:tab w:val="left" w:pos="8040"/>
        </w:tabs>
        <w:spacing w:before="240" w:after="120" w:line="360" w:lineRule="auto"/>
        <w:ind w:left="1080"/>
        <w:jc w:val="both"/>
        <w:rPr>
          <w:rFonts w:eastAsia="Calibri"/>
          <w:sz w:val="24"/>
          <w:szCs w:val="24"/>
          <w:lang w:val="pt-BR"/>
        </w:rPr>
      </w:pPr>
      <w:r w:rsidRPr="00CD18DC">
        <w:rPr>
          <w:rFonts w:eastAsia="Calibri"/>
          <w:sz w:val="24"/>
          <w:szCs w:val="24"/>
          <w:lang w:val="pt-BR"/>
        </w:rPr>
        <w:tab/>
      </w:r>
    </w:p>
    <w:tbl>
      <w:tblPr>
        <w:tblW w:w="950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7"/>
        <w:gridCol w:w="784"/>
        <w:gridCol w:w="224"/>
        <w:gridCol w:w="512"/>
        <w:gridCol w:w="1157"/>
      </w:tblGrid>
      <w:tr w:rsidR="006B4B25" w:rsidRPr="00CD18DC" w:rsidTr="00746BE1">
        <w:trPr>
          <w:trHeight w:val="315"/>
        </w:trPr>
        <w:tc>
          <w:tcPr>
            <w:tcW w:w="6827"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p>
        </w:tc>
        <w:tc>
          <w:tcPr>
            <w:tcW w:w="1008" w:type="dxa"/>
            <w:gridSpan w:val="2"/>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c>
          <w:tcPr>
            <w:tcW w:w="1669" w:type="dxa"/>
            <w:gridSpan w:val="2"/>
            <w:tcBorders>
              <w:top w:val="nil"/>
              <w:left w:val="nil"/>
              <w:bottom w:val="nil"/>
              <w:right w:val="nil"/>
            </w:tcBorders>
            <w:shd w:val="clear" w:color="auto" w:fill="auto"/>
            <w:noWrap/>
            <w:hideMark/>
          </w:tcPr>
          <w:p w:rsidR="003C14C3" w:rsidRDefault="003C14C3" w:rsidP="00A74C57">
            <w:pPr>
              <w:spacing w:line="360" w:lineRule="auto"/>
              <w:rPr>
                <w:rFonts w:eastAsia="Calibri"/>
                <w:b/>
                <w:bCs/>
                <w:sz w:val="24"/>
                <w:szCs w:val="24"/>
              </w:rPr>
            </w:pPr>
          </w:p>
          <w:p w:rsidR="003C14C3" w:rsidRDefault="003C14C3" w:rsidP="00A74C57">
            <w:pPr>
              <w:spacing w:line="360" w:lineRule="auto"/>
              <w:rPr>
                <w:rFonts w:eastAsia="Calibri"/>
                <w:b/>
                <w:bCs/>
                <w:sz w:val="24"/>
                <w:szCs w:val="24"/>
              </w:rPr>
            </w:pPr>
          </w:p>
          <w:p w:rsidR="003C14C3" w:rsidRDefault="003C14C3" w:rsidP="00A74C57">
            <w:pPr>
              <w:spacing w:line="360" w:lineRule="auto"/>
              <w:rPr>
                <w:rFonts w:eastAsia="Calibri"/>
                <w:b/>
                <w:bCs/>
                <w:sz w:val="24"/>
                <w:szCs w:val="24"/>
              </w:rPr>
            </w:pPr>
          </w:p>
          <w:p w:rsidR="006B4B25" w:rsidRPr="00CD18DC" w:rsidRDefault="006B4B25" w:rsidP="00A74C57">
            <w:pPr>
              <w:spacing w:line="360" w:lineRule="auto"/>
              <w:rPr>
                <w:rFonts w:eastAsia="Calibri"/>
                <w:b/>
                <w:bCs/>
                <w:sz w:val="24"/>
                <w:szCs w:val="24"/>
              </w:rPr>
            </w:pPr>
            <w:r w:rsidRPr="00CD18DC">
              <w:rPr>
                <w:rFonts w:eastAsia="Calibri"/>
                <w:b/>
                <w:bCs/>
                <w:sz w:val="24"/>
                <w:szCs w:val="24"/>
              </w:rPr>
              <w:lastRenderedPageBreak/>
              <w:t>Anexa nr. 2</w:t>
            </w:r>
          </w:p>
        </w:tc>
      </w:tr>
      <w:tr w:rsidR="006B4B25" w:rsidRPr="00CD18DC" w:rsidTr="00746BE1">
        <w:trPr>
          <w:trHeight w:val="840"/>
        </w:trPr>
        <w:tc>
          <w:tcPr>
            <w:tcW w:w="9504" w:type="dxa"/>
            <w:gridSpan w:val="5"/>
            <w:tcBorders>
              <w:top w:val="nil"/>
              <w:left w:val="nil"/>
              <w:bottom w:val="nil"/>
              <w:right w:val="nil"/>
            </w:tcBorders>
            <w:shd w:val="clear" w:color="auto" w:fill="auto"/>
            <w:hideMark/>
          </w:tcPr>
          <w:p w:rsidR="006B4B25" w:rsidRPr="00CD18DC" w:rsidRDefault="006B4B25" w:rsidP="00A74C57">
            <w:pPr>
              <w:spacing w:line="360" w:lineRule="auto"/>
              <w:jc w:val="right"/>
              <w:rPr>
                <w:rFonts w:eastAsia="Calibri"/>
                <w:b/>
                <w:bCs/>
                <w:sz w:val="24"/>
                <w:szCs w:val="24"/>
              </w:rPr>
            </w:pPr>
            <w:r w:rsidRPr="00CD18DC">
              <w:rPr>
                <w:rFonts w:eastAsia="Calibri"/>
                <w:b/>
                <w:bCs/>
                <w:sz w:val="24"/>
                <w:szCs w:val="24"/>
              </w:rPr>
              <w:lastRenderedPageBreak/>
              <w:t xml:space="preserve">la Metodologie </w:t>
            </w:r>
          </w:p>
        </w:tc>
      </w:tr>
      <w:tr w:rsidR="006B4B25" w:rsidRPr="00CD18DC" w:rsidTr="00746BE1">
        <w:trPr>
          <w:trHeight w:val="855"/>
        </w:trPr>
        <w:tc>
          <w:tcPr>
            <w:tcW w:w="7611" w:type="dxa"/>
            <w:gridSpan w:val="2"/>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b/>
                <w:bCs/>
                <w:sz w:val="24"/>
                <w:szCs w:val="24"/>
              </w:rPr>
            </w:pPr>
            <w:r w:rsidRPr="00CD18DC">
              <w:rPr>
                <w:rFonts w:eastAsia="Calibri"/>
                <w:b/>
                <w:bCs/>
                <w:sz w:val="24"/>
                <w:szCs w:val="24"/>
              </w:rPr>
              <w:t>Fundamentarea rentabilitatii bazei reglementate a activelor</w:t>
            </w:r>
          </w:p>
        </w:tc>
        <w:tc>
          <w:tcPr>
            <w:tcW w:w="736" w:type="dxa"/>
            <w:gridSpan w:val="2"/>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c>
          <w:tcPr>
            <w:tcW w:w="1157"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r>
      <w:tr w:rsidR="006B4B25" w:rsidRPr="00CD18DC" w:rsidTr="00746BE1">
        <w:trPr>
          <w:trHeight w:val="375"/>
        </w:trPr>
        <w:tc>
          <w:tcPr>
            <w:tcW w:w="7611" w:type="dxa"/>
            <w:gridSpan w:val="2"/>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b/>
                <w:bCs/>
                <w:sz w:val="24"/>
                <w:szCs w:val="24"/>
              </w:rPr>
            </w:pPr>
            <w:r w:rsidRPr="00CD18DC">
              <w:rPr>
                <w:rFonts w:eastAsia="Calibri"/>
                <w:b/>
                <w:bCs/>
                <w:sz w:val="24"/>
                <w:szCs w:val="24"/>
              </w:rPr>
              <w:t>Nume producator:</w:t>
            </w:r>
          </w:p>
        </w:tc>
        <w:tc>
          <w:tcPr>
            <w:tcW w:w="736" w:type="dxa"/>
            <w:gridSpan w:val="2"/>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c>
          <w:tcPr>
            <w:tcW w:w="1157"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r>
      <w:tr w:rsidR="006B4B25" w:rsidRPr="00CD18DC" w:rsidTr="00746BE1">
        <w:trPr>
          <w:trHeight w:val="360"/>
        </w:trPr>
        <w:tc>
          <w:tcPr>
            <w:tcW w:w="7611" w:type="dxa"/>
            <w:gridSpan w:val="2"/>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b/>
                <w:bCs/>
                <w:sz w:val="24"/>
                <w:szCs w:val="24"/>
              </w:rPr>
            </w:pPr>
            <w:r w:rsidRPr="00CD18DC">
              <w:rPr>
                <w:rFonts w:eastAsia="Calibri"/>
                <w:b/>
                <w:bCs/>
                <w:sz w:val="24"/>
                <w:szCs w:val="24"/>
              </w:rPr>
              <w:t>Centrala :</w:t>
            </w:r>
          </w:p>
        </w:tc>
        <w:tc>
          <w:tcPr>
            <w:tcW w:w="736" w:type="dxa"/>
            <w:gridSpan w:val="2"/>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c>
          <w:tcPr>
            <w:tcW w:w="1157"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r>
      <w:tr w:rsidR="006B4B25" w:rsidRPr="00CD18DC" w:rsidTr="00746BE1">
        <w:trPr>
          <w:trHeight w:val="375"/>
        </w:trPr>
        <w:tc>
          <w:tcPr>
            <w:tcW w:w="7611" w:type="dxa"/>
            <w:gridSpan w:val="2"/>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b/>
                <w:bCs/>
                <w:sz w:val="24"/>
                <w:szCs w:val="24"/>
              </w:rPr>
            </w:pPr>
            <w:r w:rsidRPr="00CD18DC">
              <w:rPr>
                <w:rFonts w:eastAsia="Calibri"/>
                <w:b/>
                <w:bCs/>
                <w:sz w:val="24"/>
                <w:szCs w:val="24"/>
              </w:rPr>
              <w:t>Perioada de accesare schema din anul:</w:t>
            </w:r>
          </w:p>
        </w:tc>
        <w:tc>
          <w:tcPr>
            <w:tcW w:w="736" w:type="dxa"/>
            <w:gridSpan w:val="2"/>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c>
          <w:tcPr>
            <w:tcW w:w="1157" w:type="dxa"/>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r>
      <w:tr w:rsidR="006B4B25" w:rsidRPr="00CD18DC" w:rsidTr="00746BE1">
        <w:trPr>
          <w:trHeight w:val="315"/>
        </w:trPr>
        <w:tc>
          <w:tcPr>
            <w:tcW w:w="7611" w:type="dxa"/>
            <w:gridSpan w:val="2"/>
            <w:tcBorders>
              <w:top w:val="nil"/>
              <w:left w:val="nil"/>
              <w:bottom w:val="single" w:sz="4" w:space="0" w:color="auto"/>
              <w:right w:val="nil"/>
            </w:tcBorders>
            <w:shd w:val="clear" w:color="auto" w:fill="auto"/>
            <w:noWrap/>
            <w:hideMark/>
          </w:tcPr>
          <w:p w:rsidR="006B4B25" w:rsidRPr="00CD18DC" w:rsidRDefault="006B4B25" w:rsidP="00A74C57">
            <w:pPr>
              <w:spacing w:line="360" w:lineRule="auto"/>
              <w:rPr>
                <w:rFonts w:eastAsia="Calibri"/>
                <w:b/>
                <w:bCs/>
                <w:sz w:val="24"/>
                <w:szCs w:val="24"/>
              </w:rPr>
            </w:pPr>
          </w:p>
        </w:tc>
        <w:tc>
          <w:tcPr>
            <w:tcW w:w="736" w:type="dxa"/>
            <w:gridSpan w:val="2"/>
            <w:tcBorders>
              <w:top w:val="nil"/>
              <w:left w:val="nil"/>
              <w:bottom w:val="single" w:sz="4" w:space="0" w:color="auto"/>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c>
          <w:tcPr>
            <w:tcW w:w="1157" w:type="dxa"/>
            <w:tcBorders>
              <w:top w:val="nil"/>
              <w:left w:val="nil"/>
              <w:bottom w:val="single" w:sz="4" w:space="0" w:color="auto"/>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 </w:t>
            </w:r>
          </w:p>
        </w:tc>
      </w:tr>
      <w:tr w:rsidR="006B4B25" w:rsidRPr="00CD18DC" w:rsidTr="00746BE1">
        <w:trPr>
          <w:trHeight w:val="315"/>
        </w:trPr>
        <w:tc>
          <w:tcPr>
            <w:tcW w:w="7611" w:type="dxa"/>
            <w:gridSpan w:val="2"/>
            <w:tcBorders>
              <w:top w:val="single" w:sz="4" w:space="0" w:color="auto"/>
            </w:tcBorders>
            <w:shd w:val="clear" w:color="auto" w:fill="auto"/>
            <w:noWrap/>
            <w:hideMark/>
          </w:tcPr>
          <w:p w:rsidR="006B4B25" w:rsidRPr="00CD18DC" w:rsidRDefault="006B4B25" w:rsidP="003C14C3">
            <w:pPr>
              <w:rPr>
                <w:rFonts w:eastAsia="Calibri"/>
                <w:b/>
                <w:bCs/>
                <w:sz w:val="24"/>
                <w:szCs w:val="24"/>
              </w:rPr>
            </w:pPr>
            <w:r w:rsidRPr="00CD18DC">
              <w:rPr>
                <w:rFonts w:eastAsia="Calibri"/>
                <w:b/>
                <w:bCs/>
                <w:sz w:val="24"/>
                <w:szCs w:val="24"/>
              </w:rPr>
              <w:t>Denumire</w:t>
            </w:r>
          </w:p>
        </w:tc>
        <w:tc>
          <w:tcPr>
            <w:tcW w:w="736" w:type="dxa"/>
            <w:gridSpan w:val="2"/>
            <w:tcBorders>
              <w:top w:val="single" w:sz="4" w:space="0" w:color="auto"/>
            </w:tcBorders>
            <w:shd w:val="clear" w:color="auto" w:fill="auto"/>
            <w:noWrap/>
            <w:hideMark/>
          </w:tcPr>
          <w:p w:rsidR="006B4B25" w:rsidRPr="00CD18DC" w:rsidRDefault="006B4B25" w:rsidP="003C14C3">
            <w:pPr>
              <w:rPr>
                <w:rFonts w:eastAsia="Calibri"/>
                <w:b/>
                <w:bCs/>
                <w:sz w:val="24"/>
                <w:szCs w:val="24"/>
              </w:rPr>
            </w:pPr>
            <w:r w:rsidRPr="00CD18DC">
              <w:rPr>
                <w:rFonts w:eastAsia="Calibri"/>
                <w:b/>
                <w:bCs/>
                <w:sz w:val="24"/>
                <w:szCs w:val="24"/>
              </w:rPr>
              <w:t>U.M.</w:t>
            </w:r>
          </w:p>
        </w:tc>
        <w:tc>
          <w:tcPr>
            <w:tcW w:w="1157" w:type="dxa"/>
            <w:tcBorders>
              <w:top w:val="single" w:sz="4" w:space="0" w:color="auto"/>
            </w:tcBorders>
            <w:shd w:val="clear" w:color="auto" w:fill="auto"/>
            <w:noWrap/>
            <w:hideMark/>
          </w:tcPr>
          <w:p w:rsidR="006B4B25" w:rsidRPr="00CD18DC" w:rsidRDefault="006B4B25" w:rsidP="003C14C3">
            <w:pPr>
              <w:rPr>
                <w:rFonts w:eastAsia="Calibri"/>
                <w:b/>
                <w:bCs/>
                <w:sz w:val="24"/>
                <w:szCs w:val="24"/>
              </w:rPr>
            </w:pPr>
            <w:r w:rsidRPr="00CD18DC">
              <w:rPr>
                <w:rFonts w:eastAsia="Calibri"/>
                <w:b/>
                <w:bCs/>
                <w:sz w:val="24"/>
                <w:szCs w:val="24"/>
              </w:rPr>
              <w:t>Anul analizat</w:t>
            </w:r>
          </w:p>
        </w:tc>
      </w:tr>
      <w:tr w:rsidR="006B4B25" w:rsidRPr="00CD18DC" w:rsidTr="00746BE1">
        <w:trPr>
          <w:trHeight w:val="315"/>
        </w:trPr>
        <w:tc>
          <w:tcPr>
            <w:tcW w:w="7611" w:type="dxa"/>
            <w:gridSpan w:val="2"/>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BAR (01ian) - Baza reglementata a activelor la inceputul anului, din care:</w:t>
            </w:r>
          </w:p>
        </w:tc>
        <w:tc>
          <w:tcPr>
            <w:tcW w:w="736" w:type="dxa"/>
            <w:gridSpan w:val="2"/>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lei</w:t>
            </w:r>
          </w:p>
        </w:tc>
        <w:tc>
          <w:tcPr>
            <w:tcW w:w="1157" w:type="dxa"/>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 </w:t>
            </w:r>
          </w:p>
        </w:tc>
      </w:tr>
      <w:tr w:rsidR="006B4B25" w:rsidRPr="00CD18DC" w:rsidTr="00746BE1">
        <w:trPr>
          <w:trHeight w:val="315"/>
        </w:trPr>
        <w:tc>
          <w:tcPr>
            <w:tcW w:w="7611" w:type="dxa"/>
            <w:gridSpan w:val="2"/>
            <w:shd w:val="clear" w:color="auto" w:fill="auto"/>
            <w:noWrap/>
          </w:tcPr>
          <w:p w:rsidR="006B4B25" w:rsidRPr="00CD18DC" w:rsidRDefault="006B4B25" w:rsidP="003C14C3">
            <w:pPr>
              <w:rPr>
                <w:rFonts w:eastAsia="Calibri"/>
                <w:sz w:val="24"/>
                <w:szCs w:val="24"/>
              </w:rPr>
            </w:pPr>
            <w:r w:rsidRPr="00CD18DC">
              <w:rPr>
                <w:rFonts w:eastAsia="Calibri"/>
                <w:sz w:val="24"/>
                <w:szCs w:val="24"/>
              </w:rPr>
              <w:t xml:space="preserve">                 -aferenta activelor realizate cf. art. 8 alin. (2)</w:t>
            </w:r>
          </w:p>
        </w:tc>
        <w:tc>
          <w:tcPr>
            <w:tcW w:w="736" w:type="dxa"/>
            <w:gridSpan w:val="2"/>
            <w:shd w:val="clear" w:color="auto" w:fill="auto"/>
            <w:noWrap/>
          </w:tcPr>
          <w:p w:rsidR="006B4B25" w:rsidRPr="00CD18DC" w:rsidRDefault="006B4B25" w:rsidP="003C14C3">
            <w:pPr>
              <w:rPr>
                <w:rFonts w:eastAsia="Calibri"/>
                <w:sz w:val="24"/>
                <w:szCs w:val="24"/>
              </w:rPr>
            </w:pPr>
          </w:p>
        </w:tc>
        <w:tc>
          <w:tcPr>
            <w:tcW w:w="1157" w:type="dxa"/>
            <w:shd w:val="clear" w:color="auto" w:fill="auto"/>
            <w:noWrap/>
          </w:tcPr>
          <w:p w:rsidR="006B4B25" w:rsidRPr="00CD18DC" w:rsidRDefault="006B4B25" w:rsidP="003C14C3">
            <w:pPr>
              <w:rPr>
                <w:rFonts w:eastAsia="Calibri"/>
                <w:sz w:val="24"/>
                <w:szCs w:val="24"/>
              </w:rPr>
            </w:pPr>
          </w:p>
        </w:tc>
      </w:tr>
      <w:tr w:rsidR="006B4B25" w:rsidRPr="00CD18DC" w:rsidTr="00746BE1">
        <w:trPr>
          <w:trHeight w:val="315"/>
        </w:trPr>
        <w:tc>
          <w:tcPr>
            <w:tcW w:w="7611" w:type="dxa"/>
            <w:gridSpan w:val="2"/>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IA -  intrările de active în cursul anului analizat, din care</w:t>
            </w:r>
          </w:p>
        </w:tc>
        <w:tc>
          <w:tcPr>
            <w:tcW w:w="736" w:type="dxa"/>
            <w:gridSpan w:val="2"/>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lei</w:t>
            </w:r>
          </w:p>
        </w:tc>
        <w:tc>
          <w:tcPr>
            <w:tcW w:w="1157" w:type="dxa"/>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 </w:t>
            </w:r>
          </w:p>
        </w:tc>
      </w:tr>
      <w:tr w:rsidR="006B4B25" w:rsidRPr="00CD18DC" w:rsidTr="00746BE1">
        <w:trPr>
          <w:trHeight w:val="315"/>
        </w:trPr>
        <w:tc>
          <w:tcPr>
            <w:tcW w:w="7611" w:type="dxa"/>
            <w:gridSpan w:val="2"/>
            <w:shd w:val="clear" w:color="auto" w:fill="auto"/>
            <w:noWrap/>
          </w:tcPr>
          <w:p w:rsidR="006B4B25" w:rsidRPr="00CD18DC" w:rsidRDefault="006B4B25" w:rsidP="003C14C3">
            <w:pPr>
              <w:rPr>
                <w:rFonts w:eastAsia="Calibri"/>
                <w:sz w:val="24"/>
                <w:szCs w:val="24"/>
              </w:rPr>
            </w:pPr>
            <w:r w:rsidRPr="00CD18DC">
              <w:rPr>
                <w:rFonts w:eastAsia="Calibri"/>
                <w:sz w:val="24"/>
                <w:szCs w:val="24"/>
              </w:rPr>
              <w:t xml:space="preserve">                   -intrari din reevaluari</w:t>
            </w:r>
          </w:p>
        </w:tc>
        <w:tc>
          <w:tcPr>
            <w:tcW w:w="736" w:type="dxa"/>
            <w:gridSpan w:val="2"/>
            <w:shd w:val="clear" w:color="auto" w:fill="auto"/>
            <w:noWrap/>
          </w:tcPr>
          <w:p w:rsidR="006B4B25" w:rsidRPr="00CD18DC" w:rsidRDefault="006B4B25" w:rsidP="003C14C3">
            <w:pPr>
              <w:rPr>
                <w:rFonts w:eastAsia="Calibri"/>
                <w:sz w:val="24"/>
                <w:szCs w:val="24"/>
              </w:rPr>
            </w:pPr>
          </w:p>
        </w:tc>
        <w:tc>
          <w:tcPr>
            <w:tcW w:w="1157" w:type="dxa"/>
            <w:shd w:val="clear" w:color="auto" w:fill="auto"/>
            <w:noWrap/>
          </w:tcPr>
          <w:p w:rsidR="006B4B25" w:rsidRPr="00CD18DC" w:rsidRDefault="006B4B25" w:rsidP="003C14C3">
            <w:pPr>
              <w:rPr>
                <w:rFonts w:eastAsia="Calibri"/>
                <w:sz w:val="24"/>
                <w:szCs w:val="24"/>
              </w:rPr>
            </w:pPr>
          </w:p>
        </w:tc>
      </w:tr>
      <w:tr w:rsidR="006B4B25" w:rsidRPr="00CD18DC" w:rsidTr="00746BE1">
        <w:trPr>
          <w:trHeight w:val="315"/>
        </w:trPr>
        <w:tc>
          <w:tcPr>
            <w:tcW w:w="7611" w:type="dxa"/>
            <w:gridSpan w:val="2"/>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EA – ieșirile de active din cursul anului analizat</w:t>
            </w:r>
          </w:p>
        </w:tc>
        <w:tc>
          <w:tcPr>
            <w:tcW w:w="736" w:type="dxa"/>
            <w:gridSpan w:val="2"/>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lei</w:t>
            </w:r>
          </w:p>
        </w:tc>
        <w:tc>
          <w:tcPr>
            <w:tcW w:w="1157" w:type="dxa"/>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 </w:t>
            </w:r>
          </w:p>
        </w:tc>
      </w:tr>
      <w:tr w:rsidR="006B4B25" w:rsidRPr="00CD18DC" w:rsidTr="00746BE1">
        <w:trPr>
          <w:trHeight w:val="570"/>
        </w:trPr>
        <w:tc>
          <w:tcPr>
            <w:tcW w:w="7611" w:type="dxa"/>
            <w:gridSpan w:val="2"/>
            <w:shd w:val="clear" w:color="auto" w:fill="auto"/>
            <w:hideMark/>
          </w:tcPr>
          <w:p w:rsidR="006B4B25" w:rsidRPr="00CD18DC" w:rsidRDefault="006B4B25" w:rsidP="003C14C3">
            <w:pPr>
              <w:rPr>
                <w:rFonts w:eastAsia="Calibri"/>
                <w:sz w:val="24"/>
                <w:szCs w:val="24"/>
              </w:rPr>
            </w:pPr>
            <w:r w:rsidRPr="00CD18DC">
              <w:rPr>
                <w:rFonts w:eastAsia="Calibri"/>
                <w:sz w:val="24"/>
                <w:szCs w:val="24"/>
              </w:rPr>
              <w:t>AM - amortizarea anuala aferentă activelor ce compun BAR(01ian)   la care se adaugă cea aferentă activelor puse în / scoase din funcțiune în anul analizat, din care:</w:t>
            </w:r>
          </w:p>
        </w:tc>
        <w:tc>
          <w:tcPr>
            <w:tcW w:w="736" w:type="dxa"/>
            <w:gridSpan w:val="2"/>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lei</w:t>
            </w:r>
          </w:p>
        </w:tc>
        <w:tc>
          <w:tcPr>
            <w:tcW w:w="1157" w:type="dxa"/>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 </w:t>
            </w:r>
          </w:p>
        </w:tc>
      </w:tr>
      <w:tr w:rsidR="006B4B25" w:rsidRPr="00CD18DC" w:rsidTr="00746BE1">
        <w:trPr>
          <w:trHeight w:val="420"/>
        </w:trPr>
        <w:tc>
          <w:tcPr>
            <w:tcW w:w="7611" w:type="dxa"/>
            <w:gridSpan w:val="2"/>
            <w:shd w:val="clear" w:color="auto" w:fill="auto"/>
            <w:noWrap/>
          </w:tcPr>
          <w:p w:rsidR="006B4B25" w:rsidRPr="00CD18DC" w:rsidRDefault="006B4B25" w:rsidP="003C14C3">
            <w:pPr>
              <w:rPr>
                <w:rFonts w:eastAsia="Calibri"/>
                <w:sz w:val="24"/>
                <w:szCs w:val="24"/>
              </w:rPr>
            </w:pPr>
            <w:r w:rsidRPr="00CD18DC">
              <w:rPr>
                <w:rFonts w:eastAsia="Calibri"/>
                <w:sz w:val="24"/>
                <w:szCs w:val="24"/>
              </w:rPr>
              <w:t xml:space="preserve">                 -aferenta activelor realizate cf. art. 8 alin. (2)</w:t>
            </w:r>
          </w:p>
        </w:tc>
        <w:tc>
          <w:tcPr>
            <w:tcW w:w="736" w:type="dxa"/>
            <w:gridSpan w:val="2"/>
            <w:shd w:val="clear" w:color="auto" w:fill="auto"/>
            <w:noWrap/>
          </w:tcPr>
          <w:p w:rsidR="006B4B25" w:rsidRPr="00CD18DC" w:rsidRDefault="006B4B25" w:rsidP="003C14C3">
            <w:pPr>
              <w:rPr>
                <w:rFonts w:eastAsia="Calibri"/>
                <w:sz w:val="24"/>
                <w:szCs w:val="24"/>
              </w:rPr>
            </w:pPr>
          </w:p>
        </w:tc>
        <w:tc>
          <w:tcPr>
            <w:tcW w:w="1157" w:type="dxa"/>
            <w:shd w:val="clear" w:color="auto" w:fill="auto"/>
            <w:noWrap/>
          </w:tcPr>
          <w:p w:rsidR="006B4B25" w:rsidRPr="00CD18DC" w:rsidRDefault="006B4B25" w:rsidP="003C14C3">
            <w:pPr>
              <w:rPr>
                <w:rFonts w:eastAsia="Calibri"/>
                <w:sz w:val="24"/>
                <w:szCs w:val="24"/>
              </w:rPr>
            </w:pPr>
          </w:p>
        </w:tc>
      </w:tr>
      <w:tr w:rsidR="006B4B25" w:rsidRPr="00CD18DC" w:rsidTr="00746BE1">
        <w:trPr>
          <w:trHeight w:val="420"/>
        </w:trPr>
        <w:tc>
          <w:tcPr>
            <w:tcW w:w="7611" w:type="dxa"/>
            <w:gridSpan w:val="2"/>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BAR (31dec) - Baza reglementata a activelor la sfarsitul anului, din care:</w:t>
            </w:r>
          </w:p>
        </w:tc>
        <w:tc>
          <w:tcPr>
            <w:tcW w:w="736" w:type="dxa"/>
            <w:gridSpan w:val="2"/>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lei</w:t>
            </w:r>
          </w:p>
        </w:tc>
        <w:tc>
          <w:tcPr>
            <w:tcW w:w="1157" w:type="dxa"/>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 </w:t>
            </w:r>
          </w:p>
        </w:tc>
      </w:tr>
      <w:tr w:rsidR="006B4B25" w:rsidRPr="00CD18DC" w:rsidTr="00746BE1">
        <w:trPr>
          <w:trHeight w:val="465"/>
        </w:trPr>
        <w:tc>
          <w:tcPr>
            <w:tcW w:w="7611" w:type="dxa"/>
            <w:gridSpan w:val="2"/>
            <w:shd w:val="clear" w:color="auto" w:fill="auto"/>
            <w:noWrap/>
          </w:tcPr>
          <w:p w:rsidR="006B4B25" w:rsidRPr="00CD18DC" w:rsidRDefault="006B4B25" w:rsidP="003C14C3">
            <w:pPr>
              <w:rPr>
                <w:rFonts w:eastAsia="Calibri"/>
                <w:sz w:val="24"/>
                <w:szCs w:val="24"/>
              </w:rPr>
            </w:pPr>
            <w:r w:rsidRPr="00CD18DC">
              <w:rPr>
                <w:rFonts w:eastAsia="Calibri"/>
                <w:sz w:val="24"/>
                <w:szCs w:val="24"/>
              </w:rPr>
              <w:t xml:space="preserve">                 -aferenta activelor realizate cf. art. 8 alin. (2)</w:t>
            </w:r>
          </w:p>
        </w:tc>
        <w:tc>
          <w:tcPr>
            <w:tcW w:w="736" w:type="dxa"/>
            <w:gridSpan w:val="2"/>
            <w:shd w:val="clear" w:color="auto" w:fill="auto"/>
            <w:noWrap/>
          </w:tcPr>
          <w:p w:rsidR="006B4B25" w:rsidRPr="00CD18DC" w:rsidRDefault="006B4B25" w:rsidP="003C14C3">
            <w:pPr>
              <w:rPr>
                <w:rFonts w:eastAsia="Calibri"/>
                <w:sz w:val="24"/>
                <w:szCs w:val="24"/>
              </w:rPr>
            </w:pPr>
          </w:p>
        </w:tc>
        <w:tc>
          <w:tcPr>
            <w:tcW w:w="1157" w:type="dxa"/>
            <w:shd w:val="clear" w:color="auto" w:fill="auto"/>
            <w:noWrap/>
          </w:tcPr>
          <w:p w:rsidR="006B4B25" w:rsidRPr="00CD18DC" w:rsidRDefault="006B4B25" w:rsidP="003C14C3">
            <w:pPr>
              <w:rPr>
                <w:rFonts w:eastAsia="Calibri"/>
                <w:sz w:val="24"/>
                <w:szCs w:val="24"/>
              </w:rPr>
            </w:pPr>
          </w:p>
        </w:tc>
      </w:tr>
      <w:tr w:rsidR="006B4B25" w:rsidRPr="00CD18DC" w:rsidTr="00746BE1">
        <w:trPr>
          <w:trHeight w:val="465"/>
        </w:trPr>
        <w:tc>
          <w:tcPr>
            <w:tcW w:w="7611" w:type="dxa"/>
            <w:gridSpan w:val="2"/>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BAR (mediu) baza  reglementată medie a activelor în anul analizat, din care:</w:t>
            </w:r>
          </w:p>
        </w:tc>
        <w:tc>
          <w:tcPr>
            <w:tcW w:w="736" w:type="dxa"/>
            <w:gridSpan w:val="2"/>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lei</w:t>
            </w:r>
          </w:p>
        </w:tc>
        <w:tc>
          <w:tcPr>
            <w:tcW w:w="1157" w:type="dxa"/>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 </w:t>
            </w:r>
          </w:p>
        </w:tc>
      </w:tr>
      <w:tr w:rsidR="006B4B25" w:rsidRPr="00CD18DC" w:rsidTr="00746BE1">
        <w:trPr>
          <w:trHeight w:val="315"/>
        </w:trPr>
        <w:tc>
          <w:tcPr>
            <w:tcW w:w="7611" w:type="dxa"/>
            <w:gridSpan w:val="2"/>
            <w:tcBorders>
              <w:bottom w:val="single" w:sz="4" w:space="0" w:color="auto"/>
            </w:tcBorders>
            <w:shd w:val="clear" w:color="auto" w:fill="auto"/>
            <w:noWrap/>
          </w:tcPr>
          <w:p w:rsidR="006B4B25" w:rsidRPr="00CD18DC" w:rsidRDefault="006B4B25" w:rsidP="003C14C3">
            <w:pPr>
              <w:rPr>
                <w:rFonts w:eastAsia="Calibri"/>
                <w:sz w:val="24"/>
                <w:szCs w:val="24"/>
              </w:rPr>
            </w:pPr>
            <w:r w:rsidRPr="00CD18DC">
              <w:rPr>
                <w:rFonts w:eastAsia="Calibri"/>
                <w:sz w:val="24"/>
                <w:szCs w:val="24"/>
              </w:rPr>
              <w:t xml:space="preserve">                 -aferenta activelor realizate cf. art. 8 alin. (2)</w:t>
            </w:r>
          </w:p>
        </w:tc>
        <w:tc>
          <w:tcPr>
            <w:tcW w:w="736" w:type="dxa"/>
            <w:gridSpan w:val="2"/>
            <w:tcBorders>
              <w:bottom w:val="single" w:sz="4" w:space="0" w:color="auto"/>
            </w:tcBorders>
            <w:shd w:val="clear" w:color="auto" w:fill="auto"/>
            <w:noWrap/>
          </w:tcPr>
          <w:p w:rsidR="006B4B25" w:rsidRPr="00CD18DC" w:rsidRDefault="006B4B25" w:rsidP="003C14C3">
            <w:pPr>
              <w:rPr>
                <w:rFonts w:eastAsia="Calibri"/>
                <w:sz w:val="24"/>
                <w:szCs w:val="24"/>
              </w:rPr>
            </w:pPr>
          </w:p>
        </w:tc>
        <w:tc>
          <w:tcPr>
            <w:tcW w:w="1157" w:type="dxa"/>
            <w:tcBorders>
              <w:bottom w:val="single" w:sz="4" w:space="0" w:color="auto"/>
            </w:tcBorders>
            <w:shd w:val="clear" w:color="auto" w:fill="auto"/>
            <w:noWrap/>
          </w:tcPr>
          <w:p w:rsidR="006B4B25" w:rsidRPr="00CD18DC" w:rsidRDefault="006B4B25" w:rsidP="003C14C3">
            <w:pPr>
              <w:rPr>
                <w:rFonts w:eastAsia="Calibri"/>
                <w:sz w:val="24"/>
                <w:szCs w:val="24"/>
              </w:rPr>
            </w:pPr>
          </w:p>
        </w:tc>
      </w:tr>
      <w:tr w:rsidR="006B4B25" w:rsidRPr="00CD18DC" w:rsidTr="00746BE1">
        <w:trPr>
          <w:trHeight w:val="315"/>
        </w:trPr>
        <w:tc>
          <w:tcPr>
            <w:tcW w:w="7611" w:type="dxa"/>
            <w:gridSpan w:val="2"/>
            <w:tcBorders>
              <w:bottom w:val="single" w:sz="4" w:space="0" w:color="auto"/>
            </w:tcBorders>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R - rentabilitatea bazei reglementate a activelor</w:t>
            </w:r>
          </w:p>
        </w:tc>
        <w:tc>
          <w:tcPr>
            <w:tcW w:w="736" w:type="dxa"/>
            <w:gridSpan w:val="2"/>
            <w:tcBorders>
              <w:bottom w:val="single" w:sz="4" w:space="0" w:color="auto"/>
            </w:tcBorders>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lei</w:t>
            </w:r>
          </w:p>
        </w:tc>
        <w:tc>
          <w:tcPr>
            <w:tcW w:w="1157" w:type="dxa"/>
            <w:tcBorders>
              <w:bottom w:val="single" w:sz="4" w:space="0" w:color="auto"/>
            </w:tcBorders>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 </w:t>
            </w:r>
          </w:p>
        </w:tc>
      </w:tr>
      <w:tr w:rsidR="006B4B25" w:rsidRPr="00CD18DC" w:rsidTr="00746BE1">
        <w:trPr>
          <w:trHeight w:val="315"/>
        </w:trPr>
        <w:tc>
          <w:tcPr>
            <w:tcW w:w="7611" w:type="dxa"/>
            <w:gridSpan w:val="2"/>
            <w:tcBorders>
              <w:bottom w:val="single" w:sz="4" w:space="0" w:color="auto"/>
            </w:tcBorders>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R (cog,i.ef.) - rentabilitatea pentru productia in cogenerare de inalta eficienta</w:t>
            </w:r>
          </w:p>
        </w:tc>
        <w:tc>
          <w:tcPr>
            <w:tcW w:w="736" w:type="dxa"/>
            <w:gridSpan w:val="2"/>
            <w:tcBorders>
              <w:bottom w:val="single" w:sz="4" w:space="0" w:color="auto"/>
            </w:tcBorders>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lei</w:t>
            </w:r>
          </w:p>
        </w:tc>
        <w:tc>
          <w:tcPr>
            <w:tcW w:w="1157" w:type="dxa"/>
            <w:tcBorders>
              <w:bottom w:val="single" w:sz="4" w:space="0" w:color="auto"/>
            </w:tcBorders>
            <w:shd w:val="clear" w:color="auto" w:fill="auto"/>
            <w:noWrap/>
            <w:hideMark/>
          </w:tcPr>
          <w:p w:rsidR="006B4B25" w:rsidRPr="00CD18DC" w:rsidRDefault="006B4B25" w:rsidP="003C14C3">
            <w:pPr>
              <w:rPr>
                <w:rFonts w:eastAsia="Calibri"/>
                <w:sz w:val="24"/>
                <w:szCs w:val="24"/>
              </w:rPr>
            </w:pPr>
            <w:r w:rsidRPr="00CD18DC">
              <w:rPr>
                <w:rFonts w:eastAsia="Calibri"/>
                <w:sz w:val="24"/>
                <w:szCs w:val="24"/>
              </w:rPr>
              <w:t> </w:t>
            </w:r>
          </w:p>
        </w:tc>
      </w:tr>
      <w:tr w:rsidR="006B4B25" w:rsidRPr="00CD18DC" w:rsidTr="00746BE1">
        <w:trPr>
          <w:trHeight w:val="315"/>
        </w:trPr>
        <w:tc>
          <w:tcPr>
            <w:tcW w:w="7611" w:type="dxa"/>
            <w:gridSpan w:val="2"/>
            <w:tcBorders>
              <w:top w:val="single" w:sz="4" w:space="0" w:color="auto"/>
              <w:left w:val="nil"/>
              <w:bottom w:val="nil"/>
              <w:right w:val="nil"/>
            </w:tcBorders>
            <w:shd w:val="clear" w:color="auto" w:fill="auto"/>
            <w:noWrap/>
            <w:hideMark/>
          </w:tcPr>
          <w:p w:rsidR="006B4B25" w:rsidRPr="00CD18DC" w:rsidRDefault="006B4B25" w:rsidP="003C14C3">
            <w:pPr>
              <w:rPr>
                <w:rFonts w:eastAsia="Calibri"/>
                <w:sz w:val="24"/>
                <w:szCs w:val="24"/>
              </w:rPr>
            </w:pPr>
          </w:p>
        </w:tc>
        <w:tc>
          <w:tcPr>
            <w:tcW w:w="736" w:type="dxa"/>
            <w:gridSpan w:val="2"/>
            <w:tcBorders>
              <w:top w:val="single" w:sz="4" w:space="0" w:color="auto"/>
              <w:left w:val="nil"/>
              <w:bottom w:val="nil"/>
              <w:right w:val="nil"/>
            </w:tcBorders>
            <w:shd w:val="clear" w:color="auto" w:fill="auto"/>
            <w:noWrap/>
            <w:hideMark/>
          </w:tcPr>
          <w:p w:rsidR="006B4B25" w:rsidRPr="00CD18DC" w:rsidRDefault="006B4B25" w:rsidP="003C14C3">
            <w:pPr>
              <w:rPr>
                <w:rFonts w:eastAsia="Calibri"/>
                <w:sz w:val="24"/>
                <w:szCs w:val="24"/>
              </w:rPr>
            </w:pPr>
          </w:p>
        </w:tc>
        <w:tc>
          <w:tcPr>
            <w:tcW w:w="1157" w:type="dxa"/>
            <w:tcBorders>
              <w:top w:val="single" w:sz="4" w:space="0" w:color="auto"/>
              <w:left w:val="nil"/>
              <w:bottom w:val="nil"/>
              <w:right w:val="nil"/>
            </w:tcBorders>
            <w:shd w:val="clear" w:color="auto" w:fill="auto"/>
            <w:noWrap/>
            <w:hideMark/>
          </w:tcPr>
          <w:p w:rsidR="006B4B25" w:rsidRPr="00CD18DC" w:rsidRDefault="006B4B25" w:rsidP="003C14C3">
            <w:pPr>
              <w:rPr>
                <w:rFonts w:eastAsia="Calibri"/>
                <w:sz w:val="24"/>
                <w:szCs w:val="24"/>
              </w:rPr>
            </w:pPr>
          </w:p>
        </w:tc>
      </w:tr>
      <w:tr w:rsidR="006B4B25" w:rsidRPr="00CD18DC" w:rsidTr="00746BE1">
        <w:trPr>
          <w:trHeight w:val="390"/>
        </w:trPr>
        <w:tc>
          <w:tcPr>
            <w:tcW w:w="9504" w:type="dxa"/>
            <w:gridSpan w:val="5"/>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b/>
                <w:bCs/>
                <w:sz w:val="24"/>
                <w:szCs w:val="24"/>
              </w:rPr>
              <w:t>Notă</w:t>
            </w:r>
            <w:r w:rsidRPr="00CD18DC">
              <w:rPr>
                <w:rFonts w:eastAsia="Calibri"/>
                <w:bCs/>
                <w:sz w:val="24"/>
                <w:szCs w:val="24"/>
              </w:rPr>
              <w:t>:</w:t>
            </w:r>
            <w:r w:rsidRPr="00CD18DC">
              <w:rPr>
                <w:rFonts w:eastAsia="Calibri"/>
                <w:sz w:val="24"/>
                <w:szCs w:val="24"/>
              </w:rPr>
              <w:t xml:space="preserve"> Macheta va fi completata pentru cogenerare care acceseaza schema, cogenerare care nu acceseaza schema, capacitati de producere separata a energiei electrice si termice,</w:t>
            </w:r>
          </w:p>
        </w:tc>
      </w:tr>
      <w:tr w:rsidR="006B4B25" w:rsidRPr="00CD18DC" w:rsidTr="00746BE1">
        <w:trPr>
          <w:trHeight w:val="450"/>
        </w:trPr>
        <w:tc>
          <w:tcPr>
            <w:tcW w:w="7835" w:type="dxa"/>
            <w:gridSpan w:val="3"/>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r w:rsidRPr="00CD18DC">
              <w:rPr>
                <w:rFonts w:eastAsia="Calibri"/>
                <w:sz w:val="24"/>
                <w:szCs w:val="24"/>
              </w:rPr>
              <w:t>echipamente comune capacitatilor de producere din centrala.</w:t>
            </w:r>
          </w:p>
        </w:tc>
        <w:tc>
          <w:tcPr>
            <w:tcW w:w="1669" w:type="dxa"/>
            <w:gridSpan w:val="2"/>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p>
        </w:tc>
      </w:tr>
      <w:tr w:rsidR="006B4B25" w:rsidRPr="00CD18DC" w:rsidTr="00746BE1">
        <w:trPr>
          <w:trHeight w:val="480"/>
        </w:trPr>
        <w:tc>
          <w:tcPr>
            <w:tcW w:w="6827" w:type="dxa"/>
            <w:tcBorders>
              <w:top w:val="nil"/>
              <w:left w:val="nil"/>
              <w:bottom w:val="nil"/>
              <w:right w:val="nil"/>
            </w:tcBorders>
            <w:shd w:val="clear" w:color="auto" w:fill="auto"/>
            <w:noWrap/>
            <w:hideMark/>
          </w:tcPr>
          <w:p w:rsidR="006B4B25" w:rsidRPr="00CD18DC" w:rsidRDefault="00C87EA1" w:rsidP="00C87EA1">
            <w:pPr>
              <w:pStyle w:val="ListParagraph"/>
              <w:numPr>
                <w:ilvl w:val="0"/>
                <w:numId w:val="1"/>
              </w:numPr>
              <w:spacing w:line="360" w:lineRule="auto"/>
              <w:rPr>
                <w:rFonts w:eastAsia="Calibri"/>
                <w:sz w:val="24"/>
                <w:szCs w:val="24"/>
              </w:rPr>
            </w:pPr>
            <w:r w:rsidRPr="00CD18DC">
              <w:rPr>
                <w:rFonts w:eastAsia="Calibri"/>
                <w:sz w:val="24"/>
                <w:szCs w:val="24"/>
              </w:rPr>
              <w:t>Dup</w:t>
            </w:r>
            <w:r w:rsidRPr="00CD18DC">
              <w:rPr>
                <w:rFonts w:eastAsia="Calibri"/>
                <w:sz w:val="24"/>
                <w:szCs w:val="24"/>
                <w:lang w:val="pt-BR"/>
              </w:rPr>
              <w:t>ă Anexa nr. 3 la Metodologie, seintroduce o anexă nouă, Anexa nr. 4 la Metodologie</w:t>
            </w:r>
          </w:p>
          <w:p w:rsidR="00C87EA1" w:rsidRPr="00CD18DC" w:rsidRDefault="00C87EA1" w:rsidP="00C87EA1">
            <w:pPr>
              <w:pStyle w:val="ListParagraph"/>
              <w:spacing w:line="360" w:lineRule="auto"/>
              <w:ind w:left="0"/>
              <w:rPr>
                <w:rFonts w:eastAsia="Calibri"/>
                <w:sz w:val="24"/>
                <w:szCs w:val="24"/>
              </w:rPr>
            </w:pPr>
          </w:p>
        </w:tc>
        <w:tc>
          <w:tcPr>
            <w:tcW w:w="1008" w:type="dxa"/>
            <w:gridSpan w:val="2"/>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p>
        </w:tc>
        <w:tc>
          <w:tcPr>
            <w:tcW w:w="1669" w:type="dxa"/>
            <w:gridSpan w:val="2"/>
            <w:tcBorders>
              <w:top w:val="nil"/>
              <w:left w:val="nil"/>
              <w:bottom w:val="nil"/>
              <w:right w:val="nil"/>
            </w:tcBorders>
            <w:shd w:val="clear" w:color="auto" w:fill="auto"/>
            <w:noWrap/>
            <w:hideMark/>
          </w:tcPr>
          <w:p w:rsidR="006B4B25" w:rsidRPr="00CD18DC" w:rsidRDefault="006B4B25" w:rsidP="00A74C57">
            <w:pPr>
              <w:spacing w:line="360" w:lineRule="auto"/>
              <w:rPr>
                <w:rFonts w:eastAsia="Calibri"/>
                <w:sz w:val="24"/>
                <w:szCs w:val="24"/>
              </w:rPr>
            </w:pPr>
          </w:p>
        </w:tc>
      </w:tr>
    </w:tbl>
    <w:p w:rsidR="003C14C3" w:rsidRDefault="003C14C3" w:rsidP="00746BE1">
      <w:pPr>
        <w:jc w:val="right"/>
        <w:rPr>
          <w:b/>
          <w:sz w:val="24"/>
          <w:szCs w:val="24"/>
          <w:lang w:val="it-IT"/>
        </w:rPr>
      </w:pPr>
    </w:p>
    <w:p w:rsidR="003C14C3" w:rsidRDefault="003C14C3" w:rsidP="00746BE1">
      <w:pPr>
        <w:jc w:val="right"/>
        <w:rPr>
          <w:b/>
          <w:sz w:val="24"/>
          <w:szCs w:val="24"/>
          <w:lang w:val="it-IT"/>
        </w:rPr>
      </w:pPr>
    </w:p>
    <w:p w:rsidR="003C14C3" w:rsidRDefault="003C14C3" w:rsidP="00746BE1">
      <w:pPr>
        <w:jc w:val="right"/>
        <w:rPr>
          <w:b/>
          <w:sz w:val="24"/>
          <w:szCs w:val="24"/>
          <w:lang w:val="it-IT"/>
        </w:rPr>
      </w:pPr>
    </w:p>
    <w:p w:rsidR="003C14C3" w:rsidRDefault="003C14C3" w:rsidP="00746BE1">
      <w:pPr>
        <w:jc w:val="right"/>
        <w:rPr>
          <w:b/>
          <w:sz w:val="24"/>
          <w:szCs w:val="24"/>
          <w:lang w:val="it-IT"/>
        </w:rPr>
      </w:pPr>
    </w:p>
    <w:p w:rsidR="003C14C3" w:rsidRDefault="003C14C3" w:rsidP="00746BE1">
      <w:pPr>
        <w:jc w:val="right"/>
        <w:rPr>
          <w:b/>
          <w:sz w:val="24"/>
          <w:szCs w:val="24"/>
          <w:lang w:val="it-IT"/>
        </w:rPr>
      </w:pPr>
    </w:p>
    <w:p w:rsidR="00746BE1" w:rsidRPr="00CD18DC" w:rsidRDefault="00746BE1" w:rsidP="00746BE1">
      <w:pPr>
        <w:jc w:val="right"/>
        <w:rPr>
          <w:b/>
          <w:sz w:val="24"/>
          <w:szCs w:val="24"/>
          <w:lang w:val="it-IT"/>
        </w:rPr>
      </w:pPr>
      <w:r w:rsidRPr="00CD18DC">
        <w:rPr>
          <w:b/>
          <w:sz w:val="24"/>
          <w:szCs w:val="24"/>
          <w:lang w:val="it-IT"/>
        </w:rPr>
        <w:lastRenderedPageBreak/>
        <w:t>Anexa nr. 4</w:t>
      </w:r>
    </w:p>
    <w:p w:rsidR="00746BE1" w:rsidRPr="00CD18DC" w:rsidRDefault="00746BE1" w:rsidP="00746BE1">
      <w:pPr>
        <w:jc w:val="right"/>
        <w:rPr>
          <w:rFonts w:eastAsia="Calibri"/>
          <w:sz w:val="24"/>
          <w:szCs w:val="24"/>
        </w:rPr>
      </w:pPr>
      <w:r w:rsidRPr="00CD18DC">
        <w:rPr>
          <w:rFonts w:eastAsia="Calibri"/>
          <w:sz w:val="24"/>
          <w:szCs w:val="24"/>
        </w:rPr>
        <w:t> </w:t>
      </w:r>
    </w:p>
    <w:p w:rsidR="00746BE1" w:rsidRPr="00CD18DC" w:rsidRDefault="00746BE1" w:rsidP="00746BE1">
      <w:pPr>
        <w:jc w:val="right"/>
        <w:rPr>
          <w:b/>
          <w:sz w:val="24"/>
          <w:szCs w:val="24"/>
          <w:lang w:val="it-IT"/>
        </w:rPr>
      </w:pPr>
      <w:r w:rsidRPr="00CD18DC">
        <w:rPr>
          <w:b/>
          <w:sz w:val="24"/>
          <w:szCs w:val="24"/>
          <w:lang w:val="it-IT"/>
        </w:rPr>
        <w:t>La Metodologie</w:t>
      </w:r>
    </w:p>
    <w:tbl>
      <w:tblPr>
        <w:tblW w:w="974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4746"/>
        <w:gridCol w:w="1039"/>
        <w:gridCol w:w="1039"/>
        <w:gridCol w:w="1656"/>
      </w:tblGrid>
      <w:tr w:rsidR="00746BE1" w:rsidRPr="00CD18DC" w:rsidTr="00415985">
        <w:trPr>
          <w:trHeight w:val="405"/>
        </w:trPr>
        <w:tc>
          <w:tcPr>
            <w:tcW w:w="6012" w:type="dxa"/>
            <w:gridSpan w:val="2"/>
            <w:tcBorders>
              <w:top w:val="nil"/>
              <w:left w:val="nil"/>
              <w:bottom w:val="nil"/>
              <w:right w:val="nil"/>
            </w:tcBorders>
            <w:shd w:val="clear" w:color="auto" w:fill="auto"/>
            <w:noWrap/>
            <w:hideMark/>
          </w:tcPr>
          <w:p w:rsidR="00746BE1" w:rsidRPr="00CD18DC" w:rsidRDefault="00746BE1" w:rsidP="00415985">
            <w:pPr>
              <w:rPr>
                <w:rFonts w:eastAsia="Calibri"/>
                <w:b/>
                <w:bCs/>
                <w:sz w:val="24"/>
                <w:szCs w:val="24"/>
              </w:rPr>
            </w:pPr>
            <w:r w:rsidRPr="00CD18DC">
              <w:rPr>
                <w:rFonts w:eastAsia="Calibri"/>
                <w:b/>
                <w:bCs/>
                <w:sz w:val="24"/>
                <w:szCs w:val="24"/>
              </w:rPr>
              <w:t>Nume producator:</w:t>
            </w:r>
          </w:p>
        </w:tc>
        <w:tc>
          <w:tcPr>
            <w:tcW w:w="1039" w:type="dxa"/>
            <w:tcBorders>
              <w:top w:val="nil"/>
              <w:left w:val="nil"/>
              <w:bottom w:val="nil"/>
              <w:right w:val="nil"/>
            </w:tcBorders>
            <w:shd w:val="clear" w:color="auto" w:fill="auto"/>
            <w:noWrap/>
            <w:hideMark/>
          </w:tcPr>
          <w:p w:rsidR="00746BE1" w:rsidRPr="00CD18DC" w:rsidRDefault="00746BE1" w:rsidP="00415985">
            <w:pPr>
              <w:rPr>
                <w:rFonts w:eastAsia="Calibri"/>
                <w:sz w:val="24"/>
                <w:szCs w:val="24"/>
              </w:rPr>
            </w:pPr>
            <w:r w:rsidRPr="00CD18DC">
              <w:rPr>
                <w:rFonts w:eastAsia="Calibri"/>
                <w:sz w:val="24"/>
                <w:szCs w:val="24"/>
              </w:rPr>
              <w:t> </w:t>
            </w:r>
          </w:p>
        </w:tc>
        <w:tc>
          <w:tcPr>
            <w:tcW w:w="1039" w:type="dxa"/>
            <w:tcBorders>
              <w:top w:val="nil"/>
              <w:left w:val="nil"/>
              <w:bottom w:val="nil"/>
              <w:right w:val="nil"/>
            </w:tcBorders>
            <w:shd w:val="clear" w:color="auto" w:fill="auto"/>
            <w:noWrap/>
            <w:hideMark/>
          </w:tcPr>
          <w:p w:rsidR="00746BE1" w:rsidRPr="00CD18DC" w:rsidRDefault="00746BE1" w:rsidP="00415985">
            <w:pPr>
              <w:rPr>
                <w:rFonts w:eastAsia="Calibri"/>
                <w:sz w:val="24"/>
                <w:szCs w:val="24"/>
              </w:rPr>
            </w:pPr>
            <w:r w:rsidRPr="00CD18DC">
              <w:rPr>
                <w:rFonts w:eastAsia="Calibri"/>
                <w:sz w:val="24"/>
                <w:szCs w:val="24"/>
              </w:rPr>
              <w:t> </w:t>
            </w:r>
          </w:p>
        </w:tc>
        <w:tc>
          <w:tcPr>
            <w:tcW w:w="1656" w:type="dxa"/>
            <w:tcBorders>
              <w:top w:val="nil"/>
              <w:left w:val="nil"/>
              <w:bottom w:val="nil"/>
              <w:right w:val="nil"/>
            </w:tcBorders>
            <w:shd w:val="clear" w:color="auto" w:fill="auto"/>
            <w:noWrap/>
            <w:hideMark/>
          </w:tcPr>
          <w:p w:rsidR="00746BE1" w:rsidRPr="00CD18DC" w:rsidRDefault="00746BE1" w:rsidP="00415985">
            <w:pPr>
              <w:rPr>
                <w:rFonts w:eastAsia="Calibri"/>
                <w:sz w:val="24"/>
                <w:szCs w:val="24"/>
              </w:rPr>
            </w:pPr>
            <w:r w:rsidRPr="00CD18DC">
              <w:rPr>
                <w:rFonts w:eastAsia="Calibri"/>
                <w:sz w:val="24"/>
                <w:szCs w:val="24"/>
              </w:rPr>
              <w:t> </w:t>
            </w:r>
          </w:p>
        </w:tc>
      </w:tr>
      <w:tr w:rsidR="00746BE1" w:rsidRPr="00CD18DC" w:rsidTr="00415985">
        <w:trPr>
          <w:trHeight w:val="405"/>
        </w:trPr>
        <w:tc>
          <w:tcPr>
            <w:tcW w:w="1266" w:type="dxa"/>
            <w:tcBorders>
              <w:top w:val="nil"/>
              <w:left w:val="nil"/>
              <w:bottom w:val="nil"/>
              <w:right w:val="nil"/>
            </w:tcBorders>
            <w:shd w:val="clear" w:color="auto" w:fill="auto"/>
            <w:noWrap/>
            <w:hideMark/>
          </w:tcPr>
          <w:p w:rsidR="00746BE1" w:rsidRPr="00CD18DC" w:rsidRDefault="00746BE1" w:rsidP="00415985">
            <w:pPr>
              <w:rPr>
                <w:rFonts w:eastAsia="Calibri"/>
                <w:b/>
                <w:bCs/>
                <w:sz w:val="24"/>
                <w:szCs w:val="24"/>
              </w:rPr>
            </w:pPr>
            <w:r w:rsidRPr="00CD18DC">
              <w:rPr>
                <w:rFonts w:eastAsia="Calibri"/>
                <w:b/>
                <w:bCs/>
                <w:sz w:val="24"/>
                <w:szCs w:val="24"/>
              </w:rPr>
              <w:t>Centrala :</w:t>
            </w:r>
          </w:p>
        </w:tc>
        <w:tc>
          <w:tcPr>
            <w:tcW w:w="4746" w:type="dxa"/>
            <w:tcBorders>
              <w:top w:val="nil"/>
              <w:left w:val="nil"/>
              <w:bottom w:val="nil"/>
              <w:right w:val="nil"/>
            </w:tcBorders>
            <w:shd w:val="clear" w:color="auto" w:fill="auto"/>
            <w:noWrap/>
            <w:hideMark/>
          </w:tcPr>
          <w:p w:rsidR="00746BE1" w:rsidRPr="00CD18DC" w:rsidRDefault="00746BE1" w:rsidP="00415985">
            <w:pPr>
              <w:rPr>
                <w:rFonts w:eastAsia="Calibri"/>
                <w:sz w:val="24"/>
                <w:szCs w:val="24"/>
              </w:rPr>
            </w:pPr>
            <w:r w:rsidRPr="00CD18DC">
              <w:rPr>
                <w:rFonts w:eastAsia="Calibri"/>
                <w:sz w:val="24"/>
                <w:szCs w:val="24"/>
              </w:rPr>
              <w:t> </w:t>
            </w:r>
          </w:p>
        </w:tc>
        <w:tc>
          <w:tcPr>
            <w:tcW w:w="1039" w:type="dxa"/>
            <w:tcBorders>
              <w:top w:val="nil"/>
              <w:left w:val="nil"/>
              <w:bottom w:val="nil"/>
              <w:right w:val="nil"/>
            </w:tcBorders>
            <w:shd w:val="clear" w:color="auto" w:fill="auto"/>
            <w:noWrap/>
            <w:hideMark/>
          </w:tcPr>
          <w:p w:rsidR="00746BE1" w:rsidRPr="00CD18DC" w:rsidRDefault="00746BE1" w:rsidP="00415985">
            <w:pPr>
              <w:rPr>
                <w:rFonts w:eastAsia="Calibri"/>
                <w:sz w:val="24"/>
                <w:szCs w:val="24"/>
              </w:rPr>
            </w:pPr>
            <w:r w:rsidRPr="00CD18DC">
              <w:rPr>
                <w:rFonts w:eastAsia="Calibri"/>
                <w:sz w:val="24"/>
                <w:szCs w:val="24"/>
              </w:rPr>
              <w:t> </w:t>
            </w:r>
          </w:p>
        </w:tc>
        <w:tc>
          <w:tcPr>
            <w:tcW w:w="1039" w:type="dxa"/>
            <w:tcBorders>
              <w:top w:val="nil"/>
              <w:left w:val="nil"/>
              <w:bottom w:val="nil"/>
              <w:right w:val="nil"/>
            </w:tcBorders>
            <w:shd w:val="clear" w:color="auto" w:fill="auto"/>
            <w:noWrap/>
            <w:hideMark/>
          </w:tcPr>
          <w:p w:rsidR="00746BE1" w:rsidRPr="00CD18DC" w:rsidRDefault="00746BE1" w:rsidP="00415985">
            <w:pPr>
              <w:rPr>
                <w:rFonts w:eastAsia="Calibri"/>
                <w:sz w:val="24"/>
                <w:szCs w:val="24"/>
              </w:rPr>
            </w:pPr>
            <w:r w:rsidRPr="00CD18DC">
              <w:rPr>
                <w:rFonts w:eastAsia="Calibri"/>
                <w:sz w:val="24"/>
                <w:szCs w:val="24"/>
              </w:rPr>
              <w:t> </w:t>
            </w:r>
          </w:p>
        </w:tc>
        <w:tc>
          <w:tcPr>
            <w:tcW w:w="1656" w:type="dxa"/>
            <w:tcBorders>
              <w:top w:val="nil"/>
              <w:left w:val="nil"/>
              <w:bottom w:val="nil"/>
              <w:right w:val="nil"/>
            </w:tcBorders>
            <w:shd w:val="clear" w:color="auto" w:fill="auto"/>
            <w:noWrap/>
            <w:hideMark/>
          </w:tcPr>
          <w:p w:rsidR="00746BE1" w:rsidRPr="00CD18DC" w:rsidRDefault="00746BE1" w:rsidP="00415985">
            <w:pPr>
              <w:rPr>
                <w:rFonts w:eastAsia="Calibri"/>
                <w:sz w:val="24"/>
                <w:szCs w:val="24"/>
              </w:rPr>
            </w:pPr>
            <w:r w:rsidRPr="00CD18DC">
              <w:rPr>
                <w:rFonts w:eastAsia="Calibri"/>
                <w:sz w:val="24"/>
                <w:szCs w:val="24"/>
              </w:rPr>
              <w:t> </w:t>
            </w:r>
          </w:p>
        </w:tc>
      </w:tr>
      <w:tr w:rsidR="00746BE1" w:rsidRPr="00CD18DC" w:rsidTr="00415985">
        <w:trPr>
          <w:trHeight w:val="465"/>
        </w:trPr>
        <w:tc>
          <w:tcPr>
            <w:tcW w:w="6012" w:type="dxa"/>
            <w:gridSpan w:val="2"/>
            <w:tcBorders>
              <w:top w:val="nil"/>
              <w:left w:val="nil"/>
              <w:bottom w:val="nil"/>
              <w:right w:val="nil"/>
            </w:tcBorders>
            <w:shd w:val="clear" w:color="auto" w:fill="auto"/>
            <w:noWrap/>
            <w:hideMark/>
          </w:tcPr>
          <w:p w:rsidR="00746BE1" w:rsidRPr="00CD18DC" w:rsidRDefault="00746BE1" w:rsidP="00415985">
            <w:pPr>
              <w:rPr>
                <w:rFonts w:eastAsia="Calibri"/>
                <w:b/>
                <w:bCs/>
                <w:sz w:val="24"/>
                <w:szCs w:val="24"/>
              </w:rPr>
            </w:pPr>
            <w:r w:rsidRPr="00CD18DC">
              <w:rPr>
                <w:rFonts w:eastAsia="Calibri"/>
                <w:b/>
                <w:bCs/>
                <w:sz w:val="24"/>
                <w:szCs w:val="24"/>
              </w:rPr>
              <w:t>Perioada de accesare schema din anul:</w:t>
            </w:r>
          </w:p>
        </w:tc>
        <w:tc>
          <w:tcPr>
            <w:tcW w:w="1039" w:type="dxa"/>
            <w:tcBorders>
              <w:top w:val="nil"/>
              <w:left w:val="nil"/>
              <w:bottom w:val="nil"/>
              <w:right w:val="nil"/>
            </w:tcBorders>
            <w:shd w:val="clear" w:color="auto" w:fill="auto"/>
            <w:noWrap/>
            <w:hideMark/>
          </w:tcPr>
          <w:p w:rsidR="00746BE1" w:rsidRPr="00CD18DC" w:rsidRDefault="00746BE1" w:rsidP="00415985">
            <w:pPr>
              <w:rPr>
                <w:rFonts w:eastAsia="Calibri"/>
                <w:sz w:val="24"/>
                <w:szCs w:val="24"/>
              </w:rPr>
            </w:pPr>
            <w:r w:rsidRPr="00CD18DC">
              <w:rPr>
                <w:rFonts w:eastAsia="Calibri"/>
                <w:sz w:val="24"/>
                <w:szCs w:val="24"/>
              </w:rPr>
              <w:t> </w:t>
            </w:r>
          </w:p>
        </w:tc>
        <w:tc>
          <w:tcPr>
            <w:tcW w:w="1039" w:type="dxa"/>
            <w:tcBorders>
              <w:top w:val="nil"/>
              <w:left w:val="nil"/>
              <w:bottom w:val="nil"/>
              <w:right w:val="nil"/>
            </w:tcBorders>
            <w:shd w:val="clear" w:color="auto" w:fill="auto"/>
            <w:noWrap/>
            <w:hideMark/>
          </w:tcPr>
          <w:p w:rsidR="00746BE1" w:rsidRPr="00CD18DC" w:rsidRDefault="00746BE1" w:rsidP="00415985">
            <w:pPr>
              <w:rPr>
                <w:rFonts w:eastAsia="Calibri"/>
                <w:sz w:val="24"/>
                <w:szCs w:val="24"/>
              </w:rPr>
            </w:pPr>
            <w:r w:rsidRPr="00CD18DC">
              <w:rPr>
                <w:rFonts w:eastAsia="Calibri"/>
                <w:sz w:val="24"/>
                <w:szCs w:val="24"/>
              </w:rPr>
              <w:t> </w:t>
            </w:r>
          </w:p>
        </w:tc>
        <w:tc>
          <w:tcPr>
            <w:tcW w:w="1656" w:type="dxa"/>
            <w:tcBorders>
              <w:top w:val="nil"/>
              <w:left w:val="nil"/>
              <w:bottom w:val="nil"/>
              <w:right w:val="nil"/>
            </w:tcBorders>
            <w:shd w:val="clear" w:color="auto" w:fill="auto"/>
            <w:noWrap/>
            <w:hideMark/>
          </w:tcPr>
          <w:p w:rsidR="00746BE1" w:rsidRPr="00CD18DC" w:rsidRDefault="00746BE1" w:rsidP="00415985">
            <w:pPr>
              <w:rPr>
                <w:rFonts w:eastAsia="Calibri"/>
                <w:sz w:val="24"/>
                <w:szCs w:val="24"/>
              </w:rPr>
            </w:pPr>
            <w:r w:rsidRPr="00CD18DC">
              <w:rPr>
                <w:rFonts w:eastAsia="Calibri"/>
                <w:sz w:val="24"/>
                <w:szCs w:val="24"/>
              </w:rPr>
              <w:t> </w:t>
            </w:r>
          </w:p>
        </w:tc>
      </w:tr>
    </w:tbl>
    <w:p w:rsidR="00746BE1" w:rsidRPr="00CD18DC" w:rsidRDefault="00746BE1" w:rsidP="00746BE1">
      <w:pPr>
        <w:rPr>
          <w:vanish/>
        </w:rPr>
      </w:pPr>
    </w:p>
    <w:tbl>
      <w:tblPr>
        <w:tblW w:w="10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8"/>
        <w:gridCol w:w="1170"/>
        <w:gridCol w:w="1499"/>
        <w:gridCol w:w="1260"/>
      </w:tblGrid>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UM</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Articol din Metodologie</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Date luate in calcul de ANRE</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Energie electrica produsa</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-in cogenerare</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 in capacitati de producere separata</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xml:space="preserve">Energie electrica vanduta (livrata) , </w:t>
            </w:r>
            <w:r w:rsidRPr="00CD18DC">
              <w:rPr>
                <w:rFonts w:ascii="Calibri" w:eastAsia="Calibri" w:hAnsi="Calibri"/>
                <w:b/>
                <w:sz w:val="24"/>
                <w:szCs w:val="24"/>
              </w:rPr>
              <w:t>din care:</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-din cogenerare care acceseaza schema de sprijin</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-din cogenerare care nu acceseaza schema de sprijin</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-din Capacitati Separate EE</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Autoconsum</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Energie electrica purtatoare de bonus (calificare anuala)</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Energie electrica de inalta eficienta</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xml:space="preserve">Energie termica la gard,  </w:t>
            </w:r>
            <w:r w:rsidRPr="00CD18DC">
              <w:rPr>
                <w:rFonts w:ascii="Calibri" w:eastAsia="Calibri" w:hAnsi="Calibri"/>
                <w:b/>
                <w:sz w:val="24"/>
                <w:szCs w:val="24"/>
              </w:rPr>
              <w:t>din care:</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-capacitati separate ET, din care:</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 pt. consum casnic</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-cogenerare, din care:</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-destinata consumului casnic</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 pe schema de sprijin, din care:</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-destinata consumului casnic</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-destinata consumului noncasnic</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bCs/>
                <w:sz w:val="24"/>
                <w:szCs w:val="24"/>
              </w:rPr>
              <w:t>Combustibil total</w:t>
            </w:r>
            <w:r w:rsidRPr="00CD18DC">
              <w:rPr>
                <w:rFonts w:ascii="Calibri" w:eastAsia="Calibri" w:hAnsi="Calibri"/>
                <w:b/>
                <w:sz w:val="24"/>
                <w:szCs w:val="24"/>
              </w:rPr>
              <w:t>, din care</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xml:space="preserve">         -cogenerare fara schema de sprijin</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-GN casnic</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-GN noncasnic ET</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-GN noncasnic EE</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-Combustibil solid</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-pacura</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-alt combustibil</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xml:space="preserve">          - cogenerare, cu schema de sprijin </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-GN casnic</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-GN noncasnic ET</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-GN noncasnic EE</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-Combustibil solid</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-pacura</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-alt combustibil</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lastRenderedPageBreak/>
              <w:t xml:space="preserve">          - capacitati separate ET</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-GN casnic</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-GN noncasnic ET</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-Combustibil solid</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-pacura</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-alt combustibil</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xml:space="preserve">         -capacitati separate EE</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-GN noncasnic</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-Combustibil solid</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-pacura</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-alt combustibil</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MWh</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Combustibil pentru cogenerare de inalta eficienta</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Bonus</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lei/MWh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Pret reglementat energie termica -pt.cons.casnic</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lei/MWh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Pret reglementat energie termica -pt.cons. noncasnic</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lei/MWh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Pret reglementata energie electrica</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lei/MWh</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30"/>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Venituri eligibile in analiza de supracompensare</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xml:space="preserve">      Venituri din EE si ET pe cogenerare de inalta eficienta</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-energie electrica</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Art. 14</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-energie termica</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Art. 13</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xml:space="preserve">      Valoare Bonus</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 Art. 15</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xml:space="preserve">      Alte venituri pe cogenerare de inalta eficienta</w:t>
            </w:r>
          </w:p>
        </w:tc>
        <w:tc>
          <w:tcPr>
            <w:tcW w:w="1170"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 Art. 16</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30"/>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Costuri eligibile in analiza de supracompensare</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xml:space="preserve">        Costuri cu achizitia energiei electrice si servicii aferente</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 Art. 19</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xml:space="preserve">        Costuri variabile, din care:</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 </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 cu combustibilul </w:t>
            </w:r>
          </w:p>
        </w:tc>
        <w:tc>
          <w:tcPr>
            <w:tcW w:w="1170"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7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-alte costuri variabile</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tcPr>
          <w:p w:rsidR="00746BE1" w:rsidRPr="00CD18DC" w:rsidRDefault="00746BE1" w:rsidP="003C14C3">
            <w:pPr>
              <w:rPr>
                <w:rFonts w:ascii="Calibri" w:eastAsia="Calibri" w:hAnsi="Calibri"/>
                <w:sz w:val="24"/>
                <w:szCs w:val="24"/>
              </w:rPr>
            </w:pPr>
          </w:p>
        </w:tc>
        <w:tc>
          <w:tcPr>
            <w:tcW w:w="1260" w:type="dxa"/>
            <w:shd w:val="clear" w:color="auto" w:fill="auto"/>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xml:space="preserve">       Costuri fixe</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lei</w:t>
            </w:r>
          </w:p>
        </w:tc>
        <w:tc>
          <w:tcPr>
            <w:tcW w:w="1499" w:type="dxa"/>
            <w:shd w:val="clear" w:color="auto" w:fill="auto"/>
            <w:noWrap/>
          </w:tcPr>
          <w:p w:rsidR="00746BE1" w:rsidRPr="00CD18DC" w:rsidRDefault="00746BE1" w:rsidP="003C14C3">
            <w:pPr>
              <w:rPr>
                <w:rFonts w:ascii="Calibri" w:eastAsia="Calibri" w:hAnsi="Calibri"/>
                <w:sz w:val="24"/>
                <w:szCs w:val="24"/>
              </w:rPr>
            </w:pP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30"/>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Alocare costuri   Cogenerare/Capacitati Separate EE si ET</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499"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Costuri variabile altele decat comb, din care:</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Art. 19</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7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-Cogenerare </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-Capacitati Separate EE   </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-Capacitati Separate ET</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Costuri variabile cu combustibilul, din care:</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 Art. 18</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-Cogenerare </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4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-Capacitati Separate EE   </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4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-Capacitati Separate ET</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Costuri fixe, din care:</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 Art. 20</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-Cogenerare </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-Capacitati Separate EE + Capacitati Separate ET  </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4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Alocare costuri   Cogenerare/ cogenerare de inalta eficienta</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Costuri variabile altele decat comb</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 Art. 22</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lastRenderedPageBreak/>
              <w:t xml:space="preserve">               -Cogenerare </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-Cogenerare de inalta eficienta</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Costuri variabile cu combustibilul</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 Art. 21</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-Cogenerare </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-Cogenerare de inalta eficienta</w:t>
            </w:r>
          </w:p>
        </w:tc>
        <w:tc>
          <w:tcPr>
            <w:tcW w:w="117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xml:space="preserve">Costuri fixe </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 Art. 23</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00"/>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-Cogenerare </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xml:space="preserve">               -Cogenerare de inalta eficienta</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28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Calcul rentabilitate</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xml:space="preserve">Rentabilitatea bazei reglementate a activelor pe inalta eficienta </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Art. 24</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15"/>
        </w:trPr>
        <w:tc>
          <w:tcPr>
            <w:tcW w:w="6498"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Performanta</w:t>
            </w:r>
          </w:p>
        </w:tc>
        <w:tc>
          <w:tcPr>
            <w:tcW w:w="117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lei</w:t>
            </w:r>
          </w:p>
        </w:tc>
        <w:tc>
          <w:tcPr>
            <w:tcW w:w="1499" w:type="dxa"/>
            <w:shd w:val="clear" w:color="auto" w:fill="auto"/>
            <w:noWrap/>
            <w:hideMark/>
          </w:tcPr>
          <w:p w:rsidR="00746BE1" w:rsidRPr="00CD18DC" w:rsidRDefault="00746BE1" w:rsidP="003C14C3">
            <w:pPr>
              <w:rPr>
                <w:rFonts w:ascii="Calibri" w:eastAsia="Calibri" w:hAnsi="Calibri"/>
                <w:sz w:val="24"/>
                <w:szCs w:val="24"/>
              </w:rPr>
            </w:pPr>
            <w:r w:rsidRPr="00CD18DC">
              <w:rPr>
                <w:rFonts w:ascii="Calibri" w:eastAsia="Calibri" w:hAnsi="Calibri"/>
                <w:sz w:val="24"/>
                <w:szCs w:val="24"/>
              </w:rPr>
              <w:t> Art. 21</w:t>
            </w:r>
          </w:p>
        </w:tc>
        <w:tc>
          <w:tcPr>
            <w:tcW w:w="1260" w:type="dxa"/>
            <w:shd w:val="clear" w:color="auto" w:fill="auto"/>
            <w:noWrap/>
            <w:hideMark/>
          </w:tcPr>
          <w:p w:rsidR="00746BE1" w:rsidRPr="00CD18DC" w:rsidRDefault="00746BE1" w:rsidP="003C14C3">
            <w:pPr>
              <w:rPr>
                <w:rFonts w:ascii="Calibri" w:eastAsia="Calibri" w:hAnsi="Calibri"/>
                <w:b/>
                <w:sz w:val="24"/>
                <w:szCs w:val="24"/>
              </w:rPr>
            </w:pPr>
            <w:r w:rsidRPr="00CD18DC">
              <w:rPr>
                <w:rFonts w:ascii="Calibri" w:eastAsia="Calibri" w:hAnsi="Calibri"/>
                <w:b/>
                <w:sz w:val="24"/>
                <w:szCs w:val="24"/>
              </w:rPr>
              <w:t> </w:t>
            </w:r>
          </w:p>
        </w:tc>
      </w:tr>
      <w:tr w:rsidR="00746BE1" w:rsidRPr="00CD18DC" w:rsidTr="00746BE1">
        <w:trPr>
          <w:trHeight w:val="390"/>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xml:space="preserve">Supracompensare  </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 Art. 25</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90"/>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Supracompensare actualizata</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 Art. 26</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90"/>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Regularizare</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 Art. 32</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CD18DC" w:rsidTr="00746BE1">
        <w:trPr>
          <w:trHeight w:val="390"/>
        </w:trPr>
        <w:tc>
          <w:tcPr>
            <w:tcW w:w="6498"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Regularizare actualizata</w:t>
            </w:r>
          </w:p>
        </w:tc>
        <w:tc>
          <w:tcPr>
            <w:tcW w:w="117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lei</w:t>
            </w:r>
          </w:p>
        </w:tc>
        <w:tc>
          <w:tcPr>
            <w:tcW w:w="1499" w:type="dxa"/>
            <w:shd w:val="clear" w:color="auto" w:fill="auto"/>
            <w:noWrap/>
            <w:hideMark/>
          </w:tcPr>
          <w:p w:rsidR="00746BE1" w:rsidRPr="00CD18DC" w:rsidRDefault="00746BE1" w:rsidP="003C14C3">
            <w:pPr>
              <w:rPr>
                <w:rFonts w:ascii="Calibri" w:eastAsia="Calibri" w:hAnsi="Calibri"/>
                <w:bCs/>
                <w:sz w:val="24"/>
                <w:szCs w:val="24"/>
              </w:rPr>
            </w:pPr>
            <w:r w:rsidRPr="00CD18DC">
              <w:rPr>
                <w:rFonts w:ascii="Calibri" w:eastAsia="Calibri" w:hAnsi="Calibri"/>
                <w:bCs/>
                <w:sz w:val="24"/>
                <w:szCs w:val="24"/>
              </w:rPr>
              <w:t> Art. 32</w:t>
            </w:r>
          </w:p>
        </w:tc>
        <w:tc>
          <w:tcPr>
            <w:tcW w:w="1260" w:type="dxa"/>
            <w:shd w:val="clear" w:color="auto" w:fill="auto"/>
            <w:noWrap/>
            <w:hideMark/>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 </w:t>
            </w:r>
          </w:p>
        </w:tc>
      </w:tr>
      <w:tr w:rsidR="00746BE1" w:rsidRPr="00F641F9" w:rsidTr="00746BE1">
        <w:trPr>
          <w:trHeight w:val="390"/>
        </w:trPr>
        <w:tc>
          <w:tcPr>
            <w:tcW w:w="6498" w:type="dxa"/>
            <w:shd w:val="clear" w:color="auto" w:fill="auto"/>
            <w:noWrap/>
          </w:tcPr>
          <w:p w:rsidR="00746BE1" w:rsidRPr="00CD18DC" w:rsidRDefault="00746BE1" w:rsidP="003C14C3">
            <w:pPr>
              <w:rPr>
                <w:rFonts w:ascii="Calibri" w:eastAsia="Calibri" w:hAnsi="Calibri"/>
                <w:b/>
                <w:bCs/>
                <w:sz w:val="24"/>
                <w:szCs w:val="24"/>
              </w:rPr>
            </w:pPr>
            <w:r w:rsidRPr="00CD18DC">
              <w:rPr>
                <w:rFonts w:ascii="Calibri" w:eastAsia="Calibri" w:hAnsi="Calibri"/>
                <w:b/>
                <w:bCs/>
                <w:sz w:val="24"/>
                <w:szCs w:val="24"/>
              </w:rPr>
              <w:t>Bonus acordat cf. analizei de ante-supracompensare</w:t>
            </w:r>
          </w:p>
        </w:tc>
        <w:tc>
          <w:tcPr>
            <w:tcW w:w="1170" w:type="dxa"/>
            <w:shd w:val="clear" w:color="auto" w:fill="auto"/>
            <w:noWrap/>
          </w:tcPr>
          <w:p w:rsidR="00746BE1" w:rsidRPr="00CD18DC" w:rsidRDefault="005919C5" w:rsidP="003C14C3">
            <w:pPr>
              <w:rPr>
                <w:rFonts w:ascii="Calibri" w:eastAsia="Calibri" w:hAnsi="Calibri"/>
                <w:b/>
                <w:bCs/>
                <w:sz w:val="24"/>
                <w:szCs w:val="24"/>
              </w:rPr>
            </w:pPr>
            <w:r w:rsidRPr="00CD18DC">
              <w:rPr>
                <w:rFonts w:ascii="Calibri" w:eastAsia="Calibri" w:hAnsi="Calibri"/>
                <w:b/>
                <w:bCs/>
                <w:sz w:val="24"/>
                <w:szCs w:val="24"/>
              </w:rPr>
              <w:t>l</w:t>
            </w:r>
            <w:r w:rsidR="00746BE1" w:rsidRPr="00CD18DC">
              <w:rPr>
                <w:rFonts w:ascii="Calibri" w:eastAsia="Calibri" w:hAnsi="Calibri"/>
                <w:b/>
                <w:bCs/>
                <w:sz w:val="24"/>
                <w:szCs w:val="24"/>
              </w:rPr>
              <w:t>ei/MWh</w:t>
            </w:r>
          </w:p>
        </w:tc>
        <w:tc>
          <w:tcPr>
            <w:tcW w:w="1499" w:type="dxa"/>
            <w:shd w:val="clear" w:color="auto" w:fill="auto"/>
            <w:noWrap/>
          </w:tcPr>
          <w:p w:rsidR="00746BE1" w:rsidRPr="0025124C" w:rsidRDefault="00746BE1" w:rsidP="003C14C3">
            <w:pPr>
              <w:rPr>
                <w:rFonts w:ascii="Calibri" w:eastAsia="Calibri" w:hAnsi="Calibri"/>
                <w:bCs/>
                <w:sz w:val="24"/>
                <w:szCs w:val="24"/>
              </w:rPr>
            </w:pPr>
            <w:r w:rsidRPr="00CD18DC">
              <w:rPr>
                <w:rFonts w:ascii="Calibri" w:eastAsia="Calibri" w:hAnsi="Calibri"/>
                <w:bCs/>
                <w:sz w:val="24"/>
                <w:szCs w:val="24"/>
              </w:rPr>
              <w:t xml:space="preserve"> Art. 31</w:t>
            </w:r>
          </w:p>
        </w:tc>
        <w:tc>
          <w:tcPr>
            <w:tcW w:w="1260" w:type="dxa"/>
            <w:shd w:val="clear" w:color="auto" w:fill="auto"/>
            <w:noWrap/>
          </w:tcPr>
          <w:p w:rsidR="00746BE1" w:rsidRPr="00F641F9" w:rsidRDefault="00746BE1" w:rsidP="003C14C3">
            <w:pPr>
              <w:rPr>
                <w:rFonts w:ascii="Calibri" w:eastAsia="Calibri" w:hAnsi="Calibri"/>
                <w:b/>
                <w:bCs/>
                <w:sz w:val="24"/>
                <w:szCs w:val="24"/>
              </w:rPr>
            </w:pPr>
          </w:p>
        </w:tc>
      </w:tr>
    </w:tbl>
    <w:p w:rsidR="00746BE1" w:rsidRDefault="00746BE1" w:rsidP="003C14C3">
      <w:pPr>
        <w:rPr>
          <w:b/>
          <w:sz w:val="24"/>
          <w:szCs w:val="24"/>
          <w:lang w:val="it-IT"/>
        </w:rPr>
      </w:pPr>
    </w:p>
    <w:p w:rsidR="006B4B25" w:rsidRPr="006B4B25" w:rsidRDefault="006B4B25" w:rsidP="003C14C3">
      <w:pPr>
        <w:rPr>
          <w:sz w:val="24"/>
          <w:szCs w:val="24"/>
        </w:rPr>
      </w:pPr>
    </w:p>
    <w:p w:rsidR="00915E96" w:rsidRPr="00915E96" w:rsidRDefault="00915E96" w:rsidP="00915E96">
      <w:pPr>
        <w:spacing w:line="276" w:lineRule="auto"/>
        <w:jc w:val="both"/>
        <w:rPr>
          <w:color w:val="000000"/>
          <w:sz w:val="24"/>
          <w:lang w:val="ro-RO"/>
        </w:rPr>
      </w:pPr>
      <w:r w:rsidRPr="00915E96">
        <w:rPr>
          <w:rFonts w:eastAsia="Batang"/>
          <w:b/>
          <w:color w:val="000000"/>
          <w:sz w:val="24"/>
          <w:szCs w:val="24"/>
          <w:lang w:val="ro-RO"/>
        </w:rPr>
        <w:t>Art. II.</w:t>
      </w:r>
      <w:r w:rsidRPr="00915E96">
        <w:rPr>
          <w:rFonts w:eastAsia="Batang"/>
          <w:b/>
          <w:color w:val="000000"/>
          <w:lang w:val="ro-RO"/>
        </w:rPr>
        <w:t xml:space="preserve">  -    </w:t>
      </w:r>
      <w:r w:rsidRPr="00915E96">
        <w:rPr>
          <w:color w:val="000000"/>
          <w:sz w:val="24"/>
          <w:lang w:val="ro-RO"/>
        </w:rPr>
        <w:t xml:space="preserve">Prezentul ordin se publică în Monitorul Oficial al României, Partea I.  </w:t>
      </w:r>
    </w:p>
    <w:p w:rsidR="00513288" w:rsidRDefault="00513288" w:rsidP="00A74C57">
      <w:pPr>
        <w:spacing w:line="360" w:lineRule="auto"/>
      </w:pPr>
    </w:p>
    <w:sectPr w:rsidR="00513288" w:rsidSect="009422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920" w:rsidRDefault="00876920" w:rsidP="00B821DC">
      <w:r>
        <w:separator/>
      </w:r>
    </w:p>
  </w:endnote>
  <w:endnote w:type="continuationSeparator" w:id="0">
    <w:p w:rsidR="00876920" w:rsidRDefault="00876920" w:rsidP="00B82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RomanR">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920" w:rsidRDefault="00876920" w:rsidP="00B821DC">
      <w:r>
        <w:separator/>
      </w:r>
    </w:p>
  </w:footnote>
  <w:footnote w:type="continuationSeparator" w:id="0">
    <w:p w:rsidR="00876920" w:rsidRDefault="00876920" w:rsidP="00B821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64EF"/>
    <w:multiLevelType w:val="hybridMultilevel"/>
    <w:tmpl w:val="C90C741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nsid w:val="023B44D7"/>
    <w:multiLevelType w:val="hybridMultilevel"/>
    <w:tmpl w:val="5FD62490"/>
    <w:lvl w:ilvl="0" w:tplc="B9A8D37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101B7F90"/>
    <w:multiLevelType w:val="hybridMultilevel"/>
    <w:tmpl w:val="019CF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EE1337"/>
    <w:multiLevelType w:val="hybridMultilevel"/>
    <w:tmpl w:val="88E64FB6"/>
    <w:lvl w:ilvl="0" w:tplc="9D80E3BA">
      <w:start w:val="1"/>
      <w:numFmt w:val="decimal"/>
      <w:lvlText w:val="Art.%1.  "/>
      <w:lvlJc w:val="left"/>
      <w:pPr>
        <w:ind w:left="360" w:hanging="360"/>
      </w:pPr>
      <w:rPr>
        <w:rFonts w:ascii="Times New Roman" w:hAnsi="Times New Roman" w:cs="Times New Roman" w:hint="default"/>
        <w:b/>
        <w:bCs w:val="0"/>
        <w:i w:val="0"/>
        <w:iCs w:val="0"/>
        <w:strike w:val="0"/>
        <w:color w:val="auto"/>
        <w:sz w:val="24"/>
        <w:szCs w:val="24"/>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A6D1063"/>
    <w:multiLevelType w:val="hybridMultilevel"/>
    <w:tmpl w:val="BB343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1625638"/>
    <w:multiLevelType w:val="hybridMultilevel"/>
    <w:tmpl w:val="BBA8B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1D773A8"/>
    <w:multiLevelType w:val="hybridMultilevel"/>
    <w:tmpl w:val="6630B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28E34E2"/>
    <w:multiLevelType w:val="hybridMultilevel"/>
    <w:tmpl w:val="917246CE"/>
    <w:lvl w:ilvl="0" w:tplc="F350F222">
      <w:start w:val="1"/>
      <w:numFmt w:val="decimal"/>
      <w:lvlText w:val="Art.%1. - "/>
      <w:lvlJc w:val="left"/>
      <w:pPr>
        <w:tabs>
          <w:tab w:val="num" w:pos="1008"/>
        </w:tabs>
        <w:ind w:left="1008" w:hanging="1008"/>
      </w:pPr>
      <w:rPr>
        <w:rFonts w:ascii="Times New Roman" w:hAnsi="Times New Roman" w:cs="Times New Roman" w:hint="default"/>
        <w:b w:val="0"/>
        <w:bCs w:val="0"/>
        <w:i w:val="0"/>
        <w:iCs w:val="0"/>
        <w:strike w:val="0"/>
        <w:color w:val="auto"/>
        <w:sz w:val="24"/>
        <w:szCs w:val="24"/>
      </w:rPr>
    </w:lvl>
    <w:lvl w:ilvl="1" w:tplc="126E4E20">
      <w:start w:val="1"/>
      <w:numFmt w:val="lowerLetter"/>
      <w:lvlText w:val="%2)"/>
      <w:lvlJc w:val="left"/>
      <w:pPr>
        <w:tabs>
          <w:tab w:val="num" w:pos="1512"/>
        </w:tabs>
        <w:ind w:left="1512" w:hanging="432"/>
      </w:pPr>
      <w:rPr>
        <w:rFonts w:hint="default"/>
        <w:b w:val="0"/>
        <w:bCs w:val="0"/>
        <w:i w:val="0"/>
        <w:iCs w:val="0"/>
        <w:strike w:val="0"/>
        <w:sz w:val="24"/>
        <w:szCs w:val="24"/>
      </w:rPr>
    </w:lvl>
    <w:lvl w:ilvl="2" w:tplc="7160E23E">
      <w:start w:val="1"/>
      <w:numFmt w:val="decimal"/>
      <w:lvlText w:val="(%3)"/>
      <w:lvlJc w:val="left"/>
      <w:pPr>
        <w:tabs>
          <w:tab w:val="num" w:pos="2340"/>
        </w:tabs>
        <w:ind w:left="2340" w:hanging="360"/>
      </w:pPr>
      <w:rPr>
        <w:rFonts w:hint="default"/>
        <w:b w:val="0"/>
        <w:bCs w:val="0"/>
        <w:i w:val="0"/>
        <w:iCs w:val="0"/>
        <w:strike w:val="0"/>
        <w:color w:val="auto"/>
        <w:sz w:val="24"/>
        <w:szCs w:val="24"/>
      </w:rPr>
    </w:lvl>
    <w:lvl w:ilvl="3" w:tplc="BD2490A8">
      <w:start w:val="3"/>
      <w:numFmt w:val="bullet"/>
      <w:lvlText w:val="-"/>
      <w:lvlJc w:val="left"/>
      <w:pPr>
        <w:tabs>
          <w:tab w:val="num" w:pos="2880"/>
        </w:tabs>
        <w:ind w:left="2880" w:hanging="360"/>
      </w:pPr>
      <w:rPr>
        <w:rFonts w:ascii="Times New Roman" w:eastAsia="Times New Roman" w:hAnsi="Times New Roman" w:hint="default"/>
      </w:rPr>
    </w:lvl>
    <w:lvl w:ilvl="4" w:tplc="E67014A0">
      <w:start w:val="1"/>
      <w:numFmt w:val="low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36A64BEF"/>
    <w:multiLevelType w:val="hybridMultilevel"/>
    <w:tmpl w:val="16D8C7B4"/>
    <w:lvl w:ilvl="0" w:tplc="B9A8D37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470717DF"/>
    <w:multiLevelType w:val="hybridMultilevel"/>
    <w:tmpl w:val="F7983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2C350BC"/>
    <w:multiLevelType w:val="hybridMultilevel"/>
    <w:tmpl w:val="3F286478"/>
    <w:lvl w:ilvl="0" w:tplc="B9A8D37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545754F1"/>
    <w:multiLevelType w:val="hybridMultilevel"/>
    <w:tmpl w:val="C86A0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62767B9"/>
    <w:multiLevelType w:val="hybridMultilevel"/>
    <w:tmpl w:val="E6A6274C"/>
    <w:lvl w:ilvl="0" w:tplc="588667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57117FD7"/>
    <w:multiLevelType w:val="hybridMultilevel"/>
    <w:tmpl w:val="68AE63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E4F345E"/>
    <w:multiLevelType w:val="hybridMultilevel"/>
    <w:tmpl w:val="A9467CE4"/>
    <w:lvl w:ilvl="0" w:tplc="B9A8D37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5E8F6AB1"/>
    <w:multiLevelType w:val="hybridMultilevel"/>
    <w:tmpl w:val="BD54D642"/>
    <w:lvl w:ilvl="0" w:tplc="D420568C">
      <w:start w:val="1"/>
      <w:numFmt w:val="lowerRoman"/>
      <w:lvlText w:val="%1"/>
      <w:lvlJc w:val="righ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6">
    <w:nsid w:val="5E9301C2"/>
    <w:multiLevelType w:val="hybridMultilevel"/>
    <w:tmpl w:val="00DEAF50"/>
    <w:lvl w:ilvl="0" w:tplc="B9A8D37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6D761C73"/>
    <w:multiLevelType w:val="hybridMultilevel"/>
    <w:tmpl w:val="2982D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9D81F67"/>
    <w:multiLevelType w:val="hybridMultilevel"/>
    <w:tmpl w:val="B9A69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2"/>
  </w:num>
  <w:num w:numId="3">
    <w:abstractNumId w:val="3"/>
  </w:num>
  <w:num w:numId="4">
    <w:abstractNumId w:val="15"/>
  </w:num>
  <w:num w:numId="5">
    <w:abstractNumId w:val="4"/>
  </w:num>
  <w:num w:numId="6">
    <w:abstractNumId w:val="2"/>
  </w:num>
  <w:num w:numId="7">
    <w:abstractNumId w:val="18"/>
  </w:num>
  <w:num w:numId="8">
    <w:abstractNumId w:val="11"/>
  </w:num>
  <w:num w:numId="9">
    <w:abstractNumId w:val="6"/>
  </w:num>
  <w:num w:numId="10">
    <w:abstractNumId w:val="5"/>
  </w:num>
  <w:num w:numId="11">
    <w:abstractNumId w:val="13"/>
  </w:num>
  <w:num w:numId="12">
    <w:abstractNumId w:val="0"/>
  </w:num>
  <w:num w:numId="13">
    <w:abstractNumId w:val="9"/>
  </w:num>
  <w:num w:numId="14">
    <w:abstractNumId w:val="17"/>
  </w:num>
  <w:num w:numId="15">
    <w:abstractNumId w:val="14"/>
  </w:num>
  <w:num w:numId="16">
    <w:abstractNumId w:val="8"/>
  </w:num>
  <w:num w:numId="17">
    <w:abstractNumId w:val="7"/>
  </w:num>
  <w:num w:numId="18">
    <w:abstractNumId w:val="1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E2B39"/>
    <w:rsid w:val="00017433"/>
    <w:rsid w:val="000258AC"/>
    <w:rsid w:val="000501D9"/>
    <w:rsid w:val="000A1C6D"/>
    <w:rsid w:val="000B47BB"/>
    <w:rsid w:val="000D638D"/>
    <w:rsid w:val="00131896"/>
    <w:rsid w:val="00143B51"/>
    <w:rsid w:val="001763DC"/>
    <w:rsid w:val="00192780"/>
    <w:rsid w:val="001A3A5C"/>
    <w:rsid w:val="001E424C"/>
    <w:rsid w:val="001F4FA7"/>
    <w:rsid w:val="002002C6"/>
    <w:rsid w:val="00207010"/>
    <w:rsid w:val="00210C12"/>
    <w:rsid w:val="00234FB9"/>
    <w:rsid w:val="0025283D"/>
    <w:rsid w:val="002536B8"/>
    <w:rsid w:val="0026148A"/>
    <w:rsid w:val="002C3186"/>
    <w:rsid w:val="003124DE"/>
    <w:rsid w:val="00317470"/>
    <w:rsid w:val="00344B1D"/>
    <w:rsid w:val="003469C0"/>
    <w:rsid w:val="0035446C"/>
    <w:rsid w:val="003679EF"/>
    <w:rsid w:val="003C14C3"/>
    <w:rsid w:val="003E7F49"/>
    <w:rsid w:val="00415985"/>
    <w:rsid w:val="0043484B"/>
    <w:rsid w:val="004415AE"/>
    <w:rsid w:val="004738CB"/>
    <w:rsid w:val="00484656"/>
    <w:rsid w:val="004E0874"/>
    <w:rsid w:val="004E36BE"/>
    <w:rsid w:val="004E455E"/>
    <w:rsid w:val="00502A7F"/>
    <w:rsid w:val="005058D2"/>
    <w:rsid w:val="0050638A"/>
    <w:rsid w:val="00513288"/>
    <w:rsid w:val="00531CF1"/>
    <w:rsid w:val="005442E0"/>
    <w:rsid w:val="00572987"/>
    <w:rsid w:val="00572A2A"/>
    <w:rsid w:val="00586399"/>
    <w:rsid w:val="005919C5"/>
    <w:rsid w:val="00593217"/>
    <w:rsid w:val="005A18C4"/>
    <w:rsid w:val="005A437D"/>
    <w:rsid w:val="005A51D2"/>
    <w:rsid w:val="005B7F18"/>
    <w:rsid w:val="005C5410"/>
    <w:rsid w:val="005D0867"/>
    <w:rsid w:val="005D5320"/>
    <w:rsid w:val="00616D52"/>
    <w:rsid w:val="006B4B25"/>
    <w:rsid w:val="006E2B39"/>
    <w:rsid w:val="00704F1B"/>
    <w:rsid w:val="0073363C"/>
    <w:rsid w:val="00746BE1"/>
    <w:rsid w:val="00757380"/>
    <w:rsid w:val="00792132"/>
    <w:rsid w:val="00794A37"/>
    <w:rsid w:val="007A3626"/>
    <w:rsid w:val="007B524E"/>
    <w:rsid w:val="007C6E4A"/>
    <w:rsid w:val="007E1E5C"/>
    <w:rsid w:val="008370B8"/>
    <w:rsid w:val="0085594F"/>
    <w:rsid w:val="00867A93"/>
    <w:rsid w:val="0087650E"/>
    <w:rsid w:val="00876920"/>
    <w:rsid w:val="00880BF4"/>
    <w:rsid w:val="00891D54"/>
    <w:rsid w:val="008934F4"/>
    <w:rsid w:val="008A677B"/>
    <w:rsid w:val="008B0188"/>
    <w:rsid w:val="008C003F"/>
    <w:rsid w:val="008D3CE6"/>
    <w:rsid w:val="008F6C6F"/>
    <w:rsid w:val="00914509"/>
    <w:rsid w:val="00915E96"/>
    <w:rsid w:val="0092598F"/>
    <w:rsid w:val="0092759C"/>
    <w:rsid w:val="00936D17"/>
    <w:rsid w:val="009422BB"/>
    <w:rsid w:val="0095155C"/>
    <w:rsid w:val="00970DAE"/>
    <w:rsid w:val="00982A06"/>
    <w:rsid w:val="00990FA1"/>
    <w:rsid w:val="00A06A76"/>
    <w:rsid w:val="00A2446C"/>
    <w:rsid w:val="00A55458"/>
    <w:rsid w:val="00A74C57"/>
    <w:rsid w:val="00AC0436"/>
    <w:rsid w:val="00B10133"/>
    <w:rsid w:val="00B17ACE"/>
    <w:rsid w:val="00B238C3"/>
    <w:rsid w:val="00B62C57"/>
    <w:rsid w:val="00B719F7"/>
    <w:rsid w:val="00B821DC"/>
    <w:rsid w:val="00B94979"/>
    <w:rsid w:val="00BC6AE7"/>
    <w:rsid w:val="00C120F0"/>
    <w:rsid w:val="00C43503"/>
    <w:rsid w:val="00C852EA"/>
    <w:rsid w:val="00C87EA1"/>
    <w:rsid w:val="00C93E21"/>
    <w:rsid w:val="00CC1143"/>
    <w:rsid w:val="00CD18DC"/>
    <w:rsid w:val="00CF46A6"/>
    <w:rsid w:val="00CF6830"/>
    <w:rsid w:val="00D51928"/>
    <w:rsid w:val="00D6034B"/>
    <w:rsid w:val="00D61180"/>
    <w:rsid w:val="00D7229A"/>
    <w:rsid w:val="00DA1868"/>
    <w:rsid w:val="00DA6C67"/>
    <w:rsid w:val="00DE18C4"/>
    <w:rsid w:val="00E05B67"/>
    <w:rsid w:val="00E12B7D"/>
    <w:rsid w:val="00E256E0"/>
    <w:rsid w:val="00E42A5E"/>
    <w:rsid w:val="00E508BD"/>
    <w:rsid w:val="00E838DC"/>
    <w:rsid w:val="00EB2F59"/>
    <w:rsid w:val="00EF3307"/>
    <w:rsid w:val="00F01E5A"/>
    <w:rsid w:val="00F1017E"/>
    <w:rsid w:val="00F20C02"/>
    <w:rsid w:val="00F40F22"/>
    <w:rsid w:val="00F60B89"/>
    <w:rsid w:val="00FC5496"/>
    <w:rsid w:val="00FC5EA3"/>
    <w:rsid w:val="00FD3242"/>
    <w:rsid w:val="00FD4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B39"/>
    <w:pPr>
      <w:spacing w:after="0" w:line="240" w:lineRule="auto"/>
    </w:pPr>
    <w:rPr>
      <w:rFonts w:ascii="Times New Roman" w:eastAsia="Times New Roman" w:hAnsi="Times New Roman" w:cs="Times New Roman"/>
      <w:sz w:val="20"/>
      <w:szCs w:val="20"/>
      <w:lang w:val="en-US"/>
    </w:rPr>
  </w:style>
  <w:style w:type="paragraph" w:styleId="Heading5">
    <w:name w:val="heading 5"/>
    <w:basedOn w:val="Normal"/>
    <w:next w:val="Normal"/>
    <w:link w:val="Heading5Char"/>
    <w:qFormat/>
    <w:rsid w:val="006E2B39"/>
    <w:pPr>
      <w:keepNext/>
      <w:jc w:val="center"/>
      <w:outlineLvl w:val="4"/>
    </w:pPr>
    <w:rPr>
      <w:rFonts w:ascii="TimesRomanR" w:hAnsi="TimesRoman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6E2B39"/>
    <w:rPr>
      <w:rFonts w:ascii="TimesRomanR" w:eastAsia="Times New Roman" w:hAnsi="TimesRomanR" w:cs="Times New Roman"/>
      <w:b/>
      <w:sz w:val="24"/>
      <w:szCs w:val="20"/>
      <w:lang w:val="en-US"/>
    </w:rPr>
  </w:style>
  <w:style w:type="paragraph" w:customStyle="1" w:styleId="Char">
    <w:name w:val="Char"/>
    <w:basedOn w:val="Normal"/>
    <w:rsid w:val="006E2B39"/>
    <w:rPr>
      <w:sz w:val="24"/>
      <w:szCs w:val="24"/>
      <w:lang w:val="pl-PL" w:eastAsia="pl-PL"/>
    </w:rPr>
  </w:style>
  <w:style w:type="paragraph" w:styleId="ListParagraph">
    <w:name w:val="List Paragraph"/>
    <w:basedOn w:val="Normal"/>
    <w:uiPriority w:val="34"/>
    <w:qFormat/>
    <w:rsid w:val="000258AC"/>
    <w:pPr>
      <w:ind w:left="720"/>
      <w:contextualSpacing/>
    </w:pPr>
  </w:style>
  <w:style w:type="character" w:styleId="CommentReference">
    <w:name w:val="annotation reference"/>
    <w:uiPriority w:val="99"/>
    <w:rsid w:val="00586399"/>
    <w:rPr>
      <w:sz w:val="16"/>
      <w:szCs w:val="16"/>
    </w:rPr>
  </w:style>
  <w:style w:type="paragraph" w:styleId="CommentText">
    <w:name w:val="annotation text"/>
    <w:basedOn w:val="Normal"/>
    <w:link w:val="CommentTextChar"/>
    <w:uiPriority w:val="99"/>
    <w:rsid w:val="00586399"/>
  </w:style>
  <w:style w:type="character" w:customStyle="1" w:styleId="CommentTextChar">
    <w:name w:val="Comment Text Char"/>
    <w:basedOn w:val="DefaultParagraphFont"/>
    <w:link w:val="CommentText"/>
    <w:uiPriority w:val="99"/>
    <w:rsid w:val="00586399"/>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586399"/>
    <w:rPr>
      <w:rFonts w:ascii="Tahoma" w:hAnsi="Tahoma" w:cs="Tahoma"/>
      <w:sz w:val="16"/>
      <w:szCs w:val="16"/>
    </w:rPr>
  </w:style>
  <w:style w:type="character" w:customStyle="1" w:styleId="BalloonTextChar">
    <w:name w:val="Balloon Text Char"/>
    <w:basedOn w:val="DefaultParagraphFont"/>
    <w:link w:val="BalloonText"/>
    <w:uiPriority w:val="99"/>
    <w:semiHidden/>
    <w:rsid w:val="00586399"/>
    <w:rPr>
      <w:rFonts w:ascii="Tahoma" w:eastAsia="Times New Roman" w:hAnsi="Tahoma" w:cs="Tahoma"/>
      <w:sz w:val="16"/>
      <w:szCs w:val="16"/>
      <w:lang w:val="en-US"/>
    </w:rPr>
  </w:style>
  <w:style w:type="character" w:styleId="Hyperlink">
    <w:name w:val="Hyperlink"/>
    <w:rsid w:val="00CF46A6"/>
    <w:rPr>
      <w:color w:val="0000FF"/>
      <w:u w:val="single"/>
    </w:rPr>
  </w:style>
  <w:style w:type="paragraph" w:styleId="Header">
    <w:name w:val="header"/>
    <w:basedOn w:val="Normal"/>
    <w:link w:val="HeaderChar"/>
    <w:uiPriority w:val="99"/>
    <w:unhideWhenUsed/>
    <w:rsid w:val="00B821DC"/>
    <w:pPr>
      <w:tabs>
        <w:tab w:val="center" w:pos="4513"/>
        <w:tab w:val="right" w:pos="9026"/>
      </w:tabs>
    </w:pPr>
  </w:style>
  <w:style w:type="character" w:customStyle="1" w:styleId="HeaderChar">
    <w:name w:val="Header Char"/>
    <w:basedOn w:val="DefaultParagraphFont"/>
    <w:link w:val="Header"/>
    <w:uiPriority w:val="99"/>
    <w:rsid w:val="00B821DC"/>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B821DC"/>
    <w:pPr>
      <w:tabs>
        <w:tab w:val="center" w:pos="4513"/>
        <w:tab w:val="right" w:pos="9026"/>
      </w:tabs>
    </w:pPr>
  </w:style>
  <w:style w:type="character" w:customStyle="1" w:styleId="FooterChar">
    <w:name w:val="Footer Char"/>
    <w:basedOn w:val="DefaultParagraphFont"/>
    <w:link w:val="Footer"/>
    <w:uiPriority w:val="99"/>
    <w:rsid w:val="00B821DC"/>
    <w:rPr>
      <w:rFonts w:ascii="Times New Roman" w:eastAsia="Times New Roman" w:hAnsi="Times New Roman" w:cs="Times New Roman"/>
      <w:sz w:val="20"/>
      <w:szCs w:val="20"/>
      <w:lang w:val="en-US"/>
    </w:rPr>
  </w:style>
  <w:style w:type="character" w:styleId="PlaceholderText">
    <w:name w:val="Placeholder Text"/>
    <w:basedOn w:val="DefaultParagraphFont"/>
    <w:uiPriority w:val="99"/>
    <w:semiHidden/>
    <w:rsid w:val="000A1C6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B39"/>
    <w:pPr>
      <w:spacing w:after="0" w:line="240" w:lineRule="auto"/>
    </w:pPr>
    <w:rPr>
      <w:rFonts w:ascii="Times New Roman" w:eastAsia="Times New Roman" w:hAnsi="Times New Roman" w:cs="Times New Roman"/>
      <w:sz w:val="20"/>
      <w:szCs w:val="20"/>
      <w:lang w:val="en-US"/>
    </w:rPr>
  </w:style>
  <w:style w:type="paragraph" w:styleId="Heading5">
    <w:name w:val="heading 5"/>
    <w:basedOn w:val="Normal"/>
    <w:next w:val="Normal"/>
    <w:link w:val="Heading5Char"/>
    <w:qFormat/>
    <w:rsid w:val="006E2B39"/>
    <w:pPr>
      <w:keepNext/>
      <w:jc w:val="center"/>
      <w:outlineLvl w:val="4"/>
    </w:pPr>
    <w:rPr>
      <w:rFonts w:ascii="TimesRomanR" w:hAnsi="TimesRoman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6E2B39"/>
    <w:rPr>
      <w:rFonts w:ascii="TimesRomanR" w:eastAsia="Times New Roman" w:hAnsi="TimesRomanR" w:cs="Times New Roman"/>
      <w:b/>
      <w:sz w:val="24"/>
      <w:szCs w:val="20"/>
      <w:lang w:val="en-US"/>
    </w:rPr>
  </w:style>
  <w:style w:type="paragraph" w:customStyle="1" w:styleId="Char">
    <w:name w:val="Char"/>
    <w:basedOn w:val="Normal"/>
    <w:rsid w:val="006E2B39"/>
    <w:rPr>
      <w:sz w:val="24"/>
      <w:szCs w:val="24"/>
      <w:lang w:val="pl-PL" w:eastAsia="pl-PL"/>
    </w:rPr>
  </w:style>
  <w:style w:type="paragraph" w:styleId="ListParagraph">
    <w:name w:val="List Paragraph"/>
    <w:basedOn w:val="Normal"/>
    <w:uiPriority w:val="34"/>
    <w:qFormat/>
    <w:rsid w:val="000258AC"/>
    <w:pPr>
      <w:ind w:left="720"/>
      <w:contextualSpacing/>
    </w:pPr>
  </w:style>
  <w:style w:type="character" w:styleId="CommentReference">
    <w:name w:val="annotation reference"/>
    <w:uiPriority w:val="99"/>
    <w:rsid w:val="00586399"/>
    <w:rPr>
      <w:sz w:val="16"/>
      <w:szCs w:val="16"/>
    </w:rPr>
  </w:style>
  <w:style w:type="paragraph" w:styleId="CommentText">
    <w:name w:val="annotation text"/>
    <w:basedOn w:val="Normal"/>
    <w:link w:val="CommentTextChar"/>
    <w:uiPriority w:val="99"/>
    <w:rsid w:val="00586399"/>
  </w:style>
  <w:style w:type="character" w:customStyle="1" w:styleId="CommentTextChar">
    <w:name w:val="Comment Text Char"/>
    <w:basedOn w:val="DefaultParagraphFont"/>
    <w:link w:val="CommentText"/>
    <w:uiPriority w:val="99"/>
    <w:rsid w:val="00586399"/>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586399"/>
    <w:rPr>
      <w:rFonts w:ascii="Tahoma" w:hAnsi="Tahoma" w:cs="Tahoma"/>
      <w:sz w:val="16"/>
      <w:szCs w:val="16"/>
    </w:rPr>
  </w:style>
  <w:style w:type="character" w:customStyle="1" w:styleId="BalloonTextChar">
    <w:name w:val="Balloon Text Char"/>
    <w:basedOn w:val="DefaultParagraphFont"/>
    <w:link w:val="BalloonText"/>
    <w:uiPriority w:val="99"/>
    <w:semiHidden/>
    <w:rsid w:val="00586399"/>
    <w:rPr>
      <w:rFonts w:ascii="Tahoma" w:eastAsia="Times New Roman" w:hAnsi="Tahoma" w:cs="Tahoma"/>
      <w:sz w:val="16"/>
      <w:szCs w:val="16"/>
      <w:lang w:val="en-US"/>
    </w:rPr>
  </w:style>
  <w:style w:type="character" w:styleId="Hyperlink">
    <w:name w:val="Hyperlink"/>
    <w:rsid w:val="00CF46A6"/>
    <w:rPr>
      <w:color w:val="0000FF"/>
      <w:u w:val="single"/>
    </w:rPr>
  </w:style>
  <w:style w:type="paragraph" w:styleId="Header">
    <w:name w:val="header"/>
    <w:basedOn w:val="Normal"/>
    <w:link w:val="HeaderChar"/>
    <w:uiPriority w:val="99"/>
    <w:unhideWhenUsed/>
    <w:rsid w:val="00B821DC"/>
    <w:pPr>
      <w:tabs>
        <w:tab w:val="center" w:pos="4513"/>
        <w:tab w:val="right" w:pos="9026"/>
      </w:tabs>
    </w:pPr>
  </w:style>
  <w:style w:type="character" w:customStyle="1" w:styleId="HeaderChar">
    <w:name w:val="Header Char"/>
    <w:basedOn w:val="DefaultParagraphFont"/>
    <w:link w:val="Header"/>
    <w:uiPriority w:val="99"/>
    <w:rsid w:val="00B821DC"/>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B821DC"/>
    <w:pPr>
      <w:tabs>
        <w:tab w:val="center" w:pos="4513"/>
        <w:tab w:val="right" w:pos="9026"/>
      </w:tabs>
    </w:pPr>
  </w:style>
  <w:style w:type="character" w:customStyle="1" w:styleId="FooterChar">
    <w:name w:val="Footer Char"/>
    <w:basedOn w:val="DefaultParagraphFont"/>
    <w:link w:val="Footer"/>
    <w:uiPriority w:val="99"/>
    <w:rsid w:val="00B821DC"/>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9.wmf"/><Relationship Id="rId26" Type="http://schemas.openxmlformats.org/officeDocument/2006/relationships/oleObject" Target="embeddings/oleObject5.bin"/><Relationship Id="rId39" Type="http://schemas.openxmlformats.org/officeDocument/2006/relationships/image" Target="media/image23.wmf"/><Relationship Id="rId21" Type="http://schemas.openxmlformats.org/officeDocument/2006/relationships/image" Target="media/image11.wmf"/><Relationship Id="rId34" Type="http://schemas.openxmlformats.org/officeDocument/2006/relationships/image" Target="media/image18.wmf"/><Relationship Id="rId42" Type="http://schemas.openxmlformats.org/officeDocument/2006/relationships/image" Target="media/image26.wmf"/><Relationship Id="rId47" Type="http://schemas.openxmlformats.org/officeDocument/2006/relationships/oleObject" Target="embeddings/oleObject10.bin"/><Relationship Id="rId50" Type="http://schemas.openxmlformats.org/officeDocument/2006/relationships/oleObject" Target="embeddings/oleObject13.bin"/><Relationship Id="rId55" Type="http://schemas.openxmlformats.org/officeDocument/2006/relationships/image" Target="media/image34.wmf"/><Relationship Id="rId63" Type="http://schemas.openxmlformats.org/officeDocument/2006/relationships/image" Target="media/image42.wmf"/><Relationship Id="rId68" Type="http://schemas.openxmlformats.org/officeDocument/2006/relationships/image" Target="media/image47.wmf"/><Relationship Id="rId76" Type="http://schemas.openxmlformats.org/officeDocument/2006/relationships/oleObject" Target="embeddings/oleObject17.bin"/><Relationship Id="rId84" Type="http://schemas.openxmlformats.org/officeDocument/2006/relationships/image" Target="media/image59.wmf"/><Relationship Id="rId89" Type="http://schemas.openxmlformats.org/officeDocument/2006/relationships/image" Target="media/image64.wmf"/><Relationship Id="rId7" Type="http://schemas.openxmlformats.org/officeDocument/2006/relationships/footnotes" Target="footnotes.xml"/><Relationship Id="rId71" Type="http://schemas.openxmlformats.org/officeDocument/2006/relationships/image" Target="media/image49.wmf"/><Relationship Id="rId92" Type="http://schemas.openxmlformats.org/officeDocument/2006/relationships/image" Target="media/image67.wmf"/><Relationship Id="rId2" Type="http://schemas.openxmlformats.org/officeDocument/2006/relationships/numbering" Target="numbering.xml"/><Relationship Id="rId16" Type="http://schemas.openxmlformats.org/officeDocument/2006/relationships/image" Target="media/image7.wmf"/><Relationship Id="rId29" Type="http://schemas.openxmlformats.org/officeDocument/2006/relationships/image" Target="media/image15.wmf"/><Relationship Id="rId11" Type="http://schemas.openxmlformats.org/officeDocument/2006/relationships/image" Target="media/image2.wmf"/><Relationship Id="rId24" Type="http://schemas.openxmlformats.org/officeDocument/2006/relationships/oleObject" Target="embeddings/oleObject4.bin"/><Relationship Id="rId32" Type="http://schemas.openxmlformats.org/officeDocument/2006/relationships/oleObject" Target="embeddings/oleObject8.bin"/><Relationship Id="rId37" Type="http://schemas.openxmlformats.org/officeDocument/2006/relationships/image" Target="media/image21.wmf"/><Relationship Id="rId40" Type="http://schemas.openxmlformats.org/officeDocument/2006/relationships/image" Target="media/image24.wmf"/><Relationship Id="rId45" Type="http://schemas.openxmlformats.org/officeDocument/2006/relationships/oleObject" Target="embeddings/oleObject9.bin"/><Relationship Id="rId53" Type="http://schemas.openxmlformats.org/officeDocument/2006/relationships/image" Target="media/image32.wmf"/><Relationship Id="rId58" Type="http://schemas.openxmlformats.org/officeDocument/2006/relationships/image" Target="media/image37.wmf"/><Relationship Id="rId66" Type="http://schemas.openxmlformats.org/officeDocument/2006/relationships/image" Target="media/image45.wmf"/><Relationship Id="rId74" Type="http://schemas.openxmlformats.org/officeDocument/2006/relationships/oleObject" Target="embeddings/oleObject16.bin"/><Relationship Id="rId79" Type="http://schemas.openxmlformats.org/officeDocument/2006/relationships/image" Target="media/image54.wmf"/><Relationship Id="rId87" Type="http://schemas.openxmlformats.org/officeDocument/2006/relationships/image" Target="media/image62.wmf"/><Relationship Id="rId5" Type="http://schemas.openxmlformats.org/officeDocument/2006/relationships/settings" Target="settings.xml"/><Relationship Id="rId61" Type="http://schemas.openxmlformats.org/officeDocument/2006/relationships/image" Target="media/image40.wmf"/><Relationship Id="rId82" Type="http://schemas.openxmlformats.org/officeDocument/2006/relationships/image" Target="media/image57.wmf"/><Relationship Id="rId90" Type="http://schemas.openxmlformats.org/officeDocument/2006/relationships/image" Target="media/image65.wmf"/><Relationship Id="rId95" Type="http://schemas.openxmlformats.org/officeDocument/2006/relationships/theme" Target="theme/theme1.xml"/><Relationship Id="rId19" Type="http://schemas.openxmlformats.org/officeDocument/2006/relationships/image" Target="media/image10.wmf"/><Relationship Id="rId14" Type="http://schemas.openxmlformats.org/officeDocument/2006/relationships/image" Target="media/image5.wmf"/><Relationship Id="rId22" Type="http://schemas.openxmlformats.org/officeDocument/2006/relationships/oleObject" Target="embeddings/oleObject3.bin"/><Relationship Id="rId27" Type="http://schemas.openxmlformats.org/officeDocument/2006/relationships/image" Target="media/image14.wmf"/><Relationship Id="rId30" Type="http://schemas.openxmlformats.org/officeDocument/2006/relationships/oleObject" Target="embeddings/oleObject7.bin"/><Relationship Id="rId35" Type="http://schemas.openxmlformats.org/officeDocument/2006/relationships/image" Target="media/image19.wmf"/><Relationship Id="rId43" Type="http://schemas.openxmlformats.org/officeDocument/2006/relationships/image" Target="media/image27.wmf"/><Relationship Id="rId48" Type="http://schemas.openxmlformats.org/officeDocument/2006/relationships/oleObject" Target="embeddings/oleObject11.bin"/><Relationship Id="rId56" Type="http://schemas.openxmlformats.org/officeDocument/2006/relationships/image" Target="media/image35.wmf"/><Relationship Id="rId64" Type="http://schemas.openxmlformats.org/officeDocument/2006/relationships/image" Target="media/image43.wmf"/><Relationship Id="rId69" Type="http://schemas.openxmlformats.org/officeDocument/2006/relationships/image" Target="media/image48.wmf"/><Relationship Id="rId77" Type="http://schemas.openxmlformats.org/officeDocument/2006/relationships/image" Target="media/image52.wmf"/><Relationship Id="rId8" Type="http://schemas.openxmlformats.org/officeDocument/2006/relationships/endnotes" Target="endnotes.xml"/><Relationship Id="rId51" Type="http://schemas.openxmlformats.org/officeDocument/2006/relationships/image" Target="media/image30.wmf"/><Relationship Id="rId72" Type="http://schemas.openxmlformats.org/officeDocument/2006/relationships/oleObject" Target="embeddings/oleObject15.bin"/><Relationship Id="rId80" Type="http://schemas.openxmlformats.org/officeDocument/2006/relationships/image" Target="media/image55.wmf"/><Relationship Id="rId85" Type="http://schemas.openxmlformats.org/officeDocument/2006/relationships/image" Target="media/image60.wmf"/><Relationship Id="rId93" Type="http://schemas.openxmlformats.org/officeDocument/2006/relationships/image" Target="media/image68.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image" Target="media/image8.wmf"/><Relationship Id="rId25" Type="http://schemas.openxmlformats.org/officeDocument/2006/relationships/image" Target="media/image13.wmf"/><Relationship Id="rId33" Type="http://schemas.openxmlformats.org/officeDocument/2006/relationships/image" Target="media/image17.wmf"/><Relationship Id="rId38" Type="http://schemas.openxmlformats.org/officeDocument/2006/relationships/image" Target="media/image22.wmf"/><Relationship Id="rId46" Type="http://schemas.openxmlformats.org/officeDocument/2006/relationships/image" Target="media/image29.wmf"/><Relationship Id="rId59" Type="http://schemas.openxmlformats.org/officeDocument/2006/relationships/image" Target="media/image38.wmf"/><Relationship Id="rId67" Type="http://schemas.openxmlformats.org/officeDocument/2006/relationships/image" Target="media/image46.wmf"/><Relationship Id="rId20" Type="http://schemas.openxmlformats.org/officeDocument/2006/relationships/oleObject" Target="embeddings/oleObject2.bin"/><Relationship Id="rId41" Type="http://schemas.openxmlformats.org/officeDocument/2006/relationships/image" Target="media/image25.wmf"/><Relationship Id="rId54" Type="http://schemas.openxmlformats.org/officeDocument/2006/relationships/image" Target="media/image33.wmf"/><Relationship Id="rId62" Type="http://schemas.openxmlformats.org/officeDocument/2006/relationships/image" Target="media/image41.wmf"/><Relationship Id="rId70" Type="http://schemas.openxmlformats.org/officeDocument/2006/relationships/oleObject" Target="embeddings/oleObject14.bin"/><Relationship Id="rId75" Type="http://schemas.openxmlformats.org/officeDocument/2006/relationships/image" Target="media/image51.wmf"/><Relationship Id="rId83" Type="http://schemas.openxmlformats.org/officeDocument/2006/relationships/image" Target="media/image58.wmf"/><Relationship Id="rId88" Type="http://schemas.openxmlformats.org/officeDocument/2006/relationships/image" Target="media/image63.wmf"/><Relationship Id="rId91" Type="http://schemas.openxmlformats.org/officeDocument/2006/relationships/image" Target="media/image66.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2.wmf"/><Relationship Id="rId28" Type="http://schemas.openxmlformats.org/officeDocument/2006/relationships/oleObject" Target="embeddings/oleObject6.bin"/><Relationship Id="rId36" Type="http://schemas.openxmlformats.org/officeDocument/2006/relationships/image" Target="media/image20.wmf"/><Relationship Id="rId49" Type="http://schemas.openxmlformats.org/officeDocument/2006/relationships/oleObject" Target="embeddings/oleObject12.bin"/><Relationship Id="rId57" Type="http://schemas.openxmlformats.org/officeDocument/2006/relationships/image" Target="media/image36.wmf"/><Relationship Id="rId10" Type="http://schemas.openxmlformats.org/officeDocument/2006/relationships/oleObject" Target="embeddings/oleObject1.bin"/><Relationship Id="rId31" Type="http://schemas.openxmlformats.org/officeDocument/2006/relationships/image" Target="media/image16.wmf"/><Relationship Id="rId44" Type="http://schemas.openxmlformats.org/officeDocument/2006/relationships/image" Target="media/image28.wmf"/><Relationship Id="rId52" Type="http://schemas.openxmlformats.org/officeDocument/2006/relationships/image" Target="media/image31.wmf"/><Relationship Id="rId60" Type="http://schemas.openxmlformats.org/officeDocument/2006/relationships/image" Target="media/image39.wmf"/><Relationship Id="rId65" Type="http://schemas.openxmlformats.org/officeDocument/2006/relationships/image" Target="media/image44.wmf"/><Relationship Id="rId73" Type="http://schemas.openxmlformats.org/officeDocument/2006/relationships/image" Target="media/image50.wmf"/><Relationship Id="rId78" Type="http://schemas.openxmlformats.org/officeDocument/2006/relationships/image" Target="media/image53.wmf"/><Relationship Id="rId81" Type="http://schemas.openxmlformats.org/officeDocument/2006/relationships/image" Target="media/image56.wmf"/><Relationship Id="rId86" Type="http://schemas.openxmlformats.org/officeDocument/2006/relationships/image" Target="media/image61.wmf"/><Relationship Id="rId9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C5C0A-FA1D-44BC-A04D-2170E1E04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23</Pages>
  <Words>6188</Words>
  <Characters>35272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Rodica MANOLESCU</dc:creator>
  <cp:lastModifiedBy>Rodica MANOLESCU</cp:lastModifiedBy>
  <cp:revision>16</cp:revision>
  <cp:lastPrinted>2016-01-25T09:18:00Z</cp:lastPrinted>
  <dcterms:created xsi:type="dcterms:W3CDTF">2016-01-11T08:27:00Z</dcterms:created>
  <dcterms:modified xsi:type="dcterms:W3CDTF">2016-01-25T13:35:00Z</dcterms:modified>
</cp:coreProperties>
</file>