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D2F" w:rsidRDefault="001C5965" w:rsidP="001C5965">
      <w:pPr>
        <w:spacing w:line="240" w:lineRule="auto"/>
        <w:jc w:val="center"/>
        <w:rPr>
          <w:rFonts w:ascii="Arial Narrow" w:hAnsi="Arial Narrow"/>
          <w:b/>
          <w:sz w:val="24"/>
          <w:szCs w:val="24"/>
        </w:rPr>
      </w:pPr>
      <w:bookmarkStart w:id="0" w:name="_GoBack"/>
      <w:bookmarkEnd w:id="0"/>
      <w:r>
        <w:rPr>
          <w:rFonts w:ascii="Arial Narrow" w:hAnsi="Arial Narrow"/>
          <w:b/>
          <w:sz w:val="24"/>
          <w:szCs w:val="24"/>
        </w:rPr>
        <w:t>Prop</w:t>
      </w:r>
      <w:r w:rsidR="00170D2F">
        <w:rPr>
          <w:rFonts w:ascii="Arial Narrow" w:hAnsi="Arial Narrow"/>
          <w:b/>
          <w:sz w:val="24"/>
          <w:szCs w:val="24"/>
        </w:rPr>
        <w:t>unerea S.N.T.G.N. TRANSGAZ S.A.</w:t>
      </w:r>
    </w:p>
    <w:p w:rsidR="001C5965" w:rsidRPr="00170D2F" w:rsidRDefault="001C5965" w:rsidP="001C5965">
      <w:pPr>
        <w:spacing w:line="240" w:lineRule="auto"/>
        <w:jc w:val="center"/>
        <w:rPr>
          <w:rFonts w:ascii="Arial Narrow" w:hAnsi="Arial Narrow"/>
          <w:sz w:val="24"/>
          <w:szCs w:val="24"/>
        </w:rPr>
      </w:pPr>
      <w:r w:rsidRPr="00170D2F">
        <w:rPr>
          <w:rFonts w:ascii="Arial Narrow" w:hAnsi="Arial Narrow"/>
          <w:sz w:val="24"/>
          <w:szCs w:val="24"/>
        </w:rPr>
        <w:t xml:space="preserve">de modificare şi completare a Ordinului preşedintelui ANRE nr. 1/2016 privind </w:t>
      </w:r>
      <w:r w:rsidRPr="00170D2F">
        <w:rPr>
          <w:rFonts w:ascii="Arial Narrow" w:hAnsi="Arial Narrow"/>
          <w:bCs/>
          <w:sz w:val="24"/>
          <w:szCs w:val="24"/>
        </w:rPr>
        <w:t>stabilirea unor măsuri provizorii referitoare la implementarea Codului rețelei pentru Sistemul național de transport al gazelor naturale, aprobat prin Ordinul președintelui Autorității Naționale de Reglementare în Domeniul Energiei nr. 16/2013</w:t>
      </w:r>
    </w:p>
    <w:tbl>
      <w:tblPr>
        <w:tblStyle w:val="TableGrid"/>
        <w:tblW w:w="0" w:type="auto"/>
        <w:tblLook w:val="04A0" w:firstRow="1" w:lastRow="0" w:firstColumn="1" w:lastColumn="0" w:noHBand="0" w:noVBand="1"/>
      </w:tblPr>
      <w:tblGrid>
        <w:gridCol w:w="4490"/>
        <w:gridCol w:w="4526"/>
      </w:tblGrid>
      <w:tr w:rsidR="001C5965" w:rsidRPr="00C80986" w:rsidTr="00170D2F">
        <w:tc>
          <w:tcPr>
            <w:tcW w:w="4490" w:type="dxa"/>
            <w:tcBorders>
              <w:bottom w:val="single" w:sz="4" w:space="0" w:color="auto"/>
            </w:tcBorders>
          </w:tcPr>
          <w:p w:rsidR="001C5965" w:rsidRDefault="001C5965" w:rsidP="00F41E1A">
            <w:pPr>
              <w:jc w:val="center"/>
              <w:rPr>
                <w:rFonts w:ascii="Arial Narrow" w:hAnsi="Arial Narrow"/>
                <w:b/>
                <w:sz w:val="24"/>
                <w:szCs w:val="24"/>
              </w:rPr>
            </w:pPr>
            <w:r w:rsidRPr="009F2A7A">
              <w:rPr>
                <w:rFonts w:ascii="Arial Narrow" w:hAnsi="Arial Narrow"/>
                <w:b/>
                <w:sz w:val="24"/>
                <w:szCs w:val="24"/>
              </w:rPr>
              <w:t>Text existent</w:t>
            </w:r>
          </w:p>
        </w:tc>
        <w:tc>
          <w:tcPr>
            <w:tcW w:w="4526" w:type="dxa"/>
            <w:tcBorders>
              <w:bottom w:val="single" w:sz="4" w:space="0" w:color="auto"/>
            </w:tcBorders>
          </w:tcPr>
          <w:p w:rsidR="001C5965" w:rsidRDefault="001C5965" w:rsidP="00F41E1A">
            <w:pPr>
              <w:jc w:val="center"/>
              <w:rPr>
                <w:rFonts w:ascii="Arial Narrow" w:hAnsi="Arial Narrow"/>
                <w:b/>
                <w:sz w:val="24"/>
                <w:szCs w:val="24"/>
              </w:rPr>
            </w:pPr>
            <w:r w:rsidRPr="009F2A7A">
              <w:rPr>
                <w:rFonts w:ascii="Arial Narrow" w:hAnsi="Arial Narrow"/>
                <w:b/>
                <w:sz w:val="24"/>
                <w:szCs w:val="24"/>
              </w:rPr>
              <w:t>Text propus</w:t>
            </w:r>
          </w:p>
        </w:tc>
      </w:tr>
      <w:tr w:rsidR="001C5965" w:rsidRPr="006123BA" w:rsidTr="00170D2F">
        <w:tc>
          <w:tcPr>
            <w:tcW w:w="4490" w:type="dxa"/>
            <w:tcBorders>
              <w:bottom w:val="single" w:sz="18" w:space="0" w:color="auto"/>
            </w:tcBorders>
          </w:tcPr>
          <w:p w:rsidR="001C5965" w:rsidRPr="006123BA" w:rsidRDefault="001C5965" w:rsidP="00F41E1A">
            <w:pPr>
              <w:jc w:val="both"/>
              <w:rPr>
                <w:rFonts w:ascii="Arial Narrow" w:hAnsi="Arial Narrow"/>
                <w:b/>
                <w:sz w:val="20"/>
                <w:szCs w:val="20"/>
                <w:lang w:eastAsia="da-DK"/>
              </w:rPr>
            </w:pPr>
            <w:r w:rsidRPr="006123BA">
              <w:rPr>
                <w:rFonts w:ascii="Arial Narrow" w:hAnsi="Arial Narrow"/>
                <w:b/>
                <w:sz w:val="20"/>
                <w:szCs w:val="20"/>
              </w:rPr>
              <w:t>Art. 1.</w:t>
            </w:r>
            <w:r w:rsidRPr="006123BA">
              <w:rPr>
                <w:rFonts w:ascii="Arial Narrow" w:hAnsi="Arial Narrow"/>
                <w:sz w:val="20"/>
                <w:szCs w:val="20"/>
              </w:rPr>
              <w:t xml:space="preserve"> – (1) Prin derogare de la prevederile art. 63 şi 64 din Codul reţelei pentru Sistemul Naţional de Transport al gazelor naturale, aprobat prin Ordinul preşedintelui ANRE nr. 16/2013, cu modificările şi completările ulterioare, denumit în continuare </w:t>
            </w:r>
            <w:r w:rsidRPr="006123BA">
              <w:rPr>
                <w:rFonts w:ascii="Arial Narrow" w:hAnsi="Arial Narrow"/>
                <w:i/>
                <w:sz w:val="20"/>
                <w:szCs w:val="20"/>
              </w:rPr>
              <w:t>Codul reţelei</w:t>
            </w:r>
            <w:r w:rsidRPr="006123BA">
              <w:rPr>
                <w:rFonts w:ascii="Arial Narrow" w:hAnsi="Arial Narrow"/>
                <w:sz w:val="20"/>
                <w:szCs w:val="20"/>
              </w:rPr>
              <w:t>, până la data de 1 aprilie 2016, în aplicarea facilităţii de transfer de gaze naturale</w:t>
            </w:r>
            <w:r>
              <w:rPr>
                <w:rFonts w:ascii="Arial Narrow" w:hAnsi="Arial Narrow"/>
                <w:sz w:val="20"/>
                <w:szCs w:val="20"/>
              </w:rPr>
              <w:t xml:space="preserve"> (</w:t>
            </w:r>
            <w:r>
              <w:rPr>
                <w:rFonts w:ascii="Arial Narrow" w:hAnsi="Arial Narrow"/>
                <w:i/>
                <w:sz w:val="20"/>
                <w:szCs w:val="20"/>
              </w:rPr>
              <w:t>FTG</w:t>
            </w:r>
            <w:r>
              <w:rPr>
                <w:rFonts w:ascii="Arial Narrow" w:hAnsi="Arial Narrow"/>
                <w:sz w:val="20"/>
                <w:szCs w:val="20"/>
              </w:rPr>
              <w:t>)</w:t>
            </w:r>
            <w:r w:rsidRPr="006123BA">
              <w:rPr>
                <w:rFonts w:ascii="Arial Narrow" w:hAnsi="Arial Narrow"/>
                <w:sz w:val="20"/>
                <w:szCs w:val="20"/>
              </w:rPr>
              <w:t xml:space="preserve">, </w:t>
            </w:r>
            <w:r w:rsidRPr="006123BA">
              <w:rPr>
                <w:rFonts w:ascii="Arial Narrow" w:hAnsi="Arial Narrow"/>
                <w:sz w:val="20"/>
                <w:szCs w:val="20"/>
                <w:lang w:eastAsia="da-DK"/>
              </w:rPr>
              <w:t>un utilizator al reţelei</w:t>
            </w:r>
            <w:r>
              <w:rPr>
                <w:rFonts w:ascii="Arial Narrow" w:hAnsi="Arial Narrow"/>
                <w:sz w:val="20"/>
                <w:szCs w:val="20"/>
                <w:lang w:eastAsia="da-DK"/>
              </w:rPr>
              <w:t xml:space="preserve"> (</w:t>
            </w:r>
            <w:r w:rsidRPr="00E01300">
              <w:rPr>
                <w:rFonts w:ascii="Arial Narrow" w:hAnsi="Arial Narrow"/>
                <w:i/>
                <w:sz w:val="20"/>
                <w:szCs w:val="20"/>
                <w:lang w:eastAsia="da-DK"/>
              </w:rPr>
              <w:t>UR</w:t>
            </w:r>
            <w:r>
              <w:rPr>
                <w:rFonts w:ascii="Arial Narrow" w:hAnsi="Arial Narrow"/>
                <w:sz w:val="20"/>
                <w:szCs w:val="20"/>
                <w:lang w:eastAsia="da-DK"/>
              </w:rPr>
              <w:t xml:space="preserve">) </w:t>
            </w:r>
            <w:r w:rsidRPr="006123BA">
              <w:rPr>
                <w:rFonts w:ascii="Arial Narrow" w:hAnsi="Arial Narrow"/>
                <w:sz w:val="20"/>
                <w:szCs w:val="20"/>
                <w:lang w:eastAsia="da-DK"/>
              </w:rPr>
              <w:t xml:space="preserve">poate opta pentru efectuarea de tranzacții în limita cantității de gaze naturale reprezentând dezechilibrul lunar, </w:t>
            </w:r>
            <w:r w:rsidRPr="006123BA">
              <w:rPr>
                <w:rFonts w:ascii="Arial Narrow" w:hAnsi="Arial Narrow"/>
                <w:sz w:val="20"/>
                <w:szCs w:val="20"/>
              </w:rPr>
              <w:t>în conformitate cu următoarea procedură:</w:t>
            </w:r>
            <w:r>
              <w:rPr>
                <w:rFonts w:ascii="Arial Narrow" w:hAnsi="Arial Narrow"/>
                <w:sz w:val="20"/>
                <w:szCs w:val="20"/>
              </w:rPr>
              <w:t xml:space="preserve"> […]</w:t>
            </w:r>
          </w:p>
        </w:tc>
        <w:tc>
          <w:tcPr>
            <w:tcW w:w="4526" w:type="dxa"/>
            <w:tcBorders>
              <w:bottom w:val="single" w:sz="18" w:space="0" w:color="auto"/>
            </w:tcBorders>
          </w:tcPr>
          <w:p w:rsidR="001C5965" w:rsidRPr="006123BA" w:rsidRDefault="001C5965" w:rsidP="00F41E1A">
            <w:pPr>
              <w:ind w:left="49"/>
              <w:jc w:val="both"/>
              <w:rPr>
                <w:rFonts w:ascii="Arial Narrow" w:hAnsi="Arial Narrow"/>
                <w:b/>
                <w:sz w:val="20"/>
                <w:szCs w:val="20"/>
                <w:lang w:eastAsia="da-DK"/>
              </w:rPr>
            </w:pPr>
            <w:r w:rsidRPr="006123BA">
              <w:rPr>
                <w:rFonts w:ascii="Arial Narrow" w:hAnsi="Arial Narrow"/>
                <w:b/>
                <w:sz w:val="20"/>
                <w:szCs w:val="20"/>
              </w:rPr>
              <w:t>Art. 1.</w:t>
            </w:r>
            <w:r w:rsidRPr="006123BA">
              <w:rPr>
                <w:rFonts w:ascii="Arial Narrow" w:hAnsi="Arial Narrow"/>
                <w:sz w:val="20"/>
                <w:szCs w:val="20"/>
              </w:rPr>
              <w:t xml:space="preserve"> – (1) Prin derogare de la prevederile art. 63 şi 64 din Codul reţelei pentru Sistemul Naţional de Transport al gazelor naturale, aprobat prin Ordinul preşedintelui ANRE nr. 16/2013, cu modificările şi completările ulterioare, denumit în continuare </w:t>
            </w:r>
            <w:r w:rsidRPr="006123BA">
              <w:rPr>
                <w:rFonts w:ascii="Arial Narrow" w:hAnsi="Arial Narrow"/>
                <w:i/>
                <w:sz w:val="20"/>
                <w:szCs w:val="20"/>
              </w:rPr>
              <w:t>Codul reţelei</w:t>
            </w:r>
            <w:r w:rsidRPr="006123BA">
              <w:rPr>
                <w:rFonts w:ascii="Arial Narrow" w:hAnsi="Arial Narrow"/>
                <w:sz w:val="20"/>
                <w:szCs w:val="20"/>
              </w:rPr>
              <w:t xml:space="preserve">, până la data de 1 </w:t>
            </w:r>
            <w:r w:rsidRPr="00B9026E">
              <w:rPr>
                <w:rFonts w:ascii="Arial Narrow" w:hAnsi="Arial Narrow"/>
                <w:strike/>
                <w:color w:val="FF0000"/>
                <w:sz w:val="20"/>
                <w:szCs w:val="20"/>
              </w:rPr>
              <w:t>aprilie</w:t>
            </w:r>
            <w:r w:rsidRPr="006123BA">
              <w:rPr>
                <w:rFonts w:ascii="Arial Narrow" w:hAnsi="Arial Narrow"/>
                <w:sz w:val="20"/>
                <w:szCs w:val="20"/>
              </w:rPr>
              <w:t xml:space="preserve"> </w:t>
            </w:r>
            <w:r w:rsidRPr="00B9026E">
              <w:rPr>
                <w:rFonts w:ascii="Arial Narrow" w:hAnsi="Arial Narrow"/>
                <w:color w:val="FF0000"/>
                <w:sz w:val="20"/>
                <w:szCs w:val="20"/>
              </w:rPr>
              <w:t>iulie</w:t>
            </w:r>
            <w:r>
              <w:rPr>
                <w:rFonts w:ascii="Arial Narrow" w:hAnsi="Arial Narrow"/>
                <w:sz w:val="20"/>
                <w:szCs w:val="20"/>
              </w:rPr>
              <w:t xml:space="preserve"> </w:t>
            </w:r>
            <w:r w:rsidRPr="006123BA">
              <w:rPr>
                <w:rFonts w:ascii="Arial Narrow" w:hAnsi="Arial Narrow"/>
                <w:sz w:val="20"/>
                <w:szCs w:val="20"/>
              </w:rPr>
              <w:t>2016, în aplicarea facilităţii de transfer de gaze naturale</w:t>
            </w:r>
            <w:r>
              <w:rPr>
                <w:rFonts w:ascii="Arial Narrow" w:hAnsi="Arial Narrow"/>
                <w:sz w:val="20"/>
                <w:szCs w:val="20"/>
              </w:rPr>
              <w:t xml:space="preserve"> (</w:t>
            </w:r>
            <w:r>
              <w:rPr>
                <w:rFonts w:ascii="Arial Narrow" w:hAnsi="Arial Narrow"/>
                <w:i/>
                <w:sz w:val="20"/>
                <w:szCs w:val="20"/>
              </w:rPr>
              <w:t>FTG</w:t>
            </w:r>
            <w:r>
              <w:rPr>
                <w:rFonts w:ascii="Arial Narrow" w:hAnsi="Arial Narrow"/>
                <w:sz w:val="20"/>
                <w:szCs w:val="20"/>
              </w:rPr>
              <w:t>)</w:t>
            </w:r>
            <w:r w:rsidRPr="006123BA">
              <w:rPr>
                <w:rFonts w:ascii="Arial Narrow" w:hAnsi="Arial Narrow"/>
                <w:sz w:val="20"/>
                <w:szCs w:val="20"/>
              </w:rPr>
              <w:t xml:space="preserve">, </w:t>
            </w:r>
            <w:r w:rsidRPr="006123BA">
              <w:rPr>
                <w:rFonts w:ascii="Arial Narrow" w:hAnsi="Arial Narrow"/>
                <w:sz w:val="20"/>
                <w:szCs w:val="20"/>
                <w:lang w:eastAsia="da-DK"/>
              </w:rPr>
              <w:t>un utilizator al reţelei</w:t>
            </w:r>
            <w:r>
              <w:rPr>
                <w:rFonts w:ascii="Arial Narrow" w:hAnsi="Arial Narrow"/>
                <w:sz w:val="20"/>
                <w:szCs w:val="20"/>
                <w:lang w:eastAsia="da-DK"/>
              </w:rPr>
              <w:t xml:space="preserve"> (</w:t>
            </w:r>
            <w:r w:rsidRPr="00E01300">
              <w:rPr>
                <w:rFonts w:ascii="Arial Narrow" w:hAnsi="Arial Narrow"/>
                <w:i/>
                <w:sz w:val="20"/>
                <w:szCs w:val="20"/>
                <w:lang w:eastAsia="da-DK"/>
              </w:rPr>
              <w:t>UR</w:t>
            </w:r>
            <w:r>
              <w:rPr>
                <w:rFonts w:ascii="Arial Narrow" w:hAnsi="Arial Narrow"/>
                <w:sz w:val="20"/>
                <w:szCs w:val="20"/>
                <w:lang w:eastAsia="da-DK"/>
              </w:rPr>
              <w:t xml:space="preserve">) </w:t>
            </w:r>
            <w:r w:rsidRPr="006123BA">
              <w:rPr>
                <w:rFonts w:ascii="Arial Narrow" w:hAnsi="Arial Narrow"/>
                <w:sz w:val="20"/>
                <w:szCs w:val="20"/>
                <w:lang w:eastAsia="da-DK"/>
              </w:rPr>
              <w:t xml:space="preserve">poate opta pentru efectuarea de tranzacții în limita cantității de gaze naturale reprezentând dezechilibrul lunar, </w:t>
            </w:r>
            <w:r w:rsidRPr="006123BA">
              <w:rPr>
                <w:rFonts w:ascii="Arial Narrow" w:hAnsi="Arial Narrow"/>
                <w:sz w:val="20"/>
                <w:szCs w:val="20"/>
              </w:rPr>
              <w:t>în conformitate cu următoarea procedură:</w:t>
            </w:r>
            <w:r>
              <w:rPr>
                <w:rFonts w:ascii="Arial Narrow" w:hAnsi="Arial Narrow"/>
                <w:sz w:val="20"/>
                <w:szCs w:val="20"/>
              </w:rPr>
              <w:t xml:space="preserve"> […]</w:t>
            </w:r>
          </w:p>
        </w:tc>
      </w:tr>
      <w:tr w:rsidR="001C5965" w:rsidTr="00170D2F">
        <w:tc>
          <w:tcPr>
            <w:tcW w:w="4490" w:type="dxa"/>
            <w:tcBorders>
              <w:top w:val="single" w:sz="18" w:space="0" w:color="auto"/>
              <w:bottom w:val="single" w:sz="18" w:space="0" w:color="auto"/>
            </w:tcBorders>
          </w:tcPr>
          <w:p w:rsidR="001C5965" w:rsidRPr="00931013" w:rsidRDefault="001C5965" w:rsidP="00F41E1A">
            <w:pPr>
              <w:jc w:val="both"/>
              <w:rPr>
                <w:rFonts w:ascii="Arial Narrow" w:hAnsi="Arial Narrow"/>
                <w:b/>
                <w:sz w:val="20"/>
                <w:szCs w:val="20"/>
              </w:rPr>
            </w:pPr>
            <w:r w:rsidRPr="00931013">
              <w:rPr>
                <w:rFonts w:ascii="Arial Narrow" w:hAnsi="Arial Narrow"/>
                <w:b/>
                <w:sz w:val="20"/>
                <w:szCs w:val="20"/>
              </w:rPr>
              <w:t>Art. 2.</w:t>
            </w:r>
            <w:r w:rsidRPr="00931013">
              <w:rPr>
                <w:rFonts w:ascii="Arial Narrow" w:hAnsi="Arial Narrow"/>
                <w:sz w:val="20"/>
                <w:szCs w:val="20"/>
              </w:rPr>
              <w:t xml:space="preserve"> – Prin derogare de la prevederile art. 88 din Codul reţelei, până la data de 1 aprilie 2016, informaţiile ce fac obiectul comunicării între OTS şi UR sunt cele referitoare la dezechilibrele lunare calculate</w:t>
            </w:r>
            <w:r>
              <w:rPr>
                <w:rFonts w:ascii="Arial Narrow" w:hAnsi="Arial Narrow"/>
                <w:sz w:val="20"/>
                <w:szCs w:val="20"/>
              </w:rPr>
              <w:t xml:space="preserve"> </w:t>
            </w:r>
            <w:r w:rsidRPr="00931013">
              <w:rPr>
                <w:rFonts w:ascii="Arial Narrow" w:hAnsi="Arial Narrow"/>
                <w:sz w:val="20"/>
                <w:szCs w:val="20"/>
              </w:rPr>
              <w:t>înainte şi după utilizarea FTG, în conformitate cu prevederile art. 1.</w:t>
            </w:r>
          </w:p>
        </w:tc>
        <w:tc>
          <w:tcPr>
            <w:tcW w:w="4526" w:type="dxa"/>
            <w:tcBorders>
              <w:top w:val="single" w:sz="18" w:space="0" w:color="auto"/>
              <w:bottom w:val="single" w:sz="18" w:space="0" w:color="auto"/>
            </w:tcBorders>
          </w:tcPr>
          <w:p w:rsidR="001C5965" w:rsidRDefault="001C5965" w:rsidP="00F41E1A">
            <w:pPr>
              <w:jc w:val="both"/>
              <w:rPr>
                <w:rFonts w:ascii="Arial Narrow" w:hAnsi="Arial Narrow"/>
                <w:b/>
                <w:sz w:val="20"/>
                <w:szCs w:val="20"/>
              </w:rPr>
            </w:pPr>
            <w:r w:rsidRPr="00931013">
              <w:rPr>
                <w:rFonts w:ascii="Arial Narrow" w:hAnsi="Arial Narrow"/>
                <w:b/>
                <w:sz w:val="20"/>
                <w:szCs w:val="20"/>
              </w:rPr>
              <w:t>Art. 2.</w:t>
            </w:r>
            <w:r w:rsidRPr="00931013">
              <w:rPr>
                <w:rFonts w:ascii="Arial Narrow" w:hAnsi="Arial Narrow"/>
                <w:sz w:val="20"/>
                <w:szCs w:val="20"/>
              </w:rPr>
              <w:t xml:space="preserve"> – Prin derogare de la prevederile art. 88 din Codul reţelei, până la data de 1 </w:t>
            </w:r>
            <w:r w:rsidRPr="00B9026E">
              <w:rPr>
                <w:rFonts w:ascii="Arial Narrow" w:hAnsi="Arial Narrow"/>
                <w:strike/>
                <w:color w:val="FF0000"/>
                <w:sz w:val="20"/>
                <w:szCs w:val="20"/>
              </w:rPr>
              <w:t>aprilie</w:t>
            </w:r>
            <w:r w:rsidRPr="00931013">
              <w:rPr>
                <w:rFonts w:ascii="Arial Narrow" w:hAnsi="Arial Narrow"/>
                <w:sz w:val="20"/>
                <w:szCs w:val="20"/>
              </w:rPr>
              <w:t xml:space="preserve"> </w:t>
            </w:r>
            <w:r w:rsidRPr="00B9026E">
              <w:rPr>
                <w:rFonts w:ascii="Arial Narrow" w:hAnsi="Arial Narrow"/>
                <w:color w:val="FF0000"/>
                <w:sz w:val="20"/>
                <w:szCs w:val="20"/>
              </w:rPr>
              <w:t>iulie</w:t>
            </w:r>
            <w:r>
              <w:rPr>
                <w:rFonts w:ascii="Arial Narrow" w:hAnsi="Arial Narrow"/>
                <w:sz w:val="20"/>
                <w:szCs w:val="20"/>
              </w:rPr>
              <w:t xml:space="preserve"> </w:t>
            </w:r>
            <w:r w:rsidRPr="00931013">
              <w:rPr>
                <w:rFonts w:ascii="Arial Narrow" w:hAnsi="Arial Narrow"/>
                <w:sz w:val="20"/>
                <w:szCs w:val="20"/>
              </w:rPr>
              <w:t>2016, informaţiile ce fac obiectul comunicării între OTS şi UR sunt cele referitoare la dezechilibrele lunare calculate</w:t>
            </w:r>
            <w:r>
              <w:rPr>
                <w:rFonts w:ascii="Arial Narrow" w:hAnsi="Arial Narrow"/>
                <w:sz w:val="20"/>
                <w:szCs w:val="20"/>
              </w:rPr>
              <w:t xml:space="preserve"> </w:t>
            </w:r>
            <w:r w:rsidRPr="00931013">
              <w:rPr>
                <w:rFonts w:ascii="Arial Narrow" w:hAnsi="Arial Narrow"/>
                <w:sz w:val="20"/>
                <w:szCs w:val="20"/>
              </w:rPr>
              <w:t>înainte şi după utilizarea FTG, în conformitate cu prevederile art. 1.</w:t>
            </w:r>
          </w:p>
        </w:tc>
      </w:tr>
      <w:tr w:rsidR="001C5965" w:rsidTr="00170D2F">
        <w:tc>
          <w:tcPr>
            <w:tcW w:w="4490" w:type="dxa"/>
            <w:tcBorders>
              <w:top w:val="single" w:sz="18" w:space="0" w:color="auto"/>
              <w:bottom w:val="single" w:sz="18" w:space="0" w:color="auto"/>
            </w:tcBorders>
          </w:tcPr>
          <w:p w:rsidR="001C5965" w:rsidRPr="008F3B2F" w:rsidRDefault="001C5965" w:rsidP="00F41E1A">
            <w:pPr>
              <w:jc w:val="both"/>
              <w:rPr>
                <w:rFonts w:ascii="Arial Narrow" w:eastAsia="SimSun" w:hAnsi="Arial Narrow"/>
                <w:b/>
                <w:sz w:val="20"/>
                <w:szCs w:val="20"/>
                <w:lang w:eastAsia="da-DK"/>
              </w:rPr>
            </w:pPr>
            <w:r w:rsidRPr="008F3B2F">
              <w:rPr>
                <w:rFonts w:ascii="Arial Narrow" w:hAnsi="Arial Narrow"/>
                <w:b/>
                <w:sz w:val="20"/>
                <w:szCs w:val="20"/>
              </w:rPr>
              <w:t>Art. 3.</w:t>
            </w:r>
            <w:r w:rsidRPr="008F3B2F">
              <w:rPr>
                <w:rFonts w:ascii="Arial Narrow" w:hAnsi="Arial Narrow"/>
                <w:sz w:val="20"/>
                <w:szCs w:val="20"/>
              </w:rPr>
              <w:t xml:space="preserve"> – (1) Prin derogare de la prevederile art. 99 şi 101 din Codul reţelei, până la data de 1 aprilie 2016, contravaloarea depășirii capacităţii rezervate şi contravaloarea capacităţii rezervate neasigurate se determină pe baza componentei fixe de rezervare de capacitate a tarifului pentru prestarea serviciului de transport ferm pe zi aferentă fiecărui tip de puncte de intrare/ieșire în/din SNT și a diferenţei dintre capacitatea lunară rezervată de către UR în fiecare tip de puncte de intrare în SNT de același nivel tarifar, respectiv în fiecare tip de puncte de ieşire din SNT de același nivel tarifar şi capacitatea lunară utilizată efectiv de către UR, respectiv asigurată efectiv de către OTS</w:t>
            </w:r>
            <w:r w:rsidRPr="008F3B2F">
              <w:rPr>
                <w:rFonts w:ascii="Arial Narrow" w:hAnsi="Arial Narrow"/>
                <w:color w:val="FF0000"/>
                <w:sz w:val="20"/>
                <w:szCs w:val="20"/>
              </w:rPr>
              <w:t xml:space="preserve"> </w:t>
            </w:r>
            <w:r w:rsidRPr="008F3B2F">
              <w:rPr>
                <w:rFonts w:ascii="Arial Narrow" w:hAnsi="Arial Narrow"/>
                <w:sz w:val="20"/>
                <w:szCs w:val="20"/>
              </w:rPr>
              <w:t>în respectivele puncte de intrare/ieșire în/din SNT.</w:t>
            </w:r>
          </w:p>
        </w:tc>
        <w:tc>
          <w:tcPr>
            <w:tcW w:w="4526" w:type="dxa"/>
            <w:tcBorders>
              <w:top w:val="single" w:sz="18" w:space="0" w:color="auto"/>
              <w:bottom w:val="single" w:sz="18" w:space="0" w:color="auto"/>
            </w:tcBorders>
          </w:tcPr>
          <w:p w:rsidR="001C5965" w:rsidRPr="00D67A4E" w:rsidRDefault="001C5965" w:rsidP="00F41E1A">
            <w:pPr>
              <w:jc w:val="both"/>
              <w:rPr>
                <w:rFonts w:ascii="Arial Narrow" w:eastAsia="SimSun" w:hAnsi="Arial Narrow"/>
                <w:b/>
                <w:sz w:val="20"/>
                <w:szCs w:val="20"/>
                <w:lang w:eastAsia="da-DK"/>
              </w:rPr>
            </w:pPr>
            <w:r w:rsidRPr="008F3B2F">
              <w:rPr>
                <w:rFonts w:ascii="Arial Narrow" w:hAnsi="Arial Narrow"/>
                <w:b/>
                <w:sz w:val="20"/>
                <w:szCs w:val="20"/>
              </w:rPr>
              <w:t>Art. 3.</w:t>
            </w:r>
            <w:r w:rsidRPr="008F3B2F">
              <w:rPr>
                <w:rFonts w:ascii="Arial Narrow" w:hAnsi="Arial Narrow"/>
                <w:sz w:val="20"/>
                <w:szCs w:val="20"/>
              </w:rPr>
              <w:t xml:space="preserve"> – (1) Prin derogare de la prevederile art. 99 şi 101 din Codul reţelei, până la data de 1 </w:t>
            </w:r>
            <w:r w:rsidRPr="00B9026E">
              <w:rPr>
                <w:rFonts w:ascii="Arial Narrow" w:hAnsi="Arial Narrow"/>
                <w:strike/>
                <w:color w:val="FF0000"/>
                <w:sz w:val="20"/>
                <w:szCs w:val="20"/>
              </w:rPr>
              <w:t>aprilie</w:t>
            </w:r>
            <w:r w:rsidRPr="008F3B2F">
              <w:rPr>
                <w:rFonts w:ascii="Arial Narrow" w:hAnsi="Arial Narrow"/>
                <w:sz w:val="20"/>
                <w:szCs w:val="20"/>
              </w:rPr>
              <w:t xml:space="preserve"> </w:t>
            </w:r>
            <w:r w:rsidRPr="00B9026E">
              <w:rPr>
                <w:rFonts w:ascii="Arial Narrow" w:hAnsi="Arial Narrow"/>
                <w:color w:val="FF0000"/>
                <w:sz w:val="20"/>
                <w:szCs w:val="20"/>
              </w:rPr>
              <w:t>iulie</w:t>
            </w:r>
            <w:r>
              <w:rPr>
                <w:rFonts w:ascii="Arial Narrow" w:hAnsi="Arial Narrow"/>
                <w:sz w:val="20"/>
                <w:szCs w:val="20"/>
              </w:rPr>
              <w:t xml:space="preserve"> </w:t>
            </w:r>
            <w:r w:rsidRPr="008F3B2F">
              <w:rPr>
                <w:rFonts w:ascii="Arial Narrow" w:hAnsi="Arial Narrow"/>
                <w:sz w:val="20"/>
                <w:szCs w:val="20"/>
              </w:rPr>
              <w:t>2016, contravaloarea depășirii capacităţii rezervate şi contravaloarea capacităţii rezervate neasigurate se determină pe baza componentei fixe de rezervare de capacitate a tarifului pentru prestarea serviciului de transport ferm pe zi aferentă fiecărui tip de puncte de intrare/ieșire în/din SNT și a diferenţei dintre capacitatea lunară rezervată de către UR în fiecare tip de puncte de intrare în SNT de același nivel tarifar, respectiv în fiecare tip de puncte de ieşire din SNT de același nivel tarifar şi capacitatea lunară utilizată efectiv de către UR, respectiv asigurată efectiv de către OTS</w:t>
            </w:r>
            <w:r w:rsidRPr="008F3B2F">
              <w:rPr>
                <w:rFonts w:ascii="Arial Narrow" w:hAnsi="Arial Narrow"/>
                <w:color w:val="FF0000"/>
                <w:sz w:val="20"/>
                <w:szCs w:val="20"/>
              </w:rPr>
              <w:t xml:space="preserve"> </w:t>
            </w:r>
            <w:r w:rsidRPr="008F3B2F">
              <w:rPr>
                <w:rFonts w:ascii="Arial Narrow" w:hAnsi="Arial Narrow"/>
                <w:sz w:val="20"/>
                <w:szCs w:val="20"/>
              </w:rPr>
              <w:t>în respectivele puncte de intrare/ieșire în/din SNT.</w:t>
            </w:r>
          </w:p>
        </w:tc>
      </w:tr>
      <w:tr w:rsidR="001C5965" w:rsidTr="00170D2F">
        <w:tc>
          <w:tcPr>
            <w:tcW w:w="4490" w:type="dxa"/>
            <w:tcBorders>
              <w:top w:val="single" w:sz="18" w:space="0" w:color="auto"/>
              <w:bottom w:val="single" w:sz="4" w:space="0" w:color="auto"/>
            </w:tcBorders>
          </w:tcPr>
          <w:p w:rsidR="001C5965" w:rsidRPr="003D5CF0" w:rsidRDefault="001C5965" w:rsidP="00F41E1A">
            <w:pPr>
              <w:jc w:val="both"/>
              <w:rPr>
                <w:rFonts w:ascii="Arial Narrow" w:eastAsia="SimSun" w:hAnsi="Arial Narrow"/>
                <w:b/>
                <w:sz w:val="20"/>
                <w:szCs w:val="20"/>
                <w:lang w:eastAsia="da-DK"/>
              </w:rPr>
            </w:pPr>
            <w:r w:rsidRPr="003D5CF0">
              <w:rPr>
                <w:rFonts w:ascii="Arial Narrow" w:hAnsi="Arial Narrow"/>
                <w:b/>
                <w:sz w:val="20"/>
                <w:szCs w:val="20"/>
              </w:rPr>
              <w:t>Art. 4.</w:t>
            </w:r>
            <w:r w:rsidRPr="003D5CF0">
              <w:rPr>
                <w:rFonts w:ascii="Arial Narrow" w:hAnsi="Arial Narrow"/>
                <w:sz w:val="20"/>
                <w:szCs w:val="20"/>
              </w:rPr>
              <w:t xml:space="preserve"> – (1) Prin derogare de la prevederile art. 102 din Codul reţelei, până la data de 1 aprilie 2016</w:t>
            </w:r>
            <w:r>
              <w:rPr>
                <w:rFonts w:ascii="Arial Narrow" w:hAnsi="Arial Narrow"/>
                <w:sz w:val="20"/>
                <w:szCs w:val="20"/>
              </w:rPr>
              <w:t xml:space="preserve">, </w:t>
            </w:r>
            <w:r w:rsidRPr="003D5CF0">
              <w:rPr>
                <w:rFonts w:ascii="Arial Narrow" w:hAnsi="Arial Narrow"/>
                <w:sz w:val="20"/>
                <w:szCs w:val="20"/>
              </w:rPr>
              <w:t>tariful de dezechilibru se calculează</w:t>
            </w:r>
            <w:r w:rsidRPr="003D5CF0">
              <w:rPr>
                <w:rFonts w:ascii="Arial Narrow" w:hAnsi="Arial Narrow"/>
                <w:b/>
                <w:color w:val="FF0000"/>
                <w:sz w:val="20"/>
                <w:szCs w:val="20"/>
              </w:rPr>
              <w:t xml:space="preserve"> </w:t>
            </w:r>
            <w:r w:rsidRPr="003D5CF0">
              <w:rPr>
                <w:rFonts w:ascii="Arial Narrow" w:hAnsi="Arial Narrow"/>
                <w:sz w:val="20"/>
                <w:szCs w:val="20"/>
              </w:rPr>
              <w:t>prin înmulțirea cantității finale de dezechilibru lunar, determinată în conformitate cu prevederile art. 1, cu luarea în considerare a cantităţilor ce au făcut obiectul FTG, cu prețul mediu ponderat al tuturor tranzacțiilor notificate în PVT având ca obiect gaze naturale ce au fost livrate în cursul respectivei luni gaziere, inclusiv tranzacţiile aferente FTG.</w:t>
            </w:r>
          </w:p>
        </w:tc>
        <w:tc>
          <w:tcPr>
            <w:tcW w:w="4526" w:type="dxa"/>
            <w:tcBorders>
              <w:top w:val="single" w:sz="18" w:space="0" w:color="auto"/>
              <w:bottom w:val="single" w:sz="4" w:space="0" w:color="auto"/>
            </w:tcBorders>
          </w:tcPr>
          <w:p w:rsidR="001C5965" w:rsidRPr="00D67A4E" w:rsidRDefault="001C5965" w:rsidP="00F41E1A">
            <w:pPr>
              <w:jc w:val="both"/>
              <w:rPr>
                <w:rFonts w:ascii="Arial Narrow" w:eastAsia="SimSun" w:hAnsi="Arial Narrow"/>
                <w:b/>
                <w:sz w:val="20"/>
                <w:szCs w:val="20"/>
                <w:lang w:eastAsia="da-DK"/>
              </w:rPr>
            </w:pPr>
            <w:r w:rsidRPr="003D5CF0">
              <w:rPr>
                <w:rFonts w:ascii="Arial Narrow" w:hAnsi="Arial Narrow"/>
                <w:b/>
                <w:sz w:val="20"/>
                <w:szCs w:val="20"/>
              </w:rPr>
              <w:t>Art. 4.</w:t>
            </w:r>
            <w:r w:rsidRPr="003D5CF0">
              <w:rPr>
                <w:rFonts w:ascii="Arial Narrow" w:hAnsi="Arial Narrow"/>
                <w:sz w:val="20"/>
                <w:szCs w:val="20"/>
              </w:rPr>
              <w:t xml:space="preserve"> – (1) Prin derogare de la prevederile art. 102 din Codul reţelei, până la data de 1 </w:t>
            </w:r>
            <w:r w:rsidRPr="00530C6B">
              <w:rPr>
                <w:rFonts w:ascii="Arial Narrow" w:hAnsi="Arial Narrow"/>
                <w:strike/>
                <w:color w:val="FF0000"/>
                <w:sz w:val="20"/>
                <w:szCs w:val="20"/>
              </w:rPr>
              <w:t>aprilie</w:t>
            </w:r>
            <w:r w:rsidRPr="003D5CF0">
              <w:rPr>
                <w:rFonts w:ascii="Arial Narrow" w:hAnsi="Arial Narrow"/>
                <w:sz w:val="20"/>
                <w:szCs w:val="20"/>
              </w:rPr>
              <w:t xml:space="preserve"> </w:t>
            </w:r>
            <w:r w:rsidRPr="00530C6B">
              <w:rPr>
                <w:rFonts w:ascii="Arial Narrow" w:hAnsi="Arial Narrow"/>
                <w:color w:val="FF0000"/>
                <w:sz w:val="20"/>
                <w:szCs w:val="20"/>
              </w:rPr>
              <w:t>iulie</w:t>
            </w:r>
            <w:r w:rsidRPr="003D5CF0">
              <w:rPr>
                <w:rFonts w:ascii="Arial Narrow" w:hAnsi="Arial Narrow"/>
                <w:sz w:val="20"/>
                <w:szCs w:val="20"/>
              </w:rPr>
              <w:t xml:space="preserve"> 2016</w:t>
            </w:r>
            <w:r>
              <w:rPr>
                <w:rFonts w:ascii="Arial Narrow" w:hAnsi="Arial Narrow"/>
                <w:sz w:val="20"/>
                <w:szCs w:val="20"/>
              </w:rPr>
              <w:t xml:space="preserve">, </w:t>
            </w:r>
            <w:r w:rsidRPr="003D5CF0">
              <w:rPr>
                <w:rFonts w:ascii="Arial Narrow" w:hAnsi="Arial Narrow"/>
                <w:sz w:val="20"/>
                <w:szCs w:val="20"/>
              </w:rPr>
              <w:t xml:space="preserve">tariful de dezechilibru </w:t>
            </w:r>
            <w:r w:rsidRPr="003B3541">
              <w:rPr>
                <w:rFonts w:ascii="Arial Narrow" w:hAnsi="Arial Narrow"/>
                <w:color w:val="FF0000"/>
                <w:sz w:val="20"/>
                <w:szCs w:val="20"/>
              </w:rPr>
              <w:t>lunar  (TDL)</w:t>
            </w:r>
            <w:r>
              <w:rPr>
                <w:rFonts w:ascii="Arial Narrow" w:hAnsi="Arial Narrow"/>
                <w:sz w:val="20"/>
                <w:szCs w:val="20"/>
              </w:rPr>
              <w:t xml:space="preserve"> </w:t>
            </w:r>
            <w:r w:rsidRPr="003D5CF0">
              <w:rPr>
                <w:rFonts w:ascii="Arial Narrow" w:hAnsi="Arial Narrow"/>
                <w:sz w:val="20"/>
                <w:szCs w:val="20"/>
              </w:rPr>
              <w:t>se calculează</w:t>
            </w:r>
            <w:r w:rsidRPr="003D5CF0">
              <w:rPr>
                <w:rFonts w:ascii="Arial Narrow" w:hAnsi="Arial Narrow"/>
                <w:b/>
                <w:color w:val="FF0000"/>
                <w:sz w:val="20"/>
                <w:szCs w:val="20"/>
              </w:rPr>
              <w:t xml:space="preserve"> </w:t>
            </w:r>
            <w:r w:rsidRPr="003D5CF0">
              <w:rPr>
                <w:rFonts w:ascii="Arial Narrow" w:hAnsi="Arial Narrow"/>
                <w:sz w:val="20"/>
                <w:szCs w:val="20"/>
              </w:rPr>
              <w:t xml:space="preserve">prin înmulțirea cantității finale de dezechilibru lunar, determinată în conformitate cu prevederile art. 1, cu luarea în considerare a cantităţilor ce au făcut obiectul FTG, cu prețul </w:t>
            </w:r>
            <w:r w:rsidRPr="003B3541">
              <w:rPr>
                <w:rFonts w:ascii="Arial Narrow" w:hAnsi="Arial Narrow"/>
                <w:color w:val="FF0000"/>
                <w:sz w:val="20"/>
                <w:szCs w:val="20"/>
              </w:rPr>
              <w:t>aplicabil, determinat conform prevederilor art. 4</w:t>
            </w:r>
            <w:r w:rsidRPr="003B3541">
              <w:rPr>
                <w:rFonts w:ascii="Arial Narrow" w:hAnsi="Arial Narrow"/>
                <w:color w:val="FF0000"/>
                <w:sz w:val="20"/>
                <w:szCs w:val="20"/>
                <w:vertAlign w:val="superscript"/>
              </w:rPr>
              <w:t>1</w:t>
            </w:r>
            <w:r w:rsidRPr="003B3541">
              <w:rPr>
                <w:rFonts w:ascii="Arial Narrow" w:hAnsi="Arial Narrow"/>
                <w:color w:val="FF0000"/>
                <w:sz w:val="20"/>
                <w:szCs w:val="20"/>
              </w:rPr>
              <w:t xml:space="preserve"> - 4</w:t>
            </w:r>
            <w:r w:rsidRPr="003B3541">
              <w:rPr>
                <w:rFonts w:ascii="Arial Narrow" w:hAnsi="Arial Narrow"/>
                <w:color w:val="FF0000"/>
                <w:sz w:val="20"/>
                <w:szCs w:val="20"/>
                <w:vertAlign w:val="superscript"/>
              </w:rPr>
              <w:t>5</w:t>
            </w:r>
            <w:r w:rsidRPr="003B3541">
              <w:rPr>
                <w:rFonts w:ascii="Arial Narrow" w:hAnsi="Arial Narrow"/>
                <w:color w:val="FF0000"/>
                <w:sz w:val="20"/>
                <w:szCs w:val="20"/>
              </w:rPr>
              <w:t>, după caz, luând în considerare modul de calcul al nivelului de toleranţă prevăzut la art. 89</w:t>
            </w:r>
            <w:r w:rsidRPr="003B3541">
              <w:rPr>
                <w:rFonts w:ascii="Arial Narrow" w:hAnsi="Arial Narrow"/>
                <w:color w:val="FF0000"/>
                <w:sz w:val="20"/>
                <w:szCs w:val="20"/>
                <w:vertAlign w:val="superscript"/>
              </w:rPr>
              <w:t>1</w:t>
            </w:r>
            <w:r w:rsidRPr="003B3541">
              <w:rPr>
                <w:rFonts w:ascii="Arial Narrow" w:hAnsi="Arial Narrow"/>
                <w:color w:val="FF0000"/>
                <w:sz w:val="20"/>
                <w:szCs w:val="20"/>
              </w:rPr>
              <w:t xml:space="preserve"> din Codul reţelei.</w:t>
            </w:r>
            <w:r>
              <w:rPr>
                <w:rFonts w:ascii="Arial Narrow" w:hAnsi="Arial Narrow"/>
                <w:sz w:val="20"/>
                <w:szCs w:val="20"/>
              </w:rPr>
              <w:t xml:space="preserve">  </w:t>
            </w:r>
            <w:r w:rsidRPr="003B3541">
              <w:rPr>
                <w:rFonts w:ascii="Arial Narrow" w:hAnsi="Arial Narrow"/>
                <w:strike/>
                <w:color w:val="FF0000"/>
                <w:sz w:val="20"/>
                <w:szCs w:val="20"/>
              </w:rPr>
              <w:t>mediu ponderat al tuturor tranzacțiilor notificate în PVT având ca obiect gaze naturale ce au fost livrate în cursul respectivei luni gaziere, inclusiv tranzacţiile aferente FTG.</w:t>
            </w:r>
          </w:p>
        </w:tc>
      </w:tr>
      <w:tr w:rsidR="001C5965" w:rsidTr="00170D2F">
        <w:tc>
          <w:tcPr>
            <w:tcW w:w="4490" w:type="dxa"/>
            <w:tcBorders>
              <w:top w:val="single" w:sz="4" w:space="0" w:color="auto"/>
              <w:bottom w:val="single" w:sz="4" w:space="0" w:color="auto"/>
            </w:tcBorders>
          </w:tcPr>
          <w:p w:rsidR="001C5965" w:rsidRPr="00EE5649" w:rsidRDefault="001C5965" w:rsidP="00F41E1A">
            <w:pPr>
              <w:jc w:val="both"/>
              <w:rPr>
                <w:rFonts w:ascii="Arial Narrow" w:hAnsi="Arial Narrow"/>
                <w:sz w:val="20"/>
                <w:szCs w:val="20"/>
              </w:rPr>
            </w:pPr>
            <w:r w:rsidRPr="00D63B54">
              <w:rPr>
                <w:rFonts w:ascii="Arial Narrow" w:hAnsi="Arial Narrow"/>
                <w:b/>
                <w:sz w:val="20"/>
                <w:szCs w:val="20"/>
              </w:rPr>
              <w:t>Art. 4. –</w:t>
            </w:r>
            <w:r>
              <w:rPr>
                <w:rFonts w:ascii="Arial Narrow" w:hAnsi="Arial Narrow"/>
                <w:sz w:val="20"/>
                <w:szCs w:val="20"/>
              </w:rPr>
              <w:t xml:space="preserve"> </w:t>
            </w:r>
            <w:r w:rsidRPr="00EE5649">
              <w:rPr>
                <w:rFonts w:ascii="Arial Narrow" w:hAnsi="Arial Narrow"/>
                <w:sz w:val="20"/>
                <w:szCs w:val="20"/>
              </w:rPr>
              <w:t>(2) În situația în care nu sunt tranzacții notificate în PVT, pentru calculul tarifului de dezechilibru se utilizează prețul mediu ponderat al tuturor tranzacțiilor având ca obiect gaze naturale livrate în cursul respectivei luni gaziere, încheiate în cadrul piețelor centralizate de gaze naturale din România.</w:t>
            </w:r>
          </w:p>
        </w:tc>
        <w:tc>
          <w:tcPr>
            <w:tcW w:w="4526" w:type="dxa"/>
            <w:tcBorders>
              <w:top w:val="single" w:sz="4" w:space="0" w:color="auto"/>
              <w:bottom w:val="single" w:sz="4" w:space="0" w:color="auto"/>
            </w:tcBorders>
          </w:tcPr>
          <w:p w:rsidR="001C5965" w:rsidRPr="003B3541" w:rsidRDefault="001C5965" w:rsidP="00F41E1A">
            <w:pPr>
              <w:jc w:val="both"/>
              <w:rPr>
                <w:rFonts w:ascii="Arial Narrow" w:hAnsi="Arial Narrow"/>
                <w:color w:val="FF0000"/>
                <w:sz w:val="20"/>
                <w:szCs w:val="20"/>
              </w:rPr>
            </w:pPr>
            <w:r w:rsidRPr="003B3541">
              <w:rPr>
                <w:rFonts w:ascii="Arial Narrow" w:hAnsi="Arial Narrow"/>
                <w:b/>
                <w:color w:val="FF0000"/>
                <w:sz w:val="20"/>
                <w:szCs w:val="20"/>
              </w:rPr>
              <w:t>Art. 4.</w:t>
            </w:r>
            <w:r w:rsidRPr="003B3541">
              <w:rPr>
                <w:rFonts w:ascii="Arial Narrow" w:hAnsi="Arial Narrow"/>
                <w:color w:val="FF0000"/>
                <w:sz w:val="20"/>
                <w:szCs w:val="20"/>
              </w:rPr>
              <w:t xml:space="preserve"> – (2 ) </w:t>
            </w:r>
            <w:r w:rsidRPr="003B3541">
              <w:rPr>
                <w:rFonts w:ascii="Arial Narrow" w:hAnsi="Arial Narrow"/>
                <w:color w:val="FF0000"/>
                <w:sz w:val="20"/>
                <w:szCs w:val="20"/>
                <w:lang w:eastAsia="da-DK"/>
              </w:rPr>
              <w:t xml:space="preserve">Pentru un UR al cărui dezechilibru lunar final este mai mic sau egal cu nivelul de toleranţă de 5%, TDL se calculează </w:t>
            </w:r>
            <w:r w:rsidRPr="003B3541">
              <w:rPr>
                <w:rFonts w:ascii="Arial Narrow" w:hAnsi="Arial Narrow"/>
                <w:color w:val="FF0000"/>
                <w:sz w:val="20"/>
                <w:szCs w:val="20"/>
              </w:rPr>
              <w:t>conform prevederilor art. 4</w:t>
            </w:r>
            <w:r w:rsidRPr="003B3541">
              <w:rPr>
                <w:rFonts w:ascii="Arial Narrow" w:hAnsi="Arial Narrow"/>
                <w:color w:val="FF0000"/>
                <w:sz w:val="20"/>
                <w:szCs w:val="20"/>
                <w:vertAlign w:val="superscript"/>
              </w:rPr>
              <w:t>1</w:t>
            </w:r>
            <w:r w:rsidRPr="003B3541">
              <w:rPr>
                <w:rFonts w:ascii="Arial Narrow" w:hAnsi="Arial Narrow"/>
                <w:color w:val="FF0000"/>
                <w:sz w:val="20"/>
                <w:szCs w:val="20"/>
              </w:rPr>
              <w:t xml:space="preserve"> - 4</w:t>
            </w:r>
            <w:r w:rsidRPr="003B3541">
              <w:rPr>
                <w:rFonts w:ascii="Arial Narrow" w:hAnsi="Arial Narrow"/>
                <w:color w:val="FF0000"/>
                <w:sz w:val="20"/>
                <w:szCs w:val="20"/>
                <w:vertAlign w:val="superscript"/>
              </w:rPr>
              <w:t>5</w:t>
            </w:r>
            <w:r w:rsidRPr="003B3541">
              <w:rPr>
                <w:rFonts w:ascii="Arial Narrow" w:hAnsi="Arial Narrow"/>
                <w:color w:val="FF0000"/>
                <w:sz w:val="20"/>
                <w:szCs w:val="20"/>
              </w:rPr>
              <w:t xml:space="preserve">, după caz, </w:t>
            </w:r>
            <w:r w:rsidRPr="003B3541">
              <w:rPr>
                <w:rFonts w:ascii="Arial Narrow" w:hAnsi="Arial Narrow"/>
                <w:color w:val="FF0000"/>
                <w:sz w:val="20"/>
                <w:szCs w:val="20"/>
                <w:lang w:eastAsia="da-DK"/>
              </w:rPr>
              <w:t xml:space="preserve">pentru toată cantitatea de dezechilibru. </w:t>
            </w:r>
          </w:p>
        </w:tc>
      </w:tr>
      <w:tr w:rsidR="001C5965" w:rsidTr="00170D2F">
        <w:tc>
          <w:tcPr>
            <w:tcW w:w="4490" w:type="dxa"/>
            <w:tcBorders>
              <w:top w:val="single" w:sz="4" w:space="0" w:color="auto"/>
              <w:bottom w:val="single" w:sz="18" w:space="0" w:color="auto"/>
            </w:tcBorders>
          </w:tcPr>
          <w:p w:rsidR="001C5965" w:rsidRPr="00EE5649" w:rsidRDefault="001C5965" w:rsidP="00F41E1A">
            <w:pPr>
              <w:jc w:val="both"/>
              <w:rPr>
                <w:rFonts w:ascii="Arial Narrow" w:hAnsi="Arial Narrow"/>
                <w:sz w:val="20"/>
                <w:szCs w:val="20"/>
              </w:rPr>
            </w:pPr>
          </w:p>
        </w:tc>
        <w:tc>
          <w:tcPr>
            <w:tcW w:w="4526" w:type="dxa"/>
            <w:tcBorders>
              <w:top w:val="single" w:sz="4" w:space="0" w:color="auto"/>
              <w:bottom w:val="single" w:sz="18" w:space="0" w:color="auto"/>
            </w:tcBorders>
          </w:tcPr>
          <w:p w:rsidR="001C5965" w:rsidRPr="00500FD8" w:rsidRDefault="001C5965" w:rsidP="00F41E1A">
            <w:pPr>
              <w:jc w:val="both"/>
              <w:rPr>
                <w:rFonts w:ascii="Arial Narrow" w:hAnsi="Arial Narrow"/>
                <w:color w:val="FF0000"/>
                <w:sz w:val="20"/>
                <w:szCs w:val="20"/>
              </w:rPr>
            </w:pPr>
            <w:r w:rsidRPr="00500FD8">
              <w:rPr>
                <w:rFonts w:ascii="Arial Narrow" w:hAnsi="Arial Narrow"/>
                <w:b/>
                <w:color w:val="FF0000"/>
                <w:sz w:val="20"/>
                <w:szCs w:val="20"/>
                <w:lang w:eastAsia="da-DK"/>
              </w:rPr>
              <w:t>Art. 4. –</w:t>
            </w:r>
            <w:r w:rsidRPr="00500FD8">
              <w:rPr>
                <w:rFonts w:ascii="Arial Narrow" w:hAnsi="Arial Narrow"/>
                <w:color w:val="FF0000"/>
                <w:sz w:val="20"/>
                <w:szCs w:val="20"/>
                <w:lang w:eastAsia="da-DK"/>
              </w:rPr>
              <w:t xml:space="preserve"> (3) Pentru un UR al cărui dezechilibru lunar final este mai mare decât nivelul de toleranţă de 5%, TDL se calculează </w:t>
            </w:r>
            <w:r w:rsidRPr="00500FD8">
              <w:rPr>
                <w:rFonts w:ascii="Arial Narrow" w:hAnsi="Arial Narrow"/>
                <w:color w:val="FF0000"/>
                <w:sz w:val="20"/>
                <w:szCs w:val="20"/>
              </w:rPr>
              <w:t>conform prevederilor art. 4</w:t>
            </w:r>
            <w:r w:rsidRPr="00500FD8">
              <w:rPr>
                <w:rFonts w:ascii="Arial Narrow" w:hAnsi="Arial Narrow"/>
                <w:color w:val="FF0000"/>
                <w:sz w:val="20"/>
                <w:szCs w:val="20"/>
                <w:vertAlign w:val="superscript"/>
              </w:rPr>
              <w:t>1</w:t>
            </w:r>
            <w:r w:rsidRPr="00500FD8">
              <w:rPr>
                <w:rFonts w:ascii="Arial Narrow" w:hAnsi="Arial Narrow"/>
                <w:color w:val="FF0000"/>
                <w:sz w:val="20"/>
                <w:szCs w:val="20"/>
              </w:rPr>
              <w:t xml:space="preserve"> - 4</w:t>
            </w:r>
            <w:r w:rsidRPr="00500FD8">
              <w:rPr>
                <w:rFonts w:ascii="Arial Narrow" w:hAnsi="Arial Narrow"/>
                <w:color w:val="FF0000"/>
                <w:sz w:val="20"/>
                <w:szCs w:val="20"/>
                <w:vertAlign w:val="superscript"/>
              </w:rPr>
              <w:t>5</w:t>
            </w:r>
            <w:r w:rsidRPr="00500FD8">
              <w:rPr>
                <w:rFonts w:ascii="Arial Narrow" w:hAnsi="Arial Narrow"/>
                <w:color w:val="FF0000"/>
                <w:sz w:val="20"/>
                <w:szCs w:val="20"/>
              </w:rPr>
              <w:t xml:space="preserve">, după caz, </w:t>
            </w:r>
            <w:r w:rsidRPr="00500FD8">
              <w:rPr>
                <w:rFonts w:ascii="Arial Narrow" w:hAnsi="Arial Narrow"/>
                <w:color w:val="FF0000"/>
                <w:sz w:val="20"/>
                <w:szCs w:val="20"/>
                <w:lang w:eastAsia="da-DK"/>
              </w:rPr>
              <w:t xml:space="preserve">şi reprezintă suma dintre TDL aferent cantităţii din </w:t>
            </w:r>
            <w:r w:rsidRPr="00500FD8">
              <w:rPr>
                <w:rFonts w:ascii="Arial Narrow" w:hAnsi="Arial Narrow"/>
                <w:color w:val="FF0000"/>
                <w:sz w:val="20"/>
                <w:szCs w:val="20"/>
                <w:lang w:eastAsia="da-DK"/>
              </w:rPr>
              <w:lastRenderedPageBreak/>
              <w:t xml:space="preserve">dezechilibrul lunar care se încadrează în toleranţa de 5% şi TDL aferent cantităţii din dezechilibrul lunar care se situează peste toleranţa de 5%. </w:t>
            </w:r>
          </w:p>
        </w:tc>
      </w:tr>
      <w:tr w:rsidR="001C5965" w:rsidTr="00170D2F">
        <w:tc>
          <w:tcPr>
            <w:tcW w:w="4490" w:type="dxa"/>
            <w:tcBorders>
              <w:top w:val="single" w:sz="4" w:space="0" w:color="auto"/>
              <w:bottom w:val="single" w:sz="4" w:space="0" w:color="auto"/>
            </w:tcBorders>
          </w:tcPr>
          <w:p w:rsidR="001C5965" w:rsidRPr="003D5CF0" w:rsidRDefault="001C5965" w:rsidP="00F41E1A">
            <w:pPr>
              <w:jc w:val="both"/>
              <w:rPr>
                <w:rFonts w:ascii="Arial Narrow" w:hAnsi="Arial Narrow"/>
                <w:b/>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b/>
                <w:color w:val="FF0000"/>
                <w:sz w:val="20"/>
                <w:szCs w:val="20"/>
              </w:rPr>
            </w:pPr>
            <w:r w:rsidRPr="00500FD8">
              <w:rPr>
                <w:rFonts w:ascii="Arial Narrow" w:hAnsi="Arial Narrow"/>
                <w:b/>
                <w:color w:val="FF0000"/>
                <w:sz w:val="20"/>
                <w:szCs w:val="20"/>
              </w:rPr>
              <w:t>Art. 4</w:t>
            </w:r>
            <w:r w:rsidRPr="00500FD8">
              <w:rPr>
                <w:rFonts w:ascii="Arial Narrow" w:hAnsi="Arial Narrow"/>
                <w:b/>
                <w:color w:val="FF0000"/>
                <w:sz w:val="20"/>
                <w:szCs w:val="20"/>
                <w:vertAlign w:val="superscript"/>
              </w:rPr>
              <w:t>1</w:t>
            </w:r>
            <w:r w:rsidRPr="00500FD8">
              <w:rPr>
                <w:rFonts w:ascii="Arial Narrow" w:hAnsi="Arial Narrow"/>
                <w:b/>
                <w:color w:val="FF0000"/>
                <w:sz w:val="20"/>
                <w:szCs w:val="20"/>
              </w:rPr>
              <w:t xml:space="preserve">. – </w:t>
            </w:r>
            <w:r w:rsidRPr="00500FD8">
              <w:rPr>
                <w:rFonts w:ascii="Arial Narrow" w:hAnsi="Arial Narrow"/>
                <w:color w:val="FF0000"/>
                <w:sz w:val="20"/>
                <w:szCs w:val="20"/>
              </w:rPr>
              <w:t xml:space="preserve">(1) </w:t>
            </w:r>
            <w:r w:rsidRPr="00500FD8">
              <w:rPr>
                <w:rFonts w:ascii="Arial Narrow" w:hAnsi="Arial Narrow"/>
                <w:color w:val="FF0000"/>
                <w:sz w:val="20"/>
                <w:szCs w:val="20"/>
                <w:lang w:eastAsia="da-DK"/>
              </w:rPr>
              <w:t>În situaţia în care, la nivelul lunii de transport, suma dezechilibrelor înregistrate de UR aflaţi în stare de dezechilibru cu titlul „Deficit” este egală cu suma dezechilibrelor înregistrate de UR aflaţi în stare de dezechilibru cu titlul „Excedent”, pentru acea cantitate de dezechilibru lunar care se încadrează în limita de toleranţă acceptată de 5%, preţul aplicabil atât la vânzarea de către UR către OTS a respectivei cantităţi de gaze naturale reprezentând dezechilibre pozitive, cât şi la cumpărarea de către UR de la OTS a respectivei cantităţi de gaze naturale reprezentând dezechilibre negative este preţul mediu ponderat al tuturor tranzacțiilor cu gaze naturale, inclusiv cele aferente FTG, notificate în PVT în cursul lunii respective.</w:t>
            </w:r>
          </w:p>
        </w:tc>
      </w:tr>
      <w:tr w:rsidR="001C5965" w:rsidTr="00170D2F">
        <w:tc>
          <w:tcPr>
            <w:tcW w:w="4490" w:type="dxa"/>
            <w:tcBorders>
              <w:top w:val="single" w:sz="4" w:space="0" w:color="auto"/>
              <w:bottom w:val="single" w:sz="4" w:space="0" w:color="auto"/>
            </w:tcBorders>
          </w:tcPr>
          <w:p w:rsidR="001C5965" w:rsidRPr="003D5CF0" w:rsidRDefault="001C5965" w:rsidP="00F41E1A">
            <w:pPr>
              <w:jc w:val="both"/>
              <w:rPr>
                <w:rFonts w:ascii="Arial Narrow" w:hAnsi="Arial Narrow"/>
                <w:b/>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(2) Pentru UR aflaţi în stare de dezechilibru cu titlul „Excedent”, pentru acea cantitate de dezechilibru lunar care depăşeşte limita de toleranţă acceptată de 5%, preţul aplicabil la vânzarea de către UR către OTS a respectivei cantităţi de gaze naturale este preţul marginal de vânzare, determinat în conformitate cu următoarea formulă:</w:t>
            </w:r>
          </w:p>
          <w:p w:rsidR="001C5965" w:rsidRPr="00500FD8" w:rsidRDefault="001C5965" w:rsidP="00F41E1A">
            <w:pPr>
              <w:jc w:val="center"/>
              <w:rPr>
                <w:rFonts w:ascii="Arial Narrow" w:hAnsi="Arial Narrow"/>
                <w:color w:val="FF0000"/>
                <w:sz w:val="20"/>
                <w:szCs w:val="20"/>
                <w:lang w:eastAsia="da-DK"/>
              </w:rPr>
            </w:pPr>
            <w:r w:rsidRPr="00500FD8">
              <w:rPr>
                <w:rFonts w:ascii="Arial Narrow" w:hAnsi="Arial Narrow"/>
                <w:color w:val="FF0000"/>
                <w:sz w:val="20"/>
                <w:szCs w:val="20"/>
                <w:lang w:eastAsia="da-DK"/>
              </w:rPr>
              <w:t>PMV = PMP x (1 – Caj), unde: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PMV – preţul marginal de vânzare.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PMP – reprezintă preţul mediu ponderat al tuturor tranzacțiilor cu gaze naturale, inclusiv cele aferente FTG, notificate in PVT în cursul lunii respective.</w:t>
            </w:r>
          </w:p>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Caj – componenta de ajustare, reprezentând un procent de 10%.</w:t>
            </w:r>
          </w:p>
        </w:tc>
      </w:tr>
      <w:tr w:rsidR="001C5965" w:rsidTr="00170D2F">
        <w:tc>
          <w:tcPr>
            <w:tcW w:w="4490" w:type="dxa"/>
            <w:tcBorders>
              <w:top w:val="single" w:sz="4" w:space="0" w:color="auto"/>
              <w:bottom w:val="single" w:sz="4" w:space="0" w:color="auto"/>
            </w:tcBorders>
          </w:tcPr>
          <w:p w:rsidR="001C5965" w:rsidRPr="003D5CF0" w:rsidRDefault="001C5965" w:rsidP="00F41E1A">
            <w:pPr>
              <w:jc w:val="both"/>
              <w:rPr>
                <w:rFonts w:ascii="Arial Narrow" w:hAnsi="Arial Narrow"/>
                <w:b/>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(3) Pentru UR aflaţi în stare de dezechilibru cu titlul „Deficit”, pentru acea cantitate de dezechilibru lunar care depăşeşte limita de toleranţă acceptată de 5%, preţul aplicabil la cumpărarea de către UR de la OTS a respectivei cantităţi de gaze naturale este preţul marginal de cumpărare, determinat în conformitate cu următoarea formulă:</w:t>
            </w:r>
          </w:p>
          <w:p w:rsidR="001C5965" w:rsidRPr="00500FD8" w:rsidRDefault="001C5965" w:rsidP="00F41E1A">
            <w:pPr>
              <w:jc w:val="center"/>
              <w:rPr>
                <w:rFonts w:ascii="Arial Narrow" w:hAnsi="Arial Narrow"/>
                <w:color w:val="FF0000"/>
                <w:sz w:val="20"/>
                <w:szCs w:val="20"/>
                <w:lang w:eastAsia="da-DK"/>
              </w:rPr>
            </w:pPr>
            <w:r w:rsidRPr="00500FD8">
              <w:rPr>
                <w:rFonts w:ascii="Arial Narrow" w:hAnsi="Arial Narrow"/>
                <w:color w:val="FF0000"/>
                <w:sz w:val="20"/>
                <w:szCs w:val="20"/>
                <w:lang w:eastAsia="da-DK"/>
              </w:rPr>
              <w:t>PMC = PMP x (1 + Caj), unde: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PMC – preţul marginal de cumpărare.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PMP – reprezintă preţul mediu ponderat al tuturor tranzacțiilor cu gaze naturale, inclusiv cele aferente FTG, notificate in PVT în cursul lunii respective.</w:t>
            </w:r>
          </w:p>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Caj – componenta de ajustare, reprezentând un procent de 10%.</w:t>
            </w:r>
          </w:p>
        </w:tc>
      </w:tr>
      <w:tr w:rsidR="001C5965" w:rsidTr="00170D2F">
        <w:tc>
          <w:tcPr>
            <w:tcW w:w="4490" w:type="dxa"/>
            <w:tcBorders>
              <w:top w:val="single" w:sz="4" w:space="0" w:color="auto"/>
              <w:bottom w:val="single" w:sz="4" w:space="0" w:color="auto"/>
            </w:tcBorders>
          </w:tcPr>
          <w:p w:rsidR="001C5965" w:rsidRPr="003D5CF0" w:rsidRDefault="001C5965" w:rsidP="00F41E1A">
            <w:pPr>
              <w:jc w:val="both"/>
              <w:rPr>
                <w:rFonts w:ascii="Arial Narrow" w:hAnsi="Arial Narrow"/>
                <w:b/>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(4) În situaţia în care nu au avut loc tranzacții notificate în PVT în cursul lunii respective, se va lua în considerare preţul mediu ponderat al tuturor tranzacțiilor cu gaze naturale efectuate în cadrul pieţelor centralizate de gaze naturale din România în cursul lunii respective. Dată fiind lichiditatea redusă a pieței angro pe termen scurt, în situația în care în luna respectivă nu au fost efectuate tranzacții, se va lua în considerare preţul mediu ponderat al ultimei zile în care au existat tranzacții notificate în PVT.</w:t>
            </w:r>
          </w:p>
        </w:tc>
      </w:tr>
      <w:tr w:rsidR="001C5965" w:rsidTr="00170D2F">
        <w:tc>
          <w:tcPr>
            <w:tcW w:w="4490" w:type="dxa"/>
            <w:tcBorders>
              <w:top w:val="single" w:sz="4" w:space="0" w:color="auto"/>
              <w:bottom w:val="single" w:sz="4" w:space="0" w:color="auto"/>
            </w:tcBorders>
          </w:tcPr>
          <w:p w:rsidR="001C5965" w:rsidRPr="003D5CF0" w:rsidRDefault="001C5965" w:rsidP="00F41E1A">
            <w:pPr>
              <w:jc w:val="both"/>
              <w:rPr>
                <w:rFonts w:ascii="Arial Narrow" w:hAnsi="Arial Narrow"/>
                <w:b/>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w:t>
            </w:r>
            <w:r>
              <w:rPr>
                <w:rFonts w:ascii="Arial Narrow" w:hAnsi="Arial Narrow"/>
                <w:color w:val="FF0000"/>
                <w:sz w:val="20"/>
                <w:szCs w:val="20"/>
                <w:lang w:eastAsia="da-DK"/>
              </w:rPr>
              <w:t>5</w:t>
            </w:r>
            <w:r w:rsidRPr="00500FD8">
              <w:rPr>
                <w:rFonts w:ascii="Arial Narrow" w:hAnsi="Arial Narrow"/>
                <w:color w:val="FF0000"/>
                <w:sz w:val="20"/>
                <w:szCs w:val="20"/>
                <w:lang w:eastAsia="da-DK"/>
              </w:rPr>
              <w:t>) În cursul lunii următoare lunii de transport, OTS publică pe pagina proprie de internet, în secţiunea dedicată UR, pentru fiecare tranzacţie notificată de UR în PVT în cursul lunii de transport, informaţii referitoare la cantitatea de gaze naturale astfel tranzacţionată, preţul aferent tranzacţiei, precum şi preţul mediu ponderat al tuturor tranzacţiilor notificate în PVT în cursul lunii de transport.</w:t>
            </w:r>
          </w:p>
        </w:tc>
      </w:tr>
      <w:tr w:rsidR="001C5965" w:rsidRPr="00F8662A" w:rsidTr="00170D2F">
        <w:tc>
          <w:tcPr>
            <w:tcW w:w="4490" w:type="dxa"/>
            <w:tcBorders>
              <w:top w:val="single" w:sz="18" w:space="0" w:color="auto"/>
              <w:bottom w:val="single" w:sz="4" w:space="0" w:color="auto"/>
            </w:tcBorders>
          </w:tcPr>
          <w:p w:rsidR="001C5965" w:rsidRPr="00F8662A" w:rsidRDefault="001C5965" w:rsidP="00F41E1A">
            <w:pPr>
              <w:adjustRightInd w:val="0"/>
              <w:snapToGrid w:val="0"/>
              <w:jc w:val="both"/>
              <w:rPr>
                <w:rFonts w:ascii="Arial Narrow" w:hAnsi="Arial Narrow"/>
                <w:sz w:val="20"/>
                <w:szCs w:val="20"/>
              </w:rPr>
            </w:pPr>
          </w:p>
          <w:p w:rsidR="001C5965" w:rsidRPr="00F8662A" w:rsidRDefault="001C5965" w:rsidP="00F41E1A">
            <w:pPr>
              <w:adjustRightInd w:val="0"/>
              <w:snapToGrid w:val="0"/>
              <w:jc w:val="both"/>
              <w:rPr>
                <w:rFonts w:ascii="Arial Narrow" w:hAnsi="Arial Narrow"/>
                <w:sz w:val="20"/>
                <w:szCs w:val="20"/>
              </w:rPr>
            </w:pPr>
          </w:p>
          <w:p w:rsidR="001C5965" w:rsidRPr="00F8662A" w:rsidRDefault="001C5965" w:rsidP="00F41E1A">
            <w:pPr>
              <w:adjustRightInd w:val="0"/>
              <w:snapToGrid w:val="0"/>
              <w:jc w:val="both"/>
              <w:rPr>
                <w:rFonts w:ascii="Arial Narrow" w:hAnsi="Arial Narrow"/>
                <w:sz w:val="20"/>
                <w:szCs w:val="20"/>
              </w:rPr>
            </w:pPr>
          </w:p>
          <w:p w:rsidR="001C5965" w:rsidRPr="00F8662A" w:rsidRDefault="001C5965" w:rsidP="00F41E1A">
            <w:pPr>
              <w:adjustRightInd w:val="0"/>
              <w:snapToGrid w:val="0"/>
              <w:ind w:left="360"/>
              <w:jc w:val="both"/>
              <w:rPr>
                <w:rFonts w:ascii="Arial Narrow" w:hAnsi="Arial Narrow"/>
                <w:sz w:val="20"/>
                <w:szCs w:val="20"/>
              </w:rPr>
            </w:pPr>
            <w:r w:rsidRPr="00F8662A">
              <w:rPr>
                <w:rFonts w:ascii="Arial Narrow" w:hAnsi="Arial Narrow"/>
                <w:sz w:val="20"/>
                <w:szCs w:val="20"/>
              </w:rPr>
              <w:t xml:space="preserve"> </w:t>
            </w:r>
          </w:p>
        </w:tc>
        <w:tc>
          <w:tcPr>
            <w:tcW w:w="4526" w:type="dxa"/>
            <w:tcBorders>
              <w:top w:val="single" w:sz="18"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b/>
                <w:color w:val="FF0000"/>
                <w:sz w:val="20"/>
                <w:szCs w:val="20"/>
              </w:rPr>
              <w:t>Art. 4</w:t>
            </w:r>
            <w:r w:rsidRPr="00500FD8">
              <w:rPr>
                <w:rFonts w:ascii="Arial Narrow" w:hAnsi="Arial Narrow"/>
                <w:b/>
                <w:color w:val="FF0000"/>
                <w:sz w:val="20"/>
                <w:szCs w:val="20"/>
                <w:vertAlign w:val="superscript"/>
              </w:rPr>
              <w:t>2</w:t>
            </w:r>
            <w:r w:rsidRPr="00500FD8">
              <w:rPr>
                <w:rFonts w:ascii="Arial Narrow" w:hAnsi="Arial Narrow"/>
                <w:b/>
                <w:color w:val="FF0000"/>
                <w:sz w:val="20"/>
                <w:szCs w:val="20"/>
              </w:rPr>
              <w:t xml:space="preserve">. – </w:t>
            </w:r>
            <w:r w:rsidRPr="00500FD8">
              <w:rPr>
                <w:rFonts w:ascii="Arial Narrow" w:hAnsi="Arial Narrow"/>
                <w:color w:val="FF0000"/>
                <w:sz w:val="20"/>
                <w:szCs w:val="20"/>
                <w:lang w:eastAsia="da-DK"/>
              </w:rPr>
              <w:t>(1) În situaţia în care, la nivelul lunii de transport, suma dezechilibrelor înregistrate de UR aflaţi în stare de dezechilibru cu titlul „Deficit” este mai mare decât suma dezechilibrelor înregistrate de UR aflaţi în stare de dezechilibru cu titlul „Excedent”, iar OTS a cumpărat în cursul lunii respective cantităţi de gaze naturale în scopul echilibrării fizice a SNT, preţurile aplicabile pentru vânzarea/cumpărarea cantităţilor de gaze naturale aflate în dezechilibru lunar la nivel de UR sunt:</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a) pentru UR aflaţi în stare de dezechilibru cu titlul „Deficit”, pentru acea cantitate de dezechilibru lunar care se încadrează în limita de toleranţă acceptată de 5%, preţul aplicabil la cumpărarea de către UR de la OTS a cantităţii de gaze naturale respective este preţul mediu ponderat al tranzacţiilor de cumpărare efectuate de către OTS în cursul lunii respective;</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b) pentru UR aflaţi în stare de dezechilibru cu titlul „Deficit”, pentru acea cantitate de dezechilibru lunar care depăşeşte limita de toleranţă acceptată de 5%, preţul aplicabil la cumpărarea de către UR de la OTS a cantităţii de gaze naturale respective este preţul marginal de cumpărare;</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c) pentru UR aflaţi în stare de dezechilibru cu titlul „Excedent”, pentru acea cantitate de dezechilibru lunar care se încadrează în limita de toleranţă acceptată de 5%, preţul aplicabil la vânzarea de către UR către OTS a respectivei cantităţi de gaze naturale este preţul mediu ponderat al tuturor tranzacțiilor cu gaze naturale, inclusiv cele aferente FTG, notificate în PVT în cursul lunii respective; în situaţia în care nu au avut loc tranzacții notificate în PVT, se va lua în considerare preţul mediu ponderat al tuturor tranzacțiilor cu gaze naturale efectuate în cadrul pieţelor centralizate de gaze naturale din România în cursul lunii respective; dată fiind lichiditatea redusă a pieței angro pe termen scurt, în situația în care în cursul lunii respective nu au fost efectuate tranzacții, se va lua în considerare preţul mediu ponderat al ultimei zile în care au existat tranzacții notificate în PVT;</w:t>
            </w:r>
          </w:p>
          <w:p w:rsidR="001C5965" w:rsidRPr="00500FD8" w:rsidRDefault="001C5965" w:rsidP="00F41E1A">
            <w:pPr>
              <w:ind w:left="49"/>
              <w:jc w:val="both"/>
              <w:rPr>
                <w:rFonts w:ascii="Arial Narrow" w:hAnsi="Arial Narrow"/>
                <w:color w:val="FF0000"/>
                <w:sz w:val="20"/>
                <w:szCs w:val="20"/>
              </w:rPr>
            </w:pPr>
            <w:r w:rsidRPr="00500FD8">
              <w:rPr>
                <w:rFonts w:ascii="Arial Narrow" w:hAnsi="Arial Narrow"/>
                <w:color w:val="FF0000"/>
                <w:sz w:val="20"/>
                <w:szCs w:val="20"/>
                <w:lang w:eastAsia="da-DK"/>
              </w:rPr>
              <w:t xml:space="preserve">d) pentru UR aflaţi în stare de dezechilibru cu titlul „Excedent”, pentru acea cantitate de dezechilibru lunar care depăşeşte limita de toleranţă acceptată de 5%, preţul aplicabil la vânzarea de către UR către OTS a respectivei cantităţi de gaze naturale este preţul marginal de vânzare. </w:t>
            </w:r>
            <w:r w:rsidRPr="00500FD8">
              <w:rPr>
                <w:rFonts w:ascii="Arial Narrow" w:hAnsi="Arial Narrow"/>
                <w:color w:val="FF0000"/>
                <w:sz w:val="20"/>
                <w:szCs w:val="20"/>
              </w:rPr>
              <w:t xml:space="preserve"> </w:t>
            </w:r>
          </w:p>
        </w:tc>
      </w:tr>
      <w:tr w:rsidR="001C5965" w:rsidRPr="00F8662A" w:rsidTr="00170D2F">
        <w:tc>
          <w:tcPr>
            <w:tcW w:w="4490" w:type="dxa"/>
            <w:tcBorders>
              <w:top w:val="single" w:sz="4" w:space="0" w:color="auto"/>
              <w:bottom w:val="single" w:sz="4"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(2) Preţul marginal de cumpărare este dat de cea mai mare valoare dintre următoarele două:</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a) cel mai mare preţ la care OTS a efectuat tranzacţii de cumpărare în cursul lunii respective (CMMPC);</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b) preţul mediu ponderat al tranzacţiilor de cumpărare efectuate de către OTS în cursul lunii respective (PMPC) plus o ajustare de 10% a acestuia, pe baza următoarei formule:</w:t>
            </w:r>
          </w:p>
          <w:p w:rsidR="001C5965" w:rsidRPr="00500FD8" w:rsidRDefault="001C5965" w:rsidP="00F41E1A">
            <w:pPr>
              <w:jc w:val="center"/>
              <w:rPr>
                <w:rFonts w:ascii="Arial Narrow" w:hAnsi="Arial Narrow"/>
                <w:b/>
                <w:color w:val="FF0000"/>
                <w:sz w:val="20"/>
                <w:szCs w:val="20"/>
              </w:rPr>
            </w:pPr>
            <w:r w:rsidRPr="00500FD8">
              <w:rPr>
                <w:rFonts w:ascii="Arial Narrow" w:hAnsi="Arial Narrow"/>
                <w:color w:val="FF0000"/>
                <w:sz w:val="20"/>
                <w:szCs w:val="20"/>
                <w:lang w:eastAsia="da-DK"/>
              </w:rPr>
              <w:t>PMC = max (CMMPC, PMPC x 110%)</w:t>
            </w:r>
          </w:p>
        </w:tc>
      </w:tr>
      <w:tr w:rsidR="001C5965" w:rsidRPr="00F8662A" w:rsidTr="00170D2F">
        <w:tc>
          <w:tcPr>
            <w:tcW w:w="4490" w:type="dxa"/>
            <w:tcBorders>
              <w:top w:val="single" w:sz="4" w:space="0" w:color="auto"/>
              <w:bottom w:val="single" w:sz="18"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4" w:space="0" w:color="auto"/>
              <w:bottom w:val="single" w:sz="18"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(3) Preţul marginal de vânzare este determinat în conformitate cu următoarea formulă:</w:t>
            </w:r>
          </w:p>
          <w:p w:rsidR="001C5965" w:rsidRPr="00500FD8" w:rsidRDefault="001C5965" w:rsidP="00F41E1A">
            <w:pPr>
              <w:jc w:val="center"/>
              <w:rPr>
                <w:rFonts w:ascii="Arial Narrow" w:hAnsi="Arial Narrow"/>
                <w:color w:val="FF0000"/>
                <w:sz w:val="20"/>
                <w:szCs w:val="20"/>
                <w:lang w:eastAsia="da-DK"/>
              </w:rPr>
            </w:pPr>
            <w:r w:rsidRPr="00500FD8">
              <w:rPr>
                <w:rFonts w:ascii="Arial Narrow" w:hAnsi="Arial Narrow"/>
                <w:color w:val="FF0000"/>
                <w:sz w:val="20"/>
                <w:szCs w:val="20"/>
                <w:lang w:eastAsia="da-DK"/>
              </w:rPr>
              <w:t>PMV = PMP x (1  – Caj), unde: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PMV – preţul marginal de vânzare.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 xml:space="preserve">PMP – reprezintă preţul mediu ponderat al tuturor tranzacțiilor cu gaze naturale, inclusiv cele aferente FTG, notificate in PVT în cursul lunii respective; în situaţia în care nu au avut loc tranzacții notificate în PVT, se va lua în considerare preţul mediu ponderat al tuturor tranzacțiilor cu gaze naturale efectuate în cadrul pieţelor centralizate de </w:t>
            </w:r>
            <w:r w:rsidRPr="00500FD8">
              <w:rPr>
                <w:rFonts w:ascii="Arial Narrow" w:hAnsi="Arial Narrow"/>
                <w:color w:val="FF0000"/>
                <w:sz w:val="20"/>
                <w:szCs w:val="20"/>
                <w:lang w:eastAsia="da-DK"/>
              </w:rPr>
              <w:lastRenderedPageBreak/>
              <w:t xml:space="preserve">gaze naturale din România în cursul lunii respective; dată fiind lichiditatea redusă a pieței angro pe termen scurt, în situația în care în cursul lunii respective nu au fost efectuate tranzacții, se va lua în considerare preţul mediu ponderat al ultimei zile în care au existat tranzacții notificate în PVT. </w:t>
            </w:r>
          </w:p>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Caj – componenta de ajustare, reprezentând un procent de 10%.</w:t>
            </w:r>
          </w:p>
        </w:tc>
      </w:tr>
      <w:tr w:rsidR="001C5965" w:rsidRPr="00F8662A" w:rsidTr="00170D2F">
        <w:tc>
          <w:tcPr>
            <w:tcW w:w="4490" w:type="dxa"/>
            <w:tcBorders>
              <w:top w:val="single" w:sz="18" w:space="0" w:color="auto"/>
              <w:bottom w:val="single" w:sz="18"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18" w:space="0" w:color="auto"/>
              <w:bottom w:val="single" w:sz="18" w:space="0" w:color="auto"/>
            </w:tcBorders>
          </w:tcPr>
          <w:p w:rsidR="001C5965" w:rsidRPr="00500FD8" w:rsidRDefault="001C5965" w:rsidP="00F41E1A">
            <w:pPr>
              <w:jc w:val="both"/>
              <w:rPr>
                <w:rFonts w:ascii="Arial Narrow" w:hAnsi="Arial Narrow"/>
                <w:b/>
                <w:color w:val="FF0000"/>
                <w:sz w:val="20"/>
                <w:szCs w:val="20"/>
              </w:rPr>
            </w:pPr>
            <w:r w:rsidRPr="00500FD8">
              <w:rPr>
                <w:rFonts w:ascii="Arial Narrow" w:hAnsi="Arial Narrow"/>
                <w:b/>
                <w:color w:val="FF0000"/>
                <w:sz w:val="20"/>
                <w:szCs w:val="20"/>
              </w:rPr>
              <w:t>Art. 4</w:t>
            </w:r>
            <w:r w:rsidRPr="00500FD8">
              <w:rPr>
                <w:rFonts w:ascii="Arial Narrow" w:hAnsi="Arial Narrow"/>
                <w:b/>
                <w:color w:val="FF0000"/>
                <w:sz w:val="20"/>
                <w:szCs w:val="20"/>
                <w:vertAlign w:val="superscript"/>
              </w:rPr>
              <w:t>3</w:t>
            </w:r>
            <w:r w:rsidRPr="00500FD8">
              <w:rPr>
                <w:rFonts w:ascii="Arial Narrow" w:hAnsi="Arial Narrow"/>
                <w:b/>
                <w:color w:val="FF0000"/>
                <w:sz w:val="20"/>
                <w:szCs w:val="20"/>
              </w:rPr>
              <w:t xml:space="preserve">. – </w:t>
            </w:r>
            <w:r w:rsidRPr="00500FD8">
              <w:rPr>
                <w:rFonts w:ascii="Arial Narrow" w:hAnsi="Arial Narrow"/>
                <w:color w:val="FF0000"/>
                <w:sz w:val="20"/>
                <w:szCs w:val="20"/>
                <w:lang w:eastAsia="da-DK"/>
              </w:rPr>
              <w:t>În situaţia în care, la nivelul lunii de transport, suma dezechilibrelor înregistrate de UR aflaţi în stare de dezechilibru cu titlul „Deficit” este mai mare decât suma dezechilibrelor înregistrate de UR aflaţi în stare de dezechilibru cu titlul „Excedent”, iar OTS nu a efectuat tranzacţii de cumpărare, în cursul lunii de transport respective, în scopul echilibrării fizice a SNT, preţurile aplicabile pentru vânzarea/cumpărarea cantităţilor de gaze naturale aflate în dezechilibru lunar la nivel de UR sunt cele determinate în conformitate cu prevederile art. 4</w:t>
            </w:r>
            <w:r w:rsidRPr="00500FD8">
              <w:rPr>
                <w:rFonts w:ascii="Arial Narrow" w:hAnsi="Arial Narrow"/>
                <w:color w:val="FF0000"/>
                <w:sz w:val="20"/>
                <w:szCs w:val="20"/>
                <w:vertAlign w:val="superscript"/>
                <w:lang w:eastAsia="da-DK"/>
              </w:rPr>
              <w:t>1</w:t>
            </w:r>
            <w:r w:rsidRPr="00500FD8">
              <w:rPr>
                <w:rFonts w:ascii="Arial Narrow" w:hAnsi="Arial Narrow"/>
                <w:color w:val="FF0000"/>
                <w:sz w:val="20"/>
                <w:szCs w:val="20"/>
                <w:lang w:eastAsia="da-DK"/>
              </w:rPr>
              <w:t>, pentru luna de transport respectivă.</w:t>
            </w:r>
          </w:p>
        </w:tc>
      </w:tr>
      <w:tr w:rsidR="001C5965" w:rsidRPr="00F8662A" w:rsidTr="00170D2F">
        <w:tc>
          <w:tcPr>
            <w:tcW w:w="4490" w:type="dxa"/>
            <w:tcBorders>
              <w:top w:val="single" w:sz="18" w:space="0" w:color="auto"/>
              <w:bottom w:val="single" w:sz="4"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18"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b/>
                <w:color w:val="FF0000"/>
                <w:sz w:val="20"/>
                <w:szCs w:val="20"/>
              </w:rPr>
              <w:t>Art. 4</w:t>
            </w:r>
            <w:r w:rsidRPr="00500FD8">
              <w:rPr>
                <w:rFonts w:ascii="Arial Narrow" w:hAnsi="Arial Narrow"/>
                <w:b/>
                <w:color w:val="FF0000"/>
                <w:sz w:val="20"/>
                <w:szCs w:val="20"/>
                <w:vertAlign w:val="superscript"/>
              </w:rPr>
              <w:t>4</w:t>
            </w:r>
            <w:r w:rsidRPr="00500FD8">
              <w:rPr>
                <w:rFonts w:ascii="Arial Narrow" w:hAnsi="Arial Narrow"/>
                <w:b/>
                <w:color w:val="FF0000"/>
                <w:sz w:val="20"/>
                <w:szCs w:val="20"/>
              </w:rPr>
              <w:t xml:space="preserve">. – </w:t>
            </w:r>
            <w:r w:rsidRPr="00500FD8">
              <w:rPr>
                <w:rFonts w:ascii="Arial Narrow" w:hAnsi="Arial Narrow"/>
                <w:color w:val="FF0000"/>
                <w:sz w:val="20"/>
                <w:szCs w:val="20"/>
                <w:lang w:eastAsia="da-DK"/>
              </w:rPr>
              <w:t>(1) În situaţia în care, la nivelul lunii de transport, suma dezechilibrelor înregistrate de UR aflaţi în stare de dezechilibru cu titlul „Deficit” este mai mică decât suma dezechilibrelor înregistrate de UR aflaţi în stare de dezechilibru cu titlul „Excedent”, iar OTS a vândut, în cursul lunii respective, cantităţi de gaze naturale în scopul echilibrării fizice a SNT, preţurile aplicabile pentru vânzarea/cumpărarea cantităţilor de gaze naturale aflate în dezechilibru lunar la nivel de UR sunt:</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a) pentru UR aflaţi în stare de dezechilibru cu titlul „Excedent”, pentru acea cantitate de dezechilibru lunar care se încadrează în limita de toleranţă acceptată de 5%, preţul aplicabil la vânzarea de către UR către OTS a cantităţii de gaze naturale respective este preţul mediu ponderat al tranzacţiilor de vânzare efectuate de către OTS în cursul lunii respective;</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b) pentru UR aflaţi în stare de dezechilibru cu titlul „Excedent”, pentru acea cantitate de dezechilibru lunar care depăşeşte limita de toleranţă acceptată de 5%, preţul aplicabil la vânzarea de către UR către OTS a cantităţii de gaze naturale respective este preţul marginal de vânzare;</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c) pentru UR aflaţi în stare de dezechilibru cu titlul „Deficit”, pentru acea cantitate de dezechilibru lunar care se încadrează în limita de toleranţă acceptată de 5%, preţul aplicabil la cumpărarea de către UR de la OTS a respectivei cantităţi de gaze naturale este preţul mediu ponderat al tuturor tranzacțiilor cu gaze naturale, inclusiv cele aferente FTG, notificate în PVT în cursul lunii respective; în situaţia în care nu au avut loc tranzacții notificate în PVT, se va lua în considerare preţul mediu ponderat al tuturor tranzacțiilor cu gaze naturale efectuate în cadrul pieţelor centralizate de gaze naturale din România în cursul lunii respective; dată fiind lichiditatea redusă a pieței angro pe termen scurt, în situația în care în cursul lunii respective nu au fost efectuate tranzacții, se va lua în considerare preţul mediu ponderat al ultimei zile în care au existat tranzacții notificate în PVT;</w:t>
            </w:r>
          </w:p>
          <w:p w:rsidR="001C5965" w:rsidRPr="00500FD8" w:rsidRDefault="001C5965" w:rsidP="00F41E1A">
            <w:pPr>
              <w:ind w:left="49"/>
              <w:jc w:val="both"/>
              <w:rPr>
                <w:rFonts w:ascii="Arial Narrow" w:hAnsi="Arial Narrow"/>
                <w:b/>
                <w:color w:val="FF0000"/>
                <w:sz w:val="20"/>
                <w:szCs w:val="20"/>
              </w:rPr>
            </w:pPr>
            <w:r w:rsidRPr="00500FD8">
              <w:rPr>
                <w:rFonts w:ascii="Arial Narrow" w:hAnsi="Arial Narrow"/>
                <w:color w:val="FF0000"/>
                <w:sz w:val="20"/>
                <w:szCs w:val="20"/>
                <w:lang w:eastAsia="da-DK"/>
              </w:rPr>
              <w:t xml:space="preserve">d) pentru UR aflaţi în stare de dezechilibru cu titlul „Deficit”, pentru acea cantitate de dezechilibru lunar care depăşeşte limita de toleranţă acceptată de 5%, preţul aplicabil la cumpărarea de către UR de la OTS a respectivei cantităţi de gaze naturale este preţul marginal de cumpărare.  </w:t>
            </w:r>
          </w:p>
        </w:tc>
      </w:tr>
      <w:tr w:rsidR="001C5965" w:rsidRPr="00F8662A" w:rsidTr="00170D2F">
        <w:tc>
          <w:tcPr>
            <w:tcW w:w="4490" w:type="dxa"/>
            <w:tcBorders>
              <w:top w:val="single" w:sz="4" w:space="0" w:color="auto"/>
              <w:bottom w:val="single" w:sz="4"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(2) Preţul marginal de vânzare este dat de cea mai mică valoare dintre următoarele două:</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a) cel mai mic preţ la care OTS a efectuat tranzacţii de vânzare în cursul lunii respective (CMMPV);</w:t>
            </w:r>
          </w:p>
          <w:p w:rsidR="001C5965" w:rsidRPr="00500FD8" w:rsidRDefault="001C5965" w:rsidP="00F41E1A">
            <w:pPr>
              <w:ind w:left="49"/>
              <w:jc w:val="both"/>
              <w:rPr>
                <w:rFonts w:ascii="Arial Narrow" w:hAnsi="Arial Narrow"/>
                <w:color w:val="FF0000"/>
                <w:sz w:val="20"/>
                <w:szCs w:val="20"/>
                <w:lang w:eastAsia="da-DK"/>
              </w:rPr>
            </w:pPr>
            <w:r w:rsidRPr="00500FD8">
              <w:rPr>
                <w:rFonts w:ascii="Arial Narrow" w:hAnsi="Arial Narrow"/>
                <w:color w:val="FF0000"/>
                <w:sz w:val="20"/>
                <w:szCs w:val="20"/>
                <w:lang w:eastAsia="da-DK"/>
              </w:rPr>
              <w:t>b) preţul mediu ponderat al tranzacţiilor de vânzare efectuate de către OTS în cursul lunii respective (PMPV) minus o ajustare de 10% a acestuia, pe baza următoarei formule:</w:t>
            </w:r>
          </w:p>
          <w:p w:rsidR="001C5965" w:rsidRPr="00500FD8" w:rsidRDefault="001C5965" w:rsidP="00F41E1A">
            <w:pPr>
              <w:jc w:val="center"/>
              <w:rPr>
                <w:rFonts w:ascii="Arial Narrow" w:hAnsi="Arial Narrow"/>
                <w:b/>
                <w:color w:val="FF0000"/>
                <w:sz w:val="20"/>
                <w:szCs w:val="20"/>
              </w:rPr>
            </w:pPr>
            <w:r w:rsidRPr="00500FD8">
              <w:rPr>
                <w:rFonts w:ascii="Arial Narrow" w:hAnsi="Arial Narrow"/>
                <w:color w:val="FF0000"/>
                <w:sz w:val="20"/>
                <w:szCs w:val="20"/>
                <w:lang w:eastAsia="da-DK"/>
              </w:rPr>
              <w:t>PMV = min (CMMPV, PMPV x 90%)</w:t>
            </w:r>
          </w:p>
        </w:tc>
      </w:tr>
      <w:tr w:rsidR="001C5965" w:rsidRPr="00F8662A" w:rsidTr="00170D2F">
        <w:tc>
          <w:tcPr>
            <w:tcW w:w="4490" w:type="dxa"/>
            <w:tcBorders>
              <w:top w:val="single" w:sz="4" w:space="0" w:color="auto"/>
              <w:bottom w:val="single" w:sz="4"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4" w:space="0" w:color="auto"/>
              <w:bottom w:val="single" w:sz="4" w:space="0" w:color="auto"/>
            </w:tcBorders>
          </w:tcPr>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(3) Preţul marginal de cumpărare este determinat în conformitate cu următoarea formulă:</w:t>
            </w:r>
          </w:p>
          <w:p w:rsidR="001C5965" w:rsidRPr="00500FD8" w:rsidRDefault="001C5965" w:rsidP="00F41E1A">
            <w:pPr>
              <w:jc w:val="center"/>
              <w:rPr>
                <w:rFonts w:ascii="Arial Narrow" w:hAnsi="Arial Narrow"/>
                <w:color w:val="FF0000"/>
                <w:sz w:val="20"/>
                <w:szCs w:val="20"/>
                <w:lang w:eastAsia="da-DK"/>
              </w:rPr>
            </w:pPr>
            <w:r w:rsidRPr="00500FD8">
              <w:rPr>
                <w:rFonts w:ascii="Arial Narrow" w:hAnsi="Arial Narrow"/>
                <w:color w:val="FF0000"/>
                <w:sz w:val="20"/>
                <w:szCs w:val="20"/>
                <w:lang w:eastAsia="da-DK"/>
              </w:rPr>
              <w:t>PMC = PMP x (1 + Caj), unde: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PMC – preţul marginal de cumpărare.</w:t>
            </w:r>
          </w:p>
          <w:p w:rsidR="001C5965" w:rsidRPr="00500FD8" w:rsidRDefault="001C5965" w:rsidP="00F41E1A">
            <w:pPr>
              <w:jc w:val="both"/>
              <w:rPr>
                <w:rFonts w:ascii="Arial Narrow" w:hAnsi="Arial Narrow"/>
                <w:color w:val="FF0000"/>
                <w:sz w:val="20"/>
                <w:szCs w:val="20"/>
                <w:lang w:eastAsia="da-DK"/>
              </w:rPr>
            </w:pPr>
            <w:r w:rsidRPr="00500FD8">
              <w:rPr>
                <w:rFonts w:ascii="Arial Narrow" w:hAnsi="Arial Narrow"/>
                <w:color w:val="FF0000"/>
                <w:sz w:val="20"/>
                <w:szCs w:val="20"/>
                <w:lang w:eastAsia="da-DK"/>
              </w:rPr>
              <w:t xml:space="preserve">PMP – reprezintă preţul mediu ponderat al tuturor tranzacțiilor cu gaze naturale, inclusiv cele aferente FTG, notificate in PVT în cursul lunii respective; în situaţia în care nu au avut loc tranzacții notificate în PVT, se va lua în considerare preţul mediu ponderat al tuturor tranzacțiilor cu gaze naturale efectuate în cadrul pieţelor centralizate de gaze naturale din România în cursul lunii respective; dată fiind lichiditatea redusă a pieței angro pe termen scurt, în situația în care în cursul lunii respective nu au fost efectuate tranzacții, se va lua în considerare preţul mediu ponderat al ultimei zile în care au existat tranzacții notificate în PVT. </w:t>
            </w:r>
          </w:p>
          <w:p w:rsidR="001C5965" w:rsidRPr="00500FD8" w:rsidRDefault="001C5965" w:rsidP="00F41E1A">
            <w:pPr>
              <w:jc w:val="both"/>
              <w:rPr>
                <w:rFonts w:ascii="Arial Narrow" w:hAnsi="Arial Narrow"/>
                <w:b/>
                <w:color w:val="FF0000"/>
                <w:sz w:val="20"/>
                <w:szCs w:val="20"/>
              </w:rPr>
            </w:pPr>
            <w:r w:rsidRPr="00500FD8">
              <w:rPr>
                <w:rFonts w:ascii="Arial Narrow" w:hAnsi="Arial Narrow"/>
                <w:color w:val="FF0000"/>
                <w:sz w:val="20"/>
                <w:szCs w:val="20"/>
                <w:lang w:eastAsia="da-DK"/>
              </w:rPr>
              <w:t>Caj – componenta de ajustare, reprezentând un procent de 10%.</w:t>
            </w:r>
          </w:p>
        </w:tc>
      </w:tr>
      <w:tr w:rsidR="001C5965" w:rsidRPr="00F8662A" w:rsidTr="00170D2F">
        <w:tc>
          <w:tcPr>
            <w:tcW w:w="4490" w:type="dxa"/>
            <w:tcBorders>
              <w:top w:val="single" w:sz="4" w:space="0" w:color="auto"/>
              <w:bottom w:val="single" w:sz="18" w:space="0" w:color="auto"/>
            </w:tcBorders>
          </w:tcPr>
          <w:p w:rsidR="001C5965" w:rsidRPr="00F8662A" w:rsidRDefault="001C5965" w:rsidP="00F41E1A">
            <w:pPr>
              <w:adjustRightInd w:val="0"/>
              <w:snapToGrid w:val="0"/>
              <w:jc w:val="both"/>
              <w:rPr>
                <w:rFonts w:ascii="Arial Narrow" w:hAnsi="Arial Narrow"/>
                <w:sz w:val="20"/>
                <w:szCs w:val="20"/>
              </w:rPr>
            </w:pPr>
          </w:p>
        </w:tc>
        <w:tc>
          <w:tcPr>
            <w:tcW w:w="4526" w:type="dxa"/>
            <w:tcBorders>
              <w:top w:val="single" w:sz="4" w:space="0" w:color="auto"/>
              <w:bottom w:val="single" w:sz="18" w:space="0" w:color="auto"/>
            </w:tcBorders>
          </w:tcPr>
          <w:p w:rsidR="001C5965" w:rsidRPr="00500FD8" w:rsidRDefault="001C5965" w:rsidP="00F41E1A">
            <w:pPr>
              <w:jc w:val="both"/>
              <w:rPr>
                <w:rFonts w:ascii="Arial Narrow" w:hAnsi="Arial Narrow"/>
                <w:b/>
                <w:color w:val="FF0000"/>
                <w:sz w:val="20"/>
                <w:szCs w:val="20"/>
              </w:rPr>
            </w:pPr>
            <w:r w:rsidRPr="00500FD8">
              <w:rPr>
                <w:rFonts w:ascii="Arial Narrow" w:hAnsi="Arial Narrow"/>
                <w:b/>
                <w:color w:val="FF0000"/>
                <w:sz w:val="20"/>
                <w:szCs w:val="20"/>
              </w:rPr>
              <w:t>Art. 4</w:t>
            </w:r>
            <w:r w:rsidRPr="00500FD8">
              <w:rPr>
                <w:rFonts w:ascii="Arial Narrow" w:hAnsi="Arial Narrow"/>
                <w:b/>
                <w:color w:val="FF0000"/>
                <w:sz w:val="20"/>
                <w:szCs w:val="20"/>
                <w:vertAlign w:val="superscript"/>
              </w:rPr>
              <w:t>5</w:t>
            </w:r>
            <w:r w:rsidRPr="00500FD8">
              <w:rPr>
                <w:rFonts w:ascii="Arial Narrow" w:hAnsi="Arial Narrow"/>
                <w:b/>
                <w:color w:val="FF0000"/>
                <w:sz w:val="20"/>
                <w:szCs w:val="20"/>
              </w:rPr>
              <w:t xml:space="preserve">. – </w:t>
            </w:r>
            <w:r w:rsidRPr="00500FD8">
              <w:rPr>
                <w:rFonts w:ascii="Arial Narrow" w:hAnsi="Arial Narrow"/>
                <w:color w:val="FF0000"/>
                <w:sz w:val="20"/>
                <w:szCs w:val="20"/>
                <w:lang w:eastAsia="da-DK"/>
              </w:rPr>
              <w:t>În situaţia în care, la nivelul lunii de transport, suma dezechilibrelor înregistrate de UR aflaţi în stare de dezechilibru cu titlul „Deficit” este mai mică decât suma dezechilibrelor înregistrate de UR aflaţi în stare de dezechilibru cu titlul „Excedent”, iar OTS nu a efectuat tranzacţii de vânzare în cursul lunii respective în scopul echilibrării fizice a SNT, preţurile aplicabile pentru vânzarea/cumpărarea cantităţilor de gaze naturale aflate în dezechilibru lunar la nivel de UR sunt cele determinate în conformitate cu prevederile art. 4</w:t>
            </w:r>
            <w:r w:rsidRPr="00500FD8">
              <w:rPr>
                <w:rFonts w:ascii="Arial Narrow" w:hAnsi="Arial Narrow"/>
                <w:color w:val="FF0000"/>
                <w:sz w:val="20"/>
                <w:szCs w:val="20"/>
                <w:vertAlign w:val="superscript"/>
                <w:lang w:eastAsia="da-DK"/>
              </w:rPr>
              <w:t>1</w:t>
            </w:r>
            <w:r w:rsidRPr="00500FD8">
              <w:rPr>
                <w:rFonts w:ascii="Arial Narrow" w:hAnsi="Arial Narrow"/>
                <w:color w:val="FF0000"/>
                <w:sz w:val="20"/>
                <w:szCs w:val="20"/>
                <w:lang w:eastAsia="da-DK"/>
              </w:rPr>
              <w:t>, pentru luna de transport respectivă.</w:t>
            </w:r>
          </w:p>
        </w:tc>
      </w:tr>
      <w:tr w:rsidR="001C5965" w:rsidRPr="00F8662A" w:rsidTr="00170D2F">
        <w:tc>
          <w:tcPr>
            <w:tcW w:w="4490" w:type="dxa"/>
            <w:tcBorders>
              <w:top w:val="single" w:sz="18" w:space="0" w:color="auto"/>
              <w:bottom w:val="single" w:sz="18" w:space="0" w:color="auto"/>
            </w:tcBorders>
          </w:tcPr>
          <w:p w:rsidR="001C5965" w:rsidRPr="00F8662A" w:rsidRDefault="001C5965" w:rsidP="00F41E1A">
            <w:pPr>
              <w:jc w:val="both"/>
              <w:rPr>
                <w:rFonts w:ascii="Arial Narrow" w:hAnsi="Arial Narrow"/>
                <w:sz w:val="20"/>
                <w:szCs w:val="20"/>
              </w:rPr>
            </w:pPr>
            <w:r w:rsidRPr="00C357CA">
              <w:rPr>
                <w:rFonts w:ascii="Arial Narrow" w:hAnsi="Arial Narrow"/>
                <w:b/>
                <w:sz w:val="20"/>
                <w:szCs w:val="20"/>
              </w:rPr>
              <w:t>Art. 5.</w:t>
            </w:r>
            <w:r w:rsidRPr="00C357CA">
              <w:rPr>
                <w:rFonts w:ascii="Arial Narrow" w:hAnsi="Arial Narrow"/>
                <w:sz w:val="20"/>
                <w:szCs w:val="20"/>
              </w:rPr>
              <w:t xml:space="preserve"> – Prin derogare de la prevederile art. 104 alin. (1) din Codul reţelei, până la data de 1 aprilie 2016</w:t>
            </w:r>
            <w:r>
              <w:rPr>
                <w:rFonts w:ascii="Arial Narrow" w:hAnsi="Arial Narrow"/>
                <w:sz w:val="20"/>
                <w:szCs w:val="20"/>
              </w:rPr>
              <w:t xml:space="preserve">, </w:t>
            </w:r>
            <w:r w:rsidRPr="00C357CA">
              <w:rPr>
                <w:rFonts w:ascii="Arial Narrow" w:hAnsi="Arial Narrow"/>
                <w:sz w:val="20"/>
                <w:szCs w:val="20"/>
              </w:rPr>
              <w:t>tariful de dezechilibru calculat în conformitate cu prevederile art. 4 se aplică de către OTS în vederea decontării financiare a dezechilibrelor lunare finale înregistrate de către fiecare UR după efectuarea FTG, indiferent de sensul dezechilibrelor înregistrate – excedent sau deficit – sau de bilanţul intrări-ieşiri lunare la nivelul SNT.</w:t>
            </w:r>
          </w:p>
        </w:tc>
        <w:tc>
          <w:tcPr>
            <w:tcW w:w="4526" w:type="dxa"/>
            <w:tcBorders>
              <w:top w:val="single" w:sz="18" w:space="0" w:color="auto"/>
              <w:bottom w:val="single" w:sz="18" w:space="0" w:color="auto"/>
            </w:tcBorders>
          </w:tcPr>
          <w:p w:rsidR="001C5965" w:rsidRPr="00C357CA" w:rsidRDefault="001C5965" w:rsidP="00F41E1A">
            <w:pPr>
              <w:jc w:val="both"/>
              <w:rPr>
                <w:rFonts w:ascii="Arial Narrow" w:hAnsi="Arial Narrow"/>
                <w:b/>
                <w:sz w:val="20"/>
                <w:szCs w:val="20"/>
              </w:rPr>
            </w:pPr>
            <w:r w:rsidRPr="00C357CA">
              <w:rPr>
                <w:rFonts w:ascii="Arial Narrow" w:hAnsi="Arial Narrow"/>
                <w:b/>
                <w:sz w:val="20"/>
                <w:szCs w:val="20"/>
              </w:rPr>
              <w:t>Art. 5.</w:t>
            </w:r>
            <w:r w:rsidRPr="00C357CA">
              <w:rPr>
                <w:rFonts w:ascii="Arial Narrow" w:hAnsi="Arial Narrow"/>
                <w:sz w:val="20"/>
                <w:szCs w:val="20"/>
              </w:rPr>
              <w:t xml:space="preserve"> – Prin derogare de la prevederile art. 104 alin. (1) din Codul reţelei, până la data de 1 </w:t>
            </w:r>
            <w:r w:rsidRPr="009E16E6">
              <w:rPr>
                <w:rFonts w:ascii="Arial Narrow" w:hAnsi="Arial Narrow"/>
                <w:strike/>
                <w:color w:val="FF0000"/>
                <w:sz w:val="20"/>
                <w:szCs w:val="20"/>
              </w:rPr>
              <w:t>aprilie</w:t>
            </w:r>
            <w:r w:rsidRPr="00C357CA">
              <w:rPr>
                <w:rFonts w:ascii="Arial Narrow" w:hAnsi="Arial Narrow"/>
                <w:sz w:val="20"/>
                <w:szCs w:val="20"/>
              </w:rPr>
              <w:t xml:space="preserve"> </w:t>
            </w:r>
            <w:r w:rsidRPr="009E16E6">
              <w:rPr>
                <w:rFonts w:ascii="Arial Narrow" w:hAnsi="Arial Narrow"/>
                <w:color w:val="FF0000"/>
                <w:sz w:val="20"/>
                <w:szCs w:val="20"/>
              </w:rPr>
              <w:t>iulie</w:t>
            </w:r>
            <w:r>
              <w:rPr>
                <w:rFonts w:ascii="Arial Narrow" w:hAnsi="Arial Narrow"/>
                <w:sz w:val="20"/>
                <w:szCs w:val="20"/>
              </w:rPr>
              <w:t xml:space="preserve"> </w:t>
            </w:r>
            <w:r w:rsidRPr="00C357CA">
              <w:rPr>
                <w:rFonts w:ascii="Arial Narrow" w:hAnsi="Arial Narrow"/>
                <w:sz w:val="20"/>
                <w:szCs w:val="20"/>
              </w:rPr>
              <w:t>2016</w:t>
            </w:r>
            <w:r>
              <w:rPr>
                <w:rFonts w:ascii="Arial Narrow" w:hAnsi="Arial Narrow"/>
                <w:sz w:val="20"/>
                <w:szCs w:val="20"/>
              </w:rPr>
              <w:t xml:space="preserve">, </w:t>
            </w:r>
            <w:r w:rsidRPr="00C357CA">
              <w:rPr>
                <w:rFonts w:ascii="Arial Narrow" w:hAnsi="Arial Narrow"/>
                <w:sz w:val="20"/>
                <w:szCs w:val="20"/>
              </w:rPr>
              <w:t>tariful de dezechilibru calculat în conformitate cu prevederile art. 4 se aplică de către OTS în vederea decontării financiare a dezechilibrelor lunare finale înregistrate de către fiecare UR după efectuarea FTG, indiferent de sensul dezechilibrelor înregistrate – excedent sau deficit – sau de bilanţul intrări-ieşiri lunare la nivelul SNT.</w:t>
            </w:r>
          </w:p>
        </w:tc>
      </w:tr>
      <w:tr w:rsidR="001C5965" w:rsidRPr="00820A73" w:rsidTr="00170D2F">
        <w:tc>
          <w:tcPr>
            <w:tcW w:w="4490" w:type="dxa"/>
            <w:tcBorders>
              <w:top w:val="single" w:sz="18" w:space="0" w:color="auto"/>
              <w:bottom w:val="single" w:sz="18" w:space="0" w:color="auto"/>
            </w:tcBorders>
          </w:tcPr>
          <w:p w:rsidR="001C5965" w:rsidRPr="00820A73" w:rsidRDefault="001C5965" w:rsidP="00F41E1A">
            <w:pPr>
              <w:jc w:val="both"/>
              <w:rPr>
                <w:rFonts w:ascii="Arial Narrow" w:hAnsi="Arial Narrow"/>
                <w:sz w:val="20"/>
                <w:szCs w:val="20"/>
              </w:rPr>
            </w:pPr>
            <w:r w:rsidRPr="00820A73">
              <w:rPr>
                <w:rFonts w:ascii="Arial Narrow" w:hAnsi="Arial Narrow"/>
                <w:b/>
                <w:sz w:val="20"/>
                <w:szCs w:val="20"/>
              </w:rPr>
              <w:t>Art. 6.</w:t>
            </w:r>
            <w:r w:rsidRPr="00820A73">
              <w:rPr>
                <w:rFonts w:ascii="Arial Narrow" w:hAnsi="Arial Narrow"/>
                <w:sz w:val="20"/>
                <w:szCs w:val="20"/>
              </w:rPr>
              <w:t xml:space="preserve"> – Prin derogare de la prevederile art. 105 alin. (1) lit. b) din Codul reţelei, până la data de 1 aprilie 2016, </w:t>
            </w:r>
            <w:r w:rsidRPr="00820A73">
              <w:rPr>
                <w:rFonts w:ascii="Arial Narrow" w:hAnsi="Arial Narrow"/>
                <w:sz w:val="20"/>
                <w:szCs w:val="20"/>
                <w:lang w:eastAsia="da-DK"/>
              </w:rPr>
              <w:t>OTS emite și transmite fiecărui UR, în condiţiile prevăzute la</w:t>
            </w:r>
            <w:r>
              <w:rPr>
                <w:rFonts w:ascii="Arial Narrow" w:hAnsi="Arial Narrow"/>
                <w:sz w:val="20"/>
                <w:szCs w:val="20"/>
                <w:lang w:eastAsia="da-DK"/>
              </w:rPr>
              <w:t xml:space="preserve"> </w:t>
            </w:r>
            <w:r w:rsidRPr="00820A73">
              <w:rPr>
                <w:rFonts w:ascii="Arial Narrow" w:hAnsi="Arial Narrow"/>
                <w:sz w:val="20"/>
                <w:szCs w:val="20"/>
                <w:lang w:eastAsia="da-DK"/>
              </w:rPr>
              <w:t>art. 5, o factură aferentă dezechilibrului lunar final înregistrat în luna precedentă, a cărui contravaloare a fost calculată în conformitate cu prevederile art. 4.</w:t>
            </w:r>
          </w:p>
        </w:tc>
        <w:tc>
          <w:tcPr>
            <w:tcW w:w="4526" w:type="dxa"/>
            <w:tcBorders>
              <w:top w:val="single" w:sz="18" w:space="0" w:color="auto"/>
              <w:bottom w:val="single" w:sz="18" w:space="0" w:color="auto"/>
            </w:tcBorders>
          </w:tcPr>
          <w:p w:rsidR="001C5965" w:rsidRPr="00820A73" w:rsidRDefault="001C5965" w:rsidP="00F41E1A">
            <w:pPr>
              <w:jc w:val="both"/>
              <w:rPr>
                <w:rFonts w:ascii="Arial Narrow" w:hAnsi="Arial Narrow"/>
                <w:b/>
                <w:sz w:val="20"/>
                <w:szCs w:val="20"/>
              </w:rPr>
            </w:pPr>
            <w:r w:rsidRPr="00820A73">
              <w:rPr>
                <w:rFonts w:ascii="Arial Narrow" w:hAnsi="Arial Narrow"/>
                <w:b/>
                <w:sz w:val="20"/>
                <w:szCs w:val="20"/>
              </w:rPr>
              <w:t>Art. 6.</w:t>
            </w:r>
            <w:r w:rsidRPr="00820A73">
              <w:rPr>
                <w:rFonts w:ascii="Arial Narrow" w:hAnsi="Arial Narrow"/>
                <w:sz w:val="20"/>
                <w:szCs w:val="20"/>
              </w:rPr>
              <w:t xml:space="preserve"> – Prin derogare de la prevederile art. 105 alin. (1) lit. b) din Codul reţelei, până la data de 1 </w:t>
            </w:r>
            <w:r w:rsidRPr="009E16E6">
              <w:rPr>
                <w:rFonts w:ascii="Arial Narrow" w:hAnsi="Arial Narrow"/>
                <w:strike/>
                <w:color w:val="FF0000"/>
                <w:sz w:val="20"/>
                <w:szCs w:val="20"/>
              </w:rPr>
              <w:t>aprilie</w:t>
            </w:r>
            <w:r w:rsidRPr="00820A73">
              <w:rPr>
                <w:rFonts w:ascii="Arial Narrow" w:hAnsi="Arial Narrow"/>
                <w:sz w:val="20"/>
                <w:szCs w:val="20"/>
              </w:rPr>
              <w:t xml:space="preserve"> </w:t>
            </w:r>
            <w:r w:rsidRPr="009E16E6">
              <w:rPr>
                <w:rFonts w:ascii="Arial Narrow" w:hAnsi="Arial Narrow"/>
                <w:color w:val="FF0000"/>
                <w:sz w:val="20"/>
                <w:szCs w:val="20"/>
              </w:rPr>
              <w:t>iulie</w:t>
            </w:r>
            <w:r>
              <w:rPr>
                <w:rFonts w:ascii="Arial Narrow" w:hAnsi="Arial Narrow"/>
                <w:sz w:val="20"/>
                <w:szCs w:val="20"/>
              </w:rPr>
              <w:t xml:space="preserve"> </w:t>
            </w:r>
            <w:r w:rsidRPr="00820A73">
              <w:rPr>
                <w:rFonts w:ascii="Arial Narrow" w:hAnsi="Arial Narrow"/>
                <w:sz w:val="20"/>
                <w:szCs w:val="20"/>
              </w:rPr>
              <w:t xml:space="preserve">2016, </w:t>
            </w:r>
            <w:r w:rsidRPr="00820A73">
              <w:rPr>
                <w:rFonts w:ascii="Arial Narrow" w:hAnsi="Arial Narrow"/>
                <w:sz w:val="20"/>
                <w:szCs w:val="20"/>
                <w:lang w:eastAsia="da-DK"/>
              </w:rPr>
              <w:t>OTS emite și transmite fiecărui UR, în condiţiile prevăzute la</w:t>
            </w:r>
            <w:r>
              <w:rPr>
                <w:rFonts w:ascii="Arial Narrow" w:hAnsi="Arial Narrow"/>
                <w:sz w:val="20"/>
                <w:szCs w:val="20"/>
                <w:lang w:eastAsia="da-DK"/>
              </w:rPr>
              <w:t xml:space="preserve"> </w:t>
            </w:r>
            <w:r w:rsidRPr="00820A73">
              <w:rPr>
                <w:rFonts w:ascii="Arial Narrow" w:hAnsi="Arial Narrow"/>
                <w:sz w:val="20"/>
                <w:szCs w:val="20"/>
                <w:lang w:eastAsia="da-DK"/>
              </w:rPr>
              <w:t xml:space="preserve">art. 5, o factură aferentă dezechilibrului lunar final înregistrat în luna precedentă, a </w:t>
            </w:r>
            <w:r w:rsidRPr="009E16E6">
              <w:rPr>
                <w:rFonts w:ascii="Arial Narrow" w:hAnsi="Arial Narrow"/>
                <w:color w:val="FF0000"/>
                <w:sz w:val="20"/>
                <w:szCs w:val="20"/>
                <w:lang w:eastAsia="da-DK"/>
              </w:rPr>
              <w:t>cărei</w:t>
            </w:r>
            <w:r w:rsidRPr="00820A73">
              <w:rPr>
                <w:rFonts w:ascii="Arial Narrow" w:hAnsi="Arial Narrow"/>
                <w:sz w:val="20"/>
                <w:szCs w:val="20"/>
                <w:lang w:eastAsia="da-DK"/>
              </w:rPr>
              <w:t xml:space="preserve"> contravaloare a fost calculată în conformitate cu prevederile art. 4.</w:t>
            </w:r>
          </w:p>
        </w:tc>
      </w:tr>
      <w:tr w:rsidR="001C5965" w:rsidRPr="00F8662A" w:rsidTr="00170D2F">
        <w:tc>
          <w:tcPr>
            <w:tcW w:w="4490" w:type="dxa"/>
            <w:tcBorders>
              <w:top w:val="single" w:sz="18" w:space="0" w:color="auto"/>
              <w:bottom w:val="single" w:sz="4" w:space="0" w:color="auto"/>
            </w:tcBorders>
          </w:tcPr>
          <w:p w:rsidR="001C5965" w:rsidRPr="004C45C3" w:rsidRDefault="001C5965" w:rsidP="00F41E1A">
            <w:pPr>
              <w:jc w:val="both"/>
              <w:rPr>
                <w:rFonts w:ascii="Arial Narrow" w:hAnsi="Arial Narrow"/>
                <w:sz w:val="20"/>
                <w:szCs w:val="20"/>
              </w:rPr>
            </w:pPr>
            <w:r w:rsidRPr="004C45C3">
              <w:rPr>
                <w:rFonts w:ascii="Arial Narrow" w:hAnsi="Arial Narrow"/>
                <w:b/>
                <w:sz w:val="20"/>
                <w:szCs w:val="20"/>
              </w:rPr>
              <w:t>Art. 8.</w:t>
            </w:r>
            <w:r w:rsidRPr="004C45C3">
              <w:rPr>
                <w:rFonts w:ascii="Arial Narrow" w:hAnsi="Arial Narrow"/>
                <w:sz w:val="20"/>
                <w:szCs w:val="20"/>
              </w:rPr>
              <w:t xml:space="preserve"> – </w:t>
            </w:r>
            <w:r w:rsidRPr="004C45C3">
              <w:rPr>
                <w:rFonts w:ascii="Arial Narrow" w:hAnsi="Arial Narrow"/>
                <w:bCs/>
                <w:sz w:val="20"/>
                <w:szCs w:val="20"/>
              </w:rPr>
              <w:t xml:space="preserve">Societatea Națională de Transport Gaze Naturale „Transgaz” – S.A. Mediaș şi utilizatorii </w:t>
            </w:r>
            <w:r>
              <w:rPr>
                <w:rFonts w:ascii="Arial Narrow" w:hAnsi="Arial Narrow"/>
                <w:bCs/>
                <w:sz w:val="20"/>
                <w:szCs w:val="20"/>
              </w:rPr>
              <w:t xml:space="preserve">SNT </w:t>
            </w:r>
            <w:r w:rsidRPr="004C45C3">
              <w:rPr>
                <w:rFonts w:ascii="Arial Narrow" w:hAnsi="Arial Narrow"/>
                <w:bCs/>
                <w:sz w:val="20"/>
                <w:szCs w:val="20"/>
              </w:rPr>
              <w:t xml:space="preserve">vor duce la îndeplinire prevederile prezentului ordin, iar compartimentele de resort din cadrul </w:t>
            </w:r>
            <w:r>
              <w:rPr>
                <w:rFonts w:ascii="Arial Narrow" w:hAnsi="Arial Narrow"/>
                <w:bCs/>
                <w:sz w:val="20"/>
                <w:szCs w:val="20"/>
              </w:rPr>
              <w:t>ANRE</w:t>
            </w:r>
            <w:r w:rsidRPr="004C45C3">
              <w:rPr>
                <w:rFonts w:ascii="Arial Narrow" w:hAnsi="Arial Narrow"/>
                <w:bCs/>
                <w:sz w:val="20"/>
                <w:szCs w:val="20"/>
              </w:rPr>
              <w:t xml:space="preserve"> vor urmări respectarea acestora.</w:t>
            </w:r>
          </w:p>
        </w:tc>
        <w:tc>
          <w:tcPr>
            <w:tcW w:w="4526" w:type="dxa"/>
            <w:tcBorders>
              <w:top w:val="single" w:sz="18" w:space="0" w:color="auto"/>
              <w:bottom w:val="single" w:sz="4" w:space="0" w:color="auto"/>
            </w:tcBorders>
          </w:tcPr>
          <w:p w:rsidR="001C5965" w:rsidRPr="00F8662A" w:rsidRDefault="001C5965" w:rsidP="00F41E1A">
            <w:pPr>
              <w:jc w:val="both"/>
              <w:rPr>
                <w:rFonts w:ascii="Arial Narrow" w:hAnsi="Arial Narrow"/>
                <w:b/>
                <w:sz w:val="20"/>
                <w:szCs w:val="20"/>
              </w:rPr>
            </w:pPr>
            <w:r w:rsidRPr="004C45C3">
              <w:rPr>
                <w:rFonts w:ascii="Arial Narrow" w:hAnsi="Arial Narrow"/>
                <w:b/>
                <w:sz w:val="20"/>
                <w:szCs w:val="20"/>
              </w:rPr>
              <w:t>Art. 8.</w:t>
            </w:r>
            <w:r w:rsidRPr="004C45C3">
              <w:rPr>
                <w:rFonts w:ascii="Arial Narrow" w:hAnsi="Arial Narrow"/>
                <w:sz w:val="20"/>
                <w:szCs w:val="20"/>
              </w:rPr>
              <w:t xml:space="preserve"> – </w:t>
            </w:r>
            <w:r w:rsidRPr="004C45C3">
              <w:rPr>
                <w:rFonts w:ascii="Arial Narrow" w:hAnsi="Arial Narrow"/>
                <w:bCs/>
                <w:sz w:val="20"/>
                <w:szCs w:val="20"/>
              </w:rPr>
              <w:t>Societatea Națională de Transport Gaze Naturale „Transgaz” – S.A. Mediaș</w:t>
            </w:r>
            <w:r>
              <w:rPr>
                <w:rFonts w:ascii="Arial Narrow" w:hAnsi="Arial Narrow"/>
                <w:bCs/>
                <w:sz w:val="20"/>
                <w:szCs w:val="20"/>
              </w:rPr>
              <w:t>,</w:t>
            </w:r>
            <w:r w:rsidRPr="004C45C3">
              <w:rPr>
                <w:rFonts w:ascii="Arial Narrow" w:hAnsi="Arial Narrow"/>
                <w:bCs/>
                <w:sz w:val="20"/>
                <w:szCs w:val="20"/>
              </w:rPr>
              <w:t xml:space="preserve"> </w:t>
            </w:r>
            <w:r w:rsidRPr="009E16E6">
              <w:rPr>
                <w:rFonts w:ascii="Arial Narrow" w:hAnsi="Arial Narrow"/>
                <w:bCs/>
                <w:strike/>
                <w:color w:val="FF0000"/>
                <w:sz w:val="20"/>
                <w:szCs w:val="20"/>
              </w:rPr>
              <w:t>şi utilizatorii SNT</w:t>
            </w:r>
            <w:r>
              <w:rPr>
                <w:rFonts w:ascii="Arial Narrow" w:hAnsi="Arial Narrow"/>
                <w:bCs/>
                <w:sz w:val="20"/>
                <w:szCs w:val="20"/>
              </w:rPr>
              <w:t xml:space="preserve"> </w:t>
            </w:r>
            <w:r w:rsidRPr="009E16E6">
              <w:rPr>
                <w:rFonts w:ascii="Arial Narrow" w:hAnsi="Arial Narrow"/>
                <w:bCs/>
                <w:color w:val="FF0000"/>
                <w:sz w:val="20"/>
                <w:szCs w:val="20"/>
              </w:rPr>
              <w:t>UR, operatorii sistemelor adiacente şi titularii licenţei de furnizare a gazelor</w:t>
            </w:r>
            <w:r>
              <w:rPr>
                <w:rFonts w:ascii="Arial Narrow" w:hAnsi="Arial Narrow"/>
                <w:bCs/>
                <w:sz w:val="20"/>
                <w:szCs w:val="20"/>
              </w:rPr>
              <w:t xml:space="preserve"> </w:t>
            </w:r>
            <w:r w:rsidRPr="009E16E6">
              <w:rPr>
                <w:rFonts w:ascii="Arial Narrow" w:hAnsi="Arial Narrow"/>
                <w:bCs/>
                <w:color w:val="FF0000"/>
                <w:sz w:val="20"/>
                <w:szCs w:val="20"/>
              </w:rPr>
              <w:t>naturale</w:t>
            </w:r>
            <w:r>
              <w:rPr>
                <w:rFonts w:ascii="Arial Narrow" w:hAnsi="Arial Narrow"/>
                <w:bCs/>
                <w:sz w:val="20"/>
                <w:szCs w:val="20"/>
              </w:rPr>
              <w:t xml:space="preserve"> </w:t>
            </w:r>
            <w:r w:rsidRPr="004C45C3">
              <w:rPr>
                <w:rFonts w:ascii="Arial Narrow" w:hAnsi="Arial Narrow"/>
                <w:bCs/>
                <w:sz w:val="20"/>
                <w:szCs w:val="20"/>
              </w:rPr>
              <w:t xml:space="preserve">vor duce la îndeplinire prevederile prezentului ordin, iar compartimentele de resort din cadrul </w:t>
            </w:r>
            <w:r>
              <w:rPr>
                <w:rFonts w:ascii="Arial Narrow" w:hAnsi="Arial Narrow"/>
                <w:bCs/>
                <w:sz w:val="20"/>
                <w:szCs w:val="20"/>
              </w:rPr>
              <w:t>ANRE</w:t>
            </w:r>
            <w:r w:rsidRPr="004C45C3">
              <w:rPr>
                <w:rFonts w:ascii="Arial Narrow" w:hAnsi="Arial Narrow"/>
                <w:bCs/>
                <w:sz w:val="20"/>
                <w:szCs w:val="20"/>
              </w:rPr>
              <w:t xml:space="preserve"> vor urmări respectarea acestora.</w:t>
            </w:r>
          </w:p>
        </w:tc>
      </w:tr>
    </w:tbl>
    <w:p w:rsidR="006F2845" w:rsidRDefault="006F2845" w:rsidP="00170D2F"/>
    <w:sectPr w:rsidR="006F284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A41" w:rsidRDefault="006C2A41" w:rsidP="001C5965">
      <w:pPr>
        <w:spacing w:after="0" w:line="240" w:lineRule="auto"/>
      </w:pPr>
      <w:r>
        <w:separator/>
      </w:r>
    </w:p>
  </w:endnote>
  <w:endnote w:type="continuationSeparator" w:id="0">
    <w:p w:rsidR="006C2A41" w:rsidRDefault="006C2A41" w:rsidP="001C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522606"/>
      <w:docPartObj>
        <w:docPartGallery w:val="Page Numbers (Bottom of Page)"/>
        <w:docPartUnique/>
      </w:docPartObj>
    </w:sdtPr>
    <w:sdtEndPr/>
    <w:sdtContent>
      <w:sdt>
        <w:sdtPr>
          <w:id w:val="-1769616900"/>
          <w:docPartObj>
            <w:docPartGallery w:val="Page Numbers (Top of Page)"/>
            <w:docPartUnique/>
          </w:docPartObj>
        </w:sdtPr>
        <w:sdtEndPr/>
        <w:sdtContent>
          <w:p w:rsidR="001C5965" w:rsidRDefault="001C5965">
            <w:pPr>
              <w:pStyle w:val="Footer"/>
              <w:jc w:val="right"/>
            </w:pPr>
            <w:r>
              <w:t xml:space="preserve">Pag. </w:t>
            </w:r>
            <w:r w:rsidRPr="001C5965">
              <w:rPr>
                <w:bCs/>
                <w:sz w:val="24"/>
                <w:szCs w:val="24"/>
              </w:rPr>
              <w:fldChar w:fldCharType="begin"/>
            </w:r>
            <w:r w:rsidRPr="001C5965">
              <w:rPr>
                <w:bCs/>
              </w:rPr>
              <w:instrText xml:space="preserve"> PAGE </w:instrText>
            </w:r>
            <w:r w:rsidRPr="001C5965">
              <w:rPr>
                <w:bCs/>
                <w:sz w:val="24"/>
                <w:szCs w:val="24"/>
              </w:rPr>
              <w:fldChar w:fldCharType="separate"/>
            </w:r>
            <w:r w:rsidR="00170D2F">
              <w:rPr>
                <w:bCs/>
                <w:noProof/>
              </w:rPr>
              <w:t>2</w:t>
            </w:r>
            <w:r w:rsidRPr="001C5965">
              <w:rPr>
                <w:bCs/>
                <w:sz w:val="24"/>
                <w:szCs w:val="24"/>
              </w:rPr>
              <w:fldChar w:fldCharType="end"/>
            </w:r>
            <w:r w:rsidRPr="001C5965">
              <w:t>/</w:t>
            </w:r>
            <w:r w:rsidRPr="001C5965">
              <w:rPr>
                <w:bCs/>
                <w:sz w:val="24"/>
                <w:szCs w:val="24"/>
              </w:rPr>
              <w:fldChar w:fldCharType="begin"/>
            </w:r>
            <w:r w:rsidRPr="001C5965">
              <w:rPr>
                <w:bCs/>
              </w:rPr>
              <w:instrText xml:space="preserve"> NUMPAGES  </w:instrText>
            </w:r>
            <w:r w:rsidRPr="001C5965">
              <w:rPr>
                <w:bCs/>
                <w:sz w:val="24"/>
                <w:szCs w:val="24"/>
              </w:rPr>
              <w:fldChar w:fldCharType="separate"/>
            </w:r>
            <w:r w:rsidR="00170D2F">
              <w:rPr>
                <w:bCs/>
                <w:noProof/>
              </w:rPr>
              <w:t>5</w:t>
            </w:r>
            <w:r w:rsidRPr="001C5965">
              <w:rPr>
                <w:bCs/>
                <w:sz w:val="24"/>
                <w:szCs w:val="24"/>
              </w:rPr>
              <w:fldChar w:fldCharType="end"/>
            </w:r>
          </w:p>
        </w:sdtContent>
      </w:sdt>
    </w:sdtContent>
  </w:sdt>
  <w:p w:rsidR="001C5965" w:rsidRDefault="001C59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A41" w:rsidRDefault="006C2A41" w:rsidP="001C5965">
      <w:pPr>
        <w:spacing w:after="0" w:line="240" w:lineRule="auto"/>
      </w:pPr>
      <w:r>
        <w:separator/>
      </w:r>
    </w:p>
  </w:footnote>
  <w:footnote w:type="continuationSeparator" w:id="0">
    <w:p w:rsidR="006C2A41" w:rsidRDefault="006C2A41" w:rsidP="001C59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65"/>
    <w:rsid w:val="00170D2F"/>
    <w:rsid w:val="001C5965"/>
    <w:rsid w:val="0026370D"/>
    <w:rsid w:val="006C2A41"/>
    <w:rsid w:val="006F2845"/>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24FF6-90E8-473E-8D8D-C3DE9366D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96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5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5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965"/>
    <w:rPr>
      <w:lang w:val="ro-RO"/>
    </w:rPr>
  </w:style>
  <w:style w:type="paragraph" w:styleId="Footer">
    <w:name w:val="footer"/>
    <w:basedOn w:val="Normal"/>
    <w:link w:val="FooterChar"/>
    <w:uiPriority w:val="99"/>
    <w:unhideWhenUsed/>
    <w:rsid w:val="001C5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965"/>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2897</Words>
  <Characters>16515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19374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2</cp:revision>
  <dcterms:created xsi:type="dcterms:W3CDTF">2016-03-10T12:07:00Z</dcterms:created>
  <dcterms:modified xsi:type="dcterms:W3CDTF">2016-03-10T13:36:00Z</dcterms:modified>
</cp:coreProperties>
</file>