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810A3" w:rsidRDefault="004810A3" w:rsidP="004810A3">
      <w:pPr>
        <w:spacing w:line="360" w:lineRule="auto"/>
        <w:jc w:val="center"/>
        <w:rPr>
          <w:b/>
          <w:bCs/>
          <w:lang w:val="nl-NL"/>
        </w:rPr>
      </w:pPr>
    </w:p>
    <w:p w:rsidR="004810A3" w:rsidRPr="000E0043" w:rsidRDefault="004810A3" w:rsidP="004810A3">
      <w:pPr>
        <w:jc w:val="center"/>
        <w:rPr>
          <w:b/>
          <w:bCs/>
          <w:lang w:val="da-DK"/>
        </w:rPr>
      </w:pPr>
      <w:r w:rsidRPr="000E0043">
        <w:rPr>
          <w:b/>
          <w:bCs/>
          <w:lang w:val="da-DK"/>
        </w:rPr>
        <w:t xml:space="preserve">Ordin nr. </w:t>
      </w:r>
      <w:r>
        <w:rPr>
          <w:b/>
          <w:bCs/>
          <w:lang w:val="da-DK"/>
        </w:rPr>
        <w:t xml:space="preserve">  </w:t>
      </w:r>
      <w:r w:rsidRPr="000E0043">
        <w:rPr>
          <w:b/>
          <w:bCs/>
          <w:lang w:val="da-DK"/>
        </w:rPr>
        <w:t xml:space="preserve">din </w:t>
      </w:r>
    </w:p>
    <w:p w:rsidR="004810A3" w:rsidRPr="00870C22" w:rsidRDefault="004810A3" w:rsidP="004810A3">
      <w:pPr>
        <w:pStyle w:val="Title"/>
        <w:rPr>
          <w:rFonts w:ascii="Times New Roman" w:hAnsi="Times New Roman" w:cs="Times New Roman"/>
          <w:sz w:val="22"/>
          <w:szCs w:val="22"/>
          <w:lang w:val="ro-RO"/>
        </w:rPr>
      </w:pPr>
      <w:r w:rsidRPr="00870C22">
        <w:rPr>
          <w:rFonts w:ascii="Times New Roman" w:hAnsi="Times New Roman" w:cs="Times New Roman"/>
          <w:lang w:val="ro-RO"/>
        </w:rPr>
        <w:t xml:space="preserve">privind modificarea și completarea </w:t>
      </w:r>
      <w:r w:rsidRPr="00870C22">
        <w:rPr>
          <w:rFonts w:ascii="Times New Roman" w:hAnsi="Times New Roman" w:cs="Times New Roman"/>
          <w:sz w:val="22"/>
          <w:szCs w:val="22"/>
          <w:lang w:val="ro-RO"/>
        </w:rPr>
        <w:t xml:space="preserve"> </w:t>
      </w:r>
    </w:p>
    <w:p w:rsidR="004810A3" w:rsidRPr="00870C22" w:rsidRDefault="004810A3" w:rsidP="004810A3">
      <w:pPr>
        <w:pStyle w:val="BodyText3"/>
        <w:rPr>
          <w:sz w:val="24"/>
          <w:szCs w:val="24"/>
        </w:rPr>
      </w:pPr>
      <w:r w:rsidRPr="00870C22">
        <w:rPr>
          <w:caps w:val="0"/>
          <w:sz w:val="24"/>
          <w:szCs w:val="24"/>
        </w:rPr>
        <w:t>Procedurii de avizare a proiectelor noi sau de retehnologizare ale</w:t>
      </w:r>
    </w:p>
    <w:p w:rsidR="004810A3" w:rsidRPr="00870C22" w:rsidRDefault="004810A3" w:rsidP="004810A3">
      <w:pPr>
        <w:pStyle w:val="Title"/>
        <w:rPr>
          <w:rFonts w:ascii="Times New Roman" w:hAnsi="Times New Roman" w:cs="Times New Roman"/>
          <w:lang w:val="ro-RO"/>
        </w:rPr>
      </w:pPr>
      <w:r w:rsidRPr="00870C22">
        <w:rPr>
          <w:rFonts w:ascii="Times New Roman" w:hAnsi="Times New Roman" w:cs="Times New Roman"/>
          <w:lang w:val="nl-NL"/>
        </w:rPr>
        <w:t>centralelor de cogenerare</w:t>
      </w:r>
      <w:r w:rsidRPr="00870C22">
        <w:rPr>
          <w:rFonts w:ascii="Times New Roman" w:hAnsi="Times New Roman" w:cs="Times New Roman"/>
          <w:color w:val="FF0000"/>
          <w:lang w:val="nl-NL"/>
        </w:rPr>
        <w:t xml:space="preserve"> </w:t>
      </w:r>
      <w:r w:rsidRPr="00870C22">
        <w:rPr>
          <w:rFonts w:ascii="Times New Roman" w:hAnsi="Times New Roman" w:cs="Times New Roman"/>
          <w:lang w:val="nl-NL"/>
        </w:rPr>
        <w:t xml:space="preserve">aprobate prin Ordinul </w:t>
      </w:r>
      <w:r w:rsidR="00870C22" w:rsidRPr="00870C22">
        <w:rPr>
          <w:rFonts w:ascii="Times New Roman" w:hAnsi="Times New Roman" w:cs="Times New Roman"/>
          <w:lang w:val="nl-NL"/>
        </w:rPr>
        <w:t>pre</w:t>
      </w:r>
      <w:r w:rsidR="00870C22" w:rsidRPr="00870C22">
        <w:rPr>
          <w:rFonts w:ascii="Times New Roman" w:hAnsi="Times New Roman" w:cs="Times New Roman"/>
          <w:lang w:val="ro-RO"/>
        </w:rPr>
        <w:t xml:space="preserve">ședintelui </w:t>
      </w:r>
      <w:r w:rsidRPr="00870C22">
        <w:rPr>
          <w:rFonts w:ascii="Times New Roman" w:hAnsi="Times New Roman" w:cs="Times New Roman"/>
          <w:lang w:val="nl-NL"/>
        </w:rPr>
        <w:t>A</w:t>
      </w:r>
      <w:r w:rsidR="00870C22" w:rsidRPr="00870C22">
        <w:rPr>
          <w:rFonts w:ascii="Times New Roman" w:hAnsi="Times New Roman" w:cs="Times New Roman"/>
          <w:lang w:val="nl-NL"/>
        </w:rPr>
        <w:t xml:space="preserve">utorității </w:t>
      </w:r>
      <w:r w:rsidRPr="00870C22">
        <w:rPr>
          <w:rFonts w:ascii="Times New Roman" w:hAnsi="Times New Roman" w:cs="Times New Roman"/>
          <w:lang w:val="nl-NL"/>
        </w:rPr>
        <w:t>N</w:t>
      </w:r>
      <w:r w:rsidR="00870C22" w:rsidRPr="00870C22">
        <w:rPr>
          <w:rFonts w:ascii="Times New Roman" w:hAnsi="Times New Roman" w:cs="Times New Roman"/>
          <w:lang w:val="nl-NL"/>
        </w:rPr>
        <w:t xml:space="preserve">aționale de Reglementare în Domeniul Energiei </w:t>
      </w:r>
      <w:r w:rsidRPr="00870C22">
        <w:rPr>
          <w:rFonts w:ascii="Times New Roman" w:hAnsi="Times New Roman" w:cs="Times New Roman"/>
          <w:lang w:val="nl-NL"/>
        </w:rPr>
        <w:t>nr.115/2013</w:t>
      </w:r>
    </w:p>
    <w:p w:rsidR="004810A3" w:rsidRDefault="004810A3" w:rsidP="004810A3">
      <w:pPr>
        <w:ind w:right="72"/>
        <w:rPr>
          <w:b/>
          <w:bCs/>
          <w:color w:val="000000"/>
        </w:rPr>
      </w:pPr>
    </w:p>
    <w:p w:rsidR="004810A3" w:rsidRPr="00F011A6" w:rsidRDefault="004810A3" w:rsidP="004810A3">
      <w:pPr>
        <w:ind w:right="72"/>
        <w:rPr>
          <w:b/>
          <w:bCs/>
          <w:color w:val="000000"/>
        </w:rPr>
      </w:pPr>
    </w:p>
    <w:p w:rsidR="004810A3" w:rsidRPr="00D60C13" w:rsidRDefault="004810A3" w:rsidP="004810A3">
      <w:pPr>
        <w:ind w:firstLine="720"/>
      </w:pPr>
      <w:r>
        <w:t xml:space="preserve"> </w:t>
      </w:r>
      <w:r w:rsidRPr="005F7205">
        <w:t>Având în vedere</w:t>
      </w:r>
      <w:r w:rsidRPr="009C485E">
        <w:t xml:space="preserve"> prevederile </w:t>
      </w:r>
      <w:r w:rsidRPr="00D60C13">
        <w:t>art.</w:t>
      </w:r>
      <w:r>
        <w:t xml:space="preserve"> </w:t>
      </w:r>
      <w:r w:rsidRPr="00D60C13">
        <w:t>7</w:t>
      </w:r>
      <w:r>
        <w:t xml:space="preserve">2 alin. (2) din </w:t>
      </w:r>
      <w:r w:rsidRPr="000F23B4">
        <w:t>Legea energiei</w:t>
      </w:r>
      <w:r>
        <w:t xml:space="preserve"> </w:t>
      </w:r>
      <w:r w:rsidRPr="000F23B4">
        <w:t xml:space="preserve">electrice </w:t>
      </w:r>
      <w:r>
        <w:t>şi gazelor naturale nr.123/2012</w:t>
      </w:r>
      <w:r w:rsidRPr="00D60C13">
        <w:t>, prevederile a</w:t>
      </w:r>
      <w:r w:rsidRPr="00D60C13">
        <w:rPr>
          <w:color w:val="000000"/>
        </w:rPr>
        <w:t xml:space="preserve">rt. </w:t>
      </w:r>
      <w:r>
        <w:rPr>
          <w:color w:val="000000"/>
        </w:rPr>
        <w:t>6</w:t>
      </w:r>
      <w:r w:rsidRPr="00D60C13">
        <w:rPr>
          <w:color w:val="000000"/>
        </w:rPr>
        <w:t xml:space="preserve"> </w:t>
      </w:r>
      <w:r>
        <w:rPr>
          <w:color w:val="000000"/>
        </w:rPr>
        <w:t>lit</w:t>
      </w:r>
      <w:r w:rsidRPr="00D60C13">
        <w:rPr>
          <w:color w:val="000000"/>
        </w:rPr>
        <w:t xml:space="preserve">. </w:t>
      </w:r>
      <w:r>
        <w:rPr>
          <w:color w:val="000000"/>
        </w:rPr>
        <w:t xml:space="preserve">a) din </w:t>
      </w:r>
      <w:r w:rsidRPr="00F86932">
        <w:t>Hotărârea Guvernului nr. 1215/2009 privind stabilirea criteriilor şi a condiţiilor necesare implementării schemei de sprijin pentru promovarea cogenerării de înaltă eficienţă pe baza cererii de energie termică utilă</w:t>
      </w:r>
      <w:r>
        <w:t xml:space="preserve">, </w:t>
      </w:r>
      <w:r w:rsidR="00D31A64">
        <w:t xml:space="preserve">cu modificările ulterioare </w:t>
      </w:r>
      <w:r>
        <w:t>precum şi prevederile</w:t>
      </w:r>
      <w:r w:rsidRPr="00753ABB">
        <w:t xml:space="preserve"> </w:t>
      </w:r>
      <w:r>
        <w:t>Hotărârii</w:t>
      </w:r>
      <w:r w:rsidRPr="00F86932">
        <w:t xml:space="preserve"> Guvernului nr. 219/2007 privind promovarea cogenerării bazate pe cererea de energie termică utilă</w:t>
      </w:r>
      <w:r>
        <w:t>,</w:t>
      </w:r>
    </w:p>
    <w:p w:rsidR="004810A3" w:rsidRPr="00343C27" w:rsidRDefault="004810A3" w:rsidP="004810A3">
      <w:pPr>
        <w:ind w:firstLine="720"/>
      </w:pPr>
      <w:r>
        <w:t>î</w:t>
      </w:r>
      <w:r w:rsidRPr="000652B2">
        <w:t xml:space="preserve">n temeiul dispoziţiilor </w:t>
      </w:r>
      <w:r w:rsidR="000702B6" w:rsidRPr="009C485E">
        <w:t xml:space="preserve">art. </w:t>
      </w:r>
      <w:r w:rsidR="000702B6">
        <w:t>5</w:t>
      </w:r>
      <w:r w:rsidR="000702B6" w:rsidRPr="009C485E">
        <w:t xml:space="preserve"> alin. (1)</w:t>
      </w:r>
      <w:r w:rsidR="000702B6">
        <w:t xml:space="preserve"> lit.c) și ale </w:t>
      </w:r>
      <w:r>
        <w:t xml:space="preserve">art. 9 </w:t>
      </w:r>
      <w:r w:rsidRPr="000652B2">
        <w:t>ali</w:t>
      </w:r>
      <w:r>
        <w:t>n. (1</w:t>
      </w:r>
      <w:r w:rsidRPr="000652B2">
        <w:t>)</w:t>
      </w:r>
      <w:r>
        <w:t xml:space="preserve"> lit. x) din</w:t>
      </w:r>
      <w:r w:rsidRPr="000652B2">
        <w:t xml:space="preserve"> </w:t>
      </w:r>
      <w:r>
        <w:t>Ordonanţa de urgenţă a Guvernului nr. 33/2007</w:t>
      </w:r>
      <w:r w:rsidR="000702B6" w:rsidRPr="000702B6">
        <w:rPr>
          <w:rFonts w:eastAsia="Batang"/>
          <w:lang w:eastAsia="ko-KR"/>
        </w:rPr>
        <w:t xml:space="preserve"> </w:t>
      </w:r>
      <w:r w:rsidR="000702B6" w:rsidRPr="000652B2">
        <w:rPr>
          <w:rFonts w:eastAsia="Batang"/>
          <w:lang w:eastAsia="ko-KR"/>
        </w:rPr>
        <w:t xml:space="preserve">privind </w:t>
      </w:r>
      <w:r w:rsidR="000702B6">
        <w:rPr>
          <w:rFonts w:eastAsia="Batang"/>
          <w:lang w:eastAsia="ko-KR"/>
        </w:rPr>
        <w:t xml:space="preserve">organizarea şi funcţionarea Autorităţii Naţionale de Reglementare în Domeniul Energiei, aprobată cu modificări şi completări prin </w:t>
      </w:r>
      <w:r w:rsidR="000702B6">
        <w:t>Legea nr. 160/2012</w:t>
      </w:r>
      <w:r>
        <w:t>,</w:t>
      </w:r>
    </w:p>
    <w:p w:rsidR="004810A3" w:rsidRDefault="004810A3" w:rsidP="004810A3">
      <w:pPr>
        <w:spacing w:after="120"/>
        <w:rPr>
          <w:b/>
          <w:bCs/>
        </w:rPr>
      </w:pPr>
    </w:p>
    <w:p w:rsidR="004810A3" w:rsidRPr="00DA29C9" w:rsidRDefault="004810A3" w:rsidP="004810A3">
      <w:pPr>
        <w:spacing w:after="120"/>
        <w:rPr>
          <w:b/>
          <w:bCs/>
        </w:rPr>
      </w:pPr>
      <w:r w:rsidRPr="00DA29C9">
        <w:rPr>
          <w:b/>
          <w:bCs/>
        </w:rPr>
        <w:t>preşedintele Autorităţii Naţionale de Reglementare în Domeniul Energiei emite următorul ordin:</w:t>
      </w:r>
    </w:p>
    <w:p w:rsidR="004810A3" w:rsidRPr="00234C9B" w:rsidRDefault="004810A3" w:rsidP="004810A3">
      <w:pPr>
        <w:jc w:val="center"/>
        <w:rPr>
          <w:b/>
          <w:bCs/>
        </w:rPr>
      </w:pPr>
    </w:p>
    <w:p w:rsidR="004810A3" w:rsidRDefault="00D00F32" w:rsidP="00D00F32">
      <w:pPr>
        <w:spacing w:before="120"/>
        <w:rPr>
          <w:color w:val="000000"/>
        </w:rPr>
      </w:pPr>
      <w:r w:rsidRPr="00D00F32">
        <w:rPr>
          <w:b/>
        </w:rPr>
        <w:t>Art. I</w:t>
      </w:r>
      <w:r>
        <w:t xml:space="preserve">  - </w:t>
      </w:r>
      <w:r w:rsidR="004810A3">
        <w:rPr>
          <w:color w:val="000000"/>
        </w:rPr>
        <w:t xml:space="preserve">Procedura de avizare a proiectelor noi sau de retehnologizare ale centralelor de cogenerare, </w:t>
      </w:r>
      <w:r>
        <w:rPr>
          <w:color w:val="000000"/>
        </w:rPr>
        <w:t xml:space="preserve">aprobată prin Ordinul președintelui </w:t>
      </w:r>
      <w:r w:rsidR="000702B6">
        <w:rPr>
          <w:rFonts w:eastAsia="Batang"/>
          <w:lang w:eastAsia="ko-KR"/>
        </w:rPr>
        <w:t>Autorităţii Naţionale de Reglementare în Domeniul Energiei</w:t>
      </w:r>
      <w:r>
        <w:rPr>
          <w:color w:val="000000"/>
        </w:rPr>
        <w:t xml:space="preserve"> nr.115/2013, publicat în Monitorul Oficial al României, Partea I, nr. 16</w:t>
      </w:r>
      <w:r w:rsidR="00851515">
        <w:rPr>
          <w:color w:val="000000"/>
        </w:rPr>
        <w:t xml:space="preserve"> din 10 ianuarie </w:t>
      </w:r>
      <w:r>
        <w:rPr>
          <w:color w:val="000000"/>
        </w:rPr>
        <w:t>2014, se modifică și se completează după cum urmează:</w:t>
      </w:r>
    </w:p>
    <w:p w:rsidR="004D2B8C" w:rsidRDefault="004D2B8C" w:rsidP="00D00F32">
      <w:pPr>
        <w:spacing w:before="120"/>
        <w:rPr>
          <w:color w:val="000000"/>
        </w:rPr>
      </w:pPr>
    </w:p>
    <w:p w:rsidR="004D2B8C" w:rsidRDefault="004D2B8C" w:rsidP="004D2B8C">
      <w:pPr>
        <w:pStyle w:val="ListParagraph"/>
        <w:numPr>
          <w:ilvl w:val="0"/>
          <w:numId w:val="2"/>
        </w:numPr>
        <w:spacing w:before="120"/>
      </w:pPr>
      <w:r>
        <w:t xml:space="preserve">La articolul 3  alineatul (2) litera f)  </w:t>
      </w:r>
      <w:r w:rsidRPr="003D6FE9">
        <w:t>se</w:t>
      </w:r>
      <w:r>
        <w:t xml:space="preserve"> modifică și va avea următorul cuprins:</w:t>
      </w:r>
    </w:p>
    <w:p w:rsidR="004D2B8C" w:rsidRDefault="009B59D4" w:rsidP="004D2B8C">
      <w:pPr>
        <w:spacing w:before="120"/>
      </w:pPr>
      <w:r w:rsidRPr="003D6FE9">
        <w:rPr>
          <w:lang w:eastAsia="zh-CN"/>
        </w:rPr>
        <w:t>„</w:t>
      </w:r>
      <w:r>
        <w:rPr>
          <w:lang w:eastAsia="zh-CN"/>
        </w:rPr>
        <w:t xml:space="preserve"> </w:t>
      </w:r>
      <w:r w:rsidR="004D2B8C" w:rsidRPr="004D2B8C">
        <w:rPr>
          <w:color w:val="000000"/>
        </w:rPr>
        <w:t>f)</w:t>
      </w:r>
      <w:r w:rsidR="004D2B8C" w:rsidRPr="004D2B8C">
        <w:rPr>
          <w:color w:val="000000"/>
        </w:rPr>
        <w:tab/>
      </w:r>
      <w:r w:rsidR="004D2B8C" w:rsidRPr="009B59D4">
        <w:rPr>
          <w:i/>
          <w:color w:val="000000"/>
        </w:rPr>
        <w:t>proiect de centralǎ/unitate de cogenerare nou(ă)</w:t>
      </w:r>
      <w:r w:rsidR="004D2B8C" w:rsidRPr="004D2B8C">
        <w:rPr>
          <w:color w:val="000000"/>
        </w:rPr>
        <w:t xml:space="preserve"> – proiect investiţional pentru realizarea/ instalarea, într-o centralǎ nouǎ sau existentǎ, a uneia sau mai multor unitǎţi noi de cogenerare, ale căror echipamente principale nu au mai produs energie electrică şi/sau termică în România sau într-o altă </w:t>
      </w:r>
      <w:r w:rsidR="004D2B8C" w:rsidRPr="009B59D4">
        <w:rPr>
          <w:color w:val="000000"/>
        </w:rPr>
        <w:t>ţară și nu sunt ieșite din garanție;</w:t>
      </w:r>
      <w:r w:rsidR="004D2B8C" w:rsidRPr="004D2B8C">
        <w:rPr>
          <w:color w:val="000000"/>
        </w:rPr>
        <w:t xml:space="preserve"> </w:t>
      </w:r>
      <w:r w:rsidRPr="003D6FE9">
        <w:t>”</w:t>
      </w:r>
    </w:p>
    <w:p w:rsidR="009B59D4" w:rsidRDefault="009B59D4" w:rsidP="004D2B8C">
      <w:pPr>
        <w:spacing w:before="120"/>
        <w:rPr>
          <w:color w:val="000000"/>
        </w:rPr>
      </w:pPr>
    </w:p>
    <w:p w:rsidR="004D2B8C" w:rsidRDefault="004D2B8C" w:rsidP="004D2B8C">
      <w:pPr>
        <w:pStyle w:val="ListParagraph"/>
        <w:numPr>
          <w:ilvl w:val="0"/>
          <w:numId w:val="2"/>
        </w:numPr>
        <w:spacing w:before="120"/>
      </w:pPr>
      <w:r>
        <w:t xml:space="preserve">La articolul 3  alineatul (2) litera g)  </w:t>
      </w:r>
      <w:r w:rsidRPr="003D6FE9">
        <w:t>se</w:t>
      </w:r>
      <w:r>
        <w:t xml:space="preserve"> modifică și va avea următorul cuprins:</w:t>
      </w:r>
    </w:p>
    <w:p w:rsidR="004D2B8C" w:rsidRDefault="009B59D4" w:rsidP="004D2B8C">
      <w:pPr>
        <w:spacing w:before="120"/>
      </w:pPr>
      <w:r w:rsidRPr="003D6FE9">
        <w:rPr>
          <w:lang w:eastAsia="zh-CN"/>
        </w:rPr>
        <w:t>„</w:t>
      </w:r>
      <w:r>
        <w:rPr>
          <w:lang w:eastAsia="zh-CN"/>
        </w:rPr>
        <w:t xml:space="preserve"> </w:t>
      </w:r>
      <w:r>
        <w:rPr>
          <w:lang w:eastAsia="zh-CN"/>
        </w:rPr>
        <w:t xml:space="preserve"> </w:t>
      </w:r>
      <w:r w:rsidR="004D2B8C" w:rsidRPr="004D2B8C">
        <w:rPr>
          <w:color w:val="000000"/>
        </w:rPr>
        <w:t>g)</w:t>
      </w:r>
      <w:r w:rsidR="004D2B8C" w:rsidRPr="004D2B8C">
        <w:rPr>
          <w:color w:val="000000"/>
        </w:rPr>
        <w:tab/>
      </w:r>
      <w:r w:rsidR="004D2B8C" w:rsidRPr="009B59D4">
        <w:rPr>
          <w:i/>
          <w:color w:val="000000"/>
        </w:rPr>
        <w:t>proiect de retehnologizare a unei centrale/unităţi de cogenerare</w:t>
      </w:r>
      <w:r w:rsidR="004D2B8C" w:rsidRPr="004D2B8C">
        <w:rPr>
          <w:color w:val="000000"/>
        </w:rPr>
        <w:t xml:space="preserve"> – proiect investiţional prin care se aduc schimbări majore unei centrale/configuraţii de producţie în cogenerare existente, prin suplimentarea sau înlocuirea unor echipamente principale ale unităţilor de cogenerare din centrală/configuraţie, precum turbine, cazane, motoare termice etc., cu echipamente care nu au mai produs energie electrică şi/sau termică în România sau într-o altă </w:t>
      </w:r>
      <w:r w:rsidR="004D2B8C" w:rsidRPr="009B59D4">
        <w:rPr>
          <w:color w:val="000000"/>
        </w:rPr>
        <w:t>ţară și nu sunt ieșite din garanție, pentru</w:t>
      </w:r>
      <w:r w:rsidR="004D2B8C" w:rsidRPr="004D2B8C">
        <w:rPr>
          <w:color w:val="000000"/>
        </w:rPr>
        <w:t xml:space="preserve"> care costul de investiţie pentru retehnologizare depăşeşte 50% din costul de investiţie pentru o centrală/unitate de cogenerare nouă echivalentă, având drept rezultat modificarea capacităţii electrice a  respectivei configuraţii;</w:t>
      </w:r>
      <w:r w:rsidRPr="009B59D4">
        <w:t xml:space="preserve"> </w:t>
      </w:r>
      <w:r w:rsidRPr="003D6FE9">
        <w:t>”</w:t>
      </w:r>
    </w:p>
    <w:p w:rsidR="009B59D4" w:rsidRDefault="009B59D4" w:rsidP="004D2B8C">
      <w:pPr>
        <w:spacing w:before="120"/>
        <w:rPr>
          <w:color w:val="000000"/>
        </w:rPr>
      </w:pPr>
    </w:p>
    <w:p w:rsidR="00561559" w:rsidRDefault="00561559" w:rsidP="004D2B8C">
      <w:pPr>
        <w:pStyle w:val="ListParagraph"/>
        <w:numPr>
          <w:ilvl w:val="0"/>
          <w:numId w:val="2"/>
        </w:numPr>
        <w:spacing w:before="120"/>
      </w:pPr>
      <w:r>
        <w:t xml:space="preserve">La articolul 4  alineatul (1) litera b)  </w:t>
      </w:r>
      <w:r w:rsidRPr="003D6FE9">
        <w:t>ii) se</w:t>
      </w:r>
      <w:r>
        <w:t xml:space="preserve"> modifică </w:t>
      </w:r>
      <w:r w:rsidR="000F7085">
        <w:t xml:space="preserve">și va </w:t>
      </w:r>
      <w:r>
        <w:t>avea următorul cuprins:</w:t>
      </w:r>
    </w:p>
    <w:p w:rsidR="00561559" w:rsidRDefault="00561559" w:rsidP="00D00F32">
      <w:pPr>
        <w:spacing w:before="120"/>
        <w:rPr>
          <w:color w:val="000000"/>
        </w:rPr>
      </w:pPr>
    </w:p>
    <w:p w:rsidR="00561559" w:rsidRPr="003D6FE9" w:rsidRDefault="00847A8C" w:rsidP="00561559">
      <w:pPr>
        <w:ind w:left="1276" w:hanging="283"/>
      </w:pPr>
      <w:r>
        <w:rPr>
          <w:lang w:val="en-US"/>
        </w:rPr>
        <w:lastRenderedPageBreak/>
        <w:t>“</w:t>
      </w:r>
      <w:r w:rsidR="00561559" w:rsidRPr="00BB129F">
        <w:t xml:space="preserve">ii) în anul curent, numai pentru situaţia prevǎzutǎ la art. 7 alin. </w:t>
      </w:r>
      <w:r w:rsidR="00561559">
        <w:t xml:space="preserve">(3), </w:t>
      </w:r>
      <w:r w:rsidR="00561559" w:rsidRPr="00BB129F">
        <w:t xml:space="preserve">caz în care se solicită un </w:t>
      </w:r>
      <w:r w:rsidR="00561559">
        <w:t>a</w:t>
      </w:r>
      <w:r w:rsidR="00561559" w:rsidRPr="00FC604F">
        <w:t>viz pentru acreditare finalǎ</w:t>
      </w:r>
      <w:r w:rsidR="00561559" w:rsidRPr="003D6FE9">
        <w:t>, ulterior obținerii autorizaţiei de înfiinţare de la ANRE ;</w:t>
      </w:r>
      <w:r w:rsidRPr="003D6FE9">
        <w:t>”</w:t>
      </w:r>
    </w:p>
    <w:p w:rsidR="00561559" w:rsidRPr="003D6FE9" w:rsidRDefault="00561559" w:rsidP="00D00F32">
      <w:pPr>
        <w:spacing w:before="120"/>
      </w:pPr>
    </w:p>
    <w:p w:rsidR="00002B1D" w:rsidRPr="003D6FE9" w:rsidRDefault="00002B1D" w:rsidP="004D2B8C">
      <w:pPr>
        <w:pStyle w:val="ListParagraph"/>
        <w:numPr>
          <w:ilvl w:val="0"/>
          <w:numId w:val="2"/>
        </w:numPr>
        <w:spacing w:before="120"/>
      </w:pPr>
      <w:r w:rsidRPr="003D6FE9">
        <w:t>La art</w:t>
      </w:r>
      <w:r w:rsidR="00851515" w:rsidRPr="003D6FE9">
        <w:t xml:space="preserve">icolul </w:t>
      </w:r>
      <w:r w:rsidRPr="003D6FE9">
        <w:t xml:space="preserve">7 </w:t>
      </w:r>
      <w:r w:rsidR="00851515" w:rsidRPr="003D6FE9">
        <w:t>se introduce un nou alinea</w:t>
      </w:r>
      <w:r w:rsidRPr="003D6FE9">
        <w:t>t</w:t>
      </w:r>
      <w:r w:rsidR="00851515" w:rsidRPr="003D6FE9">
        <w:t>, alineatul (</w:t>
      </w:r>
      <w:r w:rsidRPr="003D6FE9">
        <w:t>4</w:t>
      </w:r>
      <w:r w:rsidR="00851515" w:rsidRPr="003D6FE9">
        <w:t>)</w:t>
      </w:r>
      <w:r w:rsidRPr="003D6FE9">
        <w:t xml:space="preserve"> care va avea următorul c</w:t>
      </w:r>
      <w:r w:rsidR="00851515" w:rsidRPr="003D6FE9">
        <w:t>uprins</w:t>
      </w:r>
      <w:r w:rsidRPr="003D6FE9">
        <w:t>:</w:t>
      </w:r>
    </w:p>
    <w:p w:rsidR="00002B1D" w:rsidRPr="003D6FE9" w:rsidRDefault="00847A8C" w:rsidP="001E7373">
      <w:pPr>
        <w:spacing w:before="120"/>
      </w:pPr>
      <w:r w:rsidRPr="003D6FE9">
        <w:t xml:space="preserve">„ </w:t>
      </w:r>
      <w:r w:rsidR="00002B1D" w:rsidRPr="003D6FE9">
        <w:t>(4) În cazul unei solicitǎri de aviz pentru acreditare finalǎ pentru anul n+1, dacă solicitantul consideră că până la data de 10 noiembrie a anului "n”, documentatia transmisă nu</w:t>
      </w:r>
      <w:r w:rsidR="001E7373" w:rsidRPr="003D6FE9">
        <w:t xml:space="preserve"> va întruni</w:t>
      </w:r>
      <w:r w:rsidR="00002B1D" w:rsidRPr="003D6FE9">
        <w:t xml:space="preserve"> toate condițiile necesare acordării avizului de acreditare finală conform prezentei proceduri po</w:t>
      </w:r>
      <w:r w:rsidR="001E7373" w:rsidRPr="003D6FE9">
        <w:t>a</w:t>
      </w:r>
      <w:r w:rsidR="00002B1D" w:rsidRPr="003D6FE9">
        <w:t>t</w:t>
      </w:r>
      <w:r w:rsidR="001E7373" w:rsidRPr="003D6FE9">
        <w:t>e</w:t>
      </w:r>
      <w:r w:rsidR="00002B1D" w:rsidRPr="003D6FE9">
        <w:t xml:space="preserve"> solicita în scris ca documentaţia transmisă să fie considerată documentaţia prevazută la alin.(3) lit.a). Cererea trebuie transmisă către ANRE până la data de 10 noiembrie a anului "n"</w:t>
      </w:r>
      <w:r w:rsidR="000F7085" w:rsidRPr="003D6FE9">
        <w:t xml:space="preserve"> insoțită de declaratia privind punerea in functiune in anul n+1 a unitătilor de cogenerare.</w:t>
      </w:r>
      <w:r w:rsidRPr="003D6FE9">
        <w:t>”</w:t>
      </w:r>
    </w:p>
    <w:p w:rsidR="00BD329A" w:rsidRPr="003D6FE9" w:rsidRDefault="00BD329A" w:rsidP="001E7373">
      <w:pPr>
        <w:spacing w:before="120"/>
      </w:pPr>
    </w:p>
    <w:p w:rsidR="001E7373" w:rsidRPr="003D6FE9" w:rsidRDefault="001E7373" w:rsidP="004D2B8C">
      <w:pPr>
        <w:pStyle w:val="ListParagraph"/>
        <w:numPr>
          <w:ilvl w:val="0"/>
          <w:numId w:val="2"/>
        </w:numPr>
        <w:spacing w:before="120"/>
      </w:pPr>
      <w:r w:rsidRPr="003D6FE9">
        <w:t>La art</w:t>
      </w:r>
      <w:r w:rsidR="007C6DA5" w:rsidRPr="003D6FE9">
        <w:t xml:space="preserve">icolul </w:t>
      </w:r>
      <w:r w:rsidRPr="003D6FE9">
        <w:t>10</w:t>
      </w:r>
      <w:r w:rsidR="007C6DA5" w:rsidRPr="003D6FE9">
        <w:t xml:space="preserve"> se introduce un nou aline</w:t>
      </w:r>
      <w:r w:rsidRPr="003D6FE9">
        <w:t>at</w:t>
      </w:r>
      <w:r w:rsidR="007C6DA5" w:rsidRPr="003D6FE9">
        <w:t>,</w:t>
      </w:r>
      <w:r w:rsidRPr="003D6FE9">
        <w:t xml:space="preserve"> </w:t>
      </w:r>
      <w:r w:rsidR="007C6DA5" w:rsidRPr="003D6FE9">
        <w:t>alineatul (3) care va avea următorul cuprins</w:t>
      </w:r>
      <w:r w:rsidRPr="003D6FE9">
        <w:t>:</w:t>
      </w:r>
    </w:p>
    <w:p w:rsidR="001E7373" w:rsidRPr="003D6FE9" w:rsidRDefault="001E7373" w:rsidP="00002B1D">
      <w:pPr>
        <w:spacing w:before="120"/>
        <w:ind w:left="360"/>
      </w:pPr>
    </w:p>
    <w:p w:rsidR="00404717" w:rsidRPr="003D6FE9" w:rsidRDefault="00847A8C" w:rsidP="00404717">
      <w:pPr>
        <w:pStyle w:val="BodyText2"/>
        <w:spacing w:line="240" w:lineRule="auto"/>
      </w:pPr>
      <w:r w:rsidRPr="003D6FE9">
        <w:t xml:space="preserve">„ </w:t>
      </w:r>
      <w:r w:rsidR="00404717" w:rsidRPr="003D6FE9">
        <w:t>(3) sunt eligibile</w:t>
      </w:r>
      <w:r w:rsidR="0024308B" w:rsidRPr="003D6FE9">
        <w:t xml:space="preserve"> pentru obținerea avizului </w:t>
      </w:r>
      <w:r w:rsidR="00404717" w:rsidRPr="003D6FE9">
        <w:t>acele unități de cogenerare noi sau retehnologizate care prin performanțele estimate în exploatare respectă condițiile prevăzute în Regulament, la art. 10 alin.(1) pentru Energia Electrică Totală a Configuraţiei (EETC) şi după caz la art.10 alin.(3). Prevederile art. 11</w:t>
      </w:r>
      <w:r w:rsidR="009E6A52" w:rsidRPr="003D6FE9">
        <w:t xml:space="preserve"> și ale art.12</w:t>
      </w:r>
      <w:r w:rsidR="00404717" w:rsidRPr="003D6FE9">
        <w:t xml:space="preserve"> din Regulament nu se aplica în condițiile prezentei proceduri.</w:t>
      </w:r>
      <w:r w:rsidRPr="003D6FE9">
        <w:t>”</w:t>
      </w:r>
    </w:p>
    <w:p w:rsidR="00921F56" w:rsidRPr="003D6FE9" w:rsidRDefault="00921F56" w:rsidP="004D2B8C">
      <w:pPr>
        <w:pStyle w:val="ListParagraph"/>
        <w:numPr>
          <w:ilvl w:val="0"/>
          <w:numId w:val="2"/>
        </w:numPr>
        <w:spacing w:before="120"/>
      </w:pPr>
      <w:r w:rsidRPr="003D6FE9">
        <w:t>La articolul 12 alineatul (4) se modifică și va avea următorul cuprins:</w:t>
      </w:r>
    </w:p>
    <w:p w:rsidR="00921F56" w:rsidRPr="003D6FE9" w:rsidRDefault="00921F56" w:rsidP="00921F56">
      <w:pPr>
        <w:spacing w:before="120"/>
      </w:pPr>
      <w:r w:rsidRPr="003D6FE9">
        <w:t>„ (4) Pentru a obţine acreditarea în vederea accesării schemei de sprijin, proiectele noi sau de retehnologizare ale centralelor de cogenerare trebuie să utilizeze echipamente principale noi care nu au mai produs energie electrică şi/sau termică în România sau într-o altă ţară</w:t>
      </w:r>
      <w:r w:rsidRPr="009B59D4">
        <w:t>,</w:t>
      </w:r>
      <w:r w:rsidR="004D2B8C" w:rsidRPr="009B59D4">
        <w:t xml:space="preserve"> și nu sunt ieșite din garanție,</w:t>
      </w:r>
      <w:r w:rsidRPr="009B59D4">
        <w:t xml:space="preserve"> cu excepția  situației prevăzute la art.14  alin. (2).”</w:t>
      </w:r>
    </w:p>
    <w:p w:rsidR="00921F56" w:rsidRPr="003D6FE9" w:rsidRDefault="00921F56" w:rsidP="00921F56">
      <w:pPr>
        <w:pStyle w:val="BodyText2"/>
        <w:spacing w:line="240" w:lineRule="auto"/>
        <w:ind w:left="360"/>
      </w:pPr>
    </w:p>
    <w:p w:rsidR="00781FEC" w:rsidRPr="003D6FE9" w:rsidRDefault="00781FEC" w:rsidP="004D2B8C">
      <w:pPr>
        <w:pStyle w:val="BodyText2"/>
        <w:numPr>
          <w:ilvl w:val="0"/>
          <w:numId w:val="2"/>
        </w:numPr>
        <w:spacing w:after="0" w:line="240" w:lineRule="auto"/>
      </w:pPr>
      <w:r w:rsidRPr="003D6FE9">
        <w:t xml:space="preserve">La articolul </w:t>
      </w:r>
      <w:r w:rsidR="00921F56" w:rsidRPr="003D6FE9">
        <w:t>14</w:t>
      </w:r>
      <w:r w:rsidRPr="003D6FE9">
        <w:t xml:space="preserve"> alineatul (3) se abrogă.</w:t>
      </w:r>
    </w:p>
    <w:p w:rsidR="00781FEC" w:rsidRPr="003D6FE9" w:rsidRDefault="00781FEC" w:rsidP="00B0174E">
      <w:pPr>
        <w:pStyle w:val="BodyText2"/>
        <w:tabs>
          <w:tab w:val="num" w:pos="1276"/>
        </w:tabs>
        <w:spacing w:after="0" w:line="240" w:lineRule="auto"/>
      </w:pPr>
    </w:p>
    <w:p w:rsidR="00BD329A" w:rsidRPr="003D6FE9" w:rsidRDefault="00460FF8" w:rsidP="004D2B8C">
      <w:pPr>
        <w:pStyle w:val="BodyText2"/>
        <w:numPr>
          <w:ilvl w:val="0"/>
          <w:numId w:val="2"/>
        </w:numPr>
        <w:spacing w:line="240" w:lineRule="auto"/>
      </w:pPr>
      <w:r w:rsidRPr="003D6FE9">
        <w:t xml:space="preserve">La articolul 17 alineatul </w:t>
      </w:r>
      <w:r w:rsidR="00BD329A" w:rsidRPr="003D6FE9">
        <w:t xml:space="preserve">(1) </w:t>
      </w:r>
      <w:r w:rsidRPr="003D6FE9">
        <w:t>litera a) se modifică și va avea următorul cuprins:</w:t>
      </w:r>
    </w:p>
    <w:p w:rsidR="00BD329A" w:rsidRPr="003D6FE9" w:rsidRDefault="00460FF8" w:rsidP="00460FF8">
      <w:pPr>
        <w:pStyle w:val="BodyText2"/>
        <w:spacing w:after="0" w:line="240" w:lineRule="auto"/>
      </w:pPr>
      <w:r w:rsidRPr="003D6FE9">
        <w:rPr>
          <w:lang w:eastAsia="zh-CN"/>
        </w:rPr>
        <w:t xml:space="preserve">„ </w:t>
      </w:r>
      <w:r w:rsidR="00BD329A" w:rsidRPr="003D6FE9">
        <w:rPr>
          <w:lang w:eastAsia="zh-CN"/>
        </w:rPr>
        <w:t>a ) pentru unităţile de cogenerare înscrise în List</w:t>
      </w:r>
      <w:r w:rsidR="009457D4">
        <w:rPr>
          <w:lang w:eastAsia="zh-CN"/>
        </w:rPr>
        <w:t>a capacităților</w:t>
      </w:r>
      <w:r w:rsidR="00BD329A" w:rsidRPr="003D6FE9">
        <w:rPr>
          <w:lang w:eastAsia="zh-CN"/>
        </w:rPr>
        <w:t xml:space="preserve"> și aflate în exploatare comercialǎ la data intrǎrii în vigoare a prezentei proceduri,</w:t>
      </w:r>
      <w:r w:rsidRPr="003D6FE9">
        <w:rPr>
          <w:lang w:eastAsia="zh-CN"/>
        </w:rPr>
        <w:t xml:space="preserve"> </w:t>
      </w:r>
      <w:r w:rsidR="00BD329A" w:rsidRPr="003D6FE9">
        <w:rPr>
          <w:lang w:eastAsia="zh-CN"/>
        </w:rPr>
        <w:t xml:space="preserve">dacǎ apar modificǎri faţǎ de capacitatea electrică de înaltǎ eficienţǎ a unei unităţi de cogenerare înregistrată anterior, ca urmare a aplicǎrii prevederilor </w:t>
      </w:r>
      <w:r w:rsidR="00BD329A" w:rsidRPr="003D6FE9">
        <w:t>Regulamentului;</w:t>
      </w:r>
      <w:r w:rsidRPr="003D6FE9">
        <w:t>”</w:t>
      </w:r>
    </w:p>
    <w:p w:rsidR="00BD329A" w:rsidRPr="003D6FE9" w:rsidRDefault="00BD329A" w:rsidP="00404717">
      <w:pPr>
        <w:pStyle w:val="BodyText2"/>
        <w:spacing w:line="240" w:lineRule="auto"/>
      </w:pPr>
    </w:p>
    <w:p w:rsidR="009E6A52" w:rsidRPr="003D6FE9" w:rsidRDefault="009E6A52" w:rsidP="004D2B8C">
      <w:pPr>
        <w:pStyle w:val="ListParagraph"/>
        <w:numPr>
          <w:ilvl w:val="0"/>
          <w:numId w:val="2"/>
        </w:numPr>
        <w:spacing w:before="120"/>
      </w:pPr>
      <w:r w:rsidRPr="003D6FE9">
        <w:t>Anexa nr.2 la procedură</w:t>
      </w:r>
      <w:r w:rsidR="00D31DFA" w:rsidRPr="003D6FE9">
        <w:t xml:space="preserve"> la litera A</w:t>
      </w:r>
      <w:r w:rsidRPr="003D6FE9">
        <w:t xml:space="preserve"> </w:t>
      </w:r>
      <w:r w:rsidR="00D31DFA" w:rsidRPr="003D6FE9">
        <w:t>pct.</w:t>
      </w:r>
      <w:r w:rsidR="00307F6E" w:rsidRPr="003D6FE9">
        <w:t xml:space="preserve"> </w:t>
      </w:r>
      <w:r w:rsidR="00D31DFA" w:rsidRPr="003D6FE9">
        <w:t xml:space="preserve">14 se modifica si va avea următorul cuprins: </w:t>
      </w:r>
    </w:p>
    <w:p w:rsidR="00307F6E" w:rsidRPr="003D6FE9" w:rsidRDefault="00307F6E" w:rsidP="00D31DFA">
      <w:pPr>
        <w:spacing w:after="120"/>
      </w:pPr>
    </w:p>
    <w:p w:rsidR="00D31DFA" w:rsidRPr="003D6FE9" w:rsidRDefault="00847A8C" w:rsidP="00D31DFA">
      <w:pPr>
        <w:spacing w:after="120"/>
      </w:pPr>
      <w:r w:rsidRPr="003D6FE9">
        <w:t>„</w:t>
      </w:r>
      <w:r w:rsidR="00D31DFA" w:rsidRPr="003D6FE9">
        <w:t>14. Valoarea cantităţii de energie electrică potenţial calificabilǎ ca fiind produsǎ în cogenerare de înaltă eficienţă de fiecare din capacitǎţile care fac obiectul proiectului, care ar putea beneficia de Schema de sprijin într-un an calendaristic sau într-un sezon de operare complet</w:t>
      </w:r>
      <w:r w:rsidRPr="003D6FE9">
        <w:t>.</w:t>
      </w:r>
    </w:p>
    <w:p w:rsidR="00D31DFA" w:rsidRPr="003D6FE9" w:rsidRDefault="00D31DFA" w:rsidP="00D31DFA">
      <w:pPr>
        <w:pStyle w:val="Heading2"/>
        <w:spacing w:after="120"/>
        <w:ind w:hanging="3"/>
        <w:jc w:val="both"/>
        <w:rPr>
          <w:b w:val="0"/>
          <w:bCs w:val="0"/>
          <w:i w:val="0"/>
          <w:iCs w:val="0"/>
        </w:rPr>
      </w:pPr>
      <w:r w:rsidRPr="003D6FE9">
        <w:rPr>
          <w:b w:val="0"/>
          <w:bCs w:val="0"/>
          <w:i w:val="0"/>
          <w:iCs w:val="0"/>
        </w:rPr>
        <w:tab/>
      </w:r>
      <w:r w:rsidRPr="003D6FE9">
        <w:rPr>
          <w:b w:val="0"/>
          <w:bCs w:val="0"/>
          <w:i w:val="0"/>
          <w:iCs w:val="0"/>
        </w:rPr>
        <w:tab/>
        <w:t xml:space="preserve">Evaluarea este întocmitǎ de operatorul economic, pe baza datelor de proiect/prognozǎ de funcţionare, conform prevederilor din cap. III secţiunea 1 „Condiţii de calificare pentru energia electrică produsă în cogenerare de înaltǎ eficienţǎ de o Configuraţie de producţie în </w:t>
      </w:r>
      <w:r w:rsidRPr="003D6FE9">
        <w:rPr>
          <w:b w:val="0"/>
          <w:bCs w:val="0"/>
          <w:i w:val="0"/>
          <w:iCs w:val="0"/>
        </w:rPr>
        <w:lastRenderedPageBreak/>
        <w:t>cogenerare” şi cap.</w:t>
      </w:r>
      <w:bookmarkStart w:id="0" w:name="_Toc238008683"/>
      <w:bookmarkStart w:id="1" w:name="_Toc242181580"/>
      <w:bookmarkStart w:id="2" w:name="_Toc242246816"/>
      <w:r w:rsidRPr="003D6FE9">
        <w:rPr>
          <w:b w:val="0"/>
          <w:bCs w:val="0"/>
          <w:i w:val="0"/>
          <w:iCs w:val="0"/>
        </w:rPr>
        <w:t xml:space="preserve"> V</w:t>
      </w:r>
      <w:r w:rsidRPr="003D6FE9">
        <w:rPr>
          <w:b w:val="0"/>
          <w:bCs w:val="0"/>
          <w:i w:val="0"/>
          <w:iCs w:val="0"/>
          <w:sz w:val="28"/>
          <w:szCs w:val="28"/>
        </w:rPr>
        <w:t xml:space="preserve"> „</w:t>
      </w:r>
      <w:r w:rsidRPr="003D6FE9">
        <w:rPr>
          <w:b w:val="0"/>
          <w:bCs w:val="0"/>
          <w:i w:val="0"/>
          <w:iCs w:val="0"/>
        </w:rPr>
        <w:t>Calcule de autoevaluare pentru calificare”</w:t>
      </w:r>
      <w:r w:rsidR="00307F6E" w:rsidRPr="003D6FE9">
        <w:rPr>
          <w:b w:val="0"/>
          <w:bCs w:val="0"/>
          <w:i w:val="0"/>
          <w:iCs w:val="0"/>
        </w:rPr>
        <w:t xml:space="preserve"> din Regulament</w:t>
      </w:r>
      <w:r w:rsidRPr="003D6FE9">
        <w:rPr>
          <w:b w:val="0"/>
          <w:bCs w:val="0"/>
          <w:i w:val="0"/>
          <w:iCs w:val="0"/>
        </w:rPr>
        <w:t>. Nu se aplică prevederile art. 11, art.12, art. 49 şi secţiunilor a 3-a si a 4-a din cap. V. din</w:t>
      </w:r>
      <w:bookmarkEnd w:id="0"/>
      <w:bookmarkEnd w:id="1"/>
      <w:bookmarkEnd w:id="2"/>
      <w:r w:rsidRPr="003D6FE9">
        <w:rPr>
          <w:b w:val="0"/>
          <w:bCs w:val="0"/>
          <w:i w:val="0"/>
          <w:iCs w:val="0"/>
        </w:rPr>
        <w:t xml:space="preserve"> Regulament.</w:t>
      </w:r>
    </w:p>
    <w:p w:rsidR="00307F6E" w:rsidRPr="003D6FE9" w:rsidRDefault="00307F6E" w:rsidP="00307F6E">
      <w:pPr>
        <w:spacing w:after="120"/>
        <w:ind w:firstLine="708"/>
      </w:pPr>
      <w:r w:rsidRPr="003D6FE9">
        <w:t xml:space="preserve">Operatorul economic care solicitǎ un aviz conform Procedurii trebuie sǎ opteze, înainte de a trece la evaluare, asupra perioadei luate în considerare pentru consumul de combustibil şi producţiile de energie termicǎ şi electricǎ în cogenerare, care poate fi, în condiţiile stabilite în cap. III, secţiunea a 3-a </w:t>
      </w:r>
      <w:r w:rsidRPr="003D6FE9">
        <w:rPr>
          <w:iCs/>
        </w:rPr>
        <w:t>"Principii, etape şi documente necesare calificării"</w:t>
      </w:r>
      <w:r w:rsidRPr="003D6FE9">
        <w:t xml:space="preserve"> din Regulament, un an calendaristic sau un sezon de operare.</w:t>
      </w:r>
      <w:r w:rsidR="00847A8C" w:rsidRPr="003D6FE9">
        <w:t>”</w:t>
      </w:r>
    </w:p>
    <w:p w:rsidR="00BD329A" w:rsidRPr="003D6FE9" w:rsidRDefault="00BD329A" w:rsidP="00307F6E">
      <w:pPr>
        <w:spacing w:after="120"/>
        <w:ind w:firstLine="708"/>
      </w:pPr>
    </w:p>
    <w:p w:rsidR="00307F6E" w:rsidRDefault="00307F6E" w:rsidP="004D2B8C">
      <w:pPr>
        <w:pStyle w:val="ListParagraph"/>
        <w:numPr>
          <w:ilvl w:val="0"/>
          <w:numId w:val="2"/>
        </w:numPr>
        <w:spacing w:before="120"/>
      </w:pPr>
      <w:r w:rsidRPr="003D6FE9">
        <w:t xml:space="preserve"> Anexa nr.2 la procedură la litera B pct. 4 se modific</w:t>
      </w:r>
      <w:r w:rsidR="001446E6">
        <w:t>ă ș</w:t>
      </w:r>
      <w:r w:rsidRPr="003D6FE9">
        <w:t xml:space="preserve">i va avea următorul </w:t>
      </w:r>
      <w:r>
        <w:t xml:space="preserve">cuprins: </w:t>
      </w:r>
    </w:p>
    <w:p w:rsidR="001446E6" w:rsidRDefault="001446E6" w:rsidP="001446E6">
      <w:pPr>
        <w:pStyle w:val="ListParagraph"/>
        <w:spacing w:before="120"/>
      </w:pPr>
    </w:p>
    <w:p w:rsidR="00307F6E" w:rsidRPr="00847A8C" w:rsidRDefault="00847A8C" w:rsidP="00847A8C">
      <w:pPr>
        <w:pStyle w:val="Heading2"/>
        <w:spacing w:after="120"/>
        <w:ind w:hanging="3"/>
        <w:jc w:val="both"/>
        <w:rPr>
          <w:b w:val="0"/>
          <w:i w:val="0"/>
        </w:rPr>
      </w:pPr>
      <w:r>
        <w:rPr>
          <w:b w:val="0"/>
          <w:i w:val="0"/>
        </w:rPr>
        <w:t>„</w:t>
      </w:r>
      <w:r w:rsidR="00307F6E" w:rsidRPr="003F5086">
        <w:rPr>
          <w:b w:val="0"/>
          <w:i w:val="0"/>
        </w:rPr>
        <w:t xml:space="preserve">4. Datele de referinţǎ şi rezultatele calculelor de determinare a capacitǎţii electrice de cogenerare potenţial </w:t>
      </w:r>
      <w:r>
        <w:rPr>
          <w:b w:val="0"/>
          <w:i w:val="0"/>
        </w:rPr>
        <w:t xml:space="preserve">calificabilǎ ca fiind de înaltǎ </w:t>
      </w:r>
      <w:r w:rsidR="00307F6E" w:rsidRPr="003F5086">
        <w:rPr>
          <w:b w:val="0"/>
          <w:i w:val="0"/>
        </w:rPr>
        <w:t>eficienţǎ (MW) pentru un an calendaristic/sezon de operare complet, a cantităţii de energie electrică potenţial calificabilǎ ca fiind produsǎ în cogenerare de înaltă eficienţă</w:t>
      </w:r>
      <w:r>
        <w:rPr>
          <w:b w:val="0"/>
          <w:i w:val="0"/>
        </w:rPr>
        <w:t>, nefiind</w:t>
      </w:r>
      <w:r w:rsidR="003F5086" w:rsidRPr="003F5086">
        <w:rPr>
          <w:b w:val="0"/>
          <w:bCs w:val="0"/>
          <w:i w:val="0"/>
          <w:iCs w:val="0"/>
          <w:color w:val="FF0000"/>
        </w:rPr>
        <w:t xml:space="preserve"> </w:t>
      </w:r>
      <w:r w:rsidR="003F5086" w:rsidRPr="003D6FE9">
        <w:rPr>
          <w:b w:val="0"/>
          <w:bCs w:val="0"/>
          <w:i w:val="0"/>
          <w:iCs w:val="0"/>
        </w:rPr>
        <w:t>aplic</w:t>
      </w:r>
      <w:r w:rsidRPr="003D6FE9">
        <w:rPr>
          <w:b w:val="0"/>
          <w:bCs w:val="0"/>
          <w:i w:val="0"/>
          <w:iCs w:val="0"/>
        </w:rPr>
        <w:t>abile</w:t>
      </w:r>
      <w:r w:rsidR="003F5086" w:rsidRPr="003D6FE9">
        <w:rPr>
          <w:b w:val="0"/>
          <w:bCs w:val="0"/>
          <w:i w:val="0"/>
          <w:iCs w:val="0"/>
        </w:rPr>
        <w:t xml:space="preserve"> prevederile art. 11, art.12, art. 49 şi secţiunil</w:t>
      </w:r>
      <w:r w:rsidRPr="003D6FE9">
        <w:rPr>
          <w:b w:val="0"/>
          <w:bCs w:val="0"/>
          <w:i w:val="0"/>
          <w:iCs w:val="0"/>
        </w:rPr>
        <w:t>e</w:t>
      </w:r>
      <w:r w:rsidR="003F5086" w:rsidRPr="003D6FE9">
        <w:rPr>
          <w:b w:val="0"/>
          <w:bCs w:val="0"/>
          <w:i w:val="0"/>
          <w:iCs w:val="0"/>
        </w:rPr>
        <w:t xml:space="preserve"> a 3-a si a 4-a din cap. V. din </w:t>
      </w:r>
      <w:r w:rsidRPr="003D6FE9">
        <w:rPr>
          <w:b w:val="0"/>
          <w:bCs w:val="0"/>
          <w:i w:val="0"/>
          <w:iCs w:val="0"/>
        </w:rPr>
        <w:t xml:space="preserve">Regulament, precum </w:t>
      </w:r>
      <w:r w:rsidR="00307F6E" w:rsidRPr="003D6FE9">
        <w:rPr>
          <w:b w:val="0"/>
          <w:i w:val="0"/>
        </w:rPr>
        <w:t xml:space="preserve">şi a cantităţii de energie electrică estimată a beneficia de schema de sprijin, atât pentru lunile de funcţionare </w:t>
      </w:r>
      <w:r w:rsidR="00307F6E" w:rsidRPr="00847A8C">
        <w:rPr>
          <w:b w:val="0"/>
          <w:i w:val="0"/>
        </w:rPr>
        <w:t xml:space="preserve">din primul an în care capacitatea de cogenerare intrǎ în exploatare comercialǎ, cât şi pentru primul an calendaristic sau sezon de operare complet, care se prezintǎ integral conform machetelor din anexa nr. 3 la Regulament. </w:t>
      </w:r>
      <w:r>
        <w:rPr>
          <w:b w:val="0"/>
          <w:i w:val="0"/>
        </w:rPr>
        <w:t>”</w:t>
      </w:r>
    </w:p>
    <w:p w:rsidR="001E7373" w:rsidRPr="00002B1D" w:rsidRDefault="001E7373" w:rsidP="00002B1D">
      <w:pPr>
        <w:spacing w:before="120"/>
        <w:ind w:left="360"/>
      </w:pPr>
    </w:p>
    <w:p w:rsidR="004810A3" w:rsidRDefault="00D00F32" w:rsidP="00002B1D">
      <w:pPr>
        <w:tabs>
          <w:tab w:val="left" w:pos="720"/>
          <w:tab w:val="num" w:pos="1548"/>
        </w:tabs>
        <w:spacing w:before="120"/>
      </w:pPr>
      <w:r w:rsidRPr="00002B1D">
        <w:rPr>
          <w:b/>
        </w:rPr>
        <w:t>Art.</w:t>
      </w:r>
      <w:r w:rsidR="00002B1D" w:rsidRPr="00002B1D">
        <w:rPr>
          <w:b/>
        </w:rPr>
        <w:t>II</w:t>
      </w:r>
      <w:r w:rsidR="00002B1D">
        <w:t xml:space="preserve"> - </w:t>
      </w:r>
      <w:r w:rsidR="004810A3">
        <w:t>(1) Operatorii economici care deruleazǎ proiecte investi</w:t>
      </w:r>
      <w:r w:rsidR="002647FE">
        <w:t>ț</w:t>
      </w:r>
      <w:r w:rsidR="004810A3">
        <w:t xml:space="preserve">ionale pentru </w:t>
      </w:r>
      <w:r w:rsidR="004810A3" w:rsidRPr="000652B2">
        <w:t>unită</w:t>
      </w:r>
      <w:r w:rsidR="002647FE">
        <w:t>ț</w:t>
      </w:r>
      <w:r w:rsidR="004810A3" w:rsidRPr="000652B2">
        <w:t xml:space="preserve">i </w:t>
      </w:r>
      <w:r w:rsidR="004810A3">
        <w:t xml:space="preserve">noi sau retehnologizate în centrale </w:t>
      </w:r>
      <w:r w:rsidR="004810A3" w:rsidRPr="000652B2">
        <w:t>de cogenerare</w:t>
      </w:r>
      <w:r w:rsidR="004810A3">
        <w:t>, o</w:t>
      </w:r>
      <w:r w:rsidR="004810A3" w:rsidRPr="000652B2">
        <w:t>peratorii economici care de</w:t>
      </w:r>
      <w:r w:rsidR="002647FE">
        <w:t>ț</w:t>
      </w:r>
      <w:r w:rsidR="004810A3" w:rsidRPr="000652B2">
        <w:t>in sau exploatează comercial unită</w:t>
      </w:r>
      <w:r w:rsidR="002647FE">
        <w:t>ț</w:t>
      </w:r>
      <w:r w:rsidR="004810A3" w:rsidRPr="000652B2">
        <w:t>i de cogenerare</w:t>
      </w:r>
      <w:r w:rsidR="004810A3">
        <w:t>,</w:t>
      </w:r>
      <w:r w:rsidR="004810A3" w:rsidRPr="00E37DF0">
        <w:t xml:space="preserve"> </w:t>
      </w:r>
      <w:r w:rsidR="004810A3" w:rsidRPr="00C07CE4">
        <w:t xml:space="preserve">furnizorii </w:t>
      </w:r>
      <w:r w:rsidR="004810A3">
        <w:t>clienţilor</w:t>
      </w:r>
      <w:r w:rsidR="004810A3" w:rsidRPr="00C07CE4">
        <w:t xml:space="preserve"> casnici </w:t>
      </w:r>
      <w:r w:rsidR="004810A3">
        <w:rPr>
          <w:rFonts w:ascii="Tahoma" w:hAnsi="Tahoma" w:cs="Tahoma"/>
        </w:rPr>
        <w:t>ș</w:t>
      </w:r>
      <w:r w:rsidR="004810A3" w:rsidRPr="00C07CE4">
        <w:t>i C</w:t>
      </w:r>
      <w:r w:rsidR="004810A3">
        <w:t xml:space="preserve">ompania </w:t>
      </w:r>
      <w:r w:rsidR="004810A3" w:rsidRPr="00C07CE4">
        <w:t>N</w:t>
      </w:r>
      <w:r w:rsidR="004810A3">
        <w:t xml:space="preserve">ațională </w:t>
      </w:r>
      <w:r w:rsidR="004810A3" w:rsidRPr="00C07CE4">
        <w:t>de Transport al Energiei Electrice „Transelectrica”</w:t>
      </w:r>
      <w:r w:rsidR="004810A3">
        <w:t>-</w:t>
      </w:r>
      <w:r w:rsidR="004810A3" w:rsidRPr="00C07CE4">
        <w:t xml:space="preserve"> S.A. duc la îndeplinire prevederile prezentului ordin.</w:t>
      </w:r>
    </w:p>
    <w:p w:rsidR="004810A3" w:rsidRDefault="004810A3" w:rsidP="004810A3">
      <w:pPr>
        <w:tabs>
          <w:tab w:val="left" w:pos="720"/>
        </w:tabs>
        <w:spacing w:before="120"/>
      </w:pPr>
      <w:r>
        <w:t>(2)Entităţile organizatorice</w:t>
      </w:r>
      <w:r w:rsidRPr="00176B11">
        <w:t xml:space="preserve"> </w:t>
      </w:r>
      <w:r w:rsidRPr="00222194">
        <w:t>din cadrul Autorităţii Naţionale de Reglementare</w:t>
      </w:r>
      <w:r>
        <w:t xml:space="preserve"> în Domeniul Energiei urmăresc</w:t>
      </w:r>
      <w:r w:rsidRPr="00222194">
        <w:t xml:space="preserve"> respectarea prevederilor prezentului ordin.</w:t>
      </w:r>
    </w:p>
    <w:p w:rsidR="001446E6" w:rsidRDefault="001446E6" w:rsidP="004810A3">
      <w:pPr>
        <w:tabs>
          <w:tab w:val="left" w:pos="720"/>
        </w:tabs>
        <w:spacing w:before="120"/>
      </w:pPr>
      <w:bookmarkStart w:id="3" w:name="_GoBack"/>
      <w:bookmarkEnd w:id="3"/>
    </w:p>
    <w:p w:rsidR="00692BE8" w:rsidRDefault="00002B1D" w:rsidP="001F5D67">
      <w:pPr>
        <w:tabs>
          <w:tab w:val="left" w:pos="720"/>
          <w:tab w:val="num" w:pos="1548"/>
        </w:tabs>
        <w:spacing w:before="120" w:after="120"/>
      </w:pPr>
      <w:r w:rsidRPr="00002B1D">
        <w:rPr>
          <w:b/>
          <w:lang w:val="it-IT"/>
        </w:rPr>
        <w:t>Art. III -</w:t>
      </w:r>
      <w:r>
        <w:rPr>
          <w:lang w:val="it-IT"/>
        </w:rPr>
        <w:t xml:space="preserve"> </w:t>
      </w:r>
      <w:r w:rsidR="004810A3">
        <w:rPr>
          <w:lang w:val="it-IT"/>
        </w:rPr>
        <w:t xml:space="preserve">Prezentul ordin se publică în Monitorul Oficial al României, Partea I.   </w:t>
      </w:r>
    </w:p>
    <w:p w:rsidR="00692BE8" w:rsidRDefault="00692BE8"/>
    <w:p w:rsidR="00692BE8" w:rsidRDefault="00692BE8"/>
    <w:p w:rsidR="00692BE8" w:rsidRDefault="00692BE8"/>
    <w:p w:rsidR="00692BE8" w:rsidRDefault="00692BE8"/>
    <w:p w:rsidR="00692BE8" w:rsidRDefault="00692BE8"/>
    <w:p w:rsidR="00692BE8" w:rsidRDefault="00692BE8"/>
    <w:p w:rsidR="00692BE8" w:rsidRDefault="00692BE8"/>
    <w:p w:rsidR="00692BE8" w:rsidRDefault="00692BE8"/>
    <w:p w:rsidR="00692BE8" w:rsidRDefault="00692BE8"/>
    <w:p w:rsidR="00692BE8" w:rsidRDefault="00692BE8"/>
    <w:p w:rsidR="00692BE8" w:rsidRDefault="00692BE8"/>
    <w:p w:rsidR="00692BE8" w:rsidRDefault="00692BE8"/>
    <w:p w:rsidR="00692BE8" w:rsidRDefault="00692BE8"/>
    <w:sectPr w:rsidR="00692BE8">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AFF" w:usb1="C0007841" w:usb2="00000009" w:usb3="00000000" w:csb0="000001FF" w:csb1="00000000"/>
  </w:font>
  <w:font w:name="Calibri">
    <w:panose1 w:val="020F0502020204030204"/>
    <w:charset w:val="EE"/>
    <w:family w:val="swiss"/>
    <w:pitch w:val="variable"/>
    <w:sig w:usb0="E00002FF" w:usb1="4000ACFF" w:usb2="00000001" w:usb3="00000000" w:csb0="0000019F" w:csb1="00000000"/>
  </w:font>
  <w:font w:name="TimesRomanR">
    <w:altName w:val="Times New Roman"/>
    <w:charset w:val="00"/>
    <w:family w:val="auto"/>
    <w:pitch w:val="variable"/>
    <w:sig w:usb0="00000003" w:usb1="00000000" w:usb2="00000000" w:usb3="00000000" w:csb0="00000001" w:csb1="00000000"/>
  </w:font>
  <w:font w:name="Segoe UI">
    <w:panose1 w:val="020B0502040204020203"/>
    <w:charset w:val="00"/>
    <w:family w:val="swiss"/>
    <w:notTrueType/>
    <w:pitch w:val="variable"/>
    <w:sig w:usb0="00000003" w:usb1="00000000" w:usb2="00000000" w:usb3="00000000" w:csb0="00000001" w:csb1="00000000"/>
  </w:font>
  <w:font w:name="Batang">
    <w:altName w:val="바탕"/>
    <w:panose1 w:val="02030600000101010101"/>
    <w:charset w:val="81"/>
    <w:family w:val="auto"/>
    <w:notTrueType/>
    <w:pitch w:val="fixed"/>
    <w:sig w:usb0="00000001" w:usb1="09060000" w:usb2="00000010" w:usb3="00000000" w:csb0="00080000" w:csb1="00000000"/>
  </w:font>
  <w:font w:name="Tahoma">
    <w:panose1 w:val="020B0604030504040204"/>
    <w:charset w:val="EE"/>
    <w:family w:val="swiss"/>
    <w:pitch w:val="variable"/>
    <w:sig w:usb0="E1002EFF" w:usb1="C000605B" w:usb2="00000029" w:usb3="00000000" w:csb0="000101FF" w:csb1="00000000"/>
  </w:font>
  <w:font w:name="Calibri Light">
    <w:panose1 w:val="020F0302020204030204"/>
    <w:charset w:val="EE"/>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C650F0C"/>
    <w:multiLevelType w:val="hybridMultilevel"/>
    <w:tmpl w:val="DE3A042A"/>
    <w:lvl w:ilvl="0" w:tplc="097630BE">
      <w:start w:val="1"/>
      <w:numFmt w:val="lowerLetter"/>
      <w:lvlText w:val="%1)"/>
      <w:lvlJc w:val="left"/>
      <w:pPr>
        <w:ind w:left="720" w:hanging="360"/>
      </w:pPr>
      <w:rPr>
        <w:rFonts w:hint="default"/>
      </w:rPr>
    </w:lvl>
    <w:lvl w:ilvl="1" w:tplc="04180019">
      <w:start w:val="1"/>
      <w:numFmt w:val="lowerLetter"/>
      <w:lvlText w:val="%2."/>
      <w:lvlJc w:val="left"/>
      <w:pPr>
        <w:ind w:left="1440" w:hanging="360"/>
      </w:pPr>
    </w:lvl>
    <w:lvl w:ilvl="2" w:tplc="0418001B">
      <w:start w:val="1"/>
      <w:numFmt w:val="lowerRoman"/>
      <w:lvlText w:val="%3."/>
      <w:lvlJc w:val="right"/>
      <w:pPr>
        <w:ind w:left="2160" w:hanging="180"/>
      </w:pPr>
    </w:lvl>
    <w:lvl w:ilvl="3" w:tplc="0418000F">
      <w:start w:val="1"/>
      <w:numFmt w:val="decimal"/>
      <w:lvlText w:val="%4."/>
      <w:lvlJc w:val="left"/>
      <w:pPr>
        <w:ind w:left="2880" w:hanging="360"/>
      </w:pPr>
    </w:lvl>
    <w:lvl w:ilvl="4" w:tplc="04180019">
      <w:start w:val="1"/>
      <w:numFmt w:val="lowerLetter"/>
      <w:lvlText w:val="%5."/>
      <w:lvlJc w:val="left"/>
      <w:pPr>
        <w:ind w:left="3600" w:hanging="360"/>
      </w:pPr>
    </w:lvl>
    <w:lvl w:ilvl="5" w:tplc="0418001B">
      <w:start w:val="1"/>
      <w:numFmt w:val="lowerRoman"/>
      <w:lvlText w:val="%6."/>
      <w:lvlJc w:val="right"/>
      <w:pPr>
        <w:ind w:left="4320" w:hanging="180"/>
      </w:pPr>
    </w:lvl>
    <w:lvl w:ilvl="6" w:tplc="0418000F">
      <w:start w:val="1"/>
      <w:numFmt w:val="decimal"/>
      <w:lvlText w:val="%7."/>
      <w:lvlJc w:val="left"/>
      <w:pPr>
        <w:ind w:left="5040" w:hanging="360"/>
      </w:pPr>
    </w:lvl>
    <w:lvl w:ilvl="7" w:tplc="04180019">
      <w:start w:val="1"/>
      <w:numFmt w:val="lowerLetter"/>
      <w:lvlText w:val="%8."/>
      <w:lvlJc w:val="left"/>
      <w:pPr>
        <w:ind w:left="5760" w:hanging="360"/>
      </w:pPr>
    </w:lvl>
    <w:lvl w:ilvl="8" w:tplc="0418001B">
      <w:start w:val="1"/>
      <w:numFmt w:val="lowerRoman"/>
      <w:lvlText w:val="%9."/>
      <w:lvlJc w:val="right"/>
      <w:pPr>
        <w:ind w:left="6480" w:hanging="180"/>
      </w:pPr>
    </w:lvl>
  </w:abstractNum>
  <w:abstractNum w:abstractNumId="1">
    <w:nsid w:val="2ED611EA"/>
    <w:multiLevelType w:val="hybridMultilevel"/>
    <w:tmpl w:val="ED6CE06A"/>
    <w:lvl w:ilvl="0" w:tplc="2AB2587E">
      <w:start w:val="1"/>
      <w:numFmt w:val="decimal"/>
      <w:lvlText w:val="%1."/>
      <w:lvlJc w:val="left"/>
      <w:pPr>
        <w:ind w:left="720" w:hanging="360"/>
      </w:pPr>
      <w:rPr>
        <w:rFonts w:hint="default"/>
        <w:b/>
        <w:color w:val="00000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
    <w:nsid w:val="387E7B16"/>
    <w:multiLevelType w:val="hybridMultilevel"/>
    <w:tmpl w:val="396C4E6C"/>
    <w:lvl w:ilvl="0" w:tplc="969EB236">
      <w:start w:val="1"/>
      <w:numFmt w:val="lowerRoman"/>
      <w:lvlText w:val="%1)"/>
      <w:lvlJc w:val="left"/>
      <w:pPr>
        <w:ind w:left="1440" w:hanging="360"/>
      </w:pPr>
      <w:rPr>
        <w:rFonts w:hint="default"/>
        <w:b w:val="0"/>
        <w:bCs w:val="0"/>
        <w:i w:val="0"/>
        <w:iCs w:val="0"/>
      </w:rPr>
    </w:lvl>
    <w:lvl w:ilvl="1" w:tplc="04180019">
      <w:start w:val="1"/>
      <w:numFmt w:val="lowerLetter"/>
      <w:lvlText w:val="%2."/>
      <w:lvlJc w:val="left"/>
      <w:pPr>
        <w:ind w:left="2160" w:hanging="360"/>
      </w:pPr>
    </w:lvl>
    <w:lvl w:ilvl="2" w:tplc="0418001B">
      <w:start w:val="1"/>
      <w:numFmt w:val="lowerRoman"/>
      <w:lvlText w:val="%3."/>
      <w:lvlJc w:val="right"/>
      <w:pPr>
        <w:ind w:left="2880" w:hanging="180"/>
      </w:pPr>
    </w:lvl>
    <w:lvl w:ilvl="3" w:tplc="0418000F">
      <w:start w:val="1"/>
      <w:numFmt w:val="decimal"/>
      <w:lvlText w:val="%4."/>
      <w:lvlJc w:val="left"/>
      <w:pPr>
        <w:ind w:left="3600" w:hanging="360"/>
      </w:pPr>
    </w:lvl>
    <w:lvl w:ilvl="4" w:tplc="04180019">
      <w:start w:val="1"/>
      <w:numFmt w:val="lowerLetter"/>
      <w:lvlText w:val="%5."/>
      <w:lvlJc w:val="left"/>
      <w:pPr>
        <w:ind w:left="4320" w:hanging="360"/>
      </w:pPr>
    </w:lvl>
    <w:lvl w:ilvl="5" w:tplc="0418001B">
      <w:start w:val="1"/>
      <w:numFmt w:val="lowerRoman"/>
      <w:lvlText w:val="%6."/>
      <w:lvlJc w:val="right"/>
      <w:pPr>
        <w:ind w:left="5040" w:hanging="180"/>
      </w:pPr>
    </w:lvl>
    <w:lvl w:ilvl="6" w:tplc="0418000F">
      <w:start w:val="1"/>
      <w:numFmt w:val="decimal"/>
      <w:lvlText w:val="%7."/>
      <w:lvlJc w:val="left"/>
      <w:pPr>
        <w:ind w:left="5760" w:hanging="360"/>
      </w:pPr>
    </w:lvl>
    <w:lvl w:ilvl="7" w:tplc="04180019">
      <w:start w:val="1"/>
      <w:numFmt w:val="lowerLetter"/>
      <w:lvlText w:val="%8."/>
      <w:lvlJc w:val="left"/>
      <w:pPr>
        <w:ind w:left="6480" w:hanging="360"/>
      </w:pPr>
    </w:lvl>
    <w:lvl w:ilvl="8" w:tplc="0418001B">
      <w:start w:val="1"/>
      <w:numFmt w:val="lowerRoman"/>
      <w:lvlText w:val="%9."/>
      <w:lvlJc w:val="right"/>
      <w:pPr>
        <w:ind w:left="7200" w:hanging="180"/>
      </w:pPr>
    </w:lvl>
  </w:abstractNum>
  <w:abstractNum w:abstractNumId="3">
    <w:nsid w:val="38C8043F"/>
    <w:multiLevelType w:val="hybridMultilevel"/>
    <w:tmpl w:val="5AD28AE6"/>
    <w:lvl w:ilvl="0" w:tplc="2AB2587E">
      <w:start w:val="1"/>
      <w:numFmt w:val="decimal"/>
      <w:lvlText w:val="%1."/>
      <w:lvlJc w:val="left"/>
      <w:pPr>
        <w:ind w:left="720" w:hanging="360"/>
      </w:pPr>
      <w:rPr>
        <w:rFonts w:hint="default"/>
        <w:b/>
        <w:color w:val="00000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
    <w:nsid w:val="40826A01"/>
    <w:multiLevelType w:val="hybridMultilevel"/>
    <w:tmpl w:val="2BDE6060"/>
    <w:lvl w:ilvl="0" w:tplc="2AB2587E">
      <w:start w:val="1"/>
      <w:numFmt w:val="decimal"/>
      <w:lvlText w:val="%1."/>
      <w:lvlJc w:val="left"/>
      <w:pPr>
        <w:ind w:left="720" w:hanging="360"/>
      </w:pPr>
      <w:rPr>
        <w:rFonts w:hint="default"/>
        <w:b/>
        <w:color w:val="00000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5">
    <w:nsid w:val="7E974C9F"/>
    <w:multiLevelType w:val="hybridMultilevel"/>
    <w:tmpl w:val="69AA131C"/>
    <w:lvl w:ilvl="0" w:tplc="9D86BF3C">
      <w:start w:val="1"/>
      <w:numFmt w:val="decimal"/>
      <w:lvlText w:val="Art. %1."/>
      <w:lvlJc w:val="left"/>
      <w:pPr>
        <w:tabs>
          <w:tab w:val="num" w:pos="1154"/>
        </w:tabs>
        <w:ind w:left="360"/>
      </w:pPr>
      <w:rPr>
        <w:rFonts w:ascii="Times New Roman" w:hAnsi="Times New Roman" w:cs="Times New Roman" w:hint="default"/>
        <w:b/>
        <w:bCs/>
        <w:i w:val="0"/>
        <w:iCs w:val="0"/>
      </w:rPr>
    </w:lvl>
    <w:lvl w:ilvl="1" w:tplc="EAEE2F02">
      <w:start w:val="2"/>
      <w:numFmt w:val="decimal"/>
      <w:lvlText w:val="(%2)"/>
      <w:lvlJc w:val="left"/>
      <w:pPr>
        <w:tabs>
          <w:tab w:val="num" w:pos="1440"/>
        </w:tabs>
        <w:ind w:left="1440" w:hanging="360"/>
      </w:pPr>
      <w:rPr>
        <w:rFonts w:hint="default"/>
        <w:b w:val="0"/>
        <w:bCs w:val="0"/>
      </w:rPr>
    </w:lvl>
    <w:lvl w:ilvl="2" w:tplc="8B745C8A">
      <w:start w:val="1"/>
      <w:numFmt w:val="lowerLetter"/>
      <w:lvlText w:val="%3)"/>
      <w:lvlJc w:val="left"/>
      <w:pPr>
        <w:tabs>
          <w:tab w:val="num" w:pos="2340"/>
        </w:tabs>
        <w:ind w:left="2340" w:hanging="360"/>
      </w:pPr>
      <w:rPr>
        <w:rFonts w:hint="default"/>
        <w:b w:val="0"/>
        <w:bCs w:val="0"/>
      </w:r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num w:numId="1">
    <w:abstractNumId w:val="5"/>
  </w:num>
  <w:num w:numId="2">
    <w:abstractNumId w:val="1"/>
  </w:num>
  <w:num w:numId="3">
    <w:abstractNumId w:val="0"/>
  </w:num>
  <w:num w:numId="4">
    <w:abstractNumId w:val="2"/>
  </w:num>
  <w:num w:numId="5">
    <w:abstractNumId w:val="3"/>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66C20"/>
    <w:rsid w:val="00002B1D"/>
    <w:rsid w:val="000702B6"/>
    <w:rsid w:val="000F7085"/>
    <w:rsid w:val="001446E6"/>
    <w:rsid w:val="001E7373"/>
    <w:rsid w:val="001F5D67"/>
    <w:rsid w:val="0024308B"/>
    <w:rsid w:val="00247BC7"/>
    <w:rsid w:val="002647FE"/>
    <w:rsid w:val="00307F6E"/>
    <w:rsid w:val="00311BAB"/>
    <w:rsid w:val="003C04E4"/>
    <w:rsid w:val="003D6FE9"/>
    <w:rsid w:val="003F5086"/>
    <w:rsid w:val="00404717"/>
    <w:rsid w:val="00460FF8"/>
    <w:rsid w:val="004810A3"/>
    <w:rsid w:val="004D2B8C"/>
    <w:rsid w:val="00561559"/>
    <w:rsid w:val="0064531C"/>
    <w:rsid w:val="00662223"/>
    <w:rsid w:val="00692BE8"/>
    <w:rsid w:val="006C7048"/>
    <w:rsid w:val="00781FEC"/>
    <w:rsid w:val="007831AE"/>
    <w:rsid w:val="007C6DA5"/>
    <w:rsid w:val="00847A8C"/>
    <w:rsid w:val="00851515"/>
    <w:rsid w:val="00870C22"/>
    <w:rsid w:val="00921F56"/>
    <w:rsid w:val="009457D4"/>
    <w:rsid w:val="009B59D4"/>
    <w:rsid w:val="009E6A52"/>
    <w:rsid w:val="00A66C20"/>
    <w:rsid w:val="00A71B9D"/>
    <w:rsid w:val="00B0174E"/>
    <w:rsid w:val="00BD329A"/>
    <w:rsid w:val="00D00F32"/>
    <w:rsid w:val="00D1506A"/>
    <w:rsid w:val="00D23DF2"/>
    <w:rsid w:val="00D31A64"/>
    <w:rsid w:val="00D31DFA"/>
    <w:rsid w:val="00D508C1"/>
    <w:rsid w:val="00F05E91"/>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7AF36A72-3761-46F7-BEBF-1E768AD792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o-R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810A3"/>
    <w:pPr>
      <w:spacing w:after="0" w:line="240" w:lineRule="auto"/>
      <w:jc w:val="both"/>
    </w:pPr>
    <w:rPr>
      <w:rFonts w:ascii="Times New Roman" w:eastAsia="Times New Roman" w:hAnsi="Times New Roman" w:cs="Times New Roman"/>
      <w:sz w:val="24"/>
      <w:szCs w:val="24"/>
    </w:rPr>
  </w:style>
  <w:style w:type="paragraph" w:styleId="Heading2">
    <w:name w:val="heading 2"/>
    <w:basedOn w:val="Normal"/>
    <w:next w:val="Normal"/>
    <w:link w:val="Heading2Char"/>
    <w:uiPriority w:val="99"/>
    <w:qFormat/>
    <w:rsid w:val="00D31DFA"/>
    <w:pPr>
      <w:keepNext/>
      <w:jc w:val="center"/>
      <w:outlineLvl w:val="1"/>
    </w:pPr>
    <w:rPr>
      <w:b/>
      <w:bCs/>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3">
    <w:name w:val="Body Text 3"/>
    <w:basedOn w:val="Normal"/>
    <w:link w:val="BodyText3Char"/>
    <w:uiPriority w:val="99"/>
    <w:rsid w:val="004810A3"/>
    <w:pPr>
      <w:tabs>
        <w:tab w:val="left" w:pos="360"/>
      </w:tabs>
      <w:jc w:val="center"/>
    </w:pPr>
    <w:rPr>
      <w:b/>
      <w:bCs/>
      <w:caps/>
      <w:sz w:val="28"/>
      <w:szCs w:val="28"/>
    </w:rPr>
  </w:style>
  <w:style w:type="character" w:customStyle="1" w:styleId="BodyText3Char">
    <w:name w:val="Body Text 3 Char"/>
    <w:basedOn w:val="DefaultParagraphFont"/>
    <w:link w:val="BodyText3"/>
    <w:uiPriority w:val="99"/>
    <w:rsid w:val="004810A3"/>
    <w:rPr>
      <w:rFonts w:ascii="Times New Roman" w:eastAsia="Times New Roman" w:hAnsi="Times New Roman" w:cs="Times New Roman"/>
      <w:b/>
      <w:bCs/>
      <w:caps/>
      <w:sz w:val="28"/>
      <w:szCs w:val="28"/>
    </w:rPr>
  </w:style>
  <w:style w:type="paragraph" w:styleId="Title">
    <w:name w:val="Title"/>
    <w:basedOn w:val="Normal"/>
    <w:link w:val="TitleChar"/>
    <w:uiPriority w:val="99"/>
    <w:qFormat/>
    <w:rsid w:val="004810A3"/>
    <w:pPr>
      <w:jc w:val="center"/>
    </w:pPr>
    <w:rPr>
      <w:rFonts w:ascii="TimesRomanR" w:hAnsi="TimesRomanR" w:cs="TimesRomanR"/>
      <w:b/>
      <w:bCs/>
      <w:lang w:val="en-AU" w:eastAsia="ro-RO"/>
    </w:rPr>
  </w:style>
  <w:style w:type="character" w:customStyle="1" w:styleId="TitleChar">
    <w:name w:val="Title Char"/>
    <w:basedOn w:val="DefaultParagraphFont"/>
    <w:link w:val="Title"/>
    <w:uiPriority w:val="99"/>
    <w:rsid w:val="004810A3"/>
    <w:rPr>
      <w:rFonts w:ascii="TimesRomanR" w:eastAsia="Times New Roman" w:hAnsi="TimesRomanR" w:cs="TimesRomanR"/>
      <w:b/>
      <w:bCs/>
      <w:sz w:val="24"/>
      <w:szCs w:val="24"/>
      <w:lang w:val="en-AU" w:eastAsia="ro-RO"/>
    </w:rPr>
  </w:style>
  <w:style w:type="paragraph" w:styleId="BalloonText">
    <w:name w:val="Balloon Text"/>
    <w:basedOn w:val="Normal"/>
    <w:link w:val="BalloonTextChar"/>
    <w:uiPriority w:val="99"/>
    <w:semiHidden/>
    <w:unhideWhenUsed/>
    <w:rsid w:val="00692BE8"/>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92BE8"/>
    <w:rPr>
      <w:rFonts w:ascii="Segoe UI" w:eastAsia="Times New Roman" w:hAnsi="Segoe UI" w:cs="Segoe UI"/>
      <w:sz w:val="18"/>
      <w:szCs w:val="18"/>
    </w:rPr>
  </w:style>
  <w:style w:type="paragraph" w:styleId="ListParagraph">
    <w:name w:val="List Paragraph"/>
    <w:basedOn w:val="Normal"/>
    <w:uiPriority w:val="34"/>
    <w:qFormat/>
    <w:rsid w:val="00002B1D"/>
    <w:pPr>
      <w:ind w:left="720"/>
      <w:contextualSpacing/>
    </w:pPr>
  </w:style>
  <w:style w:type="paragraph" w:styleId="BodyText2">
    <w:name w:val="Body Text 2"/>
    <w:basedOn w:val="Normal"/>
    <w:link w:val="BodyText2Char"/>
    <w:uiPriority w:val="99"/>
    <w:unhideWhenUsed/>
    <w:rsid w:val="001E7373"/>
    <w:pPr>
      <w:spacing w:after="120" w:line="480" w:lineRule="auto"/>
    </w:pPr>
  </w:style>
  <w:style w:type="character" w:customStyle="1" w:styleId="BodyText2Char">
    <w:name w:val="Body Text 2 Char"/>
    <w:basedOn w:val="DefaultParagraphFont"/>
    <w:link w:val="BodyText2"/>
    <w:uiPriority w:val="99"/>
    <w:rsid w:val="001E7373"/>
    <w:rPr>
      <w:rFonts w:ascii="Times New Roman" w:eastAsia="Times New Roman" w:hAnsi="Times New Roman" w:cs="Times New Roman"/>
      <w:sz w:val="24"/>
      <w:szCs w:val="24"/>
    </w:rPr>
  </w:style>
  <w:style w:type="character" w:customStyle="1" w:styleId="Heading2Char">
    <w:name w:val="Heading 2 Char"/>
    <w:basedOn w:val="DefaultParagraphFont"/>
    <w:link w:val="Heading2"/>
    <w:uiPriority w:val="99"/>
    <w:rsid w:val="00D31DFA"/>
    <w:rPr>
      <w:rFonts w:ascii="Times New Roman" w:eastAsia="Times New Roman" w:hAnsi="Times New Roman" w:cs="Times New Roman"/>
      <w:b/>
      <w:bCs/>
      <w:i/>
      <w:iCs/>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371970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1FB241D-A81B-4DDB-8F2F-5885CE78283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3</Pages>
  <Words>1152</Words>
  <Characters>6685</Characters>
  <Application>Microsoft Office Word</Application>
  <DocSecurity>0</DocSecurity>
  <Lines>55</Lines>
  <Paragraphs>15</Paragraphs>
  <ScaleCrop>false</ScaleCrop>
  <HeadingPairs>
    <vt:vector size="2" baseType="variant">
      <vt:variant>
        <vt:lpstr>Title</vt:lpstr>
      </vt:variant>
      <vt:variant>
        <vt:i4>1</vt:i4>
      </vt:variant>
    </vt:vector>
  </HeadingPairs>
  <TitlesOfParts>
    <vt:vector size="1" baseType="lpstr">
      <vt:lpstr/>
    </vt:vector>
  </TitlesOfParts>
  <Company>ANRE</Company>
  <LinksUpToDate>false</LinksUpToDate>
  <CharactersWithSpaces>7822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Mariana EMILESCU</dc:creator>
  <cp:keywords/>
  <dc:description/>
  <cp:lastModifiedBy>Mariana EMILESCU</cp:lastModifiedBy>
  <cp:revision>4</cp:revision>
  <cp:lastPrinted>2016-03-07T11:01:00Z</cp:lastPrinted>
  <dcterms:created xsi:type="dcterms:W3CDTF">2016-03-07T14:35:00Z</dcterms:created>
  <dcterms:modified xsi:type="dcterms:W3CDTF">2016-03-07T14:42:00Z</dcterms:modified>
</cp:coreProperties>
</file>