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194" w:rsidRDefault="000C1194" w:rsidP="000C1194"/>
    <w:p w:rsidR="000C1194" w:rsidRDefault="000C1194" w:rsidP="000C1194">
      <w:r>
        <w:t>ADMIE, ESO, TRANSELECTRICA</w:t>
      </w:r>
    </w:p>
    <w:p w:rsidR="000C1194" w:rsidRDefault="000C1194" w:rsidP="000C1194"/>
    <w:p w:rsidR="000C1194" w:rsidRDefault="000C1194" w:rsidP="000C1194">
      <w:pPr>
        <w:rPr>
          <w:sz w:val="32"/>
          <w:szCs w:val="32"/>
        </w:rPr>
      </w:pPr>
      <w:r w:rsidRPr="000C1194">
        <w:rPr>
          <w:sz w:val="32"/>
          <w:szCs w:val="32"/>
        </w:rPr>
        <w:t>Re</w:t>
      </w:r>
      <w:r>
        <w:rPr>
          <w:sz w:val="32"/>
          <w:szCs w:val="32"/>
        </w:rPr>
        <w:t>gion Explanatory note for SEE CCR TSOs proposal for design of Long Term Transmission Rights in accordance with Article 31 of the Commission Regulation (EU) 2016/1719 of 26 September 2016 establishing a Guideline on Forward Capacity Alloca</w:t>
      </w:r>
      <w:bookmarkStart w:id="0" w:name="_GoBack"/>
      <w:bookmarkEnd w:id="0"/>
      <w:r>
        <w:rPr>
          <w:sz w:val="32"/>
          <w:szCs w:val="32"/>
        </w:rPr>
        <w:t>tion</w:t>
      </w:r>
    </w:p>
    <w:p w:rsidR="000C1194" w:rsidRDefault="000C1194" w:rsidP="000C1194">
      <w:pPr>
        <w:rPr>
          <w:sz w:val="32"/>
          <w:szCs w:val="32"/>
        </w:rPr>
      </w:pPr>
    </w:p>
    <w:p w:rsidR="000C1194" w:rsidRDefault="000C1194" w:rsidP="000C1194">
      <w:r>
        <w:t>Explanatory note for the common proposal development by all Transmission System Operators within the South East Europe Region regarding the design of Long Term Transmission Rights in South East Region, pursuant to Article 31 of Regulation (EU) 2016/1719 on Capacity Forward Allocation</w:t>
      </w:r>
    </w:p>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Default="000C1194" w:rsidP="000C1194"/>
    <w:p w:rsidR="000C1194" w:rsidRPr="000C1194" w:rsidRDefault="000C1194" w:rsidP="000C1194">
      <w:r>
        <w:t>February 2017</w:t>
      </w:r>
    </w:p>
    <w:p w:rsidR="000C1194" w:rsidRDefault="000C1194" w:rsidP="000C1194"/>
    <w:p w:rsidR="000C1194" w:rsidRDefault="000C1194" w:rsidP="000C1194"/>
    <w:p w:rsidR="000C1194" w:rsidRPr="000C1194" w:rsidRDefault="000C1194" w:rsidP="000C1194">
      <w:pPr>
        <w:pStyle w:val="Heading1"/>
        <w:numPr>
          <w:ilvl w:val="0"/>
          <w:numId w:val="3"/>
        </w:numPr>
        <w:rPr>
          <w:rFonts w:asciiTheme="minorHAnsi" w:hAnsiTheme="minorHAnsi"/>
        </w:rPr>
      </w:pPr>
      <w:r w:rsidRPr="000C1194">
        <w:rPr>
          <w:rFonts w:asciiTheme="minorHAnsi" w:hAnsiTheme="minorHAnsi"/>
        </w:rPr>
        <w:t>Introduction</w:t>
      </w:r>
    </w:p>
    <w:p w:rsidR="000C1194" w:rsidRPr="000C1194" w:rsidRDefault="000C1194" w:rsidP="000C1194">
      <w:pPr>
        <w:jc w:val="both"/>
      </w:pPr>
      <w:r w:rsidRPr="000C1194">
        <w:t>The Regulation (EU) 2016/1719 of 26 September 2016 establishing a guideline on forward capacity allocation (hereinafter “the FCA Regulation”) lays down detailed rules on:</w:t>
      </w:r>
    </w:p>
    <w:p w:rsidR="000C1194" w:rsidRPr="000C1194" w:rsidRDefault="000C1194" w:rsidP="000C1194">
      <w:pPr>
        <w:pStyle w:val="ListParagraph"/>
        <w:numPr>
          <w:ilvl w:val="0"/>
          <w:numId w:val="1"/>
        </w:numPr>
        <w:jc w:val="both"/>
      </w:pPr>
      <w:r w:rsidRPr="000C1194">
        <w:t>cross-zonal capacity allocation in the forward markets;</w:t>
      </w:r>
    </w:p>
    <w:p w:rsidR="000C1194" w:rsidRPr="000C1194" w:rsidRDefault="000C1194" w:rsidP="000C1194">
      <w:pPr>
        <w:pStyle w:val="ListParagraph"/>
        <w:numPr>
          <w:ilvl w:val="0"/>
          <w:numId w:val="1"/>
        </w:numPr>
        <w:jc w:val="both"/>
      </w:pPr>
      <w:r w:rsidRPr="000C1194">
        <w:t>the establishment of a common methodology to determine long-term cross-zonal capacity;</w:t>
      </w:r>
    </w:p>
    <w:p w:rsidR="000C1194" w:rsidRPr="000C1194" w:rsidRDefault="000C1194" w:rsidP="000C1194">
      <w:pPr>
        <w:pStyle w:val="ListParagraph"/>
        <w:numPr>
          <w:ilvl w:val="0"/>
          <w:numId w:val="1"/>
        </w:numPr>
        <w:jc w:val="both"/>
      </w:pPr>
      <w:r w:rsidRPr="000C1194">
        <w:t>the establishment of a single allocation platform at European level offering long-term transmission rights, and</w:t>
      </w:r>
    </w:p>
    <w:p w:rsidR="000C1194" w:rsidRPr="000C1194" w:rsidRDefault="000C1194" w:rsidP="000C1194">
      <w:pPr>
        <w:pStyle w:val="ListParagraph"/>
        <w:numPr>
          <w:ilvl w:val="0"/>
          <w:numId w:val="1"/>
        </w:numPr>
        <w:jc w:val="both"/>
      </w:pPr>
      <w:r w:rsidRPr="000C1194">
        <w:t xml:space="preserve">the possibility to return long-term transmission rights for subsequent forward capacity allocation or transfer long-term transmission rights between market participants. </w:t>
      </w:r>
    </w:p>
    <w:p w:rsidR="000C1194" w:rsidRPr="000C1194" w:rsidRDefault="000C1194" w:rsidP="000C1194">
      <w:pPr>
        <w:jc w:val="both"/>
      </w:pPr>
      <w:r w:rsidRPr="000C1194">
        <w:t xml:space="preserve">With reference to Article 31(3) of FCA Regulation, ADMIE (also referred as “IPTO”) </w:t>
      </w:r>
      <w:r>
        <w:t xml:space="preserve">ESO EAD </w:t>
      </w:r>
      <w:r w:rsidRPr="000C1194">
        <w:t xml:space="preserve">and </w:t>
      </w:r>
      <w:r>
        <w:t>TRANSELECTRICA</w:t>
      </w:r>
      <w:r w:rsidRPr="000C1194">
        <w:t xml:space="preserve"> as the Transmission System Operators of  </w:t>
      </w:r>
      <w:r>
        <w:t>South East Europe</w:t>
      </w:r>
      <w:r w:rsidRPr="000C1194">
        <w:t xml:space="preserve"> Capacity Calculation Region (hereafter referred to as ‘</w:t>
      </w:r>
      <w:r>
        <w:t>SEE CCR</w:t>
      </w:r>
      <w:r w:rsidRPr="000C1194">
        <w:t xml:space="preserve"> TSOs’), intends to define the design of Long Term Transmission Rights in  </w:t>
      </w:r>
      <w:r>
        <w:t>South East</w:t>
      </w:r>
      <w:r w:rsidRPr="000C1194">
        <w:t xml:space="preserve"> Capacity Calculation Region, being understood that such design should at least contain the type of products offered, the timeframes, the form of products and time schedule for implementation. Furthermore, with reference to Article 6 of the FCA Regulation, ADMIE </w:t>
      </w:r>
      <w:r>
        <w:t xml:space="preserve">ESO EAD </w:t>
      </w:r>
      <w:r w:rsidRPr="000C1194">
        <w:t xml:space="preserve">and </w:t>
      </w:r>
      <w:r>
        <w:t>TRANSELECTRICA</w:t>
      </w:r>
      <w:r w:rsidRPr="000C1194">
        <w:t xml:space="preserve"> intend to consult stakeholders accordingly. </w:t>
      </w:r>
    </w:p>
    <w:p w:rsidR="000C1194" w:rsidRPr="000C1194" w:rsidRDefault="000C1194" w:rsidP="000C1194">
      <w:pPr>
        <w:pStyle w:val="Heading1"/>
        <w:rPr>
          <w:rFonts w:asciiTheme="minorHAnsi" w:hAnsiTheme="minorHAnsi"/>
        </w:rPr>
      </w:pPr>
      <w:r w:rsidRPr="000C1194">
        <w:rPr>
          <w:rFonts w:asciiTheme="minorHAnsi" w:hAnsiTheme="minorHAnsi"/>
        </w:rPr>
        <w:t>Current Situation</w:t>
      </w:r>
    </w:p>
    <w:p w:rsidR="000C1194" w:rsidRPr="000C1194" w:rsidRDefault="000C1194" w:rsidP="000C1194">
      <w:pPr>
        <w:jc w:val="both"/>
      </w:pPr>
      <w:r w:rsidRPr="000C1194">
        <w:t>On Bidding Zone border</w:t>
      </w:r>
      <w:r>
        <w:t>s</w:t>
      </w:r>
      <w:r w:rsidRPr="000C1194">
        <w:t xml:space="preserve"> between </w:t>
      </w:r>
      <w:r>
        <w:t xml:space="preserve">Bulgaria - </w:t>
      </w:r>
      <w:r w:rsidRPr="000C1194">
        <w:t>Greece,</w:t>
      </w:r>
      <w:r>
        <w:t xml:space="preserve"> and Bulgaria - Romania </w:t>
      </w:r>
      <w:r w:rsidRPr="000C1194">
        <w:t xml:space="preserve"> the Long Term Transmission Rights products currently allocated are Physical Transmission Rights (hereinafter “PTR”).</w:t>
      </w:r>
    </w:p>
    <w:p w:rsidR="000C1194" w:rsidRPr="000C1194" w:rsidRDefault="000C1194" w:rsidP="000C1194">
      <w:pPr>
        <w:jc w:val="both"/>
      </w:pPr>
      <w:r w:rsidRPr="000C1194">
        <w:t>The PTRs applied on this border in both directions are PTRs base load products: this product entitles its holder to physically transfer by nominating a certain hourly volume of electricity between the two Bidding Zones of the Bidding Zone border in accordance with the applicable nomination rules. It consists in a product with a fixed amount of cross-border capacity over its delivery period.</w:t>
      </w:r>
    </w:p>
    <w:p w:rsidR="000C1194" w:rsidRPr="000C1194" w:rsidRDefault="000C1194" w:rsidP="000C1194">
      <w:pPr>
        <w:jc w:val="both"/>
      </w:pPr>
      <w:r w:rsidRPr="000C1194">
        <w:t>In case the holder does not nominate its PTRs, non-nominated PTRs are available for the relevant day-ahead allocation. PTRs holder shall be remunerated for the PTRs which are reallocated to the relevant daily allocation in accordance with EU Harmonized Allocation Rules.</w:t>
      </w:r>
    </w:p>
    <w:p w:rsidR="000C1194" w:rsidRPr="000C1194" w:rsidRDefault="000C1194" w:rsidP="000C1194">
      <w:pPr>
        <w:jc w:val="both"/>
      </w:pPr>
      <w:r w:rsidRPr="000C1194">
        <w:t>These products are currently traded through</w:t>
      </w:r>
      <w:r w:rsidR="008F0244">
        <w:t xml:space="preserve"> an</w:t>
      </w:r>
      <w:r w:rsidRPr="000C1194">
        <w:t xml:space="preserve"> allocation platform </w:t>
      </w:r>
      <w:r w:rsidR="008F0244">
        <w:t>defined by EU HAR</w:t>
      </w:r>
      <w:r w:rsidRPr="000C1194">
        <w:t xml:space="preserve"> as in the following specific form:</w:t>
      </w:r>
    </w:p>
    <w:p w:rsidR="000C1194" w:rsidRPr="000C1194" w:rsidRDefault="000C1194" w:rsidP="000C1194">
      <w:pPr>
        <w:pStyle w:val="ListParagraph"/>
        <w:numPr>
          <w:ilvl w:val="0"/>
          <w:numId w:val="1"/>
        </w:numPr>
        <w:jc w:val="both"/>
      </w:pPr>
      <w:r w:rsidRPr="000C1194">
        <w:t>Monthly auctions;</w:t>
      </w:r>
    </w:p>
    <w:p w:rsidR="000C1194" w:rsidRPr="000C1194" w:rsidRDefault="000C1194" w:rsidP="000C1194">
      <w:pPr>
        <w:pStyle w:val="ListParagraph"/>
        <w:numPr>
          <w:ilvl w:val="0"/>
          <w:numId w:val="1"/>
        </w:numPr>
        <w:jc w:val="both"/>
      </w:pPr>
      <w:r w:rsidRPr="000C1194">
        <w:t>Yearly auctions.</w:t>
      </w:r>
    </w:p>
    <w:p w:rsidR="000C1194" w:rsidRPr="000C1194" w:rsidRDefault="000C1194" w:rsidP="000C1194">
      <w:pPr>
        <w:jc w:val="both"/>
      </w:pPr>
      <w:r w:rsidRPr="000C1194">
        <w:t>Since foreseen outages for maintenance could have a significant impact on the available capacities for this border, products allocated in these auctions may include a reduction period in order to increase the capacity offered to the market on the long term timeframes.</w:t>
      </w:r>
    </w:p>
    <w:p w:rsidR="000C1194" w:rsidRPr="000C1194" w:rsidRDefault="000C1194" w:rsidP="000C1194">
      <w:pPr>
        <w:pStyle w:val="Heading1"/>
        <w:rPr>
          <w:rFonts w:asciiTheme="minorHAnsi" w:hAnsiTheme="minorHAnsi"/>
        </w:rPr>
      </w:pPr>
      <w:r w:rsidRPr="000C1194">
        <w:rPr>
          <w:rFonts w:asciiTheme="minorHAnsi" w:hAnsiTheme="minorHAnsi"/>
        </w:rPr>
        <w:lastRenderedPageBreak/>
        <w:t>Type of long-term transmission rights</w:t>
      </w:r>
    </w:p>
    <w:p w:rsidR="000C1194" w:rsidRPr="000C1194" w:rsidRDefault="000C1194" w:rsidP="000C1194">
      <w:pPr>
        <w:jc w:val="both"/>
      </w:pPr>
      <w:r w:rsidRPr="000C1194">
        <w:t xml:space="preserve">Long-term cross-zonal capacity shall be allocated to market participants by the allocation platform in the form of physical transmission rights pursuant to the Use It Or Sell It (hereinafter “UIOSI”) principle. </w:t>
      </w:r>
    </w:p>
    <w:p w:rsidR="000C1194" w:rsidRPr="000C1194" w:rsidRDefault="000C1194" w:rsidP="000C1194">
      <w:pPr>
        <w:jc w:val="both"/>
      </w:pPr>
      <w:r w:rsidRPr="000C1194">
        <w:t>UIOSI means the principle according to which the underlying cross-zonal capacity of PTRs allocated in the long term timeframe and non-nominated is automatically made available for day-ahead capacity allocation and according to which the holder of these physical transmission rights receives remuneration.</w:t>
      </w:r>
    </w:p>
    <w:p w:rsidR="000C1194" w:rsidRPr="000C1194" w:rsidRDefault="000C1194" w:rsidP="000C1194">
      <w:pPr>
        <w:jc w:val="both"/>
      </w:pPr>
      <w:r w:rsidRPr="000C1194">
        <w:t>A PTR gives the holder the exclusive right to use a particular interconnection in one direction to transfer a predefined quantity of energy from one market hub to the other. It is issued by TSOs or any owner of the interconnector, providing the holder the option to transport a certain volume of electricity in a certain period of time. The exercise of PTRs as options is performed through a nomination process in accordance with applicable nomination rules. The UIOSI provision ensures that non-nominated capacity is made automatically available for the day-ahead allocation. If market coupling is in place, the holder receives the difference between the day-ahead prices of the two concerned Bidding Zones in the direction of the transmission right.</w:t>
      </w:r>
    </w:p>
    <w:p w:rsidR="000C1194" w:rsidRPr="000C1194" w:rsidRDefault="000C1194" w:rsidP="000C1194">
      <w:pPr>
        <w:jc w:val="both"/>
      </w:pPr>
      <w:r w:rsidRPr="000C1194">
        <w:t xml:space="preserve">The holder of PTRs UIOSI does not assume the risk of a negative price differential. </w:t>
      </w:r>
    </w:p>
    <w:p w:rsidR="000C1194" w:rsidRPr="000C1194" w:rsidRDefault="000C1194" w:rsidP="000C1194">
      <w:pPr>
        <w:pStyle w:val="Heading1"/>
        <w:rPr>
          <w:rFonts w:asciiTheme="minorHAnsi" w:hAnsiTheme="minorHAnsi"/>
        </w:rPr>
      </w:pPr>
      <w:r w:rsidRPr="000C1194">
        <w:rPr>
          <w:rFonts w:asciiTheme="minorHAnsi" w:hAnsiTheme="minorHAnsi"/>
        </w:rPr>
        <w:t>Forward capacity allocation time frames</w:t>
      </w:r>
    </w:p>
    <w:p w:rsidR="000C1194" w:rsidRPr="000C1194" w:rsidRDefault="000C1194" w:rsidP="000C1194">
      <w:pPr>
        <w:jc w:val="both"/>
      </w:pPr>
      <w:r w:rsidRPr="000C1194">
        <w:t>As per article 31.2 of Regulation 1719/2016, long-term transmission rights shall be offered for at least annual and monthly timeframes.</w:t>
      </w:r>
    </w:p>
    <w:p w:rsidR="000C1194" w:rsidRPr="000C1194" w:rsidRDefault="000C1194" w:rsidP="000C1194">
      <w:pPr>
        <w:jc w:val="both"/>
      </w:pPr>
      <w:r w:rsidRPr="000C1194">
        <w:t>Additional timeframes for long-term products may be offered in a bidding zone border, always if enough amount of capacity is available to be shared among all timeframes.</w:t>
      </w:r>
    </w:p>
    <w:p w:rsidR="000C1194" w:rsidRPr="000C1194" w:rsidRDefault="000C1194" w:rsidP="000C1194">
      <w:pPr>
        <w:jc w:val="both"/>
      </w:pPr>
      <w:r w:rsidRPr="000C1194">
        <w:t>The most common timeframes, apart from annual and monthly, are quarterly and half-yearly timeframes.</w:t>
      </w:r>
    </w:p>
    <w:p w:rsidR="000C1194" w:rsidRPr="000C1194" w:rsidRDefault="000C1194" w:rsidP="000C1194">
      <w:pPr>
        <w:jc w:val="both"/>
      </w:pPr>
      <w:r w:rsidRPr="000C1194">
        <w:t>The parameters taken into account to assess the timeframes offered at specific biding zone border may be, among others, the usual maintenance periods, the timeframes of other forward products in the region or the needs expressed by market participants.</w:t>
      </w:r>
    </w:p>
    <w:p w:rsidR="000C1194" w:rsidRPr="000C1194" w:rsidRDefault="000C1194" w:rsidP="000C1194">
      <w:pPr>
        <w:jc w:val="both"/>
      </w:pPr>
      <w:r w:rsidRPr="000C1194">
        <w:t xml:space="preserve">The product timeframes currently provided at </w:t>
      </w:r>
      <w:r w:rsidR="004A484B">
        <w:t>SEE CCR</w:t>
      </w:r>
      <w:r w:rsidRPr="000C1194">
        <w:t xml:space="preserve"> borders are annual and monthly products.</w:t>
      </w:r>
    </w:p>
    <w:p w:rsidR="000C1194" w:rsidRPr="000C1194" w:rsidRDefault="000C1194" w:rsidP="000C1194">
      <w:pPr>
        <w:pStyle w:val="Heading1"/>
        <w:rPr>
          <w:rFonts w:asciiTheme="minorHAnsi" w:hAnsiTheme="minorHAnsi"/>
        </w:rPr>
      </w:pPr>
      <w:r w:rsidRPr="000C1194">
        <w:rPr>
          <w:rFonts w:asciiTheme="minorHAnsi" w:hAnsiTheme="minorHAnsi"/>
        </w:rPr>
        <w:t>Form of product (base load, peak load, off-peak load)</w:t>
      </w:r>
    </w:p>
    <w:p w:rsidR="000C1194" w:rsidRPr="000C1194" w:rsidRDefault="000C1194" w:rsidP="000C1194">
      <w:pPr>
        <w:jc w:val="both"/>
      </w:pPr>
      <w:r w:rsidRPr="000C1194">
        <w:t xml:space="preserve">Since Long Term cross-zonal products can be used for hedging cross-border trades done on the power markets, the form of products offered shall be consistent with products exchanged on these markets. Since the baseload products are the most liquid on power hedging markets, </w:t>
      </w:r>
      <w:r w:rsidR="004A484B">
        <w:t>SEE CCR</w:t>
      </w:r>
      <w:r w:rsidRPr="000C1194">
        <w:t xml:space="preserve"> TSOs are allocating long term cross-zonal capacities in the form of baseload to comply with hedging needs of market.</w:t>
      </w:r>
    </w:p>
    <w:p w:rsidR="000C1194" w:rsidRPr="000C1194" w:rsidRDefault="000C1194" w:rsidP="000C1194">
      <w:pPr>
        <w:jc w:val="both"/>
      </w:pPr>
      <w:r w:rsidRPr="000C1194">
        <w:t xml:space="preserve">Since foreseen outages have a significant impact on the available capacities for the borders of </w:t>
      </w:r>
      <w:r w:rsidR="004A484B">
        <w:t>SEE CCR</w:t>
      </w:r>
      <w:r w:rsidRPr="000C1194">
        <w:t xml:space="preserve"> Capacity Calculation Region, the product may include a reduction period (a period of time during which Cross Zonal Capacities with a reduced amount of capacity are </w:t>
      </w:r>
      <w:r w:rsidRPr="000C1194">
        <w:lastRenderedPageBreak/>
        <w:t>offered taking into account a foreseen specific network situation) in order to increase the capacity offered to the market on the long term timeframe.</w:t>
      </w:r>
    </w:p>
    <w:p w:rsidR="000C1194" w:rsidRPr="000C1194" w:rsidRDefault="000C1194" w:rsidP="000C1194">
      <w:pPr>
        <w:pStyle w:val="Heading1"/>
        <w:rPr>
          <w:rFonts w:asciiTheme="minorHAnsi" w:hAnsiTheme="minorHAnsi"/>
        </w:rPr>
      </w:pPr>
      <w:r w:rsidRPr="000C1194">
        <w:rPr>
          <w:rFonts w:asciiTheme="minorHAnsi" w:hAnsiTheme="minorHAnsi"/>
        </w:rPr>
        <w:t>Time schedule for implementation</w:t>
      </w:r>
    </w:p>
    <w:p w:rsidR="00DA250E" w:rsidRDefault="000C1194" w:rsidP="000C1194">
      <w:r w:rsidRPr="000C1194">
        <w:t xml:space="preserve">Once the proposal has been approved by relevant NRAs, </w:t>
      </w:r>
      <w:r w:rsidR="004A484B">
        <w:t xml:space="preserve">SEE CCR </w:t>
      </w:r>
      <w:r w:rsidRPr="000C1194">
        <w:t>TSOs are rea</w:t>
      </w:r>
      <w:r w:rsidR="004A484B">
        <w:t>dy to implement such a proposal starting from 2018 allocation.</w:t>
      </w:r>
    </w:p>
    <w:sectPr w:rsidR="00DA250E">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D70" w:rsidRDefault="00116D70" w:rsidP="0091164E">
      <w:pPr>
        <w:spacing w:after="0" w:line="240" w:lineRule="auto"/>
      </w:pPr>
      <w:r>
        <w:separator/>
      </w:r>
    </w:p>
  </w:endnote>
  <w:endnote w:type="continuationSeparator" w:id="0">
    <w:p w:rsidR="00116D70" w:rsidRDefault="00116D70" w:rsidP="00911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1396535"/>
      <w:docPartObj>
        <w:docPartGallery w:val="Page Numbers (Bottom of Page)"/>
        <w:docPartUnique/>
      </w:docPartObj>
    </w:sdtPr>
    <w:sdtEndPr>
      <w:rPr>
        <w:noProof/>
      </w:rPr>
    </w:sdtEndPr>
    <w:sdtContent>
      <w:p w:rsidR="0091164E" w:rsidRDefault="0091164E">
        <w:pPr>
          <w:pStyle w:val="Footer"/>
          <w:jc w:val="right"/>
        </w:pPr>
        <w:r>
          <w:fldChar w:fldCharType="begin"/>
        </w:r>
        <w:r>
          <w:instrText xml:space="preserve"> PAGE   \* MERGEFORMAT </w:instrText>
        </w:r>
        <w:r>
          <w:fldChar w:fldCharType="separate"/>
        </w:r>
        <w:r w:rsidR="00EA3582">
          <w:rPr>
            <w:noProof/>
          </w:rPr>
          <w:t>1</w:t>
        </w:r>
        <w:r>
          <w:rPr>
            <w:noProof/>
          </w:rPr>
          <w:fldChar w:fldCharType="end"/>
        </w:r>
      </w:p>
    </w:sdtContent>
  </w:sdt>
  <w:p w:rsidR="0091164E" w:rsidRDefault="009116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D70" w:rsidRDefault="00116D70" w:rsidP="0091164E">
      <w:pPr>
        <w:spacing w:after="0" w:line="240" w:lineRule="auto"/>
      </w:pPr>
      <w:r>
        <w:separator/>
      </w:r>
    </w:p>
  </w:footnote>
  <w:footnote w:type="continuationSeparator" w:id="0">
    <w:p w:rsidR="00116D70" w:rsidRDefault="00116D70" w:rsidP="009116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A7AA5"/>
    <w:multiLevelType w:val="hybridMultilevel"/>
    <w:tmpl w:val="C95A1E0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39FB12D3"/>
    <w:multiLevelType w:val="hybridMultilevel"/>
    <w:tmpl w:val="539ACA8E"/>
    <w:lvl w:ilvl="0" w:tplc="5C5A54E4">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2264ED"/>
    <w:multiLevelType w:val="hybridMultilevel"/>
    <w:tmpl w:val="6938F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67B"/>
    <w:rsid w:val="000C1194"/>
    <w:rsid w:val="00116D70"/>
    <w:rsid w:val="002232E3"/>
    <w:rsid w:val="004A484B"/>
    <w:rsid w:val="008F0244"/>
    <w:rsid w:val="0091164E"/>
    <w:rsid w:val="00BF3927"/>
    <w:rsid w:val="00DA250E"/>
    <w:rsid w:val="00DC7F1C"/>
    <w:rsid w:val="00EA3582"/>
    <w:rsid w:val="00EA6B87"/>
    <w:rsid w:val="00F4767B"/>
    <w:rsid w:val="00FA05F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194"/>
    <w:pPr>
      <w:spacing w:after="160" w:line="259" w:lineRule="auto"/>
    </w:pPr>
    <w:rPr>
      <w:lang w:val="en-US"/>
    </w:rPr>
  </w:style>
  <w:style w:type="paragraph" w:styleId="Heading1">
    <w:name w:val="heading 1"/>
    <w:basedOn w:val="Normal"/>
    <w:next w:val="Normal"/>
    <w:link w:val="Heading1Char"/>
    <w:uiPriority w:val="9"/>
    <w:qFormat/>
    <w:rsid w:val="000C1194"/>
    <w:pPr>
      <w:keepNext/>
      <w:keepLines/>
      <w:numPr>
        <w:numId w:val="2"/>
      </w:numPr>
      <w:spacing w:before="240" w:after="0"/>
      <w:jc w:val="both"/>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194"/>
    <w:rPr>
      <w:rFonts w:asciiTheme="majorHAnsi" w:eastAsiaTheme="majorEastAsia" w:hAnsiTheme="majorHAnsi" w:cstheme="majorBidi"/>
      <w:color w:val="365F91" w:themeColor="accent1" w:themeShade="BF"/>
      <w:sz w:val="32"/>
      <w:szCs w:val="32"/>
      <w:lang w:val="en-US"/>
    </w:rPr>
  </w:style>
  <w:style w:type="paragraph" w:styleId="ListParagraph">
    <w:name w:val="List Paragraph"/>
    <w:basedOn w:val="Normal"/>
    <w:uiPriority w:val="34"/>
    <w:qFormat/>
    <w:rsid w:val="000C1194"/>
    <w:pPr>
      <w:ind w:left="720"/>
      <w:contextualSpacing/>
    </w:pPr>
  </w:style>
  <w:style w:type="paragraph" w:styleId="Header">
    <w:name w:val="header"/>
    <w:basedOn w:val="Normal"/>
    <w:link w:val="HeaderChar"/>
    <w:uiPriority w:val="99"/>
    <w:unhideWhenUsed/>
    <w:rsid w:val="0091164E"/>
    <w:pPr>
      <w:tabs>
        <w:tab w:val="center" w:pos="4536"/>
        <w:tab w:val="right" w:pos="9072"/>
      </w:tabs>
      <w:spacing w:after="0" w:line="240" w:lineRule="auto"/>
    </w:pPr>
  </w:style>
  <w:style w:type="character" w:customStyle="1" w:styleId="HeaderChar">
    <w:name w:val="Header Char"/>
    <w:basedOn w:val="DefaultParagraphFont"/>
    <w:link w:val="Header"/>
    <w:uiPriority w:val="99"/>
    <w:rsid w:val="0091164E"/>
    <w:rPr>
      <w:lang w:val="en-US"/>
    </w:rPr>
  </w:style>
  <w:style w:type="paragraph" w:styleId="Footer">
    <w:name w:val="footer"/>
    <w:basedOn w:val="Normal"/>
    <w:link w:val="FooterChar"/>
    <w:uiPriority w:val="99"/>
    <w:unhideWhenUsed/>
    <w:rsid w:val="0091164E"/>
    <w:pPr>
      <w:tabs>
        <w:tab w:val="center" w:pos="4536"/>
        <w:tab w:val="right" w:pos="9072"/>
      </w:tabs>
      <w:spacing w:after="0" w:line="240" w:lineRule="auto"/>
    </w:pPr>
  </w:style>
  <w:style w:type="character" w:customStyle="1" w:styleId="FooterChar">
    <w:name w:val="Footer Char"/>
    <w:basedOn w:val="DefaultParagraphFont"/>
    <w:link w:val="Footer"/>
    <w:uiPriority w:val="99"/>
    <w:rsid w:val="0091164E"/>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194"/>
    <w:pPr>
      <w:spacing w:after="160" w:line="259" w:lineRule="auto"/>
    </w:pPr>
    <w:rPr>
      <w:lang w:val="en-US"/>
    </w:rPr>
  </w:style>
  <w:style w:type="paragraph" w:styleId="Heading1">
    <w:name w:val="heading 1"/>
    <w:basedOn w:val="Normal"/>
    <w:next w:val="Normal"/>
    <w:link w:val="Heading1Char"/>
    <w:uiPriority w:val="9"/>
    <w:qFormat/>
    <w:rsid w:val="000C1194"/>
    <w:pPr>
      <w:keepNext/>
      <w:keepLines/>
      <w:numPr>
        <w:numId w:val="2"/>
      </w:numPr>
      <w:spacing w:before="240" w:after="0"/>
      <w:jc w:val="both"/>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194"/>
    <w:rPr>
      <w:rFonts w:asciiTheme="majorHAnsi" w:eastAsiaTheme="majorEastAsia" w:hAnsiTheme="majorHAnsi" w:cstheme="majorBidi"/>
      <w:color w:val="365F91" w:themeColor="accent1" w:themeShade="BF"/>
      <w:sz w:val="32"/>
      <w:szCs w:val="32"/>
      <w:lang w:val="en-US"/>
    </w:rPr>
  </w:style>
  <w:style w:type="paragraph" w:styleId="ListParagraph">
    <w:name w:val="List Paragraph"/>
    <w:basedOn w:val="Normal"/>
    <w:uiPriority w:val="34"/>
    <w:qFormat/>
    <w:rsid w:val="000C1194"/>
    <w:pPr>
      <w:ind w:left="720"/>
      <w:contextualSpacing/>
    </w:pPr>
  </w:style>
  <w:style w:type="paragraph" w:styleId="Header">
    <w:name w:val="header"/>
    <w:basedOn w:val="Normal"/>
    <w:link w:val="HeaderChar"/>
    <w:uiPriority w:val="99"/>
    <w:unhideWhenUsed/>
    <w:rsid w:val="0091164E"/>
    <w:pPr>
      <w:tabs>
        <w:tab w:val="center" w:pos="4536"/>
        <w:tab w:val="right" w:pos="9072"/>
      </w:tabs>
      <w:spacing w:after="0" w:line="240" w:lineRule="auto"/>
    </w:pPr>
  </w:style>
  <w:style w:type="character" w:customStyle="1" w:styleId="HeaderChar">
    <w:name w:val="Header Char"/>
    <w:basedOn w:val="DefaultParagraphFont"/>
    <w:link w:val="Header"/>
    <w:uiPriority w:val="99"/>
    <w:rsid w:val="0091164E"/>
    <w:rPr>
      <w:lang w:val="en-US"/>
    </w:rPr>
  </w:style>
  <w:style w:type="paragraph" w:styleId="Footer">
    <w:name w:val="footer"/>
    <w:basedOn w:val="Normal"/>
    <w:link w:val="FooterChar"/>
    <w:uiPriority w:val="99"/>
    <w:unhideWhenUsed/>
    <w:rsid w:val="0091164E"/>
    <w:pPr>
      <w:tabs>
        <w:tab w:val="center" w:pos="4536"/>
        <w:tab w:val="right" w:pos="9072"/>
      </w:tabs>
      <w:spacing w:after="0" w:line="240" w:lineRule="auto"/>
    </w:pPr>
  </w:style>
  <w:style w:type="character" w:customStyle="1" w:styleId="FooterChar">
    <w:name w:val="Footer Char"/>
    <w:basedOn w:val="DefaultParagraphFont"/>
    <w:link w:val="Footer"/>
    <w:uiPriority w:val="99"/>
    <w:rsid w:val="0091164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938</Words>
  <Characters>5443</Characters>
  <Application>Microsoft Office Word</Application>
  <DocSecurity>0</DocSecurity>
  <Lines>45</Lines>
  <Paragraphs>12</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 Company</Company>
  <LinksUpToDate>false</LinksUpToDate>
  <CharactersWithSpaces>6369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Μωραϊτης Ιωάννης</dc:creator>
  <cp:lastModifiedBy>Diana Paunescu</cp:lastModifiedBy>
  <cp:revision>2</cp:revision>
  <dcterms:created xsi:type="dcterms:W3CDTF">2017-04-10T13:16:00Z</dcterms:created>
  <dcterms:modified xsi:type="dcterms:W3CDTF">2017-04-10T13:16:00Z</dcterms:modified>
</cp:coreProperties>
</file>