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61588" w14:textId="77777777" w:rsidR="00CF78CE" w:rsidRPr="0060080A" w:rsidRDefault="00CF78CE" w:rsidP="00CB5067">
      <w:pPr>
        <w:spacing w:before="60" w:after="60" w:line="360" w:lineRule="auto"/>
        <w:jc w:val="center"/>
        <w:outlineLvl w:val="0"/>
        <w:rPr>
          <w:b/>
        </w:rPr>
      </w:pPr>
      <w:r w:rsidRPr="0060080A">
        <w:rPr>
          <w:b/>
        </w:rPr>
        <w:t>Ordin nr.</w:t>
      </w:r>
      <w:r w:rsidR="00212AE3" w:rsidRPr="0060080A">
        <w:rPr>
          <w:b/>
        </w:rPr>
        <w:t xml:space="preserve"> </w:t>
      </w:r>
      <w:r w:rsidR="00320DAB" w:rsidRPr="0060080A">
        <w:rPr>
          <w:b/>
        </w:rPr>
        <w:t xml:space="preserve">... </w:t>
      </w:r>
      <w:r w:rsidRPr="0060080A">
        <w:rPr>
          <w:b/>
        </w:rPr>
        <w:t xml:space="preserve">din </w:t>
      </w:r>
      <w:r w:rsidR="00320DAB" w:rsidRPr="0060080A">
        <w:rPr>
          <w:b/>
        </w:rPr>
        <w:t xml:space="preserve">... august </w:t>
      </w:r>
      <w:r w:rsidR="00CD4D90" w:rsidRPr="0060080A">
        <w:rPr>
          <w:b/>
        </w:rPr>
        <w:t>20</w:t>
      </w:r>
      <w:r w:rsidR="00212AE3" w:rsidRPr="0060080A">
        <w:rPr>
          <w:b/>
        </w:rPr>
        <w:t>20</w:t>
      </w:r>
    </w:p>
    <w:p w14:paraId="7174ED40" w14:textId="61702525" w:rsidR="00804BCF" w:rsidRPr="0060080A" w:rsidRDefault="006B0D89" w:rsidP="00CB5067">
      <w:pPr>
        <w:spacing w:before="60" w:after="60" w:line="360" w:lineRule="auto"/>
        <w:jc w:val="center"/>
        <w:outlineLvl w:val="0"/>
        <w:rPr>
          <w:b/>
        </w:rPr>
      </w:pPr>
      <w:r w:rsidRPr="0060080A">
        <w:rPr>
          <w:b/>
        </w:rPr>
        <w:t xml:space="preserve">pentru aprobarea </w:t>
      </w:r>
      <w:bookmarkStart w:id="0" w:name="_Hlk46421263"/>
      <w:r w:rsidRPr="0060080A">
        <w:rPr>
          <w:b/>
        </w:rPr>
        <w:t>R</w:t>
      </w:r>
      <w:r w:rsidRPr="0060080A">
        <w:rPr>
          <w:rFonts w:eastAsia="SimSun"/>
          <w:b/>
        </w:rPr>
        <w:t>egulamentului de calcul și de decontare a dezechilibrelor părților responsabile cu echilibrarea – preț unic de dezechilibru</w:t>
      </w:r>
      <w:bookmarkEnd w:id="0"/>
      <w:r w:rsidR="00CF78CE" w:rsidRPr="0060080A">
        <w:rPr>
          <w:b/>
        </w:rPr>
        <w:t xml:space="preserve"> </w:t>
      </w:r>
      <w:r w:rsidR="00873C14">
        <w:rPr>
          <w:b/>
        </w:rPr>
        <w:t xml:space="preserve">și </w:t>
      </w:r>
      <w:r w:rsidR="002523DB">
        <w:rPr>
          <w:b/>
        </w:rPr>
        <w:t xml:space="preserve">pentru modificarea și </w:t>
      </w:r>
      <w:r w:rsidR="00873C14">
        <w:rPr>
          <w:b/>
        </w:rPr>
        <w:t xml:space="preserve">abrogarea unor prevederi </w:t>
      </w:r>
      <w:r w:rsidR="002523DB">
        <w:rPr>
          <w:b/>
        </w:rPr>
        <w:t>pe piața de energie electrică</w:t>
      </w:r>
    </w:p>
    <w:p w14:paraId="2DBEB134" w14:textId="77777777" w:rsidR="00745B3A" w:rsidRPr="0060080A" w:rsidRDefault="00745B3A" w:rsidP="00CB5067">
      <w:pPr>
        <w:spacing w:before="60" w:after="60" w:line="360" w:lineRule="auto"/>
        <w:jc w:val="center"/>
        <w:outlineLvl w:val="0"/>
        <w:rPr>
          <w:b/>
        </w:rPr>
      </w:pPr>
    </w:p>
    <w:p w14:paraId="07A0E299" w14:textId="77777777" w:rsidR="00FE6FDD" w:rsidRPr="0060080A" w:rsidRDefault="00FE6FDD" w:rsidP="00CB5067">
      <w:pPr>
        <w:spacing w:before="60" w:after="60" w:line="360" w:lineRule="auto"/>
        <w:jc w:val="center"/>
        <w:outlineLvl w:val="0"/>
        <w:rPr>
          <w:b/>
        </w:rPr>
      </w:pPr>
    </w:p>
    <w:p w14:paraId="4221BEBB" w14:textId="3CC20DB2" w:rsidR="00CF78CE" w:rsidRPr="0060080A" w:rsidRDefault="00CF78CE" w:rsidP="0088151F">
      <w:pPr>
        <w:spacing w:line="360" w:lineRule="auto"/>
        <w:ind w:firstLine="720"/>
        <w:jc w:val="both"/>
      </w:pPr>
      <w:r w:rsidRPr="0060080A">
        <w:t>Av</w:t>
      </w:r>
      <w:r w:rsidR="00F17A1E" w:rsidRPr="0060080A">
        <w:t>â</w:t>
      </w:r>
      <w:r w:rsidRPr="0060080A">
        <w:t xml:space="preserve">nd </w:t>
      </w:r>
      <w:r w:rsidR="00F17A1E" w:rsidRPr="0060080A">
        <w:t>î</w:t>
      </w:r>
      <w:r w:rsidRPr="0060080A">
        <w:t>n vedere prevederile</w:t>
      </w:r>
      <w:r w:rsidR="00D42FE7" w:rsidRPr="0060080A">
        <w:t xml:space="preserve"> </w:t>
      </w:r>
      <w:r w:rsidR="004F76DC" w:rsidRPr="0060080A">
        <w:t xml:space="preserve">art. </w:t>
      </w:r>
      <w:r w:rsidR="0063161A" w:rsidRPr="0060080A">
        <w:t>52 alin. (</w:t>
      </w:r>
      <w:r w:rsidR="00FE23D6">
        <w:t>1</w:t>
      </w:r>
      <w:r w:rsidR="0063161A" w:rsidRPr="0060080A">
        <w:t>) din</w:t>
      </w:r>
      <w:r w:rsidR="004F76DC" w:rsidRPr="0060080A">
        <w:t xml:space="preserve"> Regulamentul (UE) </w:t>
      </w:r>
      <w:r w:rsidR="0063161A" w:rsidRPr="0060080A">
        <w:t>2195/2017</w:t>
      </w:r>
      <w:r w:rsidR="004F76DC" w:rsidRPr="0060080A">
        <w:t xml:space="preserve"> al </w:t>
      </w:r>
      <w:r w:rsidR="0063161A" w:rsidRPr="0060080A">
        <w:t>Comisiei</w:t>
      </w:r>
      <w:r w:rsidR="004F76DC" w:rsidRPr="0060080A">
        <w:t xml:space="preserve"> din </w:t>
      </w:r>
      <w:r w:rsidR="0063161A" w:rsidRPr="0060080A">
        <w:t>23</w:t>
      </w:r>
      <w:r w:rsidR="004F76DC" w:rsidRPr="0060080A">
        <w:t xml:space="preserve"> </w:t>
      </w:r>
      <w:r w:rsidR="0063161A" w:rsidRPr="0060080A">
        <w:t>noiembrie 2017 de stabilire a unei linii directoare privind echilibrarea sistemului de energie electrică</w:t>
      </w:r>
      <w:r w:rsidR="00B33100" w:rsidRPr="0060080A">
        <w:t xml:space="preserve">, </w:t>
      </w:r>
    </w:p>
    <w:p w14:paraId="239ED9C9" w14:textId="77777777" w:rsidR="00CF78CE" w:rsidRPr="0060080A" w:rsidRDefault="00F17A1E" w:rsidP="00CB5067">
      <w:pPr>
        <w:spacing w:line="360" w:lineRule="auto"/>
        <w:ind w:firstLine="720"/>
        <w:jc w:val="both"/>
      </w:pPr>
      <w:r w:rsidRPr="0060080A">
        <w:t>î</w:t>
      </w:r>
      <w:r w:rsidR="00CF78CE" w:rsidRPr="0060080A">
        <w:t>n temeiul dispozi</w:t>
      </w:r>
      <w:r w:rsidR="001535A1" w:rsidRPr="0060080A">
        <w:t>ț</w:t>
      </w:r>
      <w:r w:rsidR="00CF78CE" w:rsidRPr="0060080A">
        <w:t xml:space="preserve">iilor art. 5 alin. (1) lit. c) </w:t>
      </w:r>
      <w:r w:rsidR="001535A1" w:rsidRPr="0060080A">
        <w:t>ș</w:t>
      </w:r>
      <w:r w:rsidR="00CF78CE" w:rsidRPr="0060080A">
        <w:t xml:space="preserve">i ale art. 9 alin. (1) lit. </w:t>
      </w:r>
      <w:r w:rsidR="0005681B" w:rsidRPr="0060080A">
        <w:t>h</w:t>
      </w:r>
      <w:r w:rsidR="00B21C36" w:rsidRPr="0060080A">
        <w:t xml:space="preserve">) </w:t>
      </w:r>
      <w:r w:rsidR="00CF78CE" w:rsidRPr="0060080A">
        <w:t>din Ordonan</w:t>
      </w:r>
      <w:r w:rsidR="001535A1" w:rsidRPr="0060080A">
        <w:t>ț</w:t>
      </w:r>
      <w:r w:rsidR="00CF78CE" w:rsidRPr="0060080A">
        <w:t>a de urgen</w:t>
      </w:r>
      <w:r w:rsidR="001535A1" w:rsidRPr="0060080A">
        <w:t>ț</w:t>
      </w:r>
      <w:r w:rsidRPr="0060080A">
        <w:t>ă</w:t>
      </w:r>
      <w:r w:rsidR="00CF78CE" w:rsidRPr="0060080A">
        <w:t xml:space="preserve"> a Guvernului nr. 33/2007 privind organizarea </w:t>
      </w:r>
      <w:r w:rsidR="001535A1" w:rsidRPr="0060080A">
        <w:t>ș</w:t>
      </w:r>
      <w:r w:rsidR="00CF78CE" w:rsidRPr="0060080A">
        <w:t>i func</w:t>
      </w:r>
      <w:r w:rsidR="001535A1" w:rsidRPr="0060080A">
        <w:t>ț</w:t>
      </w:r>
      <w:r w:rsidR="00CF78CE" w:rsidRPr="0060080A">
        <w:t>ionarea Autorit</w:t>
      </w:r>
      <w:r w:rsidRPr="0060080A">
        <w:t>ă</w:t>
      </w:r>
      <w:r w:rsidR="001535A1" w:rsidRPr="0060080A">
        <w:t>ț</w:t>
      </w:r>
      <w:r w:rsidR="00CF78CE" w:rsidRPr="0060080A">
        <w:t>ii Na</w:t>
      </w:r>
      <w:r w:rsidR="001535A1" w:rsidRPr="0060080A">
        <w:t>ț</w:t>
      </w:r>
      <w:r w:rsidR="00CF78CE" w:rsidRPr="0060080A">
        <w:t xml:space="preserve">ionale de Reglementare </w:t>
      </w:r>
      <w:r w:rsidRPr="0060080A">
        <w:t>î</w:t>
      </w:r>
      <w:r w:rsidR="00CF78CE" w:rsidRPr="0060080A">
        <w:t>n domeniul Energiei, aprobat</w:t>
      </w:r>
      <w:r w:rsidRPr="0060080A">
        <w:t>ă</w:t>
      </w:r>
      <w:r w:rsidR="00CF78CE" w:rsidRPr="0060080A">
        <w:t xml:space="preserve"> cu modific</w:t>
      </w:r>
      <w:r w:rsidRPr="0060080A">
        <w:t>ă</w:t>
      </w:r>
      <w:r w:rsidR="00CF78CE" w:rsidRPr="0060080A">
        <w:t xml:space="preserve">ri </w:t>
      </w:r>
      <w:r w:rsidR="001535A1" w:rsidRPr="0060080A">
        <w:t>ș</w:t>
      </w:r>
      <w:r w:rsidR="00CF78CE" w:rsidRPr="0060080A">
        <w:t>i complet</w:t>
      </w:r>
      <w:r w:rsidRPr="0060080A">
        <w:t>ă</w:t>
      </w:r>
      <w:r w:rsidR="00CF78CE" w:rsidRPr="0060080A">
        <w:t>ri prin Legea nr. 160/2012,</w:t>
      </w:r>
      <w:r w:rsidR="00765380" w:rsidRPr="0060080A">
        <w:t xml:space="preserve"> cu modific</w:t>
      </w:r>
      <w:r w:rsidRPr="0060080A">
        <w:t>ă</w:t>
      </w:r>
      <w:r w:rsidR="00765380" w:rsidRPr="0060080A">
        <w:t>rile și complet</w:t>
      </w:r>
      <w:r w:rsidRPr="0060080A">
        <w:t>ă</w:t>
      </w:r>
      <w:r w:rsidR="00765380" w:rsidRPr="0060080A">
        <w:t>rile ulterioare,</w:t>
      </w:r>
    </w:p>
    <w:p w14:paraId="2015C34C" w14:textId="77777777" w:rsidR="00CF78CE" w:rsidRPr="0060080A" w:rsidRDefault="00CF78CE" w:rsidP="00CB5067">
      <w:pPr>
        <w:spacing w:line="360" w:lineRule="auto"/>
        <w:jc w:val="both"/>
        <w:rPr>
          <w:b/>
          <w:szCs w:val="20"/>
        </w:rPr>
      </w:pPr>
    </w:p>
    <w:p w14:paraId="7DF1F4D3" w14:textId="77777777" w:rsidR="00FE6FDD" w:rsidRPr="0060080A" w:rsidRDefault="00FE6FDD" w:rsidP="00CB5067">
      <w:pPr>
        <w:spacing w:line="360" w:lineRule="auto"/>
        <w:jc w:val="both"/>
        <w:rPr>
          <w:b/>
          <w:szCs w:val="20"/>
        </w:rPr>
      </w:pPr>
    </w:p>
    <w:p w14:paraId="464A4806" w14:textId="77777777" w:rsidR="00CF78CE" w:rsidRPr="0060080A" w:rsidRDefault="00506EB9" w:rsidP="00CB5067">
      <w:pPr>
        <w:spacing w:line="360" w:lineRule="auto"/>
        <w:jc w:val="both"/>
        <w:rPr>
          <w:szCs w:val="20"/>
        </w:rPr>
      </w:pPr>
      <w:r w:rsidRPr="0060080A">
        <w:rPr>
          <w:b/>
          <w:szCs w:val="20"/>
        </w:rPr>
        <w:t>p</w:t>
      </w:r>
      <w:r w:rsidR="00CF78CE" w:rsidRPr="0060080A">
        <w:rPr>
          <w:b/>
          <w:szCs w:val="20"/>
        </w:rPr>
        <w:t>re</w:t>
      </w:r>
      <w:r w:rsidR="001535A1" w:rsidRPr="0060080A">
        <w:rPr>
          <w:b/>
          <w:szCs w:val="20"/>
        </w:rPr>
        <w:t>ș</w:t>
      </w:r>
      <w:r w:rsidR="00CF78CE" w:rsidRPr="0060080A">
        <w:rPr>
          <w:b/>
          <w:szCs w:val="20"/>
        </w:rPr>
        <w:t>edintele Autorit</w:t>
      </w:r>
      <w:r w:rsidR="00F17A1E" w:rsidRPr="0060080A">
        <w:rPr>
          <w:b/>
          <w:szCs w:val="20"/>
        </w:rPr>
        <w:t>ă</w:t>
      </w:r>
      <w:r w:rsidR="001535A1" w:rsidRPr="0060080A">
        <w:rPr>
          <w:b/>
          <w:szCs w:val="20"/>
        </w:rPr>
        <w:t>ț</w:t>
      </w:r>
      <w:r w:rsidR="00CF78CE" w:rsidRPr="0060080A">
        <w:rPr>
          <w:b/>
          <w:szCs w:val="20"/>
        </w:rPr>
        <w:t>ii Na</w:t>
      </w:r>
      <w:r w:rsidR="001535A1" w:rsidRPr="0060080A">
        <w:rPr>
          <w:b/>
          <w:szCs w:val="20"/>
        </w:rPr>
        <w:t>ț</w:t>
      </w:r>
      <w:r w:rsidR="00CF78CE" w:rsidRPr="0060080A">
        <w:rPr>
          <w:b/>
          <w:szCs w:val="20"/>
        </w:rPr>
        <w:t xml:space="preserve">ionale de Reglementare </w:t>
      </w:r>
      <w:r w:rsidR="00F17A1E" w:rsidRPr="0060080A">
        <w:rPr>
          <w:b/>
          <w:szCs w:val="20"/>
        </w:rPr>
        <w:t>î</w:t>
      </w:r>
      <w:r w:rsidR="00CF78CE" w:rsidRPr="0060080A">
        <w:rPr>
          <w:b/>
          <w:szCs w:val="20"/>
        </w:rPr>
        <w:t xml:space="preserve">n Domeniul Energiei </w:t>
      </w:r>
      <w:r w:rsidR="00CF78CE" w:rsidRPr="0060080A">
        <w:rPr>
          <w:szCs w:val="20"/>
        </w:rPr>
        <w:t>emite urm</w:t>
      </w:r>
      <w:r w:rsidR="00F17A1E" w:rsidRPr="0060080A">
        <w:rPr>
          <w:szCs w:val="20"/>
        </w:rPr>
        <w:t>ă</w:t>
      </w:r>
      <w:r w:rsidR="00CF78CE" w:rsidRPr="0060080A">
        <w:rPr>
          <w:szCs w:val="20"/>
        </w:rPr>
        <w:t>torul ordin:</w:t>
      </w:r>
    </w:p>
    <w:p w14:paraId="2AB9F44F" w14:textId="77777777" w:rsidR="00CF78CE" w:rsidRPr="0060080A" w:rsidRDefault="00CF78CE" w:rsidP="00FE6FDD">
      <w:pPr>
        <w:spacing w:line="360" w:lineRule="auto"/>
        <w:jc w:val="both"/>
      </w:pPr>
    </w:p>
    <w:p w14:paraId="3ADE4448" w14:textId="77777777" w:rsidR="00FE6FDD" w:rsidRPr="0060080A" w:rsidRDefault="00FE6FDD" w:rsidP="00FE6FDD">
      <w:pPr>
        <w:spacing w:line="360" w:lineRule="auto"/>
        <w:jc w:val="both"/>
      </w:pPr>
    </w:p>
    <w:p w14:paraId="7BEE3FDD" w14:textId="228420D9" w:rsidR="000302F3" w:rsidRPr="0060080A" w:rsidRDefault="00E61A69" w:rsidP="0036561F">
      <w:pPr>
        <w:spacing w:line="360" w:lineRule="auto"/>
        <w:jc w:val="both"/>
      </w:pPr>
      <w:r w:rsidRPr="0060080A">
        <w:rPr>
          <w:b/>
        </w:rPr>
        <w:t xml:space="preserve">Art. </w:t>
      </w:r>
      <w:r w:rsidR="000E04CA">
        <w:rPr>
          <w:b/>
        </w:rPr>
        <w:t>1</w:t>
      </w:r>
      <w:r w:rsidRPr="0060080A">
        <w:rPr>
          <w:b/>
        </w:rPr>
        <w:t xml:space="preserve"> –</w:t>
      </w:r>
      <w:r w:rsidRPr="0060080A">
        <w:t xml:space="preserve"> </w:t>
      </w:r>
      <w:r w:rsidR="00D47F95" w:rsidRPr="0060080A">
        <w:t xml:space="preserve">Se aprobă </w:t>
      </w:r>
      <w:r w:rsidR="0051354C" w:rsidRPr="0060080A">
        <w:t>Regulamentul de calcul și de decontare a dezechilibrelor părților responsabile cu echilibrarea – preț unic de dezechilibru</w:t>
      </w:r>
      <w:r w:rsidR="00D47F95" w:rsidRPr="0060080A">
        <w:t xml:space="preserve">, prevăzut în anexa care face parte integrantă din prezentul ordin.  </w:t>
      </w:r>
    </w:p>
    <w:p w14:paraId="14098918" w14:textId="02582F42" w:rsidR="00767EC1" w:rsidRDefault="0042024A" w:rsidP="00767EC1">
      <w:pPr>
        <w:spacing w:line="360" w:lineRule="auto"/>
        <w:jc w:val="both"/>
      </w:pPr>
      <w:r w:rsidRPr="0060080A">
        <w:rPr>
          <w:b/>
          <w:bCs/>
        </w:rPr>
        <w:t xml:space="preserve">Art. </w:t>
      </w:r>
      <w:r w:rsidR="000E04CA">
        <w:rPr>
          <w:b/>
          <w:bCs/>
        </w:rPr>
        <w:t>2</w:t>
      </w:r>
      <w:r w:rsidRPr="0060080A">
        <w:t xml:space="preserve"> </w:t>
      </w:r>
      <w:r w:rsidR="0036561F" w:rsidRPr="0060080A">
        <w:t>–</w:t>
      </w:r>
      <w:r w:rsidRPr="0060080A">
        <w:t xml:space="preserve"> </w:t>
      </w:r>
      <w:r w:rsidR="00767EC1">
        <w:t xml:space="preserve">(1) </w:t>
      </w:r>
      <w:r w:rsidR="00666757">
        <w:t>Pentru</w:t>
      </w:r>
      <w:r w:rsidR="00767EC1">
        <w:t xml:space="preserve"> perioada 1 septembrie 2020 – 31 decembrie 2020</w:t>
      </w:r>
      <w:r w:rsidR="00666757">
        <w:t>,</w:t>
      </w:r>
      <w:r w:rsidR="00767EC1">
        <w:t xml:space="preserve"> ODPE</w:t>
      </w:r>
      <w:r w:rsidR="00666757">
        <w:t>,</w:t>
      </w:r>
      <w:r w:rsidR="00767EC1">
        <w:t xml:space="preserve"> în paralel cu </w:t>
      </w:r>
      <w:r w:rsidR="00666757">
        <w:t xml:space="preserve">realizarea calculelor pentru decontarea </w:t>
      </w:r>
      <w:r w:rsidR="00767EC1">
        <w:t>dezechilibrel</w:t>
      </w:r>
      <w:r w:rsidR="00666757">
        <w:t>or</w:t>
      </w:r>
      <w:r w:rsidR="00767EC1">
        <w:t xml:space="preserve"> părților responsabile cu echilibrarea rezultate conform aplicării prevederilor Regulamentului de calcul și de decontare a dezechilibrelor părților responsabile cu echilibrarea aprobate prin Ordinul președintelui ANRE nr. 61/2020, cu modificările și completările ulterioare</w:t>
      </w:r>
      <w:r w:rsidR="00666757">
        <w:t>, face simulări lunare, în luna următoare lunii de livrare pentru calculul</w:t>
      </w:r>
      <w:r w:rsidR="00767EC1">
        <w:t xml:space="preserve"> </w:t>
      </w:r>
      <w:r w:rsidR="00666757">
        <w:t xml:space="preserve">de decontare a </w:t>
      </w:r>
      <w:r w:rsidR="00767EC1">
        <w:t>dezechilibrel</w:t>
      </w:r>
      <w:r w:rsidR="00666757">
        <w:t>or</w:t>
      </w:r>
      <w:r w:rsidR="00767EC1">
        <w:t xml:space="preserve"> părților responsabile cu echilibrarea rezultate conform aplicării prevederilor regulamentului din anexa care face parte integrantă din prezentul ordin.</w:t>
      </w:r>
    </w:p>
    <w:p w14:paraId="1F006DAE" w14:textId="3D3D6313" w:rsidR="00767EC1" w:rsidRDefault="00767EC1" w:rsidP="00767EC1">
      <w:pPr>
        <w:spacing w:line="360" w:lineRule="auto"/>
        <w:jc w:val="both"/>
      </w:pPr>
      <w:r>
        <w:t xml:space="preserve">(2) În perioada definită la alin. (1), informațiile aferente prețurilor finale unice de dezechilibru și ale dezechilibrelor valorice orare ale PRE calculate conform aplicării prevederilor regulamentului din anexa care face parte integrantă din prezentul ordin se transmit de ODPE către ANRE și către </w:t>
      </w:r>
      <w:r w:rsidR="00666757">
        <w:lastRenderedPageBreak/>
        <w:t>părțile implicate în procesul de decontare al PRE</w:t>
      </w:r>
      <w:r>
        <w:t xml:space="preserve"> pe e-mail, până la sfârșitul lunii calendaristice care urmează lunii de livrare.</w:t>
      </w:r>
    </w:p>
    <w:p w14:paraId="1A27FAFF" w14:textId="1E745565" w:rsidR="000E04CA" w:rsidRPr="00C5795E" w:rsidRDefault="00767EC1" w:rsidP="000E04CA">
      <w:pPr>
        <w:spacing w:line="360" w:lineRule="auto"/>
        <w:jc w:val="both"/>
        <w:rPr>
          <w:bCs/>
        </w:rPr>
      </w:pPr>
      <w:r w:rsidRPr="0060080A">
        <w:rPr>
          <w:b/>
        </w:rPr>
        <w:t xml:space="preserve">Art. </w:t>
      </w:r>
      <w:r>
        <w:rPr>
          <w:b/>
        </w:rPr>
        <w:t>3</w:t>
      </w:r>
      <w:r w:rsidRPr="0060080A">
        <w:rPr>
          <w:b/>
        </w:rPr>
        <w:t xml:space="preserve"> </w:t>
      </w:r>
      <w:r>
        <w:rPr>
          <w:b/>
        </w:rPr>
        <w:t xml:space="preserve">– </w:t>
      </w:r>
      <w:r>
        <w:rPr>
          <w:bCs/>
        </w:rPr>
        <w:t>Pe durata perioadei prevăzută la art. 2</w:t>
      </w:r>
      <w:r w:rsidR="00666757">
        <w:rPr>
          <w:bCs/>
        </w:rPr>
        <w:t xml:space="preserve"> alin. (1)</w:t>
      </w:r>
      <w:r>
        <w:rPr>
          <w:bCs/>
        </w:rPr>
        <w:t xml:space="preserve">, </w:t>
      </w:r>
      <w:r w:rsidR="00C5795E">
        <w:rPr>
          <w:bCs/>
        </w:rPr>
        <w:t xml:space="preserve">în cadrul </w:t>
      </w:r>
      <w:r w:rsidR="00666757">
        <w:rPr>
          <w:bCs/>
        </w:rPr>
        <w:t>simulărilor referite</w:t>
      </w:r>
      <w:r w:rsidR="00C5795E">
        <w:rPr>
          <w:bCs/>
        </w:rPr>
        <w:t xml:space="preserve"> efectuat</w:t>
      </w:r>
      <w:r w:rsidR="00666757">
        <w:rPr>
          <w:bCs/>
        </w:rPr>
        <w:t>e</w:t>
      </w:r>
      <w:r w:rsidR="00C5795E">
        <w:rPr>
          <w:bCs/>
        </w:rPr>
        <w:t xml:space="preserve"> conform prevederilor din anexa care face parte integrantă din prezentul ordin, </w:t>
      </w:r>
      <w:r>
        <w:rPr>
          <w:bCs/>
        </w:rPr>
        <w:t xml:space="preserve">pentru calcularea penalității specifice de la livrarea parțială a energiei de echilibrare prevăzute </w:t>
      </w:r>
      <w:r w:rsidR="00C5795E">
        <w:rPr>
          <w:bCs/>
        </w:rPr>
        <w:t xml:space="preserve">la art. 215 din </w:t>
      </w:r>
      <w:r w:rsidR="000E04CA">
        <w:t>Regulamentul de funcționare și de decontare a pieței de echilibrare, aprobat prin Ordinul președintelui Autorității Naționale de Reglementare în Domeniul Energiei nr. 61/2020, publicat în Monitorul Oficial al României, Partea I, nr. 287 și 287 bis din 6 aprilie 2020,</w:t>
      </w:r>
      <w:r w:rsidR="00666757">
        <w:t xml:space="preserve"> cu modificările și completările ulterioare,</w:t>
      </w:r>
      <w:r w:rsidR="000E04CA">
        <w:t xml:space="preserve"> </w:t>
      </w:r>
      <w:r w:rsidR="00666757">
        <w:t>se va considera următoarea prevedere</w:t>
      </w:r>
      <w:r w:rsidR="000E04CA">
        <w:t>:</w:t>
      </w:r>
    </w:p>
    <w:p w14:paraId="0AD4DB83" w14:textId="4633FF13" w:rsidR="000E04CA" w:rsidRDefault="00574243" w:rsidP="000E04CA">
      <w:pPr>
        <w:spacing w:line="360" w:lineRule="auto"/>
        <w:jc w:val="both"/>
      </w:pPr>
      <w:r>
        <w:t>”</w:t>
      </w:r>
      <w:r w:rsidR="000E04CA" w:rsidRPr="000E04CA">
        <w:t xml:space="preserve">Penalitatea specifică </w:t>
      </w:r>
      <w:r w:rsidR="000E04CA" w:rsidRPr="000E04CA">
        <w:rPr>
          <w:i/>
        </w:rPr>
        <w:t>k</w:t>
      </w:r>
      <w:r w:rsidR="000E04CA" w:rsidRPr="000E04CA">
        <w:rPr>
          <w:i/>
          <w:vertAlign w:val="subscript"/>
        </w:rPr>
        <w:t>d,i</w:t>
      </w:r>
      <w:r w:rsidR="000E04CA" w:rsidRPr="000E04CA">
        <w:rPr>
          <w:i/>
          <w:vertAlign w:val="superscript"/>
        </w:rPr>
        <w:t>cres</w:t>
      </w:r>
      <w:r w:rsidR="000E04CA" w:rsidRPr="000E04CA">
        <w:t xml:space="preserve">, respectiv </w:t>
      </w:r>
      <w:r w:rsidR="000E04CA" w:rsidRPr="000E04CA">
        <w:rPr>
          <w:i/>
        </w:rPr>
        <w:t>k</w:t>
      </w:r>
      <w:r w:rsidR="000E04CA" w:rsidRPr="000E04CA">
        <w:rPr>
          <w:i/>
          <w:vertAlign w:val="subscript"/>
        </w:rPr>
        <w:t>d,i</w:t>
      </w:r>
      <w:r w:rsidR="000E04CA" w:rsidRPr="000E04CA">
        <w:rPr>
          <w:i/>
          <w:vertAlign w:val="superscript"/>
        </w:rPr>
        <w:t>red</w:t>
      </w:r>
      <w:r w:rsidR="000E04CA" w:rsidRPr="000E04CA">
        <w:t xml:space="preserve">, prevăzută la </w:t>
      </w:r>
      <w:r w:rsidR="000E04CA" w:rsidRPr="000E04CA">
        <w:fldChar w:fldCharType="begin"/>
      </w:r>
      <w:r w:rsidR="000E04CA" w:rsidRPr="000E04CA">
        <w:instrText xml:space="preserve"> REF _Ref454291864 \r \h  \* MERGEFORMAT </w:instrText>
      </w:r>
      <w:r w:rsidR="000E04CA" w:rsidRPr="000E04CA">
        <w:fldChar w:fldCharType="separate"/>
      </w:r>
      <w:r w:rsidR="000E04CA" w:rsidRPr="000E04CA">
        <w:t>Art. 214</w:t>
      </w:r>
      <w:r w:rsidR="000E04CA" w:rsidRPr="000E04CA">
        <w:fldChar w:fldCharType="end"/>
      </w:r>
      <w:r w:rsidR="00666757">
        <w:t xml:space="preserve"> </w:t>
      </w:r>
      <w:r w:rsidR="00666757">
        <w:rPr>
          <w:bCs/>
        </w:rPr>
        <w:t xml:space="preserve">din </w:t>
      </w:r>
      <w:r w:rsidR="00666757">
        <w:t>Regulamentul de funcționare și de decontare a pieței de echilibrare, aprobat prin Ordinul președintelui Autorității Naționale de Reglementare în Domeniul Energiei nr. 61/2020, publicat în Monitorul Oficial al României, Partea I, nr. 287 și 287 bis din 6 aprilie 2020, cu modificările și completările ulterioare,</w:t>
      </w:r>
      <w:r w:rsidR="000E04CA" w:rsidRPr="000E04CA">
        <w:t xml:space="preserve"> care se aplică pentru livrarea parțială a energiei de echilibrare la creștere, respectiv la reducere, în ziua </w:t>
      </w:r>
      <w:r w:rsidR="000E04CA" w:rsidRPr="000E04CA">
        <w:rPr>
          <w:i/>
        </w:rPr>
        <w:t>d</w:t>
      </w:r>
      <w:r w:rsidR="000E04CA" w:rsidRPr="000E04CA">
        <w:t xml:space="preserve"> și în ID</w:t>
      </w:r>
      <w:r w:rsidR="000E04CA" w:rsidRPr="000E04CA">
        <w:rPr>
          <w:i/>
        </w:rPr>
        <w:t>i</w:t>
      </w:r>
      <w:r w:rsidR="000E04CA" w:rsidRPr="000E04CA">
        <w:t>, se determină astfel:</w:t>
      </w:r>
      <w:r w:rsidR="000E04CA">
        <w:t xml:space="preserve"> </w:t>
      </w:r>
    </w:p>
    <w:p w14:paraId="29FEE037" w14:textId="5C57262F" w:rsidR="00930FA6" w:rsidRPr="00930FA6" w:rsidRDefault="00131E76" w:rsidP="00930FA6">
      <w:pPr>
        <w:spacing w:line="360" w:lineRule="auto"/>
        <w:jc w:val="both"/>
        <w:rPr>
          <w:rFonts w:eastAsia="SimSun"/>
          <w:lang w:val="en-US" w:eastAsia="ro-RO"/>
        </w:rPr>
      </w:pPr>
      <w:r>
        <w:pict w14:anchorId="08DB3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1F5654&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Pr=&quot;001F5654&quot; wsp:rsidRDefault=&quot;001F5654&quot; wsp:rsidP=&quot;001F5654&quot;&gt;&lt;m:oMathPara&gt;&lt;m:oMath&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k&lt;/m:t&gt;&lt;/m:r&gt;&lt;/m:e&gt;&lt;m:sub&gt;&lt;m:r&gt;&lt;w:rPr&gt;&lt;w:rFonts w:ascii=&quot;Cambria Math&quot; w:fareast=&quot;SimSun&quot; w:h-ansi=&quot;Cambria Math&quot;/&gt;&lt;wx:font wx:val=&quot;Cambria Math&quot;/&gt;&lt;w:i/&gt;&lt;w:lang w:val=&quot;EN-US&quot; w:fareast=&quot;RO&quot;/&gt;&lt;/w:rPr&gt;&lt;m:t&gt;d,i&lt;/m:t&gt;&lt;/m:r&gt;&lt;/m:sub&gt;&lt;m:sup&gt;&lt;m:r&gt;&lt;w:rPr&gt;&lt;w:rFonts w:ascii=&quot;Cambria Math&quot; w:fareast=&quot;SimSun&quot; w:h-ansi=&quot;Cambria Math&quot;/&gt;&lt;wx:font wx:val=&quot;Cambria Math&quot;/&gt;&lt;w:i/&gt;&lt;w:lang w:val=&quot;EN-US&quot; w:fareast=&quot;RO&quot;/&gt;&lt;/w:rPr&gt;&lt;m:t&gt;creÈ™&lt;/m:t&gt;&lt;/m:r&gt;&lt;/m:sup&gt;&lt;/m:sSubSup&gt;&lt;m:r&gt;&lt;w:rPr&gt;&lt;w:rFonts w:ascii=&quot;Cambria Math&quot; w:fareast=&quot;SimSun&quot; w:h-ansi=&quot;Cambria Math&quot;/&gt;&lt;wx:font wx:val=&quot;Cambria Math&quot;/&gt;&lt;w:i/&gt;&lt;w:lang w:val=&quot;EN-US&quot; w:fareast=&quot;RO&quot;/&gt;&lt;/w:rPr&gt;&lt;m:t&gt;=aÃ—&lt;/m:t&gt;&lt;/m:r&gt;&lt;m:d&gt;&lt;m:dPr&gt;&lt;m:ctrlPr&gt;&lt;w:rPr&gt;&lt;w:rFonts w:ascii=&quot;Cambria Math&quot; w:fareast=&quot;SimSun&quot; w:h-ansi=&quot;Cambria Math&quot;/&gt;&lt;wx:font wx:val=&quot;Cambria Math&quot;/&gt;&lt;w:i/&gt;&lt;w:lang w:val=&quot;EN-US&quot; w:fareast=&quot;RO&quot;/&gt;&lt;/w:rPr&gt;&lt;/m:ctrlPr&gt;&lt;/m:dPr&gt;&lt;m:e&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MAX,i&lt;/m:t&gt;&lt;/m:r&gt;&lt;/m:sub&gt;&lt;m:sup&gt;&lt;m:r&gt;&lt;w:rPr&gt;&lt;w:rFonts w:ascii=&quot;Cambria Math&quot; w:fareast=&quot;SimSun&quot; w:h-ansi=&quot;Cambria Math&quot;/&gt;&lt;wx:font wx:val=&quot;Cambria Math&quot;/&gt;&lt;w:i/&gt;&lt;w:lang w:val=&quot;EN-US&quot; w:fareast=&quot;RO&quot;/&gt;&lt;/w:rPr&gt;&lt;m:t&gt;creÈ™&lt;/m:t&gt;&lt;/m:r&gt;&lt;/m:sup&gt;&lt;/m:sSubSup&gt;&lt;/m:e&gt;&lt;/m:d&gt;&lt;/m:e&gt;&lt;/m:d&gt;&lt;/m:e&gt;&lt;/m:d&gt;&lt;/m:oMath&gt;&lt;/m:oMathPara&gt;&lt;/w:p&gt;&lt;w:sectPr wsp:rsidR=&quot;00000000&quot; wsp:rsidRPr=&quot;001F5654&quot;&gt;&lt;w:pgSz w:w=&quot;12240&quot; w:h=&quot;15840&quot;/&gt;&lt;w:pgMar w:top=&quot;1440&quot; w:right=&quot;1440&quot; w:bottom=&quot;1440&quot; w:left=&quot;1440&quot; w:header=&quot;708&quot; w:footer=&quot;708&quot; w:gutter=&quot;0&quot;/&gt;&lt;w:cols w:space=&quot;708&quot;/&gt;&lt;/w:sectPr&gt;&lt;/wx:sect&gt;&lt;/w:body&gt;&lt;/w:wordDocument&gt;">
            <v:imagedata r:id="rId8" o:title="" chromakey="white"/>
          </v:shape>
        </w:pict>
      </w:r>
    </w:p>
    <w:p w14:paraId="31EC781F" w14:textId="5EA1D4E4" w:rsidR="00930FA6" w:rsidRPr="00930FA6" w:rsidRDefault="00131E76" w:rsidP="00930FA6">
      <w:pPr>
        <w:spacing w:line="360" w:lineRule="auto"/>
        <w:jc w:val="both"/>
        <w:rPr>
          <w:rFonts w:eastAsia="SimSun"/>
          <w:lang w:val="en-US" w:eastAsia="ro-RO"/>
        </w:rPr>
      </w:pPr>
      <w:r>
        <w:rPr>
          <w:rFonts w:eastAsia="SimSun"/>
        </w:rPr>
        <w:pict w14:anchorId="6121896C">
          <v:shape id="_x0000_i1026" type="#_x0000_t75" style="width:193.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47CBA&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Pr=&quot;00E47CBA&quot; wsp:rsidRDefault=&quot;00E47CBA&quot; wsp:rsidP=&quot;00E47CBA&quot;&gt;&lt;m:oMathPara&gt;&lt;m:oMath&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k&lt;/m:t&gt;&lt;/m:r&gt;&lt;/m:e&gt;&lt;m:sub&gt;&lt;m:r&gt;&lt;w:rPr&gt;&lt;w:rFonts w:ascii=&quot;Cambria Math&quot; w:fareast=&quot;SimSun&quot; w:h-ansi=&quot;Cambria Math&quot;/&gt;&lt;wx:font wx:val=&quot;Cambria Math&quot;/&gt;&lt;w:i/&gt;&lt;w:lang w:val=&quot;EN-US&quot; w:fareast=&quot;RO&quot;/&gt;&lt;/w:rPr&gt;&lt;m:t&gt;d,i&lt;/m:t&gt;&lt;/m:r&gt;&lt;/m:sub&gt;&lt;m:sup&gt;&lt;m:r&gt;&lt;w:rPr&gt;&lt;w:rFonts w:ascii=&quot;Cambria Math&quot; w:fareast=&quot;SimSun&quot; w:h-ansi=&quot;Cambria Math&quot;/&gt;&lt;wx:font wx:val=&quot;Cambria Math&quot;/&gt;&lt;w:i/&gt;&lt;w:lang w:val=&quot;EN-US&quot; w:fareast=&quot;RO&quot;/&gt;&lt;/w:rPr&gt;&lt;m:t&gt;red&lt;/m:t&gt;&lt;/m:r&gt;&lt;/m:sup&gt;&lt;/m:sSubSup&gt;&lt;m:r&gt;&lt;w:rPr&gt;&lt;w:rFonts w:ascii=&quot;Cambria Math&quot; w:fareast=&quot;SimSun&quot; w:h-ansi=&quot;Cambria Math&quot;/&gt;&lt;wx:font wx:val=&quot;Cambria Math&quot;/&gt;&lt;w:i/&gt;&lt;w:lang w:val=&quot;EN-US&quot; w:fareast=&quot;RO&quot;/&gt;&lt;/w:rPr&gt;&lt;m:t&gt;=aÃ—&lt;/m:t&gt;&lt;/m:r&gt;&lt;m:d&gt;&lt;m:dPr&gt;&lt;m:ctrlPr&gt;&lt;w:rPr&gt;&lt;w:rFonts w:ascii=&quot;Cambria Math&quot; w:fareast=&quot;SimSun&quot; w:h-ansi=&quot;Cambria Math&quot;/&gt;&lt;wx:font wx:val=&quot;Cambria Math&quot;/&gt;&lt;w:i/&gt;&lt;w:lang w:val=&quot;EN-US&quot; w:fareast=&quot;RO&quot;/&gt;&lt;/w:rPr&gt;&lt;/m:ctrlPr&gt;&lt;/m:dPr&gt;&lt;m:e&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min,i&lt;/m:t&gt;&lt;/m:r&gt;&lt;/m:sub&gt;&lt;m:sup&gt;&lt;m:r&gt;&lt;w:rPr&gt;&lt;w:rFonts w:ascii=&quot;Cambria Math&quot; w:fareast=&quot;SimSun&quot; w:h-ansi=&quot;Cambria Math&quot;/&gt;&lt;wx:font wx:val=&quot;Cambria Math&quot;/&gt;&lt;w:i/&gt;&lt;w:lang w:val=&quot;EN-US&quot; w:fareast=&quot;RO&quot;/&gt;&lt;/w:rPr&gt;&lt;m:t&gt;red&lt;/m:t&gt;&lt;/m:r&gt;&lt;/m:sup&gt;&lt;/m:sSubSup&gt;&lt;/m:e&gt;&lt;/m:d&gt;&lt;/m:e&gt;&lt;/m:d&gt;&lt;/m:e&gt;&lt;/m:d&gt;&lt;/m:oMath&gt;&lt;/m:oMathPara&gt;&lt;/w:p&gt;&lt;w:sectPr wsp:rsidR=&quot;00000000&quot; wsp:rsidRPr=&quot;00E47CBA&quot;&gt;&lt;w:pgSz w:w=&quot;12240&quot; w:h=&quot;15840&quot;/&gt;&lt;w:pgMar w:top=&quot;1440&quot; w:right=&quot;1440&quot; w:bottom=&quot;1440&quot; w:left=&quot;1440&quot; w:header=&quot;708&quot; w:footer=&quot;708&quot; w:gutter=&quot;0&quot;/&gt;&lt;w:cols w:space=&quot;708&quot;/&gt;&lt;/w:sectPr&gt;&lt;/wx:sect&gt;&lt;/w:body&gt;&lt;/w:wordDocument&gt;">
            <v:imagedata r:id="rId9" o:title="" chromakey="white"/>
          </v:shape>
        </w:pict>
      </w:r>
    </w:p>
    <w:p w14:paraId="15564C0A" w14:textId="77777777" w:rsidR="000E04CA" w:rsidRPr="00C7065B" w:rsidRDefault="000E04CA" w:rsidP="000E04CA">
      <w:pPr>
        <w:pStyle w:val="StyleBodyTextBefore6pt"/>
        <w:spacing w:before="120" w:line="360" w:lineRule="auto"/>
        <w:jc w:val="both"/>
        <w:rPr>
          <w:sz w:val="24"/>
          <w:szCs w:val="24"/>
        </w:rPr>
      </w:pPr>
      <w:r w:rsidRPr="00C7065B">
        <w:rPr>
          <w:sz w:val="24"/>
          <w:szCs w:val="24"/>
        </w:rPr>
        <w:t xml:space="preserve">unde : </w:t>
      </w:r>
    </w:p>
    <w:p w14:paraId="2AAFCAD7" w14:textId="77777777" w:rsidR="000E04CA" w:rsidRPr="00094246" w:rsidRDefault="000E04CA" w:rsidP="000E04CA">
      <w:pPr>
        <w:pStyle w:val="StyleBodyTextBefore6pt"/>
        <w:spacing w:before="120" w:line="360" w:lineRule="auto"/>
        <w:jc w:val="both"/>
        <w:rPr>
          <w:sz w:val="24"/>
          <w:szCs w:val="24"/>
        </w:rPr>
      </w:pPr>
      <w:r w:rsidRPr="00094246">
        <w:rPr>
          <w:i/>
          <w:sz w:val="24"/>
          <w:szCs w:val="24"/>
        </w:rPr>
        <w:t xml:space="preserve">a </w:t>
      </w:r>
      <w:r w:rsidRPr="00094246">
        <w:rPr>
          <w:sz w:val="24"/>
          <w:szCs w:val="24"/>
        </w:rPr>
        <w:t xml:space="preserve">este o constantă, stabilită de ANRE; a = 0,1; </w:t>
      </w:r>
    </w:p>
    <w:p w14:paraId="35055E37" w14:textId="12AAFF7A" w:rsidR="000E04CA" w:rsidRPr="00094246" w:rsidRDefault="000E04CA" w:rsidP="000E04CA">
      <w:pPr>
        <w:pStyle w:val="StyleBodyTextBefore6pt"/>
        <w:spacing w:before="120" w:line="360" w:lineRule="auto"/>
        <w:jc w:val="both"/>
        <w:rPr>
          <w:sz w:val="24"/>
          <w:szCs w:val="24"/>
        </w:rPr>
      </w:pPr>
      <w:r w:rsidRPr="00094246">
        <w:rPr>
          <w:position w:val="-14"/>
          <w:sz w:val="24"/>
          <w:szCs w:val="24"/>
        </w:rPr>
        <w:object w:dxaOrig="639" w:dyaOrig="400" w14:anchorId="14CC87C3">
          <v:shape id="_x0000_i1027" type="#_x0000_t75" style="width:28.5pt;height:21.75pt" o:ole="">
            <v:imagedata r:id="rId10" o:title=""/>
          </v:shape>
          <o:OLEObject Type="Embed" ProgID="Equation.3" ShapeID="_x0000_i1027" DrawAspect="Content" ObjectID="_1664802271" r:id="rId11"/>
        </w:object>
      </w:r>
      <w:r w:rsidRPr="00094246">
        <w:rPr>
          <w:sz w:val="24"/>
          <w:szCs w:val="24"/>
        </w:rPr>
        <w:t xml:space="preserve">  - prețul cel mai mare al ofertelor UD</w:t>
      </w:r>
      <w:r>
        <w:rPr>
          <w:sz w:val="24"/>
          <w:szCs w:val="24"/>
        </w:rPr>
        <w:t>,</w:t>
      </w:r>
      <w:r w:rsidRPr="00094246">
        <w:rPr>
          <w:sz w:val="24"/>
          <w:szCs w:val="24"/>
        </w:rPr>
        <w:t xml:space="preserve"> CD </w:t>
      </w:r>
      <w:r>
        <w:rPr>
          <w:sz w:val="24"/>
          <w:szCs w:val="24"/>
        </w:rPr>
        <w:t xml:space="preserve">sau ISD </w:t>
      </w:r>
      <w:r w:rsidRPr="00094246">
        <w:rPr>
          <w:sz w:val="24"/>
          <w:szCs w:val="24"/>
        </w:rPr>
        <w:t>respectiv, selectate pentru furnizarea energiei de echilibrare/managementului restricțiilor de rețea, corespunzătoare reglajului terțiar la creștere de putere în 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w:t>
      </w:r>
    </w:p>
    <w:p w14:paraId="29FC4218" w14:textId="77777777" w:rsidR="000E04CA" w:rsidRPr="00094246" w:rsidRDefault="000E04CA" w:rsidP="000E04CA">
      <w:pPr>
        <w:pStyle w:val="StyleBodyTextBefore6pt"/>
        <w:spacing w:before="120" w:line="360" w:lineRule="auto"/>
        <w:jc w:val="both"/>
        <w:rPr>
          <w:sz w:val="24"/>
          <w:szCs w:val="24"/>
        </w:rPr>
      </w:pPr>
      <w:r w:rsidRPr="00094246">
        <w:rPr>
          <w:position w:val="-14"/>
          <w:sz w:val="24"/>
          <w:szCs w:val="24"/>
        </w:rPr>
        <w:object w:dxaOrig="520" w:dyaOrig="400" w14:anchorId="0580F8BE">
          <v:shape id="_x0000_i1028" type="#_x0000_t75" style="width:28.5pt;height:21.75pt" o:ole="">
            <v:imagedata r:id="rId12" o:title=""/>
          </v:shape>
          <o:OLEObject Type="Embed" ProgID="Equation.3" ShapeID="_x0000_i1028" DrawAspect="Content" ObjectID="_1664802272" r:id="rId13"/>
        </w:object>
      </w:r>
      <w:r w:rsidRPr="00094246">
        <w:rPr>
          <w:sz w:val="24"/>
          <w:szCs w:val="24"/>
        </w:rPr>
        <w:t xml:space="preserve"> - prețul cel mai mic al ofertelor UD</w:t>
      </w:r>
      <w:r>
        <w:rPr>
          <w:sz w:val="24"/>
          <w:szCs w:val="24"/>
        </w:rPr>
        <w:t>,</w:t>
      </w:r>
      <w:r w:rsidRPr="00094246">
        <w:rPr>
          <w:sz w:val="24"/>
          <w:szCs w:val="24"/>
        </w:rPr>
        <w:t xml:space="preserve"> CD </w:t>
      </w:r>
      <w:r>
        <w:rPr>
          <w:sz w:val="24"/>
          <w:szCs w:val="24"/>
        </w:rPr>
        <w:t xml:space="preserve">sau ISD </w:t>
      </w:r>
      <w:r w:rsidRPr="00094246">
        <w:rPr>
          <w:sz w:val="24"/>
          <w:szCs w:val="24"/>
        </w:rPr>
        <w:t>respectiv, selectate pentru furnizarea energiei de echilibrare/managementului restricțiilor de rețea, corespunzătoare reglajului terțiar la reducere de putere în 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w:t>
      </w:r>
    </w:p>
    <w:p w14:paraId="4D804B97" w14:textId="55CC87BF" w:rsidR="000E04CA" w:rsidRDefault="00930FA6" w:rsidP="000E04CA">
      <w:pPr>
        <w:pStyle w:val="StyleBodyTextBefore6pt"/>
        <w:spacing w:before="120" w:line="360" w:lineRule="auto"/>
        <w:jc w:val="both"/>
        <w:rPr>
          <w:sz w:val="24"/>
          <w:szCs w:val="24"/>
        </w:rPr>
      </w:pPr>
      <w:r w:rsidRPr="00930FA6">
        <w:rPr>
          <w:b/>
          <w:sz w:val="24"/>
          <w:szCs w:val="24"/>
        </w:rPr>
        <w:fldChar w:fldCharType="begin"/>
      </w:r>
      <w:r w:rsidRPr="00930FA6">
        <w:rPr>
          <w:b/>
          <w:sz w:val="24"/>
          <w:szCs w:val="24"/>
        </w:rPr>
        <w:instrText xml:space="preserve"> QUOTE </w:instrText>
      </w:r>
      <w:r w:rsidR="00131E76">
        <w:rPr>
          <w:position w:val="-10"/>
        </w:rPr>
        <w:pict w14:anchorId="345B6B47">
          <v:shape id="_x0000_i1029" type="#_x0000_t75" style="width:25.5pt;height:18.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12FB&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aml:annotation aml:id=&quot;0&quot; w:type=&quot;Word.Bookmark.Start&quot; w:name=&quot;_Hlk49757920&quot;/&gt;&lt;w:p wsp:rsidR=&quot;00000000&quot; wsp:rsidRDefault=&quot;00E712FB&quot; wsp:rsidP=&quot;00E712FB&quot;&gt;&lt;m:oMathPara&gt;&lt;m:oMath&gt;&lt;m:sSubSup&gt;&lt;m:sSubSupPr&gt;&lt;m:ctrlPr&gt;&lt;w:rPr&gt;&lt;w:rFonts w:ascii=&quot;Cambria Math&quot; w:h-ansi=&quot;Cambria Math&quot;/&gt;&lt;wx:font wx:val=&quot;Cambria Math&quot;/&gt;&lt;w:i/&gt;&lt;/w:rPr&gt;&lt;/m:ctrlPr&gt;&lt;/m:sSubSupPr&gt;&lt;m:e&gt;&lt;m:r&gt;&lt;w:rPr&gt;&lt;w:rFonts w:ascii=&quot;Cambria Math&quot; w:h-ansi=&quot;Cambria Math&quot;/&gt;&lt;wx:font wx:val=&quot;Cambria Math&quot;/&gt;&lt;w:i/&gt;&lt;/w:rPr&gt;&lt;m:t&gt;P&lt;/m:t&gt;&lt;/m:r&gt;&lt;/m:e&gt;&lt;m:sub&gt;&lt;m:r&gt;&lt;w:rPr&gt;&lt;w:rFonts w:ascii=&quot;Cambria Math&quot; w:h-ansi=&quot;Cambria Math&quot;/&gt;&lt;wx:font wx:val=&quot;Cambria Math&quot;/&gt;&lt;w:i/&gt;&lt;/w:rPr&gt;&lt;m:t&gt;dez,i&lt;/m:t&gt;&lt;/m:r&gt;&lt;/m:sub&gt;&lt;m:sup&gt;&lt;m:r&gt;&lt;w:rPr&gt;&lt;w:rFonts w:ascii=&quot;Cambria Math&quot; w:h-ansi=&quot;Cambria Math&quot;/&gt;&lt;wx:font wx:val=&quot;Cambria Math&quot;/&gt;&lt;w:i/&gt;&lt;/w:rPr&gt;&lt;m:t&gt;fin&lt;/m:t&gt;&lt;/m:r&gt;&lt;/m:sup&gt;&lt;/m:sSubSup&gt;&lt;/m:oMath&gt;&lt;/m:oMathPara&gt;&lt;aml:annotation aml:id=&quot;0&quot; w:type=&quot;Word.Bookmark.End&quot;/&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4" o:title="" chromakey="white"/>
          </v:shape>
        </w:pict>
      </w:r>
      <w:r w:rsidRPr="00930FA6">
        <w:rPr>
          <w:b/>
          <w:sz w:val="24"/>
          <w:szCs w:val="24"/>
        </w:rPr>
        <w:instrText xml:space="preserve"> </w:instrText>
      </w:r>
      <w:r w:rsidRPr="00930FA6">
        <w:rPr>
          <w:b/>
          <w:sz w:val="24"/>
          <w:szCs w:val="24"/>
        </w:rPr>
        <w:fldChar w:fldCharType="separate"/>
      </w:r>
      <w:r w:rsidR="00131E76">
        <w:rPr>
          <w:position w:val="-10"/>
        </w:rPr>
        <w:pict w14:anchorId="0A1F5577">
          <v:shape id="_x0000_i1030" type="#_x0000_t75" style="width:25.5pt;height:18.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12FB&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aml:annotation aml:id=&quot;0&quot; w:type=&quot;Word.Bookmark.Start&quot; w:name=&quot;_Hlk49757920&quot;/&gt;&lt;w:p wsp:rsidR=&quot;00000000&quot; wsp:rsidRDefault=&quot;00E712FB&quot; wsp:rsidP=&quot;00E712FB&quot;&gt;&lt;m:oMathPara&gt;&lt;m:oMath&gt;&lt;m:sSubSup&gt;&lt;m:sSubSupPr&gt;&lt;m:ctrlPr&gt;&lt;w:rPr&gt;&lt;w:rFonts w:ascii=&quot;Cambria Math&quot; w:h-ansi=&quot;Cambria Math&quot;/&gt;&lt;wx:font wx:val=&quot;Cambria Math&quot;/&gt;&lt;w:i/&gt;&lt;/w:rPr&gt;&lt;/m:ctrlPr&gt;&lt;/m:sSubSupPr&gt;&lt;m:e&gt;&lt;m:r&gt;&lt;w:rPr&gt;&lt;w:rFonts w:ascii=&quot;Cambria Math&quot; w:h-ansi=&quot;Cambria Math&quot;/&gt;&lt;wx:font wx:val=&quot;Cambria Math&quot;/&gt;&lt;w:i/&gt;&lt;/w:rPr&gt;&lt;m:t&gt;P&lt;/m:t&gt;&lt;/m:r&gt;&lt;/m:e&gt;&lt;m:sub&gt;&lt;m:r&gt;&lt;w:rPr&gt;&lt;w:rFonts w:ascii=&quot;Cambria Math&quot; w:h-ansi=&quot;Cambria Math&quot;/&gt;&lt;wx:font wx:val=&quot;Cambria Math&quot;/&gt;&lt;w:i/&gt;&lt;/w:rPr&gt;&lt;m:t&gt;dez,i&lt;/m:t&gt;&lt;/m:r&gt;&lt;/m:sub&gt;&lt;m:sup&gt;&lt;m:r&gt;&lt;w:rPr&gt;&lt;w:rFonts w:ascii=&quot;Cambria Math&quot; w:h-ansi=&quot;Cambria Math&quot;/&gt;&lt;wx:font wx:val=&quot;Cambria Math&quot;/&gt;&lt;w:i/&gt;&lt;/w:rPr&gt;&lt;m:t&gt;fin&lt;/m:t&gt;&lt;/m:r&gt;&lt;/m:sup&gt;&lt;/m:sSubSup&gt;&lt;/m:oMath&gt;&lt;/m:oMathPara&gt;&lt;aml:annotation aml:id=&quot;0&quot; w:type=&quot;Word.Bookmark.End&quot;/&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4" o:title="" chromakey="white"/>
          </v:shape>
        </w:pict>
      </w:r>
      <w:r w:rsidRPr="00930FA6">
        <w:rPr>
          <w:b/>
          <w:sz w:val="24"/>
          <w:szCs w:val="24"/>
        </w:rPr>
        <w:fldChar w:fldCharType="end"/>
      </w:r>
      <w:r w:rsidRPr="00930FA6">
        <w:rPr>
          <w:b/>
          <w:sz w:val="24"/>
          <w:szCs w:val="24"/>
        </w:rPr>
        <w:fldChar w:fldCharType="begin"/>
      </w:r>
      <w:r w:rsidRPr="00930FA6">
        <w:rPr>
          <w:b/>
          <w:sz w:val="24"/>
          <w:szCs w:val="24"/>
        </w:rPr>
        <w:instrText xml:space="preserve"> QUOTE </w:instrText>
      </w:r>
      <w:r w:rsidR="00131E76">
        <w:rPr>
          <w:position w:val="-10"/>
        </w:rPr>
        <w:pict w14:anchorId="7DF2DA2E">
          <v:shape id="_x0000_i1031" type="#_x0000_t75" style="width:25.5pt;height:18.7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6A19&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Default=&quot;00156A19&quot; wsp:rsidP=&quot;00156A19&quot;&gt;&lt;m:oMathPara&gt;&lt;m:oMath&gt;&lt;m:sSubSup&gt;&lt;m:sSubSupPr&gt;&lt;m:ctrlPr&gt;&lt;w:rPr&gt;&lt;w:rFonts w:ascii=&quot;Cambria Math&quot; w:h-ansi=&quot;Cambria Math&quot;/&gt;&lt;wx:font wx:val=&quot;Cambria Math&quot;/&gt;&lt;w:i/&gt;&lt;w:highlight w:val=&quot;green&quot;/&gt;&lt;/w:rPr&gt;&lt;/m:ctrlPr&gt;&lt;/m:sSubSupPr&gt;&lt;m:e&gt;&lt;m:r&gt;&lt;w:rPr&gt;&lt;w:rFonts w:ascii=&quot;Cambria Math&quot; w:h-ansi=&quot;Cambria Math&quot;/&gt;&lt;wx:font wx:val=&quot;Cambria Math&quot;/&gt;&lt;w:i/&gt;&lt;w:highlight w:val=&quot;green&quot;/&gt;&lt;/w:rPr&gt;&lt;m:t&gt;P&lt;/m:t&gt;&lt;/m:r&gt;&lt;/m:e&gt;&lt;m:sub&gt;&lt;m:r&gt;&lt;w:rPr&gt;&lt;w:rFonts w:ascii=&quot;Cambria Math&quot; w:h-ansi=&quot;Cambria Math&quot;/&gt;&lt;wx:font wx:val=&quot;Cambria Math&quot;/&gt;&lt;w:i/&gt;&lt;w:highlight w:val=&quot;green&quot;/&gt;&lt;/w:rPr&gt;&lt;m:t&gt;dez,i&lt;/m:t&gt;&lt;/m:r&gt;&lt;/m:sub&gt;&lt;m:sup&gt;&lt;m:r&gt;&lt;w:rPr&gt;&lt;w:rFonts w:ascii=&quot;Cambria Math&quot; w:h-ansi=&quot;Cambria Math&quot;/&gt;&lt;wx:font wx:val=&quot;Cambria Math&quot;/&gt;&lt;w:i/&gt;&lt;w:highlight w:val=&quot;green&quot;/&gt;&lt;/w:rPr&gt;&lt;m:t&gt;fin&lt;/m:t&gt;&lt;/m:r&gt;&lt;/m:sup&gt;&lt;/m:sSubSup&gt;&lt;/m:oMath&gt;&lt;/m:oMathPara&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5" o:title="" chromakey="white"/>
          </v:shape>
        </w:pict>
      </w:r>
      <w:r w:rsidRPr="00930FA6">
        <w:rPr>
          <w:b/>
          <w:sz w:val="24"/>
          <w:szCs w:val="24"/>
        </w:rPr>
        <w:instrText xml:space="preserve"> </w:instrText>
      </w:r>
      <w:r w:rsidRPr="00930FA6">
        <w:rPr>
          <w:b/>
          <w:sz w:val="24"/>
          <w:szCs w:val="24"/>
        </w:rPr>
        <w:fldChar w:fldCharType="end"/>
      </w:r>
      <w:r w:rsidR="000E04CA" w:rsidRPr="00930FA6">
        <w:rPr>
          <w:b/>
          <w:sz w:val="24"/>
          <w:szCs w:val="24"/>
        </w:rPr>
        <w:t xml:space="preserve"> - </w:t>
      </w:r>
      <w:r w:rsidR="000E04CA" w:rsidRPr="00930FA6">
        <w:rPr>
          <w:sz w:val="24"/>
          <w:szCs w:val="24"/>
        </w:rPr>
        <w:t xml:space="preserve">prețul </w:t>
      </w:r>
      <w:r>
        <w:rPr>
          <w:sz w:val="24"/>
          <w:szCs w:val="24"/>
        </w:rPr>
        <w:t xml:space="preserve">final unic de dezechilibru </w:t>
      </w:r>
      <w:r w:rsidR="000E04CA" w:rsidRPr="00930FA6">
        <w:rPr>
          <w:sz w:val="24"/>
          <w:szCs w:val="24"/>
        </w:rPr>
        <w:t>în ID</w:t>
      </w:r>
      <w:r w:rsidR="000E04CA" w:rsidRPr="00930FA6">
        <w:rPr>
          <w:i/>
          <w:sz w:val="24"/>
          <w:szCs w:val="24"/>
        </w:rPr>
        <w:t>i</w:t>
      </w:r>
      <w:r w:rsidR="000E04CA" w:rsidRPr="00930FA6">
        <w:rPr>
          <w:sz w:val="24"/>
          <w:szCs w:val="24"/>
        </w:rPr>
        <w:t xml:space="preserve"> al zilei </w:t>
      </w:r>
      <w:r w:rsidR="000E04CA" w:rsidRPr="00930FA6">
        <w:rPr>
          <w:i/>
          <w:sz w:val="24"/>
          <w:szCs w:val="24"/>
        </w:rPr>
        <w:t xml:space="preserve">d, </w:t>
      </w:r>
      <w:r w:rsidR="000E04CA" w:rsidRPr="00930FA6">
        <w:rPr>
          <w:sz w:val="24"/>
          <w:szCs w:val="24"/>
        </w:rPr>
        <w:t xml:space="preserve">determinat conform prevederilor Regulamentului </w:t>
      </w:r>
      <w:r w:rsidRPr="00930FA6">
        <w:rPr>
          <w:sz w:val="24"/>
          <w:szCs w:val="24"/>
        </w:rPr>
        <w:t>de calcul și de decontare a dezechilibrelor părților responsabile cu echilibrarea – preț unic de dezechilibru</w:t>
      </w:r>
      <w:r>
        <w:rPr>
          <w:sz w:val="24"/>
          <w:szCs w:val="24"/>
        </w:rPr>
        <w:t>.”</w:t>
      </w:r>
    </w:p>
    <w:p w14:paraId="76EF0786" w14:textId="11C8B7FE" w:rsidR="00BE2428" w:rsidRDefault="00205048" w:rsidP="00BE2428">
      <w:pPr>
        <w:spacing w:line="360" w:lineRule="auto"/>
        <w:jc w:val="both"/>
      </w:pPr>
      <w:r w:rsidRPr="00205048">
        <w:rPr>
          <w:b/>
          <w:bCs/>
        </w:rPr>
        <w:t xml:space="preserve">Art. </w:t>
      </w:r>
      <w:r w:rsidR="00845237">
        <w:rPr>
          <w:b/>
          <w:bCs/>
        </w:rPr>
        <w:t>4</w:t>
      </w:r>
      <w:r w:rsidRPr="00205048">
        <w:t xml:space="preserve"> –</w:t>
      </w:r>
      <w:r>
        <w:t xml:space="preserve"> </w:t>
      </w:r>
      <w:r w:rsidR="00BE2428">
        <w:t xml:space="preserve">Regulamentul de calcul și de decontare a dezechilibrelor părților responsabile cu echilibrarea, aprobat prin Ordinul președintelui Autorității Naționale de Reglementare în Domeniul </w:t>
      </w:r>
      <w:r w:rsidR="00BE2428">
        <w:lastRenderedPageBreak/>
        <w:t>Energiei nr. 61/2020, publicat în Monitorul Oficial al României, Partea I, nr. 287 și 287 bis din 6 aprilie 2020, se modifică după cum urmează:</w:t>
      </w:r>
    </w:p>
    <w:p w14:paraId="4B00A9EC" w14:textId="5BDB8437" w:rsidR="00BE2428" w:rsidRDefault="00BE2428" w:rsidP="00BE2428">
      <w:pPr>
        <w:spacing w:line="360" w:lineRule="auto"/>
        <w:jc w:val="both"/>
      </w:pPr>
      <w:r>
        <w:t>Art. 11 se modifică și va avea următorul cuprins</w:t>
      </w:r>
      <w:r>
        <w:rPr>
          <w:lang w:val="en-US"/>
        </w:rPr>
        <w:t>:</w:t>
      </w:r>
    </w:p>
    <w:p w14:paraId="49665C48" w14:textId="3BF4F223" w:rsidR="00BE2428" w:rsidRDefault="00BE2428" w:rsidP="000E04CA">
      <w:pPr>
        <w:pStyle w:val="StyleBodyTextBefore6pt"/>
        <w:spacing w:before="120" w:line="360" w:lineRule="auto"/>
        <w:jc w:val="both"/>
        <w:rPr>
          <w:sz w:val="24"/>
          <w:szCs w:val="24"/>
        </w:rPr>
      </w:pPr>
      <w:r>
        <w:rPr>
          <w:sz w:val="24"/>
          <w:szCs w:val="24"/>
        </w:rPr>
        <w:t>”</w:t>
      </w:r>
      <w:r w:rsidRPr="00BE2428">
        <w:rPr>
          <w:b/>
          <w:bCs/>
          <w:sz w:val="24"/>
          <w:szCs w:val="24"/>
        </w:rPr>
        <w:t>Art. 11</w:t>
      </w:r>
      <w:r>
        <w:rPr>
          <w:sz w:val="24"/>
          <w:szCs w:val="24"/>
        </w:rPr>
        <w:t xml:space="preserve"> </w:t>
      </w:r>
      <w:r w:rsidRPr="00BE2428">
        <w:rPr>
          <w:sz w:val="24"/>
          <w:szCs w:val="24"/>
        </w:rPr>
        <w:t xml:space="preserve">Furnizorii de energie electrică care achiziționează energia electrică produsă și livrată în rețeaua electrică de către prosumatorii care dețin centrale electrice de producere a energiei electrice din surse regenerabile cu puterea instalată de cel mult </w:t>
      </w:r>
      <w:r>
        <w:rPr>
          <w:sz w:val="24"/>
          <w:szCs w:val="24"/>
        </w:rPr>
        <w:t>100</w:t>
      </w:r>
      <w:r w:rsidRPr="00BE2428">
        <w:rPr>
          <w:sz w:val="24"/>
          <w:szCs w:val="24"/>
        </w:rPr>
        <w:t xml:space="preserve"> kW pe loc de consum și încheie contracte de vânzare-cumpărare a energiei electrice în temeiul contractului-cadru aprobat prin Ordin al președintelui ANRE, sunt obligați să-și asume responsabilitatea financiară pentru plata dezechilibrelor generate pe piața de energie electrică de către producătorii/prosumatorii respectivi.</w:t>
      </w:r>
      <w:r>
        <w:rPr>
          <w:sz w:val="24"/>
          <w:szCs w:val="24"/>
        </w:rPr>
        <w:t>”</w:t>
      </w:r>
    </w:p>
    <w:p w14:paraId="3EFA04F4" w14:textId="6BB4C779" w:rsidR="00B90706" w:rsidRDefault="00B90706" w:rsidP="000E04CA">
      <w:pPr>
        <w:pStyle w:val="StyleBodyTextBefore6pt"/>
        <w:spacing w:before="120" w:line="360" w:lineRule="auto"/>
        <w:jc w:val="both"/>
        <w:rPr>
          <w:sz w:val="24"/>
          <w:szCs w:val="24"/>
        </w:rPr>
      </w:pPr>
      <w:r w:rsidRPr="00845237">
        <w:rPr>
          <w:b/>
          <w:bCs/>
          <w:sz w:val="24"/>
          <w:szCs w:val="24"/>
        </w:rPr>
        <w:t xml:space="preserve">Art. </w:t>
      </w:r>
      <w:r w:rsidR="00845237">
        <w:rPr>
          <w:b/>
          <w:bCs/>
          <w:sz w:val="24"/>
          <w:szCs w:val="24"/>
        </w:rPr>
        <w:t>5</w:t>
      </w:r>
      <w:r w:rsidRPr="00845237">
        <w:rPr>
          <w:sz w:val="24"/>
          <w:szCs w:val="24"/>
        </w:rPr>
        <w:t xml:space="preserve"> – Regulile comerciale privind colectarea, prelucrarea și transmiterea valorilor măsurate de</w:t>
      </w:r>
      <w:r>
        <w:rPr>
          <w:sz w:val="24"/>
          <w:szCs w:val="24"/>
        </w:rPr>
        <w:t xml:space="preserve"> energie electrică, aprobate prin </w:t>
      </w:r>
      <w:r w:rsidRPr="00B90706">
        <w:rPr>
          <w:sz w:val="24"/>
          <w:szCs w:val="24"/>
        </w:rPr>
        <w:t>Ordinul președintelui Autorității Naționale de Reglementare în Domeniul Energiei nr. 6</w:t>
      </w:r>
      <w:r>
        <w:rPr>
          <w:sz w:val="24"/>
          <w:szCs w:val="24"/>
        </w:rPr>
        <w:t>2</w:t>
      </w:r>
      <w:r w:rsidRPr="00B90706">
        <w:rPr>
          <w:sz w:val="24"/>
          <w:szCs w:val="24"/>
        </w:rPr>
        <w:t>/2020,</w:t>
      </w:r>
      <w:r>
        <w:rPr>
          <w:sz w:val="24"/>
          <w:szCs w:val="24"/>
        </w:rPr>
        <w:t xml:space="preserve"> cu modificările ulterioare,</w:t>
      </w:r>
      <w:r w:rsidRPr="00B90706">
        <w:rPr>
          <w:sz w:val="24"/>
          <w:szCs w:val="24"/>
        </w:rPr>
        <w:t xml:space="preserve"> publicat în Monitorul Oficial al României, Partea I, nr. 2</w:t>
      </w:r>
      <w:r>
        <w:rPr>
          <w:sz w:val="24"/>
          <w:szCs w:val="24"/>
        </w:rPr>
        <w:t>71</w:t>
      </w:r>
      <w:r w:rsidRPr="00B90706">
        <w:rPr>
          <w:sz w:val="24"/>
          <w:szCs w:val="24"/>
        </w:rPr>
        <w:t xml:space="preserve"> din </w:t>
      </w:r>
      <w:r>
        <w:rPr>
          <w:sz w:val="24"/>
          <w:szCs w:val="24"/>
        </w:rPr>
        <w:t>1</w:t>
      </w:r>
      <w:r w:rsidRPr="00B90706">
        <w:rPr>
          <w:sz w:val="24"/>
          <w:szCs w:val="24"/>
        </w:rPr>
        <w:t xml:space="preserve"> aprilie 2020, se modifică după cum urmează:</w:t>
      </w:r>
    </w:p>
    <w:p w14:paraId="244FAA6F" w14:textId="1435932A" w:rsidR="00B90706" w:rsidRDefault="00845237" w:rsidP="00B90706">
      <w:pPr>
        <w:spacing w:line="360" w:lineRule="auto"/>
        <w:jc w:val="both"/>
      </w:pPr>
      <w:r>
        <w:t>La articolul</w:t>
      </w:r>
      <w:r w:rsidR="00B90706">
        <w:t xml:space="preserve"> 19 </w:t>
      </w:r>
      <w:r>
        <w:t xml:space="preserve">sintagma 27 kW se înlocuiește cu 100 kW. </w:t>
      </w:r>
    </w:p>
    <w:p w14:paraId="2842A2BB" w14:textId="357D099A" w:rsidR="00A52766" w:rsidRPr="00440222" w:rsidRDefault="00440222" w:rsidP="00CB5067">
      <w:pPr>
        <w:spacing w:line="360" w:lineRule="auto"/>
        <w:jc w:val="both"/>
        <w:rPr>
          <w:b/>
        </w:rPr>
      </w:pPr>
      <w:r w:rsidRPr="0060080A">
        <w:rPr>
          <w:b/>
        </w:rPr>
        <w:t xml:space="preserve">Art. </w:t>
      </w:r>
      <w:r w:rsidR="00B90706">
        <w:rPr>
          <w:b/>
        </w:rPr>
        <w:t>6</w:t>
      </w:r>
      <w:r w:rsidRPr="0060080A">
        <w:rPr>
          <w:b/>
        </w:rPr>
        <w:t xml:space="preserve"> </w:t>
      </w:r>
      <w:r w:rsidR="006C35CF" w:rsidRPr="0060080A">
        <w:rPr>
          <w:b/>
        </w:rPr>
        <w:t>–</w:t>
      </w:r>
      <w:r w:rsidR="006C35CF" w:rsidRPr="0060080A">
        <w:t xml:space="preserve"> </w:t>
      </w:r>
      <w:r w:rsidR="0051354C" w:rsidRPr="0060080A">
        <w:t xml:space="preserve">Operatorii economici din sectorul energiei electrice, </w:t>
      </w:r>
      <w:r w:rsidR="00D47F95" w:rsidRPr="0060080A">
        <w:t xml:space="preserve">Compania Națională de Transport al Energiei Electrice ”Transelectrica” S.A. </w:t>
      </w:r>
      <w:r w:rsidR="003B790A" w:rsidRPr="0060080A">
        <w:t xml:space="preserve">și </w:t>
      </w:r>
      <w:r w:rsidR="003B790A" w:rsidRPr="0060080A">
        <w:rPr>
          <w:bCs/>
        </w:rPr>
        <w:t xml:space="preserve">Societatea Operatorul Pieței de Energie Electrică și de Gaze Naturale “OPCOM” S.A. </w:t>
      </w:r>
      <w:r w:rsidR="0051354C" w:rsidRPr="0060080A">
        <w:t>duc la îndeplinire</w:t>
      </w:r>
      <w:r w:rsidR="00D47F95" w:rsidRPr="0060080A">
        <w:t xml:space="preserve"> prevederile </w:t>
      </w:r>
      <w:r w:rsidR="0051354C" w:rsidRPr="0060080A">
        <w:t>prezentului ordin</w:t>
      </w:r>
      <w:r w:rsidR="00FA6431" w:rsidRPr="0060080A">
        <w:t>.</w:t>
      </w:r>
      <w:r w:rsidR="00A8138D" w:rsidRPr="0060080A">
        <w:t xml:space="preserve"> </w:t>
      </w:r>
    </w:p>
    <w:p w14:paraId="1F69B79A" w14:textId="5265189F" w:rsidR="00A52766" w:rsidRDefault="00FA6431" w:rsidP="00CB5067">
      <w:pPr>
        <w:spacing w:line="360" w:lineRule="auto"/>
        <w:jc w:val="both"/>
      </w:pPr>
      <w:r w:rsidRPr="0060080A">
        <w:rPr>
          <w:b/>
        </w:rPr>
        <w:t xml:space="preserve">Art. </w:t>
      </w:r>
      <w:r w:rsidR="00B90706">
        <w:rPr>
          <w:b/>
        </w:rPr>
        <w:t>7</w:t>
      </w:r>
      <w:r w:rsidR="00205048">
        <w:rPr>
          <w:b/>
        </w:rPr>
        <w:t xml:space="preserve"> </w:t>
      </w:r>
      <w:r w:rsidR="00BE6FE3" w:rsidRPr="0060080A">
        <w:rPr>
          <w:b/>
        </w:rPr>
        <w:t>–</w:t>
      </w:r>
      <w:r w:rsidR="006C35CF" w:rsidRPr="0060080A">
        <w:t xml:space="preserve"> </w:t>
      </w:r>
      <w:r w:rsidR="00BE6FE3" w:rsidRPr="0060080A">
        <w:t>Direcțiile de specialitate</w:t>
      </w:r>
      <w:r w:rsidR="00E471D0" w:rsidRPr="0060080A">
        <w:t xml:space="preserve"> din cadrul Autorit</w:t>
      </w:r>
      <w:r w:rsidR="00F17A1E" w:rsidRPr="0060080A">
        <w:t>ă</w:t>
      </w:r>
      <w:r w:rsidR="001535A1" w:rsidRPr="0060080A">
        <w:t>ț</w:t>
      </w:r>
      <w:r w:rsidR="00E471D0" w:rsidRPr="0060080A">
        <w:t xml:space="preserve">ii </w:t>
      </w:r>
      <w:r w:rsidR="00911E31" w:rsidRPr="0060080A">
        <w:t>N</w:t>
      </w:r>
      <w:r w:rsidR="00E471D0" w:rsidRPr="0060080A">
        <w:t>a</w:t>
      </w:r>
      <w:r w:rsidR="001535A1" w:rsidRPr="0060080A">
        <w:t>ț</w:t>
      </w:r>
      <w:r w:rsidR="00E471D0" w:rsidRPr="0060080A">
        <w:t xml:space="preserve">ionale de Reglementare </w:t>
      </w:r>
      <w:r w:rsidR="00F17A1E" w:rsidRPr="0060080A">
        <w:t>î</w:t>
      </w:r>
      <w:r w:rsidR="00E471D0" w:rsidRPr="0060080A">
        <w:t xml:space="preserve">n </w:t>
      </w:r>
      <w:r w:rsidR="00F5674F" w:rsidRPr="0060080A">
        <w:t>D</w:t>
      </w:r>
      <w:r w:rsidR="00E471D0" w:rsidRPr="0060080A">
        <w:t>omeniul Energiei urm</w:t>
      </w:r>
      <w:r w:rsidR="00F17A1E" w:rsidRPr="0060080A">
        <w:t>ă</w:t>
      </w:r>
      <w:r w:rsidR="00E471D0" w:rsidRPr="0060080A">
        <w:t>resc respectarea prevederilor prezentului ordin.</w:t>
      </w:r>
    </w:p>
    <w:p w14:paraId="0B187C65" w14:textId="5FDA95F2" w:rsidR="002523DB" w:rsidRDefault="002523DB" w:rsidP="002523DB">
      <w:pPr>
        <w:spacing w:line="360" w:lineRule="auto"/>
        <w:jc w:val="both"/>
      </w:pPr>
      <w:r w:rsidRPr="0060080A">
        <w:rPr>
          <w:b/>
        </w:rPr>
        <w:t xml:space="preserve">Art. </w:t>
      </w:r>
      <w:r w:rsidR="00B90706">
        <w:rPr>
          <w:b/>
        </w:rPr>
        <w:t>8</w:t>
      </w:r>
      <w:r w:rsidRPr="0060080A">
        <w:rPr>
          <w:b/>
        </w:rPr>
        <w:t xml:space="preserve"> –</w:t>
      </w:r>
      <w:r w:rsidRPr="0060080A">
        <w:t xml:space="preserve"> </w:t>
      </w:r>
      <w:r>
        <w:t>La data intrării în vigoare a prezentului ordin se abrogă Ordinul președintelui ANRE nr. 76/2017 pentru aprobarea Regulilor de transparentizare a decontării în cadrul părţilor responsabile cu echilibrarea şi modificarea art. 32 din Regulamentul de programare a unităţilor de producţie şi a consumatorilor dispecerizabili, aprobat prin Ordinul preşedintelui Autorităţii Naţionale de Reglementare în Domeniul Energiei nr. 32/2013, cu modificările ulterioare.</w:t>
      </w:r>
    </w:p>
    <w:p w14:paraId="35B5565A" w14:textId="0BC6C398" w:rsidR="00F55AA8" w:rsidRPr="0060080A" w:rsidRDefault="00E471D0" w:rsidP="00CB5067">
      <w:pPr>
        <w:spacing w:line="360" w:lineRule="auto"/>
        <w:jc w:val="both"/>
      </w:pPr>
      <w:r w:rsidRPr="0060080A">
        <w:rPr>
          <w:b/>
        </w:rPr>
        <w:t xml:space="preserve">Art. </w:t>
      </w:r>
      <w:r w:rsidR="00B90706">
        <w:rPr>
          <w:b/>
        </w:rPr>
        <w:t>9</w:t>
      </w:r>
      <w:r w:rsidR="002523DB">
        <w:rPr>
          <w:b/>
        </w:rPr>
        <w:t xml:space="preserve"> </w:t>
      </w:r>
      <w:r w:rsidR="00A52766" w:rsidRPr="0060080A">
        <w:rPr>
          <w:b/>
        </w:rPr>
        <w:t>–</w:t>
      </w:r>
      <w:r w:rsidR="006C35CF" w:rsidRPr="0060080A">
        <w:rPr>
          <w:b/>
        </w:rPr>
        <w:t xml:space="preserve"> </w:t>
      </w:r>
      <w:r w:rsidR="0051354C" w:rsidRPr="0060080A">
        <w:rPr>
          <w:bCs/>
        </w:rPr>
        <w:t>(1)</w:t>
      </w:r>
      <w:r w:rsidR="0051354C" w:rsidRPr="0060080A">
        <w:rPr>
          <w:b/>
        </w:rPr>
        <w:t xml:space="preserve"> </w:t>
      </w:r>
      <w:r w:rsidR="00AC2EF1" w:rsidRPr="0060080A">
        <w:t xml:space="preserve">Prezentul ordin se publică în Monitorul Oficial al României, </w:t>
      </w:r>
      <w:r w:rsidR="00466FA9" w:rsidRPr="0060080A">
        <w:t>P</w:t>
      </w:r>
      <w:r w:rsidR="00AC2EF1" w:rsidRPr="0060080A">
        <w:t>artea I</w:t>
      </w:r>
      <w:r w:rsidR="00466FA9" w:rsidRPr="0060080A">
        <w:t>, intră în vigoare la data publicării</w:t>
      </w:r>
      <w:r w:rsidR="00E629DD">
        <w:t xml:space="preserve"> și se aplică începând cu data de 1 ianuarie 2021. </w:t>
      </w:r>
    </w:p>
    <w:p w14:paraId="03D6F826" w14:textId="2A40340D" w:rsidR="002523DB" w:rsidRDefault="00FE6FDD" w:rsidP="002523DB">
      <w:pPr>
        <w:spacing w:line="360" w:lineRule="auto"/>
        <w:jc w:val="both"/>
      </w:pPr>
      <w:r w:rsidRPr="0060080A">
        <w:t>(</w:t>
      </w:r>
      <w:r w:rsidR="00E629DD">
        <w:t>2</w:t>
      </w:r>
      <w:r w:rsidRPr="0060080A">
        <w:t xml:space="preserve">) </w:t>
      </w:r>
      <w:r w:rsidR="00845237">
        <w:t>Începînd cu</w:t>
      </w:r>
      <w:r w:rsidR="002523DB">
        <w:t xml:space="preserve"> data aplicării prezentului ordin </w:t>
      </w:r>
      <w:r w:rsidRPr="0060080A">
        <w:t xml:space="preserve">prevederile </w:t>
      </w:r>
      <w:r w:rsidR="002523DB">
        <w:t>anexei 3 a Ordinului președintelui ANRE nr. 61/2020 pentru aprobarea Regulamentului de programare a unităţilor de producţie dispecerizabile, a consumatorilor dispecerizabili şi a instalaţiilor de stocare dispecerizabile, a Regulamentului de funcţionare şi de decontare a pieţei de echilibrare şi a Regulamentului de calcul şi de decontare a dezechilibrelor părţilor responsabile cu echilibrarea, cu modificările și completările ulterioare</w:t>
      </w:r>
      <w:r w:rsidR="00845237">
        <w:t xml:space="preserve"> se aplică numai în intervalele de decontare prevăzute la alin. (4)</w:t>
      </w:r>
      <w:r w:rsidR="002523DB">
        <w:t>.</w:t>
      </w:r>
    </w:p>
    <w:p w14:paraId="6316F97D" w14:textId="0585F717" w:rsidR="00E629DD" w:rsidRDefault="00E629DD" w:rsidP="00E629DD">
      <w:pPr>
        <w:spacing w:line="360" w:lineRule="auto"/>
        <w:jc w:val="both"/>
      </w:pPr>
      <w:r>
        <w:lastRenderedPageBreak/>
        <w:t>(3) Pentru o perioadă tranzitorie de 6 luni de la aplicarea prevederilor prezentului ordin, ODPE în paralel cu realizarea calculelor pentru decontarea dezechilibrelor părților responsabile cu echilibrarea rezultate conform aplicării prevederilor regulamentului din anexa care face parte integrantă din prezentul ordin, face simulări lunare, în luna următoare lunii de livrare pentru calculul de decontare a dezechilibrelor părților responsabile cu echilibrarea rezultate conform aplicării prevederilor Regulamentului de calcul și de decontare a dezechilibrelor părților responsabile cu echilibrarea aprobate prin Ordinul președintelui ANRE nr. 61/2020, cu modificările și completările ulterioare.</w:t>
      </w:r>
    </w:p>
    <w:p w14:paraId="7F64DB6F" w14:textId="6F4513F6" w:rsidR="00872A96" w:rsidRDefault="00872A96" w:rsidP="00E629DD">
      <w:pPr>
        <w:spacing w:line="360" w:lineRule="auto"/>
        <w:jc w:val="both"/>
      </w:pPr>
      <w:r>
        <w:t xml:space="preserve">(4) În situația în care în </w:t>
      </w:r>
      <w:r w:rsidR="00845237">
        <w:t>unele inervale</w:t>
      </w:r>
      <w:r>
        <w:t xml:space="preserve"> de decontare apar anomalii matematice de calcul al prețului de dezechilibru calculat conform prevederilor regulamentului din anexa care face parte integrantă din prezentul ordin, decontarea dezechilibrelor PRE pentru perioada de decontare respectivă </w:t>
      </w:r>
      <w:r w:rsidR="00845237">
        <w:t xml:space="preserve">se va face conform prevederilor </w:t>
      </w:r>
      <w:bookmarkStart w:id="1" w:name="_GoBack"/>
      <w:bookmarkEnd w:id="1"/>
      <w:r>
        <w:t>Regulamentului de calcul și de decontare a dezechilibrelor părților responsabile cu echilibrarea aprobate prin Ordinul președintelui ANRE nr. 61/2020, cu modificările și completările ulterioare.</w:t>
      </w:r>
    </w:p>
    <w:p w14:paraId="24786F59" w14:textId="036E0B61" w:rsidR="00E629DD" w:rsidRDefault="00E629DD" w:rsidP="00CB5067">
      <w:pPr>
        <w:spacing w:line="360" w:lineRule="auto"/>
        <w:jc w:val="both"/>
      </w:pPr>
    </w:p>
    <w:p w14:paraId="6DA8C505" w14:textId="77777777" w:rsidR="00FE6FDD" w:rsidRPr="0060080A" w:rsidRDefault="00FE6FDD" w:rsidP="00CB5067">
      <w:pPr>
        <w:spacing w:line="360" w:lineRule="auto"/>
        <w:ind w:left="360"/>
        <w:jc w:val="both"/>
      </w:pPr>
    </w:p>
    <w:p w14:paraId="2629EDE1" w14:textId="77777777" w:rsidR="00CF78CE" w:rsidRPr="0060080A" w:rsidRDefault="00CF78CE" w:rsidP="00CB5067">
      <w:pPr>
        <w:spacing w:before="60" w:after="60" w:line="360" w:lineRule="auto"/>
        <w:jc w:val="center"/>
        <w:outlineLvl w:val="0"/>
        <w:rPr>
          <w:b/>
        </w:rPr>
      </w:pPr>
      <w:r w:rsidRPr="0060080A">
        <w:rPr>
          <w:b/>
        </w:rPr>
        <w:t>Pre</w:t>
      </w:r>
      <w:r w:rsidR="001535A1" w:rsidRPr="0060080A">
        <w:rPr>
          <w:b/>
        </w:rPr>
        <w:t>ș</w:t>
      </w:r>
      <w:r w:rsidRPr="0060080A">
        <w:rPr>
          <w:b/>
        </w:rPr>
        <w:t>edintele Autorit</w:t>
      </w:r>
      <w:r w:rsidR="00F17A1E" w:rsidRPr="0060080A">
        <w:rPr>
          <w:b/>
        </w:rPr>
        <w:t>ă</w:t>
      </w:r>
      <w:r w:rsidR="001535A1" w:rsidRPr="0060080A">
        <w:rPr>
          <w:b/>
        </w:rPr>
        <w:t>ț</w:t>
      </w:r>
      <w:r w:rsidRPr="0060080A">
        <w:rPr>
          <w:b/>
        </w:rPr>
        <w:t>ii Na</w:t>
      </w:r>
      <w:r w:rsidR="001535A1" w:rsidRPr="0060080A">
        <w:rPr>
          <w:b/>
        </w:rPr>
        <w:t>ț</w:t>
      </w:r>
      <w:r w:rsidRPr="0060080A">
        <w:rPr>
          <w:b/>
        </w:rPr>
        <w:t xml:space="preserve">ionale de Reglementare </w:t>
      </w:r>
      <w:r w:rsidR="00F17A1E" w:rsidRPr="0060080A">
        <w:rPr>
          <w:b/>
        </w:rPr>
        <w:t>î</w:t>
      </w:r>
      <w:r w:rsidRPr="0060080A">
        <w:rPr>
          <w:b/>
        </w:rPr>
        <w:t>n Domeniul Energiei</w:t>
      </w:r>
    </w:p>
    <w:p w14:paraId="3197A1E3" w14:textId="77777777" w:rsidR="00CF78CE" w:rsidRPr="0060080A" w:rsidRDefault="00902365" w:rsidP="00CB5067">
      <w:pPr>
        <w:spacing w:before="60" w:after="60" w:line="360" w:lineRule="auto"/>
        <w:jc w:val="center"/>
        <w:outlineLvl w:val="0"/>
        <w:rPr>
          <w:b/>
        </w:rPr>
      </w:pPr>
      <w:r w:rsidRPr="0060080A">
        <w:rPr>
          <w:b/>
        </w:rPr>
        <w:t>Dumitru CHIRIȚ</w:t>
      </w:r>
      <w:r w:rsidR="00F17A1E" w:rsidRPr="0060080A">
        <w:rPr>
          <w:b/>
        </w:rPr>
        <w:t>Ă</w:t>
      </w:r>
    </w:p>
    <w:sectPr w:rsidR="00CF78CE" w:rsidRPr="0060080A" w:rsidSect="00441AEA">
      <w:pgSz w:w="12240" w:h="15840"/>
      <w:pgMar w:top="1276" w:right="1183" w:bottom="851" w:left="141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67A9D" w14:textId="77777777" w:rsidR="00131E76" w:rsidRDefault="00131E76" w:rsidP="007D4F97">
      <w:r>
        <w:separator/>
      </w:r>
    </w:p>
  </w:endnote>
  <w:endnote w:type="continuationSeparator" w:id="0">
    <w:p w14:paraId="51F6651A" w14:textId="77777777" w:rsidR="00131E76" w:rsidRDefault="00131E76" w:rsidP="007D4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CF021" w14:textId="77777777" w:rsidR="00131E76" w:rsidRDefault="00131E76" w:rsidP="007D4F97">
      <w:r>
        <w:separator/>
      </w:r>
    </w:p>
  </w:footnote>
  <w:footnote w:type="continuationSeparator" w:id="0">
    <w:p w14:paraId="14277904" w14:textId="77777777" w:rsidR="00131E76" w:rsidRDefault="00131E76" w:rsidP="007D4F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A37"/>
    <w:multiLevelType w:val="hybridMultilevel"/>
    <w:tmpl w:val="E280C9B0"/>
    <w:lvl w:ilvl="0" w:tplc="F32C75B4">
      <w:start w:val="215"/>
      <w:numFmt w:val="decimal"/>
      <w:lvlText w:val="Art. %1 -"/>
      <w:lvlJc w:val="left"/>
      <w:pPr>
        <w:tabs>
          <w:tab w:val="num" w:pos="360"/>
        </w:tabs>
        <w:ind w:left="887" w:hanging="887"/>
      </w:pPr>
      <w:rPr>
        <w:rFonts w:hint="default"/>
        <w:b/>
        <w:sz w:val="24"/>
        <w:szCs w:val="24"/>
      </w:rPr>
    </w:lvl>
    <w:lvl w:ilvl="1" w:tplc="FD289F96">
      <w:start w:val="1"/>
      <w:numFmt w:val="lowerLetter"/>
      <w:lvlText w:val="%2)"/>
      <w:lvlJc w:val="left"/>
      <w:pPr>
        <w:tabs>
          <w:tab w:val="num" w:pos="1353"/>
        </w:tabs>
        <w:ind w:left="1353" w:hanging="360"/>
      </w:pPr>
      <w:rPr>
        <w:rFonts w:hint="default"/>
        <w:sz w:val="24"/>
        <w:szCs w:val="24"/>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015252C7"/>
    <w:multiLevelType w:val="hybridMultilevel"/>
    <w:tmpl w:val="A6FEDB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E11F7F"/>
    <w:multiLevelType w:val="hybridMultilevel"/>
    <w:tmpl w:val="39C6AC36"/>
    <w:lvl w:ilvl="0" w:tplc="3394FE54">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 w15:restartNumberingAfterBreak="0">
    <w:nsid w:val="0C037D95"/>
    <w:multiLevelType w:val="hybridMultilevel"/>
    <w:tmpl w:val="EAB0F3F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159415D6"/>
    <w:multiLevelType w:val="hybridMultilevel"/>
    <w:tmpl w:val="FDD8EF24"/>
    <w:lvl w:ilvl="0" w:tplc="DD80FF4C">
      <w:start w:val="1"/>
      <w:numFmt w:val="decimal"/>
      <w:lvlText w:val="%1."/>
      <w:lvlJc w:val="left"/>
      <w:pPr>
        <w:ind w:left="81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5346C2C"/>
    <w:multiLevelType w:val="hybridMultilevel"/>
    <w:tmpl w:val="91C6F3B6"/>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604976"/>
    <w:multiLevelType w:val="hybridMultilevel"/>
    <w:tmpl w:val="D354C794"/>
    <w:lvl w:ilvl="0" w:tplc="CE8422AA">
      <w:start w:val="1"/>
      <w:numFmt w:val="decimal"/>
      <w:pStyle w:val="Heading3"/>
      <w:lvlText w:val="art. %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C043DC3"/>
    <w:multiLevelType w:val="hybridMultilevel"/>
    <w:tmpl w:val="4D3446E4"/>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2F4E0E9F"/>
    <w:multiLevelType w:val="hybridMultilevel"/>
    <w:tmpl w:val="7AEE5922"/>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 w15:restartNumberingAfterBreak="0">
    <w:nsid w:val="30FA357A"/>
    <w:multiLevelType w:val="hybridMultilevel"/>
    <w:tmpl w:val="B080986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33092F08"/>
    <w:multiLevelType w:val="hybridMultilevel"/>
    <w:tmpl w:val="FA14639E"/>
    <w:lvl w:ilvl="0" w:tplc="34A8665C">
      <w:start w:val="1"/>
      <w:numFmt w:val="decimal"/>
      <w:lvlText w:val="%1."/>
      <w:lvlJc w:val="left"/>
      <w:pPr>
        <w:ind w:left="81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E9414D"/>
    <w:multiLevelType w:val="hybridMultilevel"/>
    <w:tmpl w:val="C078389A"/>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36922CBD"/>
    <w:multiLevelType w:val="hybridMultilevel"/>
    <w:tmpl w:val="A1D2936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303834"/>
    <w:multiLevelType w:val="hybridMultilevel"/>
    <w:tmpl w:val="4954AFB0"/>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4170354C"/>
    <w:multiLevelType w:val="hybridMultilevel"/>
    <w:tmpl w:val="B284E6E4"/>
    <w:lvl w:ilvl="0" w:tplc="FB42A02E">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CB2C48"/>
    <w:multiLevelType w:val="hybridMultilevel"/>
    <w:tmpl w:val="2974CF50"/>
    <w:lvl w:ilvl="0" w:tplc="F7BEF14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E6A0021"/>
    <w:multiLevelType w:val="hybridMultilevel"/>
    <w:tmpl w:val="457E870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1F10BC"/>
    <w:multiLevelType w:val="hybridMultilevel"/>
    <w:tmpl w:val="71541B1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6919A6"/>
    <w:multiLevelType w:val="hybridMultilevel"/>
    <w:tmpl w:val="992A80AA"/>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51BD7DA3"/>
    <w:multiLevelType w:val="hybridMultilevel"/>
    <w:tmpl w:val="82BE5A50"/>
    <w:lvl w:ilvl="0" w:tplc="3394FE54">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577613F0"/>
    <w:multiLevelType w:val="hybridMultilevel"/>
    <w:tmpl w:val="457E870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4B2A6A"/>
    <w:multiLevelType w:val="hybridMultilevel"/>
    <w:tmpl w:val="D5268936"/>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32C5388"/>
    <w:multiLevelType w:val="hybridMultilevel"/>
    <w:tmpl w:val="1ED07E9A"/>
    <w:lvl w:ilvl="0" w:tplc="34A8665C">
      <w:start w:val="1"/>
      <w:numFmt w:val="decimal"/>
      <w:lvlText w:val="%1."/>
      <w:lvlJc w:val="left"/>
      <w:pPr>
        <w:ind w:left="81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864DD7"/>
    <w:multiLevelType w:val="hybridMultilevel"/>
    <w:tmpl w:val="A1D2936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243DD9"/>
    <w:multiLevelType w:val="hybridMultilevel"/>
    <w:tmpl w:val="D7DE1480"/>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5" w15:restartNumberingAfterBreak="0">
    <w:nsid w:val="672367A5"/>
    <w:multiLevelType w:val="hybridMultilevel"/>
    <w:tmpl w:val="1660A810"/>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15:restartNumberingAfterBreak="0">
    <w:nsid w:val="685979C0"/>
    <w:multiLevelType w:val="hybridMultilevel"/>
    <w:tmpl w:val="E3BE7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E1248"/>
    <w:multiLevelType w:val="hybridMultilevel"/>
    <w:tmpl w:val="305C8BF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BE7B53"/>
    <w:multiLevelType w:val="hybridMultilevel"/>
    <w:tmpl w:val="36FA88BE"/>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75BB4595"/>
    <w:multiLevelType w:val="hybridMultilevel"/>
    <w:tmpl w:val="18B64ECC"/>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0" w15:restartNumberingAfterBreak="0">
    <w:nsid w:val="75E360B5"/>
    <w:multiLevelType w:val="hybridMultilevel"/>
    <w:tmpl w:val="A61CF3E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9F33E58"/>
    <w:multiLevelType w:val="hybridMultilevel"/>
    <w:tmpl w:val="427E511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4"/>
  </w:num>
  <w:num w:numId="2">
    <w:abstractNumId w:val="6"/>
  </w:num>
  <w:num w:numId="3">
    <w:abstractNumId w:val="15"/>
  </w:num>
  <w:num w:numId="4">
    <w:abstractNumId w:val="27"/>
  </w:num>
  <w:num w:numId="5">
    <w:abstractNumId w:val="14"/>
  </w:num>
  <w:num w:numId="6">
    <w:abstractNumId w:val="16"/>
  </w:num>
  <w:num w:numId="7">
    <w:abstractNumId w:val="30"/>
  </w:num>
  <w:num w:numId="8">
    <w:abstractNumId w:val="5"/>
  </w:num>
  <w:num w:numId="9">
    <w:abstractNumId w:val="10"/>
  </w:num>
  <w:num w:numId="10">
    <w:abstractNumId w:val="1"/>
  </w:num>
  <w:num w:numId="11">
    <w:abstractNumId w:val="22"/>
  </w:num>
  <w:num w:numId="12">
    <w:abstractNumId w:val="17"/>
  </w:num>
  <w:num w:numId="13">
    <w:abstractNumId w:val="20"/>
  </w:num>
  <w:num w:numId="14">
    <w:abstractNumId w:val="2"/>
  </w:num>
  <w:num w:numId="15">
    <w:abstractNumId w:val="29"/>
  </w:num>
  <w:num w:numId="16">
    <w:abstractNumId w:val="13"/>
  </w:num>
  <w:num w:numId="17">
    <w:abstractNumId w:val="24"/>
  </w:num>
  <w:num w:numId="18">
    <w:abstractNumId w:val="21"/>
  </w:num>
  <w:num w:numId="19">
    <w:abstractNumId w:val="18"/>
  </w:num>
  <w:num w:numId="20">
    <w:abstractNumId w:val="8"/>
  </w:num>
  <w:num w:numId="21">
    <w:abstractNumId w:val="7"/>
  </w:num>
  <w:num w:numId="22">
    <w:abstractNumId w:val="31"/>
  </w:num>
  <w:num w:numId="23">
    <w:abstractNumId w:val="3"/>
  </w:num>
  <w:num w:numId="24">
    <w:abstractNumId w:val="28"/>
  </w:num>
  <w:num w:numId="25">
    <w:abstractNumId w:val="11"/>
  </w:num>
  <w:num w:numId="26">
    <w:abstractNumId w:val="9"/>
  </w:num>
  <w:num w:numId="27">
    <w:abstractNumId w:val="26"/>
  </w:num>
  <w:num w:numId="28">
    <w:abstractNumId w:val="23"/>
  </w:num>
  <w:num w:numId="29">
    <w:abstractNumId w:val="12"/>
  </w:num>
  <w:num w:numId="30">
    <w:abstractNumId w:val="19"/>
  </w:num>
  <w:num w:numId="31">
    <w:abstractNumId w:val="0"/>
  </w:num>
  <w:num w:numId="3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AFF"/>
    <w:rsid w:val="00001709"/>
    <w:rsid w:val="000023E8"/>
    <w:rsid w:val="000030A0"/>
    <w:rsid w:val="00007FD0"/>
    <w:rsid w:val="00010CFA"/>
    <w:rsid w:val="0001133A"/>
    <w:rsid w:val="00011AF7"/>
    <w:rsid w:val="00014B97"/>
    <w:rsid w:val="00014C7F"/>
    <w:rsid w:val="00017049"/>
    <w:rsid w:val="0002056E"/>
    <w:rsid w:val="00027136"/>
    <w:rsid w:val="000302F3"/>
    <w:rsid w:val="00034B59"/>
    <w:rsid w:val="00034F1D"/>
    <w:rsid w:val="00037AFB"/>
    <w:rsid w:val="00043709"/>
    <w:rsid w:val="00044671"/>
    <w:rsid w:val="0004704D"/>
    <w:rsid w:val="000509D1"/>
    <w:rsid w:val="000531B1"/>
    <w:rsid w:val="000559DE"/>
    <w:rsid w:val="000567D2"/>
    <w:rsid w:val="0005681B"/>
    <w:rsid w:val="000608ED"/>
    <w:rsid w:val="00062127"/>
    <w:rsid w:val="0006407F"/>
    <w:rsid w:val="00073282"/>
    <w:rsid w:val="0008009C"/>
    <w:rsid w:val="00080374"/>
    <w:rsid w:val="0008248B"/>
    <w:rsid w:val="00082DEB"/>
    <w:rsid w:val="00083336"/>
    <w:rsid w:val="00083577"/>
    <w:rsid w:val="000874F2"/>
    <w:rsid w:val="00093EBD"/>
    <w:rsid w:val="000940AD"/>
    <w:rsid w:val="0009604A"/>
    <w:rsid w:val="00097BDA"/>
    <w:rsid w:val="000A21E7"/>
    <w:rsid w:val="000A7308"/>
    <w:rsid w:val="000A7368"/>
    <w:rsid w:val="000B3C33"/>
    <w:rsid w:val="000B58DA"/>
    <w:rsid w:val="000C03BC"/>
    <w:rsid w:val="000C0E6C"/>
    <w:rsid w:val="000C54CA"/>
    <w:rsid w:val="000C552C"/>
    <w:rsid w:val="000C6E9B"/>
    <w:rsid w:val="000D0537"/>
    <w:rsid w:val="000D1C20"/>
    <w:rsid w:val="000D359B"/>
    <w:rsid w:val="000D790A"/>
    <w:rsid w:val="000E04CA"/>
    <w:rsid w:val="000E08D9"/>
    <w:rsid w:val="000E2050"/>
    <w:rsid w:val="000E7F80"/>
    <w:rsid w:val="000F0118"/>
    <w:rsid w:val="000F260D"/>
    <w:rsid w:val="000F60FE"/>
    <w:rsid w:val="000F6C34"/>
    <w:rsid w:val="0010296D"/>
    <w:rsid w:val="00103229"/>
    <w:rsid w:val="0010434D"/>
    <w:rsid w:val="00105DEB"/>
    <w:rsid w:val="00107943"/>
    <w:rsid w:val="00115B6D"/>
    <w:rsid w:val="001178A1"/>
    <w:rsid w:val="00117ED6"/>
    <w:rsid w:val="00125A34"/>
    <w:rsid w:val="00126D50"/>
    <w:rsid w:val="0013137C"/>
    <w:rsid w:val="001316CC"/>
    <w:rsid w:val="00131D16"/>
    <w:rsid w:val="00131E76"/>
    <w:rsid w:val="00132256"/>
    <w:rsid w:val="00133B2B"/>
    <w:rsid w:val="00140977"/>
    <w:rsid w:val="00146A88"/>
    <w:rsid w:val="00146C4E"/>
    <w:rsid w:val="001506A8"/>
    <w:rsid w:val="00151918"/>
    <w:rsid w:val="001520BD"/>
    <w:rsid w:val="00152673"/>
    <w:rsid w:val="001535A1"/>
    <w:rsid w:val="001558D4"/>
    <w:rsid w:val="0015733B"/>
    <w:rsid w:val="00157A7C"/>
    <w:rsid w:val="00161B07"/>
    <w:rsid w:val="00167B0F"/>
    <w:rsid w:val="00171357"/>
    <w:rsid w:val="00171569"/>
    <w:rsid w:val="00173B78"/>
    <w:rsid w:val="001760B1"/>
    <w:rsid w:val="00181226"/>
    <w:rsid w:val="001816BA"/>
    <w:rsid w:val="00184942"/>
    <w:rsid w:val="00190673"/>
    <w:rsid w:val="00190A22"/>
    <w:rsid w:val="00192A68"/>
    <w:rsid w:val="001A28C2"/>
    <w:rsid w:val="001A5310"/>
    <w:rsid w:val="001A5CF6"/>
    <w:rsid w:val="001A7E80"/>
    <w:rsid w:val="001B21FE"/>
    <w:rsid w:val="001B2879"/>
    <w:rsid w:val="001B3DB5"/>
    <w:rsid w:val="001B636A"/>
    <w:rsid w:val="001B64CC"/>
    <w:rsid w:val="001B7E22"/>
    <w:rsid w:val="001C2974"/>
    <w:rsid w:val="001C3E2A"/>
    <w:rsid w:val="001D4C15"/>
    <w:rsid w:val="001D7BA8"/>
    <w:rsid w:val="001F4B07"/>
    <w:rsid w:val="00200691"/>
    <w:rsid w:val="00204148"/>
    <w:rsid w:val="00205048"/>
    <w:rsid w:val="00205699"/>
    <w:rsid w:val="00210612"/>
    <w:rsid w:val="002121BB"/>
    <w:rsid w:val="00212807"/>
    <w:rsid w:val="00212868"/>
    <w:rsid w:val="00212AE3"/>
    <w:rsid w:val="00215DB9"/>
    <w:rsid w:val="002233AD"/>
    <w:rsid w:val="0022392B"/>
    <w:rsid w:val="002271D8"/>
    <w:rsid w:val="00230FD0"/>
    <w:rsid w:val="00234E73"/>
    <w:rsid w:val="002428B0"/>
    <w:rsid w:val="00245EAD"/>
    <w:rsid w:val="002510B5"/>
    <w:rsid w:val="002523DB"/>
    <w:rsid w:val="002552F2"/>
    <w:rsid w:val="00264380"/>
    <w:rsid w:val="002645E6"/>
    <w:rsid w:val="00265221"/>
    <w:rsid w:val="00267BE9"/>
    <w:rsid w:val="00270AF0"/>
    <w:rsid w:val="00271228"/>
    <w:rsid w:val="00271390"/>
    <w:rsid w:val="00274315"/>
    <w:rsid w:val="00276666"/>
    <w:rsid w:val="00284BC0"/>
    <w:rsid w:val="00285012"/>
    <w:rsid w:val="00286569"/>
    <w:rsid w:val="00286DFA"/>
    <w:rsid w:val="00291F3E"/>
    <w:rsid w:val="00292BF8"/>
    <w:rsid w:val="002939B4"/>
    <w:rsid w:val="00294037"/>
    <w:rsid w:val="00295275"/>
    <w:rsid w:val="002A3C85"/>
    <w:rsid w:val="002A74FE"/>
    <w:rsid w:val="002B041E"/>
    <w:rsid w:val="002B3ADF"/>
    <w:rsid w:val="002B4C3E"/>
    <w:rsid w:val="002B609C"/>
    <w:rsid w:val="002B77D8"/>
    <w:rsid w:val="002C0658"/>
    <w:rsid w:val="002C2242"/>
    <w:rsid w:val="002C50D2"/>
    <w:rsid w:val="002C58C7"/>
    <w:rsid w:val="002C6903"/>
    <w:rsid w:val="002C6E32"/>
    <w:rsid w:val="002C74AF"/>
    <w:rsid w:val="002D02C9"/>
    <w:rsid w:val="002D412E"/>
    <w:rsid w:val="002D7F17"/>
    <w:rsid w:val="002E1044"/>
    <w:rsid w:val="002E3264"/>
    <w:rsid w:val="002F0131"/>
    <w:rsid w:val="002F18A5"/>
    <w:rsid w:val="002F2464"/>
    <w:rsid w:val="002F25FB"/>
    <w:rsid w:val="002F3CD0"/>
    <w:rsid w:val="00301413"/>
    <w:rsid w:val="003033A7"/>
    <w:rsid w:val="00304436"/>
    <w:rsid w:val="00304FDE"/>
    <w:rsid w:val="003061B0"/>
    <w:rsid w:val="00316399"/>
    <w:rsid w:val="003164AE"/>
    <w:rsid w:val="00320DAB"/>
    <w:rsid w:val="003227FB"/>
    <w:rsid w:val="00322B25"/>
    <w:rsid w:val="00326A38"/>
    <w:rsid w:val="00326BF4"/>
    <w:rsid w:val="00326DD4"/>
    <w:rsid w:val="00330076"/>
    <w:rsid w:val="0033216D"/>
    <w:rsid w:val="00350A72"/>
    <w:rsid w:val="003532BF"/>
    <w:rsid w:val="00363480"/>
    <w:rsid w:val="00363FB7"/>
    <w:rsid w:val="0036561F"/>
    <w:rsid w:val="003660B8"/>
    <w:rsid w:val="0036796E"/>
    <w:rsid w:val="00367EC8"/>
    <w:rsid w:val="00371845"/>
    <w:rsid w:val="00372566"/>
    <w:rsid w:val="00372AE6"/>
    <w:rsid w:val="00380538"/>
    <w:rsid w:val="00394039"/>
    <w:rsid w:val="00395FC9"/>
    <w:rsid w:val="003968B9"/>
    <w:rsid w:val="003A0638"/>
    <w:rsid w:val="003A6D72"/>
    <w:rsid w:val="003B05C9"/>
    <w:rsid w:val="003B41D9"/>
    <w:rsid w:val="003B5AD2"/>
    <w:rsid w:val="003B790A"/>
    <w:rsid w:val="003B7C55"/>
    <w:rsid w:val="003C0239"/>
    <w:rsid w:val="003C0F2B"/>
    <w:rsid w:val="003C1965"/>
    <w:rsid w:val="003C2EC5"/>
    <w:rsid w:val="003C7772"/>
    <w:rsid w:val="003D03B7"/>
    <w:rsid w:val="003D22CE"/>
    <w:rsid w:val="003D31D9"/>
    <w:rsid w:val="003D5BF2"/>
    <w:rsid w:val="003D657A"/>
    <w:rsid w:val="003E2F7F"/>
    <w:rsid w:val="003E4AFF"/>
    <w:rsid w:val="003E7432"/>
    <w:rsid w:val="003F0109"/>
    <w:rsid w:val="003F0E9D"/>
    <w:rsid w:val="003F26A2"/>
    <w:rsid w:val="003F4ED8"/>
    <w:rsid w:val="00400409"/>
    <w:rsid w:val="00405F53"/>
    <w:rsid w:val="00407A27"/>
    <w:rsid w:val="00412ADD"/>
    <w:rsid w:val="0041501A"/>
    <w:rsid w:val="0042024A"/>
    <w:rsid w:val="0042381F"/>
    <w:rsid w:val="00426F5B"/>
    <w:rsid w:val="00427603"/>
    <w:rsid w:val="0043015C"/>
    <w:rsid w:val="004306F3"/>
    <w:rsid w:val="00431D23"/>
    <w:rsid w:val="00431F1C"/>
    <w:rsid w:val="0043426F"/>
    <w:rsid w:val="00434FAC"/>
    <w:rsid w:val="004367DD"/>
    <w:rsid w:val="00436DE0"/>
    <w:rsid w:val="004378F2"/>
    <w:rsid w:val="00437C15"/>
    <w:rsid w:val="00440222"/>
    <w:rsid w:val="004418CA"/>
    <w:rsid w:val="00441AEA"/>
    <w:rsid w:val="004427EC"/>
    <w:rsid w:val="00442896"/>
    <w:rsid w:val="00443765"/>
    <w:rsid w:val="004517D8"/>
    <w:rsid w:val="00452408"/>
    <w:rsid w:val="00461FBF"/>
    <w:rsid w:val="00462A5A"/>
    <w:rsid w:val="004638AF"/>
    <w:rsid w:val="00466FA9"/>
    <w:rsid w:val="00472B7D"/>
    <w:rsid w:val="0047464F"/>
    <w:rsid w:val="00482E9F"/>
    <w:rsid w:val="00485256"/>
    <w:rsid w:val="0048784D"/>
    <w:rsid w:val="00487FC3"/>
    <w:rsid w:val="00496F97"/>
    <w:rsid w:val="004A2676"/>
    <w:rsid w:val="004A38B4"/>
    <w:rsid w:val="004A4B64"/>
    <w:rsid w:val="004A6675"/>
    <w:rsid w:val="004B0D1C"/>
    <w:rsid w:val="004B0EDA"/>
    <w:rsid w:val="004B43A0"/>
    <w:rsid w:val="004C1EC7"/>
    <w:rsid w:val="004C6608"/>
    <w:rsid w:val="004D02EC"/>
    <w:rsid w:val="004D59C9"/>
    <w:rsid w:val="004E0F57"/>
    <w:rsid w:val="004E7EA3"/>
    <w:rsid w:val="004F06E9"/>
    <w:rsid w:val="004F3BB5"/>
    <w:rsid w:val="004F46D5"/>
    <w:rsid w:val="004F5B77"/>
    <w:rsid w:val="004F7567"/>
    <w:rsid w:val="004F76DC"/>
    <w:rsid w:val="00500CBA"/>
    <w:rsid w:val="005021BF"/>
    <w:rsid w:val="00504F47"/>
    <w:rsid w:val="00506EB9"/>
    <w:rsid w:val="005078BC"/>
    <w:rsid w:val="00511F21"/>
    <w:rsid w:val="0051354C"/>
    <w:rsid w:val="00515809"/>
    <w:rsid w:val="00522A10"/>
    <w:rsid w:val="00523A1F"/>
    <w:rsid w:val="00525D1A"/>
    <w:rsid w:val="0052704B"/>
    <w:rsid w:val="005350C5"/>
    <w:rsid w:val="005366CA"/>
    <w:rsid w:val="005406CC"/>
    <w:rsid w:val="00545E88"/>
    <w:rsid w:val="005553B2"/>
    <w:rsid w:val="0055756B"/>
    <w:rsid w:val="00557638"/>
    <w:rsid w:val="005611C2"/>
    <w:rsid w:val="005663AA"/>
    <w:rsid w:val="0056722B"/>
    <w:rsid w:val="0057141D"/>
    <w:rsid w:val="00571BFD"/>
    <w:rsid w:val="00573C02"/>
    <w:rsid w:val="00574243"/>
    <w:rsid w:val="00575471"/>
    <w:rsid w:val="005771E4"/>
    <w:rsid w:val="00577531"/>
    <w:rsid w:val="005776E2"/>
    <w:rsid w:val="0058126E"/>
    <w:rsid w:val="00581FA5"/>
    <w:rsid w:val="00582112"/>
    <w:rsid w:val="00582363"/>
    <w:rsid w:val="00582B96"/>
    <w:rsid w:val="005842E4"/>
    <w:rsid w:val="0058436F"/>
    <w:rsid w:val="005856BF"/>
    <w:rsid w:val="0058753C"/>
    <w:rsid w:val="005922CD"/>
    <w:rsid w:val="005A06EC"/>
    <w:rsid w:val="005A5A94"/>
    <w:rsid w:val="005A7C61"/>
    <w:rsid w:val="005B2382"/>
    <w:rsid w:val="005B40CE"/>
    <w:rsid w:val="005B74D8"/>
    <w:rsid w:val="005C025D"/>
    <w:rsid w:val="005C03D9"/>
    <w:rsid w:val="005C0DA8"/>
    <w:rsid w:val="005C3463"/>
    <w:rsid w:val="005C3A23"/>
    <w:rsid w:val="005C450E"/>
    <w:rsid w:val="005C5FC9"/>
    <w:rsid w:val="005C7976"/>
    <w:rsid w:val="005C7F14"/>
    <w:rsid w:val="005D0ED8"/>
    <w:rsid w:val="005D2293"/>
    <w:rsid w:val="005D232E"/>
    <w:rsid w:val="005D41DB"/>
    <w:rsid w:val="005E2C50"/>
    <w:rsid w:val="005E634E"/>
    <w:rsid w:val="005E75DC"/>
    <w:rsid w:val="005F4AA7"/>
    <w:rsid w:val="005F4B58"/>
    <w:rsid w:val="005F55F6"/>
    <w:rsid w:val="005F7061"/>
    <w:rsid w:val="005F7EE4"/>
    <w:rsid w:val="0060080A"/>
    <w:rsid w:val="006013EB"/>
    <w:rsid w:val="006014F1"/>
    <w:rsid w:val="006024AC"/>
    <w:rsid w:val="00602E8A"/>
    <w:rsid w:val="00605BC5"/>
    <w:rsid w:val="00606ED1"/>
    <w:rsid w:val="00616724"/>
    <w:rsid w:val="006234E2"/>
    <w:rsid w:val="00626692"/>
    <w:rsid w:val="00627474"/>
    <w:rsid w:val="0063161A"/>
    <w:rsid w:val="00633250"/>
    <w:rsid w:val="0063339F"/>
    <w:rsid w:val="00651160"/>
    <w:rsid w:val="0066057C"/>
    <w:rsid w:val="0066494C"/>
    <w:rsid w:val="00666757"/>
    <w:rsid w:val="0066784C"/>
    <w:rsid w:val="006678FC"/>
    <w:rsid w:val="006712A6"/>
    <w:rsid w:val="0067542E"/>
    <w:rsid w:val="006803A1"/>
    <w:rsid w:val="00680E60"/>
    <w:rsid w:val="00696BC7"/>
    <w:rsid w:val="006A0224"/>
    <w:rsid w:val="006A2082"/>
    <w:rsid w:val="006B0D89"/>
    <w:rsid w:val="006B1433"/>
    <w:rsid w:val="006C35CF"/>
    <w:rsid w:val="006C3711"/>
    <w:rsid w:val="006C75CD"/>
    <w:rsid w:val="006D10D3"/>
    <w:rsid w:val="006D44C7"/>
    <w:rsid w:val="006E0D77"/>
    <w:rsid w:val="006E1416"/>
    <w:rsid w:val="006E470F"/>
    <w:rsid w:val="006E6491"/>
    <w:rsid w:val="006E6841"/>
    <w:rsid w:val="006F13D3"/>
    <w:rsid w:val="006F2402"/>
    <w:rsid w:val="007022C1"/>
    <w:rsid w:val="0070451D"/>
    <w:rsid w:val="0070540B"/>
    <w:rsid w:val="007068E5"/>
    <w:rsid w:val="0071020A"/>
    <w:rsid w:val="0071050F"/>
    <w:rsid w:val="007147A9"/>
    <w:rsid w:val="00714A31"/>
    <w:rsid w:val="00716114"/>
    <w:rsid w:val="0071621A"/>
    <w:rsid w:val="007179F2"/>
    <w:rsid w:val="00722898"/>
    <w:rsid w:val="007245C0"/>
    <w:rsid w:val="007250ED"/>
    <w:rsid w:val="007256E2"/>
    <w:rsid w:val="00726F29"/>
    <w:rsid w:val="00732458"/>
    <w:rsid w:val="00733E73"/>
    <w:rsid w:val="00745B3A"/>
    <w:rsid w:val="0074711B"/>
    <w:rsid w:val="00751355"/>
    <w:rsid w:val="0075713E"/>
    <w:rsid w:val="00763381"/>
    <w:rsid w:val="00764F06"/>
    <w:rsid w:val="00765380"/>
    <w:rsid w:val="007677E5"/>
    <w:rsid w:val="00767EC1"/>
    <w:rsid w:val="007704EC"/>
    <w:rsid w:val="007713DF"/>
    <w:rsid w:val="00771732"/>
    <w:rsid w:val="00773640"/>
    <w:rsid w:val="00773B14"/>
    <w:rsid w:val="00776EFB"/>
    <w:rsid w:val="00784242"/>
    <w:rsid w:val="007913F7"/>
    <w:rsid w:val="00794595"/>
    <w:rsid w:val="007A56E9"/>
    <w:rsid w:val="007A5DCF"/>
    <w:rsid w:val="007A699B"/>
    <w:rsid w:val="007B39FF"/>
    <w:rsid w:val="007B4081"/>
    <w:rsid w:val="007B4B4E"/>
    <w:rsid w:val="007B631E"/>
    <w:rsid w:val="007B73D8"/>
    <w:rsid w:val="007C0157"/>
    <w:rsid w:val="007C2CA0"/>
    <w:rsid w:val="007C3616"/>
    <w:rsid w:val="007C447C"/>
    <w:rsid w:val="007C66E0"/>
    <w:rsid w:val="007D08E3"/>
    <w:rsid w:val="007D461E"/>
    <w:rsid w:val="007D4F97"/>
    <w:rsid w:val="007E708A"/>
    <w:rsid w:val="007F2207"/>
    <w:rsid w:val="007F440C"/>
    <w:rsid w:val="007F67F9"/>
    <w:rsid w:val="00802C56"/>
    <w:rsid w:val="00802DE3"/>
    <w:rsid w:val="0080316B"/>
    <w:rsid w:val="00804BCF"/>
    <w:rsid w:val="0080621A"/>
    <w:rsid w:val="00806B12"/>
    <w:rsid w:val="00810EC7"/>
    <w:rsid w:val="00814563"/>
    <w:rsid w:val="00815582"/>
    <w:rsid w:val="008211E2"/>
    <w:rsid w:val="00822D90"/>
    <w:rsid w:val="008258FB"/>
    <w:rsid w:val="00835983"/>
    <w:rsid w:val="008402E5"/>
    <w:rsid w:val="008405CF"/>
    <w:rsid w:val="00841A3F"/>
    <w:rsid w:val="00845237"/>
    <w:rsid w:val="00847801"/>
    <w:rsid w:val="00850273"/>
    <w:rsid w:val="008539A1"/>
    <w:rsid w:val="00856A43"/>
    <w:rsid w:val="008571FC"/>
    <w:rsid w:val="00857F70"/>
    <w:rsid w:val="00865EDB"/>
    <w:rsid w:val="00872A96"/>
    <w:rsid w:val="00873C14"/>
    <w:rsid w:val="0087420F"/>
    <w:rsid w:val="00880B5C"/>
    <w:rsid w:val="0088151F"/>
    <w:rsid w:val="008900FC"/>
    <w:rsid w:val="00895B10"/>
    <w:rsid w:val="00897661"/>
    <w:rsid w:val="008A18F4"/>
    <w:rsid w:val="008A7DDB"/>
    <w:rsid w:val="008B02E0"/>
    <w:rsid w:val="008B1858"/>
    <w:rsid w:val="008B525D"/>
    <w:rsid w:val="008B7BCE"/>
    <w:rsid w:val="008C153A"/>
    <w:rsid w:val="008C633E"/>
    <w:rsid w:val="008D3FBF"/>
    <w:rsid w:val="008D504C"/>
    <w:rsid w:val="008D5887"/>
    <w:rsid w:val="008D7149"/>
    <w:rsid w:val="008F2FDF"/>
    <w:rsid w:val="008F5499"/>
    <w:rsid w:val="008F64ED"/>
    <w:rsid w:val="008F709C"/>
    <w:rsid w:val="008F7CAF"/>
    <w:rsid w:val="0090220A"/>
    <w:rsid w:val="00902365"/>
    <w:rsid w:val="00904555"/>
    <w:rsid w:val="009050E8"/>
    <w:rsid w:val="00910303"/>
    <w:rsid w:val="00911E31"/>
    <w:rsid w:val="00914A8B"/>
    <w:rsid w:val="0091780C"/>
    <w:rsid w:val="009228DF"/>
    <w:rsid w:val="009279E4"/>
    <w:rsid w:val="00930FA6"/>
    <w:rsid w:val="009343BE"/>
    <w:rsid w:val="00936321"/>
    <w:rsid w:val="00941C4F"/>
    <w:rsid w:val="00946C4E"/>
    <w:rsid w:val="00946E17"/>
    <w:rsid w:val="009501B7"/>
    <w:rsid w:val="009513DC"/>
    <w:rsid w:val="009519F3"/>
    <w:rsid w:val="00960168"/>
    <w:rsid w:val="00962737"/>
    <w:rsid w:val="00964C4F"/>
    <w:rsid w:val="009661E5"/>
    <w:rsid w:val="00971F17"/>
    <w:rsid w:val="00973CC5"/>
    <w:rsid w:val="00976905"/>
    <w:rsid w:val="00984A04"/>
    <w:rsid w:val="00991BE1"/>
    <w:rsid w:val="00994CAF"/>
    <w:rsid w:val="009958C4"/>
    <w:rsid w:val="00995CF1"/>
    <w:rsid w:val="00996DCD"/>
    <w:rsid w:val="009A3D27"/>
    <w:rsid w:val="009A7117"/>
    <w:rsid w:val="009B0E3B"/>
    <w:rsid w:val="009B3CF0"/>
    <w:rsid w:val="009B5FFF"/>
    <w:rsid w:val="009B63EB"/>
    <w:rsid w:val="009B75BE"/>
    <w:rsid w:val="009C27CA"/>
    <w:rsid w:val="009C36DA"/>
    <w:rsid w:val="009C3EC0"/>
    <w:rsid w:val="009C54B1"/>
    <w:rsid w:val="009D04D1"/>
    <w:rsid w:val="009D1C97"/>
    <w:rsid w:val="009E255E"/>
    <w:rsid w:val="009E453C"/>
    <w:rsid w:val="009F25C6"/>
    <w:rsid w:val="009F2D97"/>
    <w:rsid w:val="009F5A50"/>
    <w:rsid w:val="00A00A34"/>
    <w:rsid w:val="00A0141F"/>
    <w:rsid w:val="00A01431"/>
    <w:rsid w:val="00A03D38"/>
    <w:rsid w:val="00A03EE4"/>
    <w:rsid w:val="00A058BC"/>
    <w:rsid w:val="00A06010"/>
    <w:rsid w:val="00A11056"/>
    <w:rsid w:val="00A142D4"/>
    <w:rsid w:val="00A14324"/>
    <w:rsid w:val="00A205EC"/>
    <w:rsid w:val="00A20C6A"/>
    <w:rsid w:val="00A2484C"/>
    <w:rsid w:val="00A2583C"/>
    <w:rsid w:val="00A26A71"/>
    <w:rsid w:val="00A307A7"/>
    <w:rsid w:val="00A30F21"/>
    <w:rsid w:val="00A3186D"/>
    <w:rsid w:val="00A3491B"/>
    <w:rsid w:val="00A355BF"/>
    <w:rsid w:val="00A36CC5"/>
    <w:rsid w:val="00A37752"/>
    <w:rsid w:val="00A4142F"/>
    <w:rsid w:val="00A41621"/>
    <w:rsid w:val="00A41CDB"/>
    <w:rsid w:val="00A44C1F"/>
    <w:rsid w:val="00A46440"/>
    <w:rsid w:val="00A4664B"/>
    <w:rsid w:val="00A52766"/>
    <w:rsid w:val="00A56063"/>
    <w:rsid w:val="00A56114"/>
    <w:rsid w:val="00A5625F"/>
    <w:rsid w:val="00A6046E"/>
    <w:rsid w:val="00A67C78"/>
    <w:rsid w:val="00A73D2C"/>
    <w:rsid w:val="00A73DA1"/>
    <w:rsid w:val="00A740DC"/>
    <w:rsid w:val="00A759E2"/>
    <w:rsid w:val="00A77D0C"/>
    <w:rsid w:val="00A8138D"/>
    <w:rsid w:val="00A84538"/>
    <w:rsid w:val="00A84C71"/>
    <w:rsid w:val="00A8650A"/>
    <w:rsid w:val="00A90733"/>
    <w:rsid w:val="00A91999"/>
    <w:rsid w:val="00A94DA8"/>
    <w:rsid w:val="00A9669E"/>
    <w:rsid w:val="00A96CD8"/>
    <w:rsid w:val="00A97335"/>
    <w:rsid w:val="00A97ADC"/>
    <w:rsid w:val="00AA1FF6"/>
    <w:rsid w:val="00AA4638"/>
    <w:rsid w:val="00AA499C"/>
    <w:rsid w:val="00AA7EE2"/>
    <w:rsid w:val="00AB038E"/>
    <w:rsid w:val="00AB5190"/>
    <w:rsid w:val="00AB5ECD"/>
    <w:rsid w:val="00AC002B"/>
    <w:rsid w:val="00AC2EF1"/>
    <w:rsid w:val="00AC6954"/>
    <w:rsid w:val="00AC77EC"/>
    <w:rsid w:val="00AD7A79"/>
    <w:rsid w:val="00AD7F16"/>
    <w:rsid w:val="00AE06E2"/>
    <w:rsid w:val="00AF57D2"/>
    <w:rsid w:val="00AF5EE2"/>
    <w:rsid w:val="00AF6B21"/>
    <w:rsid w:val="00AF734E"/>
    <w:rsid w:val="00B0011D"/>
    <w:rsid w:val="00B0101D"/>
    <w:rsid w:val="00B044ED"/>
    <w:rsid w:val="00B061E4"/>
    <w:rsid w:val="00B062DA"/>
    <w:rsid w:val="00B14056"/>
    <w:rsid w:val="00B17BDB"/>
    <w:rsid w:val="00B21C36"/>
    <w:rsid w:val="00B21FA7"/>
    <w:rsid w:val="00B22E40"/>
    <w:rsid w:val="00B23AEA"/>
    <w:rsid w:val="00B2589E"/>
    <w:rsid w:val="00B271C2"/>
    <w:rsid w:val="00B330F8"/>
    <w:rsid w:val="00B33100"/>
    <w:rsid w:val="00B34711"/>
    <w:rsid w:val="00B40353"/>
    <w:rsid w:val="00B40455"/>
    <w:rsid w:val="00B43752"/>
    <w:rsid w:val="00B47652"/>
    <w:rsid w:val="00B478A6"/>
    <w:rsid w:val="00B508FA"/>
    <w:rsid w:val="00B55E26"/>
    <w:rsid w:val="00B745E0"/>
    <w:rsid w:val="00B7478F"/>
    <w:rsid w:val="00B82289"/>
    <w:rsid w:val="00B82FE6"/>
    <w:rsid w:val="00B83463"/>
    <w:rsid w:val="00B83594"/>
    <w:rsid w:val="00B847DD"/>
    <w:rsid w:val="00B84BD7"/>
    <w:rsid w:val="00B90706"/>
    <w:rsid w:val="00B9295F"/>
    <w:rsid w:val="00B941F0"/>
    <w:rsid w:val="00B95959"/>
    <w:rsid w:val="00B96689"/>
    <w:rsid w:val="00BA07F0"/>
    <w:rsid w:val="00BA1F9C"/>
    <w:rsid w:val="00BA32A3"/>
    <w:rsid w:val="00BA4C68"/>
    <w:rsid w:val="00BA7947"/>
    <w:rsid w:val="00BB097C"/>
    <w:rsid w:val="00BB1130"/>
    <w:rsid w:val="00BB1CC7"/>
    <w:rsid w:val="00BB2236"/>
    <w:rsid w:val="00BB26FE"/>
    <w:rsid w:val="00BB2F5F"/>
    <w:rsid w:val="00BB71AD"/>
    <w:rsid w:val="00BB795C"/>
    <w:rsid w:val="00BC1575"/>
    <w:rsid w:val="00BC4D82"/>
    <w:rsid w:val="00BC6651"/>
    <w:rsid w:val="00BC6AB2"/>
    <w:rsid w:val="00BD0B5E"/>
    <w:rsid w:val="00BD1977"/>
    <w:rsid w:val="00BD1C31"/>
    <w:rsid w:val="00BD77AC"/>
    <w:rsid w:val="00BE2428"/>
    <w:rsid w:val="00BE29C4"/>
    <w:rsid w:val="00BE4E94"/>
    <w:rsid w:val="00BE6FE3"/>
    <w:rsid w:val="00BF32BF"/>
    <w:rsid w:val="00BF3A3D"/>
    <w:rsid w:val="00BF576D"/>
    <w:rsid w:val="00C048D7"/>
    <w:rsid w:val="00C0533F"/>
    <w:rsid w:val="00C057A4"/>
    <w:rsid w:val="00C07580"/>
    <w:rsid w:val="00C07C05"/>
    <w:rsid w:val="00C1422E"/>
    <w:rsid w:val="00C16A2A"/>
    <w:rsid w:val="00C1766F"/>
    <w:rsid w:val="00C17FC8"/>
    <w:rsid w:val="00C30A17"/>
    <w:rsid w:val="00C32325"/>
    <w:rsid w:val="00C33420"/>
    <w:rsid w:val="00C34FCD"/>
    <w:rsid w:val="00C37D62"/>
    <w:rsid w:val="00C42C5C"/>
    <w:rsid w:val="00C51591"/>
    <w:rsid w:val="00C57868"/>
    <w:rsid w:val="00C5795E"/>
    <w:rsid w:val="00C57B5C"/>
    <w:rsid w:val="00C665D0"/>
    <w:rsid w:val="00C71542"/>
    <w:rsid w:val="00C773A2"/>
    <w:rsid w:val="00C90F99"/>
    <w:rsid w:val="00C954FF"/>
    <w:rsid w:val="00CA42DC"/>
    <w:rsid w:val="00CA4C02"/>
    <w:rsid w:val="00CB119B"/>
    <w:rsid w:val="00CB5067"/>
    <w:rsid w:val="00CC046E"/>
    <w:rsid w:val="00CC365E"/>
    <w:rsid w:val="00CC4979"/>
    <w:rsid w:val="00CC6702"/>
    <w:rsid w:val="00CD2CD2"/>
    <w:rsid w:val="00CD4059"/>
    <w:rsid w:val="00CD4D90"/>
    <w:rsid w:val="00CD6364"/>
    <w:rsid w:val="00CD7D44"/>
    <w:rsid w:val="00CE005B"/>
    <w:rsid w:val="00CE1033"/>
    <w:rsid w:val="00CE7D7E"/>
    <w:rsid w:val="00CF2FDA"/>
    <w:rsid w:val="00CF4736"/>
    <w:rsid w:val="00CF78CE"/>
    <w:rsid w:val="00CF7CF4"/>
    <w:rsid w:val="00D0014E"/>
    <w:rsid w:val="00D00869"/>
    <w:rsid w:val="00D00DC9"/>
    <w:rsid w:val="00D03CFF"/>
    <w:rsid w:val="00D041A2"/>
    <w:rsid w:val="00D042F3"/>
    <w:rsid w:val="00D10584"/>
    <w:rsid w:val="00D22224"/>
    <w:rsid w:val="00D22E3B"/>
    <w:rsid w:val="00D30A7A"/>
    <w:rsid w:val="00D3179B"/>
    <w:rsid w:val="00D3229D"/>
    <w:rsid w:val="00D32E87"/>
    <w:rsid w:val="00D356E1"/>
    <w:rsid w:val="00D36504"/>
    <w:rsid w:val="00D367C3"/>
    <w:rsid w:val="00D41A34"/>
    <w:rsid w:val="00D429AA"/>
    <w:rsid w:val="00D42FE7"/>
    <w:rsid w:val="00D4527E"/>
    <w:rsid w:val="00D47F95"/>
    <w:rsid w:val="00D52C28"/>
    <w:rsid w:val="00D5587C"/>
    <w:rsid w:val="00D65A4B"/>
    <w:rsid w:val="00D70DFB"/>
    <w:rsid w:val="00D76320"/>
    <w:rsid w:val="00D7728C"/>
    <w:rsid w:val="00D80960"/>
    <w:rsid w:val="00D814F3"/>
    <w:rsid w:val="00D81822"/>
    <w:rsid w:val="00D822B6"/>
    <w:rsid w:val="00D90A93"/>
    <w:rsid w:val="00D92A61"/>
    <w:rsid w:val="00D96C9F"/>
    <w:rsid w:val="00DA0D29"/>
    <w:rsid w:val="00DA3242"/>
    <w:rsid w:val="00DA47F3"/>
    <w:rsid w:val="00DA525F"/>
    <w:rsid w:val="00DA7B25"/>
    <w:rsid w:val="00DB0738"/>
    <w:rsid w:val="00DB0D39"/>
    <w:rsid w:val="00DB4EE9"/>
    <w:rsid w:val="00DC12C9"/>
    <w:rsid w:val="00DC2CBB"/>
    <w:rsid w:val="00DD2272"/>
    <w:rsid w:val="00DD4038"/>
    <w:rsid w:val="00DD5847"/>
    <w:rsid w:val="00DD5C59"/>
    <w:rsid w:val="00DD5DCB"/>
    <w:rsid w:val="00DD6B42"/>
    <w:rsid w:val="00DE0681"/>
    <w:rsid w:val="00DE1BA0"/>
    <w:rsid w:val="00DE240B"/>
    <w:rsid w:val="00DE4491"/>
    <w:rsid w:val="00DE660F"/>
    <w:rsid w:val="00DE734D"/>
    <w:rsid w:val="00DE735F"/>
    <w:rsid w:val="00DE7A17"/>
    <w:rsid w:val="00DF0C2B"/>
    <w:rsid w:val="00DF2D1B"/>
    <w:rsid w:val="00DF428A"/>
    <w:rsid w:val="00DF6747"/>
    <w:rsid w:val="00E0006D"/>
    <w:rsid w:val="00E01084"/>
    <w:rsid w:val="00E046CC"/>
    <w:rsid w:val="00E04ACB"/>
    <w:rsid w:val="00E128A4"/>
    <w:rsid w:val="00E1457B"/>
    <w:rsid w:val="00E21676"/>
    <w:rsid w:val="00E269CA"/>
    <w:rsid w:val="00E26ADA"/>
    <w:rsid w:val="00E30976"/>
    <w:rsid w:val="00E34FA9"/>
    <w:rsid w:val="00E356FC"/>
    <w:rsid w:val="00E360F5"/>
    <w:rsid w:val="00E369AE"/>
    <w:rsid w:val="00E3789E"/>
    <w:rsid w:val="00E40F8F"/>
    <w:rsid w:val="00E41C7F"/>
    <w:rsid w:val="00E42370"/>
    <w:rsid w:val="00E46D3C"/>
    <w:rsid w:val="00E47056"/>
    <w:rsid w:val="00E471D0"/>
    <w:rsid w:val="00E50030"/>
    <w:rsid w:val="00E5023D"/>
    <w:rsid w:val="00E54100"/>
    <w:rsid w:val="00E61A69"/>
    <w:rsid w:val="00E625F2"/>
    <w:rsid w:val="00E629DD"/>
    <w:rsid w:val="00E64282"/>
    <w:rsid w:val="00E6549C"/>
    <w:rsid w:val="00E65761"/>
    <w:rsid w:val="00E72A58"/>
    <w:rsid w:val="00E743A9"/>
    <w:rsid w:val="00E75B8A"/>
    <w:rsid w:val="00E826F5"/>
    <w:rsid w:val="00E86FDF"/>
    <w:rsid w:val="00E90279"/>
    <w:rsid w:val="00E904C8"/>
    <w:rsid w:val="00E90931"/>
    <w:rsid w:val="00E90FF6"/>
    <w:rsid w:val="00E91C82"/>
    <w:rsid w:val="00E930FD"/>
    <w:rsid w:val="00E95A84"/>
    <w:rsid w:val="00E9653E"/>
    <w:rsid w:val="00E972F4"/>
    <w:rsid w:val="00EA345D"/>
    <w:rsid w:val="00EA3E05"/>
    <w:rsid w:val="00EA7D35"/>
    <w:rsid w:val="00EB399A"/>
    <w:rsid w:val="00EB5706"/>
    <w:rsid w:val="00EC36E7"/>
    <w:rsid w:val="00EC55F1"/>
    <w:rsid w:val="00EC5AB4"/>
    <w:rsid w:val="00EC5FCA"/>
    <w:rsid w:val="00EC7C99"/>
    <w:rsid w:val="00ED04C8"/>
    <w:rsid w:val="00ED214C"/>
    <w:rsid w:val="00ED3CAD"/>
    <w:rsid w:val="00ED4601"/>
    <w:rsid w:val="00ED68F3"/>
    <w:rsid w:val="00ED7684"/>
    <w:rsid w:val="00EE0C80"/>
    <w:rsid w:val="00EE11E5"/>
    <w:rsid w:val="00EE3802"/>
    <w:rsid w:val="00EE49F6"/>
    <w:rsid w:val="00EE6F38"/>
    <w:rsid w:val="00EE774B"/>
    <w:rsid w:val="00EF4600"/>
    <w:rsid w:val="00EF675C"/>
    <w:rsid w:val="00EF7518"/>
    <w:rsid w:val="00F03BF1"/>
    <w:rsid w:val="00F04021"/>
    <w:rsid w:val="00F05548"/>
    <w:rsid w:val="00F079F7"/>
    <w:rsid w:val="00F13250"/>
    <w:rsid w:val="00F15823"/>
    <w:rsid w:val="00F16950"/>
    <w:rsid w:val="00F17A1E"/>
    <w:rsid w:val="00F17A31"/>
    <w:rsid w:val="00F2702D"/>
    <w:rsid w:val="00F34E07"/>
    <w:rsid w:val="00F36A01"/>
    <w:rsid w:val="00F374CF"/>
    <w:rsid w:val="00F426ED"/>
    <w:rsid w:val="00F43DC7"/>
    <w:rsid w:val="00F472B8"/>
    <w:rsid w:val="00F47E52"/>
    <w:rsid w:val="00F51DB3"/>
    <w:rsid w:val="00F525CF"/>
    <w:rsid w:val="00F55AA8"/>
    <w:rsid w:val="00F55B51"/>
    <w:rsid w:val="00F56111"/>
    <w:rsid w:val="00F5674F"/>
    <w:rsid w:val="00F56B3A"/>
    <w:rsid w:val="00F57D1C"/>
    <w:rsid w:val="00F62B9F"/>
    <w:rsid w:val="00F62D7F"/>
    <w:rsid w:val="00F64455"/>
    <w:rsid w:val="00F6786F"/>
    <w:rsid w:val="00F721B2"/>
    <w:rsid w:val="00F727D3"/>
    <w:rsid w:val="00F75169"/>
    <w:rsid w:val="00F8083F"/>
    <w:rsid w:val="00F81D37"/>
    <w:rsid w:val="00F81D3E"/>
    <w:rsid w:val="00F918A0"/>
    <w:rsid w:val="00F93EBC"/>
    <w:rsid w:val="00F950A3"/>
    <w:rsid w:val="00F958E1"/>
    <w:rsid w:val="00FA3380"/>
    <w:rsid w:val="00FA5C10"/>
    <w:rsid w:val="00FA6431"/>
    <w:rsid w:val="00FA7419"/>
    <w:rsid w:val="00FA79DC"/>
    <w:rsid w:val="00FB3144"/>
    <w:rsid w:val="00FB5FF2"/>
    <w:rsid w:val="00FC021E"/>
    <w:rsid w:val="00FC5EE0"/>
    <w:rsid w:val="00FD0E10"/>
    <w:rsid w:val="00FD1C01"/>
    <w:rsid w:val="00FD40A6"/>
    <w:rsid w:val="00FE2172"/>
    <w:rsid w:val="00FE23D6"/>
    <w:rsid w:val="00FE36F3"/>
    <w:rsid w:val="00FE6FDD"/>
    <w:rsid w:val="00FF32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0224B"/>
  <w15:chartTrackingRefBased/>
  <w15:docId w15:val="{2FC28497-5F74-47A5-85B9-F87C9436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o-RO" w:eastAsia="en-US"/>
    </w:rPr>
  </w:style>
  <w:style w:type="paragraph" w:styleId="Heading3">
    <w:name w:val="heading 3"/>
    <w:basedOn w:val="Normal"/>
    <w:next w:val="Normal"/>
    <w:link w:val="Heading3Char"/>
    <w:uiPriority w:val="99"/>
    <w:qFormat/>
    <w:rsid w:val="00AF5EE2"/>
    <w:pPr>
      <w:keepNext/>
      <w:numPr>
        <w:numId w:val="2"/>
      </w:numPr>
      <w:spacing w:before="240" w:after="60"/>
      <w:outlineLvl w:val="2"/>
    </w:pPr>
    <w:rPr>
      <w:rFonts w:ascii="Cambria" w:hAnsi="Cambria"/>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E91C82"/>
    <w:rPr>
      <w:noProof/>
      <w:lang w:val="pl-PL" w:eastAsia="pl-PL"/>
    </w:rPr>
  </w:style>
  <w:style w:type="paragraph" w:styleId="ListParagraph">
    <w:name w:val="List Paragraph"/>
    <w:basedOn w:val="Normal"/>
    <w:uiPriority w:val="34"/>
    <w:qFormat/>
    <w:rsid w:val="00571BFD"/>
    <w:pPr>
      <w:spacing w:after="160" w:line="259" w:lineRule="auto"/>
      <w:ind w:left="720"/>
      <w:contextualSpacing/>
    </w:pPr>
    <w:rPr>
      <w:rFonts w:ascii="Calibri" w:eastAsia="Calibri" w:hAnsi="Calibri"/>
      <w:sz w:val="22"/>
      <w:szCs w:val="22"/>
    </w:rPr>
  </w:style>
  <w:style w:type="paragraph" w:customStyle="1" w:styleId="StyleBodyTextBefore6pt">
    <w:name w:val="Style Body Text + Before:  6 pt"/>
    <w:basedOn w:val="Normal"/>
    <w:rsid w:val="00571BFD"/>
    <w:rPr>
      <w:rFonts w:eastAsia="Calibri"/>
      <w:sz w:val="20"/>
      <w:szCs w:val="20"/>
      <w:lang w:eastAsia="ro-RO"/>
    </w:rPr>
  </w:style>
  <w:style w:type="character" w:styleId="CommentReference">
    <w:name w:val="annotation reference"/>
    <w:uiPriority w:val="99"/>
    <w:rsid w:val="00A44C1F"/>
    <w:rPr>
      <w:sz w:val="16"/>
      <w:szCs w:val="16"/>
    </w:rPr>
  </w:style>
  <w:style w:type="paragraph" w:styleId="CommentText">
    <w:name w:val="annotation text"/>
    <w:basedOn w:val="Normal"/>
    <w:link w:val="CommentTextChar"/>
    <w:uiPriority w:val="99"/>
    <w:rsid w:val="00A44C1F"/>
    <w:rPr>
      <w:sz w:val="20"/>
      <w:szCs w:val="20"/>
      <w:lang w:val="x-none"/>
    </w:rPr>
  </w:style>
  <w:style w:type="character" w:customStyle="1" w:styleId="CommentTextChar">
    <w:name w:val="Comment Text Char"/>
    <w:link w:val="CommentText"/>
    <w:uiPriority w:val="99"/>
    <w:rsid w:val="00A44C1F"/>
    <w:rPr>
      <w:lang w:eastAsia="en-US"/>
    </w:rPr>
  </w:style>
  <w:style w:type="paragraph" w:styleId="CommentSubject">
    <w:name w:val="annotation subject"/>
    <w:basedOn w:val="CommentText"/>
    <w:next w:val="CommentText"/>
    <w:link w:val="CommentSubjectChar"/>
    <w:rsid w:val="00A44C1F"/>
    <w:rPr>
      <w:b/>
      <w:bCs/>
    </w:rPr>
  </w:style>
  <w:style w:type="character" w:customStyle="1" w:styleId="CommentSubjectChar">
    <w:name w:val="Comment Subject Char"/>
    <w:link w:val="CommentSubject"/>
    <w:rsid w:val="00A44C1F"/>
    <w:rPr>
      <w:b/>
      <w:bCs/>
      <w:lang w:eastAsia="en-US"/>
    </w:rPr>
  </w:style>
  <w:style w:type="paragraph" w:styleId="BalloonText">
    <w:name w:val="Balloon Text"/>
    <w:basedOn w:val="Normal"/>
    <w:link w:val="BalloonTextChar"/>
    <w:rsid w:val="00A44C1F"/>
    <w:rPr>
      <w:rFonts w:ascii="Segoe UI" w:hAnsi="Segoe UI"/>
      <w:sz w:val="18"/>
      <w:szCs w:val="18"/>
      <w:lang w:val="x-none"/>
    </w:rPr>
  </w:style>
  <w:style w:type="character" w:customStyle="1" w:styleId="BalloonTextChar">
    <w:name w:val="Balloon Text Char"/>
    <w:link w:val="BalloonText"/>
    <w:rsid w:val="00A44C1F"/>
    <w:rPr>
      <w:rFonts w:ascii="Segoe UI" w:hAnsi="Segoe UI" w:cs="Segoe UI"/>
      <w:sz w:val="18"/>
      <w:szCs w:val="18"/>
      <w:lang w:eastAsia="en-US"/>
    </w:rPr>
  </w:style>
  <w:style w:type="paragraph" w:styleId="Header">
    <w:name w:val="header"/>
    <w:basedOn w:val="Normal"/>
    <w:link w:val="HeaderChar"/>
    <w:rsid w:val="007D4F97"/>
    <w:pPr>
      <w:tabs>
        <w:tab w:val="center" w:pos="4536"/>
        <w:tab w:val="right" w:pos="9072"/>
      </w:tabs>
    </w:pPr>
    <w:rPr>
      <w:lang w:val="x-none"/>
    </w:rPr>
  </w:style>
  <w:style w:type="character" w:customStyle="1" w:styleId="HeaderChar">
    <w:name w:val="Header Char"/>
    <w:link w:val="Header"/>
    <w:rsid w:val="007D4F97"/>
    <w:rPr>
      <w:sz w:val="24"/>
      <w:szCs w:val="24"/>
      <w:lang w:eastAsia="en-US"/>
    </w:rPr>
  </w:style>
  <w:style w:type="paragraph" w:styleId="Footer">
    <w:name w:val="footer"/>
    <w:basedOn w:val="Normal"/>
    <w:link w:val="FooterChar"/>
    <w:uiPriority w:val="99"/>
    <w:rsid w:val="007D4F97"/>
    <w:pPr>
      <w:tabs>
        <w:tab w:val="center" w:pos="4536"/>
        <w:tab w:val="right" w:pos="9072"/>
      </w:tabs>
    </w:pPr>
    <w:rPr>
      <w:lang w:val="x-none"/>
    </w:rPr>
  </w:style>
  <w:style w:type="character" w:customStyle="1" w:styleId="FooterChar">
    <w:name w:val="Footer Char"/>
    <w:link w:val="Footer"/>
    <w:uiPriority w:val="99"/>
    <w:rsid w:val="007D4F97"/>
    <w:rPr>
      <w:sz w:val="24"/>
      <w:szCs w:val="24"/>
      <w:lang w:eastAsia="en-US"/>
    </w:rPr>
  </w:style>
  <w:style w:type="paragraph" w:customStyle="1" w:styleId="shdr">
    <w:name w:val="s_hdr"/>
    <w:basedOn w:val="Normal"/>
    <w:uiPriority w:val="99"/>
    <w:semiHidden/>
    <w:rsid w:val="00814563"/>
    <w:pPr>
      <w:spacing w:before="72" w:after="72"/>
      <w:ind w:left="72" w:right="72"/>
    </w:pPr>
    <w:rPr>
      <w:rFonts w:ascii="Verdana" w:hAnsi="Verdana"/>
      <w:b/>
      <w:bCs/>
      <w:color w:val="333333"/>
      <w:sz w:val="20"/>
      <w:szCs w:val="20"/>
      <w:lang w:eastAsia="ro-RO"/>
    </w:rPr>
  </w:style>
  <w:style w:type="character" w:customStyle="1" w:styleId="Heading3Char">
    <w:name w:val="Heading 3 Char"/>
    <w:link w:val="Heading3"/>
    <w:uiPriority w:val="99"/>
    <w:rsid w:val="00AF5EE2"/>
    <w:rPr>
      <w:rFonts w:ascii="Cambria" w:hAnsi="Cambria"/>
      <w:b/>
      <w:bCs/>
      <w:sz w:val="26"/>
      <w:szCs w:val="26"/>
      <w:lang w:val="en-US" w:eastAsia="en-US"/>
    </w:rPr>
  </w:style>
  <w:style w:type="paragraph" w:customStyle="1" w:styleId="spar">
    <w:name w:val="s_par"/>
    <w:basedOn w:val="Normal"/>
    <w:rsid w:val="006A0224"/>
    <w:pPr>
      <w:shd w:val="clear" w:color="auto" w:fill="FFFFFF"/>
      <w:ind w:left="225"/>
      <w:jc w:val="both"/>
    </w:pPr>
    <w:rPr>
      <w:rFonts w:ascii="Verdana" w:hAnsi="Verdana"/>
      <w:color w:val="000000"/>
      <w:sz w:val="20"/>
      <w:szCs w:val="20"/>
      <w:lang w:val="en-GB" w:eastAsia="en-GB"/>
    </w:rPr>
  </w:style>
  <w:style w:type="character" w:styleId="Hyperlink">
    <w:name w:val="Hyperlink"/>
    <w:uiPriority w:val="99"/>
    <w:unhideWhenUsed/>
    <w:rsid w:val="006A0224"/>
    <w:rPr>
      <w:color w:val="0000FF"/>
      <w:u w:val="single"/>
    </w:rPr>
  </w:style>
  <w:style w:type="character" w:customStyle="1" w:styleId="salnttl1">
    <w:name w:val="s_aln_ttl1"/>
    <w:rsid w:val="00CB5067"/>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CB5067"/>
    <w:rPr>
      <w:rFonts w:ascii="Verdana" w:hAnsi="Verdana" w:hint="default"/>
      <w:b w:val="0"/>
      <w:bCs w:val="0"/>
      <w:color w:val="000000"/>
      <w:sz w:val="20"/>
      <w:szCs w:val="20"/>
      <w:shd w:val="clear" w:color="auto" w:fill="FFFFFF"/>
    </w:rPr>
  </w:style>
  <w:style w:type="character" w:customStyle="1" w:styleId="spctttl1">
    <w:name w:val="s_pct_ttl1"/>
    <w:rsid w:val="00BC4D82"/>
    <w:rPr>
      <w:rFonts w:ascii="Verdana" w:hAnsi="Verdana" w:hint="default"/>
      <w:b/>
      <w:bCs/>
      <w:color w:val="8B0000"/>
      <w:sz w:val="20"/>
      <w:szCs w:val="20"/>
      <w:shd w:val="clear" w:color="auto" w:fill="FFFFFF"/>
    </w:rPr>
  </w:style>
  <w:style w:type="character" w:customStyle="1" w:styleId="spctbdy">
    <w:name w:val="s_pct_bdy"/>
    <w:rsid w:val="00BC4D82"/>
    <w:rPr>
      <w:rFonts w:ascii="Verdana" w:hAnsi="Verdana" w:hint="default"/>
      <w:b w:val="0"/>
      <w:bCs w:val="0"/>
      <w:color w:val="000000"/>
      <w:sz w:val="20"/>
      <w:szCs w:val="20"/>
      <w:shd w:val="clear" w:color="auto" w:fill="FFFFFF"/>
    </w:rPr>
  </w:style>
  <w:style w:type="character" w:customStyle="1" w:styleId="slitttl1">
    <w:name w:val="s_lit_ttl1"/>
    <w:rsid w:val="00BC4D82"/>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BC4D82"/>
    <w:rPr>
      <w:rFonts w:ascii="Verdana" w:hAnsi="Verdana" w:hint="default"/>
      <w:b w:val="0"/>
      <w:bCs w:val="0"/>
      <w:color w:val="000000"/>
      <w:sz w:val="20"/>
      <w:szCs w:val="20"/>
      <w:shd w:val="clear" w:color="auto" w:fill="FFFFFF"/>
    </w:rPr>
  </w:style>
  <w:style w:type="paragraph" w:customStyle="1" w:styleId="CharCharCharCaracter">
    <w:name w:val="Char Char Char Caracter"/>
    <w:basedOn w:val="Normal"/>
    <w:rsid w:val="005C450E"/>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6789">
      <w:bodyDiv w:val="1"/>
      <w:marLeft w:val="0"/>
      <w:marRight w:val="0"/>
      <w:marTop w:val="0"/>
      <w:marBottom w:val="0"/>
      <w:divBdr>
        <w:top w:val="none" w:sz="0" w:space="0" w:color="auto"/>
        <w:left w:val="none" w:sz="0" w:space="0" w:color="auto"/>
        <w:bottom w:val="none" w:sz="0" w:space="0" w:color="auto"/>
        <w:right w:val="none" w:sz="0" w:space="0" w:color="auto"/>
      </w:divBdr>
    </w:div>
    <w:div w:id="233512594">
      <w:bodyDiv w:val="1"/>
      <w:marLeft w:val="0"/>
      <w:marRight w:val="0"/>
      <w:marTop w:val="0"/>
      <w:marBottom w:val="0"/>
      <w:divBdr>
        <w:top w:val="none" w:sz="0" w:space="0" w:color="auto"/>
        <w:left w:val="none" w:sz="0" w:space="0" w:color="auto"/>
        <w:bottom w:val="none" w:sz="0" w:space="0" w:color="auto"/>
        <w:right w:val="none" w:sz="0" w:space="0" w:color="auto"/>
      </w:divBdr>
    </w:div>
    <w:div w:id="312635883">
      <w:bodyDiv w:val="1"/>
      <w:marLeft w:val="0"/>
      <w:marRight w:val="0"/>
      <w:marTop w:val="0"/>
      <w:marBottom w:val="0"/>
      <w:divBdr>
        <w:top w:val="none" w:sz="0" w:space="0" w:color="auto"/>
        <w:left w:val="none" w:sz="0" w:space="0" w:color="auto"/>
        <w:bottom w:val="none" w:sz="0" w:space="0" w:color="auto"/>
        <w:right w:val="none" w:sz="0" w:space="0" w:color="auto"/>
      </w:divBdr>
      <w:divsChild>
        <w:div w:id="206767438">
          <w:marLeft w:val="0"/>
          <w:marRight w:val="0"/>
          <w:marTop w:val="0"/>
          <w:marBottom w:val="0"/>
          <w:divBdr>
            <w:top w:val="none" w:sz="0" w:space="0" w:color="auto"/>
            <w:left w:val="none" w:sz="0" w:space="0" w:color="auto"/>
            <w:bottom w:val="none" w:sz="0" w:space="0" w:color="auto"/>
            <w:right w:val="none" w:sz="0" w:space="0" w:color="auto"/>
          </w:divBdr>
        </w:div>
      </w:divsChild>
    </w:div>
    <w:div w:id="331613477">
      <w:bodyDiv w:val="1"/>
      <w:marLeft w:val="0"/>
      <w:marRight w:val="0"/>
      <w:marTop w:val="0"/>
      <w:marBottom w:val="0"/>
      <w:divBdr>
        <w:top w:val="none" w:sz="0" w:space="0" w:color="auto"/>
        <w:left w:val="none" w:sz="0" w:space="0" w:color="auto"/>
        <w:bottom w:val="none" w:sz="0" w:space="0" w:color="auto"/>
        <w:right w:val="none" w:sz="0" w:space="0" w:color="auto"/>
      </w:divBdr>
    </w:div>
    <w:div w:id="345786636">
      <w:bodyDiv w:val="1"/>
      <w:marLeft w:val="0"/>
      <w:marRight w:val="0"/>
      <w:marTop w:val="0"/>
      <w:marBottom w:val="0"/>
      <w:divBdr>
        <w:top w:val="none" w:sz="0" w:space="0" w:color="auto"/>
        <w:left w:val="none" w:sz="0" w:space="0" w:color="auto"/>
        <w:bottom w:val="none" w:sz="0" w:space="0" w:color="auto"/>
        <w:right w:val="none" w:sz="0" w:space="0" w:color="auto"/>
      </w:divBdr>
      <w:divsChild>
        <w:div w:id="106003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7358032">
      <w:bodyDiv w:val="1"/>
      <w:marLeft w:val="0"/>
      <w:marRight w:val="0"/>
      <w:marTop w:val="0"/>
      <w:marBottom w:val="0"/>
      <w:divBdr>
        <w:top w:val="none" w:sz="0" w:space="0" w:color="auto"/>
        <w:left w:val="none" w:sz="0" w:space="0" w:color="auto"/>
        <w:bottom w:val="none" w:sz="0" w:space="0" w:color="auto"/>
        <w:right w:val="none" w:sz="0" w:space="0" w:color="auto"/>
      </w:divBdr>
    </w:div>
    <w:div w:id="593055891">
      <w:bodyDiv w:val="1"/>
      <w:marLeft w:val="0"/>
      <w:marRight w:val="0"/>
      <w:marTop w:val="0"/>
      <w:marBottom w:val="0"/>
      <w:divBdr>
        <w:top w:val="none" w:sz="0" w:space="0" w:color="auto"/>
        <w:left w:val="none" w:sz="0" w:space="0" w:color="auto"/>
        <w:bottom w:val="none" w:sz="0" w:space="0" w:color="auto"/>
        <w:right w:val="none" w:sz="0" w:space="0" w:color="auto"/>
      </w:divBdr>
      <w:divsChild>
        <w:div w:id="21381777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82918746">
      <w:bodyDiv w:val="1"/>
      <w:marLeft w:val="0"/>
      <w:marRight w:val="0"/>
      <w:marTop w:val="0"/>
      <w:marBottom w:val="0"/>
      <w:divBdr>
        <w:top w:val="none" w:sz="0" w:space="0" w:color="auto"/>
        <w:left w:val="none" w:sz="0" w:space="0" w:color="auto"/>
        <w:bottom w:val="none" w:sz="0" w:space="0" w:color="auto"/>
        <w:right w:val="none" w:sz="0" w:space="0" w:color="auto"/>
      </w:divBdr>
    </w:div>
    <w:div w:id="820542329">
      <w:bodyDiv w:val="1"/>
      <w:marLeft w:val="0"/>
      <w:marRight w:val="0"/>
      <w:marTop w:val="0"/>
      <w:marBottom w:val="0"/>
      <w:divBdr>
        <w:top w:val="none" w:sz="0" w:space="0" w:color="auto"/>
        <w:left w:val="none" w:sz="0" w:space="0" w:color="auto"/>
        <w:bottom w:val="none" w:sz="0" w:space="0" w:color="auto"/>
        <w:right w:val="none" w:sz="0" w:space="0" w:color="auto"/>
      </w:divBdr>
    </w:div>
    <w:div w:id="874777612">
      <w:bodyDiv w:val="1"/>
      <w:marLeft w:val="0"/>
      <w:marRight w:val="0"/>
      <w:marTop w:val="0"/>
      <w:marBottom w:val="0"/>
      <w:divBdr>
        <w:top w:val="none" w:sz="0" w:space="0" w:color="auto"/>
        <w:left w:val="none" w:sz="0" w:space="0" w:color="auto"/>
        <w:bottom w:val="none" w:sz="0" w:space="0" w:color="auto"/>
        <w:right w:val="none" w:sz="0" w:space="0" w:color="auto"/>
      </w:divBdr>
      <w:divsChild>
        <w:div w:id="517082301">
          <w:marLeft w:val="0"/>
          <w:marRight w:val="0"/>
          <w:marTop w:val="0"/>
          <w:marBottom w:val="0"/>
          <w:divBdr>
            <w:top w:val="none" w:sz="0" w:space="0" w:color="auto"/>
            <w:left w:val="none" w:sz="0" w:space="0" w:color="auto"/>
            <w:bottom w:val="none" w:sz="0" w:space="0" w:color="auto"/>
            <w:right w:val="none" w:sz="0" w:space="0" w:color="auto"/>
          </w:divBdr>
        </w:div>
      </w:divsChild>
    </w:div>
    <w:div w:id="914978062">
      <w:bodyDiv w:val="1"/>
      <w:marLeft w:val="0"/>
      <w:marRight w:val="0"/>
      <w:marTop w:val="0"/>
      <w:marBottom w:val="0"/>
      <w:divBdr>
        <w:top w:val="none" w:sz="0" w:space="0" w:color="auto"/>
        <w:left w:val="none" w:sz="0" w:space="0" w:color="auto"/>
        <w:bottom w:val="none" w:sz="0" w:space="0" w:color="auto"/>
        <w:right w:val="none" w:sz="0" w:space="0" w:color="auto"/>
      </w:divBdr>
    </w:div>
    <w:div w:id="1106147633">
      <w:bodyDiv w:val="1"/>
      <w:marLeft w:val="0"/>
      <w:marRight w:val="0"/>
      <w:marTop w:val="0"/>
      <w:marBottom w:val="0"/>
      <w:divBdr>
        <w:top w:val="none" w:sz="0" w:space="0" w:color="auto"/>
        <w:left w:val="none" w:sz="0" w:space="0" w:color="auto"/>
        <w:bottom w:val="none" w:sz="0" w:space="0" w:color="auto"/>
        <w:right w:val="none" w:sz="0" w:space="0" w:color="auto"/>
      </w:divBdr>
    </w:div>
    <w:div w:id="1147084901">
      <w:bodyDiv w:val="1"/>
      <w:marLeft w:val="0"/>
      <w:marRight w:val="0"/>
      <w:marTop w:val="0"/>
      <w:marBottom w:val="0"/>
      <w:divBdr>
        <w:top w:val="none" w:sz="0" w:space="0" w:color="auto"/>
        <w:left w:val="none" w:sz="0" w:space="0" w:color="auto"/>
        <w:bottom w:val="none" w:sz="0" w:space="0" w:color="auto"/>
        <w:right w:val="none" w:sz="0" w:space="0" w:color="auto"/>
      </w:divBdr>
    </w:div>
    <w:div w:id="1169953242">
      <w:bodyDiv w:val="1"/>
      <w:marLeft w:val="0"/>
      <w:marRight w:val="0"/>
      <w:marTop w:val="0"/>
      <w:marBottom w:val="0"/>
      <w:divBdr>
        <w:top w:val="none" w:sz="0" w:space="0" w:color="auto"/>
        <w:left w:val="none" w:sz="0" w:space="0" w:color="auto"/>
        <w:bottom w:val="none" w:sz="0" w:space="0" w:color="auto"/>
        <w:right w:val="none" w:sz="0" w:space="0" w:color="auto"/>
      </w:divBdr>
    </w:div>
    <w:div w:id="1332682196">
      <w:bodyDiv w:val="1"/>
      <w:marLeft w:val="0"/>
      <w:marRight w:val="0"/>
      <w:marTop w:val="0"/>
      <w:marBottom w:val="0"/>
      <w:divBdr>
        <w:top w:val="none" w:sz="0" w:space="0" w:color="auto"/>
        <w:left w:val="none" w:sz="0" w:space="0" w:color="auto"/>
        <w:bottom w:val="none" w:sz="0" w:space="0" w:color="auto"/>
        <w:right w:val="none" w:sz="0" w:space="0" w:color="auto"/>
      </w:divBdr>
    </w:div>
    <w:div w:id="1348872902">
      <w:bodyDiv w:val="1"/>
      <w:marLeft w:val="0"/>
      <w:marRight w:val="0"/>
      <w:marTop w:val="0"/>
      <w:marBottom w:val="0"/>
      <w:divBdr>
        <w:top w:val="none" w:sz="0" w:space="0" w:color="auto"/>
        <w:left w:val="none" w:sz="0" w:space="0" w:color="auto"/>
        <w:bottom w:val="none" w:sz="0" w:space="0" w:color="auto"/>
        <w:right w:val="none" w:sz="0" w:space="0" w:color="auto"/>
      </w:divBdr>
      <w:divsChild>
        <w:div w:id="1031104061">
          <w:marLeft w:val="0"/>
          <w:marRight w:val="0"/>
          <w:marTop w:val="0"/>
          <w:marBottom w:val="0"/>
          <w:divBdr>
            <w:top w:val="none" w:sz="0" w:space="0" w:color="auto"/>
            <w:left w:val="none" w:sz="0" w:space="0" w:color="auto"/>
            <w:bottom w:val="none" w:sz="0" w:space="0" w:color="auto"/>
            <w:right w:val="none" w:sz="0" w:space="0" w:color="auto"/>
          </w:divBdr>
        </w:div>
      </w:divsChild>
    </w:div>
    <w:div w:id="1472475617">
      <w:bodyDiv w:val="1"/>
      <w:marLeft w:val="0"/>
      <w:marRight w:val="0"/>
      <w:marTop w:val="0"/>
      <w:marBottom w:val="0"/>
      <w:divBdr>
        <w:top w:val="none" w:sz="0" w:space="0" w:color="auto"/>
        <w:left w:val="none" w:sz="0" w:space="0" w:color="auto"/>
        <w:bottom w:val="none" w:sz="0" w:space="0" w:color="auto"/>
        <w:right w:val="none" w:sz="0" w:space="0" w:color="auto"/>
      </w:divBdr>
      <w:divsChild>
        <w:div w:id="499152082">
          <w:marLeft w:val="0"/>
          <w:marRight w:val="0"/>
          <w:marTop w:val="0"/>
          <w:marBottom w:val="0"/>
          <w:divBdr>
            <w:top w:val="none" w:sz="0" w:space="0" w:color="auto"/>
            <w:left w:val="none" w:sz="0" w:space="0" w:color="auto"/>
            <w:bottom w:val="none" w:sz="0" w:space="0" w:color="auto"/>
            <w:right w:val="none" w:sz="0" w:space="0" w:color="auto"/>
          </w:divBdr>
        </w:div>
      </w:divsChild>
    </w:div>
    <w:div w:id="1519274575">
      <w:bodyDiv w:val="1"/>
      <w:marLeft w:val="0"/>
      <w:marRight w:val="0"/>
      <w:marTop w:val="0"/>
      <w:marBottom w:val="0"/>
      <w:divBdr>
        <w:top w:val="none" w:sz="0" w:space="0" w:color="auto"/>
        <w:left w:val="none" w:sz="0" w:space="0" w:color="auto"/>
        <w:bottom w:val="none" w:sz="0" w:space="0" w:color="auto"/>
        <w:right w:val="none" w:sz="0" w:space="0" w:color="auto"/>
      </w:divBdr>
    </w:div>
    <w:div w:id="1533373634">
      <w:bodyDiv w:val="1"/>
      <w:marLeft w:val="0"/>
      <w:marRight w:val="0"/>
      <w:marTop w:val="0"/>
      <w:marBottom w:val="0"/>
      <w:divBdr>
        <w:top w:val="none" w:sz="0" w:space="0" w:color="auto"/>
        <w:left w:val="none" w:sz="0" w:space="0" w:color="auto"/>
        <w:bottom w:val="none" w:sz="0" w:space="0" w:color="auto"/>
        <w:right w:val="none" w:sz="0" w:space="0" w:color="auto"/>
      </w:divBdr>
      <w:divsChild>
        <w:div w:id="16932292">
          <w:marLeft w:val="225"/>
          <w:marRight w:val="0"/>
          <w:marTop w:val="0"/>
          <w:marBottom w:val="0"/>
          <w:divBdr>
            <w:top w:val="dotted" w:sz="6" w:space="0" w:color="FEFEFE"/>
            <w:left w:val="dotted" w:sz="6" w:space="11" w:color="FEFEFE"/>
            <w:bottom w:val="dotted" w:sz="6" w:space="0" w:color="FEFEFE"/>
            <w:right w:val="dotted" w:sz="6" w:space="0" w:color="FEFEFE"/>
          </w:divBdr>
        </w:div>
        <w:div w:id="829062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2985740">
      <w:bodyDiv w:val="1"/>
      <w:marLeft w:val="0"/>
      <w:marRight w:val="0"/>
      <w:marTop w:val="0"/>
      <w:marBottom w:val="0"/>
      <w:divBdr>
        <w:top w:val="none" w:sz="0" w:space="0" w:color="auto"/>
        <w:left w:val="none" w:sz="0" w:space="0" w:color="auto"/>
        <w:bottom w:val="none" w:sz="0" w:space="0" w:color="auto"/>
        <w:right w:val="none" w:sz="0" w:space="0" w:color="auto"/>
      </w:divBdr>
    </w:div>
    <w:div w:id="1727800034">
      <w:bodyDiv w:val="1"/>
      <w:marLeft w:val="0"/>
      <w:marRight w:val="0"/>
      <w:marTop w:val="0"/>
      <w:marBottom w:val="0"/>
      <w:divBdr>
        <w:top w:val="none" w:sz="0" w:space="0" w:color="auto"/>
        <w:left w:val="none" w:sz="0" w:space="0" w:color="auto"/>
        <w:bottom w:val="none" w:sz="0" w:space="0" w:color="auto"/>
        <w:right w:val="none" w:sz="0" w:space="0" w:color="auto"/>
      </w:divBdr>
    </w:div>
    <w:div w:id="1730152471">
      <w:bodyDiv w:val="1"/>
      <w:marLeft w:val="0"/>
      <w:marRight w:val="0"/>
      <w:marTop w:val="0"/>
      <w:marBottom w:val="0"/>
      <w:divBdr>
        <w:top w:val="none" w:sz="0" w:space="0" w:color="auto"/>
        <w:left w:val="none" w:sz="0" w:space="0" w:color="auto"/>
        <w:bottom w:val="none" w:sz="0" w:space="0" w:color="auto"/>
        <w:right w:val="none" w:sz="0" w:space="0" w:color="auto"/>
      </w:divBdr>
    </w:div>
    <w:div w:id="1897625417">
      <w:bodyDiv w:val="1"/>
      <w:marLeft w:val="0"/>
      <w:marRight w:val="0"/>
      <w:marTop w:val="0"/>
      <w:marBottom w:val="0"/>
      <w:divBdr>
        <w:top w:val="none" w:sz="0" w:space="0" w:color="auto"/>
        <w:left w:val="none" w:sz="0" w:space="0" w:color="auto"/>
        <w:bottom w:val="none" w:sz="0" w:space="0" w:color="auto"/>
        <w:right w:val="none" w:sz="0" w:space="0" w:color="auto"/>
      </w:divBdr>
      <w:divsChild>
        <w:div w:id="19401394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3782967">
      <w:bodyDiv w:val="1"/>
      <w:marLeft w:val="0"/>
      <w:marRight w:val="0"/>
      <w:marTop w:val="0"/>
      <w:marBottom w:val="0"/>
      <w:divBdr>
        <w:top w:val="none" w:sz="0" w:space="0" w:color="auto"/>
        <w:left w:val="none" w:sz="0" w:space="0" w:color="auto"/>
        <w:bottom w:val="none" w:sz="0" w:space="0" w:color="auto"/>
        <w:right w:val="none" w:sz="0" w:space="0" w:color="auto"/>
      </w:divBdr>
    </w:div>
    <w:div w:id="1947959052">
      <w:bodyDiv w:val="1"/>
      <w:marLeft w:val="0"/>
      <w:marRight w:val="0"/>
      <w:marTop w:val="0"/>
      <w:marBottom w:val="0"/>
      <w:divBdr>
        <w:top w:val="none" w:sz="0" w:space="0" w:color="auto"/>
        <w:left w:val="none" w:sz="0" w:space="0" w:color="auto"/>
        <w:bottom w:val="none" w:sz="0" w:space="0" w:color="auto"/>
        <w:right w:val="none" w:sz="0" w:space="0" w:color="auto"/>
      </w:divBdr>
    </w:div>
    <w:div w:id="213359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D942E-5449-4E9A-A2D1-8B90A6872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1281</Words>
  <Characters>7302</Characters>
  <Application>Microsoft Office Word</Application>
  <DocSecurity>0</DocSecurity>
  <Lines>60</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cp:lastPrinted>2020-02-19T09:49:00Z</cp:lastPrinted>
  <dcterms:created xsi:type="dcterms:W3CDTF">2020-10-21T13:18:00Z</dcterms:created>
  <dcterms:modified xsi:type="dcterms:W3CDTF">2020-10-21T13:18:00Z</dcterms:modified>
</cp:coreProperties>
</file>