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AB5" w:rsidRDefault="002E0C2E" w:rsidP="00093AB5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Proiect de </w:t>
      </w:r>
      <w:r w:rsidR="00093AB5"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Ordin </w:t>
      </w:r>
    </w:p>
    <w:p w:rsidR="00093AB5" w:rsidRPr="009F3D4A" w:rsidRDefault="00093AB5" w:rsidP="00093AB5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093AB5" w:rsidRPr="00A70F15" w:rsidRDefault="00093AB5" w:rsidP="00093AB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93AB5" w:rsidRPr="00A70F15" w:rsidRDefault="00093AB5" w:rsidP="00093AB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privind </w:t>
      </w: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 xml:space="preserve">modificarea și completarea Metodologiei de stabilire și ajustare a prețurilor pentru energia electrică și termică produsă și livrată din centrale de cogenerare ce beneficiază de schema de sprijin, respectiv a bonusului pentru cogenerarea de înaltă eficiență aprobată </w:t>
      </w: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prin Ordinul președintelui Autorității Naționale de Reglementare în Domeniul Energiei</w:t>
      </w:r>
      <w:r w:rsidRPr="00A70F15" w:rsidDel="009630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nr. 15/2015</w:t>
      </w:r>
    </w:p>
    <w:p w:rsidR="00093AB5" w:rsidRPr="00A70F15" w:rsidRDefault="00093AB5" w:rsidP="00093AB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Având în vedere prevederile art. 76 alin. (3), art. 79 alin. (7) lit. b) și art.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1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24 alin. </w:t>
      </w:r>
      <w:r w:rsidRPr="00A70F15">
        <w:rPr>
          <w:rFonts w:ascii="Times New Roman" w:hAnsi="Times New Roman"/>
          <w:color w:val="000000"/>
          <w:szCs w:val="24"/>
        </w:rPr>
        <w:t>(1</w:t>
      </w:r>
      <w:r w:rsidRPr="00A70F15">
        <w:rPr>
          <w:rFonts w:ascii="Times New Roman" w:hAnsi="Times New Roman"/>
          <w:color w:val="000000"/>
          <w:szCs w:val="24"/>
          <w:vertAlign w:val="superscript"/>
        </w:rPr>
        <w:t>1</w:t>
      </w:r>
      <w:r w:rsidRPr="00A70F15">
        <w:rPr>
          <w:rFonts w:ascii="Times New Roman" w:hAnsi="Times New Roman"/>
          <w:color w:val="000000"/>
          <w:szCs w:val="24"/>
        </w:rPr>
        <w:t>)-(1</w:t>
      </w:r>
      <w:r w:rsidRPr="00A70F15">
        <w:rPr>
          <w:rFonts w:ascii="Times New Roman" w:hAnsi="Times New Roman"/>
          <w:color w:val="000000"/>
          <w:szCs w:val="24"/>
          <w:vertAlign w:val="superscript"/>
        </w:rPr>
        <w:t>3</w:t>
      </w:r>
      <w:r w:rsidRPr="00A70F15">
        <w:rPr>
          <w:rFonts w:ascii="Times New Roman" w:hAnsi="Times New Roman"/>
          <w:color w:val="000000"/>
          <w:szCs w:val="24"/>
        </w:rPr>
        <w:t xml:space="preserve">)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din Legea energiei electrice și a gazelor naturale nr. 123/2012, cu modificările și completările ulterioare, precum și ale art. 6 lit. d) și e), art. 10 alin. (3),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(5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US"/>
        </w:rPr>
        <w:t>1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) și (6),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art. 21 alin. (1) și (2), art. 22, art. 23 alin. (4) și art. 25 din Hotărârea Guvernului nr. 1215/2009 privind stabilirea criteriilor și a condițiilor necesare implementării schemei de sprijin pentru promovarea cogenerării de înaltă eficiență pe baza cererii de energie termică utilă, cu modificările și completările ulterioare,</w:t>
      </w:r>
    </w:p>
    <w:p w:rsidR="00093AB5" w:rsidRPr="00A70F15" w:rsidRDefault="00093AB5" w:rsidP="00093AB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</w:p>
    <w:p w:rsidR="00093AB5" w:rsidRPr="00A70F15" w:rsidRDefault="00093AB5" w:rsidP="00093AB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în temeiul dispozițiilor art. 5 alin. (1) lit. b) și ale art. 9 alin. (1) lit. x) din Ordonanța de urgență a Guvernului nr. 33/2007 privind organizarea și funcționarea Autorității Naționale de Reglementare în Domeniul Energiei, aprobată cu modificări și completări prin Legea nr. 160/2012, cu modificările și completările ulterioare</w:t>
      </w:r>
    </w:p>
    <w:p w:rsidR="00093AB5" w:rsidRPr="00A70F15" w:rsidRDefault="00093AB5" w:rsidP="00093AB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093AB5" w:rsidRPr="00A70F15" w:rsidRDefault="00093AB5" w:rsidP="00093AB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președintele Autorității Naționale de Reglementare în Domeniul Energiei emite următorul ordin:</w:t>
      </w:r>
    </w:p>
    <w:p w:rsidR="00093AB5" w:rsidRDefault="00093AB5" w:rsidP="00093AB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I.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– Metodologia de stabilire și ajustare a prețurilor pentru energia electrică și termică produsă și livrată din centrale de cogenerare ce beneficiază de schema de sprijin, respectiv a bonusului pentru cogenerarea de înaltă eficiență, aprobată prin Ordinul președintelui Autorității Naționale de Reglementare în Domeniul Energiei</w:t>
      </w:r>
      <w:r w:rsidRPr="00A70F15" w:rsidDel="0096301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nr. 15/2015, publicat în Monitorul Oficial al României, Partea I, nr. 267 din 21 aprilie 2015, cu modificările și completările ulterioare, se modifică și se completează după cum urmează:</w:t>
      </w:r>
    </w:p>
    <w:p w:rsidR="00BF71E9" w:rsidRPr="00BF71E9" w:rsidRDefault="00B55AAF" w:rsidP="00BF71E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</w:t>
      </w:r>
      <w:r w:rsidR="00BF71E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rticolul </w:t>
      </w:r>
      <w:r w:rsidR="00E27A7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44</w:t>
      </w:r>
      <w:r w:rsidR="003F418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alineatul (1^1), litera b</w:t>
      </w:r>
      <w:r w:rsidR="005F4E8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) se modifică și va avea următorul cu</w:t>
      </w:r>
      <w:r w:rsidR="00CC468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prins:</w:t>
      </w:r>
      <w:r w:rsidR="003F4184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:rsidR="00BF71E9" w:rsidRPr="00A70F15" w:rsidRDefault="00BF71E9" w:rsidP="00BF71E9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”b)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alte costuri fixe (costurile cu personalul, operarea și mentenanța etc): </w:t>
      </w:r>
    </w:p>
    <w:p w:rsidR="00BF71E9" w:rsidRPr="00A70F15" w:rsidRDefault="002077DD" w:rsidP="00BF71E9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BF71E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i) </w:t>
      </w:r>
      <w:r w:rsidR="00BF71E9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la funcționarea centralelor pe bază de combustibil solid -</w:t>
      </w:r>
      <w:r w:rsidR="00BF55AB" w:rsidRPr="00A70F15">
        <w:rPr>
          <w:rFonts w:ascii="Times New Roman" w:eastAsia="Times New Roman" w:hAnsi="Times New Roman" w:cs="Times New Roman"/>
          <w:color w:val="000000"/>
          <w:position w:val="-18"/>
          <w:sz w:val="24"/>
          <w:szCs w:val="24"/>
          <w:lang w:val="ro-RO"/>
        </w:rPr>
        <w:object w:dxaOrig="118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25pt;height:25.05pt" o:ole="">
            <v:imagedata r:id="rId5" o:title=""/>
          </v:shape>
          <o:OLEObject Type="Embed" ProgID="Equation.3" ShapeID="_x0000_i1025" DrawAspect="Content" ObjectID="_1634115598" r:id="rId6"/>
        </w:object>
      </w:r>
      <w:r w:rsidR="00BF71E9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euro</w:t>
      </w:r>
      <w:r w:rsidR="002873D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/MWh</w:t>
      </w:r>
      <w:r w:rsidR="00BF71E9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:rsidR="00BF71E9" w:rsidRDefault="002077DD" w:rsidP="00BF71E9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lastRenderedPageBreak/>
        <w:t>(</w:t>
      </w:r>
      <w:r w:rsidR="00BF71E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ii) </w:t>
      </w:r>
      <w:r w:rsidR="00BF71E9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la funcționarea centralelor pe bază de combustibil gazos - </w:t>
      </w:r>
      <w:r w:rsidR="00BF55AB" w:rsidRPr="00A70F15">
        <w:rPr>
          <w:rFonts w:ascii="Times New Roman" w:eastAsia="Times New Roman" w:hAnsi="Times New Roman" w:cs="Times New Roman"/>
          <w:color w:val="000000"/>
          <w:position w:val="-18"/>
          <w:sz w:val="24"/>
          <w:szCs w:val="24"/>
          <w:lang w:val="ro-RO"/>
        </w:rPr>
        <w:object w:dxaOrig="1180" w:dyaOrig="520">
          <v:shape id="_x0000_i1026" type="#_x0000_t75" style="width:59.5pt;height:25.05pt" o:ole="">
            <v:imagedata r:id="rId7" o:title=""/>
          </v:shape>
          <o:OLEObject Type="Embed" ProgID="Equation.3" ShapeID="_x0000_i1026" DrawAspect="Content" ObjectID="_1634115599" r:id="rId8"/>
        </w:object>
      </w:r>
      <w:r w:rsidR="00BF71E9" w:rsidRPr="00C106D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euro</w:t>
      </w:r>
      <w:r w:rsidR="002873D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/MWh</w:t>
      </w:r>
      <w:r w:rsidR="00BF71E9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”</w:t>
      </w:r>
    </w:p>
    <w:p w:rsidR="00E60F36" w:rsidRPr="00A70F15" w:rsidRDefault="00B55AAF" w:rsidP="00E60F3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="00E60F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rticolul 44, </w:t>
      </w:r>
      <w:r w:rsidR="00E60F36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alineatele (2) </w:t>
      </w:r>
      <w:r w:rsidR="00E60F3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- </w:t>
      </w:r>
      <w:r w:rsidR="00E60F36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(5) se modifică și vor avea următorul cuprins:</w:t>
      </w:r>
    </w:p>
    <w:p w:rsidR="00E60F36" w:rsidRPr="00A70F15" w:rsidRDefault="00E60F36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”(2)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La funcționarea cu combustibil solid, formula prevăzută la alin. (1) este:</w:t>
      </w:r>
    </w:p>
    <w:p w:rsidR="00E60F36" w:rsidRPr="00A70F15" w:rsidRDefault="00025870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RomanR" w:eastAsia="Times New Roman" w:hAnsi="TimesRomanR"/>
          <w:position w:val="-20"/>
          <w:sz w:val="24"/>
          <w:szCs w:val="20"/>
          <w:lang w:val="en-US"/>
        </w:rPr>
      </w:pPr>
      <w:r w:rsidRPr="00A70F15">
        <w:rPr>
          <w:rFonts w:ascii="TimesRomanR" w:eastAsia="Times New Roman" w:hAnsi="TimesRomanR"/>
          <w:position w:val="-20"/>
          <w:sz w:val="24"/>
          <w:szCs w:val="20"/>
          <w:lang w:val="en-US"/>
        </w:rPr>
        <w:object w:dxaOrig="10260" w:dyaOrig="540">
          <v:shape id="_x0000_i1027" type="#_x0000_t75" style="width:519.65pt;height:26.9pt" o:ole="" filled="t">
            <v:imagedata r:id="rId9" o:title=""/>
          </v:shape>
          <o:OLEObject Type="Embed" ProgID="Equation.3" ShapeID="_x0000_i1027" DrawAspect="Content" ObjectID="_1634115600" r:id="rId10"/>
        </w:object>
      </w:r>
      <w:r w:rsidR="00E60F36">
        <w:rPr>
          <w:rFonts w:ascii="TimesRomanR" w:eastAsia="Times New Roman" w:hAnsi="TimesRomanR"/>
          <w:position w:val="-20"/>
          <w:sz w:val="24"/>
          <w:szCs w:val="20"/>
          <w:lang w:val="en-US"/>
        </w:rPr>
        <w:t>(lei/MWh)</w:t>
      </w:r>
    </w:p>
    <w:p w:rsidR="00E60F36" w:rsidRPr="00A70F15" w:rsidRDefault="00E60F36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RomanR" w:eastAsia="Times New Roman" w:hAnsi="TimesRomanR"/>
          <w:position w:val="-20"/>
          <w:sz w:val="24"/>
          <w:szCs w:val="20"/>
        </w:rPr>
      </w:pPr>
      <w:r w:rsidRPr="00A70F15">
        <w:rPr>
          <w:rFonts w:ascii="TimesRomanR" w:eastAsia="Times New Roman" w:hAnsi="TimesRomanR"/>
          <w:position w:val="-20"/>
          <w:sz w:val="24"/>
          <w:szCs w:val="20"/>
        </w:rPr>
        <w:t>(3) La funcţionarea cu combustibil gazos asigurat din reţeaua de transport, formula prevăzută la alin. (1) este:</w:t>
      </w:r>
    </w:p>
    <w:p w:rsidR="00E60F36" w:rsidRPr="00A70F15" w:rsidRDefault="00025870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RomanR" w:eastAsia="Times New Roman" w:hAnsi="TimesRomanR"/>
          <w:position w:val="-20"/>
          <w:sz w:val="24"/>
          <w:szCs w:val="20"/>
        </w:rPr>
      </w:pPr>
      <w:r w:rsidRPr="00A70F15">
        <w:rPr>
          <w:rFonts w:ascii="TimesRomanR" w:eastAsia="Times New Roman" w:hAnsi="TimesRomanR"/>
          <w:position w:val="-20"/>
          <w:sz w:val="24"/>
          <w:szCs w:val="20"/>
          <w:lang w:val="en-US"/>
        </w:rPr>
        <w:object w:dxaOrig="10260" w:dyaOrig="540">
          <v:shape id="_x0000_i1028" type="#_x0000_t75" style="width:519.05pt;height:26.9pt" o:ole="" filled="t">
            <v:imagedata r:id="rId11" o:title=""/>
          </v:shape>
          <o:OLEObject Type="Embed" ProgID="Equation.3" ShapeID="_x0000_i1028" DrawAspect="Content" ObjectID="_1634115601" r:id="rId12"/>
        </w:object>
      </w:r>
      <w:r w:rsidR="00E60F36" w:rsidRPr="00A70F15">
        <w:rPr>
          <w:rFonts w:ascii="TimesRomanR" w:eastAsia="Times New Roman" w:hAnsi="TimesRomanR"/>
          <w:position w:val="-20"/>
          <w:sz w:val="24"/>
          <w:szCs w:val="20"/>
        </w:rPr>
        <w:t>(lei/MWh)</w:t>
      </w:r>
    </w:p>
    <w:p w:rsidR="00E60F36" w:rsidRPr="00A70F15" w:rsidRDefault="00E60F36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</w:rPr>
        <w:t>(3^1)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Prin derogare de la prevederile alin. (3), pentru centralele de cogenerare care au în componenţă exclusiv capacităţi puse în funcţiune după 1.01.2016, formula prevăzută la alin. (1)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este:</w:t>
      </w:r>
    </w:p>
    <w:p w:rsidR="00E60F36" w:rsidRPr="00A70F15" w:rsidRDefault="00025870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A70F15">
        <w:rPr>
          <w:rFonts w:ascii="TimesRomanR" w:eastAsia="Times New Roman" w:hAnsi="TimesRomanR"/>
          <w:position w:val="-20"/>
          <w:sz w:val="24"/>
          <w:szCs w:val="20"/>
          <w:lang w:val="en-US"/>
        </w:rPr>
        <w:object w:dxaOrig="10400" w:dyaOrig="540">
          <v:shape id="_x0000_i1029" type="#_x0000_t75" style="width:509pt;height:26.3pt" o:ole="" filled="t">
            <v:imagedata r:id="rId13" o:title=""/>
          </v:shape>
          <o:OLEObject Type="Embed" ProgID="Equation.3" ShapeID="_x0000_i1029" DrawAspect="Content" ObjectID="_1634115602" r:id="rId14"/>
        </w:object>
      </w:r>
      <w:r w:rsidR="00E60F36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(lei/MWh)”</w:t>
      </w:r>
    </w:p>
    <w:p w:rsidR="00E60F36" w:rsidRPr="00A70F15" w:rsidRDefault="00E60F36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</w:rPr>
        <w:t>(4) La funcţionarea cu combustibil gazos asigurat din reţeaua de distribuţie, formula prevăzută la alin. (1) este:</w:t>
      </w:r>
    </w:p>
    <w:p w:rsidR="00E60F36" w:rsidRPr="00A70F15" w:rsidRDefault="00025870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0F15">
        <w:rPr>
          <w:rFonts w:ascii="Times New Roman" w:eastAsia="Times New Roman" w:hAnsi="Times New Roman" w:cs="Times New Roman"/>
          <w:color w:val="000000"/>
          <w:position w:val="-20"/>
          <w:sz w:val="24"/>
          <w:szCs w:val="24"/>
          <w:lang w:val="en-US"/>
        </w:rPr>
        <w:object w:dxaOrig="10280" w:dyaOrig="540">
          <v:shape id="_x0000_i1030" type="#_x0000_t75" style="width:509.65pt;height:26.3pt" o:ole="" filled="t">
            <v:imagedata r:id="rId15" o:title=""/>
          </v:shape>
          <o:OLEObject Type="Embed" ProgID="Equation.3" ShapeID="_x0000_i1030" DrawAspect="Content" ObjectID="_1634115603" r:id="rId16"/>
        </w:object>
      </w:r>
      <w:r w:rsidR="00E60F36" w:rsidRPr="00A70F15">
        <w:rPr>
          <w:rFonts w:ascii="Times New Roman" w:eastAsia="Times New Roman" w:hAnsi="Times New Roman" w:cs="Times New Roman"/>
          <w:color w:val="000000"/>
          <w:sz w:val="24"/>
          <w:szCs w:val="24"/>
        </w:rPr>
        <w:t>(lei/MWh)</w:t>
      </w:r>
    </w:p>
    <w:p w:rsidR="00E60F36" w:rsidRPr="00A70F15" w:rsidRDefault="00E60F36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(5)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Prin derogare de la prevederile alin. (4), pentru centralele de cogenerare care au în componenţă exclusiv capacităţi puse în funcţiune după 1.01.2016, formula prevăzută la alin. (1) 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este:</w:t>
      </w:r>
    </w:p>
    <w:p w:rsidR="00E60F36" w:rsidRDefault="002077DD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position w:val="-20"/>
          <w:sz w:val="24"/>
          <w:szCs w:val="24"/>
          <w:lang w:val="en-US"/>
        </w:rPr>
        <w:object w:dxaOrig="10359" w:dyaOrig="540">
          <v:shape id="_x0000_i1031" type="#_x0000_t75" style="width:510.9pt;height:26.3pt" o:ole="" filled="t">
            <v:imagedata r:id="rId17" o:title=""/>
          </v:shape>
          <o:OLEObject Type="Embed" ProgID="Equation.3" ShapeID="_x0000_i1031" DrawAspect="Content" ObjectID="_1634115604" r:id="rId18"/>
        </w:object>
      </w:r>
      <w:r w:rsidR="00E60F36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(lei/MWh)”</w:t>
      </w:r>
      <w:r w:rsidR="006C569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</w:t>
      </w:r>
    </w:p>
    <w:p w:rsidR="006C569F" w:rsidRDefault="006C569F" w:rsidP="00E60F36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720FF0" w:rsidRDefault="00B55AAF" w:rsidP="000B608A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="006C569F" w:rsidRPr="006C569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rticolul 4</w:t>
      </w:r>
      <w:r w:rsidR="00720FF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5</w:t>
      </w:r>
      <w:r w:rsidR="006C569F" w:rsidRPr="006C569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 alineatul (1^1), litera b) se modifică și va avea următorul cuprins:</w:t>
      </w:r>
    </w:p>
    <w:p w:rsidR="00720FF0" w:rsidRPr="00A70F15" w:rsidRDefault="00720FF0" w:rsidP="000B608A">
      <w:pPr>
        <w:pStyle w:val="ListParagraph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”</w:t>
      </w: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b) alte costuri fixe (costurile cu personalul, operarea și mentenanța etc) au următoarele valori: </w:t>
      </w:r>
    </w:p>
    <w:p w:rsidR="00720FF0" w:rsidRPr="00A70F15" w:rsidRDefault="00BF55AB" w:rsidP="00720FF0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(</w:t>
      </w:r>
      <w:r w:rsidR="00720FF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i) </w:t>
      </w:r>
      <w:r w:rsidR="00720FF0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la funcționarea centralelor pe bază de combustibil solid - </w:t>
      </w:r>
      <w:r w:rsidR="004F5AA9" w:rsidRPr="00A70F15">
        <w:rPr>
          <w:rFonts w:ascii="Times New Roman" w:eastAsia="Times New Roman" w:hAnsi="Times New Roman" w:cs="Times New Roman"/>
          <w:color w:val="000000"/>
          <w:position w:val="-18"/>
          <w:sz w:val="24"/>
          <w:szCs w:val="24"/>
          <w:lang w:val="ro-RO"/>
        </w:rPr>
        <w:object w:dxaOrig="1180" w:dyaOrig="520">
          <v:shape id="_x0000_i1032" type="#_x0000_t75" style="width:59.5pt;height:25.05pt" o:ole="">
            <v:imagedata r:id="rId19" o:title=""/>
          </v:shape>
          <o:OLEObject Type="Embed" ProgID="Equation.3" ShapeID="_x0000_i1032" DrawAspect="Content" ObjectID="_1634115605" r:id="rId20"/>
        </w:object>
      </w:r>
      <w:r w:rsidR="00720FF0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euro</w:t>
      </w:r>
      <w:r w:rsidR="002873D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/MWh</w:t>
      </w:r>
      <w:r w:rsidR="00720FF0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:rsidR="00720FF0" w:rsidRDefault="00BF55AB" w:rsidP="00720FF0">
      <w:pPr>
        <w:pStyle w:val="ListParagraph"/>
        <w:autoSpaceDE w:val="0"/>
        <w:autoSpaceDN w:val="0"/>
        <w:adjustRightInd w:val="0"/>
        <w:spacing w:after="0" w:line="36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lastRenderedPageBreak/>
        <w:t>(</w:t>
      </w:r>
      <w:r w:rsidR="00720FF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ii) </w:t>
      </w:r>
      <w:r w:rsidR="00720FF0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la funcționarea centralelor pe bază de combustibil gazos - </w:t>
      </w:r>
      <w:r w:rsidR="004F5AA9" w:rsidRPr="00A70F15">
        <w:rPr>
          <w:rFonts w:ascii="Times New Roman" w:eastAsia="Times New Roman" w:hAnsi="Times New Roman" w:cs="Times New Roman"/>
          <w:color w:val="000000"/>
          <w:position w:val="-18"/>
          <w:sz w:val="24"/>
          <w:szCs w:val="24"/>
          <w:lang w:val="ro-RO"/>
        </w:rPr>
        <w:object w:dxaOrig="1180" w:dyaOrig="520">
          <v:shape id="_x0000_i1033" type="#_x0000_t75" style="width:59.5pt;height:25.05pt" o:ole="">
            <v:imagedata r:id="rId21" o:title=""/>
          </v:shape>
          <o:OLEObject Type="Embed" ProgID="Equation.3" ShapeID="_x0000_i1033" DrawAspect="Content" ObjectID="_1634115606" r:id="rId22"/>
        </w:object>
      </w:r>
      <w:r w:rsidR="00720FF0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720FF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euro</w:t>
      </w:r>
      <w:r w:rsidR="002873D9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/MWh</w:t>
      </w:r>
      <w:r w:rsidR="00720FF0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”</w:t>
      </w:r>
    </w:p>
    <w:p w:rsidR="00235F0F" w:rsidRPr="00235F0F" w:rsidRDefault="00B55AAF" w:rsidP="00235F0F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</w:t>
      </w:r>
      <w:r w:rsidR="00CD62E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rticolul 45, </w:t>
      </w:r>
      <w:r w:rsidR="00235F0F" w:rsidRPr="00235F0F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alineatele (2) - (4) se modifică și vor avea următorul cuprins:</w:t>
      </w:r>
    </w:p>
    <w:p w:rsidR="0031427B" w:rsidRPr="00A70F15" w:rsidRDefault="0031427B" w:rsidP="0031427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”(2) La funcţionarea cu combustibil solid, formula prevăzută la alin. (1) este:</w:t>
      </w:r>
    </w:p>
    <w:p w:rsidR="0031427B" w:rsidRPr="00A70F15" w:rsidRDefault="00664E9C" w:rsidP="0031427B">
      <w:pPr>
        <w:jc w:val="both"/>
        <w:rPr>
          <w:rFonts w:ascii="TimesRomanR" w:eastAsia="Times New Roman" w:hAnsi="TimesRomanR" w:cs="Times New Roman"/>
          <w:lang w:val="en-US"/>
        </w:rPr>
      </w:pPr>
      <w:r w:rsidRPr="00A70F15">
        <w:rPr>
          <w:rFonts w:ascii="Times New Roman" w:eastAsia="Times New Roman" w:hAnsi="Times New Roman" w:cs="Times New Roman"/>
          <w:color w:val="000000"/>
          <w:position w:val="-48"/>
          <w:sz w:val="24"/>
          <w:szCs w:val="24"/>
          <w:lang w:val="en-US"/>
        </w:rPr>
        <w:object w:dxaOrig="9160" w:dyaOrig="1080">
          <v:shape id="_x0000_i1034" type="#_x0000_t75" style="width:464.55pt;height:53.2pt" o:ole="" filled="t">
            <v:imagedata r:id="rId23" o:title=""/>
          </v:shape>
          <o:OLEObject Type="Embed" ProgID="Equation.3" ShapeID="_x0000_i1034" DrawAspect="Content" ObjectID="_1634115607" r:id="rId24"/>
        </w:object>
      </w:r>
      <w:r w:rsidR="0031427B" w:rsidRPr="00A70F15">
        <w:rPr>
          <w:rFonts w:ascii="TimesRomanR" w:eastAsia="Times New Roman" w:hAnsi="TimesRomanR" w:cs="Times New Roman"/>
          <w:lang w:val="en-US"/>
        </w:rPr>
        <w:t>(lei/MWh)</w:t>
      </w:r>
    </w:p>
    <w:p w:rsidR="0031427B" w:rsidRPr="00C106DC" w:rsidRDefault="0031427B" w:rsidP="0031427B">
      <w:pPr>
        <w:jc w:val="both"/>
        <w:rPr>
          <w:rFonts w:ascii="TimesRomanR" w:eastAsia="Times New Roman" w:hAnsi="TimesRomanR" w:cs="Times New Roman"/>
          <w:sz w:val="24"/>
          <w:szCs w:val="24"/>
        </w:rPr>
      </w:pPr>
      <w:r w:rsidRPr="00C106DC">
        <w:rPr>
          <w:rFonts w:ascii="TimesRomanR" w:eastAsia="Times New Roman" w:hAnsi="TimesRomanR" w:cs="Times New Roman"/>
          <w:sz w:val="24"/>
          <w:szCs w:val="24"/>
          <w:lang w:val="en-US"/>
        </w:rPr>
        <w:t xml:space="preserve">(3) </w:t>
      </w:r>
      <w:r w:rsidRPr="00C106DC">
        <w:rPr>
          <w:rFonts w:ascii="TimesRomanR" w:eastAsia="Times New Roman" w:hAnsi="TimesRomanR" w:cs="Times New Roman"/>
          <w:sz w:val="24"/>
          <w:szCs w:val="24"/>
        </w:rPr>
        <w:t>La func</w:t>
      </w:r>
      <w:r w:rsidRPr="00C106DC">
        <w:rPr>
          <w:rFonts w:ascii="TimesRomanR" w:eastAsia="Times New Roman" w:hAnsi="TimesRomanR" w:cs="Times New Roman" w:hint="eastAsia"/>
          <w:sz w:val="24"/>
          <w:szCs w:val="24"/>
        </w:rPr>
        <w:t>ţ</w:t>
      </w:r>
      <w:r w:rsidRPr="00C106DC">
        <w:rPr>
          <w:rFonts w:ascii="TimesRomanR" w:eastAsia="Times New Roman" w:hAnsi="TimesRomanR" w:cs="Times New Roman"/>
          <w:sz w:val="24"/>
          <w:szCs w:val="24"/>
        </w:rPr>
        <w:t>ionarea cu combustibil gazos asigurat din rețeaua de transport, formula prev</w:t>
      </w:r>
      <w:r w:rsidRPr="00C106DC">
        <w:rPr>
          <w:rFonts w:ascii="TimesRomanR" w:eastAsia="Times New Roman" w:hAnsi="TimesRomanR" w:cs="Times New Roman" w:hint="eastAsia"/>
          <w:sz w:val="24"/>
          <w:szCs w:val="24"/>
        </w:rPr>
        <w:t>ă</w:t>
      </w:r>
      <w:r w:rsidRPr="00C106DC">
        <w:rPr>
          <w:rFonts w:ascii="TimesRomanR" w:eastAsia="Times New Roman" w:hAnsi="TimesRomanR" w:cs="Times New Roman"/>
          <w:sz w:val="24"/>
          <w:szCs w:val="24"/>
        </w:rPr>
        <w:t>zut</w:t>
      </w:r>
      <w:r w:rsidRPr="00C106DC">
        <w:rPr>
          <w:rFonts w:ascii="TimesRomanR" w:eastAsia="Times New Roman" w:hAnsi="TimesRomanR" w:cs="Times New Roman" w:hint="eastAsia"/>
          <w:sz w:val="24"/>
          <w:szCs w:val="24"/>
        </w:rPr>
        <w:t>ă</w:t>
      </w:r>
      <w:r w:rsidRPr="00C106DC">
        <w:rPr>
          <w:rFonts w:ascii="TimesRomanR" w:eastAsia="Times New Roman" w:hAnsi="TimesRomanR" w:cs="Times New Roman"/>
          <w:sz w:val="24"/>
          <w:szCs w:val="24"/>
        </w:rPr>
        <w:t xml:space="preserve"> la alin. (1) este:</w:t>
      </w:r>
    </w:p>
    <w:p w:rsidR="0031427B" w:rsidRPr="00A70F15" w:rsidRDefault="00664E9C" w:rsidP="0031427B">
      <w:pPr>
        <w:jc w:val="both"/>
        <w:rPr>
          <w:rFonts w:ascii="TimesRomanR" w:eastAsia="Times New Roman" w:hAnsi="TimesRomanR" w:cs="Times New Roman"/>
          <w:lang w:val="en-US"/>
        </w:rPr>
      </w:pPr>
      <w:r w:rsidRPr="00A70F15">
        <w:rPr>
          <w:rFonts w:ascii="TimesRomanR" w:eastAsia="Times New Roman" w:hAnsi="TimesRomanR" w:cs="Times New Roman"/>
          <w:position w:val="-48"/>
          <w:lang w:val="en-US"/>
        </w:rPr>
        <w:object w:dxaOrig="9060" w:dyaOrig="1080">
          <v:shape id="_x0000_i1035" type="#_x0000_t75" style="width:458.9pt;height:53.2pt" o:ole="" filled="t">
            <v:imagedata r:id="rId25" o:title=""/>
          </v:shape>
          <o:OLEObject Type="Embed" ProgID="Equation.3" ShapeID="_x0000_i1035" DrawAspect="Content" ObjectID="_1634115608" r:id="rId26"/>
        </w:object>
      </w:r>
      <w:r w:rsidR="0031427B" w:rsidRPr="00A70F15">
        <w:rPr>
          <w:rFonts w:ascii="TimesRomanR" w:eastAsia="Times New Roman" w:hAnsi="TimesRomanR" w:cs="Times New Roman"/>
          <w:lang w:val="en-US"/>
        </w:rPr>
        <w:t xml:space="preserve"> (lei/MWh)</w:t>
      </w:r>
    </w:p>
    <w:p w:rsidR="0031427B" w:rsidRPr="00C106DC" w:rsidRDefault="0031427B" w:rsidP="0031427B">
      <w:pPr>
        <w:jc w:val="both"/>
        <w:rPr>
          <w:rFonts w:ascii="TimesRomanR" w:eastAsia="Times New Roman" w:hAnsi="TimesRomanR" w:cs="Times New Roman"/>
          <w:sz w:val="24"/>
          <w:szCs w:val="24"/>
        </w:rPr>
      </w:pPr>
      <w:r w:rsidRPr="00C106DC">
        <w:rPr>
          <w:rFonts w:ascii="TimesRomanR" w:eastAsia="Times New Roman" w:hAnsi="TimesRomanR" w:cs="Times New Roman"/>
          <w:sz w:val="24"/>
          <w:szCs w:val="24"/>
          <w:lang w:val="en-US"/>
        </w:rPr>
        <w:t xml:space="preserve">(4) </w:t>
      </w:r>
      <w:r w:rsidRPr="00C106DC">
        <w:rPr>
          <w:rFonts w:ascii="TimesRomanR" w:eastAsia="Times New Roman" w:hAnsi="TimesRomanR" w:cs="Times New Roman"/>
          <w:sz w:val="24"/>
          <w:szCs w:val="24"/>
        </w:rPr>
        <w:t>La func</w:t>
      </w:r>
      <w:r w:rsidRPr="00C106DC">
        <w:rPr>
          <w:rFonts w:ascii="TimesRomanR" w:eastAsia="Times New Roman" w:hAnsi="TimesRomanR" w:cs="Times New Roman" w:hint="eastAsia"/>
          <w:sz w:val="24"/>
          <w:szCs w:val="24"/>
        </w:rPr>
        <w:t>ţ</w:t>
      </w:r>
      <w:r w:rsidRPr="00C106DC">
        <w:rPr>
          <w:rFonts w:ascii="TimesRomanR" w:eastAsia="Times New Roman" w:hAnsi="TimesRomanR" w:cs="Times New Roman"/>
          <w:sz w:val="24"/>
          <w:szCs w:val="24"/>
        </w:rPr>
        <w:t>ionarea cu combustibil gazos asigurat din rețeaua de distribuție, formula prev</w:t>
      </w:r>
      <w:r w:rsidRPr="00C106DC">
        <w:rPr>
          <w:rFonts w:ascii="TimesRomanR" w:eastAsia="Times New Roman" w:hAnsi="TimesRomanR" w:cs="Times New Roman" w:hint="eastAsia"/>
          <w:sz w:val="24"/>
          <w:szCs w:val="24"/>
        </w:rPr>
        <w:t>ă</w:t>
      </w:r>
      <w:r w:rsidRPr="00C106DC">
        <w:rPr>
          <w:rFonts w:ascii="TimesRomanR" w:eastAsia="Times New Roman" w:hAnsi="TimesRomanR" w:cs="Times New Roman"/>
          <w:sz w:val="24"/>
          <w:szCs w:val="24"/>
        </w:rPr>
        <w:t>zut</w:t>
      </w:r>
      <w:r w:rsidRPr="00C106DC">
        <w:rPr>
          <w:rFonts w:ascii="TimesRomanR" w:eastAsia="Times New Roman" w:hAnsi="TimesRomanR" w:cs="Times New Roman" w:hint="eastAsia"/>
          <w:sz w:val="24"/>
          <w:szCs w:val="24"/>
        </w:rPr>
        <w:t>ă</w:t>
      </w:r>
      <w:r w:rsidRPr="00C106DC">
        <w:rPr>
          <w:rFonts w:ascii="TimesRomanR" w:eastAsia="Times New Roman" w:hAnsi="TimesRomanR" w:cs="Times New Roman"/>
          <w:sz w:val="24"/>
          <w:szCs w:val="24"/>
        </w:rPr>
        <w:t xml:space="preserve"> la alin. (1) este:</w:t>
      </w:r>
    </w:p>
    <w:p w:rsidR="0031427B" w:rsidRPr="0031427B" w:rsidRDefault="00664E9C" w:rsidP="0031427B">
      <w:pPr>
        <w:jc w:val="both"/>
        <w:rPr>
          <w:rFonts w:eastAsia="Times New Roman" w:cs="Times New Roman"/>
          <w:b/>
          <w:lang w:val="ro-RO"/>
        </w:rPr>
      </w:pPr>
      <w:r w:rsidRPr="00A70F15">
        <w:rPr>
          <w:rFonts w:ascii="TimesRomanR" w:eastAsia="Times New Roman" w:hAnsi="TimesRomanR" w:cs="Times New Roman"/>
          <w:position w:val="-48"/>
          <w:lang w:val="en-US"/>
        </w:rPr>
        <w:object w:dxaOrig="9060" w:dyaOrig="1080">
          <v:shape id="_x0000_i1036" type="#_x0000_t75" style="width:458.9pt;height:53.2pt" o:ole="" filled="t">
            <v:imagedata r:id="rId27" o:title=""/>
          </v:shape>
          <o:OLEObject Type="Embed" ProgID="Equation.3" ShapeID="_x0000_i1036" DrawAspect="Content" ObjectID="_1634115609" r:id="rId28"/>
        </w:object>
      </w:r>
      <w:r w:rsidR="0031427B" w:rsidRPr="00A70F15">
        <w:rPr>
          <w:rFonts w:ascii="TimesRomanR" w:eastAsia="Times New Roman" w:hAnsi="TimesRomanR" w:cs="Times New Roman"/>
          <w:lang w:val="en-US"/>
        </w:rPr>
        <w:t xml:space="preserve"> (lei/MWh)</w:t>
      </w:r>
      <w:r w:rsidR="0031427B" w:rsidRPr="00A70F15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”</w:t>
      </w:r>
    </w:p>
    <w:p w:rsidR="006670A0" w:rsidRDefault="0031427B" w:rsidP="006670A0">
      <w:pPr>
        <w:tabs>
          <w:tab w:val="left" w:pos="819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42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II</w:t>
      </w:r>
      <w:r w:rsidR="00706E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 xml:space="preserve">. </w:t>
      </w:r>
      <w:r w:rsidR="00706EA7" w:rsidRPr="00706EA7">
        <w:rPr>
          <w:rFonts w:ascii="Times New Roman" w:eastAsia="Calibri" w:hAnsi="Times New Roman" w:cs="Times New Roman"/>
          <w:sz w:val="24"/>
          <w:szCs w:val="24"/>
        </w:rPr>
        <w:t>Prezentul ordin se publică în Monitorul Oficial al României, Partea I.</w:t>
      </w:r>
      <w:r w:rsidR="00706EA7" w:rsidRPr="00706EA7">
        <w:rPr>
          <w:rFonts w:ascii="Times New Roman" w:eastAsia="Calibri" w:hAnsi="Times New Roman" w:cs="Times New Roman"/>
          <w:sz w:val="24"/>
          <w:szCs w:val="24"/>
        </w:rPr>
        <w:tab/>
      </w:r>
    </w:p>
    <w:p w:rsidR="006C569F" w:rsidRPr="006670A0" w:rsidRDefault="006C569F" w:rsidP="006670A0">
      <w:pPr>
        <w:tabs>
          <w:tab w:val="left" w:pos="819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70A0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:rsidR="006670A0" w:rsidRPr="006670A0" w:rsidRDefault="006670A0" w:rsidP="00D21187">
      <w:pPr>
        <w:spacing w:before="240"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6670A0" w:rsidRPr="006670A0" w:rsidRDefault="006670A0" w:rsidP="00D21187">
      <w:pPr>
        <w:spacing w:before="240"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sectPr w:rsidR="006670A0" w:rsidRPr="00667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02C8C"/>
    <w:multiLevelType w:val="hybridMultilevel"/>
    <w:tmpl w:val="BF769270"/>
    <w:lvl w:ilvl="0" w:tplc="6602B3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7410"/>
    <w:multiLevelType w:val="hybridMultilevel"/>
    <w:tmpl w:val="3202BF70"/>
    <w:lvl w:ilvl="0" w:tplc="002E453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AB5"/>
    <w:rsid w:val="00025870"/>
    <w:rsid w:val="00093AB5"/>
    <w:rsid w:val="000B608A"/>
    <w:rsid w:val="0019765A"/>
    <w:rsid w:val="002077DD"/>
    <w:rsid w:val="00235F0F"/>
    <w:rsid w:val="002873D9"/>
    <w:rsid w:val="002E0C2E"/>
    <w:rsid w:val="0031427B"/>
    <w:rsid w:val="003526D9"/>
    <w:rsid w:val="003D1684"/>
    <w:rsid w:val="003D7155"/>
    <w:rsid w:val="003F4184"/>
    <w:rsid w:val="004E4257"/>
    <w:rsid w:val="004F5AA9"/>
    <w:rsid w:val="0055206B"/>
    <w:rsid w:val="005F4E82"/>
    <w:rsid w:val="00664E9C"/>
    <w:rsid w:val="006670A0"/>
    <w:rsid w:val="006C569F"/>
    <w:rsid w:val="006E639F"/>
    <w:rsid w:val="00706EA7"/>
    <w:rsid w:val="00720FF0"/>
    <w:rsid w:val="00766D51"/>
    <w:rsid w:val="007B12B8"/>
    <w:rsid w:val="007B4823"/>
    <w:rsid w:val="00841405"/>
    <w:rsid w:val="00885257"/>
    <w:rsid w:val="008B0041"/>
    <w:rsid w:val="00913341"/>
    <w:rsid w:val="009B3087"/>
    <w:rsid w:val="009D3509"/>
    <w:rsid w:val="00A922B1"/>
    <w:rsid w:val="00AD128D"/>
    <w:rsid w:val="00B4148C"/>
    <w:rsid w:val="00B55AAF"/>
    <w:rsid w:val="00BF55AB"/>
    <w:rsid w:val="00BF71E9"/>
    <w:rsid w:val="00C654F3"/>
    <w:rsid w:val="00C7511A"/>
    <w:rsid w:val="00CC468F"/>
    <w:rsid w:val="00CC7013"/>
    <w:rsid w:val="00CD62E2"/>
    <w:rsid w:val="00D21187"/>
    <w:rsid w:val="00D37BFF"/>
    <w:rsid w:val="00E13578"/>
    <w:rsid w:val="00E27A71"/>
    <w:rsid w:val="00E41F55"/>
    <w:rsid w:val="00E439E5"/>
    <w:rsid w:val="00E60F36"/>
    <w:rsid w:val="00EA1AF7"/>
    <w:rsid w:val="00EB1D00"/>
    <w:rsid w:val="00F7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A0201-9B6A-487C-B584-429AEA11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AB5"/>
    <w:pPr>
      <w:ind w:left="720"/>
      <w:contextualSpacing/>
    </w:pPr>
  </w:style>
  <w:style w:type="paragraph" w:customStyle="1" w:styleId="Char">
    <w:name w:val="Char"/>
    <w:basedOn w:val="Normal"/>
    <w:rsid w:val="00667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616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9</cp:revision>
  <cp:lastPrinted>2019-11-01T10:10:00Z</cp:lastPrinted>
  <dcterms:created xsi:type="dcterms:W3CDTF">2019-10-29T07:09:00Z</dcterms:created>
  <dcterms:modified xsi:type="dcterms:W3CDTF">2019-11-01T10:13:00Z</dcterms:modified>
</cp:coreProperties>
</file>