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440A3D" w14:textId="77777777" w:rsidR="005A64CF" w:rsidRDefault="00037BE2">
      <w:pPr>
        <w:tabs>
          <w:tab w:val="left" w:pos="964"/>
          <w:tab w:val="left" w:pos="1080"/>
        </w:tabs>
        <w:spacing w:line="360" w:lineRule="auto"/>
        <w:jc w:val="center"/>
        <w:outlineLvl w:val="0"/>
        <w:rPr>
          <w:rFonts w:ascii="TimesRomanR" w:eastAsia="Times New Roman" w:hAnsi="TimesRomanR"/>
          <w:b/>
          <w:szCs w:val="20"/>
          <w:lang w:eastAsia="ro-RO"/>
        </w:rPr>
      </w:pPr>
      <w:r>
        <w:rPr>
          <w:rFonts w:ascii="TimesRomanR" w:eastAsia="Times New Roman" w:hAnsi="TimesRomanR"/>
          <w:b/>
          <w:szCs w:val="20"/>
          <w:lang w:eastAsia="ro-RO"/>
        </w:rPr>
        <w:t>Ordin nr. .............. din ....................</w:t>
      </w:r>
    </w:p>
    <w:p w14:paraId="2B49C278" w14:textId="77777777" w:rsidR="005A64CF" w:rsidRDefault="00037BE2">
      <w:pPr>
        <w:spacing w:line="360" w:lineRule="auto"/>
        <w:jc w:val="center"/>
        <w:rPr>
          <w:rFonts w:eastAsia="Times New Roman"/>
          <w:b/>
          <w:lang w:eastAsia="ro-RO"/>
        </w:rPr>
      </w:pPr>
      <w:r>
        <w:rPr>
          <w:rFonts w:ascii="TimesRomanR" w:eastAsia="Times New Roman" w:hAnsi="TimesRomanR"/>
          <w:b/>
          <w:bCs/>
          <w:szCs w:val="20"/>
          <w:lang w:eastAsia="ro-RO"/>
        </w:rPr>
        <w:t xml:space="preserve">pentru aprobarea </w:t>
      </w:r>
      <w:r>
        <w:rPr>
          <w:rFonts w:eastAsia="Times New Roman"/>
          <w:b/>
          <w:lang w:eastAsia="ro-RO"/>
        </w:rPr>
        <w:t>Metodologiei de stabilire a prețului de vânzare a energiei electrice livrată</w:t>
      </w:r>
    </w:p>
    <w:p w14:paraId="47B63642" w14:textId="77777777" w:rsidR="005A64CF" w:rsidRDefault="00037BE2">
      <w:pPr>
        <w:spacing w:line="360" w:lineRule="auto"/>
        <w:jc w:val="center"/>
        <w:rPr>
          <w:rFonts w:eastAsia="Times New Roman"/>
          <w:b/>
          <w:lang w:eastAsia="ro-RO"/>
        </w:rPr>
      </w:pPr>
      <w:r>
        <w:rPr>
          <w:rFonts w:eastAsia="Times New Roman"/>
          <w:b/>
          <w:lang w:eastAsia="ro-RO"/>
        </w:rPr>
        <w:t>clienților racordați într-un sistem electroenergetic izolat</w:t>
      </w:r>
    </w:p>
    <w:p w14:paraId="344C5273" w14:textId="77777777" w:rsidR="005A64CF" w:rsidRDefault="005A64CF">
      <w:pPr>
        <w:spacing w:line="360" w:lineRule="auto"/>
        <w:jc w:val="center"/>
        <w:rPr>
          <w:rFonts w:ascii="TimesRomanR" w:eastAsia="Times New Roman" w:hAnsi="TimesRomanR"/>
          <w:b/>
          <w:bCs/>
          <w:szCs w:val="20"/>
          <w:lang w:eastAsia="ro-RO"/>
        </w:rPr>
      </w:pPr>
    </w:p>
    <w:p w14:paraId="6F03E2C3" w14:textId="77777777" w:rsidR="005A64CF" w:rsidRDefault="005A64CF">
      <w:pPr>
        <w:tabs>
          <w:tab w:val="left" w:pos="964"/>
          <w:tab w:val="left" w:pos="1080"/>
        </w:tabs>
        <w:spacing w:line="360" w:lineRule="auto"/>
        <w:jc w:val="center"/>
        <w:rPr>
          <w:rFonts w:ascii="TimesRomanR" w:eastAsia="Times New Roman" w:hAnsi="TimesRomanR"/>
          <w:b/>
          <w:szCs w:val="20"/>
          <w:lang w:eastAsia="ro-RO"/>
        </w:rPr>
      </w:pPr>
    </w:p>
    <w:p w14:paraId="031F3CA5" w14:textId="77777777" w:rsidR="005A64CF" w:rsidRDefault="00037BE2">
      <w:pPr>
        <w:spacing w:line="360" w:lineRule="auto"/>
        <w:ind w:firstLine="708"/>
        <w:jc w:val="both"/>
        <w:rPr>
          <w:rFonts w:ascii="TimesRomanR" w:eastAsia="Times New Roman" w:hAnsi="TimesRomanR"/>
          <w:color w:val="000000"/>
          <w:szCs w:val="20"/>
          <w:lang w:eastAsia="ro-RO"/>
        </w:rPr>
      </w:pPr>
      <w:r>
        <w:rPr>
          <w:rFonts w:ascii="TimesRomanR" w:eastAsia="Times New Roman" w:hAnsi="TimesRomanR"/>
          <w:color w:val="000000"/>
          <w:szCs w:val="20"/>
          <w:lang w:eastAsia="ro-RO"/>
        </w:rPr>
        <w:t xml:space="preserve">Având în vedere prevederile art. 51 alin. (5) </w:t>
      </w:r>
      <w:r>
        <w:rPr>
          <w:rFonts w:ascii="TimesRomanR" w:eastAsia="Times New Roman" w:hAnsi="TimesRomanR" w:hint="eastAsia"/>
          <w:color w:val="000000"/>
          <w:szCs w:val="20"/>
          <w:lang w:eastAsia="ro-RO"/>
        </w:rPr>
        <w:t>ş</w:t>
      </w:r>
      <w:r>
        <w:rPr>
          <w:rFonts w:ascii="TimesRomanR" w:eastAsia="Times New Roman" w:hAnsi="TimesRomanR"/>
          <w:color w:val="000000"/>
          <w:szCs w:val="20"/>
          <w:lang w:eastAsia="ro-RO"/>
        </w:rPr>
        <w:t xml:space="preserve">i (6) din Legea energiei electrice </w:t>
      </w:r>
      <w:r>
        <w:rPr>
          <w:rFonts w:ascii="TimesRomanR" w:eastAsia="Times New Roman" w:hAnsi="TimesRomanR" w:hint="eastAsia"/>
          <w:color w:val="000000"/>
          <w:szCs w:val="20"/>
          <w:lang w:eastAsia="ro-RO"/>
        </w:rPr>
        <w:t>ş</w:t>
      </w:r>
      <w:r>
        <w:rPr>
          <w:rFonts w:ascii="TimesRomanR" w:eastAsia="Times New Roman" w:hAnsi="TimesRomanR"/>
          <w:color w:val="000000"/>
          <w:szCs w:val="20"/>
          <w:lang w:eastAsia="ro-RO"/>
        </w:rPr>
        <w:t>i a gazelor naturale nr. 123/2012, cu modific</w:t>
      </w:r>
      <w:r>
        <w:rPr>
          <w:rFonts w:ascii="TimesRomanR" w:eastAsia="Times New Roman" w:hAnsi="TimesRomanR" w:hint="eastAsia"/>
          <w:color w:val="000000"/>
          <w:szCs w:val="20"/>
          <w:lang w:eastAsia="ro-RO"/>
        </w:rPr>
        <w:t>ă</w:t>
      </w:r>
      <w:r>
        <w:rPr>
          <w:rFonts w:ascii="TimesRomanR" w:eastAsia="Times New Roman" w:hAnsi="TimesRomanR"/>
          <w:color w:val="000000"/>
          <w:szCs w:val="20"/>
          <w:lang w:eastAsia="ro-RO"/>
        </w:rPr>
        <w:t>rile și complet</w:t>
      </w:r>
      <w:r>
        <w:rPr>
          <w:rFonts w:ascii="TimesRomanR" w:eastAsia="Times New Roman" w:hAnsi="TimesRomanR" w:hint="eastAsia"/>
          <w:color w:val="000000"/>
          <w:szCs w:val="20"/>
          <w:lang w:eastAsia="ro-RO"/>
        </w:rPr>
        <w:t>ă</w:t>
      </w:r>
      <w:r>
        <w:rPr>
          <w:rFonts w:ascii="TimesRomanR" w:eastAsia="Times New Roman" w:hAnsi="TimesRomanR"/>
          <w:color w:val="000000"/>
          <w:szCs w:val="20"/>
          <w:lang w:eastAsia="ro-RO"/>
        </w:rPr>
        <w:t>rile ulterioare,</w:t>
      </w:r>
      <w:r>
        <w:rPr>
          <w:rFonts w:ascii="TimesRomanR" w:eastAsia="Times New Roman" w:hAnsi="TimesRomanR"/>
          <w:szCs w:val="20"/>
          <w:lang w:eastAsia="ro-RO"/>
        </w:rPr>
        <w:t xml:space="preserve"> </w:t>
      </w:r>
    </w:p>
    <w:p w14:paraId="60662556" w14:textId="28CAF2A5" w:rsidR="005A64CF" w:rsidRDefault="00037BE2">
      <w:pPr>
        <w:spacing w:line="360" w:lineRule="auto"/>
        <w:ind w:firstLine="708"/>
        <w:jc w:val="both"/>
        <w:rPr>
          <w:rFonts w:ascii="TimesRomanR" w:eastAsia="Times New Roman" w:hAnsi="TimesRomanR"/>
          <w:color w:val="000000"/>
          <w:szCs w:val="20"/>
          <w:lang w:eastAsia="ro-RO"/>
        </w:rPr>
      </w:pPr>
      <w:r>
        <w:rPr>
          <w:rFonts w:ascii="TimesRomanR" w:eastAsia="Times New Roman" w:hAnsi="TimesRomanR"/>
          <w:color w:val="000000"/>
          <w:szCs w:val="20"/>
          <w:lang w:eastAsia="ro-RO"/>
        </w:rPr>
        <w:t xml:space="preserve">în temeiul prevederilor art. 5 alin. (1) lit. b) </w:t>
      </w:r>
      <w:r w:rsidR="001A0090">
        <w:rPr>
          <w:rFonts w:ascii="TimesRomanR" w:eastAsia="Times New Roman" w:hAnsi="TimesRomanR"/>
          <w:color w:val="000000"/>
          <w:szCs w:val="20"/>
          <w:lang w:eastAsia="ro-RO"/>
        </w:rPr>
        <w:t xml:space="preserve">și alin. (5) </w:t>
      </w:r>
      <w:r>
        <w:rPr>
          <w:rFonts w:ascii="TimesRomanR" w:eastAsia="Times New Roman" w:hAnsi="TimesRomanR" w:hint="eastAsia"/>
          <w:color w:val="000000"/>
          <w:szCs w:val="20"/>
          <w:lang w:eastAsia="ro-RO"/>
        </w:rPr>
        <w:t>ş</w:t>
      </w:r>
      <w:r>
        <w:rPr>
          <w:rFonts w:ascii="TimesRomanR" w:eastAsia="Times New Roman" w:hAnsi="TimesRomanR"/>
          <w:color w:val="000000"/>
          <w:szCs w:val="20"/>
          <w:lang w:eastAsia="ro-RO"/>
        </w:rPr>
        <w:t xml:space="preserve">i ale art. 9 alin. (1) lit. b) din </w:t>
      </w:r>
      <w:r>
        <w:rPr>
          <w:rFonts w:ascii="TimesRomanR" w:eastAsia="Times New Roman" w:hAnsi="TimesRomanR"/>
          <w:szCs w:val="20"/>
          <w:lang w:eastAsia="ro-RO"/>
        </w:rPr>
        <w:t>Ordonan</w:t>
      </w:r>
      <w:r>
        <w:rPr>
          <w:rFonts w:ascii="TimesRomanR" w:eastAsia="Times New Roman" w:hAnsi="TimesRomanR" w:hint="eastAsia"/>
          <w:szCs w:val="20"/>
          <w:lang w:eastAsia="ro-RO"/>
        </w:rPr>
        <w:t>ţ</w:t>
      </w:r>
      <w:r>
        <w:rPr>
          <w:rFonts w:ascii="TimesRomanR" w:eastAsia="Times New Roman" w:hAnsi="TimesRomanR"/>
          <w:szCs w:val="20"/>
          <w:lang w:eastAsia="ro-RO"/>
        </w:rPr>
        <w:t>a de urgen</w:t>
      </w:r>
      <w:r>
        <w:rPr>
          <w:rFonts w:ascii="TimesRomanR" w:eastAsia="Times New Roman" w:hAnsi="TimesRomanR" w:hint="eastAsia"/>
          <w:szCs w:val="20"/>
          <w:lang w:eastAsia="ro-RO"/>
        </w:rPr>
        <w:t>ţă</w:t>
      </w:r>
      <w:r>
        <w:rPr>
          <w:rFonts w:ascii="TimesRomanR" w:eastAsia="Times New Roman" w:hAnsi="TimesRomanR"/>
          <w:szCs w:val="20"/>
          <w:lang w:eastAsia="ro-RO"/>
        </w:rPr>
        <w:t xml:space="preserve"> a Guvernului nr. 33/2007 privind organizarea </w:t>
      </w:r>
      <w:r>
        <w:rPr>
          <w:rFonts w:asciiTheme="minorHAnsi" w:eastAsia="Times New Roman" w:hAnsiTheme="minorHAnsi"/>
          <w:szCs w:val="20"/>
          <w:lang w:eastAsia="ro-RO"/>
        </w:rPr>
        <w:t>ș</w:t>
      </w:r>
      <w:r>
        <w:rPr>
          <w:rFonts w:ascii="TimesRomanR" w:eastAsia="Times New Roman" w:hAnsi="TimesRomanR"/>
          <w:szCs w:val="20"/>
          <w:lang w:eastAsia="ro-RO"/>
        </w:rPr>
        <w:t>i func</w:t>
      </w:r>
      <w:r>
        <w:rPr>
          <w:rFonts w:ascii="TimesRomanR" w:eastAsia="Times New Roman" w:hAnsi="TimesRomanR" w:hint="eastAsia"/>
          <w:szCs w:val="20"/>
          <w:lang w:eastAsia="ro-RO"/>
        </w:rPr>
        <w:t>ţ</w:t>
      </w:r>
      <w:r>
        <w:rPr>
          <w:rFonts w:ascii="TimesRomanR" w:eastAsia="Times New Roman" w:hAnsi="TimesRomanR"/>
          <w:szCs w:val="20"/>
          <w:lang w:eastAsia="ro-RO"/>
        </w:rPr>
        <w:t>ionarea Autorit</w:t>
      </w:r>
      <w:r>
        <w:rPr>
          <w:rFonts w:ascii="TimesRomanR" w:eastAsia="Times New Roman" w:hAnsi="TimesRomanR" w:hint="eastAsia"/>
          <w:szCs w:val="20"/>
          <w:lang w:eastAsia="ro-RO"/>
        </w:rPr>
        <w:t>ăţ</w:t>
      </w:r>
      <w:r>
        <w:rPr>
          <w:rFonts w:ascii="TimesRomanR" w:eastAsia="Times New Roman" w:hAnsi="TimesRomanR"/>
          <w:szCs w:val="20"/>
          <w:lang w:eastAsia="ro-RO"/>
        </w:rPr>
        <w:t>ii Na</w:t>
      </w:r>
      <w:r>
        <w:rPr>
          <w:rFonts w:ascii="TimesRomanR" w:eastAsia="Times New Roman" w:hAnsi="TimesRomanR" w:hint="eastAsia"/>
          <w:szCs w:val="20"/>
          <w:lang w:eastAsia="ro-RO"/>
        </w:rPr>
        <w:t>ţ</w:t>
      </w:r>
      <w:r>
        <w:rPr>
          <w:rFonts w:ascii="TimesRomanR" w:eastAsia="Times New Roman" w:hAnsi="TimesRomanR"/>
          <w:szCs w:val="20"/>
          <w:lang w:eastAsia="ro-RO"/>
        </w:rPr>
        <w:t>ionale de Reglementare în Domeniul Energiei, aprobat</w:t>
      </w:r>
      <w:r>
        <w:rPr>
          <w:rFonts w:ascii="TimesRomanR" w:eastAsia="Times New Roman" w:hAnsi="TimesRomanR" w:hint="eastAsia"/>
          <w:szCs w:val="20"/>
          <w:lang w:eastAsia="ro-RO"/>
        </w:rPr>
        <w:t>ă</w:t>
      </w:r>
      <w:r>
        <w:rPr>
          <w:rFonts w:ascii="TimesRomanR" w:eastAsia="Times New Roman" w:hAnsi="TimesRomanR"/>
          <w:szCs w:val="20"/>
          <w:lang w:eastAsia="ro-RO"/>
        </w:rPr>
        <w:t xml:space="preserve"> cu modific</w:t>
      </w:r>
      <w:r>
        <w:rPr>
          <w:rFonts w:ascii="TimesRomanR" w:eastAsia="Times New Roman" w:hAnsi="TimesRomanR" w:hint="eastAsia"/>
          <w:szCs w:val="20"/>
          <w:lang w:eastAsia="ro-RO"/>
        </w:rPr>
        <w:t>ă</w:t>
      </w:r>
      <w:r>
        <w:rPr>
          <w:rFonts w:ascii="TimesRomanR" w:eastAsia="Times New Roman" w:hAnsi="TimesRomanR"/>
          <w:szCs w:val="20"/>
          <w:lang w:eastAsia="ro-RO"/>
        </w:rPr>
        <w:t xml:space="preserve">ri </w:t>
      </w:r>
      <w:r>
        <w:rPr>
          <w:rFonts w:ascii="TimesRomanR" w:eastAsia="Times New Roman" w:hAnsi="TimesRomanR" w:hint="eastAsia"/>
          <w:szCs w:val="20"/>
          <w:lang w:eastAsia="ro-RO"/>
        </w:rPr>
        <w:t>ş</w:t>
      </w:r>
      <w:r>
        <w:rPr>
          <w:rFonts w:ascii="TimesRomanR" w:eastAsia="Times New Roman" w:hAnsi="TimesRomanR"/>
          <w:szCs w:val="20"/>
          <w:lang w:eastAsia="ro-RO"/>
        </w:rPr>
        <w:t>i complet</w:t>
      </w:r>
      <w:r>
        <w:rPr>
          <w:rFonts w:ascii="TimesRomanR" w:eastAsia="Times New Roman" w:hAnsi="TimesRomanR" w:hint="eastAsia"/>
          <w:szCs w:val="20"/>
          <w:lang w:eastAsia="ro-RO"/>
        </w:rPr>
        <w:t>ă</w:t>
      </w:r>
      <w:r>
        <w:rPr>
          <w:rFonts w:ascii="TimesRomanR" w:eastAsia="Times New Roman" w:hAnsi="TimesRomanR"/>
          <w:szCs w:val="20"/>
          <w:lang w:eastAsia="ro-RO"/>
        </w:rPr>
        <w:t xml:space="preserve">ri prin Legea nr. 160/2012,  </w:t>
      </w:r>
      <w:r>
        <w:rPr>
          <w:rFonts w:ascii="TimesRomanR" w:eastAsia="Times New Roman" w:hAnsi="TimesRomanR"/>
          <w:color w:val="000000"/>
          <w:szCs w:val="20"/>
          <w:lang w:eastAsia="ro-RO"/>
        </w:rPr>
        <w:t>cu modific</w:t>
      </w:r>
      <w:r>
        <w:rPr>
          <w:rFonts w:ascii="TimesRomanR" w:eastAsia="Times New Roman" w:hAnsi="TimesRomanR" w:hint="eastAsia"/>
          <w:color w:val="000000"/>
          <w:szCs w:val="20"/>
          <w:lang w:eastAsia="ro-RO"/>
        </w:rPr>
        <w:t>ă</w:t>
      </w:r>
      <w:r>
        <w:rPr>
          <w:rFonts w:ascii="TimesRomanR" w:eastAsia="Times New Roman" w:hAnsi="TimesRomanR"/>
          <w:color w:val="000000"/>
          <w:szCs w:val="20"/>
          <w:lang w:eastAsia="ro-RO"/>
        </w:rPr>
        <w:t xml:space="preserve">rile </w:t>
      </w:r>
      <w:r>
        <w:rPr>
          <w:rFonts w:ascii="TimesRomanR" w:eastAsia="Times New Roman" w:hAnsi="TimesRomanR" w:hint="eastAsia"/>
          <w:color w:val="000000"/>
          <w:szCs w:val="20"/>
          <w:lang w:eastAsia="ro-RO"/>
        </w:rPr>
        <w:t>ş</w:t>
      </w:r>
      <w:r>
        <w:rPr>
          <w:rFonts w:ascii="TimesRomanR" w:eastAsia="Times New Roman" w:hAnsi="TimesRomanR"/>
          <w:color w:val="000000"/>
          <w:szCs w:val="20"/>
          <w:lang w:eastAsia="ro-RO"/>
        </w:rPr>
        <w:t>i complet</w:t>
      </w:r>
      <w:r>
        <w:rPr>
          <w:rFonts w:ascii="TimesRomanR" w:eastAsia="Times New Roman" w:hAnsi="TimesRomanR" w:hint="eastAsia"/>
          <w:color w:val="000000"/>
          <w:szCs w:val="20"/>
          <w:lang w:eastAsia="ro-RO"/>
        </w:rPr>
        <w:t>ă</w:t>
      </w:r>
      <w:r>
        <w:rPr>
          <w:rFonts w:ascii="TimesRomanR" w:eastAsia="Times New Roman" w:hAnsi="TimesRomanR"/>
          <w:color w:val="000000"/>
          <w:szCs w:val="20"/>
          <w:lang w:eastAsia="ro-RO"/>
        </w:rPr>
        <w:t>rile ulterioare,</w:t>
      </w:r>
    </w:p>
    <w:p w14:paraId="49B33234" w14:textId="77777777" w:rsidR="005A64CF" w:rsidRDefault="005A64CF">
      <w:pPr>
        <w:spacing w:line="360" w:lineRule="auto"/>
        <w:ind w:firstLine="708"/>
        <w:jc w:val="both"/>
        <w:rPr>
          <w:rFonts w:ascii="TimesRomanR" w:eastAsia="Times New Roman" w:hAnsi="TimesRomanR"/>
          <w:color w:val="000000"/>
          <w:szCs w:val="20"/>
          <w:lang w:eastAsia="ro-RO"/>
        </w:rPr>
      </w:pPr>
    </w:p>
    <w:p w14:paraId="7A99DD30" w14:textId="77777777" w:rsidR="005A64CF" w:rsidRDefault="00037BE2">
      <w:pPr>
        <w:spacing w:line="360" w:lineRule="auto"/>
        <w:jc w:val="both"/>
        <w:outlineLvl w:val="0"/>
        <w:rPr>
          <w:rFonts w:ascii="TimesRomanR" w:eastAsia="Times New Roman" w:hAnsi="TimesRomanR"/>
          <w:b/>
          <w:szCs w:val="20"/>
          <w:lang w:eastAsia="ro-RO"/>
        </w:rPr>
      </w:pPr>
      <w:r>
        <w:rPr>
          <w:rFonts w:ascii="TimesRomanR" w:eastAsia="Times New Roman" w:hAnsi="TimesRomanR"/>
          <w:b/>
          <w:szCs w:val="20"/>
          <w:lang w:eastAsia="ro-RO"/>
        </w:rPr>
        <w:t>Preşedintele Autorităţii Naţionale de Reglementare în Domeniul Energiei emite prezentul ordin</w:t>
      </w:r>
    </w:p>
    <w:p w14:paraId="7BC774A4" w14:textId="77777777" w:rsidR="005A64CF" w:rsidRDefault="005A64CF">
      <w:pPr>
        <w:spacing w:line="360" w:lineRule="auto"/>
        <w:jc w:val="both"/>
        <w:outlineLvl w:val="0"/>
        <w:rPr>
          <w:rFonts w:ascii="TimesRomanR" w:eastAsia="Times New Roman" w:hAnsi="TimesRomanR"/>
          <w:b/>
          <w:szCs w:val="20"/>
          <w:lang w:eastAsia="ro-RO"/>
        </w:rPr>
      </w:pPr>
    </w:p>
    <w:p w14:paraId="2DD2C1AC" w14:textId="6D292098" w:rsidR="005A64CF" w:rsidRDefault="00037BE2">
      <w:pPr>
        <w:spacing w:line="360" w:lineRule="auto"/>
        <w:jc w:val="both"/>
        <w:rPr>
          <w:rFonts w:ascii="TimesRomanR" w:eastAsia="Times New Roman" w:hAnsi="TimesRomanR"/>
          <w:szCs w:val="20"/>
          <w:lang w:eastAsia="ro-RO"/>
        </w:rPr>
      </w:pPr>
      <w:r>
        <w:rPr>
          <w:rFonts w:eastAsia="Times New Roman"/>
          <w:b/>
          <w:szCs w:val="20"/>
          <w:lang w:eastAsia="ro-RO"/>
        </w:rPr>
        <w:t>Art. 1.</w:t>
      </w:r>
      <w:r>
        <w:rPr>
          <w:rFonts w:eastAsia="Times New Roman"/>
          <w:szCs w:val="20"/>
          <w:lang w:eastAsia="ro-RO"/>
        </w:rPr>
        <w:t xml:space="preserve"> – Se aprobă Metodologia </w:t>
      </w:r>
      <w:r>
        <w:rPr>
          <w:rFonts w:eastAsia="Times New Roman"/>
          <w:lang w:eastAsia="ro-RO"/>
        </w:rPr>
        <w:t xml:space="preserve">de stabilire a prețului de vânzare a energiei electrice livrată clienților </w:t>
      </w:r>
      <w:r>
        <w:rPr>
          <w:rFonts w:eastAsia="Times New Roman"/>
          <w:lang w:val="en-US" w:eastAsia="ro-RO"/>
        </w:rPr>
        <w:t>racordați î</w:t>
      </w:r>
      <w:r>
        <w:rPr>
          <w:rFonts w:eastAsia="Times New Roman"/>
          <w:lang w:eastAsia="ro-RO"/>
        </w:rPr>
        <w:t>ntr-un sistem electroenergetic izolat</w:t>
      </w:r>
      <w:r>
        <w:rPr>
          <w:rFonts w:ascii="TimesRomanR" w:eastAsia="Times New Roman" w:hAnsi="TimesRomanR"/>
          <w:szCs w:val="20"/>
          <w:lang w:eastAsia="ro-RO"/>
        </w:rPr>
        <w:t>, prevăzută în anexa care face parte integrantă din prezentul ordin.</w:t>
      </w:r>
    </w:p>
    <w:p w14:paraId="095CB456" w14:textId="77777777" w:rsidR="005A64CF" w:rsidRDefault="00037BE2">
      <w:pPr>
        <w:spacing w:line="360" w:lineRule="auto"/>
        <w:jc w:val="both"/>
        <w:rPr>
          <w:rFonts w:ascii="TimesRomanR" w:eastAsia="Times New Roman" w:hAnsi="TimesRomanR"/>
          <w:szCs w:val="20"/>
          <w:lang w:eastAsia="ro-RO"/>
        </w:rPr>
      </w:pPr>
      <w:r>
        <w:rPr>
          <w:rFonts w:ascii="TimesRomanR" w:eastAsia="Times New Roman" w:hAnsi="TimesRomanR"/>
          <w:b/>
          <w:szCs w:val="20"/>
          <w:lang w:eastAsia="ro-RO"/>
        </w:rPr>
        <w:t>Art. 2.</w:t>
      </w:r>
      <w:r>
        <w:rPr>
          <w:rFonts w:ascii="TimesRomanR" w:eastAsia="Times New Roman" w:hAnsi="TimesRomanR"/>
          <w:szCs w:val="20"/>
          <w:lang w:eastAsia="ro-RO"/>
        </w:rPr>
        <w:t xml:space="preserve"> – Operatorii economici care prestează servicii de alimentare cu energie electrică în sisteme electroenergetice izolate duc la îndeplinire prevederile prezentului ordin, iar entităţile organizatorice din cadrul Autorităţii Naţionale de Reglementare în Domeniul Energiei urmăresc respectarea prevederilor prezentului ordin.</w:t>
      </w:r>
    </w:p>
    <w:p w14:paraId="447EFA58" w14:textId="77777777" w:rsidR="005A64CF" w:rsidRDefault="00037BE2">
      <w:pPr>
        <w:spacing w:line="360" w:lineRule="auto"/>
        <w:jc w:val="both"/>
        <w:rPr>
          <w:rFonts w:ascii="TimesRomanR" w:eastAsia="Times New Roman" w:hAnsi="TimesRomanR"/>
          <w:szCs w:val="20"/>
          <w:lang w:eastAsia="ro-RO"/>
        </w:rPr>
      </w:pPr>
      <w:r>
        <w:rPr>
          <w:rFonts w:ascii="TimesRomanR" w:eastAsia="Times New Roman" w:hAnsi="TimesRomanR"/>
          <w:b/>
          <w:szCs w:val="20"/>
          <w:lang w:eastAsia="ro-RO"/>
        </w:rPr>
        <w:t>Art. 3.</w:t>
      </w:r>
      <w:r>
        <w:rPr>
          <w:rFonts w:ascii="TimesRomanR" w:eastAsia="Times New Roman" w:hAnsi="TimesRomanR"/>
          <w:szCs w:val="20"/>
          <w:lang w:eastAsia="ro-RO"/>
        </w:rPr>
        <w:tab/>
        <w:t xml:space="preserve">–  Prezentul ordin se publică în Monitorul Oficial al României, Partea I </w:t>
      </w:r>
      <w:r>
        <w:rPr>
          <w:rFonts w:eastAsia="Times New Roman"/>
          <w:szCs w:val="20"/>
          <w:lang w:eastAsia="ro-RO"/>
        </w:rPr>
        <w:t>și intră în vigoare la data de ...........................................</w:t>
      </w:r>
      <w:r>
        <w:rPr>
          <w:rFonts w:ascii="TimesRomanR" w:eastAsia="Times New Roman" w:hAnsi="TimesRomanR"/>
          <w:szCs w:val="20"/>
          <w:lang w:eastAsia="ro-RO"/>
        </w:rPr>
        <w:t xml:space="preserve">. </w:t>
      </w:r>
    </w:p>
    <w:p w14:paraId="15B2502F" w14:textId="77777777" w:rsidR="005A64CF" w:rsidRDefault="005A64CF">
      <w:pPr>
        <w:spacing w:line="360" w:lineRule="auto"/>
        <w:jc w:val="both"/>
        <w:rPr>
          <w:rFonts w:ascii="TimesRomanR" w:eastAsia="Times New Roman" w:hAnsi="TimesRomanR"/>
          <w:b/>
          <w:szCs w:val="20"/>
          <w:lang w:eastAsia="ro-RO"/>
        </w:rPr>
      </w:pPr>
    </w:p>
    <w:p w14:paraId="74BAD212" w14:textId="77777777" w:rsidR="005A64CF" w:rsidRDefault="00037BE2">
      <w:pPr>
        <w:spacing w:line="360" w:lineRule="auto"/>
        <w:jc w:val="center"/>
        <w:rPr>
          <w:rFonts w:eastAsia="Times New Roman"/>
          <w:b/>
          <w:szCs w:val="20"/>
          <w:lang w:eastAsia="ro-RO"/>
        </w:rPr>
      </w:pPr>
      <w:r>
        <w:rPr>
          <w:rFonts w:eastAsia="Times New Roman"/>
          <w:b/>
          <w:szCs w:val="20"/>
          <w:lang w:eastAsia="ro-RO"/>
        </w:rPr>
        <w:t xml:space="preserve">Preşedintele Autorităţii Naţionale de Reglementare în Domeniul Energiei </w:t>
      </w:r>
    </w:p>
    <w:p w14:paraId="3E19E2D1" w14:textId="77777777" w:rsidR="005A64CF" w:rsidRDefault="00037BE2">
      <w:pPr>
        <w:spacing w:line="360" w:lineRule="auto"/>
        <w:jc w:val="center"/>
        <w:rPr>
          <w:rFonts w:ascii="TimesRomanR" w:eastAsia="Times New Roman" w:hAnsi="TimesRomanR"/>
          <w:b/>
          <w:szCs w:val="20"/>
          <w:lang w:eastAsia="ro-RO"/>
        </w:rPr>
      </w:pPr>
      <w:r>
        <w:rPr>
          <w:rFonts w:ascii="TimesRomanR" w:eastAsia="Times New Roman" w:hAnsi="TimesRomanR"/>
          <w:b/>
          <w:szCs w:val="20"/>
          <w:lang w:eastAsia="ro-RO"/>
        </w:rPr>
        <w:t>DUMITRU CHIRIȚĂ</w:t>
      </w:r>
      <w:bookmarkStart w:id="0" w:name="_Ref84751745"/>
      <w:bookmarkEnd w:id="0"/>
    </w:p>
    <w:p w14:paraId="021F4385" w14:textId="77777777" w:rsidR="005A64CF" w:rsidRDefault="005A64CF">
      <w:pPr>
        <w:spacing w:line="360" w:lineRule="auto"/>
        <w:jc w:val="center"/>
        <w:rPr>
          <w:rFonts w:ascii="TimesRomanR" w:eastAsia="Times New Roman" w:hAnsi="TimesRomanR"/>
          <w:b/>
          <w:szCs w:val="20"/>
          <w:lang w:eastAsia="ro-RO"/>
        </w:rPr>
      </w:pPr>
    </w:p>
    <w:p w14:paraId="046E05C2" w14:textId="77777777" w:rsidR="005A64CF" w:rsidRDefault="005A64CF">
      <w:pPr>
        <w:spacing w:line="360" w:lineRule="auto"/>
        <w:jc w:val="center"/>
        <w:rPr>
          <w:rFonts w:ascii="TimesRomanR" w:eastAsia="Times New Roman" w:hAnsi="TimesRomanR"/>
          <w:b/>
          <w:szCs w:val="20"/>
          <w:lang w:eastAsia="ro-RO"/>
        </w:rPr>
      </w:pPr>
    </w:p>
    <w:p w14:paraId="0BDF9F0D" w14:textId="77777777" w:rsidR="005A64CF" w:rsidRDefault="00037BE2">
      <w:pPr>
        <w:pStyle w:val="Title"/>
        <w:spacing w:line="360" w:lineRule="auto"/>
        <w:jc w:val="right"/>
        <w:rPr>
          <w:rFonts w:ascii="Times New Roman" w:hAnsi="Times New Roman"/>
          <w:szCs w:val="24"/>
          <w:lang w:val="ro-RO"/>
        </w:rPr>
      </w:pPr>
      <w:r>
        <w:rPr>
          <w:rFonts w:ascii="Times New Roman" w:hAnsi="Times New Roman"/>
          <w:szCs w:val="24"/>
          <w:lang w:val="ro-RO"/>
        </w:rPr>
        <w:lastRenderedPageBreak/>
        <w:tab/>
      </w:r>
    </w:p>
    <w:p w14:paraId="2806FEF5" w14:textId="77777777" w:rsidR="005A64CF" w:rsidRDefault="00037BE2" w:rsidP="00B375ED">
      <w:pPr>
        <w:jc w:val="right"/>
      </w:pPr>
      <w:r w:rsidRPr="00B375ED">
        <w:rPr>
          <w:b/>
        </w:rPr>
        <w:t>ANEXA</w:t>
      </w:r>
    </w:p>
    <w:p w14:paraId="2F6FD379" w14:textId="5DD45057" w:rsidR="005A64CF" w:rsidRDefault="00037BE2">
      <w:pPr>
        <w:spacing w:line="360" w:lineRule="auto"/>
        <w:jc w:val="center"/>
        <w:rPr>
          <w:rFonts w:eastAsia="Times New Roman"/>
          <w:b/>
          <w:lang w:eastAsia="ro-RO"/>
        </w:rPr>
      </w:pPr>
      <w:r>
        <w:rPr>
          <w:rFonts w:eastAsia="Times New Roman"/>
          <w:b/>
          <w:lang w:eastAsia="ro-RO"/>
        </w:rPr>
        <w:t xml:space="preserve">Metodologia de stabilire a prețului de vânzare a energiei electrice livrată clienților </w:t>
      </w:r>
      <w:r>
        <w:rPr>
          <w:rFonts w:eastAsia="Times New Roman"/>
          <w:b/>
          <w:lang w:val="en-US" w:eastAsia="ro-RO"/>
        </w:rPr>
        <w:t>racordați î</w:t>
      </w:r>
      <w:r>
        <w:rPr>
          <w:rFonts w:eastAsia="Times New Roman"/>
          <w:b/>
          <w:lang w:eastAsia="ro-RO"/>
        </w:rPr>
        <w:t>ntr-un sistem electroenergetic izolat</w:t>
      </w:r>
    </w:p>
    <w:p w14:paraId="701093F5" w14:textId="77777777" w:rsidR="005A64CF" w:rsidRDefault="005A64CF">
      <w:pPr>
        <w:pStyle w:val="Title"/>
        <w:spacing w:line="360" w:lineRule="auto"/>
        <w:rPr>
          <w:rFonts w:ascii="Times New Roman" w:hAnsi="Times New Roman"/>
          <w:b w:val="0"/>
          <w:szCs w:val="24"/>
          <w:lang w:val="ro-RO"/>
        </w:rPr>
      </w:pPr>
    </w:p>
    <w:p w14:paraId="47091763" w14:textId="77777777" w:rsidR="005A64CF" w:rsidRDefault="00037BE2">
      <w:pPr>
        <w:pStyle w:val="BodyTextIndent3"/>
        <w:spacing w:after="0" w:line="360" w:lineRule="auto"/>
        <w:ind w:left="0"/>
        <w:jc w:val="both"/>
        <w:outlineLvl w:val="0"/>
        <w:rPr>
          <w:rFonts w:ascii="Times New Roman" w:hAnsi="Times New Roman"/>
          <w:b/>
          <w:sz w:val="24"/>
          <w:szCs w:val="24"/>
          <w:lang w:val="ro-RO"/>
        </w:rPr>
      </w:pPr>
      <w:r>
        <w:rPr>
          <w:rFonts w:ascii="Times New Roman" w:hAnsi="Times New Roman"/>
          <w:b/>
          <w:sz w:val="24"/>
          <w:szCs w:val="24"/>
          <w:lang w:val="ro-RO"/>
        </w:rPr>
        <w:t>CAPITOLUL I. SCOP</w:t>
      </w:r>
    </w:p>
    <w:p w14:paraId="42D314B2" w14:textId="77777777" w:rsidR="005A64CF" w:rsidRDefault="005A64CF">
      <w:pPr>
        <w:pStyle w:val="BodyTextIndent3"/>
        <w:spacing w:after="0" w:line="360" w:lineRule="auto"/>
        <w:ind w:left="0"/>
        <w:jc w:val="both"/>
        <w:outlineLvl w:val="0"/>
        <w:rPr>
          <w:rFonts w:ascii="Times New Roman" w:hAnsi="Times New Roman"/>
          <w:b/>
          <w:sz w:val="24"/>
          <w:szCs w:val="24"/>
          <w:lang w:val="ro-RO"/>
        </w:rPr>
      </w:pPr>
    </w:p>
    <w:p w14:paraId="36CDC170" w14:textId="351B13D1" w:rsidR="005A64CF" w:rsidRDefault="00037BE2">
      <w:pPr>
        <w:pStyle w:val="BodyTextIndent3"/>
        <w:numPr>
          <w:ilvl w:val="0"/>
          <w:numId w:val="4"/>
        </w:numPr>
        <w:tabs>
          <w:tab w:val="left" w:pos="142"/>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Prezenta metodologie reglementează modalitatea de fundamentare și de stabilire a prețului de vânzare a energiei electrice livrată clienților </w:t>
      </w:r>
      <w:r>
        <w:rPr>
          <w:rFonts w:ascii="Times New Roman" w:hAnsi="Times New Roman"/>
          <w:sz w:val="24"/>
          <w:szCs w:val="24"/>
        </w:rPr>
        <w:t>racordați î</w:t>
      </w:r>
      <w:r>
        <w:rPr>
          <w:rFonts w:ascii="Times New Roman" w:hAnsi="Times New Roman"/>
          <w:sz w:val="24"/>
          <w:szCs w:val="24"/>
          <w:lang w:val="ro-RO"/>
        </w:rPr>
        <w:t>ntr-un sistem electroenergetic izolat.</w:t>
      </w:r>
    </w:p>
    <w:p w14:paraId="0E82B830" w14:textId="77777777" w:rsidR="005A64CF" w:rsidRDefault="00037BE2">
      <w:pPr>
        <w:pStyle w:val="BodyTextIndent3"/>
        <w:numPr>
          <w:ilvl w:val="0"/>
          <w:numId w:val="4"/>
        </w:numPr>
        <w:tabs>
          <w:tab w:val="left" w:pos="142"/>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Metodologia are în vedere următoarele obiective:</w:t>
      </w:r>
    </w:p>
    <w:p w14:paraId="47E0BC63" w14:textId="065F0665" w:rsidR="005A64CF" w:rsidRDefault="00037BE2">
      <w:pPr>
        <w:pStyle w:val="BodyTextIndent3"/>
        <w:numPr>
          <w:ilvl w:val="0"/>
          <w:numId w:val="5"/>
        </w:numPr>
        <w:tabs>
          <w:tab w:val="clear" w:pos="1080"/>
          <w:tab w:val="left" w:pos="709"/>
        </w:tabs>
        <w:spacing w:after="0" w:line="360" w:lineRule="auto"/>
        <w:ind w:left="709" w:hanging="425"/>
        <w:jc w:val="both"/>
        <w:rPr>
          <w:rFonts w:ascii="Times New Roman" w:hAnsi="Times New Roman"/>
          <w:sz w:val="24"/>
          <w:szCs w:val="24"/>
          <w:lang w:val="ro-RO"/>
        </w:rPr>
      </w:pPr>
      <w:r>
        <w:rPr>
          <w:rFonts w:ascii="Times New Roman" w:hAnsi="Times New Roman"/>
          <w:sz w:val="24"/>
          <w:szCs w:val="24"/>
          <w:lang w:val="ro-RO"/>
        </w:rPr>
        <w:t xml:space="preserve">asigurarea recuperării costurilor justificate și efectuate într-o manieră prudentă de către operatorul economic care </w:t>
      </w:r>
      <w:r w:rsidRPr="00723F0C">
        <w:rPr>
          <w:rFonts w:ascii="Times New Roman" w:hAnsi="Times New Roman"/>
          <w:sz w:val="24"/>
          <w:szCs w:val="24"/>
          <w:lang w:val="ro-RO"/>
        </w:rPr>
        <w:t>prestează serviciul</w:t>
      </w:r>
      <w:r w:rsidRPr="00723F0C">
        <w:rPr>
          <w:rFonts w:ascii="Times New Roman" w:hAnsi="Times New Roman"/>
          <w:sz w:val="24"/>
          <w:szCs w:val="24"/>
        </w:rPr>
        <w:t xml:space="preserve"> de </w:t>
      </w:r>
      <w:r w:rsidR="0009574E" w:rsidRPr="00723F0C">
        <w:rPr>
          <w:rFonts w:ascii="Times New Roman" w:hAnsi="Times New Roman"/>
          <w:sz w:val="24"/>
          <w:szCs w:val="24"/>
        </w:rPr>
        <w:t>alimentare cu</w:t>
      </w:r>
      <w:r w:rsidRPr="00723F0C">
        <w:rPr>
          <w:rFonts w:ascii="Times New Roman" w:hAnsi="Times New Roman"/>
          <w:sz w:val="24"/>
          <w:szCs w:val="24"/>
        </w:rPr>
        <w:t xml:space="preserve"> energie electric</w:t>
      </w:r>
      <w:r w:rsidR="00723F0C" w:rsidRPr="00723F0C">
        <w:rPr>
          <w:rFonts w:ascii="Times New Roman" w:hAnsi="Times New Roman"/>
          <w:sz w:val="24"/>
          <w:szCs w:val="24"/>
        </w:rPr>
        <w:t>ă</w:t>
      </w:r>
      <w:r w:rsidR="0009574E" w:rsidRPr="00723F0C">
        <w:rPr>
          <w:rFonts w:ascii="Times New Roman" w:hAnsi="Times New Roman"/>
          <w:sz w:val="24"/>
          <w:szCs w:val="24"/>
        </w:rPr>
        <w:t xml:space="preserve"> </w:t>
      </w:r>
      <w:r w:rsidR="00723F0C" w:rsidRPr="00723F0C">
        <w:rPr>
          <w:rFonts w:ascii="Times New Roman" w:hAnsi="Times New Roman"/>
          <w:sz w:val="24"/>
          <w:szCs w:val="24"/>
        </w:rPr>
        <w:t>î</w:t>
      </w:r>
      <w:r w:rsidR="0009574E" w:rsidRPr="00723F0C">
        <w:rPr>
          <w:rFonts w:ascii="Times New Roman" w:hAnsi="Times New Roman"/>
          <w:sz w:val="24"/>
          <w:szCs w:val="24"/>
        </w:rPr>
        <w:t>ntr-un sistem electroenergetic izolat</w:t>
      </w:r>
      <w:r>
        <w:rPr>
          <w:rFonts w:ascii="Times New Roman" w:hAnsi="Times New Roman"/>
          <w:sz w:val="24"/>
          <w:szCs w:val="24"/>
          <w:lang w:val="ro-RO"/>
        </w:rPr>
        <w:t>;</w:t>
      </w:r>
    </w:p>
    <w:p w14:paraId="13A80F97" w14:textId="77777777" w:rsidR="005A64CF" w:rsidRDefault="00037BE2">
      <w:pPr>
        <w:pStyle w:val="BodyTextIndent3"/>
        <w:numPr>
          <w:ilvl w:val="0"/>
          <w:numId w:val="5"/>
        </w:numPr>
        <w:tabs>
          <w:tab w:val="clear" w:pos="1080"/>
          <w:tab w:val="left" w:pos="709"/>
        </w:tabs>
        <w:spacing w:after="0" w:line="360" w:lineRule="auto"/>
        <w:ind w:left="709" w:hanging="425"/>
        <w:jc w:val="both"/>
        <w:rPr>
          <w:rFonts w:ascii="Times New Roman" w:hAnsi="Times New Roman"/>
          <w:sz w:val="24"/>
          <w:szCs w:val="24"/>
          <w:lang w:val="ro-RO"/>
        </w:rPr>
      </w:pPr>
      <w:r>
        <w:rPr>
          <w:rFonts w:ascii="Times New Roman" w:hAnsi="Times New Roman"/>
          <w:sz w:val="24"/>
          <w:szCs w:val="24"/>
          <w:lang w:val="ro-RO"/>
        </w:rPr>
        <w:t>promovarea unor practici eficiente de operare;</w:t>
      </w:r>
    </w:p>
    <w:p w14:paraId="316ABD5E" w14:textId="77777777" w:rsidR="005A64CF" w:rsidRPr="00723F0C" w:rsidRDefault="00037BE2">
      <w:pPr>
        <w:pStyle w:val="BodyTextIndent3"/>
        <w:numPr>
          <w:ilvl w:val="0"/>
          <w:numId w:val="5"/>
        </w:numPr>
        <w:tabs>
          <w:tab w:val="clear" w:pos="1080"/>
          <w:tab w:val="left" w:pos="709"/>
        </w:tabs>
        <w:spacing w:after="0" w:line="360" w:lineRule="auto"/>
        <w:ind w:left="709" w:hanging="425"/>
        <w:jc w:val="both"/>
        <w:rPr>
          <w:rFonts w:ascii="Times New Roman" w:hAnsi="Times New Roman"/>
          <w:sz w:val="24"/>
          <w:szCs w:val="24"/>
          <w:lang w:val="ro-RO"/>
        </w:rPr>
      </w:pPr>
      <w:r w:rsidRPr="00723F0C">
        <w:rPr>
          <w:rFonts w:ascii="Times New Roman" w:hAnsi="Times New Roman"/>
          <w:sz w:val="24"/>
          <w:szCs w:val="24"/>
          <w:lang w:val="ro-RO"/>
        </w:rPr>
        <w:t>folosirea eficientă a resurselor</w:t>
      </w:r>
      <w:r w:rsidRPr="00723F0C">
        <w:rPr>
          <w:rFonts w:ascii="Times New Roman" w:hAnsi="Times New Roman"/>
          <w:sz w:val="24"/>
          <w:szCs w:val="24"/>
        </w:rPr>
        <w:t xml:space="preserve"> energetice</w:t>
      </w:r>
      <w:r w:rsidRPr="00723F0C">
        <w:rPr>
          <w:rFonts w:ascii="Times New Roman" w:hAnsi="Times New Roman"/>
          <w:sz w:val="24"/>
          <w:szCs w:val="24"/>
          <w:lang w:val="ro-RO"/>
        </w:rPr>
        <w:t xml:space="preserve"> la nivel local;</w:t>
      </w:r>
    </w:p>
    <w:p w14:paraId="66EF8AC0" w14:textId="77777777" w:rsidR="005A64CF" w:rsidRDefault="00037BE2">
      <w:pPr>
        <w:pStyle w:val="BodyTextIndent3"/>
        <w:numPr>
          <w:ilvl w:val="0"/>
          <w:numId w:val="5"/>
        </w:numPr>
        <w:tabs>
          <w:tab w:val="clear" w:pos="1080"/>
          <w:tab w:val="left" w:pos="709"/>
        </w:tabs>
        <w:spacing w:after="0" w:line="360" w:lineRule="auto"/>
        <w:ind w:left="709" w:hanging="425"/>
        <w:jc w:val="both"/>
        <w:rPr>
          <w:rFonts w:ascii="Times New Roman" w:hAnsi="Times New Roman"/>
          <w:sz w:val="24"/>
          <w:szCs w:val="24"/>
          <w:lang w:val="ro-RO"/>
        </w:rPr>
      </w:pPr>
      <w:r>
        <w:rPr>
          <w:rFonts w:ascii="Times New Roman" w:hAnsi="Times New Roman"/>
          <w:sz w:val="24"/>
          <w:szCs w:val="24"/>
          <w:lang w:val="ro-RO"/>
        </w:rPr>
        <w:t>îmbunătăţirea continuă a calităţii serviciilor prestate;</w:t>
      </w:r>
    </w:p>
    <w:p w14:paraId="0EAACC28" w14:textId="77777777" w:rsidR="005A64CF" w:rsidRDefault="00037BE2">
      <w:pPr>
        <w:pStyle w:val="BodyTextIndent3"/>
        <w:numPr>
          <w:ilvl w:val="0"/>
          <w:numId w:val="5"/>
        </w:numPr>
        <w:tabs>
          <w:tab w:val="clear" w:pos="1080"/>
          <w:tab w:val="left" w:pos="709"/>
        </w:tabs>
        <w:spacing w:after="0" w:line="360" w:lineRule="auto"/>
        <w:ind w:left="709" w:hanging="425"/>
        <w:jc w:val="both"/>
        <w:rPr>
          <w:rFonts w:ascii="Times New Roman" w:hAnsi="Times New Roman"/>
          <w:sz w:val="24"/>
          <w:szCs w:val="24"/>
          <w:lang w:val="ro-RO"/>
        </w:rPr>
      </w:pPr>
      <w:r>
        <w:rPr>
          <w:rFonts w:ascii="Times New Roman" w:hAnsi="Times New Roman"/>
          <w:sz w:val="24"/>
          <w:szCs w:val="24"/>
          <w:lang w:val="ro-RO"/>
        </w:rPr>
        <w:t>asigurarea viabilității financiare şi a dezvoltării operatorului economic;</w:t>
      </w:r>
    </w:p>
    <w:p w14:paraId="4966DD4B" w14:textId="77777777" w:rsidR="005A64CF" w:rsidRDefault="00037BE2">
      <w:pPr>
        <w:pStyle w:val="BodyTextIndent3"/>
        <w:numPr>
          <w:ilvl w:val="0"/>
          <w:numId w:val="5"/>
        </w:numPr>
        <w:tabs>
          <w:tab w:val="clear" w:pos="1080"/>
          <w:tab w:val="left" w:pos="709"/>
        </w:tabs>
        <w:spacing w:after="0" w:line="360" w:lineRule="auto"/>
        <w:ind w:left="709" w:hanging="425"/>
        <w:jc w:val="both"/>
        <w:rPr>
          <w:rFonts w:ascii="Times New Roman" w:hAnsi="Times New Roman"/>
          <w:sz w:val="24"/>
          <w:szCs w:val="24"/>
          <w:lang w:val="ro-RO"/>
        </w:rPr>
      </w:pPr>
      <w:r>
        <w:rPr>
          <w:rFonts w:ascii="Times New Roman" w:hAnsi="Times New Roman"/>
          <w:sz w:val="24"/>
          <w:szCs w:val="24"/>
          <w:lang w:val="ro-RO"/>
        </w:rPr>
        <w:t>stabilirea prețului de vânzare pentru serviciile prestate, în condiții de transparență și nediscriminare.</w:t>
      </w:r>
    </w:p>
    <w:p w14:paraId="0A445A05" w14:textId="77777777" w:rsidR="005A64CF" w:rsidRDefault="005A64CF">
      <w:pPr>
        <w:pStyle w:val="BodyTextIndent3"/>
        <w:spacing w:after="0" w:line="360" w:lineRule="auto"/>
        <w:ind w:left="1080"/>
        <w:jc w:val="both"/>
        <w:rPr>
          <w:rFonts w:ascii="Times New Roman" w:hAnsi="Times New Roman"/>
          <w:sz w:val="24"/>
          <w:szCs w:val="24"/>
          <w:lang w:val="ro-RO"/>
        </w:rPr>
      </w:pPr>
    </w:p>
    <w:p w14:paraId="7B3E2823" w14:textId="77777777" w:rsidR="005A64CF" w:rsidRDefault="00037BE2">
      <w:pPr>
        <w:spacing w:line="360" w:lineRule="auto"/>
        <w:jc w:val="both"/>
        <w:outlineLvl w:val="0"/>
        <w:rPr>
          <w:b/>
        </w:rPr>
      </w:pPr>
      <w:r>
        <w:rPr>
          <w:b/>
        </w:rPr>
        <w:t>CAPITOLUL II. DOMENIU DE APLICARE</w:t>
      </w:r>
    </w:p>
    <w:p w14:paraId="1A96BB02" w14:textId="77777777" w:rsidR="005A64CF" w:rsidRDefault="005A64CF">
      <w:pPr>
        <w:spacing w:line="360" w:lineRule="auto"/>
        <w:jc w:val="both"/>
        <w:outlineLvl w:val="0"/>
        <w:rPr>
          <w:b/>
        </w:rPr>
      </w:pPr>
    </w:p>
    <w:p w14:paraId="2390EB9C" w14:textId="399E848B" w:rsidR="005A64CF" w:rsidRDefault="00037BE2">
      <w:pPr>
        <w:pStyle w:val="BodyTextIndent3"/>
        <w:numPr>
          <w:ilvl w:val="0"/>
          <w:numId w:val="4"/>
        </w:numPr>
        <w:tabs>
          <w:tab w:val="left" w:pos="142"/>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Prezenta metodologie este utilizată de:</w:t>
      </w:r>
    </w:p>
    <w:p w14:paraId="09AB75C6" w14:textId="5B93FF4E" w:rsidR="005A64CF" w:rsidRDefault="00037BE2">
      <w:pPr>
        <w:pStyle w:val="BodyTextIndent3"/>
        <w:numPr>
          <w:ilvl w:val="0"/>
          <w:numId w:val="6"/>
        </w:numPr>
        <w:spacing w:after="0" w:line="360" w:lineRule="auto"/>
        <w:jc w:val="both"/>
        <w:rPr>
          <w:rFonts w:ascii="Times New Roman" w:hAnsi="Times New Roman"/>
          <w:sz w:val="24"/>
          <w:szCs w:val="24"/>
          <w:lang w:val="ro-RO"/>
        </w:rPr>
      </w:pPr>
      <w:r>
        <w:rPr>
          <w:rFonts w:ascii="Times New Roman" w:hAnsi="Times New Roman"/>
          <w:sz w:val="24"/>
          <w:szCs w:val="24"/>
          <w:lang w:val="ro-RO"/>
        </w:rPr>
        <w:t xml:space="preserve">operatorul economic care presteaza serviciul de </w:t>
      </w:r>
      <w:r>
        <w:rPr>
          <w:rFonts w:ascii="Times New Roman" w:hAnsi="Times New Roman"/>
          <w:sz w:val="24"/>
          <w:szCs w:val="24"/>
        </w:rPr>
        <w:t>alimentare cu energie electrică</w:t>
      </w:r>
      <w:r>
        <w:rPr>
          <w:rFonts w:ascii="Times New Roman" w:hAnsi="Times New Roman"/>
          <w:sz w:val="24"/>
          <w:szCs w:val="24"/>
          <w:lang w:val="ro-RO"/>
        </w:rPr>
        <w:t xml:space="preserve"> a clienților racordați într-un sistem electroenergetic izolat, pentru fundamentarea propunerii privind prețul de vânzare a energiei electrice; </w:t>
      </w:r>
    </w:p>
    <w:p w14:paraId="11D1E5F4" w14:textId="77777777" w:rsidR="005A64CF" w:rsidRDefault="00037BE2">
      <w:pPr>
        <w:pStyle w:val="BodyTextIndent3"/>
        <w:numPr>
          <w:ilvl w:val="0"/>
          <w:numId w:val="6"/>
        </w:numPr>
        <w:spacing w:after="0" w:line="360" w:lineRule="auto"/>
        <w:jc w:val="both"/>
        <w:rPr>
          <w:rFonts w:ascii="Times New Roman" w:hAnsi="Times New Roman"/>
          <w:sz w:val="24"/>
          <w:szCs w:val="24"/>
          <w:lang w:val="ro-RO"/>
        </w:rPr>
      </w:pPr>
      <w:r>
        <w:rPr>
          <w:rFonts w:ascii="Times New Roman" w:hAnsi="Times New Roman"/>
          <w:sz w:val="24"/>
          <w:szCs w:val="24"/>
          <w:lang w:val="ro-RO"/>
        </w:rPr>
        <w:t>Autoritatea Naţională de Reglementare în Domeniul Energiei pentru stabilirea prețului de vânzare a energiei electrice;</w:t>
      </w:r>
    </w:p>
    <w:p w14:paraId="3C6F7DE2" w14:textId="77777777" w:rsidR="005A64CF" w:rsidRDefault="005A64CF">
      <w:pPr>
        <w:pStyle w:val="BodyTextIndent3"/>
        <w:spacing w:after="0" w:line="360" w:lineRule="auto"/>
        <w:ind w:left="720"/>
        <w:jc w:val="both"/>
        <w:rPr>
          <w:rFonts w:ascii="Times New Roman" w:hAnsi="Times New Roman"/>
          <w:b/>
          <w:sz w:val="24"/>
          <w:szCs w:val="24"/>
          <w:lang w:val="ro-RO"/>
        </w:rPr>
      </w:pPr>
    </w:p>
    <w:p w14:paraId="1C3D2271" w14:textId="77777777" w:rsidR="005A64CF" w:rsidRDefault="00037BE2">
      <w:pPr>
        <w:spacing w:line="360" w:lineRule="auto"/>
        <w:jc w:val="both"/>
        <w:outlineLvl w:val="0"/>
        <w:rPr>
          <w:b/>
        </w:rPr>
      </w:pPr>
      <w:r>
        <w:rPr>
          <w:b/>
        </w:rPr>
        <w:t xml:space="preserve">CAPITOLUL III. DEFINIŢII ŞI ABREVIERI </w:t>
      </w:r>
    </w:p>
    <w:p w14:paraId="705F0CA2" w14:textId="77777777" w:rsidR="005A64CF" w:rsidRDefault="005A64CF">
      <w:pPr>
        <w:spacing w:line="360" w:lineRule="auto"/>
        <w:jc w:val="both"/>
        <w:outlineLvl w:val="0"/>
        <w:rPr>
          <w:b/>
        </w:rPr>
      </w:pPr>
    </w:p>
    <w:p w14:paraId="09749CEA" w14:textId="77777777" w:rsidR="005A64CF" w:rsidRDefault="00037BE2">
      <w:pPr>
        <w:pStyle w:val="BodyTextIndent3"/>
        <w:numPr>
          <w:ilvl w:val="0"/>
          <w:numId w:val="4"/>
        </w:numPr>
        <w:tabs>
          <w:tab w:val="left" w:pos="142"/>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(1) În înțelesul prezentei metodologii, termenii  utilizați au următoarele semnificaţii:</w:t>
      </w:r>
    </w:p>
    <w:p w14:paraId="59B46C70" w14:textId="77777777" w:rsidR="005A64CF" w:rsidRDefault="005A64CF">
      <w:pPr>
        <w:spacing w:line="360" w:lineRule="auto"/>
        <w:jc w:val="both"/>
      </w:pPr>
    </w:p>
    <w:tbl>
      <w:tblPr>
        <w:tblW w:w="9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049"/>
        <w:gridCol w:w="6919"/>
      </w:tblGrid>
      <w:tr w:rsidR="005A64CF" w14:paraId="62AF6325" w14:textId="77777777">
        <w:tc>
          <w:tcPr>
            <w:tcW w:w="3049" w:type="dxa"/>
            <w:shd w:val="clear" w:color="auto" w:fill="auto"/>
            <w:tcMar>
              <w:left w:w="57" w:type="dxa"/>
              <w:right w:w="57" w:type="dxa"/>
            </w:tcMar>
          </w:tcPr>
          <w:p w14:paraId="79B0DDB3" w14:textId="77777777" w:rsidR="005A64CF" w:rsidRDefault="00037BE2">
            <w:pPr>
              <w:pStyle w:val="norm1"/>
              <w:spacing w:before="0" w:line="360" w:lineRule="auto"/>
              <w:jc w:val="both"/>
              <w:rPr>
                <w:rFonts w:ascii="Times New Roman" w:hAnsi="Times New Roman"/>
                <w:snapToGrid w:val="0"/>
                <w:szCs w:val="24"/>
                <w:lang w:eastAsia="en-US"/>
              </w:rPr>
            </w:pPr>
            <w:r>
              <w:rPr>
                <w:rFonts w:ascii="Times New Roman" w:hAnsi="Times New Roman"/>
                <w:szCs w:val="24"/>
              </w:rPr>
              <w:t xml:space="preserve">Perioadă tarifară </w:t>
            </w:r>
          </w:p>
        </w:tc>
        <w:tc>
          <w:tcPr>
            <w:tcW w:w="6919" w:type="dxa"/>
            <w:shd w:val="clear" w:color="auto" w:fill="auto"/>
            <w:tcMar>
              <w:left w:w="57" w:type="dxa"/>
              <w:right w:w="57" w:type="dxa"/>
            </w:tcMar>
          </w:tcPr>
          <w:p w14:paraId="11361424" w14:textId="77777777" w:rsidR="005A64CF" w:rsidRDefault="00037BE2">
            <w:pPr>
              <w:pStyle w:val="norm1"/>
              <w:spacing w:before="0" w:line="360" w:lineRule="auto"/>
              <w:jc w:val="both"/>
              <w:rPr>
                <w:rFonts w:ascii="Times New Roman" w:hAnsi="Times New Roman"/>
                <w:snapToGrid w:val="0"/>
                <w:szCs w:val="24"/>
                <w:lang w:eastAsia="en-US"/>
              </w:rPr>
            </w:pPr>
            <w:r>
              <w:rPr>
                <w:rFonts w:ascii="Times New Roman" w:hAnsi="Times New Roman"/>
              </w:rPr>
              <w:t xml:space="preserve">Perioadă de aplicare a prețului de vânzare, respectiv 12 luni  de la data intrării în vigoare  </w:t>
            </w:r>
          </w:p>
        </w:tc>
      </w:tr>
      <w:tr w:rsidR="005A64CF" w14:paraId="572E8C4A" w14:textId="77777777">
        <w:tc>
          <w:tcPr>
            <w:tcW w:w="3049" w:type="dxa"/>
            <w:shd w:val="clear" w:color="auto" w:fill="auto"/>
            <w:tcMar>
              <w:left w:w="57" w:type="dxa"/>
              <w:right w:w="57" w:type="dxa"/>
            </w:tcMar>
          </w:tcPr>
          <w:p w14:paraId="7D7B79E0" w14:textId="77777777" w:rsidR="005A64CF" w:rsidRDefault="00037BE2">
            <w:pPr>
              <w:pStyle w:val="norm1"/>
              <w:spacing w:before="0" w:line="360" w:lineRule="auto"/>
              <w:rPr>
                <w:rFonts w:ascii="Times New Roman" w:hAnsi="Times New Roman"/>
              </w:rPr>
            </w:pPr>
            <w:r>
              <w:rPr>
                <w:rFonts w:ascii="Times New Roman" w:hAnsi="Times New Roman"/>
              </w:rPr>
              <w:t>Sistem electroenergetic național</w:t>
            </w:r>
          </w:p>
        </w:tc>
        <w:tc>
          <w:tcPr>
            <w:tcW w:w="6919" w:type="dxa"/>
            <w:shd w:val="clear" w:color="auto" w:fill="auto"/>
            <w:tcMar>
              <w:left w:w="57" w:type="dxa"/>
              <w:right w:w="57" w:type="dxa"/>
            </w:tcMar>
          </w:tcPr>
          <w:p w14:paraId="04FF74C0" w14:textId="77777777" w:rsidR="005A64CF" w:rsidRDefault="00037BE2">
            <w:pPr>
              <w:pStyle w:val="norm1"/>
              <w:spacing w:before="0" w:line="360" w:lineRule="auto"/>
              <w:jc w:val="both"/>
              <w:rPr>
                <w:rFonts w:ascii="Times New Roman" w:hAnsi="Times New Roman"/>
              </w:rPr>
            </w:pPr>
            <w:r>
              <w:rPr>
                <w:rFonts w:ascii="Times New Roman" w:hAnsi="Times New Roman"/>
              </w:rPr>
              <w:t>Sistemul electroenergetic situat pe teritoriul naţional; SEN constituie infrastructura de bază utilizată în comun de participanţii la piaţa de energie electrică</w:t>
            </w:r>
          </w:p>
        </w:tc>
      </w:tr>
      <w:tr w:rsidR="005A64CF" w14:paraId="5A5ACFE8" w14:textId="77777777">
        <w:tc>
          <w:tcPr>
            <w:tcW w:w="3049" w:type="dxa"/>
            <w:shd w:val="clear" w:color="auto" w:fill="auto"/>
            <w:tcMar>
              <w:left w:w="57" w:type="dxa"/>
              <w:right w:w="57" w:type="dxa"/>
            </w:tcMar>
          </w:tcPr>
          <w:p w14:paraId="2FC8E8F9" w14:textId="77777777" w:rsidR="005A64CF" w:rsidRDefault="00037BE2">
            <w:pPr>
              <w:pStyle w:val="norm1"/>
              <w:spacing w:before="0" w:line="360" w:lineRule="auto"/>
              <w:rPr>
                <w:rFonts w:ascii="Times New Roman" w:hAnsi="Times New Roman"/>
              </w:rPr>
            </w:pPr>
            <w:r>
              <w:rPr>
                <w:rFonts w:ascii="Times New Roman" w:hAnsi="Times New Roman"/>
              </w:rPr>
              <w:t>Sistem electroenergetic izolat</w:t>
            </w:r>
          </w:p>
        </w:tc>
        <w:tc>
          <w:tcPr>
            <w:tcW w:w="6919" w:type="dxa"/>
            <w:shd w:val="clear" w:color="auto" w:fill="auto"/>
            <w:tcMar>
              <w:left w:w="57" w:type="dxa"/>
              <w:right w:w="57" w:type="dxa"/>
            </w:tcMar>
          </w:tcPr>
          <w:p w14:paraId="499E561F" w14:textId="77777777" w:rsidR="005A64CF" w:rsidRDefault="00037BE2">
            <w:pPr>
              <w:pStyle w:val="norm1"/>
              <w:spacing w:before="0" w:line="360" w:lineRule="auto"/>
              <w:jc w:val="both"/>
              <w:rPr>
                <w:rFonts w:ascii="Times New Roman" w:hAnsi="Times New Roman"/>
              </w:rPr>
            </w:pPr>
            <w:r>
              <w:rPr>
                <w:rFonts w:ascii="Times New Roman" w:hAnsi="Times New Roman"/>
              </w:rPr>
              <w:t>Sistemul local de producere, distribuţie, furnizare şi utilizare a energiei electrice în condiţiile prevăzute de lege, care nu este interconectat cu SEN</w:t>
            </w:r>
          </w:p>
        </w:tc>
      </w:tr>
      <w:tr w:rsidR="005A64CF" w14:paraId="4DEFE000" w14:textId="77777777">
        <w:tc>
          <w:tcPr>
            <w:tcW w:w="3049" w:type="dxa"/>
            <w:shd w:val="clear" w:color="auto" w:fill="auto"/>
            <w:tcMar>
              <w:left w:w="57" w:type="dxa"/>
              <w:right w:w="57" w:type="dxa"/>
            </w:tcMar>
          </w:tcPr>
          <w:p w14:paraId="68E6DFA7" w14:textId="77777777" w:rsidR="005A64CF" w:rsidRDefault="00037BE2">
            <w:pPr>
              <w:pStyle w:val="norm1"/>
              <w:spacing w:before="0" w:line="360" w:lineRule="auto"/>
              <w:rPr>
                <w:rFonts w:ascii="Times New Roman" w:hAnsi="Times New Roman"/>
              </w:rPr>
            </w:pPr>
            <w:r>
              <w:rPr>
                <w:rFonts w:ascii="Times New Roman" w:hAnsi="Times New Roman"/>
              </w:rPr>
              <w:t>Operator economic</w:t>
            </w:r>
          </w:p>
        </w:tc>
        <w:tc>
          <w:tcPr>
            <w:tcW w:w="6919" w:type="dxa"/>
            <w:shd w:val="clear" w:color="auto" w:fill="auto"/>
            <w:tcMar>
              <w:left w:w="57" w:type="dxa"/>
              <w:right w:w="57" w:type="dxa"/>
            </w:tcMar>
          </w:tcPr>
          <w:p w14:paraId="7C1F0AD7" w14:textId="77777777" w:rsidR="005A64CF" w:rsidRDefault="00037BE2">
            <w:pPr>
              <w:pStyle w:val="norm1"/>
              <w:spacing w:before="0" w:line="360" w:lineRule="auto"/>
              <w:jc w:val="both"/>
              <w:rPr>
                <w:rFonts w:ascii="Times New Roman" w:hAnsi="Times New Roman"/>
              </w:rPr>
            </w:pPr>
            <w:r>
              <w:rPr>
                <w:rFonts w:ascii="Times New Roman" w:hAnsi="Times New Roman"/>
              </w:rPr>
              <w:t xml:space="preserve">Persoana fizică sau juridică, autorizată conform dispozițiilor legale în vigoare, care deține/administrează un sistem electroenergetic izolat </w:t>
            </w:r>
          </w:p>
        </w:tc>
      </w:tr>
    </w:tbl>
    <w:p w14:paraId="0671509F" w14:textId="77777777" w:rsidR="005A64CF" w:rsidRDefault="005A64CF">
      <w:pPr>
        <w:pStyle w:val="norm1"/>
        <w:tabs>
          <w:tab w:val="left" w:pos="5760"/>
        </w:tabs>
        <w:spacing w:before="0" w:line="360" w:lineRule="auto"/>
        <w:jc w:val="both"/>
        <w:rPr>
          <w:rFonts w:ascii="Times New Roman" w:hAnsi="Times New Roman"/>
          <w:b/>
          <w:szCs w:val="24"/>
        </w:rPr>
      </w:pPr>
      <w:bookmarkStart w:id="1" w:name="_Toc87867855"/>
    </w:p>
    <w:p w14:paraId="442E9776" w14:textId="77777777" w:rsidR="005A64CF" w:rsidRDefault="00037BE2">
      <w:pPr>
        <w:pStyle w:val="norm1"/>
        <w:tabs>
          <w:tab w:val="left" w:pos="5760"/>
        </w:tabs>
        <w:spacing w:before="0" w:line="360" w:lineRule="auto"/>
        <w:jc w:val="both"/>
        <w:rPr>
          <w:rFonts w:ascii="Times New Roman" w:hAnsi="Times New Roman"/>
          <w:szCs w:val="24"/>
        </w:rPr>
      </w:pPr>
      <w:r>
        <w:rPr>
          <w:rFonts w:ascii="Times New Roman" w:hAnsi="Times New Roman"/>
          <w:b/>
          <w:szCs w:val="24"/>
        </w:rPr>
        <w:t xml:space="preserve">(2)  </w:t>
      </w:r>
      <w:r>
        <w:rPr>
          <w:rFonts w:ascii="Times New Roman" w:hAnsi="Times New Roman"/>
          <w:szCs w:val="24"/>
        </w:rPr>
        <w:t>În prezenta metodologie se folosesc următoarele abrevieri:</w:t>
      </w:r>
    </w:p>
    <w:p w14:paraId="4A757072" w14:textId="77777777" w:rsidR="005A64CF" w:rsidRDefault="00037BE2">
      <w:pPr>
        <w:pStyle w:val="norm1"/>
        <w:numPr>
          <w:ilvl w:val="0"/>
          <w:numId w:val="7"/>
        </w:numPr>
        <w:tabs>
          <w:tab w:val="left" w:pos="5760"/>
        </w:tabs>
        <w:spacing w:before="0" w:line="360" w:lineRule="auto"/>
        <w:jc w:val="both"/>
        <w:rPr>
          <w:rFonts w:ascii="Times New Roman" w:hAnsi="Times New Roman"/>
          <w:snapToGrid w:val="0"/>
          <w:szCs w:val="24"/>
          <w:lang w:eastAsia="en-US"/>
        </w:rPr>
      </w:pPr>
      <w:r>
        <w:rPr>
          <w:rFonts w:ascii="Times New Roman" w:hAnsi="Times New Roman"/>
          <w:snapToGrid w:val="0"/>
          <w:szCs w:val="24"/>
          <w:lang w:eastAsia="en-US"/>
        </w:rPr>
        <w:t>ANRE - Autoritatea Naţională de Reglementare în Domeniul Energiei</w:t>
      </w:r>
    </w:p>
    <w:p w14:paraId="16679271" w14:textId="77777777" w:rsidR="005A64CF" w:rsidRDefault="00037BE2">
      <w:pPr>
        <w:pStyle w:val="norm1"/>
        <w:numPr>
          <w:ilvl w:val="0"/>
          <w:numId w:val="7"/>
        </w:numPr>
        <w:tabs>
          <w:tab w:val="left" w:pos="5760"/>
        </w:tabs>
        <w:spacing w:before="0" w:line="360" w:lineRule="auto"/>
        <w:jc w:val="both"/>
        <w:rPr>
          <w:rFonts w:ascii="Times New Roman" w:hAnsi="Times New Roman"/>
          <w:snapToGrid w:val="0"/>
          <w:szCs w:val="24"/>
          <w:lang w:eastAsia="en-US"/>
        </w:rPr>
      </w:pPr>
      <w:r>
        <w:rPr>
          <w:rFonts w:ascii="Times New Roman" w:hAnsi="Times New Roman"/>
          <w:snapToGrid w:val="0"/>
          <w:szCs w:val="24"/>
          <w:lang w:eastAsia="en-US"/>
        </w:rPr>
        <w:t>SEN – Sistem Electroenergetic Național</w:t>
      </w:r>
    </w:p>
    <w:p w14:paraId="1E69C867" w14:textId="77777777" w:rsidR="005A64CF" w:rsidRDefault="005A64CF">
      <w:pPr>
        <w:pStyle w:val="norm1"/>
        <w:tabs>
          <w:tab w:val="left" w:pos="5760"/>
        </w:tabs>
        <w:spacing w:before="0" w:line="360" w:lineRule="auto"/>
        <w:ind w:firstLine="567"/>
        <w:jc w:val="both"/>
      </w:pPr>
    </w:p>
    <w:p w14:paraId="5B39D89B" w14:textId="77777777" w:rsidR="005A64CF" w:rsidRDefault="00037BE2">
      <w:pPr>
        <w:pStyle w:val="norm1"/>
        <w:tabs>
          <w:tab w:val="left" w:pos="5760"/>
        </w:tabs>
        <w:spacing w:before="0" w:line="360" w:lineRule="auto"/>
        <w:jc w:val="both"/>
        <w:rPr>
          <w:rFonts w:ascii="Times New Roman" w:hAnsi="Times New Roman"/>
          <w:b/>
          <w:szCs w:val="24"/>
        </w:rPr>
      </w:pPr>
      <w:r>
        <w:rPr>
          <w:rFonts w:ascii="Times New Roman" w:hAnsi="Times New Roman"/>
          <w:b/>
          <w:szCs w:val="24"/>
        </w:rPr>
        <w:t xml:space="preserve">CAPITOLUL IV. </w:t>
      </w:r>
      <w:bookmarkEnd w:id="1"/>
      <w:r>
        <w:rPr>
          <w:rFonts w:ascii="Times New Roman" w:hAnsi="Times New Roman"/>
          <w:b/>
          <w:szCs w:val="24"/>
        </w:rPr>
        <w:t>REGULI GENERALE</w:t>
      </w:r>
    </w:p>
    <w:p w14:paraId="55378D32" w14:textId="77777777" w:rsidR="005A64CF" w:rsidRDefault="005A64CF">
      <w:pPr>
        <w:pStyle w:val="norm1"/>
        <w:tabs>
          <w:tab w:val="left" w:pos="5760"/>
        </w:tabs>
        <w:spacing w:before="0" w:line="360" w:lineRule="auto"/>
        <w:jc w:val="both"/>
        <w:rPr>
          <w:rFonts w:ascii="Times New Roman" w:hAnsi="Times New Roman"/>
          <w:b/>
          <w:szCs w:val="24"/>
        </w:rPr>
      </w:pPr>
    </w:p>
    <w:p w14:paraId="4F309DAA" w14:textId="6B83BBC8" w:rsidR="005A64CF" w:rsidRDefault="00037BE2">
      <w:pPr>
        <w:pStyle w:val="BodyTextIndent3"/>
        <w:numPr>
          <w:ilvl w:val="0"/>
          <w:numId w:val="4"/>
        </w:numPr>
        <w:tabs>
          <w:tab w:val="left" w:pos="142"/>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(1) Vânzarea energiei electrice la clienții racordați într-un sistem electroenergetic izolat se face la preț stabilit de către ANRE.</w:t>
      </w:r>
    </w:p>
    <w:p w14:paraId="171D6F2F" w14:textId="77777777" w:rsidR="005A64CF" w:rsidRDefault="00037BE2">
      <w:pPr>
        <w:pStyle w:val="BodyTextIndent3"/>
        <w:tabs>
          <w:tab w:val="left" w:pos="142"/>
        </w:tabs>
        <w:spacing w:after="0" w:line="360" w:lineRule="auto"/>
        <w:ind w:left="0"/>
        <w:jc w:val="both"/>
        <w:rPr>
          <w:rFonts w:ascii="Times New Roman" w:hAnsi="Times New Roman"/>
          <w:sz w:val="24"/>
          <w:szCs w:val="24"/>
          <w:lang w:val="ro-RO"/>
        </w:rPr>
      </w:pPr>
      <w:r>
        <w:rPr>
          <w:rFonts w:ascii="Times New Roman" w:hAnsi="Times New Roman"/>
          <w:sz w:val="24"/>
          <w:szCs w:val="24"/>
          <w:lang w:val="ro-RO"/>
        </w:rPr>
        <w:t>(2) Prețul de vânzare se stabilește de către ANRE, pentru fiecare perioadă tarifară, în baza solicitării operatorului economic.</w:t>
      </w:r>
    </w:p>
    <w:p w14:paraId="5F3F0B2E" w14:textId="423B7E80" w:rsidR="005A64CF" w:rsidRDefault="00037BE2">
      <w:pPr>
        <w:pStyle w:val="BodyTextIndent3"/>
        <w:tabs>
          <w:tab w:val="left" w:pos="142"/>
        </w:tabs>
        <w:spacing w:after="0" w:line="360" w:lineRule="auto"/>
        <w:ind w:left="0"/>
        <w:jc w:val="both"/>
        <w:rPr>
          <w:rFonts w:ascii="Times New Roman" w:hAnsi="Times New Roman"/>
          <w:sz w:val="24"/>
          <w:szCs w:val="24"/>
          <w:lang w:val="ro-RO"/>
        </w:rPr>
      </w:pPr>
      <w:r>
        <w:rPr>
          <w:rFonts w:ascii="Times New Roman" w:hAnsi="Times New Roman"/>
          <w:sz w:val="24"/>
          <w:szCs w:val="24"/>
          <w:lang w:val="ro-RO"/>
        </w:rPr>
        <w:t>(3) Solicitarea operatorului economic prevăzută la alin. (2) trebuie să fie însoțită de autorizația de construcție emisă de către autoritatea publică locală competentă.</w:t>
      </w:r>
    </w:p>
    <w:p w14:paraId="109CCAE4" w14:textId="77777777" w:rsidR="005A64CF" w:rsidRDefault="00037BE2">
      <w:pPr>
        <w:pStyle w:val="BodyTextIndent3"/>
        <w:numPr>
          <w:ilvl w:val="0"/>
          <w:numId w:val="4"/>
        </w:numPr>
        <w:tabs>
          <w:tab w:val="left" w:pos="142"/>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(1) Prețul de vânzare poate fi ajustat de cel mult 2 ori în interiorul perioadei tarifare, la solicitarea operatorului economic, în cazul în care acesta justifică faptul că prin prețul de vânzare aprobat de către ANRE nu se asigură cel puțin profitul minim reglementat, dar nu mai devreme de 3 luni de la data aprobării.</w:t>
      </w:r>
    </w:p>
    <w:p w14:paraId="6A2044DF" w14:textId="77777777" w:rsidR="005A64CF" w:rsidRDefault="00037BE2">
      <w:pPr>
        <w:pStyle w:val="BodyTextIndent3"/>
        <w:tabs>
          <w:tab w:val="left" w:pos="142"/>
        </w:tabs>
        <w:spacing w:after="0" w:line="360" w:lineRule="auto"/>
        <w:ind w:left="0"/>
        <w:jc w:val="both"/>
        <w:rPr>
          <w:rFonts w:ascii="Times New Roman" w:hAnsi="Times New Roman"/>
          <w:sz w:val="24"/>
          <w:szCs w:val="24"/>
          <w:lang w:val="ro-RO"/>
        </w:rPr>
      </w:pPr>
      <w:r>
        <w:rPr>
          <w:rFonts w:ascii="Times New Roman" w:hAnsi="Times New Roman"/>
          <w:sz w:val="24"/>
          <w:szCs w:val="24"/>
          <w:lang w:val="ro-RO"/>
        </w:rPr>
        <w:t xml:space="preserve">(2) Procedura de ajustare a prețului de vânzare este similară procedurii de aprobare a prețului de vânzare, conform prevederilor Capitolului VI. </w:t>
      </w:r>
    </w:p>
    <w:p w14:paraId="72FF1A1E" w14:textId="77777777" w:rsidR="005A64CF" w:rsidRDefault="00037BE2">
      <w:pPr>
        <w:pStyle w:val="BodyTextIndent3"/>
        <w:numPr>
          <w:ilvl w:val="0"/>
          <w:numId w:val="4"/>
        </w:numPr>
        <w:tabs>
          <w:tab w:val="left" w:pos="142"/>
        </w:tabs>
        <w:spacing w:after="0" w:line="360" w:lineRule="auto"/>
        <w:ind w:left="0" w:firstLine="0"/>
        <w:jc w:val="both"/>
        <w:rPr>
          <w:rFonts w:ascii="Times New Roman" w:hAnsi="Times New Roman"/>
          <w:sz w:val="24"/>
          <w:szCs w:val="24"/>
          <w:lang w:val="ro-RO"/>
        </w:rPr>
      </w:pPr>
      <w:r>
        <w:rPr>
          <w:rFonts w:ascii="Times New Roman" w:hAnsi="Times New Roman"/>
          <w:b/>
          <w:sz w:val="24"/>
          <w:szCs w:val="24"/>
          <w:lang w:val="ro-RO"/>
        </w:rPr>
        <w:t>(1)</w:t>
      </w:r>
      <w:r>
        <w:rPr>
          <w:rFonts w:ascii="Times New Roman" w:hAnsi="Times New Roman"/>
          <w:sz w:val="24"/>
          <w:szCs w:val="24"/>
          <w:lang w:val="ro-RO"/>
        </w:rPr>
        <w:t xml:space="preserve"> La calculul prețului de vânzare, orice cost justificat asociat activităţii desfășurate de operatorul economic este luat în considerare o singură dată.</w:t>
      </w:r>
    </w:p>
    <w:p w14:paraId="3F99DB72" w14:textId="77777777" w:rsidR="005A64CF" w:rsidRPr="00723F0C" w:rsidRDefault="00037BE2">
      <w:pPr>
        <w:tabs>
          <w:tab w:val="left" w:pos="27"/>
        </w:tabs>
        <w:spacing w:line="360" w:lineRule="auto"/>
        <w:ind w:firstLine="27"/>
        <w:jc w:val="both"/>
      </w:pPr>
      <w:r w:rsidRPr="00723F0C">
        <w:rPr>
          <w:b/>
        </w:rPr>
        <w:t>(2)</w:t>
      </w:r>
      <w:r w:rsidRPr="00723F0C">
        <w:t xml:space="preserve"> În cazul în care se constată că un cost a fost inclus de mai multe ori sau nu a fost inclus în calculul prețului de vânzare, acesta va fi scăzut din/adăugat în calculul prețului de vânzare ajustat conform art. 6 sau cel aferent următoarei perioade tarifare, oricare din situații intervine prima.</w:t>
      </w:r>
    </w:p>
    <w:p w14:paraId="0C8489A5" w14:textId="37138CE0" w:rsidR="005A64CF" w:rsidRPr="00723F0C" w:rsidRDefault="00037BE2">
      <w:pPr>
        <w:pStyle w:val="BodyTextIndent3"/>
        <w:numPr>
          <w:ilvl w:val="0"/>
          <w:numId w:val="4"/>
        </w:numPr>
        <w:tabs>
          <w:tab w:val="left" w:pos="142"/>
        </w:tabs>
        <w:spacing w:after="0" w:line="360" w:lineRule="auto"/>
        <w:ind w:left="0" w:firstLine="0"/>
        <w:jc w:val="both"/>
        <w:rPr>
          <w:rFonts w:ascii="Times New Roman" w:hAnsi="Times New Roman"/>
          <w:sz w:val="24"/>
          <w:szCs w:val="24"/>
          <w:lang w:val="ro-RO"/>
        </w:rPr>
      </w:pPr>
      <w:r w:rsidRPr="00723F0C">
        <w:rPr>
          <w:rFonts w:ascii="Times New Roman" w:hAnsi="Times New Roman"/>
          <w:sz w:val="24"/>
          <w:szCs w:val="24"/>
          <w:lang w:val="ro-RO"/>
        </w:rPr>
        <w:t xml:space="preserve">Operatorul este obligat să organizeze evidenţa contabilă separată pentru activitatea </w:t>
      </w:r>
      <w:r w:rsidR="0009574E" w:rsidRPr="00723F0C">
        <w:rPr>
          <w:rFonts w:ascii="Times New Roman" w:hAnsi="Times New Roman"/>
          <w:sz w:val="24"/>
          <w:szCs w:val="24"/>
          <w:lang w:val="ro-RO"/>
        </w:rPr>
        <w:t>de alimentare cu energie electric</w:t>
      </w:r>
      <w:r w:rsidR="00731852">
        <w:rPr>
          <w:rFonts w:ascii="Times New Roman" w:hAnsi="Times New Roman"/>
          <w:sz w:val="24"/>
          <w:szCs w:val="24"/>
          <w:lang w:val="ro-RO"/>
        </w:rPr>
        <w:t>ă</w:t>
      </w:r>
      <w:r w:rsidR="0009574E" w:rsidRPr="00723F0C">
        <w:rPr>
          <w:rFonts w:ascii="Times New Roman" w:hAnsi="Times New Roman"/>
          <w:sz w:val="24"/>
          <w:szCs w:val="24"/>
          <w:lang w:val="ro-RO"/>
        </w:rPr>
        <w:t xml:space="preserve"> </w:t>
      </w:r>
      <w:r w:rsidRPr="00723F0C">
        <w:rPr>
          <w:rFonts w:ascii="Times New Roman" w:hAnsi="Times New Roman"/>
          <w:sz w:val="24"/>
          <w:szCs w:val="24"/>
          <w:lang w:val="ro-RO"/>
        </w:rPr>
        <w:t>într</w:t>
      </w:r>
      <w:r w:rsidR="00731852">
        <w:rPr>
          <w:rFonts w:ascii="Times New Roman" w:hAnsi="Times New Roman"/>
          <w:sz w:val="24"/>
          <w:szCs w:val="24"/>
          <w:lang w:val="ro-RO"/>
        </w:rPr>
        <w:t>-</w:t>
      </w:r>
      <w:r w:rsidRPr="00723F0C">
        <w:rPr>
          <w:rFonts w:ascii="Times New Roman" w:hAnsi="Times New Roman"/>
          <w:sz w:val="24"/>
          <w:szCs w:val="24"/>
          <w:lang w:val="ro-RO"/>
        </w:rPr>
        <w:t>un sistem electroenergetic izolat.</w:t>
      </w:r>
    </w:p>
    <w:p w14:paraId="53A141A0" w14:textId="77777777" w:rsidR="005A64CF" w:rsidRDefault="005A64CF">
      <w:pPr>
        <w:pStyle w:val="BodyTextIndent3"/>
        <w:spacing w:after="0" w:line="360" w:lineRule="auto"/>
        <w:ind w:left="0"/>
        <w:jc w:val="both"/>
        <w:rPr>
          <w:rFonts w:ascii="Times New Roman" w:hAnsi="Times New Roman"/>
          <w:sz w:val="24"/>
          <w:szCs w:val="24"/>
          <w:lang w:val="ro-RO" w:eastAsia="en-GB"/>
        </w:rPr>
      </w:pPr>
    </w:p>
    <w:p w14:paraId="6C5F8A4A" w14:textId="77777777" w:rsidR="005A64CF" w:rsidRDefault="00037BE2">
      <w:pPr>
        <w:pStyle w:val="BodyTextIndent3"/>
        <w:spacing w:after="0" w:line="360" w:lineRule="auto"/>
        <w:ind w:left="0"/>
        <w:jc w:val="both"/>
        <w:rPr>
          <w:rFonts w:ascii="Times New Roman" w:hAnsi="Times New Roman"/>
          <w:b/>
          <w:sz w:val="24"/>
          <w:szCs w:val="24"/>
          <w:lang w:val="ro-RO"/>
        </w:rPr>
      </w:pPr>
      <w:r>
        <w:rPr>
          <w:rFonts w:ascii="Times New Roman" w:hAnsi="Times New Roman"/>
          <w:b/>
          <w:sz w:val="24"/>
          <w:szCs w:val="24"/>
          <w:lang w:val="ro-RO"/>
        </w:rPr>
        <w:t>CAPITOLUL V.</w:t>
      </w:r>
      <w:r>
        <w:rPr>
          <w:rFonts w:ascii="Times New Roman" w:hAnsi="Times New Roman"/>
          <w:color w:val="FF0000"/>
          <w:sz w:val="24"/>
          <w:szCs w:val="24"/>
          <w:lang w:val="ro-RO"/>
        </w:rPr>
        <w:t xml:space="preserve"> </w:t>
      </w:r>
      <w:r>
        <w:rPr>
          <w:rFonts w:ascii="Times New Roman" w:hAnsi="Times New Roman"/>
          <w:b/>
          <w:sz w:val="24"/>
          <w:szCs w:val="24"/>
          <w:lang w:val="ro-RO"/>
        </w:rPr>
        <w:t xml:space="preserve">DETERMINAREA PREȚULUI DE VÂNZARE </w:t>
      </w:r>
    </w:p>
    <w:p w14:paraId="284919B1" w14:textId="77777777" w:rsidR="005A64CF" w:rsidRDefault="005A64CF">
      <w:pPr>
        <w:pStyle w:val="BodyTextIndent3"/>
        <w:spacing w:after="0" w:line="360" w:lineRule="auto"/>
        <w:ind w:left="0"/>
        <w:jc w:val="both"/>
        <w:rPr>
          <w:rFonts w:ascii="Times New Roman" w:hAnsi="Times New Roman"/>
          <w:b/>
          <w:sz w:val="24"/>
          <w:szCs w:val="24"/>
          <w:lang w:val="ro-RO"/>
        </w:rPr>
      </w:pPr>
    </w:p>
    <w:p w14:paraId="176B68DB" w14:textId="622C6F48" w:rsidR="005A64CF" w:rsidRDefault="00037BE2">
      <w:pPr>
        <w:pStyle w:val="BodyTextIndent3"/>
        <w:numPr>
          <w:ilvl w:val="0"/>
          <w:numId w:val="4"/>
        </w:numPr>
        <w:tabs>
          <w:tab w:val="left" w:pos="142"/>
          <w:tab w:val="left" w:pos="851"/>
        </w:tabs>
        <w:spacing w:after="0" w:line="360" w:lineRule="auto"/>
        <w:ind w:left="0" w:firstLine="0"/>
        <w:jc w:val="both"/>
        <w:rPr>
          <w:rFonts w:ascii="Times New Roman" w:eastAsia="Calibri" w:hAnsi="Times New Roman"/>
          <w:sz w:val="24"/>
          <w:szCs w:val="24"/>
          <w:lang w:val="ro-RO"/>
        </w:rPr>
      </w:pPr>
      <w:r>
        <w:rPr>
          <w:rFonts w:ascii="Times New Roman" w:hAnsi="Times New Roman"/>
          <w:b/>
          <w:sz w:val="24"/>
          <w:szCs w:val="24"/>
          <w:lang w:val="ro-RO"/>
        </w:rPr>
        <w:t>(1)</w:t>
      </w:r>
      <w:r>
        <w:rPr>
          <w:rFonts w:ascii="Times New Roman" w:hAnsi="Times New Roman"/>
          <w:sz w:val="24"/>
          <w:szCs w:val="24"/>
          <w:lang w:val="ro-RO"/>
        </w:rPr>
        <w:t xml:space="preserve"> Prețul de vânzare a energiei electrice livrată într-un sistem electroenergetic izolat </w:t>
      </w:r>
      <m:oMath>
        <m:r>
          <w:rPr>
            <w:rFonts w:ascii="Cambria Math" w:hAnsi="Cambria Math"/>
            <w:sz w:val="24"/>
            <w:szCs w:val="24"/>
            <w:lang w:val="ro-RO"/>
          </w:rPr>
          <m:t>(</m:t>
        </m:r>
        <m:sSubSup>
          <m:sSubSupPr>
            <m:ctrlPr>
              <w:rPr>
                <w:rFonts w:ascii="Cambria Math" w:eastAsia="Calibri" w:hAnsi="Cambria Math"/>
                <w:i/>
                <w:sz w:val="24"/>
                <w:szCs w:val="24"/>
                <w:lang w:val="ro-RO"/>
              </w:rPr>
            </m:ctrlPr>
          </m:sSubSupPr>
          <m:e>
            <m:r>
              <w:rPr>
                <w:rFonts w:ascii="Cambria Math" w:eastAsia="Calibri" w:hAnsi="Cambria Math"/>
                <w:sz w:val="24"/>
                <w:szCs w:val="24"/>
                <w:lang w:val="ro-RO"/>
              </w:rPr>
              <m:t>P</m:t>
            </m:r>
          </m:e>
          <m:sub>
            <m:r>
              <w:rPr>
                <w:rFonts w:ascii="Cambria Math" w:eastAsia="Calibri" w:hAnsi="Cambria Math"/>
                <w:sz w:val="24"/>
                <w:szCs w:val="24"/>
                <w:lang w:val="ro-RO"/>
              </w:rPr>
              <m:t>si</m:t>
            </m:r>
          </m:sub>
          <m:sup/>
        </m:sSubSup>
        <m:r>
          <w:rPr>
            <w:rFonts w:ascii="Cambria Math" w:eastAsia="Calibri" w:hAnsi="Cambria Math"/>
            <w:sz w:val="24"/>
            <w:szCs w:val="24"/>
            <w:lang w:val="ro-RO"/>
          </w:rPr>
          <m:t>)</m:t>
        </m:r>
      </m:oMath>
      <w:r>
        <w:rPr>
          <w:rFonts w:ascii="Times New Roman" w:hAnsi="Times New Roman"/>
          <w:sz w:val="24"/>
          <w:szCs w:val="24"/>
          <w:lang w:val="ro-RO"/>
        </w:rPr>
        <w:t xml:space="preserve"> se stabilește în lei/kWh și reprezintă prețul necesar acoperirii costurilor justificate aferente activităţii desfăşurate de către operator</w:t>
      </w:r>
      <w:r>
        <w:rPr>
          <w:rFonts w:eastAsia="Calibri"/>
          <w:lang w:val="ro-RO"/>
        </w:rPr>
        <w:t xml:space="preserve"> </w:t>
      </w:r>
      <w:r>
        <w:rPr>
          <w:rFonts w:ascii="Times New Roman" w:eastAsia="Calibri" w:hAnsi="Times New Roman"/>
          <w:sz w:val="24"/>
          <w:szCs w:val="24"/>
          <w:lang w:val="ro-RO"/>
        </w:rPr>
        <w:t xml:space="preserve">pentru punerea în funcțiune și operarea sistemului electroenergetic izolat și pentru furnizarea energiei electrice în sistemul electroenergetic izolat </w:t>
      </w:r>
      <w:r>
        <w:rPr>
          <w:rFonts w:ascii="Times New Roman" w:hAnsi="Times New Roman"/>
          <w:sz w:val="24"/>
          <w:szCs w:val="24"/>
          <w:lang w:val="ro-RO"/>
        </w:rPr>
        <w:t xml:space="preserve">și </w:t>
      </w:r>
      <w:r>
        <w:rPr>
          <w:rFonts w:ascii="Times New Roman" w:eastAsia="Calibri" w:hAnsi="Times New Roman"/>
          <w:sz w:val="24"/>
          <w:szCs w:val="24"/>
          <w:lang w:val="ro-RO"/>
        </w:rPr>
        <w:t>se calculează cu formula:</w:t>
      </w:r>
    </w:p>
    <w:p w14:paraId="036F4413" w14:textId="77777777" w:rsidR="005A64CF" w:rsidRDefault="005A64CF">
      <w:pPr>
        <w:spacing w:line="360" w:lineRule="auto"/>
        <w:jc w:val="both"/>
        <w:rPr>
          <w:rFonts w:eastAsia="Calibri"/>
          <w:lang w:eastAsia="en-US"/>
        </w:rPr>
      </w:pPr>
    </w:p>
    <w:p w14:paraId="5E93440C" w14:textId="1D71AA1E" w:rsidR="005A64CF" w:rsidRDefault="00037BE2">
      <w:pPr>
        <w:pStyle w:val="BodyTextIndent3"/>
        <w:spacing w:after="0" w:line="360" w:lineRule="auto"/>
        <w:ind w:left="284"/>
        <w:jc w:val="both"/>
        <w:rPr>
          <w:rFonts w:ascii="Times New Roman" w:hAnsi="Times New Roman"/>
          <w:sz w:val="24"/>
          <w:szCs w:val="24"/>
          <w:lang w:val="ro-RO"/>
        </w:rPr>
      </w:pPr>
      <m:oMathPara>
        <m:oMathParaPr>
          <m:jc m:val="center"/>
        </m:oMathParaPr>
        <m:oMath>
          <m:r>
            <w:rPr>
              <w:rFonts w:ascii="Cambria Math" w:hAnsi="Cambria Math"/>
              <w:sz w:val="24"/>
              <w:szCs w:val="24"/>
              <w:lang w:val="ro-RO"/>
            </w:rPr>
            <m:t>Pv=</m:t>
          </m:r>
          <m:f>
            <m:fPr>
              <m:ctrlPr>
                <w:rPr>
                  <w:rFonts w:ascii="Cambria Math" w:hAnsi="Cambria Math"/>
                  <w:i/>
                  <w:sz w:val="24"/>
                  <w:szCs w:val="24"/>
                  <w:lang w:val="ro-RO"/>
                </w:rPr>
              </m:ctrlPr>
            </m:fPr>
            <m:num>
              <m:d>
                <m:dPr>
                  <m:begChr m:val="["/>
                  <m:endChr m:val="]"/>
                  <m:ctrlPr>
                    <w:rPr>
                      <w:rFonts w:ascii="Cambria Math" w:hAnsi="Cambria Math"/>
                      <w:i/>
                      <w:sz w:val="24"/>
                      <w:szCs w:val="24"/>
                    </w:rPr>
                  </m:ctrlPr>
                </m:dPr>
                <m:e>
                  <m:r>
                    <w:rPr>
                      <w:rFonts w:ascii="Cambria Math" w:hAnsi="Cambria Math"/>
                      <w:sz w:val="24"/>
                      <w:szCs w:val="24"/>
                      <w:lang w:val="ro-RO"/>
                    </w:rPr>
                    <m:t>Cj×</m:t>
                  </m:r>
                  <m:d>
                    <m:dPr>
                      <m:ctrlPr>
                        <w:rPr>
                          <w:rFonts w:ascii="Cambria Math" w:hAnsi="Cambria Math"/>
                          <w:i/>
                          <w:sz w:val="24"/>
                          <w:szCs w:val="24"/>
                        </w:rPr>
                      </m:ctrlPr>
                    </m:dPr>
                    <m:e>
                      <m:r>
                        <w:rPr>
                          <w:rFonts w:ascii="Cambria Math" w:hAnsi="Cambria Math"/>
                          <w:sz w:val="24"/>
                          <w:szCs w:val="24"/>
                          <w:lang w:val="ro-RO"/>
                        </w:rPr>
                        <m:t>1+</m:t>
                      </m:r>
                      <m:r>
                        <w:rPr>
                          <w:rFonts w:ascii="Cambria Math" w:hAnsi="Cambria Math"/>
                          <w:sz w:val="24"/>
                          <w:szCs w:val="24"/>
                        </w:rPr>
                        <m:t>p</m:t>
                      </m:r>
                    </m:e>
                  </m:d>
                </m:e>
              </m:d>
            </m:num>
            <m:den>
              <m:r>
                <w:rPr>
                  <w:rFonts w:ascii="Cambria Math" w:hAnsi="Cambria Math"/>
                  <w:sz w:val="24"/>
                  <w:szCs w:val="24"/>
                  <w:lang w:val="ro-RO"/>
                </w:rPr>
                <m:t>Ee</m:t>
              </m:r>
            </m:den>
          </m:f>
        </m:oMath>
      </m:oMathPara>
    </w:p>
    <w:p w14:paraId="52A67493" w14:textId="77777777" w:rsidR="005A64CF" w:rsidRDefault="00037BE2">
      <w:pPr>
        <w:spacing w:line="360" w:lineRule="auto"/>
        <w:jc w:val="both"/>
        <w:rPr>
          <w:rFonts w:eastAsia="Calibri"/>
          <w:lang w:eastAsia="en-US"/>
        </w:rPr>
      </w:pPr>
      <w:r>
        <w:rPr>
          <w:rFonts w:eastAsia="Calibri"/>
          <w:lang w:eastAsia="en-US"/>
        </w:rPr>
        <w:t xml:space="preserve">unde: </w:t>
      </w:r>
    </w:p>
    <w:p w14:paraId="56D2FAAD" w14:textId="77777777" w:rsidR="005A64CF" w:rsidRDefault="00037BE2">
      <w:pPr>
        <w:pStyle w:val="ListParagraph"/>
        <w:numPr>
          <w:ilvl w:val="0"/>
          <w:numId w:val="8"/>
        </w:numPr>
        <w:spacing w:line="360" w:lineRule="auto"/>
        <w:jc w:val="both"/>
        <w:rPr>
          <w:rFonts w:eastAsia="Calibri"/>
          <w:lang w:val="ro-RO"/>
        </w:rPr>
      </w:pPr>
      <w:r>
        <w:rPr>
          <w:rFonts w:eastAsia="Calibri"/>
          <w:lang w:val="ro-RO"/>
        </w:rPr>
        <w:t>C</w:t>
      </w:r>
      <w:r>
        <w:rPr>
          <w:rFonts w:eastAsia="Calibri"/>
          <w:vertAlign w:val="subscript"/>
          <w:lang w:val="ro-RO"/>
        </w:rPr>
        <w:t>j</w:t>
      </w:r>
      <w:r>
        <w:rPr>
          <w:rFonts w:eastAsia="Calibri"/>
          <w:lang w:val="ro-RO"/>
        </w:rPr>
        <w:t xml:space="preserve"> reprezintă costurile totale justificate ale operatorului, </w:t>
      </w:r>
      <w:r>
        <w:rPr>
          <w:lang w:val="ro-RO"/>
        </w:rPr>
        <w:t>în baza contractelor încheiate și asumate de acesta sau a documentelor din care a rezultat cheltuiala certă și clară a operatorului</w:t>
      </w:r>
      <w:r>
        <w:rPr>
          <w:rFonts w:eastAsia="Calibri"/>
          <w:lang w:val="ro-RO"/>
        </w:rPr>
        <w:t xml:space="preserve"> aferente punerii în funcțiune și operării sistemului electroenergetic izolat</w:t>
      </w:r>
      <w:r>
        <w:rPr>
          <w:lang w:val="ro-RO"/>
        </w:rPr>
        <w:t xml:space="preserve"> și pentru furnizarea energiei electrice în sistemele electroenergetice izolate [lei]</w:t>
      </w:r>
      <w:r>
        <w:rPr>
          <w:rFonts w:eastAsia="Calibri"/>
          <w:lang w:val="ro-RO"/>
        </w:rPr>
        <w:t xml:space="preserve">; </w:t>
      </w:r>
    </w:p>
    <w:p w14:paraId="76E79F6D" w14:textId="738D8773" w:rsidR="005A64CF" w:rsidRDefault="00037BE2">
      <w:pPr>
        <w:pStyle w:val="ListParagraph"/>
        <w:numPr>
          <w:ilvl w:val="0"/>
          <w:numId w:val="8"/>
        </w:numPr>
        <w:spacing w:line="360" w:lineRule="auto"/>
        <w:jc w:val="both"/>
        <w:rPr>
          <w:lang w:val="ro-RO" w:eastAsia="ro-RO"/>
        </w:rPr>
      </w:pPr>
      <w:r>
        <w:rPr>
          <w:rFonts w:eastAsia="Calibri"/>
          <w:lang w:val="ro-RO"/>
        </w:rPr>
        <w:t>p – rata reglementată a profitului, egală cu maximul dintre rata dobânzii de politică monetară stabilită prin hotărâre a Consiliului de administrație al Băncii Naţionale a României anterior solicitării de stabilire a prețului de vânzare și publicat pe pagina proprie de in</w:t>
      </w:r>
      <w:r w:rsidR="006D00BA">
        <w:rPr>
          <w:rFonts w:eastAsia="Calibri"/>
          <w:lang w:val="ro-RO"/>
        </w:rPr>
        <w:t>ternet a BNR și o rată de 5%</w:t>
      </w:r>
      <w:r w:rsidR="0041090E">
        <w:rPr>
          <w:rFonts w:eastAsia="Calibri"/>
          <w:lang w:val="ro-RO"/>
        </w:rPr>
        <w:t xml:space="preserve"> [%]</w:t>
      </w:r>
      <w:r>
        <w:rPr>
          <w:rFonts w:eastAsia="Calibri"/>
          <w:lang w:val="ro-RO"/>
        </w:rPr>
        <w:t xml:space="preserve">; </w:t>
      </w:r>
    </w:p>
    <w:p w14:paraId="2EDC1DF9" w14:textId="77777777" w:rsidR="005A64CF" w:rsidRDefault="00037BE2">
      <w:pPr>
        <w:pStyle w:val="ListParagraph"/>
        <w:numPr>
          <w:ilvl w:val="0"/>
          <w:numId w:val="8"/>
        </w:numPr>
        <w:spacing w:line="360" w:lineRule="auto"/>
        <w:jc w:val="both"/>
        <w:rPr>
          <w:lang w:val="ro-RO" w:eastAsia="ro-RO"/>
        </w:rPr>
      </w:pPr>
      <w:r>
        <w:rPr>
          <w:rFonts w:eastAsia="Calibri"/>
          <w:lang w:val="ro-RO"/>
        </w:rPr>
        <w:t>Ee – cantitatea de energie electrică estimată a fi livrată în perioada tarifară, comunicată de către operatorul economic [kWh].</w:t>
      </w:r>
      <w:bookmarkStart w:id="2" w:name="_GoBack"/>
      <w:bookmarkEnd w:id="2"/>
    </w:p>
    <w:p w14:paraId="4D769938" w14:textId="77777777" w:rsidR="005A64CF" w:rsidRDefault="00037BE2">
      <w:pPr>
        <w:tabs>
          <w:tab w:val="left" w:pos="142"/>
        </w:tabs>
        <w:spacing w:line="360" w:lineRule="auto"/>
        <w:jc w:val="both"/>
      </w:pPr>
      <w:r>
        <w:rPr>
          <w:rFonts w:eastAsia="Calibri"/>
        </w:rPr>
        <w:t xml:space="preserve"> </w:t>
      </w:r>
      <w:r>
        <w:t xml:space="preserve">(2) La determinarea prețului de vânzare, ANRE ia în considerare : </w:t>
      </w:r>
    </w:p>
    <w:p w14:paraId="59E0E949" w14:textId="77777777" w:rsidR="005A64CF" w:rsidRDefault="00037BE2">
      <w:pPr>
        <w:spacing w:before="120" w:line="360" w:lineRule="auto"/>
        <w:ind w:left="709" w:hanging="283"/>
        <w:jc w:val="both"/>
      </w:pPr>
      <w:r>
        <w:t xml:space="preserve">a) costurile justificate aferente activității desfășurate de operatorul economic pentru </w:t>
      </w:r>
      <w:r>
        <w:rPr>
          <w:rFonts w:eastAsia="Calibri"/>
        </w:rPr>
        <w:t>punerea în funcțiune,  și operarea sistemului electroenergetic izolat</w:t>
      </w:r>
      <w:r>
        <w:t xml:space="preserve"> și pentru furnizarea energiei electrice în sistemul electroenergetic izolat;</w:t>
      </w:r>
    </w:p>
    <w:p w14:paraId="24627D99" w14:textId="77777777" w:rsidR="005A64CF" w:rsidRDefault="00037BE2">
      <w:pPr>
        <w:pStyle w:val="BodyTextIndent3"/>
        <w:numPr>
          <w:ilvl w:val="0"/>
          <w:numId w:val="9"/>
        </w:numPr>
        <w:spacing w:after="0" w:line="360" w:lineRule="auto"/>
        <w:jc w:val="both"/>
        <w:rPr>
          <w:rFonts w:ascii="Times New Roman" w:hAnsi="Times New Roman"/>
          <w:sz w:val="24"/>
          <w:szCs w:val="24"/>
          <w:lang w:val="ro-RO"/>
        </w:rPr>
      </w:pPr>
      <w:r>
        <w:rPr>
          <w:rFonts w:ascii="Times New Roman" w:hAnsi="Times New Roman"/>
          <w:sz w:val="24"/>
          <w:szCs w:val="24"/>
          <w:lang w:val="ro-RO"/>
        </w:rPr>
        <w:t>asigurarea viabilității financiare a operatorului;</w:t>
      </w:r>
    </w:p>
    <w:p w14:paraId="71791585" w14:textId="77777777" w:rsidR="005A64CF" w:rsidRDefault="00037BE2">
      <w:pPr>
        <w:pStyle w:val="BodyTextIndent3"/>
        <w:numPr>
          <w:ilvl w:val="0"/>
          <w:numId w:val="9"/>
        </w:numPr>
        <w:spacing w:after="0" w:line="360" w:lineRule="auto"/>
        <w:jc w:val="both"/>
        <w:rPr>
          <w:rFonts w:ascii="Times New Roman" w:hAnsi="Times New Roman"/>
          <w:sz w:val="24"/>
          <w:szCs w:val="24"/>
          <w:lang w:val="ro-RO"/>
        </w:rPr>
      </w:pPr>
      <w:r>
        <w:rPr>
          <w:rFonts w:ascii="Times New Roman" w:hAnsi="Times New Roman"/>
          <w:sz w:val="24"/>
          <w:szCs w:val="24"/>
          <w:lang w:val="ro-RO"/>
        </w:rPr>
        <w:t>stimularea investițiilor operatorilor în dezvoltarea de sisteme electroenergetice izolate.</w:t>
      </w:r>
    </w:p>
    <w:p w14:paraId="4D3B7F55" w14:textId="77777777" w:rsidR="005A64CF" w:rsidRDefault="00037BE2">
      <w:pPr>
        <w:pStyle w:val="BodyTextIndent3"/>
        <w:numPr>
          <w:ilvl w:val="0"/>
          <w:numId w:val="4"/>
        </w:numPr>
        <w:tabs>
          <w:tab w:val="left" w:pos="142"/>
          <w:tab w:val="left" w:pos="851"/>
        </w:tabs>
        <w:spacing w:after="0" w:line="360" w:lineRule="auto"/>
        <w:ind w:left="0" w:firstLine="0"/>
        <w:jc w:val="both"/>
        <w:rPr>
          <w:lang w:val="ro-RO"/>
        </w:rPr>
      </w:pPr>
      <w:r>
        <w:rPr>
          <w:rStyle w:val="yiv351784985preambul1"/>
          <w:rFonts w:ascii="Times New Roman" w:hAnsi="Times New Roman"/>
          <w:sz w:val="24"/>
          <w:szCs w:val="24"/>
          <w:lang w:val="ro-RO"/>
        </w:rPr>
        <w:t xml:space="preserve"> </w:t>
      </w:r>
      <w:r>
        <w:rPr>
          <w:rFonts w:ascii="Times New Roman" w:eastAsia="Batang" w:hAnsi="Times New Roman"/>
          <w:sz w:val="24"/>
          <w:szCs w:val="24"/>
          <w:lang w:val="ro-RO" w:eastAsia="ko-KR"/>
        </w:rPr>
        <w:t>Costurile justificate includ în principal următoarele categorii de cheltuieli:</w:t>
      </w:r>
    </w:p>
    <w:p w14:paraId="7E90CEFE" w14:textId="77777777" w:rsidR="005A64CF" w:rsidRDefault="00037BE2">
      <w:pPr>
        <w:pStyle w:val="BodyTextIndent3"/>
        <w:numPr>
          <w:ilvl w:val="0"/>
          <w:numId w:val="10"/>
        </w:numPr>
        <w:spacing w:after="0" w:line="360" w:lineRule="auto"/>
        <w:jc w:val="both"/>
        <w:rPr>
          <w:rFonts w:ascii="Times New Roman" w:hAnsi="Times New Roman"/>
          <w:sz w:val="24"/>
          <w:szCs w:val="24"/>
          <w:lang w:val="ro-RO"/>
        </w:rPr>
      </w:pPr>
      <w:r>
        <w:rPr>
          <w:rFonts w:ascii="Times New Roman" w:hAnsi="Times New Roman"/>
          <w:sz w:val="24"/>
          <w:szCs w:val="24"/>
          <w:lang w:val="ro-RO"/>
        </w:rPr>
        <w:t>cheltuielile cu materiile prime, materialele consumabile, combustibilul, materialele nestocate, inclusiv cele de natura obiectelor de inventar;</w:t>
      </w:r>
    </w:p>
    <w:p w14:paraId="1461F4CA" w14:textId="77777777" w:rsidR="005A64CF" w:rsidRDefault="00037BE2">
      <w:pPr>
        <w:pStyle w:val="BodyTextIndent3"/>
        <w:numPr>
          <w:ilvl w:val="0"/>
          <w:numId w:val="10"/>
        </w:numPr>
        <w:spacing w:after="0" w:line="360" w:lineRule="auto"/>
        <w:jc w:val="both"/>
        <w:rPr>
          <w:rFonts w:ascii="Times New Roman" w:hAnsi="Times New Roman"/>
          <w:sz w:val="24"/>
          <w:szCs w:val="24"/>
          <w:lang w:val="ro-RO"/>
        </w:rPr>
      </w:pPr>
      <w:r>
        <w:rPr>
          <w:rFonts w:ascii="Times New Roman" w:hAnsi="Times New Roman"/>
          <w:sz w:val="24"/>
          <w:szCs w:val="24"/>
          <w:lang w:val="ro-RO"/>
        </w:rPr>
        <w:t>cheltuielile cu energia și apa;</w:t>
      </w:r>
    </w:p>
    <w:p w14:paraId="0CF8AF72" w14:textId="77777777" w:rsidR="005A64CF" w:rsidRDefault="00037BE2">
      <w:pPr>
        <w:pStyle w:val="BodyTextIndent3"/>
        <w:numPr>
          <w:ilvl w:val="0"/>
          <w:numId w:val="10"/>
        </w:numPr>
        <w:spacing w:after="0" w:line="360" w:lineRule="auto"/>
        <w:jc w:val="both"/>
        <w:rPr>
          <w:rFonts w:ascii="Times New Roman" w:hAnsi="Times New Roman"/>
          <w:sz w:val="24"/>
          <w:szCs w:val="24"/>
          <w:lang w:val="ro-RO"/>
        </w:rPr>
      </w:pPr>
      <w:r>
        <w:rPr>
          <w:rFonts w:ascii="Times New Roman" w:hAnsi="Times New Roman"/>
          <w:sz w:val="24"/>
          <w:szCs w:val="24"/>
          <w:lang w:val="ro-RO"/>
        </w:rPr>
        <w:t>cheltuielile cu întreținerea și reparațiile, conform prevederilor legale în vigoare;</w:t>
      </w:r>
    </w:p>
    <w:p w14:paraId="3B6F5586" w14:textId="77777777" w:rsidR="005A64CF" w:rsidRDefault="00037BE2">
      <w:pPr>
        <w:pStyle w:val="BodyTextIndent3"/>
        <w:numPr>
          <w:ilvl w:val="0"/>
          <w:numId w:val="10"/>
        </w:numPr>
        <w:spacing w:after="0" w:line="360" w:lineRule="auto"/>
        <w:jc w:val="both"/>
        <w:rPr>
          <w:rFonts w:ascii="Times New Roman" w:hAnsi="Times New Roman"/>
          <w:sz w:val="24"/>
          <w:szCs w:val="24"/>
          <w:lang w:val="ro-RO"/>
        </w:rPr>
      </w:pPr>
      <w:r>
        <w:rPr>
          <w:rFonts w:ascii="Times New Roman" w:hAnsi="Times New Roman"/>
          <w:sz w:val="24"/>
          <w:szCs w:val="24"/>
          <w:lang w:val="ro-RO"/>
        </w:rPr>
        <w:t>alte cheltuieli cu serviciile executate de terți;</w:t>
      </w:r>
    </w:p>
    <w:p w14:paraId="3930B67E" w14:textId="77777777" w:rsidR="005A64CF" w:rsidRDefault="00037BE2">
      <w:pPr>
        <w:pStyle w:val="BodyTextIndent3"/>
        <w:numPr>
          <w:ilvl w:val="0"/>
          <w:numId w:val="10"/>
        </w:numPr>
        <w:spacing w:after="0" w:line="360" w:lineRule="auto"/>
        <w:jc w:val="both"/>
        <w:rPr>
          <w:rFonts w:ascii="Times New Roman" w:hAnsi="Times New Roman"/>
          <w:sz w:val="24"/>
          <w:szCs w:val="24"/>
          <w:lang w:val="ro-RO"/>
        </w:rPr>
      </w:pPr>
      <w:r>
        <w:rPr>
          <w:rFonts w:ascii="Times New Roman" w:hAnsi="Times New Roman"/>
          <w:sz w:val="24"/>
          <w:szCs w:val="24"/>
          <w:lang w:val="ro-RO"/>
        </w:rPr>
        <w:t>cheltuielile poștale și taxe comunicații, servicii bancare și asimilate;</w:t>
      </w:r>
    </w:p>
    <w:p w14:paraId="1CD5DE30" w14:textId="77777777" w:rsidR="005A64CF" w:rsidRDefault="00037BE2">
      <w:pPr>
        <w:pStyle w:val="BodyTextIndent3"/>
        <w:numPr>
          <w:ilvl w:val="0"/>
          <w:numId w:val="10"/>
        </w:numPr>
        <w:spacing w:after="0" w:line="360" w:lineRule="auto"/>
        <w:jc w:val="both"/>
        <w:rPr>
          <w:rFonts w:ascii="Times New Roman" w:hAnsi="Times New Roman"/>
          <w:sz w:val="24"/>
          <w:szCs w:val="24"/>
          <w:lang w:val="ro-RO"/>
        </w:rPr>
      </w:pPr>
      <w:r>
        <w:rPr>
          <w:rFonts w:ascii="Times New Roman" w:hAnsi="Times New Roman"/>
          <w:sz w:val="24"/>
          <w:szCs w:val="24"/>
          <w:lang w:val="ro-RO"/>
        </w:rPr>
        <w:t>cheltuielile cu primele de asigurare obligatorii, conform prevederilor legale în vigoare;</w:t>
      </w:r>
    </w:p>
    <w:p w14:paraId="53B985D1" w14:textId="77777777" w:rsidR="005A64CF" w:rsidRDefault="00037BE2">
      <w:pPr>
        <w:pStyle w:val="BodyTextIndent3"/>
        <w:numPr>
          <w:ilvl w:val="0"/>
          <w:numId w:val="10"/>
        </w:numPr>
        <w:spacing w:after="0" w:line="360" w:lineRule="auto"/>
        <w:jc w:val="both"/>
        <w:rPr>
          <w:rFonts w:ascii="Times New Roman" w:hAnsi="Times New Roman"/>
          <w:sz w:val="24"/>
          <w:szCs w:val="24"/>
          <w:lang w:val="ro-RO"/>
        </w:rPr>
      </w:pPr>
      <w:r>
        <w:rPr>
          <w:rFonts w:ascii="Times New Roman" w:hAnsi="Times New Roman"/>
          <w:sz w:val="24"/>
          <w:szCs w:val="24"/>
          <w:lang w:val="ro-RO"/>
        </w:rPr>
        <w:t>cheltuielile cu deplasările efectuate în scopul dezvoltării sistemului electroenergetic izolat;</w:t>
      </w:r>
    </w:p>
    <w:p w14:paraId="0F4F8D7A" w14:textId="77777777" w:rsidR="005A64CF" w:rsidRDefault="00037BE2">
      <w:pPr>
        <w:pStyle w:val="BodyTextIndent3"/>
        <w:numPr>
          <w:ilvl w:val="0"/>
          <w:numId w:val="10"/>
        </w:numPr>
        <w:spacing w:after="0" w:line="360" w:lineRule="auto"/>
        <w:jc w:val="both"/>
        <w:rPr>
          <w:rFonts w:ascii="Times New Roman" w:hAnsi="Times New Roman"/>
          <w:sz w:val="24"/>
          <w:szCs w:val="24"/>
          <w:lang w:val="ro-RO"/>
        </w:rPr>
      </w:pPr>
      <w:r>
        <w:rPr>
          <w:rFonts w:ascii="Times New Roman" w:hAnsi="Times New Roman"/>
          <w:sz w:val="24"/>
          <w:szCs w:val="24"/>
          <w:lang w:val="ro-RO"/>
        </w:rPr>
        <w:t>cheltuielile cu locațiile de gestiune și chiriile, efectuate într-o manieră prudentă; pentru aceste categorii de cheltuieli se va transmite lista documentelor (contracte, facturi, fișe de cont, etc);</w:t>
      </w:r>
    </w:p>
    <w:p w14:paraId="79F34008" w14:textId="77777777" w:rsidR="005A64CF" w:rsidRDefault="00037BE2">
      <w:pPr>
        <w:pStyle w:val="BodyTextIndent3"/>
        <w:numPr>
          <w:ilvl w:val="0"/>
          <w:numId w:val="10"/>
        </w:numPr>
        <w:spacing w:after="0" w:line="360" w:lineRule="auto"/>
        <w:jc w:val="both"/>
        <w:rPr>
          <w:rFonts w:ascii="Times New Roman" w:hAnsi="Times New Roman"/>
          <w:sz w:val="24"/>
          <w:szCs w:val="24"/>
          <w:lang w:val="ro-RO"/>
        </w:rPr>
      </w:pPr>
      <w:r>
        <w:rPr>
          <w:rFonts w:ascii="Times New Roman" w:hAnsi="Times New Roman"/>
          <w:sz w:val="24"/>
          <w:szCs w:val="24"/>
          <w:lang w:val="ro-RO"/>
        </w:rPr>
        <w:t>cheltuielile cu personalul - salarii, prime și alte drepturi acordate conform prevederilor legale în vigoare, cu excepția primelor reprezentând participarea personalului la profit;</w:t>
      </w:r>
    </w:p>
    <w:p w14:paraId="03EC7463" w14:textId="77777777" w:rsidR="005A64CF" w:rsidRDefault="00037BE2">
      <w:pPr>
        <w:pStyle w:val="BodyTextIndent3"/>
        <w:numPr>
          <w:ilvl w:val="0"/>
          <w:numId w:val="10"/>
        </w:numPr>
        <w:spacing w:after="0" w:line="360" w:lineRule="auto"/>
        <w:jc w:val="both"/>
        <w:rPr>
          <w:rFonts w:ascii="Times New Roman" w:hAnsi="Times New Roman"/>
          <w:sz w:val="24"/>
          <w:szCs w:val="24"/>
          <w:lang w:val="ro-RO"/>
        </w:rPr>
      </w:pPr>
      <w:r>
        <w:rPr>
          <w:rFonts w:ascii="Times New Roman" w:hAnsi="Times New Roman"/>
          <w:sz w:val="24"/>
          <w:szCs w:val="24"/>
          <w:lang w:val="ro-RO"/>
        </w:rPr>
        <w:t>cheltuielile ce nu pot fi controlate și asupra cărora operatorul nu poate acționa direct pentru creșterea eficienței activității desfășurate, denumite în continuare costuri indirecte, reprezentând:</w:t>
      </w:r>
    </w:p>
    <w:p w14:paraId="2139A8A6" w14:textId="77777777" w:rsidR="005A64CF" w:rsidRDefault="00037BE2">
      <w:pPr>
        <w:pStyle w:val="ListParagraph"/>
        <w:numPr>
          <w:ilvl w:val="0"/>
          <w:numId w:val="11"/>
        </w:numPr>
        <w:shd w:val="clear" w:color="auto" w:fill="FFFFFF"/>
        <w:tabs>
          <w:tab w:val="left" w:pos="1276"/>
        </w:tabs>
        <w:spacing w:line="360" w:lineRule="auto"/>
        <w:ind w:left="1418" w:hanging="284"/>
        <w:jc w:val="both"/>
        <w:rPr>
          <w:lang w:val="ro-RO"/>
        </w:rPr>
      </w:pPr>
      <w:r>
        <w:rPr>
          <w:lang w:val="ro-RO"/>
        </w:rPr>
        <w:t>contribuții la asigurări sociale, fondul de șomaj și asigurări sociale de sănătate, aferente fondului de salarii;</w:t>
      </w:r>
    </w:p>
    <w:p w14:paraId="3C07A200" w14:textId="77777777" w:rsidR="005A64CF" w:rsidRDefault="00037BE2">
      <w:pPr>
        <w:numPr>
          <w:ilvl w:val="0"/>
          <w:numId w:val="11"/>
        </w:numPr>
        <w:shd w:val="clear" w:color="auto" w:fill="FFFFFF"/>
        <w:tabs>
          <w:tab w:val="left" w:pos="1560"/>
        </w:tabs>
        <w:spacing w:line="360" w:lineRule="auto"/>
        <w:ind w:left="1276" w:hanging="142"/>
        <w:jc w:val="both"/>
        <w:rPr>
          <w:rFonts w:eastAsia="Times New Roman"/>
          <w:lang w:eastAsia="en-US"/>
        </w:rPr>
      </w:pPr>
      <w:r>
        <w:rPr>
          <w:rFonts w:eastAsia="Times New Roman"/>
          <w:lang w:eastAsia="en-US"/>
        </w:rPr>
        <w:t xml:space="preserve">contribuția bănească/taxă percepută de ANRE, dacă este cazul; </w:t>
      </w:r>
    </w:p>
    <w:p w14:paraId="0BDEAE99" w14:textId="77777777" w:rsidR="005A64CF" w:rsidRDefault="00037BE2">
      <w:pPr>
        <w:pStyle w:val="ListParagraph"/>
        <w:numPr>
          <w:ilvl w:val="0"/>
          <w:numId w:val="11"/>
        </w:numPr>
        <w:shd w:val="clear" w:color="auto" w:fill="FFFFFF"/>
        <w:tabs>
          <w:tab w:val="left" w:pos="1560"/>
          <w:tab w:val="left" w:pos="1701"/>
        </w:tabs>
        <w:spacing w:line="360" w:lineRule="auto"/>
        <w:ind w:left="1560" w:hanging="426"/>
        <w:jc w:val="both"/>
        <w:rPr>
          <w:lang w:val="ro-RO"/>
        </w:rPr>
      </w:pPr>
      <w:r>
        <w:rPr>
          <w:lang w:val="ro-RO"/>
        </w:rPr>
        <w:t>taxe, impozite și contribuții, altele decât cele prevăzute la pct. (i) și (ii), stabilite conform legislației în vigoare.</w:t>
      </w:r>
    </w:p>
    <w:p w14:paraId="78DCD9D4" w14:textId="77777777" w:rsidR="005A64CF" w:rsidRDefault="00037BE2">
      <w:pPr>
        <w:pStyle w:val="BodyTextIndent3"/>
        <w:numPr>
          <w:ilvl w:val="0"/>
          <w:numId w:val="10"/>
        </w:numPr>
        <w:spacing w:after="0" w:line="360" w:lineRule="auto"/>
        <w:jc w:val="both"/>
        <w:rPr>
          <w:rFonts w:ascii="Times New Roman" w:hAnsi="Times New Roman"/>
          <w:sz w:val="24"/>
          <w:szCs w:val="24"/>
          <w:lang w:val="ro-RO"/>
        </w:rPr>
      </w:pPr>
      <w:r>
        <w:rPr>
          <w:rFonts w:ascii="Times New Roman" w:hAnsi="Times New Roman"/>
          <w:sz w:val="24"/>
          <w:szCs w:val="24"/>
          <w:lang w:val="ro-RO"/>
        </w:rPr>
        <w:t>costurile justificate și cheltuielile corespunzătoare sumelor neîncasate, reprezentând creanțele comerciale care nu au putut fi recuperate din cauze obiective (deces, hotărâre judecătorească definitivă);</w:t>
      </w:r>
    </w:p>
    <w:p w14:paraId="4B9D8756" w14:textId="77777777" w:rsidR="005A64CF" w:rsidRDefault="00037BE2">
      <w:pPr>
        <w:pStyle w:val="BodyTextIndent3"/>
        <w:numPr>
          <w:ilvl w:val="0"/>
          <w:numId w:val="10"/>
        </w:numPr>
        <w:spacing w:after="0" w:line="360" w:lineRule="auto"/>
        <w:jc w:val="both"/>
        <w:rPr>
          <w:rFonts w:ascii="Times New Roman" w:hAnsi="Times New Roman"/>
          <w:sz w:val="24"/>
          <w:szCs w:val="24"/>
          <w:lang w:val="ro-RO"/>
        </w:rPr>
      </w:pPr>
      <w:r>
        <w:rPr>
          <w:rFonts w:ascii="Times New Roman" w:hAnsi="Times New Roman"/>
          <w:sz w:val="24"/>
          <w:szCs w:val="24"/>
          <w:lang w:val="ro-RO"/>
        </w:rPr>
        <w:t>cheltuielile cu amortizarea fiscală a imobilizărilor corporale și necorporale puse în funcțiune și utilizate în activitățile operatorului; în cazul echipamentelor puse în funcțiune anterior se ia în considerare valoarea rămasă de amortizat;</w:t>
      </w:r>
    </w:p>
    <w:p w14:paraId="755DC8AD" w14:textId="77777777" w:rsidR="005A64CF" w:rsidRDefault="00037BE2">
      <w:pPr>
        <w:pStyle w:val="BodyTextIndent3"/>
        <w:numPr>
          <w:ilvl w:val="0"/>
          <w:numId w:val="10"/>
        </w:numPr>
        <w:spacing w:after="0" w:line="360" w:lineRule="auto"/>
        <w:jc w:val="both"/>
        <w:rPr>
          <w:rFonts w:ascii="Times New Roman" w:hAnsi="Times New Roman"/>
          <w:sz w:val="24"/>
          <w:szCs w:val="24"/>
          <w:lang w:val="ro-RO"/>
        </w:rPr>
      </w:pPr>
      <w:r>
        <w:rPr>
          <w:rFonts w:ascii="Times New Roman" w:hAnsi="Times New Roman"/>
          <w:sz w:val="24"/>
          <w:szCs w:val="24"/>
          <w:lang w:val="ro-RO"/>
        </w:rPr>
        <w:t>cheltuielile financiare;</w:t>
      </w:r>
    </w:p>
    <w:p w14:paraId="29E89E45" w14:textId="77777777" w:rsidR="005A64CF" w:rsidRDefault="00037BE2">
      <w:pPr>
        <w:pStyle w:val="BodyTextIndent3"/>
        <w:numPr>
          <w:ilvl w:val="0"/>
          <w:numId w:val="10"/>
        </w:numPr>
        <w:spacing w:after="0" w:line="360" w:lineRule="auto"/>
        <w:jc w:val="both"/>
        <w:rPr>
          <w:rFonts w:ascii="Times New Roman" w:hAnsi="Times New Roman"/>
          <w:sz w:val="24"/>
          <w:szCs w:val="24"/>
          <w:lang w:val="ro-RO" w:eastAsia="ro-RO"/>
        </w:rPr>
      </w:pPr>
      <w:r>
        <w:rPr>
          <w:rFonts w:ascii="Times New Roman" w:hAnsi="Times New Roman"/>
          <w:sz w:val="24"/>
          <w:szCs w:val="24"/>
          <w:lang w:val="ro-RO"/>
        </w:rPr>
        <w:t>cheltuielile cu taxele, contribuţiile şi cotizaţiile obligatorii către organizaţiile neguvernamentale sau asociaţiile profesionale, dacă sunt efectuate în scopul desfășurării activității operatorului economic;</w:t>
      </w:r>
    </w:p>
    <w:p w14:paraId="5C0C75A3" w14:textId="77777777" w:rsidR="005A64CF" w:rsidRDefault="00037BE2">
      <w:pPr>
        <w:pStyle w:val="BodyTextIndent3"/>
        <w:numPr>
          <w:ilvl w:val="0"/>
          <w:numId w:val="10"/>
        </w:numPr>
        <w:spacing w:after="0" w:line="360" w:lineRule="auto"/>
        <w:jc w:val="both"/>
        <w:rPr>
          <w:rFonts w:ascii="Times New Roman" w:hAnsi="Times New Roman"/>
          <w:sz w:val="24"/>
          <w:szCs w:val="24"/>
          <w:lang w:val="ro-RO" w:eastAsia="ro-RO"/>
        </w:rPr>
      </w:pPr>
      <w:r>
        <w:rPr>
          <w:rFonts w:ascii="Times New Roman" w:hAnsi="Times New Roman"/>
          <w:sz w:val="24"/>
          <w:szCs w:val="24"/>
          <w:lang w:val="ro-RO"/>
        </w:rPr>
        <w:t>cheltuieli aferente serviciului de distribuție a energiei electrice în cazul în care acest serviciu este prestat de un alt operator.</w:t>
      </w:r>
    </w:p>
    <w:p w14:paraId="6509CD5F" w14:textId="77777777" w:rsidR="005A64CF" w:rsidRDefault="00037BE2">
      <w:pPr>
        <w:pStyle w:val="BodyTextIndent3"/>
        <w:numPr>
          <w:ilvl w:val="0"/>
          <w:numId w:val="4"/>
        </w:numPr>
        <w:tabs>
          <w:tab w:val="left" w:pos="142"/>
          <w:tab w:val="left" w:pos="851"/>
        </w:tabs>
        <w:spacing w:after="0" w:line="360" w:lineRule="auto"/>
        <w:ind w:left="0" w:firstLine="0"/>
        <w:jc w:val="both"/>
        <w:rPr>
          <w:rFonts w:ascii="Times New Roman" w:hAnsi="Times New Roman"/>
          <w:sz w:val="24"/>
          <w:szCs w:val="24"/>
          <w:lang w:val="ro-RO" w:eastAsia="ro-RO"/>
        </w:rPr>
      </w:pPr>
      <w:r>
        <w:rPr>
          <w:rFonts w:ascii="Times New Roman" w:hAnsi="Times New Roman"/>
          <w:b/>
          <w:sz w:val="24"/>
          <w:szCs w:val="24"/>
          <w:lang w:val="ro-RO" w:eastAsia="ro-RO"/>
        </w:rPr>
        <w:t>(1)</w:t>
      </w:r>
      <w:r>
        <w:rPr>
          <w:rFonts w:ascii="Times New Roman" w:hAnsi="Times New Roman"/>
          <w:sz w:val="24"/>
          <w:szCs w:val="24"/>
          <w:lang w:val="ro-RO" w:eastAsia="ro-RO"/>
        </w:rPr>
        <w:t xml:space="preserve"> Operatorul economic furnizează în cadrul documentațiilor de fundamentare a prețului de vânzare explicaţii detaliate și justificări cu privire la identificarea categoriilor de costuri şi a activităţilor, precum  şi modul de alocare a costurilor. </w:t>
      </w:r>
    </w:p>
    <w:p w14:paraId="4418A993" w14:textId="77777777" w:rsidR="005A64CF" w:rsidRDefault="00037BE2">
      <w:pPr>
        <w:tabs>
          <w:tab w:val="left" w:pos="426"/>
        </w:tabs>
        <w:spacing w:line="360" w:lineRule="auto"/>
        <w:jc w:val="both"/>
      </w:pPr>
      <w:r>
        <w:rPr>
          <w:b/>
        </w:rPr>
        <w:t>(2)</w:t>
      </w:r>
      <w:r>
        <w:t xml:space="preserve"> În cazul în care ANRE solicită clarificări, informaţii suplimentare şi/sau corecţii, operatorul economic este obligat să transmită datele solicitate în termenul specificat în solicitare. </w:t>
      </w:r>
    </w:p>
    <w:p w14:paraId="012E541B" w14:textId="77777777" w:rsidR="005A64CF" w:rsidRDefault="00037BE2">
      <w:pPr>
        <w:pStyle w:val="BodyTextIndent3"/>
        <w:numPr>
          <w:ilvl w:val="0"/>
          <w:numId w:val="4"/>
        </w:numPr>
        <w:tabs>
          <w:tab w:val="left" w:pos="142"/>
          <w:tab w:val="left" w:pos="851"/>
        </w:tabs>
        <w:spacing w:after="0" w:line="360" w:lineRule="auto"/>
        <w:ind w:left="0" w:firstLine="0"/>
        <w:jc w:val="both"/>
        <w:rPr>
          <w:rFonts w:ascii="Times New Roman" w:hAnsi="Times New Roman"/>
          <w:sz w:val="24"/>
          <w:szCs w:val="24"/>
          <w:lang w:val="ro-RO"/>
        </w:rPr>
      </w:pPr>
      <w:r>
        <w:rPr>
          <w:rFonts w:ascii="Times New Roman" w:hAnsi="Times New Roman"/>
          <w:b/>
          <w:sz w:val="24"/>
          <w:szCs w:val="24"/>
          <w:lang w:val="ro-RO"/>
        </w:rPr>
        <w:t>(1)</w:t>
      </w:r>
      <w:r>
        <w:rPr>
          <w:rFonts w:ascii="Times New Roman" w:hAnsi="Times New Roman"/>
          <w:sz w:val="24"/>
          <w:szCs w:val="24"/>
          <w:lang w:val="ro-RO"/>
        </w:rPr>
        <w:t xml:space="preserve"> Operatorul economic are obligația ca, la transmiterea costurilor realizate/estimate a fi realizate, în vederea recunoașterii în pretul de vanzare, să justifice că acestea au fost sau sunt costuri prudente. </w:t>
      </w:r>
    </w:p>
    <w:p w14:paraId="695D5245" w14:textId="77777777" w:rsidR="005A64CF" w:rsidRDefault="00037BE2">
      <w:pPr>
        <w:shd w:val="clear" w:color="auto" w:fill="FFFFFF"/>
        <w:spacing w:line="360" w:lineRule="auto"/>
        <w:jc w:val="both"/>
        <w:rPr>
          <w:rFonts w:eastAsia="Times New Roman"/>
          <w:lang w:eastAsia="en-US"/>
        </w:rPr>
      </w:pPr>
      <w:r>
        <w:rPr>
          <w:rFonts w:eastAsia="Times New Roman"/>
          <w:b/>
          <w:lang w:eastAsia="en-US"/>
        </w:rPr>
        <w:t>(2)</w:t>
      </w:r>
      <w:r>
        <w:rPr>
          <w:rFonts w:eastAsia="Times New Roman"/>
          <w:lang w:eastAsia="en-US"/>
        </w:rPr>
        <w:t xml:space="preserve"> Se consideră costuri prudente acele costuri care sunt demonstrate a fi necesare, oportune, eficiente și care reflectă condițiile pieței, astfel:</w:t>
      </w:r>
    </w:p>
    <w:p w14:paraId="3C29FF54" w14:textId="77777777" w:rsidR="005A64CF" w:rsidRDefault="00037BE2">
      <w:pPr>
        <w:pStyle w:val="ListParagraph"/>
        <w:numPr>
          <w:ilvl w:val="0"/>
          <w:numId w:val="12"/>
        </w:numPr>
        <w:shd w:val="clear" w:color="auto" w:fill="FFFFFF"/>
        <w:spacing w:line="360" w:lineRule="auto"/>
        <w:ind w:left="709" w:hanging="283"/>
        <w:jc w:val="both"/>
        <w:rPr>
          <w:lang w:val="ro-RO"/>
        </w:rPr>
      </w:pPr>
      <w:r>
        <w:rPr>
          <w:lang w:val="ro-RO"/>
        </w:rPr>
        <w:t>„necesar” - nevoia obiectivă a operatorului economic de a realiza acel cost;</w:t>
      </w:r>
    </w:p>
    <w:p w14:paraId="32350BCA" w14:textId="77777777" w:rsidR="005A64CF" w:rsidRDefault="00037BE2">
      <w:pPr>
        <w:pStyle w:val="ListParagraph"/>
        <w:numPr>
          <w:ilvl w:val="0"/>
          <w:numId w:val="12"/>
        </w:numPr>
        <w:shd w:val="clear" w:color="auto" w:fill="FFFFFF"/>
        <w:spacing w:line="360" w:lineRule="auto"/>
        <w:ind w:left="709" w:hanging="283"/>
        <w:jc w:val="both"/>
        <w:rPr>
          <w:lang w:val="ro-RO"/>
        </w:rPr>
      </w:pPr>
      <w:r>
        <w:rPr>
          <w:lang w:val="ro-RO"/>
        </w:rPr>
        <w:t>„oportun” - amânarea costului ar fi de natură a produce prejudicii operatorului economic;</w:t>
      </w:r>
    </w:p>
    <w:p w14:paraId="381208CB" w14:textId="77777777" w:rsidR="005A64CF" w:rsidRDefault="00037BE2">
      <w:pPr>
        <w:pStyle w:val="ListParagraph"/>
        <w:numPr>
          <w:ilvl w:val="0"/>
          <w:numId w:val="12"/>
        </w:numPr>
        <w:shd w:val="clear" w:color="auto" w:fill="FFFFFF"/>
        <w:spacing w:line="360" w:lineRule="auto"/>
        <w:ind w:left="709" w:hanging="283"/>
        <w:jc w:val="both"/>
        <w:rPr>
          <w:lang w:val="ro-RO"/>
        </w:rPr>
      </w:pPr>
      <w:r>
        <w:rPr>
          <w:lang w:val="ro-RO"/>
        </w:rPr>
        <w:t>„eficient” - realizarea costului ar fi de natură a aduce beneficii viitoare operatorului economic;</w:t>
      </w:r>
    </w:p>
    <w:p w14:paraId="26E8275E" w14:textId="77777777" w:rsidR="005A64CF" w:rsidRDefault="00037BE2">
      <w:pPr>
        <w:pStyle w:val="ListParagraph"/>
        <w:numPr>
          <w:ilvl w:val="0"/>
          <w:numId w:val="12"/>
        </w:numPr>
        <w:shd w:val="clear" w:color="auto" w:fill="FFFFFF"/>
        <w:spacing w:line="360" w:lineRule="auto"/>
        <w:ind w:left="709" w:hanging="283"/>
        <w:jc w:val="both"/>
        <w:rPr>
          <w:lang w:val="ro-RO"/>
        </w:rPr>
      </w:pPr>
      <w:r>
        <w:rPr>
          <w:lang w:val="ro-RO"/>
        </w:rPr>
        <w:t>„să reflecte condițiile pieței” - costul realizat de către operatorul economic este raportat la cele mai bune condiții ale pieței, existente la data realizării și în conformitate cu legislația în vigoare.</w:t>
      </w:r>
    </w:p>
    <w:p w14:paraId="333B0FE6" w14:textId="77777777" w:rsidR="005A64CF" w:rsidRDefault="00037BE2">
      <w:pPr>
        <w:autoSpaceDE w:val="0"/>
        <w:autoSpaceDN w:val="0"/>
        <w:adjustRightInd w:val="0"/>
        <w:spacing w:line="360" w:lineRule="auto"/>
        <w:jc w:val="both"/>
        <w:rPr>
          <w:rFonts w:eastAsia="Calibri"/>
          <w:color w:val="191919"/>
          <w:lang w:eastAsia="en-US"/>
        </w:rPr>
      </w:pPr>
      <w:r>
        <w:rPr>
          <w:rFonts w:eastAsia="Calibri"/>
          <w:color w:val="191919"/>
          <w:lang w:eastAsia="en-US"/>
        </w:rPr>
        <w:t>(3) Operatorul economic are obligația să transmită, la solicitarea ANRE, în termenul stabilit prin solicitare, documentele care justifică îndeplinirea condițiilor prevăzute la alin. (2).</w:t>
      </w:r>
    </w:p>
    <w:p w14:paraId="7BDDC0B8" w14:textId="77777777" w:rsidR="005A64CF" w:rsidRDefault="00037BE2">
      <w:pPr>
        <w:autoSpaceDE w:val="0"/>
        <w:autoSpaceDN w:val="0"/>
        <w:adjustRightInd w:val="0"/>
        <w:spacing w:line="360" w:lineRule="auto"/>
        <w:jc w:val="both"/>
        <w:rPr>
          <w:rFonts w:eastAsia="Calibri"/>
          <w:lang w:eastAsia="en-US"/>
        </w:rPr>
      </w:pPr>
      <w:r>
        <w:rPr>
          <w:rFonts w:eastAsia="Calibri"/>
          <w:lang w:eastAsia="en-US"/>
        </w:rPr>
        <w:t xml:space="preserve">(4) ANRE are dreptul să refuze motivat recunoașterea integrală sau parțială a unor costuri pentru care nu au fost transmise documentele solicitate conform prevederilor alin. (3) sau cele pentru care, prin documentele transmise de operatorul economic conform prevederilor alin. (3), nu se confirmă îndeplinirea </w:t>
      </w:r>
      <w:r>
        <w:rPr>
          <w:rFonts w:eastAsia="Calibri"/>
          <w:color w:val="191919"/>
          <w:lang w:eastAsia="en-US"/>
        </w:rPr>
        <w:t>condițiilor prevăzute la alin. (2)</w:t>
      </w:r>
      <w:r>
        <w:rPr>
          <w:rFonts w:eastAsia="Calibri"/>
          <w:lang w:eastAsia="en-US"/>
        </w:rPr>
        <w:t>.</w:t>
      </w:r>
    </w:p>
    <w:p w14:paraId="05374EB4" w14:textId="77777777" w:rsidR="005A64CF" w:rsidRDefault="00037BE2">
      <w:pPr>
        <w:pStyle w:val="BodyTextIndent3"/>
        <w:numPr>
          <w:ilvl w:val="0"/>
          <w:numId w:val="4"/>
        </w:numPr>
        <w:tabs>
          <w:tab w:val="left" w:pos="142"/>
          <w:tab w:val="left" w:pos="851"/>
        </w:tabs>
        <w:spacing w:after="0" w:line="360" w:lineRule="auto"/>
        <w:ind w:left="0" w:firstLine="0"/>
        <w:jc w:val="both"/>
        <w:rPr>
          <w:rFonts w:ascii="Times New Roman" w:hAnsi="Times New Roman"/>
          <w:sz w:val="24"/>
          <w:szCs w:val="24"/>
          <w:lang w:val="ro-RO" w:eastAsia="ro-RO"/>
        </w:rPr>
      </w:pPr>
      <w:bookmarkStart w:id="3" w:name="_Ref506540492"/>
      <w:r>
        <w:rPr>
          <w:rFonts w:ascii="Times New Roman" w:hAnsi="Times New Roman"/>
          <w:b/>
          <w:sz w:val="24"/>
          <w:szCs w:val="24"/>
          <w:lang w:val="ro-RO" w:eastAsia="ro-RO"/>
        </w:rPr>
        <w:t xml:space="preserve">(1) </w:t>
      </w:r>
      <w:r>
        <w:rPr>
          <w:rFonts w:ascii="Times New Roman" w:hAnsi="Times New Roman"/>
          <w:sz w:val="24"/>
          <w:szCs w:val="24"/>
          <w:lang w:val="ro-RO" w:eastAsia="ro-RO"/>
        </w:rPr>
        <w:t>În determinarea prețului de vânzare</w:t>
      </w:r>
      <w:r>
        <w:rPr>
          <w:rFonts w:ascii="Times New Roman" w:hAnsi="Times New Roman"/>
          <w:b/>
          <w:sz w:val="24"/>
          <w:szCs w:val="24"/>
          <w:lang w:val="ro-RO" w:eastAsia="ro-RO"/>
        </w:rPr>
        <w:t xml:space="preserve"> </w:t>
      </w:r>
      <w:r>
        <w:rPr>
          <w:rFonts w:ascii="Times New Roman" w:hAnsi="Times New Roman"/>
          <w:sz w:val="24"/>
          <w:szCs w:val="24"/>
          <w:lang w:val="ro-RO" w:eastAsia="ro-RO"/>
        </w:rPr>
        <w:t xml:space="preserve"> nu se includ următoarele categorii de cheltuieli:</w:t>
      </w:r>
      <w:bookmarkEnd w:id="3"/>
    </w:p>
    <w:p w14:paraId="35D30C9C" w14:textId="77777777" w:rsidR="005A64CF" w:rsidRDefault="00037BE2">
      <w:pPr>
        <w:numPr>
          <w:ilvl w:val="0"/>
          <w:numId w:val="13"/>
        </w:numPr>
        <w:tabs>
          <w:tab w:val="left" w:pos="993"/>
        </w:tabs>
        <w:spacing w:line="360" w:lineRule="auto"/>
        <w:ind w:left="709" w:hanging="283"/>
        <w:jc w:val="both"/>
        <w:rPr>
          <w:rFonts w:eastAsia="Times New Roman"/>
          <w:lang w:eastAsia="ro-RO"/>
        </w:rPr>
      </w:pPr>
      <w:r>
        <w:rPr>
          <w:rFonts w:eastAsia="Times New Roman"/>
          <w:lang w:eastAsia="ro-RO"/>
        </w:rPr>
        <w:t xml:space="preserve">cheltuielile </w:t>
      </w:r>
      <w:r>
        <w:rPr>
          <w:rFonts w:eastAsia="Times New Roman"/>
          <w:lang w:eastAsia="en-GB"/>
        </w:rPr>
        <w:t>aferente</w:t>
      </w:r>
      <w:r>
        <w:rPr>
          <w:rFonts w:eastAsia="Times New Roman"/>
          <w:lang w:eastAsia="ro-RO"/>
        </w:rPr>
        <w:t xml:space="preserve"> altor activități desfășurate de operatorul economic, pentru care sunt utilizate mijloace fixe înregistrate în contabilitatea operatorului economic sau salariații implicați în activitatea acestuia;</w:t>
      </w:r>
    </w:p>
    <w:p w14:paraId="7C977F81" w14:textId="77777777" w:rsidR="005A64CF" w:rsidRDefault="00037BE2">
      <w:pPr>
        <w:numPr>
          <w:ilvl w:val="0"/>
          <w:numId w:val="13"/>
        </w:numPr>
        <w:tabs>
          <w:tab w:val="left" w:pos="993"/>
        </w:tabs>
        <w:spacing w:line="360" w:lineRule="auto"/>
        <w:ind w:left="709" w:hanging="283"/>
        <w:jc w:val="both"/>
        <w:rPr>
          <w:rFonts w:eastAsia="Times New Roman"/>
          <w:lang w:eastAsia="ro-RO"/>
        </w:rPr>
      </w:pPr>
      <w:r>
        <w:rPr>
          <w:rFonts w:eastAsia="Times New Roman"/>
          <w:lang w:eastAsia="ro-RO"/>
        </w:rPr>
        <w:t>cheltuielile cu provizioane și ajustări de orice natură;</w:t>
      </w:r>
    </w:p>
    <w:p w14:paraId="5B0378F7" w14:textId="77777777" w:rsidR="005A64CF" w:rsidRDefault="00037BE2">
      <w:pPr>
        <w:numPr>
          <w:ilvl w:val="0"/>
          <w:numId w:val="13"/>
        </w:numPr>
        <w:tabs>
          <w:tab w:val="left" w:pos="993"/>
        </w:tabs>
        <w:spacing w:line="360" w:lineRule="auto"/>
        <w:ind w:left="709" w:hanging="283"/>
        <w:jc w:val="both"/>
        <w:rPr>
          <w:rFonts w:eastAsia="Times New Roman"/>
          <w:lang w:eastAsia="en-GB"/>
        </w:rPr>
      </w:pPr>
      <w:r>
        <w:rPr>
          <w:rStyle w:val="yiv351784985preambul1"/>
        </w:rPr>
        <w:t>cheltuielile privind activele casate sau cedate și din alte operațiuni de capital</w:t>
      </w:r>
      <w:r>
        <w:rPr>
          <w:rFonts w:eastAsia="Times New Roman"/>
          <w:lang w:eastAsia="ro-RO"/>
        </w:rPr>
        <w:t>;</w:t>
      </w:r>
    </w:p>
    <w:p w14:paraId="2F44745F" w14:textId="77777777" w:rsidR="005A64CF" w:rsidRDefault="00037BE2">
      <w:pPr>
        <w:numPr>
          <w:ilvl w:val="0"/>
          <w:numId w:val="13"/>
        </w:numPr>
        <w:tabs>
          <w:tab w:val="left" w:pos="567"/>
          <w:tab w:val="left" w:pos="900"/>
          <w:tab w:val="left" w:pos="993"/>
        </w:tabs>
        <w:spacing w:line="360" w:lineRule="auto"/>
        <w:ind w:left="709" w:hanging="283"/>
        <w:jc w:val="both"/>
        <w:rPr>
          <w:rFonts w:eastAsia="Calibri"/>
          <w:lang w:eastAsia="en-US"/>
        </w:rPr>
      </w:pPr>
      <w:r>
        <w:rPr>
          <w:rFonts w:eastAsia="Times New Roman"/>
          <w:lang w:eastAsia="en-US"/>
        </w:rPr>
        <w:t>cheltuielile cu reclama și publicitatea;</w:t>
      </w:r>
    </w:p>
    <w:p w14:paraId="703135C7" w14:textId="77777777" w:rsidR="005A64CF" w:rsidRDefault="00037BE2">
      <w:pPr>
        <w:numPr>
          <w:ilvl w:val="0"/>
          <w:numId w:val="13"/>
        </w:numPr>
        <w:tabs>
          <w:tab w:val="left" w:pos="567"/>
          <w:tab w:val="left" w:pos="900"/>
          <w:tab w:val="left" w:pos="993"/>
        </w:tabs>
        <w:spacing w:line="360" w:lineRule="auto"/>
        <w:ind w:left="709" w:hanging="283"/>
        <w:jc w:val="both"/>
        <w:rPr>
          <w:rFonts w:eastAsia="Calibri"/>
          <w:lang w:eastAsia="en-US"/>
        </w:rPr>
      </w:pPr>
      <w:r>
        <w:rPr>
          <w:rFonts w:eastAsia="Calibri"/>
          <w:lang w:eastAsia="en-US"/>
        </w:rPr>
        <w:t xml:space="preserve"> cheltuielile de judecată și alte cheltuieli asociate (taxă timbru, onorariu expert, etc);</w:t>
      </w:r>
    </w:p>
    <w:p w14:paraId="2AE90842" w14:textId="77777777" w:rsidR="005A64CF" w:rsidRDefault="00037BE2">
      <w:pPr>
        <w:numPr>
          <w:ilvl w:val="0"/>
          <w:numId w:val="13"/>
        </w:numPr>
        <w:tabs>
          <w:tab w:val="left" w:pos="993"/>
        </w:tabs>
        <w:spacing w:line="360" w:lineRule="auto"/>
        <w:ind w:left="709" w:hanging="283"/>
        <w:jc w:val="both"/>
        <w:rPr>
          <w:rFonts w:eastAsia="Times New Roman"/>
          <w:lang w:eastAsia="en-GB"/>
        </w:rPr>
      </w:pPr>
      <w:r>
        <w:rPr>
          <w:rFonts w:eastAsia="Times New Roman"/>
          <w:lang w:eastAsia="ro-RO"/>
        </w:rPr>
        <w:t>cheltuielile privind materialele recuperate și refolosibile;</w:t>
      </w:r>
    </w:p>
    <w:p w14:paraId="48EE9448" w14:textId="77777777" w:rsidR="005A64CF" w:rsidRDefault="00037BE2">
      <w:pPr>
        <w:numPr>
          <w:ilvl w:val="0"/>
          <w:numId w:val="13"/>
        </w:numPr>
        <w:tabs>
          <w:tab w:val="left" w:pos="993"/>
        </w:tabs>
        <w:spacing w:line="360" w:lineRule="auto"/>
        <w:ind w:left="709" w:hanging="283"/>
        <w:jc w:val="both"/>
        <w:rPr>
          <w:rFonts w:eastAsia="Times New Roman"/>
          <w:lang w:eastAsia="ro-RO"/>
        </w:rPr>
      </w:pPr>
      <w:r>
        <w:rPr>
          <w:rFonts w:eastAsia="Times New Roman"/>
          <w:lang w:eastAsia="en-GB"/>
        </w:rPr>
        <w:t>cheltuielile nedeductibile fiscal;</w:t>
      </w:r>
    </w:p>
    <w:p w14:paraId="03BB72DD" w14:textId="77777777" w:rsidR="005A64CF" w:rsidRDefault="00037BE2">
      <w:pPr>
        <w:numPr>
          <w:ilvl w:val="0"/>
          <w:numId w:val="13"/>
        </w:numPr>
        <w:tabs>
          <w:tab w:val="left" w:pos="993"/>
        </w:tabs>
        <w:spacing w:line="360" w:lineRule="auto"/>
        <w:ind w:left="709" w:hanging="283"/>
        <w:jc w:val="both"/>
        <w:rPr>
          <w:rFonts w:eastAsia="Times New Roman"/>
          <w:lang w:eastAsia="ro-RO"/>
        </w:rPr>
      </w:pPr>
      <w:r>
        <w:rPr>
          <w:rFonts w:eastAsia="Times New Roman"/>
          <w:lang w:eastAsia="en-GB"/>
        </w:rPr>
        <w:t>cheltuielile cu primele reprezentând participarea personalului la profit;</w:t>
      </w:r>
    </w:p>
    <w:p w14:paraId="4932408E" w14:textId="77777777" w:rsidR="005A64CF" w:rsidRDefault="00037BE2">
      <w:pPr>
        <w:numPr>
          <w:ilvl w:val="0"/>
          <w:numId w:val="13"/>
        </w:numPr>
        <w:tabs>
          <w:tab w:val="left" w:pos="993"/>
        </w:tabs>
        <w:spacing w:line="360" w:lineRule="auto"/>
        <w:ind w:left="709" w:hanging="283"/>
        <w:jc w:val="both"/>
        <w:rPr>
          <w:rFonts w:eastAsia="Times New Roman"/>
          <w:lang w:eastAsia="ro-RO"/>
        </w:rPr>
      </w:pPr>
      <w:r>
        <w:rPr>
          <w:rFonts w:eastAsia="Times New Roman"/>
          <w:lang w:eastAsia="en-GB"/>
        </w:rPr>
        <w:t>cheltuielile din reevaluarea imobilizărilor corporale și necorporale;</w:t>
      </w:r>
    </w:p>
    <w:p w14:paraId="27E3713D" w14:textId="77777777" w:rsidR="005A64CF" w:rsidRDefault="00037BE2">
      <w:pPr>
        <w:numPr>
          <w:ilvl w:val="0"/>
          <w:numId w:val="13"/>
        </w:numPr>
        <w:tabs>
          <w:tab w:val="left" w:pos="993"/>
        </w:tabs>
        <w:spacing w:line="360" w:lineRule="auto"/>
        <w:ind w:left="709" w:hanging="283"/>
        <w:jc w:val="both"/>
        <w:rPr>
          <w:rFonts w:eastAsia="Times New Roman"/>
          <w:lang w:eastAsia="ro-RO"/>
        </w:rPr>
      </w:pPr>
      <w:r>
        <w:rPr>
          <w:rFonts w:eastAsia="Times New Roman"/>
          <w:lang w:eastAsia="en-GB"/>
        </w:rPr>
        <w:t xml:space="preserve">cheltuielile cu </w:t>
      </w:r>
      <w:r>
        <w:rPr>
          <w:rStyle w:val="yiv351784985preambul1"/>
        </w:rPr>
        <w:t xml:space="preserve">amenzi, penalități și majorări de întârziere pentru neplata la termen a obligațiilor către bugetul de stat, bugetul asigurărilor sociale, fondurile speciale, bugetele locale </w:t>
      </w:r>
      <w:r>
        <w:t>și</w:t>
      </w:r>
      <w:r>
        <w:rPr>
          <w:bCs/>
        </w:rPr>
        <w:t xml:space="preserve"> alte cheltuieli asociate celor deja enumerate</w:t>
      </w:r>
      <w:r>
        <w:rPr>
          <w:rFonts w:eastAsia="Times New Roman"/>
          <w:lang w:eastAsia="en-GB"/>
        </w:rPr>
        <w:t>;</w:t>
      </w:r>
    </w:p>
    <w:p w14:paraId="5B7BE8FB" w14:textId="77777777" w:rsidR="005A64CF" w:rsidRDefault="00037BE2">
      <w:pPr>
        <w:numPr>
          <w:ilvl w:val="0"/>
          <w:numId w:val="13"/>
        </w:numPr>
        <w:tabs>
          <w:tab w:val="left" w:pos="993"/>
        </w:tabs>
        <w:spacing w:line="360" w:lineRule="auto"/>
        <w:ind w:left="709" w:hanging="283"/>
        <w:jc w:val="both"/>
        <w:rPr>
          <w:rFonts w:eastAsia="Times New Roman"/>
          <w:lang w:eastAsia="ro-RO"/>
        </w:rPr>
      </w:pPr>
      <w:r>
        <w:rPr>
          <w:rFonts w:eastAsia="Times New Roman"/>
          <w:lang w:eastAsia="ro-RO"/>
        </w:rPr>
        <w:t>cheltuielile cu d</w:t>
      </w:r>
      <w:r>
        <w:rPr>
          <w:rFonts w:eastAsia="Times New Roman"/>
          <w:lang w:eastAsia="en-GB"/>
        </w:rPr>
        <w:t xml:space="preserve">onații, </w:t>
      </w:r>
      <w:r>
        <w:rPr>
          <w:rFonts w:eastAsia="Times New Roman"/>
          <w:lang w:eastAsia="ro-RO"/>
        </w:rPr>
        <w:t>sponsorizări</w:t>
      </w:r>
      <w:r>
        <w:rPr>
          <w:rFonts w:eastAsia="Times New Roman"/>
          <w:lang w:eastAsia="en-GB"/>
        </w:rPr>
        <w:t xml:space="preserve"> și subvenții acordate de operatorul economic;</w:t>
      </w:r>
    </w:p>
    <w:p w14:paraId="3BA5CB63" w14:textId="77777777" w:rsidR="005A64CF" w:rsidRDefault="00037BE2">
      <w:pPr>
        <w:numPr>
          <w:ilvl w:val="0"/>
          <w:numId w:val="13"/>
        </w:numPr>
        <w:shd w:val="clear" w:color="auto" w:fill="FFFFFF"/>
        <w:tabs>
          <w:tab w:val="left" w:pos="993"/>
        </w:tabs>
        <w:spacing w:line="360" w:lineRule="auto"/>
        <w:ind w:left="709" w:hanging="283"/>
        <w:jc w:val="both"/>
        <w:rPr>
          <w:rStyle w:val="yiv351784985preambul1"/>
          <w:rFonts w:eastAsia="Times New Roman"/>
          <w:lang w:eastAsia="en-US"/>
        </w:rPr>
      </w:pPr>
      <w:r>
        <w:rPr>
          <w:rStyle w:val="yiv351784985preambul1"/>
        </w:rPr>
        <w:t xml:space="preserve">cheltuielile de natura imobilizărilor corporale și necorporale, </w:t>
      </w:r>
      <w:r>
        <w:rPr>
          <w:rFonts w:cs="Calibri"/>
        </w:rPr>
        <w:t>finanțate din fonduri și împrumuturi nerambursabile, din ajutoare primite, subvenții, plusuri la inventar ori alte surse nerambursabile</w:t>
      </w:r>
      <w:r>
        <w:rPr>
          <w:rStyle w:val="yiv351784985preambul1"/>
        </w:rPr>
        <w:t>;</w:t>
      </w:r>
    </w:p>
    <w:p w14:paraId="62786583" w14:textId="77777777" w:rsidR="005A64CF" w:rsidRDefault="00037BE2">
      <w:pPr>
        <w:numPr>
          <w:ilvl w:val="0"/>
          <w:numId w:val="13"/>
        </w:numPr>
        <w:shd w:val="clear" w:color="auto" w:fill="FFFFFF"/>
        <w:tabs>
          <w:tab w:val="left" w:pos="993"/>
        </w:tabs>
        <w:spacing w:line="360" w:lineRule="auto"/>
        <w:ind w:left="709" w:hanging="283"/>
        <w:jc w:val="both"/>
        <w:rPr>
          <w:rFonts w:eastAsia="Times New Roman"/>
          <w:lang w:eastAsia="en-US"/>
        </w:rPr>
      </w:pPr>
      <w:r>
        <w:rPr>
          <w:rFonts w:eastAsia="Times New Roman"/>
          <w:lang w:eastAsia="en-GB"/>
        </w:rPr>
        <w:t xml:space="preserve"> cheltuielile cu </w:t>
      </w:r>
      <w:r>
        <w:rPr>
          <w:rFonts w:eastAsia="Times New Roman"/>
          <w:lang w:eastAsia="en-US"/>
        </w:rPr>
        <w:t>penalități, majorări și/sau daune-interese de întârziere pentru nerambursarea în termen a împrumuturilor și</w:t>
      </w:r>
      <w:r>
        <w:rPr>
          <w:rFonts w:eastAsia="Times New Roman"/>
          <w:bCs/>
          <w:lang w:eastAsia="en-US"/>
        </w:rPr>
        <w:t xml:space="preserve"> alte cheltuieli asociate celor deja enumerate</w:t>
      </w:r>
      <w:r>
        <w:rPr>
          <w:rFonts w:eastAsia="Times New Roman"/>
          <w:lang w:eastAsia="en-US"/>
        </w:rPr>
        <w:t>;</w:t>
      </w:r>
    </w:p>
    <w:p w14:paraId="3FDB368B" w14:textId="77777777" w:rsidR="005A64CF" w:rsidRDefault="00037BE2">
      <w:pPr>
        <w:numPr>
          <w:ilvl w:val="0"/>
          <w:numId w:val="13"/>
        </w:numPr>
        <w:shd w:val="clear" w:color="auto" w:fill="FFFFFF"/>
        <w:tabs>
          <w:tab w:val="left" w:pos="993"/>
        </w:tabs>
        <w:spacing w:line="360" w:lineRule="auto"/>
        <w:ind w:left="709" w:hanging="283"/>
        <w:jc w:val="both"/>
        <w:rPr>
          <w:rStyle w:val="yiv351784985preambul1"/>
        </w:rPr>
      </w:pPr>
      <w:r>
        <w:rPr>
          <w:rStyle w:val="yiv351784985preambul1"/>
        </w:rPr>
        <w:t xml:space="preserve"> cheltuielile aferente plăților compensatorii acordate salariaților cu ocazia încetării contractului individual de muncă sau a raportului de serviciu, fără a avea la bază un program de restructurare și de reorganizare a societății aprobat de conducerea operatorului, cu excepția situației când salariații se pensionează;</w:t>
      </w:r>
    </w:p>
    <w:p w14:paraId="57C8582C" w14:textId="77777777" w:rsidR="005A64CF" w:rsidRDefault="00037BE2">
      <w:pPr>
        <w:pStyle w:val="ListParagraph"/>
        <w:numPr>
          <w:ilvl w:val="0"/>
          <w:numId w:val="13"/>
        </w:numPr>
        <w:shd w:val="clear" w:color="auto" w:fill="FFFFFF"/>
        <w:tabs>
          <w:tab w:val="left" w:pos="993"/>
        </w:tabs>
        <w:spacing w:line="360" w:lineRule="auto"/>
        <w:ind w:left="709" w:hanging="283"/>
        <w:jc w:val="both"/>
        <w:rPr>
          <w:rStyle w:val="yiv351784985preambul1"/>
          <w:lang w:val="ro-RO"/>
        </w:rPr>
      </w:pPr>
      <w:r>
        <w:rPr>
          <w:rStyle w:val="yiv351784985preambul1"/>
          <w:lang w:val="ro-RO"/>
        </w:rPr>
        <w:t>cheltuielile reprezentând salarii, indemnizații, sume compensatorii acordate în condițiile legii, cu ocazia încetării contractului individual de muncă, raportului de serviciu sau mandatului personalului cu funcții de conducere și persoanelor care au  calitatea de membru în consilii de administrație și consilii de conducere, cu excepția salariilor, indemnizațiilor sau sumelor compensatorii acordate angajaților, cu ocazia pensionării, în conformitate cu prevederile contractului colectiv de muncă sau când există un program de restructurare aprobat;</w:t>
      </w:r>
    </w:p>
    <w:p w14:paraId="3BEB7C7B" w14:textId="77777777" w:rsidR="005A64CF" w:rsidRDefault="00037BE2">
      <w:pPr>
        <w:pStyle w:val="Bodytext-Bullet"/>
        <w:numPr>
          <w:ilvl w:val="0"/>
          <w:numId w:val="13"/>
        </w:numPr>
        <w:tabs>
          <w:tab w:val="left" w:pos="993"/>
        </w:tabs>
        <w:spacing w:after="0" w:line="360" w:lineRule="auto"/>
        <w:ind w:left="709" w:hanging="283"/>
        <w:rPr>
          <w:sz w:val="24"/>
          <w:szCs w:val="24"/>
          <w:lang w:val="ro-RO"/>
        </w:rPr>
      </w:pPr>
      <w:r>
        <w:rPr>
          <w:sz w:val="24"/>
          <w:szCs w:val="24"/>
          <w:lang w:val="ro-RO"/>
        </w:rPr>
        <w:t>cheltuielile de personal reprezentând sume acordate directorilor generali și membrilor consiliilor de administrație/supraveghere/directorate și alte consilii de conducere ca bonus, prime, etc. pentru îndeplinirea indicatorilor de performanță individuală, precum și alte facilități rezultate din derularea contractelor de mandat, care depășesc 20% din valoarea retribuției acestora;</w:t>
      </w:r>
    </w:p>
    <w:p w14:paraId="5413551F" w14:textId="77777777" w:rsidR="005A64CF" w:rsidRDefault="00037BE2">
      <w:pPr>
        <w:numPr>
          <w:ilvl w:val="0"/>
          <w:numId w:val="13"/>
        </w:numPr>
        <w:tabs>
          <w:tab w:val="left" w:pos="993"/>
        </w:tabs>
        <w:spacing w:line="360" w:lineRule="auto"/>
        <w:ind w:left="709" w:hanging="283"/>
        <w:jc w:val="both"/>
        <w:rPr>
          <w:rFonts w:eastAsia="Times New Roman"/>
          <w:lang w:eastAsia="ro-RO"/>
        </w:rPr>
      </w:pPr>
      <w:r>
        <w:rPr>
          <w:rFonts w:eastAsia="Times New Roman"/>
          <w:lang w:eastAsia="ro-RO"/>
        </w:rPr>
        <w:t>cheltuielile de exploatare aferente mijloacelor fixe obținute de operator prin realizarea unor investiții care nu au fost recunoscute de ANRE;</w:t>
      </w:r>
    </w:p>
    <w:p w14:paraId="04B56952" w14:textId="77777777" w:rsidR="005A64CF" w:rsidRDefault="00037BE2">
      <w:pPr>
        <w:numPr>
          <w:ilvl w:val="0"/>
          <w:numId w:val="13"/>
        </w:numPr>
        <w:shd w:val="clear" w:color="auto" w:fill="FFFFFF"/>
        <w:tabs>
          <w:tab w:val="left" w:pos="993"/>
        </w:tabs>
        <w:spacing w:line="360" w:lineRule="auto"/>
        <w:ind w:left="709" w:hanging="283"/>
        <w:jc w:val="both"/>
        <w:rPr>
          <w:rFonts w:eastAsia="Times New Roman"/>
          <w:lang w:eastAsia="en-US"/>
        </w:rPr>
      </w:pPr>
      <w:r>
        <w:rPr>
          <w:rFonts w:eastAsia="Times New Roman"/>
          <w:lang w:eastAsia="ro-RO"/>
        </w:rPr>
        <w:t xml:space="preserve">cheltuielile estimate/prognozate </w:t>
      </w:r>
      <w:r>
        <w:rPr>
          <w:rFonts w:eastAsia="Times New Roman"/>
          <w:lang w:eastAsia="en-US"/>
        </w:rPr>
        <w:t>cu amortizarea  imobilizărilor corporale și necorporale,  care nu sunt încă puse în funcțiune;</w:t>
      </w:r>
    </w:p>
    <w:p w14:paraId="3E962736" w14:textId="77777777" w:rsidR="005A64CF" w:rsidRDefault="00037BE2">
      <w:pPr>
        <w:numPr>
          <w:ilvl w:val="0"/>
          <w:numId w:val="13"/>
        </w:numPr>
        <w:shd w:val="clear" w:color="auto" w:fill="FFFFFF"/>
        <w:tabs>
          <w:tab w:val="left" w:pos="993"/>
        </w:tabs>
        <w:spacing w:line="360" w:lineRule="auto"/>
        <w:ind w:left="709" w:hanging="283"/>
        <w:jc w:val="both"/>
        <w:rPr>
          <w:rStyle w:val="yiv351784985preambul1"/>
          <w:rFonts w:eastAsia="Times New Roman"/>
          <w:lang w:eastAsia="en-US"/>
        </w:rPr>
      </w:pPr>
      <w:r>
        <w:rPr>
          <w:rStyle w:val="yiv351784985preambul1"/>
        </w:rPr>
        <w:t>valoarea, respectiv o parte a acesteia, aferentă imobilizărilor corporale/necorporale pentru care societatea încasează chirie.</w:t>
      </w:r>
    </w:p>
    <w:p w14:paraId="216B13D7" w14:textId="77777777" w:rsidR="005A64CF" w:rsidRDefault="00037BE2">
      <w:pPr>
        <w:shd w:val="clear" w:color="auto" w:fill="FFFFFF"/>
        <w:spacing w:line="360" w:lineRule="auto"/>
        <w:jc w:val="both"/>
        <w:rPr>
          <w:rStyle w:val="yiv351784985preambul1"/>
        </w:rPr>
      </w:pPr>
      <w:r>
        <w:rPr>
          <w:rStyle w:val="yiv351784985preambul1"/>
          <w:b/>
        </w:rPr>
        <w:t xml:space="preserve"> (2)</w:t>
      </w:r>
      <w:r>
        <w:rPr>
          <w:rStyle w:val="yiv351784985preambul1"/>
        </w:rPr>
        <w:t xml:space="preserve"> ANRE are dreptul să refuze operatorului recunoașterea unor costuri sau părți din acestea, altele decât cele prevăzute la alin. (1), pentru care nu s-a justificat faptul că au fost generate de desfășurarea activității operatorului economic și realizate într-o manieră prudentă, conform prevederilor art. 12. </w:t>
      </w:r>
    </w:p>
    <w:p w14:paraId="23E4F50D" w14:textId="77777777" w:rsidR="005A64CF" w:rsidRDefault="005A64CF">
      <w:pPr>
        <w:pStyle w:val="BodyTextIndent3"/>
        <w:spacing w:after="0" w:line="360" w:lineRule="auto"/>
        <w:ind w:left="0"/>
        <w:jc w:val="both"/>
        <w:rPr>
          <w:rFonts w:ascii="Times New Roman" w:hAnsi="Times New Roman"/>
          <w:sz w:val="24"/>
          <w:szCs w:val="24"/>
          <w:lang w:val="ro-RO"/>
        </w:rPr>
      </w:pPr>
    </w:p>
    <w:p w14:paraId="2199B450" w14:textId="77777777" w:rsidR="005A64CF" w:rsidRDefault="00037BE2">
      <w:pPr>
        <w:pStyle w:val="BodyTextIndent3"/>
        <w:tabs>
          <w:tab w:val="left" w:pos="1170"/>
          <w:tab w:val="left" w:pos="1530"/>
          <w:tab w:val="left" w:pos="1620"/>
          <w:tab w:val="left" w:pos="1980"/>
        </w:tabs>
        <w:spacing w:after="0" w:line="360" w:lineRule="auto"/>
        <w:ind w:left="0"/>
        <w:jc w:val="both"/>
        <w:outlineLvl w:val="0"/>
        <w:rPr>
          <w:rFonts w:ascii="Times New Roman" w:hAnsi="Times New Roman"/>
          <w:b/>
          <w:sz w:val="24"/>
          <w:szCs w:val="24"/>
          <w:lang w:val="ro-RO"/>
        </w:rPr>
      </w:pPr>
      <w:r>
        <w:rPr>
          <w:rFonts w:ascii="Times New Roman" w:hAnsi="Times New Roman"/>
          <w:b/>
          <w:sz w:val="24"/>
          <w:szCs w:val="24"/>
          <w:lang w:val="ro-RO"/>
        </w:rPr>
        <w:t>CAPITOLUL VI. PROCEDURA DE STABILIRE A PREȚULUI DE VÂNZARE</w:t>
      </w:r>
    </w:p>
    <w:p w14:paraId="20A72A92" w14:textId="77777777" w:rsidR="005A64CF" w:rsidRDefault="005A64CF">
      <w:pPr>
        <w:pStyle w:val="BodyTextIndent3"/>
        <w:tabs>
          <w:tab w:val="left" w:pos="1170"/>
          <w:tab w:val="left" w:pos="1530"/>
          <w:tab w:val="left" w:pos="1620"/>
          <w:tab w:val="left" w:pos="1980"/>
        </w:tabs>
        <w:spacing w:after="0" w:line="360" w:lineRule="auto"/>
        <w:ind w:left="0"/>
        <w:jc w:val="both"/>
        <w:outlineLvl w:val="0"/>
        <w:rPr>
          <w:rFonts w:ascii="Times New Roman" w:hAnsi="Times New Roman"/>
          <w:b/>
          <w:sz w:val="24"/>
          <w:szCs w:val="24"/>
          <w:lang w:val="ro-RO"/>
        </w:rPr>
      </w:pPr>
    </w:p>
    <w:p w14:paraId="4818DDC8" w14:textId="77777777" w:rsidR="005A64CF" w:rsidRDefault="00037BE2">
      <w:pPr>
        <w:pStyle w:val="BodyTextIndent3"/>
        <w:numPr>
          <w:ilvl w:val="0"/>
          <w:numId w:val="4"/>
        </w:numPr>
        <w:tabs>
          <w:tab w:val="left" w:pos="142"/>
          <w:tab w:val="left" w:pos="851"/>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Prețul de vânzare a energiei electrice pentru o perioadă tarifară</w:t>
      </w:r>
      <w:r>
        <w:rPr>
          <w:rFonts w:ascii="Times New Roman" w:hAnsi="Times New Roman"/>
          <w:b/>
          <w:sz w:val="24"/>
          <w:szCs w:val="24"/>
          <w:lang w:val="ro-RO"/>
        </w:rPr>
        <w:t xml:space="preserve"> </w:t>
      </w:r>
      <w:r>
        <w:rPr>
          <w:rFonts w:ascii="Times New Roman" w:hAnsi="Times New Roman"/>
          <w:sz w:val="24"/>
          <w:szCs w:val="24"/>
          <w:lang w:val="ro-RO"/>
        </w:rPr>
        <w:t>se stabilește prin decizie a președintelui ANRE.</w:t>
      </w:r>
    </w:p>
    <w:p w14:paraId="7D012B14" w14:textId="77777777" w:rsidR="005A64CF" w:rsidRDefault="00037BE2">
      <w:pPr>
        <w:pStyle w:val="BodyTextIndent3"/>
        <w:numPr>
          <w:ilvl w:val="0"/>
          <w:numId w:val="4"/>
        </w:numPr>
        <w:tabs>
          <w:tab w:val="left" w:pos="142"/>
          <w:tab w:val="left" w:pos="851"/>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 </w:t>
      </w:r>
      <w:r>
        <w:rPr>
          <w:rFonts w:ascii="Times New Roman" w:hAnsi="Times New Roman"/>
          <w:b/>
          <w:sz w:val="24"/>
          <w:szCs w:val="24"/>
          <w:lang w:val="ro-RO"/>
        </w:rPr>
        <w:t>(1)</w:t>
      </w:r>
      <w:r>
        <w:rPr>
          <w:rFonts w:ascii="Times New Roman" w:hAnsi="Times New Roman"/>
          <w:sz w:val="24"/>
          <w:szCs w:val="24"/>
          <w:lang w:val="ro-RO"/>
        </w:rPr>
        <w:t xml:space="preserve"> În vederea stabilirii prețului de vânzare, operatorul economic transmite ANRE, cu cel puțin 30 de zile anterior datei de la care se aplică prețul de vânzare, documentația de fundamentare.</w:t>
      </w:r>
    </w:p>
    <w:p w14:paraId="30DE8DE9" w14:textId="77777777" w:rsidR="005A64CF" w:rsidRDefault="00037BE2">
      <w:pPr>
        <w:pStyle w:val="BodyTextIndent3"/>
        <w:numPr>
          <w:ilvl w:val="2"/>
          <w:numId w:val="14"/>
        </w:numPr>
        <w:tabs>
          <w:tab w:val="clear" w:pos="2771"/>
          <w:tab w:val="left" w:pos="426"/>
          <w:tab w:val="left" w:pos="1530"/>
          <w:tab w:val="left" w:pos="1620"/>
          <w:tab w:val="left" w:pos="1985"/>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În situația în care documentația înaintată este incompletă, ANRE solicită completarea acesteia în termen de 5 zile lucrătoare de la data depunerii, operatorul având obligația de a răspunde în termen de 3 zile lucrătoare de la data primirii solicitării. </w:t>
      </w:r>
    </w:p>
    <w:p w14:paraId="64F6EFFF" w14:textId="77777777" w:rsidR="005A64CF" w:rsidRDefault="00037BE2">
      <w:pPr>
        <w:pStyle w:val="BodyTextIndent3"/>
        <w:numPr>
          <w:ilvl w:val="2"/>
          <w:numId w:val="14"/>
        </w:numPr>
        <w:tabs>
          <w:tab w:val="clear" w:pos="2771"/>
          <w:tab w:val="left" w:pos="426"/>
          <w:tab w:val="left" w:pos="1530"/>
          <w:tab w:val="left" w:pos="1620"/>
          <w:tab w:val="left" w:pos="1985"/>
        </w:tabs>
        <w:spacing w:after="0" w:line="360" w:lineRule="auto"/>
        <w:ind w:left="0" w:firstLine="0"/>
        <w:jc w:val="both"/>
        <w:rPr>
          <w:rFonts w:ascii="Times New Roman" w:hAnsi="Times New Roman"/>
          <w:b/>
          <w:sz w:val="24"/>
          <w:szCs w:val="24"/>
          <w:lang w:val="ro-RO"/>
        </w:rPr>
      </w:pPr>
      <w:r>
        <w:rPr>
          <w:rFonts w:ascii="Times New Roman" w:hAnsi="Times New Roman"/>
          <w:sz w:val="24"/>
          <w:szCs w:val="24"/>
          <w:lang w:val="ro-RO"/>
        </w:rPr>
        <w:t xml:space="preserve">În perioada de analiză și calcul, în scopul corectării, clarificării sau justificării documentelor înaintate, ANRE are dreptul de a solicita orice informații și documente, iar operatorul are obligația de a răspunde în termen de maxim 3 zile lucrătoare de la data primirii solicitării. </w:t>
      </w:r>
    </w:p>
    <w:p w14:paraId="7061E6FF" w14:textId="77777777" w:rsidR="005A64CF" w:rsidRDefault="00037BE2">
      <w:pPr>
        <w:pStyle w:val="BodyTextIndent3"/>
        <w:numPr>
          <w:ilvl w:val="2"/>
          <w:numId w:val="14"/>
        </w:numPr>
        <w:tabs>
          <w:tab w:val="clear" w:pos="2771"/>
          <w:tab w:val="left" w:pos="426"/>
          <w:tab w:val="left" w:pos="1530"/>
          <w:tab w:val="left" w:pos="1620"/>
          <w:tab w:val="left" w:pos="1985"/>
        </w:tabs>
        <w:spacing w:after="0" w:line="360" w:lineRule="auto"/>
        <w:ind w:left="0" w:firstLine="0"/>
        <w:jc w:val="both"/>
        <w:rPr>
          <w:rFonts w:ascii="Times New Roman" w:hAnsi="Times New Roman"/>
          <w:b/>
          <w:sz w:val="24"/>
          <w:szCs w:val="24"/>
          <w:lang w:val="ro-RO"/>
        </w:rPr>
      </w:pPr>
      <w:r>
        <w:rPr>
          <w:rFonts w:ascii="Times New Roman" w:hAnsi="Times New Roman"/>
          <w:sz w:val="24"/>
          <w:szCs w:val="24"/>
          <w:lang w:val="ro-RO"/>
        </w:rPr>
        <w:t>Aspectele pentru care s-au solicitat informații și documente nu vor fi luate în considerare în cazul în care operatorul nu răspunde solicitărilor ANRE în termenele prevăzute de prezenta metodologie.</w:t>
      </w:r>
      <w:r>
        <w:rPr>
          <w:rFonts w:ascii="Times New Roman" w:hAnsi="Times New Roman"/>
          <w:b/>
          <w:sz w:val="24"/>
          <w:szCs w:val="24"/>
          <w:lang w:val="ro-RO"/>
        </w:rPr>
        <w:t xml:space="preserve"> </w:t>
      </w:r>
    </w:p>
    <w:p w14:paraId="76E7AAE9" w14:textId="77777777" w:rsidR="005A64CF" w:rsidRDefault="00037BE2">
      <w:pPr>
        <w:pStyle w:val="BodyTextIndent3"/>
        <w:numPr>
          <w:ilvl w:val="0"/>
          <w:numId w:val="4"/>
        </w:numPr>
        <w:tabs>
          <w:tab w:val="left" w:pos="142"/>
          <w:tab w:val="left" w:pos="851"/>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Documentația privind fundamentarea prețului de vânzare se referă la:</w:t>
      </w:r>
    </w:p>
    <w:p w14:paraId="3094AA9A" w14:textId="77777777" w:rsidR="005A64CF" w:rsidRDefault="00037BE2">
      <w:pPr>
        <w:pStyle w:val="ListParagraph"/>
        <w:numPr>
          <w:ilvl w:val="0"/>
          <w:numId w:val="15"/>
        </w:numPr>
        <w:spacing w:line="360" w:lineRule="auto"/>
        <w:jc w:val="both"/>
        <w:rPr>
          <w:lang w:val="ro-RO"/>
        </w:rPr>
      </w:pPr>
      <w:r>
        <w:rPr>
          <w:rFonts w:eastAsia="Calibri"/>
          <w:lang w:val="ro-RO"/>
        </w:rPr>
        <w:t xml:space="preserve">costurile </w:t>
      </w:r>
      <w:r>
        <w:rPr>
          <w:lang w:val="ro-RO"/>
        </w:rPr>
        <w:t>justificate în baza contractelor încheiate și asumate de operator sau a documentelor din care a rezultat cheltuiala înregistrată în contabilitatea internă, certă și clară a operatorului, aferente perioadei tarifare;</w:t>
      </w:r>
    </w:p>
    <w:p w14:paraId="52619675" w14:textId="77777777" w:rsidR="005A64CF" w:rsidRDefault="00037BE2">
      <w:pPr>
        <w:pStyle w:val="ListParagraph"/>
        <w:numPr>
          <w:ilvl w:val="0"/>
          <w:numId w:val="15"/>
        </w:numPr>
        <w:spacing w:line="360" w:lineRule="auto"/>
        <w:jc w:val="both"/>
        <w:rPr>
          <w:lang w:val="ro-RO"/>
        </w:rPr>
      </w:pPr>
      <w:r>
        <w:rPr>
          <w:lang w:val="ro-RO"/>
        </w:rPr>
        <w:t>lista contractelor de prestări de servicii, de furnizare bunuri sau de lucrări și a societăților comerciale cu care au fost încheiate, aferente desfășurării activității operatorului economic, cu precizarea perioadei de desfășurare a contractului și a valorilor contractuale pe fiecare contract în parte; suplimentar, pentru toate contractele, se va demonstra prudența costurilor;</w:t>
      </w:r>
    </w:p>
    <w:p w14:paraId="04D5EF68" w14:textId="77777777" w:rsidR="005A64CF" w:rsidRDefault="00037BE2">
      <w:pPr>
        <w:pStyle w:val="ListParagraph"/>
        <w:numPr>
          <w:ilvl w:val="0"/>
          <w:numId w:val="15"/>
        </w:numPr>
        <w:spacing w:line="360" w:lineRule="auto"/>
        <w:jc w:val="both"/>
        <w:rPr>
          <w:b/>
          <w:lang w:val="ro-RO"/>
        </w:rPr>
      </w:pPr>
      <w:r>
        <w:rPr>
          <w:lang w:val="ro-RO"/>
        </w:rPr>
        <w:t>documentele, justificările privind valorile totale şi defalcarea acestor valori pe activități, cum ar fi: contracte, oferte, facturi, documente contabile, justificarea investiţiilor, costuri cu terţi,  etc.</w:t>
      </w:r>
    </w:p>
    <w:p w14:paraId="1E4E27A6" w14:textId="77777777" w:rsidR="005A64CF" w:rsidRDefault="00037BE2">
      <w:pPr>
        <w:pStyle w:val="ListParagraph"/>
        <w:numPr>
          <w:ilvl w:val="0"/>
          <w:numId w:val="15"/>
        </w:numPr>
        <w:spacing w:line="360" w:lineRule="auto"/>
        <w:jc w:val="both"/>
        <w:rPr>
          <w:rFonts w:eastAsia="Calibri"/>
          <w:lang w:val="ro-RO"/>
        </w:rPr>
      </w:pPr>
      <w:r>
        <w:rPr>
          <w:rFonts w:eastAsia="Calibri"/>
          <w:lang w:val="ro-RO"/>
        </w:rPr>
        <w:t xml:space="preserve">justificarea fiecărui proiect de investiţie şi valoarea acestuia în funcţie de scopul urmărit, cum ar fi: </w:t>
      </w:r>
    </w:p>
    <w:p w14:paraId="3753CDFE" w14:textId="77777777" w:rsidR="005A64CF" w:rsidRDefault="00037BE2">
      <w:pPr>
        <w:tabs>
          <w:tab w:val="left" w:pos="1276"/>
          <w:tab w:val="left" w:pos="1560"/>
        </w:tabs>
        <w:spacing w:line="360" w:lineRule="auto"/>
        <w:ind w:left="2127"/>
        <w:jc w:val="both"/>
        <w:rPr>
          <w:rFonts w:eastAsia="Times New Roman"/>
          <w:lang w:eastAsia="ro-RO"/>
        </w:rPr>
      </w:pPr>
      <w:r>
        <w:rPr>
          <w:rFonts w:eastAsia="Times New Roman"/>
          <w:lang w:eastAsia="ro-RO"/>
        </w:rPr>
        <w:t xml:space="preserve">(i) înlocuirea mijloacelor fixe uzate, cu durată de viaţă depăşită; </w:t>
      </w:r>
    </w:p>
    <w:p w14:paraId="25125614" w14:textId="77777777" w:rsidR="005A64CF" w:rsidRDefault="00037BE2">
      <w:pPr>
        <w:pStyle w:val="ListParagraph"/>
        <w:numPr>
          <w:ilvl w:val="3"/>
          <w:numId w:val="14"/>
        </w:numPr>
        <w:tabs>
          <w:tab w:val="left" w:pos="1276"/>
          <w:tab w:val="left" w:pos="2552"/>
        </w:tabs>
        <w:spacing w:line="360" w:lineRule="auto"/>
        <w:ind w:left="2552" w:hanging="425"/>
        <w:jc w:val="both"/>
        <w:rPr>
          <w:lang w:val="ro-RO" w:eastAsia="ro-RO"/>
        </w:rPr>
      </w:pPr>
      <w:r>
        <w:rPr>
          <w:lang w:val="ro-RO" w:eastAsia="ro-RO"/>
        </w:rPr>
        <w:t>îmbunătăţirea și eficientizarea activităților desfășurate de operatorul economic;</w:t>
      </w:r>
    </w:p>
    <w:p w14:paraId="4B7CF7B6" w14:textId="77777777" w:rsidR="005A64CF" w:rsidRDefault="00037BE2">
      <w:pPr>
        <w:pStyle w:val="BodyTextIndent3"/>
        <w:numPr>
          <w:ilvl w:val="0"/>
          <w:numId w:val="4"/>
        </w:numPr>
        <w:tabs>
          <w:tab w:val="left" w:pos="142"/>
          <w:tab w:val="left" w:pos="851"/>
        </w:tabs>
        <w:spacing w:after="0" w:line="360" w:lineRule="auto"/>
        <w:ind w:left="0" w:firstLine="0"/>
        <w:jc w:val="both"/>
        <w:rPr>
          <w:rFonts w:ascii="Times New Roman" w:hAnsi="Times New Roman"/>
          <w:sz w:val="24"/>
          <w:szCs w:val="24"/>
          <w:lang w:val="ro-RO"/>
        </w:rPr>
      </w:pPr>
      <w:r>
        <w:rPr>
          <w:lang w:val="ro-RO"/>
        </w:rPr>
        <w:t xml:space="preserve"> </w:t>
      </w:r>
      <w:r>
        <w:rPr>
          <w:rFonts w:ascii="Times New Roman" w:hAnsi="Times New Roman"/>
          <w:b/>
          <w:sz w:val="24"/>
          <w:szCs w:val="24"/>
          <w:lang w:val="ro-RO"/>
        </w:rPr>
        <w:t xml:space="preserve">(1) </w:t>
      </w:r>
      <w:r>
        <w:rPr>
          <w:rFonts w:ascii="Times New Roman" w:hAnsi="Times New Roman"/>
          <w:sz w:val="24"/>
          <w:szCs w:val="24"/>
          <w:lang w:val="ro-RO"/>
        </w:rPr>
        <w:t>Pe baza documentației și a propunerii înaintate, respectiv în urma analizei efectuate, compartimentul de specialitate din cadrul ANRE stabilește prețul de vânzare aferent perioadei tarifare.</w:t>
      </w:r>
    </w:p>
    <w:p w14:paraId="1437CEAC" w14:textId="77777777" w:rsidR="005A64CF" w:rsidRDefault="00037BE2">
      <w:pPr>
        <w:pStyle w:val="ListParagraph"/>
        <w:numPr>
          <w:ilvl w:val="2"/>
          <w:numId w:val="16"/>
        </w:numPr>
        <w:shd w:val="clear" w:color="auto" w:fill="FFFFFF"/>
        <w:tabs>
          <w:tab w:val="clear" w:pos="2771"/>
          <w:tab w:val="left" w:pos="426"/>
        </w:tabs>
        <w:spacing w:line="360" w:lineRule="auto"/>
        <w:ind w:left="0" w:firstLine="0"/>
        <w:jc w:val="both"/>
        <w:rPr>
          <w:lang w:val="ro-RO"/>
        </w:rPr>
      </w:pPr>
      <w:r>
        <w:rPr>
          <w:rFonts w:eastAsia="Batang"/>
          <w:lang w:val="ro-RO" w:eastAsia="ko-KR"/>
        </w:rPr>
        <w:t>Rezultatele analizei efectuate pentru stabilirea prețului de vânzare</w:t>
      </w:r>
      <w:r>
        <w:rPr>
          <w:lang w:val="ro-RO"/>
        </w:rPr>
        <w:t xml:space="preserve">  se comunică operatorului în vederea formulării unui punct de vedere.</w:t>
      </w:r>
    </w:p>
    <w:p w14:paraId="3C004FE3" w14:textId="77777777" w:rsidR="005A64CF" w:rsidRDefault="00037BE2">
      <w:pPr>
        <w:pStyle w:val="BodyTextIndent3"/>
        <w:numPr>
          <w:ilvl w:val="0"/>
          <w:numId w:val="4"/>
        </w:numPr>
        <w:tabs>
          <w:tab w:val="left" w:pos="142"/>
          <w:tab w:val="left" w:pos="851"/>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Decizia privind stabilirea prețului de vânzare se publică pe pagina de internet a ANRE, se comunică operatorului economic și primăriei localității în care a fost dezvoltat sistemul electroenergetic izolat, în termen de 3 zile lucrătoare de la data ședinței Comitetului de Reglementare.</w:t>
      </w:r>
    </w:p>
    <w:p w14:paraId="7305822A" w14:textId="77777777" w:rsidR="005A64CF" w:rsidRDefault="005A64CF">
      <w:pPr>
        <w:shd w:val="clear" w:color="auto" w:fill="FFFFFF"/>
        <w:spacing w:line="360" w:lineRule="auto"/>
        <w:jc w:val="both"/>
        <w:rPr>
          <w:rFonts w:eastAsia="Times New Roman"/>
          <w:lang w:eastAsia="en-US"/>
        </w:rPr>
      </w:pPr>
    </w:p>
    <w:p w14:paraId="355F8922" w14:textId="77777777" w:rsidR="005A64CF" w:rsidRDefault="00037BE2">
      <w:pPr>
        <w:spacing w:line="360" w:lineRule="auto"/>
        <w:jc w:val="both"/>
        <w:outlineLvl w:val="0"/>
        <w:rPr>
          <w:b/>
        </w:rPr>
      </w:pPr>
      <w:r>
        <w:rPr>
          <w:b/>
        </w:rPr>
        <w:t>CAPITOLUL VII.  DISPOZIŢII  FINALE</w:t>
      </w:r>
    </w:p>
    <w:p w14:paraId="2D1CAB34" w14:textId="77777777" w:rsidR="005A64CF" w:rsidRDefault="005A64CF">
      <w:pPr>
        <w:spacing w:line="360" w:lineRule="auto"/>
        <w:jc w:val="both"/>
        <w:outlineLvl w:val="0"/>
        <w:rPr>
          <w:b/>
        </w:rPr>
      </w:pPr>
    </w:p>
    <w:p w14:paraId="3FE0B92A" w14:textId="77777777" w:rsidR="005A64CF" w:rsidRDefault="00037BE2">
      <w:pPr>
        <w:pStyle w:val="BodyTextIndent3"/>
        <w:numPr>
          <w:ilvl w:val="0"/>
          <w:numId w:val="4"/>
        </w:numPr>
        <w:tabs>
          <w:tab w:val="left" w:pos="142"/>
          <w:tab w:val="left" w:pos="851"/>
        </w:tabs>
        <w:spacing w:after="0" w:line="360" w:lineRule="auto"/>
        <w:ind w:left="0" w:firstLine="0"/>
        <w:jc w:val="both"/>
        <w:rPr>
          <w:rFonts w:ascii="Times New Roman" w:hAnsi="Times New Roman"/>
          <w:b/>
          <w:sz w:val="24"/>
          <w:szCs w:val="24"/>
          <w:lang w:val="ro-RO"/>
        </w:rPr>
      </w:pPr>
      <w:r>
        <w:rPr>
          <w:rFonts w:ascii="Times New Roman" w:hAnsi="Times New Roman"/>
          <w:sz w:val="24"/>
          <w:szCs w:val="24"/>
          <w:lang w:val="ro-RO"/>
        </w:rPr>
        <w:t xml:space="preserve">Operatorul economic publică prețul de vânzare pe pagina de internet proprie, în termen de 2 zile lucrătoare de la primirea deciziei. </w:t>
      </w:r>
    </w:p>
    <w:p w14:paraId="2B2C60D8" w14:textId="77777777" w:rsidR="005A64CF" w:rsidRDefault="00037BE2">
      <w:pPr>
        <w:pStyle w:val="BodyTextIndent3"/>
        <w:numPr>
          <w:ilvl w:val="0"/>
          <w:numId w:val="4"/>
        </w:numPr>
        <w:tabs>
          <w:tab w:val="left" w:pos="142"/>
          <w:tab w:val="left" w:pos="851"/>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În calculul valorii facturii se utilizează prețul de vânzare în forma aprobată de ANRE, cu 5 zecimale. Rotunjirea la unitatea monetară minimă (banul) se realizează la valoarea facturii, înainte de aplicarea taxei pe valoarea adaugată. </w:t>
      </w:r>
    </w:p>
    <w:p w14:paraId="608BF71D" w14:textId="77777777" w:rsidR="005A64CF" w:rsidRDefault="00037BE2">
      <w:pPr>
        <w:pStyle w:val="BodyTextIndent3"/>
        <w:numPr>
          <w:ilvl w:val="0"/>
          <w:numId w:val="4"/>
        </w:numPr>
        <w:tabs>
          <w:tab w:val="left" w:pos="142"/>
          <w:tab w:val="left" w:pos="851"/>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(1) În factura emisă clientului final de către operatorul economic conform contractului, suplimentar faţă de contravaloarea consumului de energie electrică se adaugă şi contravaloarea certificatelor verzi, a accizei, a TVA, precum şi a altor taxe şi impozite prezente sau viitoare, stabilite în conformitate cu prevederile actelor normative aplicabile.</w:t>
      </w:r>
    </w:p>
    <w:p w14:paraId="7493F9A9" w14:textId="77777777" w:rsidR="005A64CF" w:rsidRDefault="00037BE2">
      <w:pPr>
        <w:pStyle w:val="BodyTextIndent3"/>
        <w:tabs>
          <w:tab w:val="left" w:pos="142"/>
          <w:tab w:val="left" w:pos="851"/>
        </w:tabs>
        <w:spacing w:after="0" w:line="360" w:lineRule="auto"/>
        <w:ind w:left="0"/>
        <w:jc w:val="both"/>
        <w:rPr>
          <w:rFonts w:ascii="Times New Roman" w:eastAsia="Batang" w:hAnsi="Times New Roman"/>
          <w:sz w:val="24"/>
          <w:szCs w:val="24"/>
          <w:lang w:val="ro-RO" w:eastAsia="ko-KR"/>
        </w:rPr>
      </w:pPr>
      <w:r>
        <w:rPr>
          <w:rFonts w:ascii="Times New Roman" w:hAnsi="Times New Roman"/>
          <w:sz w:val="24"/>
          <w:szCs w:val="24"/>
          <w:lang w:val="ro-RO"/>
        </w:rPr>
        <w:t>(2)</w:t>
      </w:r>
      <w:r>
        <w:t xml:space="preserve"> </w:t>
      </w:r>
      <w:r>
        <w:rPr>
          <w:rFonts w:ascii="Times New Roman" w:eastAsia="Batang" w:hAnsi="Times New Roman"/>
          <w:sz w:val="24"/>
          <w:szCs w:val="24"/>
          <w:lang w:val="ro-RO" w:eastAsia="ko-KR"/>
        </w:rPr>
        <w:t>În cazul apariţiei unui act normativ de modificare a valorii taxelor/impozitelor prevăzute la alin. (1), noile valori se aplică în factură de la data intrării lor în vigoare, cu notificarea clientului final de către operatorul economic prin intermediul facturii.</w:t>
      </w:r>
    </w:p>
    <w:p w14:paraId="6BDDB856" w14:textId="77777777" w:rsidR="005A64CF" w:rsidRDefault="00037BE2">
      <w:pPr>
        <w:pStyle w:val="BodyTextIndent3"/>
        <w:tabs>
          <w:tab w:val="left" w:pos="142"/>
          <w:tab w:val="left" w:pos="851"/>
        </w:tabs>
        <w:spacing w:after="0" w:line="360" w:lineRule="auto"/>
        <w:ind w:left="0"/>
        <w:jc w:val="both"/>
        <w:rPr>
          <w:rFonts w:ascii="Times New Roman" w:eastAsia="Batang" w:hAnsi="Times New Roman"/>
          <w:sz w:val="24"/>
          <w:szCs w:val="24"/>
          <w:lang w:val="ro-RO" w:eastAsia="ko-KR"/>
        </w:rPr>
      </w:pPr>
      <w:r>
        <w:rPr>
          <w:rFonts w:ascii="Times New Roman" w:eastAsia="Batang" w:hAnsi="Times New Roman"/>
          <w:sz w:val="24"/>
          <w:szCs w:val="24"/>
          <w:lang w:val="ro-RO" w:eastAsia="ko-KR"/>
        </w:rPr>
        <w:t>(3) La data intrării în vigoare a prevederilor legale ce instituie o nouă taxă/un nou impozit, respectiv la data abrogării prevederilor legale ce instituie o taxă existentă/un impozit existent, modificarea se reflectă în factură de la aceeaşi dată, cu notificarea clientului de către operatorul economic prin intermediul facturii.</w:t>
      </w:r>
    </w:p>
    <w:p w14:paraId="33F5A378" w14:textId="77777777" w:rsidR="005A64CF" w:rsidRDefault="00037BE2">
      <w:pPr>
        <w:pStyle w:val="BodyTextIndent3"/>
        <w:numPr>
          <w:ilvl w:val="0"/>
          <w:numId w:val="4"/>
        </w:numPr>
        <w:tabs>
          <w:tab w:val="left" w:pos="142"/>
          <w:tab w:val="left" w:pos="851"/>
        </w:tabs>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Facturile emise de către operatorul economic trebuie să conțină elementele prevazute în Regulamentul de furnizare a energiei electrice la clienţii finali, aprobat prin ordin al preşedintelui ANRE. </w:t>
      </w:r>
    </w:p>
    <w:p w14:paraId="718CFF8B" w14:textId="77777777" w:rsidR="005A64CF" w:rsidRDefault="005A64CF">
      <w:pPr>
        <w:pStyle w:val="BodyTextIndent3"/>
        <w:tabs>
          <w:tab w:val="left" w:pos="142"/>
          <w:tab w:val="left" w:pos="851"/>
        </w:tabs>
        <w:spacing w:after="0" w:line="360" w:lineRule="auto"/>
        <w:ind w:left="0"/>
        <w:jc w:val="both"/>
        <w:rPr>
          <w:rFonts w:ascii="Times New Roman" w:hAnsi="Times New Roman"/>
          <w:sz w:val="24"/>
          <w:szCs w:val="24"/>
          <w:lang w:val="ro-RO"/>
        </w:rPr>
      </w:pPr>
    </w:p>
    <w:sectPr w:rsidR="005A64CF">
      <w:footerReference w:type="even" r:id="rId9"/>
      <w:footerReference w:type="default" r:id="rId10"/>
      <w:headerReference w:type="first" r:id="rId11"/>
      <w:pgSz w:w="11907" w:h="16840"/>
      <w:pgMar w:top="1134" w:right="851" w:bottom="1134"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14F834" w14:textId="77777777" w:rsidR="00037BE2" w:rsidRDefault="00037BE2">
      <w:pPr>
        <w:spacing w:after="0" w:line="240" w:lineRule="auto"/>
      </w:pPr>
      <w:r>
        <w:separator/>
      </w:r>
    </w:p>
  </w:endnote>
  <w:endnote w:type="continuationSeparator" w:id="0">
    <w:p w14:paraId="1F6DD5BB" w14:textId="77777777" w:rsidR="00037BE2" w:rsidRDefault="00037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EE"/>
    <w:family w:val="swiss"/>
    <w:pitch w:val="variable"/>
    <w:sig w:usb0="E1002EFF" w:usb1="C000605B" w:usb2="00000029" w:usb3="00000000" w:csb0="000101FF" w:csb1="00000000"/>
  </w:font>
  <w:font w:name="ArialUpR">
    <w:altName w:val="Times New Roman"/>
    <w:charset w:val="00"/>
    <w:family w:val="auto"/>
    <w:pitch w:val="default"/>
    <w:sig w:usb0="00000000" w:usb1="00000000" w:usb2="00000000" w:usb3="00000000" w:csb0="00000001" w:csb1="00000000"/>
  </w:font>
  <w:font w:name="TimesRomanR">
    <w:altName w:val="Times New Roman"/>
    <w:charset w:val="00"/>
    <w:family w:val="auto"/>
    <w:pitch w:val="default"/>
    <w:sig w:usb0="00000000" w:usb1="00000000" w:usb2="00000000" w:usb3="00000000" w:csb0="00000001" w:csb1="00000000"/>
  </w:font>
  <w:font w:name="EUAlbertina">
    <w:altName w:val="Times New Roman"/>
    <w:charset w:val="00"/>
    <w:family w:val="auto"/>
    <w:pitch w:val="default"/>
    <w:sig w:usb0="00000000" w:usb1="00000000" w:usb2="00000000" w:usb3="00000000" w:csb0="00000001" w:csb1="00000000"/>
  </w:font>
  <w:font w:name="System">
    <w:panose1 w:val="00000000000000000000"/>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等线 Light">
    <w:panose1 w:val="00000000000000000000"/>
    <w:charset w:val="80"/>
    <w:family w:val="roman"/>
    <w:notTrueType/>
    <w:pitch w:val="default"/>
  </w:font>
  <w:font w:name="Calibri Light">
    <w:panose1 w:val="020F0302020204030204"/>
    <w:charset w:val="EE"/>
    <w:family w:val="swiss"/>
    <w:pitch w:val="variable"/>
    <w:sig w:usb0="A00002EF" w:usb1="4000207B" w:usb2="00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03127F" w14:textId="77777777" w:rsidR="005A64CF" w:rsidRDefault="00037B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4E9690D" w14:textId="77777777" w:rsidR="005A64CF" w:rsidRDefault="005A64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DC481" w14:textId="77777777" w:rsidR="005A64CF" w:rsidRDefault="00037BE2">
    <w:pPr>
      <w:pStyle w:val="Footer"/>
      <w:framePr w:wrap="around" w:vAnchor="text" w:hAnchor="margin" w:xAlign="center" w:y="1"/>
      <w:rPr>
        <w:rStyle w:val="PageNumber"/>
        <w:rFonts w:ascii="Times New Roman" w:hAnsi="Times New Roman"/>
        <w:sz w:val="20"/>
      </w:rPr>
    </w:pPr>
    <w:r>
      <w:rPr>
        <w:rStyle w:val="PageNumber"/>
        <w:rFonts w:ascii="Times New Roman" w:hAnsi="Times New Roman"/>
        <w:sz w:val="20"/>
      </w:rPr>
      <w:fldChar w:fldCharType="begin"/>
    </w:r>
    <w:r>
      <w:rPr>
        <w:rStyle w:val="PageNumber"/>
        <w:rFonts w:ascii="Times New Roman" w:hAnsi="Times New Roman"/>
        <w:sz w:val="20"/>
      </w:rPr>
      <w:instrText xml:space="preserve">PAGE  </w:instrText>
    </w:r>
    <w:r>
      <w:rPr>
        <w:rStyle w:val="PageNumber"/>
        <w:rFonts w:ascii="Times New Roman" w:hAnsi="Times New Roman"/>
        <w:sz w:val="20"/>
      </w:rPr>
      <w:fldChar w:fldCharType="separate"/>
    </w:r>
    <w:r w:rsidR="0041090E">
      <w:rPr>
        <w:rStyle w:val="PageNumber"/>
        <w:rFonts w:ascii="Times New Roman" w:hAnsi="Times New Roman"/>
        <w:noProof/>
        <w:sz w:val="20"/>
      </w:rPr>
      <w:t>9</w:t>
    </w:r>
    <w:r>
      <w:rPr>
        <w:rStyle w:val="PageNumber"/>
        <w:rFonts w:ascii="Times New Roman" w:hAnsi="Times New Roman"/>
        <w:sz w:val="20"/>
      </w:rPr>
      <w:fldChar w:fldCharType="end"/>
    </w:r>
  </w:p>
  <w:p w14:paraId="31884F72" w14:textId="77777777" w:rsidR="005A64CF" w:rsidRDefault="005A64CF">
    <w:pPr>
      <w:pStyle w:val="Footer"/>
      <w:tabs>
        <w:tab w:val="right" w:pos="9972"/>
      </w:tabs>
      <w:rPr>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215855" w14:textId="77777777" w:rsidR="00037BE2" w:rsidRDefault="00037BE2">
      <w:pPr>
        <w:spacing w:after="0" w:line="240" w:lineRule="auto"/>
      </w:pPr>
      <w:r>
        <w:separator/>
      </w:r>
    </w:p>
  </w:footnote>
  <w:footnote w:type="continuationSeparator" w:id="0">
    <w:p w14:paraId="1442ED03" w14:textId="77777777" w:rsidR="00037BE2" w:rsidRDefault="00037B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4A24D" w14:textId="77777777" w:rsidR="005A64CF" w:rsidRDefault="00037BE2">
    <w:r>
      <w:rPr>
        <w:noProof/>
        <w:lang w:eastAsia="ro-RO"/>
      </w:rPr>
      <mc:AlternateContent>
        <mc:Choice Requires="wps">
          <w:drawing>
            <wp:anchor distT="0" distB="0" distL="114300" distR="114300" simplePos="0" relativeHeight="251658240" behindDoc="0" locked="0" layoutInCell="1" allowOverlap="1" wp14:anchorId="7DDEB1F9" wp14:editId="635EA107">
              <wp:simplePos x="0" y="0"/>
              <wp:positionH relativeFrom="column">
                <wp:posOffset>979805</wp:posOffset>
              </wp:positionH>
              <wp:positionV relativeFrom="paragraph">
                <wp:posOffset>46990</wp:posOffset>
              </wp:positionV>
              <wp:extent cx="5084445" cy="901700"/>
              <wp:effectExtent l="0" t="0" r="3175"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4445" cy="901700"/>
                      </a:xfrm>
                      <a:prstGeom prst="rect">
                        <a:avLst/>
                      </a:prstGeom>
                      <a:solidFill>
                        <a:srgbClr val="FFFFFF"/>
                      </a:solidFill>
                      <a:ln>
                        <a:noFill/>
                      </a:ln>
                    </wps:spPr>
                    <wps:txbx>
                      <w:txbxContent>
                        <w:p w14:paraId="24E77107" w14:textId="77777777" w:rsidR="005A64CF" w:rsidRDefault="00037BE2">
                          <w:pPr>
                            <w:pStyle w:val="Heading6"/>
                            <w:numPr>
                              <w:ilvl w:val="0"/>
                              <w:numId w:val="0"/>
                            </w:numPr>
                            <w:spacing w:after="20"/>
                            <w:rPr>
                              <w:rFonts w:ascii="Arial" w:hAnsi="Arial"/>
                              <w:b/>
                              <w:spacing w:val="60"/>
                              <w:sz w:val="28"/>
                              <w:lang w:val="fr-FR"/>
                            </w:rPr>
                          </w:pPr>
                          <w:r>
                            <w:rPr>
                              <w:rFonts w:ascii="Arial" w:hAnsi="Arial"/>
                              <w:b/>
                              <w:spacing w:val="60"/>
                              <w:sz w:val="28"/>
                              <w:lang w:val="fr-FR"/>
                            </w:rPr>
                            <w:t>ANRE</w:t>
                          </w:r>
                        </w:p>
                        <w:p w14:paraId="5DE7E046" w14:textId="77777777" w:rsidR="005A64CF" w:rsidRDefault="00037BE2">
                          <w:pPr>
                            <w:rPr>
                              <w:b/>
                              <w:bCs/>
                              <w:spacing w:val="20"/>
                              <w:sz w:val="20"/>
                              <w:lang w:val="fr-FR"/>
                            </w:rPr>
                          </w:pPr>
                          <w:r>
                            <w:rPr>
                              <w:b/>
                              <w:bCs/>
                              <w:spacing w:val="20"/>
                              <w:sz w:val="20"/>
                              <w:lang w:val="fr-FR"/>
                            </w:rPr>
                            <w:t>Autoritatea Na</w:t>
                          </w:r>
                          <w:r>
                            <w:rPr>
                              <w:b/>
                              <w:bCs/>
                              <w:spacing w:val="20"/>
                              <w:sz w:val="20"/>
                            </w:rPr>
                            <w:t>ţională de Reglementare în domeniul Energiei</w:t>
                          </w:r>
                        </w:p>
                        <w:p w14:paraId="2393C941" w14:textId="77777777" w:rsidR="005A64CF" w:rsidRDefault="00037BE2">
                          <w:pPr>
                            <w:rPr>
                              <w:spacing w:val="56"/>
                              <w:sz w:val="18"/>
                              <w:lang w:val="fr-FR"/>
                            </w:rPr>
                          </w:pPr>
                          <w:r>
                            <w:rPr>
                              <w:spacing w:val="56"/>
                              <w:sz w:val="18"/>
                              <w:lang w:val="fr-FR"/>
                            </w:rPr>
                            <w:t xml:space="preserve">str. </w:t>
                          </w:r>
                          <w:r>
                            <w:rPr>
                              <w:spacing w:val="40"/>
                              <w:sz w:val="18"/>
                              <w:lang w:val="fr-FR"/>
                            </w:rPr>
                            <w:t>Constantin Nacu</w:t>
                          </w:r>
                          <w:r>
                            <w:rPr>
                              <w:spacing w:val="56"/>
                              <w:sz w:val="18"/>
                              <w:lang w:val="fr-FR"/>
                            </w:rPr>
                            <w:t xml:space="preserve"> nr.3, </w:t>
                          </w:r>
                          <w:r>
                            <w:rPr>
                              <w:spacing w:val="40"/>
                              <w:sz w:val="18"/>
                              <w:lang w:val="fr-FR"/>
                            </w:rPr>
                            <w:t>RO</w:t>
                          </w:r>
                          <w:r>
                            <w:rPr>
                              <w:rFonts w:cs="Arial"/>
                              <w:b/>
                              <w:spacing w:val="40"/>
                            </w:rPr>
                            <w:sym w:font="Symbol" w:char="F02D"/>
                          </w:r>
                          <w:r>
                            <w:rPr>
                              <w:spacing w:val="40"/>
                              <w:sz w:val="18"/>
                              <w:lang w:val="fr-FR"/>
                            </w:rPr>
                            <w:t>020995</w:t>
                          </w:r>
                          <w:r>
                            <w:rPr>
                              <w:spacing w:val="56"/>
                              <w:sz w:val="18"/>
                              <w:lang w:val="fr-FR"/>
                            </w:rPr>
                            <w:t xml:space="preserve"> </w:t>
                          </w:r>
                          <w:r>
                            <w:rPr>
                              <w:spacing w:val="40"/>
                              <w:sz w:val="18"/>
                              <w:lang w:val="fr-FR"/>
                            </w:rPr>
                            <w:t>Bucureşti</w:t>
                          </w:r>
                          <w:r>
                            <w:rPr>
                              <w:spacing w:val="56"/>
                              <w:sz w:val="18"/>
                              <w:lang w:val="fr-FR"/>
                            </w:rPr>
                            <w:t xml:space="preserve"> </w:t>
                          </w:r>
                          <w:r>
                            <w:rPr>
                              <w:spacing w:val="40"/>
                              <w:sz w:val="18"/>
                              <w:lang w:val="fr-FR"/>
                            </w:rPr>
                            <w:t>37,</w:t>
                          </w:r>
                          <w:r>
                            <w:rPr>
                              <w:spacing w:val="56"/>
                              <w:sz w:val="18"/>
                              <w:lang w:val="fr-FR"/>
                            </w:rPr>
                            <w:t xml:space="preserve"> </w:t>
                          </w:r>
                          <w:r>
                            <w:rPr>
                              <w:spacing w:val="40"/>
                              <w:sz w:val="18"/>
                              <w:lang w:val="fr-FR"/>
                            </w:rPr>
                            <w:t>România</w:t>
                          </w:r>
                        </w:p>
                        <w:p w14:paraId="779C84B2" w14:textId="77777777" w:rsidR="005A64CF" w:rsidRDefault="00037BE2">
                          <w:pPr>
                            <w:rPr>
                              <w:sz w:val="18"/>
                            </w:rPr>
                          </w:pPr>
                          <w:r>
                            <w:rPr>
                              <w:sz w:val="18"/>
                            </w:rPr>
                            <w:t>Tel: +(4021) 311 22 44, Fax: +(4021) 312 43 65, http:// www.anre.ro,  e-mail: anre@anre.ro</w:t>
                          </w:r>
                        </w:p>
                      </w:txbxContent>
                    </wps:txbx>
                    <wps:bodyPr rot="0" vert="horz" wrap="square" lIns="91440" tIns="45720" rIns="91440" bIns="45720" anchor="t" anchorCtr="0" upright="1">
                      <a:noAutofit/>
                    </wps:bodyPr>
                  </wps:wsp>
                </a:graphicData>
              </a:graphic>
            </wp:anchor>
          </w:drawing>
        </mc:Choice>
        <mc:Fallback xmlns:cx="http://schemas.microsoft.com/office/drawing/2014/chartex" xmlns:w16se="http://schemas.microsoft.com/office/word/2015/wordml/symex">
          <w:pict>
            <v:shapetype id="_x0000_t202" coordsize="21600,21600" o:spt="202" path="m,l,21600r21600,l21600,xe">
              <v:stroke joinstyle="miter"/>
              <v:path gradientshapeok="t" o:connecttype="rect"/>
            </v:shapetype>
            <v:shape id="Text Box 2" o:spid="_x0000_s1026" type="#_x0000_t202" style="position:absolute;margin-left:77.15pt;margin-top:3.7pt;width:400.35pt;height:7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" stroked="f">
              <v:textbox>
                <w:txbxContent>
                  <w:p w:rsidR="005A64CF" w:rsidRDefault="00037BE2">
                    <w:pPr>
                      <w:pStyle w:val="Heading6"/>
                      <w:numPr>
                        <w:ilvl w:val="0"/>
                        <w:numId w:val="0"/>
                      </w:numPr>
                      <w:spacing w:after="20"/>
                      <w:rPr>
                        <w:rFonts w:ascii="Arial" w:hAnsi="Arial"/>
                        <w:b/>
                        <w:spacing w:val="60"/>
                        <w:sz w:val="28"/>
                        <w:lang w:val="fr-FR"/>
                      </w:rPr>
                    </w:pPr>
                    <w:r>
                      <w:rPr>
                        <w:rFonts w:ascii="Arial" w:hAnsi="Arial"/>
                        <w:b/>
                        <w:spacing w:val="60"/>
                        <w:sz w:val="28"/>
                        <w:lang w:val="fr-FR"/>
                      </w:rPr>
                      <w:t>ANRE</w:t>
                    </w:r>
                  </w:p>
                  <w:p w:rsidR="005A64CF" w:rsidRDefault="00037BE2">
                    <w:pPr>
                      <w:rPr>
                        <w:b/>
                        <w:bCs/>
                        <w:spacing w:val="20"/>
                        <w:sz w:val="20"/>
                        <w:lang w:val="fr-FR"/>
                      </w:rPr>
                    </w:pPr>
                    <w:r>
                      <w:rPr>
                        <w:b/>
                        <w:bCs/>
                        <w:spacing w:val="20"/>
                        <w:sz w:val="20"/>
                        <w:lang w:val="fr-FR"/>
                      </w:rPr>
                      <w:t>Autoritatea Na</w:t>
                    </w:r>
                    <w:r>
                      <w:rPr>
                        <w:b/>
                        <w:bCs/>
                        <w:spacing w:val="20"/>
                        <w:sz w:val="20"/>
                      </w:rPr>
                      <w:t>ţională de Reglementare în domeniul Energiei</w:t>
                    </w:r>
                  </w:p>
                  <w:p w:rsidR="005A64CF" w:rsidRDefault="00037BE2">
                    <w:pPr>
                      <w:rPr>
                        <w:spacing w:val="56"/>
                        <w:sz w:val="18"/>
                        <w:lang w:val="fr-FR"/>
                      </w:rPr>
                    </w:pPr>
                    <w:r>
                      <w:rPr>
                        <w:spacing w:val="56"/>
                        <w:sz w:val="18"/>
                        <w:lang w:val="fr-FR"/>
                      </w:rPr>
                      <w:t xml:space="preserve">str. </w:t>
                    </w:r>
                    <w:r>
                      <w:rPr>
                        <w:spacing w:val="40"/>
                        <w:sz w:val="18"/>
                        <w:lang w:val="fr-FR"/>
                      </w:rPr>
                      <w:t>Constantin Nacu</w:t>
                    </w:r>
                    <w:r>
                      <w:rPr>
                        <w:spacing w:val="56"/>
                        <w:sz w:val="18"/>
                        <w:lang w:val="fr-FR"/>
                      </w:rPr>
                      <w:t xml:space="preserve"> nr.3, </w:t>
                    </w:r>
                    <w:r>
                      <w:rPr>
                        <w:spacing w:val="40"/>
                        <w:sz w:val="18"/>
                        <w:lang w:val="fr-FR"/>
                      </w:rPr>
                      <w:t>RO</w:t>
                    </w:r>
                    <w:r>
                      <w:rPr>
                        <w:rFonts w:cs="Arial"/>
                        <w:b/>
                        <w:spacing w:val="40"/>
                      </w:rPr>
                      <w:sym w:font="Symbol" w:char="F02D"/>
                    </w:r>
                    <w:r>
                      <w:rPr>
                        <w:spacing w:val="40"/>
                        <w:sz w:val="18"/>
                        <w:lang w:val="fr-FR"/>
                      </w:rPr>
                      <w:t>020995</w:t>
                    </w:r>
                    <w:r>
                      <w:rPr>
                        <w:spacing w:val="56"/>
                        <w:sz w:val="18"/>
                        <w:lang w:val="fr-FR"/>
                      </w:rPr>
                      <w:t xml:space="preserve"> </w:t>
                    </w:r>
                    <w:r>
                      <w:rPr>
                        <w:spacing w:val="40"/>
                        <w:sz w:val="18"/>
                        <w:lang w:val="fr-FR"/>
                      </w:rPr>
                      <w:t>Bucureşti</w:t>
                    </w:r>
                    <w:r>
                      <w:rPr>
                        <w:spacing w:val="56"/>
                        <w:sz w:val="18"/>
                        <w:lang w:val="fr-FR"/>
                      </w:rPr>
                      <w:t xml:space="preserve"> </w:t>
                    </w:r>
                    <w:r>
                      <w:rPr>
                        <w:spacing w:val="40"/>
                        <w:sz w:val="18"/>
                        <w:lang w:val="fr-FR"/>
                      </w:rPr>
                      <w:t>37,</w:t>
                    </w:r>
                    <w:r>
                      <w:rPr>
                        <w:spacing w:val="56"/>
                        <w:sz w:val="18"/>
                        <w:lang w:val="fr-FR"/>
                      </w:rPr>
                      <w:t xml:space="preserve"> </w:t>
                    </w:r>
                    <w:r>
                      <w:rPr>
                        <w:spacing w:val="40"/>
                        <w:sz w:val="18"/>
                        <w:lang w:val="fr-FR"/>
                      </w:rPr>
                      <w:t>România</w:t>
                    </w:r>
                  </w:p>
                  <w:p w:rsidR="005A64CF" w:rsidRDefault="00037BE2">
                    <w:pPr>
                      <w:rPr>
                        <w:sz w:val="18"/>
                      </w:rPr>
                    </w:pPr>
                    <w:r>
                      <w:rPr>
                        <w:sz w:val="18"/>
                      </w:rPr>
                      <w:t>Tel: +(4021) 311 22 44, Fax: +(4021) 312 43 65, http:// www.anre.ro,  e-mail: anre@anre.ro</w:t>
                    </w:r>
                  </w:p>
                </w:txbxContent>
              </v:textbox>
            </v:shape>
          </w:pict>
        </mc:Fallback>
      </mc:AlternateContent>
    </w:r>
  </w:p>
  <w:p w14:paraId="55B34501" w14:textId="77777777" w:rsidR="005A64CF" w:rsidRDefault="00037BE2">
    <w:r>
      <w:rPr>
        <w:noProof/>
        <w:lang w:eastAsia="ro-RO"/>
      </w:rPr>
      <w:drawing>
        <wp:anchor distT="0" distB="0" distL="114300" distR="114300" simplePos="0" relativeHeight="251657216" behindDoc="0" locked="0" layoutInCell="1" allowOverlap="1" wp14:anchorId="4054883F" wp14:editId="05FBB8A6">
          <wp:simplePos x="0" y="0"/>
          <wp:positionH relativeFrom="column">
            <wp:posOffset>114300</wp:posOffset>
          </wp:positionH>
          <wp:positionV relativeFrom="paragraph">
            <wp:posOffset>87630</wp:posOffset>
          </wp:positionV>
          <wp:extent cx="731520" cy="640080"/>
          <wp:effectExtent l="0" t="0" r="0" b="0"/>
          <wp:wrapNone/>
          <wp:docPr id="4" name="Picture 4" desc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31520" cy="640080"/>
                  </a:xfrm>
                  <a:prstGeom prst="rect">
                    <a:avLst/>
                  </a:prstGeom>
                  <a:noFill/>
                  <a:ln>
                    <a:noFill/>
                  </a:ln>
                </pic:spPr>
              </pic:pic>
            </a:graphicData>
          </a:graphic>
        </wp:anchor>
      </w:drawing>
    </w:r>
  </w:p>
  <w:p w14:paraId="596B19D1" w14:textId="77777777" w:rsidR="005A64CF" w:rsidRDefault="005A64CF"/>
  <w:p w14:paraId="7CCA5AB0" w14:textId="77777777" w:rsidR="005A64CF" w:rsidRDefault="005A64CF">
    <w:pPr>
      <w:pStyle w:val="Heading6"/>
      <w:spacing w:after="80"/>
      <w:rPr>
        <w:rFonts w:ascii="Arial" w:hAnsi="Arial"/>
        <w:lang w:val="fr-FR"/>
      </w:rPr>
    </w:pPr>
  </w:p>
  <w:p w14:paraId="7A060420" w14:textId="77777777" w:rsidR="005A64CF" w:rsidRDefault="005A64CF">
    <w:pPr>
      <w:pStyle w:val="FootnoteText"/>
      <w:rPr>
        <w:rFonts w:ascii="Arial" w:hAnsi="Arial"/>
        <w:lang w:val="fr-FR"/>
      </w:rPr>
    </w:pPr>
  </w:p>
  <w:p w14:paraId="53D938EF" w14:textId="77777777" w:rsidR="005A64CF" w:rsidRDefault="005A64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E150A"/>
    <w:multiLevelType w:val="multilevel"/>
    <w:tmpl w:val="04CE150A"/>
    <w:lvl w:ilvl="0">
      <w:start w:val="1"/>
      <w:numFmt w:val="decimal"/>
      <w:pStyle w:val="NewHeading1"/>
      <w:lvlText w:val="CAP.%1."/>
      <w:lvlJc w:val="left"/>
      <w:pPr>
        <w:tabs>
          <w:tab w:val="left" w:pos="1134"/>
        </w:tabs>
        <w:ind w:left="1134" w:hanging="1134"/>
      </w:pPr>
      <w:rPr>
        <w:rFonts w:ascii="Arial" w:hAnsi="Arial" w:hint="default"/>
        <w:b/>
        <w:i w:val="0"/>
        <w:sz w:val="28"/>
        <w:szCs w:val="28"/>
      </w:rPr>
    </w:lvl>
    <w:lvl w:ilvl="1">
      <w:start w:val="1"/>
      <w:numFmt w:val="decimal"/>
      <w:pStyle w:val="NewHeading2"/>
      <w:lvlText w:val="%1.%2."/>
      <w:lvlJc w:val="left"/>
      <w:pPr>
        <w:tabs>
          <w:tab w:val="left" w:pos="851"/>
        </w:tabs>
        <w:ind w:left="851" w:hanging="851"/>
      </w:pPr>
      <w:rPr>
        <w:rFonts w:hint="default"/>
        <w:b/>
        <w:i w:val="0"/>
        <w:sz w:val="28"/>
        <w:szCs w:val="28"/>
      </w:rPr>
    </w:lvl>
    <w:lvl w:ilvl="2">
      <w:start w:val="1"/>
      <w:numFmt w:val="decimal"/>
      <w:pStyle w:val="NewHeading3"/>
      <w:lvlText w:val="%1.%2.%3."/>
      <w:lvlJc w:val="left"/>
      <w:pPr>
        <w:tabs>
          <w:tab w:val="left" w:pos="851"/>
        </w:tabs>
        <w:ind w:left="851" w:hanging="851"/>
      </w:pPr>
      <w:rPr>
        <w:rFonts w:hint="default"/>
      </w:rPr>
    </w:lvl>
    <w:lvl w:ilvl="3">
      <w:start w:val="1"/>
      <w:numFmt w:val="decimal"/>
      <w:pStyle w:val="NewHeading4"/>
      <w:lvlText w:val="%1.%2.%3.%4."/>
      <w:lvlJc w:val="left"/>
      <w:pPr>
        <w:tabs>
          <w:tab w:val="left" w:pos="1080"/>
        </w:tabs>
        <w:ind w:left="851" w:hanging="851"/>
      </w:pPr>
      <w:rPr>
        <w:rFonts w:hint="default"/>
        <w:strike w:val="0"/>
        <w:dstrike w:val="0"/>
        <w:color w:val="auto"/>
      </w:rPr>
    </w:lvl>
    <w:lvl w:ilvl="4">
      <w:start w:val="1"/>
      <w:numFmt w:val="decimal"/>
      <w:lvlText w:val="%1.%2.%3.%4.%5."/>
      <w:lvlJc w:val="left"/>
      <w:pPr>
        <w:tabs>
          <w:tab w:val="left" w:pos="2880"/>
        </w:tabs>
        <w:ind w:left="2592" w:hanging="792"/>
      </w:pPr>
      <w:rPr>
        <w:rFonts w:hint="default"/>
      </w:rPr>
    </w:lvl>
    <w:lvl w:ilvl="5">
      <w:start w:val="1"/>
      <w:numFmt w:val="decimal"/>
      <w:lvlText w:val="%1.%2.%3.%4.%5.%6."/>
      <w:lvlJc w:val="left"/>
      <w:pPr>
        <w:tabs>
          <w:tab w:val="left" w:pos="3240"/>
        </w:tabs>
        <w:ind w:left="3096" w:hanging="936"/>
      </w:pPr>
      <w:rPr>
        <w:rFonts w:hint="default"/>
      </w:rPr>
    </w:lvl>
    <w:lvl w:ilvl="6">
      <w:start w:val="1"/>
      <w:numFmt w:val="decimal"/>
      <w:lvlText w:val="%1.%2.%3.%4.%5.%6.%7."/>
      <w:lvlJc w:val="left"/>
      <w:pPr>
        <w:tabs>
          <w:tab w:val="left" w:pos="3960"/>
        </w:tabs>
        <w:ind w:left="3600" w:hanging="1080"/>
      </w:pPr>
      <w:rPr>
        <w:rFonts w:hint="default"/>
      </w:rPr>
    </w:lvl>
    <w:lvl w:ilvl="7">
      <w:start w:val="1"/>
      <w:numFmt w:val="decimal"/>
      <w:lvlText w:val="%1.%2.%3.%4.%5.%6.%7.%8."/>
      <w:lvlJc w:val="left"/>
      <w:pPr>
        <w:tabs>
          <w:tab w:val="left" w:pos="4320"/>
        </w:tabs>
        <w:ind w:left="4104" w:hanging="1224"/>
      </w:pPr>
      <w:rPr>
        <w:rFonts w:hint="default"/>
      </w:rPr>
    </w:lvl>
    <w:lvl w:ilvl="8">
      <w:start w:val="1"/>
      <w:numFmt w:val="decimal"/>
      <w:lvlText w:val="%1.%2.%3.%4.%5.%6.%7.%8.%9."/>
      <w:lvlJc w:val="left"/>
      <w:pPr>
        <w:tabs>
          <w:tab w:val="left" w:pos="5040"/>
        </w:tabs>
        <w:ind w:left="4680" w:hanging="1440"/>
      </w:pPr>
      <w:rPr>
        <w:rFonts w:hint="default"/>
      </w:rPr>
    </w:lvl>
  </w:abstractNum>
  <w:abstractNum w:abstractNumId="1">
    <w:nsid w:val="07BD186D"/>
    <w:multiLevelType w:val="multilevel"/>
    <w:tmpl w:val="07BD186D"/>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B8B7B72"/>
    <w:multiLevelType w:val="multilevel"/>
    <w:tmpl w:val="0B8B7B72"/>
    <w:lvl w:ilvl="0">
      <w:start w:val="8"/>
      <w:numFmt w:val="decimal"/>
      <w:lvlText w:val="%1."/>
      <w:lvlJc w:val="left"/>
      <w:pPr>
        <w:tabs>
          <w:tab w:val="left" w:pos="720"/>
        </w:tabs>
        <w:ind w:left="720" w:hanging="360"/>
      </w:pPr>
      <w:rPr>
        <w:rFonts w:hint="default"/>
      </w:rPr>
    </w:lvl>
    <w:lvl w:ilvl="1">
      <w:start w:val="1"/>
      <w:numFmt w:val="bullet"/>
      <w:lvlText w:val=""/>
      <w:lvlJc w:val="left"/>
      <w:pPr>
        <w:tabs>
          <w:tab w:val="left" w:pos="1440"/>
        </w:tabs>
        <w:ind w:left="1440" w:hanging="360"/>
      </w:pPr>
      <w:rPr>
        <w:rFonts w:ascii="Symbol" w:hAnsi="Symbol" w:hint="default"/>
      </w:rPr>
    </w:lvl>
    <w:lvl w:ilvl="2">
      <w:start w:val="2"/>
      <w:numFmt w:val="decimal"/>
      <w:lvlText w:val="(%3)"/>
      <w:lvlJc w:val="left"/>
      <w:pPr>
        <w:tabs>
          <w:tab w:val="left" w:pos="2771"/>
        </w:tabs>
        <w:ind w:left="2771" w:hanging="360"/>
      </w:pPr>
      <w:rPr>
        <w:rFonts w:hint="default"/>
        <w:b/>
      </w:rPr>
    </w:lvl>
    <w:lvl w:ilvl="3">
      <w:start w:val="2"/>
      <w:numFmt w:val="lowerRoman"/>
      <w:lvlText w:val="(%4)"/>
      <w:lvlJc w:val="left"/>
      <w:pPr>
        <w:ind w:left="3240" w:hanging="720"/>
      </w:pPr>
      <w:rPr>
        <w:rFonts w:hint="default"/>
      </w:r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
    <w:nsid w:val="17F307CB"/>
    <w:multiLevelType w:val="multilevel"/>
    <w:tmpl w:val="17F307CB"/>
    <w:lvl w:ilvl="0">
      <w:start w:val="1"/>
      <w:numFmt w:val="decimal"/>
      <w:pStyle w:val="Stilactenormative"/>
      <w:lvlText w:val="Art. %1."/>
      <w:lvlJc w:val="left"/>
      <w:pPr>
        <w:ind w:left="720" w:hanging="360"/>
      </w:pPr>
      <w:rPr>
        <w:rFonts w:ascii="Times New Roman" w:hAnsi="Times New Roman" w:cs="Times New Roman"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4AC06CC"/>
    <w:multiLevelType w:val="multilevel"/>
    <w:tmpl w:val="24AC06C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3BA27520"/>
    <w:multiLevelType w:val="multilevel"/>
    <w:tmpl w:val="3BA27520"/>
    <w:lvl w:ilvl="0">
      <w:start w:val="8"/>
      <w:numFmt w:val="decimal"/>
      <w:lvlText w:val="%1."/>
      <w:lvlJc w:val="left"/>
      <w:pPr>
        <w:tabs>
          <w:tab w:val="left" w:pos="720"/>
        </w:tabs>
        <w:ind w:left="720" w:hanging="360"/>
      </w:pPr>
      <w:rPr>
        <w:rFonts w:hint="default"/>
      </w:rPr>
    </w:lvl>
    <w:lvl w:ilvl="1">
      <w:start w:val="1"/>
      <w:numFmt w:val="bullet"/>
      <w:lvlText w:val=""/>
      <w:lvlJc w:val="left"/>
      <w:pPr>
        <w:tabs>
          <w:tab w:val="left" w:pos="1440"/>
        </w:tabs>
        <w:ind w:left="1440" w:hanging="360"/>
      </w:pPr>
      <w:rPr>
        <w:rFonts w:ascii="Symbol" w:hAnsi="Symbol" w:hint="default"/>
      </w:rPr>
    </w:lvl>
    <w:lvl w:ilvl="2">
      <w:start w:val="2"/>
      <w:numFmt w:val="decimal"/>
      <w:lvlText w:val="(%3)"/>
      <w:lvlJc w:val="left"/>
      <w:pPr>
        <w:tabs>
          <w:tab w:val="left" w:pos="2771"/>
        </w:tabs>
        <w:ind w:left="2771" w:hanging="360"/>
      </w:pPr>
      <w:rPr>
        <w:rFonts w:hint="default"/>
        <w:b/>
      </w:rPr>
    </w:lvl>
    <w:lvl w:ilvl="3">
      <w:start w:val="5"/>
      <w:numFmt w:val="lowerRoman"/>
      <w:lvlText w:val="(%4)"/>
      <w:lvlJc w:val="left"/>
      <w:pPr>
        <w:ind w:left="3240" w:hanging="720"/>
      </w:pPr>
      <w:rPr>
        <w:rFonts w:hint="default"/>
      </w:rPr>
    </w:lvl>
    <w:lvl w:ilvl="4">
      <w:start w:val="1"/>
      <w:numFmt w:val="lowerLetter"/>
      <w:lvlText w:val="%5."/>
      <w:lvlJc w:val="left"/>
      <w:pPr>
        <w:tabs>
          <w:tab w:val="left" w:pos="3600"/>
        </w:tabs>
        <w:ind w:left="3600" w:hanging="360"/>
      </w:pPr>
      <w:rPr>
        <w:rFonts w:hint="default"/>
      </w:rPr>
    </w:lvl>
    <w:lvl w:ilvl="5">
      <w:start w:val="1"/>
      <w:numFmt w:val="lowerRoman"/>
      <w:lvlText w:val="%6."/>
      <w:lvlJc w:val="right"/>
      <w:pPr>
        <w:tabs>
          <w:tab w:val="left" w:pos="4320"/>
        </w:tabs>
        <w:ind w:left="4320" w:hanging="180"/>
      </w:pPr>
      <w:rPr>
        <w:rFonts w:hint="default"/>
      </w:rPr>
    </w:lvl>
    <w:lvl w:ilvl="6">
      <w:start w:val="1"/>
      <w:numFmt w:val="decimal"/>
      <w:lvlText w:val="%7."/>
      <w:lvlJc w:val="left"/>
      <w:pPr>
        <w:tabs>
          <w:tab w:val="left" w:pos="5040"/>
        </w:tabs>
        <w:ind w:left="5040" w:hanging="360"/>
      </w:pPr>
      <w:rPr>
        <w:rFonts w:hint="default"/>
      </w:rPr>
    </w:lvl>
    <w:lvl w:ilvl="7">
      <w:start w:val="1"/>
      <w:numFmt w:val="lowerLetter"/>
      <w:lvlText w:val="%8."/>
      <w:lvlJc w:val="left"/>
      <w:pPr>
        <w:tabs>
          <w:tab w:val="left" w:pos="5760"/>
        </w:tabs>
        <w:ind w:left="5760" w:hanging="360"/>
      </w:pPr>
      <w:rPr>
        <w:rFonts w:hint="default"/>
      </w:rPr>
    </w:lvl>
    <w:lvl w:ilvl="8">
      <w:start w:val="1"/>
      <w:numFmt w:val="lowerRoman"/>
      <w:lvlText w:val="%9."/>
      <w:lvlJc w:val="right"/>
      <w:pPr>
        <w:tabs>
          <w:tab w:val="left" w:pos="6480"/>
        </w:tabs>
        <w:ind w:left="6480" w:hanging="180"/>
      </w:pPr>
      <w:rPr>
        <w:rFonts w:hint="default"/>
      </w:rPr>
    </w:lvl>
  </w:abstractNum>
  <w:abstractNum w:abstractNumId="6">
    <w:nsid w:val="40CB6959"/>
    <w:multiLevelType w:val="multilevel"/>
    <w:tmpl w:val="40CB6959"/>
    <w:lvl w:ilvl="0">
      <w:start w:val="1"/>
      <w:numFmt w:val="lowerLetter"/>
      <w:lvlText w:val="%1)"/>
      <w:lvlJc w:val="left"/>
      <w:pPr>
        <w:ind w:left="1144" w:hanging="435"/>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nsid w:val="47832362"/>
    <w:multiLevelType w:val="multilevel"/>
    <w:tmpl w:val="47832362"/>
    <w:lvl w:ilvl="0">
      <w:start w:val="1"/>
      <w:numFmt w:val="lowerLetter"/>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CBD43F2"/>
    <w:multiLevelType w:val="multilevel"/>
    <w:tmpl w:val="4CBD43F2"/>
    <w:lvl w:ilvl="0">
      <w:start w:val="1"/>
      <w:numFmt w:val="lowerRoman"/>
      <w:lvlText w:val="(%1)"/>
      <w:lvlJc w:val="left"/>
      <w:pPr>
        <w:ind w:left="1068" w:hanging="360"/>
      </w:pPr>
      <w:rPr>
        <w:rFonts w:ascii="Times New Roman" w:eastAsia="Times New Roman" w:hAnsi="Times New Roman" w:cs="Times New Roman"/>
        <w:color w:val="auto"/>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4DE519BC"/>
    <w:multiLevelType w:val="multilevel"/>
    <w:tmpl w:val="4DE519BC"/>
    <w:lvl w:ilvl="0">
      <w:start w:val="2"/>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4F746D24"/>
    <w:multiLevelType w:val="multilevel"/>
    <w:tmpl w:val="4F746D2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FBB0AC3"/>
    <w:multiLevelType w:val="multilevel"/>
    <w:tmpl w:val="4FBB0AC3"/>
    <w:lvl w:ilvl="0">
      <w:start w:val="1"/>
      <w:numFmt w:val="lowerLetter"/>
      <w:lvlText w:val="%1)"/>
      <w:lvlJc w:val="left"/>
      <w:pPr>
        <w:tabs>
          <w:tab w:val="left" w:pos="1080"/>
        </w:tabs>
        <w:ind w:left="1080" w:hanging="360"/>
      </w:pPr>
      <w:rPr>
        <w:rFonts w:hint="default"/>
      </w:rPr>
    </w:lvl>
    <w:lvl w:ilvl="1">
      <w:start w:val="1"/>
      <w:numFmt w:val="lowerLetter"/>
      <w:lvlText w:val="%2."/>
      <w:lvlJc w:val="left"/>
      <w:pPr>
        <w:tabs>
          <w:tab w:val="left" w:pos="1800"/>
        </w:tabs>
        <w:ind w:left="1800" w:hanging="360"/>
      </w:pPr>
    </w:lvl>
    <w:lvl w:ilvl="2">
      <w:start w:val="1"/>
      <w:numFmt w:val="lowerRoman"/>
      <w:lvlText w:val="%3."/>
      <w:lvlJc w:val="right"/>
      <w:pPr>
        <w:tabs>
          <w:tab w:val="left" w:pos="2520"/>
        </w:tabs>
        <w:ind w:left="2520" w:hanging="180"/>
      </w:pPr>
    </w:lvl>
    <w:lvl w:ilvl="3">
      <w:start w:val="1"/>
      <w:numFmt w:val="decimal"/>
      <w:lvlText w:val="%4."/>
      <w:lvlJc w:val="left"/>
      <w:pPr>
        <w:tabs>
          <w:tab w:val="left" w:pos="3240"/>
        </w:tabs>
        <w:ind w:left="3240" w:hanging="360"/>
      </w:pPr>
    </w:lvl>
    <w:lvl w:ilvl="4">
      <w:start w:val="1"/>
      <w:numFmt w:val="lowerLetter"/>
      <w:lvlText w:val="%5."/>
      <w:lvlJc w:val="left"/>
      <w:pPr>
        <w:tabs>
          <w:tab w:val="left" w:pos="3960"/>
        </w:tabs>
        <w:ind w:left="3960" w:hanging="360"/>
      </w:pPr>
    </w:lvl>
    <w:lvl w:ilvl="5">
      <w:start w:val="1"/>
      <w:numFmt w:val="lowerRoman"/>
      <w:lvlText w:val="%6."/>
      <w:lvlJc w:val="right"/>
      <w:pPr>
        <w:tabs>
          <w:tab w:val="left" w:pos="4680"/>
        </w:tabs>
        <w:ind w:left="4680" w:hanging="180"/>
      </w:pPr>
    </w:lvl>
    <w:lvl w:ilvl="6">
      <w:start w:val="1"/>
      <w:numFmt w:val="decimal"/>
      <w:lvlText w:val="%7."/>
      <w:lvlJc w:val="left"/>
      <w:pPr>
        <w:tabs>
          <w:tab w:val="left" w:pos="5400"/>
        </w:tabs>
        <w:ind w:left="5400" w:hanging="360"/>
      </w:pPr>
    </w:lvl>
    <w:lvl w:ilvl="7">
      <w:start w:val="1"/>
      <w:numFmt w:val="lowerLetter"/>
      <w:lvlText w:val="%8."/>
      <w:lvlJc w:val="left"/>
      <w:pPr>
        <w:tabs>
          <w:tab w:val="left" w:pos="6120"/>
        </w:tabs>
        <w:ind w:left="6120" w:hanging="360"/>
      </w:pPr>
    </w:lvl>
    <w:lvl w:ilvl="8">
      <w:start w:val="1"/>
      <w:numFmt w:val="lowerRoman"/>
      <w:lvlText w:val="%9."/>
      <w:lvlJc w:val="right"/>
      <w:pPr>
        <w:tabs>
          <w:tab w:val="left" w:pos="6840"/>
        </w:tabs>
        <w:ind w:left="6840" w:hanging="180"/>
      </w:pPr>
    </w:lvl>
  </w:abstractNum>
  <w:abstractNum w:abstractNumId="12">
    <w:nsid w:val="5BC01348"/>
    <w:multiLevelType w:val="multilevel"/>
    <w:tmpl w:val="5BC01348"/>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nsid w:val="73B64CEE"/>
    <w:multiLevelType w:val="singleLevel"/>
    <w:tmpl w:val="73B64CEE"/>
    <w:lvl w:ilvl="0">
      <w:numFmt w:val="bullet"/>
      <w:pStyle w:val="Bodytext-Bullet"/>
      <w:lvlText w:val=""/>
      <w:lvlJc w:val="left"/>
      <w:pPr>
        <w:tabs>
          <w:tab w:val="left" w:pos="360"/>
        </w:tabs>
        <w:ind w:left="360" w:hanging="360"/>
      </w:pPr>
      <w:rPr>
        <w:rFonts w:ascii="Symbol" w:hAnsi="Symbol" w:hint="default"/>
      </w:rPr>
    </w:lvl>
  </w:abstractNum>
  <w:abstractNum w:abstractNumId="14">
    <w:nsid w:val="77500423"/>
    <w:multiLevelType w:val="multilevel"/>
    <w:tmpl w:val="77500423"/>
    <w:lvl w:ilvl="0">
      <w:start w:val="2"/>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CBC0752"/>
    <w:multiLevelType w:val="multilevel"/>
    <w:tmpl w:val="7CBC0752"/>
    <w:lvl w:ilvl="0">
      <w:start w:val="1"/>
      <w:numFmt w:val="decimal"/>
      <w:pStyle w:val="Heading1"/>
      <w:lvlText w:val="%1"/>
      <w:lvlJc w:val="left"/>
      <w:pPr>
        <w:tabs>
          <w:tab w:val="left" w:pos="432"/>
        </w:tabs>
        <w:ind w:left="432" w:hanging="432"/>
      </w:pPr>
      <w:rPr>
        <w:rFonts w:hint="default"/>
      </w:rPr>
    </w:lvl>
    <w:lvl w:ilvl="1">
      <w:start w:val="1"/>
      <w:numFmt w:val="decimal"/>
      <w:pStyle w:val="Heading2"/>
      <w:lvlText w:val="%1.%2"/>
      <w:lvlJc w:val="left"/>
      <w:pPr>
        <w:tabs>
          <w:tab w:val="left" w:pos="576"/>
        </w:tabs>
        <w:ind w:left="576" w:hanging="576"/>
      </w:pPr>
      <w:rPr>
        <w:rFonts w:hint="default"/>
      </w:rPr>
    </w:lvl>
    <w:lvl w:ilvl="2">
      <w:start w:val="1"/>
      <w:numFmt w:val="decimal"/>
      <w:pStyle w:val="Heading3"/>
      <w:lvlText w:val="%1.%2.%3"/>
      <w:lvlJc w:val="left"/>
      <w:pPr>
        <w:tabs>
          <w:tab w:val="left" w:pos="720"/>
        </w:tabs>
        <w:ind w:left="720" w:hanging="720"/>
      </w:pPr>
      <w:rPr>
        <w:rFonts w:hint="default"/>
      </w:rPr>
    </w:lvl>
    <w:lvl w:ilvl="3">
      <w:start w:val="1"/>
      <w:numFmt w:val="decimal"/>
      <w:pStyle w:val="Heading4"/>
      <w:lvlText w:val="%1.%2.%3.%4"/>
      <w:lvlJc w:val="left"/>
      <w:pPr>
        <w:tabs>
          <w:tab w:val="left" w:pos="864"/>
        </w:tabs>
        <w:ind w:left="864" w:hanging="864"/>
      </w:pPr>
      <w:rPr>
        <w:rFonts w:hint="default"/>
      </w:rPr>
    </w:lvl>
    <w:lvl w:ilvl="4">
      <w:start w:val="1"/>
      <w:numFmt w:val="decimal"/>
      <w:pStyle w:val="Heading5"/>
      <w:lvlText w:val="%1.%2.%3.%4.%5"/>
      <w:lvlJc w:val="left"/>
      <w:pPr>
        <w:tabs>
          <w:tab w:val="left" w:pos="1080"/>
        </w:tabs>
        <w:ind w:left="1008" w:hanging="1008"/>
      </w:pPr>
      <w:rPr>
        <w:rFonts w:hint="default"/>
      </w:rPr>
    </w:lvl>
    <w:lvl w:ilvl="5">
      <w:start w:val="1"/>
      <w:numFmt w:val="decimal"/>
      <w:pStyle w:val="Heading6"/>
      <w:lvlText w:val="(%6)"/>
      <w:lvlJc w:val="left"/>
      <w:pPr>
        <w:tabs>
          <w:tab w:val="left" w:pos="1277"/>
        </w:tabs>
        <w:ind w:left="1277" w:hanging="567"/>
      </w:pPr>
      <w:rPr>
        <w:rFonts w:hint="default"/>
      </w:rPr>
    </w:lvl>
    <w:lvl w:ilvl="6">
      <w:start w:val="1"/>
      <w:numFmt w:val="lowerRoman"/>
      <w:pStyle w:val="Heading7"/>
      <w:lvlText w:val="(%7)"/>
      <w:lvlJc w:val="left"/>
      <w:pPr>
        <w:tabs>
          <w:tab w:val="left" w:pos="1288"/>
        </w:tabs>
        <w:ind w:left="1135" w:hanging="567"/>
      </w:pPr>
      <w:rPr>
        <w:rFonts w:hint="default"/>
      </w:rPr>
    </w:lvl>
    <w:lvl w:ilvl="7">
      <w:start w:val="1"/>
      <w:numFmt w:val="decimalZero"/>
      <w:pStyle w:val="Heading8"/>
      <w:lvlText w:val="(%8)"/>
      <w:lvlJc w:val="left"/>
      <w:pPr>
        <w:tabs>
          <w:tab w:val="left" w:pos="1701"/>
        </w:tabs>
        <w:ind w:left="1701" w:hanging="567"/>
      </w:pPr>
      <w:rPr>
        <w:rFonts w:hint="default"/>
      </w:rPr>
    </w:lvl>
    <w:lvl w:ilvl="8">
      <w:start w:val="1"/>
      <w:numFmt w:val="decimal"/>
      <w:pStyle w:val="Heading9"/>
      <w:lvlText w:val="%1.%2.%3.%4.%5.%6.%7.%8.%9"/>
      <w:lvlJc w:val="left"/>
      <w:pPr>
        <w:tabs>
          <w:tab w:val="left" w:pos="1584"/>
        </w:tabs>
        <w:ind w:left="1584" w:hanging="1584"/>
      </w:pPr>
      <w:rPr>
        <w:rFonts w:hint="default"/>
      </w:rPr>
    </w:lvl>
  </w:abstractNum>
  <w:num w:numId="1">
    <w:abstractNumId w:val="15"/>
  </w:num>
  <w:num w:numId="2">
    <w:abstractNumId w:val="13"/>
  </w:num>
  <w:num w:numId="3">
    <w:abstractNumId w:val="0"/>
  </w:num>
  <w:num w:numId="4">
    <w:abstractNumId w:val="3"/>
  </w:num>
  <w:num w:numId="5">
    <w:abstractNumId w:val="11"/>
  </w:num>
  <w:num w:numId="6">
    <w:abstractNumId w:val="1"/>
  </w:num>
  <w:num w:numId="7">
    <w:abstractNumId w:val="12"/>
  </w:num>
  <w:num w:numId="8">
    <w:abstractNumId w:val="9"/>
  </w:num>
  <w:num w:numId="9">
    <w:abstractNumId w:val="14"/>
  </w:num>
  <w:num w:numId="10">
    <w:abstractNumId w:val="7"/>
  </w:num>
  <w:num w:numId="11">
    <w:abstractNumId w:val="8"/>
  </w:num>
  <w:num w:numId="12">
    <w:abstractNumId w:val="6"/>
  </w:num>
  <w:num w:numId="13">
    <w:abstractNumId w:val="10"/>
  </w:num>
  <w:num w:numId="14">
    <w:abstractNumId w:val="2"/>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84C"/>
    <w:rsid w:val="000004DC"/>
    <w:rsid w:val="00002B73"/>
    <w:rsid w:val="00003CBD"/>
    <w:rsid w:val="00003FFA"/>
    <w:rsid w:val="0000451A"/>
    <w:rsid w:val="000049B8"/>
    <w:rsid w:val="00004A8A"/>
    <w:rsid w:val="0000566C"/>
    <w:rsid w:val="00005AF4"/>
    <w:rsid w:val="00006626"/>
    <w:rsid w:val="00006A7B"/>
    <w:rsid w:val="000074C3"/>
    <w:rsid w:val="0001098B"/>
    <w:rsid w:val="00014C40"/>
    <w:rsid w:val="00016049"/>
    <w:rsid w:val="00016271"/>
    <w:rsid w:val="00016BB8"/>
    <w:rsid w:val="00016F90"/>
    <w:rsid w:val="000179CC"/>
    <w:rsid w:val="0002075F"/>
    <w:rsid w:val="000209C6"/>
    <w:rsid w:val="0002251A"/>
    <w:rsid w:val="00023F2F"/>
    <w:rsid w:val="00026142"/>
    <w:rsid w:val="000263FE"/>
    <w:rsid w:val="00027234"/>
    <w:rsid w:val="0003154A"/>
    <w:rsid w:val="0003160F"/>
    <w:rsid w:val="00032F2E"/>
    <w:rsid w:val="0003388D"/>
    <w:rsid w:val="00035C32"/>
    <w:rsid w:val="00036D2F"/>
    <w:rsid w:val="00037BE2"/>
    <w:rsid w:val="000407A9"/>
    <w:rsid w:val="00040937"/>
    <w:rsid w:val="000420F1"/>
    <w:rsid w:val="000421B2"/>
    <w:rsid w:val="000438DC"/>
    <w:rsid w:val="00043F68"/>
    <w:rsid w:val="00044187"/>
    <w:rsid w:val="000442D6"/>
    <w:rsid w:val="000505F8"/>
    <w:rsid w:val="000506E4"/>
    <w:rsid w:val="0005242B"/>
    <w:rsid w:val="000541DA"/>
    <w:rsid w:val="00054554"/>
    <w:rsid w:val="00054CC5"/>
    <w:rsid w:val="000551E9"/>
    <w:rsid w:val="00055C03"/>
    <w:rsid w:val="000565A5"/>
    <w:rsid w:val="00057D00"/>
    <w:rsid w:val="00067A92"/>
    <w:rsid w:val="00067F6F"/>
    <w:rsid w:val="00071507"/>
    <w:rsid w:val="000740F5"/>
    <w:rsid w:val="00074793"/>
    <w:rsid w:val="000826B2"/>
    <w:rsid w:val="00082E0C"/>
    <w:rsid w:val="00083F27"/>
    <w:rsid w:val="0008561D"/>
    <w:rsid w:val="00085F88"/>
    <w:rsid w:val="00087F7B"/>
    <w:rsid w:val="000901AF"/>
    <w:rsid w:val="00093397"/>
    <w:rsid w:val="000934B1"/>
    <w:rsid w:val="0009574E"/>
    <w:rsid w:val="00095A95"/>
    <w:rsid w:val="00096A84"/>
    <w:rsid w:val="000A01FF"/>
    <w:rsid w:val="000A09CF"/>
    <w:rsid w:val="000A34DB"/>
    <w:rsid w:val="000A3DAE"/>
    <w:rsid w:val="000A5C5E"/>
    <w:rsid w:val="000A6185"/>
    <w:rsid w:val="000B0355"/>
    <w:rsid w:val="000B1231"/>
    <w:rsid w:val="000B1618"/>
    <w:rsid w:val="000B28FC"/>
    <w:rsid w:val="000B4F7C"/>
    <w:rsid w:val="000B6B74"/>
    <w:rsid w:val="000B72F1"/>
    <w:rsid w:val="000B743C"/>
    <w:rsid w:val="000B7486"/>
    <w:rsid w:val="000C1674"/>
    <w:rsid w:val="000C2BC1"/>
    <w:rsid w:val="000C3CC6"/>
    <w:rsid w:val="000C42CE"/>
    <w:rsid w:val="000C78BB"/>
    <w:rsid w:val="000D061F"/>
    <w:rsid w:val="000D1D15"/>
    <w:rsid w:val="000D6869"/>
    <w:rsid w:val="000D6F1A"/>
    <w:rsid w:val="000E01E1"/>
    <w:rsid w:val="000E11A4"/>
    <w:rsid w:val="000E236B"/>
    <w:rsid w:val="000E2C00"/>
    <w:rsid w:val="000E2FC5"/>
    <w:rsid w:val="000E31D3"/>
    <w:rsid w:val="000E53DE"/>
    <w:rsid w:val="000E68E8"/>
    <w:rsid w:val="000F12D5"/>
    <w:rsid w:val="000F2D71"/>
    <w:rsid w:val="000F34C3"/>
    <w:rsid w:val="000F5D74"/>
    <w:rsid w:val="000F6868"/>
    <w:rsid w:val="000F7C2E"/>
    <w:rsid w:val="001008EA"/>
    <w:rsid w:val="0010134A"/>
    <w:rsid w:val="00102F2E"/>
    <w:rsid w:val="001051C4"/>
    <w:rsid w:val="001063A8"/>
    <w:rsid w:val="00106F56"/>
    <w:rsid w:val="001122C7"/>
    <w:rsid w:val="001124CE"/>
    <w:rsid w:val="00114B29"/>
    <w:rsid w:val="00115EC0"/>
    <w:rsid w:val="00117EBE"/>
    <w:rsid w:val="00120CC1"/>
    <w:rsid w:val="00121763"/>
    <w:rsid w:val="00122BCD"/>
    <w:rsid w:val="001262B2"/>
    <w:rsid w:val="00126917"/>
    <w:rsid w:val="00126995"/>
    <w:rsid w:val="00127197"/>
    <w:rsid w:val="00132FF2"/>
    <w:rsid w:val="001330D1"/>
    <w:rsid w:val="001345A8"/>
    <w:rsid w:val="00137015"/>
    <w:rsid w:val="00137DA3"/>
    <w:rsid w:val="00142E52"/>
    <w:rsid w:val="00146AB3"/>
    <w:rsid w:val="0015331D"/>
    <w:rsid w:val="001536C8"/>
    <w:rsid w:val="001545A4"/>
    <w:rsid w:val="00154A98"/>
    <w:rsid w:val="00155F84"/>
    <w:rsid w:val="0016009C"/>
    <w:rsid w:val="001602F2"/>
    <w:rsid w:val="001606BC"/>
    <w:rsid w:val="00160C60"/>
    <w:rsid w:val="00160F68"/>
    <w:rsid w:val="0016215A"/>
    <w:rsid w:val="00162304"/>
    <w:rsid w:val="00162F5B"/>
    <w:rsid w:val="00163B4B"/>
    <w:rsid w:val="0017039B"/>
    <w:rsid w:val="001707F6"/>
    <w:rsid w:val="001708FC"/>
    <w:rsid w:val="00170C4D"/>
    <w:rsid w:val="00173055"/>
    <w:rsid w:val="00173AE6"/>
    <w:rsid w:val="00174889"/>
    <w:rsid w:val="001752B9"/>
    <w:rsid w:val="001753EF"/>
    <w:rsid w:val="00176AB2"/>
    <w:rsid w:val="00177F9D"/>
    <w:rsid w:val="00180E16"/>
    <w:rsid w:val="00181701"/>
    <w:rsid w:val="0018238B"/>
    <w:rsid w:val="00182659"/>
    <w:rsid w:val="00185D65"/>
    <w:rsid w:val="0018710E"/>
    <w:rsid w:val="0019290D"/>
    <w:rsid w:val="00194295"/>
    <w:rsid w:val="00195AA3"/>
    <w:rsid w:val="00196501"/>
    <w:rsid w:val="001A0090"/>
    <w:rsid w:val="001A08E4"/>
    <w:rsid w:val="001A0AB3"/>
    <w:rsid w:val="001A0BD4"/>
    <w:rsid w:val="001A149D"/>
    <w:rsid w:val="001A2851"/>
    <w:rsid w:val="001A4943"/>
    <w:rsid w:val="001A5685"/>
    <w:rsid w:val="001A5726"/>
    <w:rsid w:val="001A5CCF"/>
    <w:rsid w:val="001A5F2F"/>
    <w:rsid w:val="001A6783"/>
    <w:rsid w:val="001A737A"/>
    <w:rsid w:val="001B0E07"/>
    <w:rsid w:val="001B1A18"/>
    <w:rsid w:val="001B1FBB"/>
    <w:rsid w:val="001B47FF"/>
    <w:rsid w:val="001B7AFC"/>
    <w:rsid w:val="001C0161"/>
    <w:rsid w:val="001C3011"/>
    <w:rsid w:val="001C47F5"/>
    <w:rsid w:val="001C696E"/>
    <w:rsid w:val="001C6A83"/>
    <w:rsid w:val="001C7206"/>
    <w:rsid w:val="001C7C8F"/>
    <w:rsid w:val="001D2B9C"/>
    <w:rsid w:val="001D2C12"/>
    <w:rsid w:val="001D469B"/>
    <w:rsid w:val="001D5BEF"/>
    <w:rsid w:val="001D66DD"/>
    <w:rsid w:val="001E18B1"/>
    <w:rsid w:val="001E2864"/>
    <w:rsid w:val="001E326D"/>
    <w:rsid w:val="001E4BA7"/>
    <w:rsid w:val="001E63FD"/>
    <w:rsid w:val="001E65F2"/>
    <w:rsid w:val="001E66BE"/>
    <w:rsid w:val="001F0777"/>
    <w:rsid w:val="001F431B"/>
    <w:rsid w:val="001F4338"/>
    <w:rsid w:val="001F4879"/>
    <w:rsid w:val="001F64FF"/>
    <w:rsid w:val="001F67E7"/>
    <w:rsid w:val="001F7D22"/>
    <w:rsid w:val="001F7D9A"/>
    <w:rsid w:val="00201993"/>
    <w:rsid w:val="00203A60"/>
    <w:rsid w:val="00203A96"/>
    <w:rsid w:val="00207675"/>
    <w:rsid w:val="00207720"/>
    <w:rsid w:val="002100EC"/>
    <w:rsid w:val="002100F9"/>
    <w:rsid w:val="0021022F"/>
    <w:rsid w:val="0021031F"/>
    <w:rsid w:val="00211E06"/>
    <w:rsid w:val="002129E0"/>
    <w:rsid w:val="00212F57"/>
    <w:rsid w:val="00213068"/>
    <w:rsid w:val="00216101"/>
    <w:rsid w:val="00216D99"/>
    <w:rsid w:val="00220B63"/>
    <w:rsid w:val="002216B1"/>
    <w:rsid w:val="00222CD1"/>
    <w:rsid w:val="00224148"/>
    <w:rsid w:val="0023018B"/>
    <w:rsid w:val="00230772"/>
    <w:rsid w:val="00231226"/>
    <w:rsid w:val="00231336"/>
    <w:rsid w:val="0023163F"/>
    <w:rsid w:val="00232A61"/>
    <w:rsid w:val="00233B31"/>
    <w:rsid w:val="002345A9"/>
    <w:rsid w:val="0023518D"/>
    <w:rsid w:val="00235F22"/>
    <w:rsid w:val="00235FAE"/>
    <w:rsid w:val="002410F3"/>
    <w:rsid w:val="00241198"/>
    <w:rsid w:val="00242028"/>
    <w:rsid w:val="00242776"/>
    <w:rsid w:val="002454A0"/>
    <w:rsid w:val="00250192"/>
    <w:rsid w:val="002539D8"/>
    <w:rsid w:val="00255681"/>
    <w:rsid w:val="0025723C"/>
    <w:rsid w:val="00257F8F"/>
    <w:rsid w:val="00261737"/>
    <w:rsid w:val="002628A6"/>
    <w:rsid w:val="00263F18"/>
    <w:rsid w:val="002651F2"/>
    <w:rsid w:val="002656EC"/>
    <w:rsid w:val="00265B22"/>
    <w:rsid w:val="0026638C"/>
    <w:rsid w:val="00267207"/>
    <w:rsid w:val="00270A53"/>
    <w:rsid w:val="00270FCE"/>
    <w:rsid w:val="00271377"/>
    <w:rsid w:val="002714C1"/>
    <w:rsid w:val="00272916"/>
    <w:rsid w:val="00272C05"/>
    <w:rsid w:val="002740CC"/>
    <w:rsid w:val="00274C50"/>
    <w:rsid w:val="0027504B"/>
    <w:rsid w:val="002760A3"/>
    <w:rsid w:val="00276141"/>
    <w:rsid w:val="0027646A"/>
    <w:rsid w:val="002812E7"/>
    <w:rsid w:val="002816B9"/>
    <w:rsid w:val="00281A09"/>
    <w:rsid w:val="00281B88"/>
    <w:rsid w:val="002844AF"/>
    <w:rsid w:val="00284BA6"/>
    <w:rsid w:val="002866AD"/>
    <w:rsid w:val="00290C7E"/>
    <w:rsid w:val="00291937"/>
    <w:rsid w:val="00291CF2"/>
    <w:rsid w:val="002926E9"/>
    <w:rsid w:val="002969E7"/>
    <w:rsid w:val="002A0F57"/>
    <w:rsid w:val="002A1097"/>
    <w:rsid w:val="002A18DF"/>
    <w:rsid w:val="002A219D"/>
    <w:rsid w:val="002A22E6"/>
    <w:rsid w:val="002A2DD6"/>
    <w:rsid w:val="002A7CF2"/>
    <w:rsid w:val="002B2520"/>
    <w:rsid w:val="002B2A2D"/>
    <w:rsid w:val="002B2AC7"/>
    <w:rsid w:val="002B68DD"/>
    <w:rsid w:val="002C1109"/>
    <w:rsid w:val="002C62A9"/>
    <w:rsid w:val="002C68A5"/>
    <w:rsid w:val="002D4D6C"/>
    <w:rsid w:val="002D4E1B"/>
    <w:rsid w:val="002D5B22"/>
    <w:rsid w:val="002D631E"/>
    <w:rsid w:val="002E2418"/>
    <w:rsid w:val="002E3071"/>
    <w:rsid w:val="002E37E7"/>
    <w:rsid w:val="002E4355"/>
    <w:rsid w:val="002E5E3D"/>
    <w:rsid w:val="002E6A75"/>
    <w:rsid w:val="002E6F3E"/>
    <w:rsid w:val="002E7D59"/>
    <w:rsid w:val="002F2920"/>
    <w:rsid w:val="002F2C5A"/>
    <w:rsid w:val="002F346D"/>
    <w:rsid w:val="002F50F2"/>
    <w:rsid w:val="002F5517"/>
    <w:rsid w:val="002F74B3"/>
    <w:rsid w:val="00301FC4"/>
    <w:rsid w:val="003020B7"/>
    <w:rsid w:val="0030285D"/>
    <w:rsid w:val="0030386D"/>
    <w:rsid w:val="003044B1"/>
    <w:rsid w:val="00306033"/>
    <w:rsid w:val="00306F6E"/>
    <w:rsid w:val="00307EE8"/>
    <w:rsid w:val="00310285"/>
    <w:rsid w:val="003114A7"/>
    <w:rsid w:val="003122A1"/>
    <w:rsid w:val="003125BA"/>
    <w:rsid w:val="00313110"/>
    <w:rsid w:val="003159D6"/>
    <w:rsid w:val="00321AAD"/>
    <w:rsid w:val="00322AF0"/>
    <w:rsid w:val="003239CB"/>
    <w:rsid w:val="00330EB1"/>
    <w:rsid w:val="0033115A"/>
    <w:rsid w:val="00333340"/>
    <w:rsid w:val="00334878"/>
    <w:rsid w:val="00335BE2"/>
    <w:rsid w:val="00335CAD"/>
    <w:rsid w:val="003362E3"/>
    <w:rsid w:val="003369F4"/>
    <w:rsid w:val="003373A0"/>
    <w:rsid w:val="0033790D"/>
    <w:rsid w:val="0034017D"/>
    <w:rsid w:val="0034093B"/>
    <w:rsid w:val="0034397F"/>
    <w:rsid w:val="0034435E"/>
    <w:rsid w:val="003448D6"/>
    <w:rsid w:val="003459DF"/>
    <w:rsid w:val="00350358"/>
    <w:rsid w:val="00351F49"/>
    <w:rsid w:val="003540F9"/>
    <w:rsid w:val="00354F7D"/>
    <w:rsid w:val="003569C1"/>
    <w:rsid w:val="00356F07"/>
    <w:rsid w:val="00360E74"/>
    <w:rsid w:val="00364B32"/>
    <w:rsid w:val="00365B8A"/>
    <w:rsid w:val="0036643E"/>
    <w:rsid w:val="00367277"/>
    <w:rsid w:val="0036789D"/>
    <w:rsid w:val="00367CE8"/>
    <w:rsid w:val="0037000D"/>
    <w:rsid w:val="00370425"/>
    <w:rsid w:val="0037051A"/>
    <w:rsid w:val="00372E37"/>
    <w:rsid w:val="0037722F"/>
    <w:rsid w:val="00377B27"/>
    <w:rsid w:val="003805DB"/>
    <w:rsid w:val="00383B06"/>
    <w:rsid w:val="00384A6B"/>
    <w:rsid w:val="00384DCD"/>
    <w:rsid w:val="003865B8"/>
    <w:rsid w:val="003919C3"/>
    <w:rsid w:val="003927D7"/>
    <w:rsid w:val="00394EBA"/>
    <w:rsid w:val="00395A3A"/>
    <w:rsid w:val="00395F5B"/>
    <w:rsid w:val="00396539"/>
    <w:rsid w:val="0039672E"/>
    <w:rsid w:val="003A2690"/>
    <w:rsid w:val="003A40BB"/>
    <w:rsid w:val="003A4396"/>
    <w:rsid w:val="003A7715"/>
    <w:rsid w:val="003B0CAC"/>
    <w:rsid w:val="003B16C5"/>
    <w:rsid w:val="003B21D7"/>
    <w:rsid w:val="003B2345"/>
    <w:rsid w:val="003B2CB4"/>
    <w:rsid w:val="003B2F88"/>
    <w:rsid w:val="003B3383"/>
    <w:rsid w:val="003B4C78"/>
    <w:rsid w:val="003B626E"/>
    <w:rsid w:val="003B646E"/>
    <w:rsid w:val="003B6E18"/>
    <w:rsid w:val="003B7B22"/>
    <w:rsid w:val="003C026F"/>
    <w:rsid w:val="003C399D"/>
    <w:rsid w:val="003C4FD8"/>
    <w:rsid w:val="003C5B4F"/>
    <w:rsid w:val="003C7207"/>
    <w:rsid w:val="003D0111"/>
    <w:rsid w:val="003D04BE"/>
    <w:rsid w:val="003D0BDA"/>
    <w:rsid w:val="003D1296"/>
    <w:rsid w:val="003D20B3"/>
    <w:rsid w:val="003D5432"/>
    <w:rsid w:val="003E05F8"/>
    <w:rsid w:val="003E09D2"/>
    <w:rsid w:val="003E3CD2"/>
    <w:rsid w:val="003E4626"/>
    <w:rsid w:val="003E6950"/>
    <w:rsid w:val="003E6B1A"/>
    <w:rsid w:val="003E7606"/>
    <w:rsid w:val="003F1CD9"/>
    <w:rsid w:val="003F2E58"/>
    <w:rsid w:val="003F41CC"/>
    <w:rsid w:val="003F62E9"/>
    <w:rsid w:val="003F65D7"/>
    <w:rsid w:val="00400834"/>
    <w:rsid w:val="00401E90"/>
    <w:rsid w:val="00401E95"/>
    <w:rsid w:val="00402F10"/>
    <w:rsid w:val="00405381"/>
    <w:rsid w:val="004058BF"/>
    <w:rsid w:val="00405A29"/>
    <w:rsid w:val="0041090E"/>
    <w:rsid w:val="00411B01"/>
    <w:rsid w:val="00412101"/>
    <w:rsid w:val="00414A81"/>
    <w:rsid w:val="0041570C"/>
    <w:rsid w:val="0042150F"/>
    <w:rsid w:val="00423370"/>
    <w:rsid w:val="004242B6"/>
    <w:rsid w:val="00425599"/>
    <w:rsid w:val="004303E7"/>
    <w:rsid w:val="0043064E"/>
    <w:rsid w:val="0043138D"/>
    <w:rsid w:val="0043284A"/>
    <w:rsid w:val="00435AD1"/>
    <w:rsid w:val="004366FB"/>
    <w:rsid w:val="00437A75"/>
    <w:rsid w:val="00440E0B"/>
    <w:rsid w:val="00442547"/>
    <w:rsid w:val="00443187"/>
    <w:rsid w:val="00445265"/>
    <w:rsid w:val="004457FA"/>
    <w:rsid w:val="00453138"/>
    <w:rsid w:val="004532FA"/>
    <w:rsid w:val="004533A5"/>
    <w:rsid w:val="00454E96"/>
    <w:rsid w:val="00455B26"/>
    <w:rsid w:val="004576DD"/>
    <w:rsid w:val="00457E17"/>
    <w:rsid w:val="00461FD3"/>
    <w:rsid w:val="004639B3"/>
    <w:rsid w:val="00466BD3"/>
    <w:rsid w:val="00466FA0"/>
    <w:rsid w:val="004736AB"/>
    <w:rsid w:val="00473755"/>
    <w:rsid w:val="004820BF"/>
    <w:rsid w:val="00482F06"/>
    <w:rsid w:val="00482F70"/>
    <w:rsid w:val="004833C7"/>
    <w:rsid w:val="004835A1"/>
    <w:rsid w:val="004861F3"/>
    <w:rsid w:val="00486FED"/>
    <w:rsid w:val="00487065"/>
    <w:rsid w:val="004871DF"/>
    <w:rsid w:val="004905DD"/>
    <w:rsid w:val="00490E18"/>
    <w:rsid w:val="00491999"/>
    <w:rsid w:val="00493210"/>
    <w:rsid w:val="004939CE"/>
    <w:rsid w:val="004941D6"/>
    <w:rsid w:val="00494F4A"/>
    <w:rsid w:val="0049594E"/>
    <w:rsid w:val="00496119"/>
    <w:rsid w:val="00496963"/>
    <w:rsid w:val="004A0278"/>
    <w:rsid w:val="004A1C4E"/>
    <w:rsid w:val="004A2B29"/>
    <w:rsid w:val="004A354B"/>
    <w:rsid w:val="004A4D06"/>
    <w:rsid w:val="004A7B91"/>
    <w:rsid w:val="004B1FCD"/>
    <w:rsid w:val="004B3256"/>
    <w:rsid w:val="004B35FB"/>
    <w:rsid w:val="004B6DE3"/>
    <w:rsid w:val="004C1DC1"/>
    <w:rsid w:val="004C3686"/>
    <w:rsid w:val="004C716E"/>
    <w:rsid w:val="004C76EF"/>
    <w:rsid w:val="004D157C"/>
    <w:rsid w:val="004D1F7A"/>
    <w:rsid w:val="004D2DED"/>
    <w:rsid w:val="004D41EF"/>
    <w:rsid w:val="004D7C71"/>
    <w:rsid w:val="004E06EC"/>
    <w:rsid w:val="004E237C"/>
    <w:rsid w:val="004E24AF"/>
    <w:rsid w:val="004E3381"/>
    <w:rsid w:val="004E3FB2"/>
    <w:rsid w:val="004E4134"/>
    <w:rsid w:val="004E4EA0"/>
    <w:rsid w:val="004E5764"/>
    <w:rsid w:val="004E7BEA"/>
    <w:rsid w:val="004F1485"/>
    <w:rsid w:val="004F2F58"/>
    <w:rsid w:val="004F3622"/>
    <w:rsid w:val="004F4E7D"/>
    <w:rsid w:val="004F61A4"/>
    <w:rsid w:val="00500277"/>
    <w:rsid w:val="00505860"/>
    <w:rsid w:val="00506028"/>
    <w:rsid w:val="00510E36"/>
    <w:rsid w:val="0051222E"/>
    <w:rsid w:val="0051260C"/>
    <w:rsid w:val="0051332C"/>
    <w:rsid w:val="005152DE"/>
    <w:rsid w:val="00516763"/>
    <w:rsid w:val="00516FC5"/>
    <w:rsid w:val="00521614"/>
    <w:rsid w:val="005219B9"/>
    <w:rsid w:val="0052225C"/>
    <w:rsid w:val="00523D3D"/>
    <w:rsid w:val="00524322"/>
    <w:rsid w:val="005243A7"/>
    <w:rsid w:val="00526634"/>
    <w:rsid w:val="0052704A"/>
    <w:rsid w:val="00527424"/>
    <w:rsid w:val="005276D1"/>
    <w:rsid w:val="00530802"/>
    <w:rsid w:val="00531C4C"/>
    <w:rsid w:val="00532589"/>
    <w:rsid w:val="00533767"/>
    <w:rsid w:val="00534301"/>
    <w:rsid w:val="00536112"/>
    <w:rsid w:val="0053717B"/>
    <w:rsid w:val="0053726C"/>
    <w:rsid w:val="00540EE7"/>
    <w:rsid w:val="00541121"/>
    <w:rsid w:val="00542C4A"/>
    <w:rsid w:val="005436C0"/>
    <w:rsid w:val="00543B2D"/>
    <w:rsid w:val="00544A0F"/>
    <w:rsid w:val="00544B72"/>
    <w:rsid w:val="00545583"/>
    <w:rsid w:val="0055185F"/>
    <w:rsid w:val="00553150"/>
    <w:rsid w:val="00553552"/>
    <w:rsid w:val="00554842"/>
    <w:rsid w:val="00554A76"/>
    <w:rsid w:val="005552D6"/>
    <w:rsid w:val="00556286"/>
    <w:rsid w:val="005572C3"/>
    <w:rsid w:val="005615A7"/>
    <w:rsid w:val="0056293D"/>
    <w:rsid w:val="0056328E"/>
    <w:rsid w:val="00564B57"/>
    <w:rsid w:val="00565366"/>
    <w:rsid w:val="00565FAB"/>
    <w:rsid w:val="00566DC6"/>
    <w:rsid w:val="00567E42"/>
    <w:rsid w:val="0057027D"/>
    <w:rsid w:val="00570F23"/>
    <w:rsid w:val="00572860"/>
    <w:rsid w:val="00573367"/>
    <w:rsid w:val="005800D3"/>
    <w:rsid w:val="00581953"/>
    <w:rsid w:val="00582169"/>
    <w:rsid w:val="00583DEE"/>
    <w:rsid w:val="005854D6"/>
    <w:rsid w:val="00585659"/>
    <w:rsid w:val="005859DE"/>
    <w:rsid w:val="00585FBD"/>
    <w:rsid w:val="00586599"/>
    <w:rsid w:val="00587FD6"/>
    <w:rsid w:val="005918DB"/>
    <w:rsid w:val="00591AA1"/>
    <w:rsid w:val="00591D31"/>
    <w:rsid w:val="00593943"/>
    <w:rsid w:val="00594711"/>
    <w:rsid w:val="005976A7"/>
    <w:rsid w:val="00597A07"/>
    <w:rsid w:val="005A246D"/>
    <w:rsid w:val="005A4FDF"/>
    <w:rsid w:val="005A64CF"/>
    <w:rsid w:val="005B007D"/>
    <w:rsid w:val="005B104B"/>
    <w:rsid w:val="005B11D1"/>
    <w:rsid w:val="005B1FB3"/>
    <w:rsid w:val="005B20CE"/>
    <w:rsid w:val="005B4854"/>
    <w:rsid w:val="005B5182"/>
    <w:rsid w:val="005B736F"/>
    <w:rsid w:val="005B7483"/>
    <w:rsid w:val="005C0034"/>
    <w:rsid w:val="005C16E2"/>
    <w:rsid w:val="005C2671"/>
    <w:rsid w:val="005C3694"/>
    <w:rsid w:val="005D043E"/>
    <w:rsid w:val="005D128B"/>
    <w:rsid w:val="005D1322"/>
    <w:rsid w:val="005E02FA"/>
    <w:rsid w:val="005E2656"/>
    <w:rsid w:val="005E29F3"/>
    <w:rsid w:val="005E5082"/>
    <w:rsid w:val="005E57BE"/>
    <w:rsid w:val="005E746B"/>
    <w:rsid w:val="005E7B57"/>
    <w:rsid w:val="005E7D46"/>
    <w:rsid w:val="005F1DC2"/>
    <w:rsid w:val="005F6436"/>
    <w:rsid w:val="005F6790"/>
    <w:rsid w:val="005F684A"/>
    <w:rsid w:val="005F68FA"/>
    <w:rsid w:val="005F6A18"/>
    <w:rsid w:val="005F6B5D"/>
    <w:rsid w:val="005F70EC"/>
    <w:rsid w:val="005F7203"/>
    <w:rsid w:val="006003BD"/>
    <w:rsid w:val="006009C8"/>
    <w:rsid w:val="00601391"/>
    <w:rsid w:val="00601C8B"/>
    <w:rsid w:val="00602629"/>
    <w:rsid w:val="0060350E"/>
    <w:rsid w:val="006106A1"/>
    <w:rsid w:val="006107EC"/>
    <w:rsid w:val="00612EAF"/>
    <w:rsid w:val="00613583"/>
    <w:rsid w:val="00613668"/>
    <w:rsid w:val="00614A29"/>
    <w:rsid w:val="00616402"/>
    <w:rsid w:val="00616815"/>
    <w:rsid w:val="00616BA8"/>
    <w:rsid w:val="00617372"/>
    <w:rsid w:val="006173E7"/>
    <w:rsid w:val="00617E35"/>
    <w:rsid w:val="00620A3B"/>
    <w:rsid w:val="00620D6E"/>
    <w:rsid w:val="00621422"/>
    <w:rsid w:val="0062201E"/>
    <w:rsid w:val="00622517"/>
    <w:rsid w:val="00625356"/>
    <w:rsid w:val="00630D06"/>
    <w:rsid w:val="00630D16"/>
    <w:rsid w:val="0063430F"/>
    <w:rsid w:val="00634787"/>
    <w:rsid w:val="00634DBE"/>
    <w:rsid w:val="00635F00"/>
    <w:rsid w:val="006408E6"/>
    <w:rsid w:val="00641942"/>
    <w:rsid w:val="00643F8C"/>
    <w:rsid w:val="00644206"/>
    <w:rsid w:val="0064476E"/>
    <w:rsid w:val="006454CC"/>
    <w:rsid w:val="00645F89"/>
    <w:rsid w:val="006474DA"/>
    <w:rsid w:val="0065022F"/>
    <w:rsid w:val="00650D3B"/>
    <w:rsid w:val="006519D8"/>
    <w:rsid w:val="0065247B"/>
    <w:rsid w:val="00653404"/>
    <w:rsid w:val="00654979"/>
    <w:rsid w:val="00655709"/>
    <w:rsid w:val="0065598E"/>
    <w:rsid w:val="006570DD"/>
    <w:rsid w:val="0065760F"/>
    <w:rsid w:val="006619BE"/>
    <w:rsid w:val="00662F12"/>
    <w:rsid w:val="00664FB6"/>
    <w:rsid w:val="00665834"/>
    <w:rsid w:val="00666056"/>
    <w:rsid w:val="00667438"/>
    <w:rsid w:val="0067042F"/>
    <w:rsid w:val="00675DE4"/>
    <w:rsid w:val="00682274"/>
    <w:rsid w:val="00682693"/>
    <w:rsid w:val="00683972"/>
    <w:rsid w:val="00683D43"/>
    <w:rsid w:val="006843A5"/>
    <w:rsid w:val="0068697A"/>
    <w:rsid w:val="0068723B"/>
    <w:rsid w:val="00687331"/>
    <w:rsid w:val="006902B0"/>
    <w:rsid w:val="006914D1"/>
    <w:rsid w:val="00693CE8"/>
    <w:rsid w:val="00694DB0"/>
    <w:rsid w:val="00695192"/>
    <w:rsid w:val="00695459"/>
    <w:rsid w:val="006971D1"/>
    <w:rsid w:val="00697F42"/>
    <w:rsid w:val="006A196C"/>
    <w:rsid w:val="006A1F6F"/>
    <w:rsid w:val="006A4CDA"/>
    <w:rsid w:val="006B19EC"/>
    <w:rsid w:val="006B218D"/>
    <w:rsid w:val="006B3D38"/>
    <w:rsid w:val="006B3DAB"/>
    <w:rsid w:val="006B3DD0"/>
    <w:rsid w:val="006B41E4"/>
    <w:rsid w:val="006B69A0"/>
    <w:rsid w:val="006B6CE1"/>
    <w:rsid w:val="006B6EC6"/>
    <w:rsid w:val="006B7D3C"/>
    <w:rsid w:val="006C018E"/>
    <w:rsid w:val="006C02AB"/>
    <w:rsid w:val="006C54E5"/>
    <w:rsid w:val="006D00BA"/>
    <w:rsid w:val="006D5F0F"/>
    <w:rsid w:val="006D7B92"/>
    <w:rsid w:val="006E0FCE"/>
    <w:rsid w:val="006E2442"/>
    <w:rsid w:val="006E292B"/>
    <w:rsid w:val="006E34E9"/>
    <w:rsid w:val="006E37D2"/>
    <w:rsid w:val="006E38DA"/>
    <w:rsid w:val="006E4536"/>
    <w:rsid w:val="006E77C2"/>
    <w:rsid w:val="006F01DC"/>
    <w:rsid w:val="006F0366"/>
    <w:rsid w:val="006F1C5A"/>
    <w:rsid w:val="006F292A"/>
    <w:rsid w:val="006F622C"/>
    <w:rsid w:val="00700A2C"/>
    <w:rsid w:val="00701E59"/>
    <w:rsid w:val="00702952"/>
    <w:rsid w:val="00702CFA"/>
    <w:rsid w:val="00704422"/>
    <w:rsid w:val="00704A76"/>
    <w:rsid w:val="00707237"/>
    <w:rsid w:val="00710AE7"/>
    <w:rsid w:val="00711F06"/>
    <w:rsid w:val="007124DC"/>
    <w:rsid w:val="00712B5C"/>
    <w:rsid w:val="0071644B"/>
    <w:rsid w:val="0071727F"/>
    <w:rsid w:val="00720E23"/>
    <w:rsid w:val="00723F0C"/>
    <w:rsid w:val="00724A60"/>
    <w:rsid w:val="007251E9"/>
    <w:rsid w:val="00725C3F"/>
    <w:rsid w:val="00730CAE"/>
    <w:rsid w:val="00731333"/>
    <w:rsid w:val="00731720"/>
    <w:rsid w:val="00731852"/>
    <w:rsid w:val="00731908"/>
    <w:rsid w:val="00733568"/>
    <w:rsid w:val="00734DBF"/>
    <w:rsid w:val="007356E5"/>
    <w:rsid w:val="00736DF8"/>
    <w:rsid w:val="00737F7F"/>
    <w:rsid w:val="0074541C"/>
    <w:rsid w:val="007457B5"/>
    <w:rsid w:val="00745CDD"/>
    <w:rsid w:val="00745D69"/>
    <w:rsid w:val="007542D5"/>
    <w:rsid w:val="00754C9C"/>
    <w:rsid w:val="0075521D"/>
    <w:rsid w:val="00756028"/>
    <w:rsid w:val="00756C43"/>
    <w:rsid w:val="00756D9B"/>
    <w:rsid w:val="00760042"/>
    <w:rsid w:val="007619C0"/>
    <w:rsid w:val="007625EF"/>
    <w:rsid w:val="007634A0"/>
    <w:rsid w:val="00763CAF"/>
    <w:rsid w:val="007642B8"/>
    <w:rsid w:val="00771E9D"/>
    <w:rsid w:val="00772BA5"/>
    <w:rsid w:val="007736DA"/>
    <w:rsid w:val="00775ED2"/>
    <w:rsid w:val="00777EE8"/>
    <w:rsid w:val="00780F5B"/>
    <w:rsid w:val="00782F35"/>
    <w:rsid w:val="007840A6"/>
    <w:rsid w:val="007840FB"/>
    <w:rsid w:val="007846E7"/>
    <w:rsid w:val="007865A2"/>
    <w:rsid w:val="007879D3"/>
    <w:rsid w:val="00794CFA"/>
    <w:rsid w:val="007959F8"/>
    <w:rsid w:val="00795F8A"/>
    <w:rsid w:val="007A4D44"/>
    <w:rsid w:val="007A7750"/>
    <w:rsid w:val="007B06FD"/>
    <w:rsid w:val="007B229C"/>
    <w:rsid w:val="007B28B6"/>
    <w:rsid w:val="007B39FC"/>
    <w:rsid w:val="007B3B49"/>
    <w:rsid w:val="007B468A"/>
    <w:rsid w:val="007B481A"/>
    <w:rsid w:val="007B5465"/>
    <w:rsid w:val="007B608B"/>
    <w:rsid w:val="007B642D"/>
    <w:rsid w:val="007B7C01"/>
    <w:rsid w:val="007C0E93"/>
    <w:rsid w:val="007C4DEB"/>
    <w:rsid w:val="007D1415"/>
    <w:rsid w:val="007D1B27"/>
    <w:rsid w:val="007D37CC"/>
    <w:rsid w:val="007D4CD5"/>
    <w:rsid w:val="007D6841"/>
    <w:rsid w:val="007D73FD"/>
    <w:rsid w:val="007E0D82"/>
    <w:rsid w:val="007E19BB"/>
    <w:rsid w:val="007E1B1D"/>
    <w:rsid w:val="007E3C46"/>
    <w:rsid w:val="007E74CC"/>
    <w:rsid w:val="007F3445"/>
    <w:rsid w:val="007F4543"/>
    <w:rsid w:val="007F5012"/>
    <w:rsid w:val="007F60A3"/>
    <w:rsid w:val="007F7A5E"/>
    <w:rsid w:val="00801F65"/>
    <w:rsid w:val="00802970"/>
    <w:rsid w:val="00802C07"/>
    <w:rsid w:val="008042C4"/>
    <w:rsid w:val="00804E6F"/>
    <w:rsid w:val="00806744"/>
    <w:rsid w:val="00806830"/>
    <w:rsid w:val="00806DCE"/>
    <w:rsid w:val="00814517"/>
    <w:rsid w:val="00820CA2"/>
    <w:rsid w:val="00820E1A"/>
    <w:rsid w:val="00820EB5"/>
    <w:rsid w:val="008217C3"/>
    <w:rsid w:val="008258AA"/>
    <w:rsid w:val="00825CE8"/>
    <w:rsid w:val="00826E0C"/>
    <w:rsid w:val="00830122"/>
    <w:rsid w:val="0083091B"/>
    <w:rsid w:val="00830CD0"/>
    <w:rsid w:val="00831142"/>
    <w:rsid w:val="00832125"/>
    <w:rsid w:val="0083374A"/>
    <w:rsid w:val="00833B4B"/>
    <w:rsid w:val="00835EA3"/>
    <w:rsid w:val="0083634A"/>
    <w:rsid w:val="00836538"/>
    <w:rsid w:val="00836F8E"/>
    <w:rsid w:val="00840571"/>
    <w:rsid w:val="00842E18"/>
    <w:rsid w:val="00844293"/>
    <w:rsid w:val="00846026"/>
    <w:rsid w:val="00852D0E"/>
    <w:rsid w:val="00852D79"/>
    <w:rsid w:val="008576DA"/>
    <w:rsid w:val="00860DAC"/>
    <w:rsid w:val="00863747"/>
    <w:rsid w:val="008644E8"/>
    <w:rsid w:val="0086607C"/>
    <w:rsid w:val="00871CBC"/>
    <w:rsid w:val="00873633"/>
    <w:rsid w:val="008743C7"/>
    <w:rsid w:val="008758FE"/>
    <w:rsid w:val="00876437"/>
    <w:rsid w:val="00880375"/>
    <w:rsid w:val="00882BC3"/>
    <w:rsid w:val="0088484C"/>
    <w:rsid w:val="00885211"/>
    <w:rsid w:val="008865DE"/>
    <w:rsid w:val="00892413"/>
    <w:rsid w:val="00892435"/>
    <w:rsid w:val="00894E82"/>
    <w:rsid w:val="00895430"/>
    <w:rsid w:val="00896AAC"/>
    <w:rsid w:val="00896D1A"/>
    <w:rsid w:val="00896EC5"/>
    <w:rsid w:val="008A0226"/>
    <w:rsid w:val="008A071D"/>
    <w:rsid w:val="008A085D"/>
    <w:rsid w:val="008A0B58"/>
    <w:rsid w:val="008A3B05"/>
    <w:rsid w:val="008A615C"/>
    <w:rsid w:val="008A6877"/>
    <w:rsid w:val="008A7DE2"/>
    <w:rsid w:val="008B090F"/>
    <w:rsid w:val="008B32CD"/>
    <w:rsid w:val="008B39F8"/>
    <w:rsid w:val="008B6C4E"/>
    <w:rsid w:val="008B7659"/>
    <w:rsid w:val="008B7D3A"/>
    <w:rsid w:val="008B7DE3"/>
    <w:rsid w:val="008C020D"/>
    <w:rsid w:val="008C05E3"/>
    <w:rsid w:val="008C0A09"/>
    <w:rsid w:val="008C132D"/>
    <w:rsid w:val="008C30D1"/>
    <w:rsid w:val="008C47D1"/>
    <w:rsid w:val="008C4A91"/>
    <w:rsid w:val="008C4D32"/>
    <w:rsid w:val="008C6737"/>
    <w:rsid w:val="008C765E"/>
    <w:rsid w:val="008C798B"/>
    <w:rsid w:val="008C7C87"/>
    <w:rsid w:val="008C7EAE"/>
    <w:rsid w:val="008D1D9C"/>
    <w:rsid w:val="008D2E39"/>
    <w:rsid w:val="008D796D"/>
    <w:rsid w:val="008E221B"/>
    <w:rsid w:val="008E26B6"/>
    <w:rsid w:val="008E2ABF"/>
    <w:rsid w:val="008E37A5"/>
    <w:rsid w:val="008E3AC5"/>
    <w:rsid w:val="008E3B19"/>
    <w:rsid w:val="008E4F42"/>
    <w:rsid w:val="008E52BC"/>
    <w:rsid w:val="008E7069"/>
    <w:rsid w:val="008E72DD"/>
    <w:rsid w:val="008E752C"/>
    <w:rsid w:val="008E7787"/>
    <w:rsid w:val="008F0DEA"/>
    <w:rsid w:val="008F47ED"/>
    <w:rsid w:val="008F5134"/>
    <w:rsid w:val="008F6286"/>
    <w:rsid w:val="008F75B0"/>
    <w:rsid w:val="008F7E21"/>
    <w:rsid w:val="008F7E72"/>
    <w:rsid w:val="0090027F"/>
    <w:rsid w:val="00901298"/>
    <w:rsid w:val="00902AE0"/>
    <w:rsid w:val="00902D7B"/>
    <w:rsid w:val="00903B99"/>
    <w:rsid w:val="00907641"/>
    <w:rsid w:val="00907F16"/>
    <w:rsid w:val="009119E2"/>
    <w:rsid w:val="0091310E"/>
    <w:rsid w:val="00913D88"/>
    <w:rsid w:val="00914F75"/>
    <w:rsid w:val="00916633"/>
    <w:rsid w:val="009178BA"/>
    <w:rsid w:val="009207CF"/>
    <w:rsid w:val="009223E0"/>
    <w:rsid w:val="00922760"/>
    <w:rsid w:val="00922D5C"/>
    <w:rsid w:val="00924515"/>
    <w:rsid w:val="009319F7"/>
    <w:rsid w:val="009327C3"/>
    <w:rsid w:val="00933B69"/>
    <w:rsid w:val="00934658"/>
    <w:rsid w:val="00935B83"/>
    <w:rsid w:val="00935FF2"/>
    <w:rsid w:val="00936FC7"/>
    <w:rsid w:val="00940E66"/>
    <w:rsid w:val="00941AAB"/>
    <w:rsid w:val="009438B1"/>
    <w:rsid w:val="00943A89"/>
    <w:rsid w:val="00945E62"/>
    <w:rsid w:val="0094769C"/>
    <w:rsid w:val="00950F79"/>
    <w:rsid w:val="009516FF"/>
    <w:rsid w:val="009519CF"/>
    <w:rsid w:val="00952A23"/>
    <w:rsid w:val="009532C2"/>
    <w:rsid w:val="00954BF9"/>
    <w:rsid w:val="00957826"/>
    <w:rsid w:val="0095798D"/>
    <w:rsid w:val="009606BC"/>
    <w:rsid w:val="009610FD"/>
    <w:rsid w:val="009627F6"/>
    <w:rsid w:val="0096424E"/>
    <w:rsid w:val="00965AA8"/>
    <w:rsid w:val="00966071"/>
    <w:rsid w:val="00966AFF"/>
    <w:rsid w:val="00966D03"/>
    <w:rsid w:val="00970B98"/>
    <w:rsid w:val="00973368"/>
    <w:rsid w:val="009776DE"/>
    <w:rsid w:val="00983218"/>
    <w:rsid w:val="00986A3A"/>
    <w:rsid w:val="009875F0"/>
    <w:rsid w:val="009901EB"/>
    <w:rsid w:val="00991E90"/>
    <w:rsid w:val="00992145"/>
    <w:rsid w:val="00992CD4"/>
    <w:rsid w:val="00993BFF"/>
    <w:rsid w:val="00994471"/>
    <w:rsid w:val="00994DF3"/>
    <w:rsid w:val="00994FFA"/>
    <w:rsid w:val="0099588F"/>
    <w:rsid w:val="00995E78"/>
    <w:rsid w:val="00997C56"/>
    <w:rsid w:val="009A1494"/>
    <w:rsid w:val="009A3D54"/>
    <w:rsid w:val="009A6A31"/>
    <w:rsid w:val="009A70C9"/>
    <w:rsid w:val="009B0A6E"/>
    <w:rsid w:val="009B1873"/>
    <w:rsid w:val="009B4262"/>
    <w:rsid w:val="009B4C62"/>
    <w:rsid w:val="009B4CAE"/>
    <w:rsid w:val="009B5D5D"/>
    <w:rsid w:val="009B6BF7"/>
    <w:rsid w:val="009C157E"/>
    <w:rsid w:val="009C1AB9"/>
    <w:rsid w:val="009C3354"/>
    <w:rsid w:val="009C33E3"/>
    <w:rsid w:val="009C4604"/>
    <w:rsid w:val="009C4D43"/>
    <w:rsid w:val="009C4D8C"/>
    <w:rsid w:val="009C761F"/>
    <w:rsid w:val="009D09AF"/>
    <w:rsid w:val="009D0FE4"/>
    <w:rsid w:val="009D18DF"/>
    <w:rsid w:val="009D27DA"/>
    <w:rsid w:val="009D2F18"/>
    <w:rsid w:val="009D4B98"/>
    <w:rsid w:val="009D7AC1"/>
    <w:rsid w:val="009E273B"/>
    <w:rsid w:val="009E36E1"/>
    <w:rsid w:val="009E3EB7"/>
    <w:rsid w:val="009E542D"/>
    <w:rsid w:val="009E69AF"/>
    <w:rsid w:val="009E6EE1"/>
    <w:rsid w:val="009E7F08"/>
    <w:rsid w:val="009F0177"/>
    <w:rsid w:val="009F13BB"/>
    <w:rsid w:val="009F1D64"/>
    <w:rsid w:val="009F2C38"/>
    <w:rsid w:val="009F2FBB"/>
    <w:rsid w:val="009F522B"/>
    <w:rsid w:val="009F526B"/>
    <w:rsid w:val="009F5980"/>
    <w:rsid w:val="009F6682"/>
    <w:rsid w:val="009F7A66"/>
    <w:rsid w:val="00A0108A"/>
    <w:rsid w:val="00A02A06"/>
    <w:rsid w:val="00A042C8"/>
    <w:rsid w:val="00A06D4A"/>
    <w:rsid w:val="00A10418"/>
    <w:rsid w:val="00A10ACB"/>
    <w:rsid w:val="00A114D0"/>
    <w:rsid w:val="00A11BB6"/>
    <w:rsid w:val="00A13183"/>
    <w:rsid w:val="00A14CC0"/>
    <w:rsid w:val="00A15342"/>
    <w:rsid w:val="00A16EF7"/>
    <w:rsid w:val="00A2127C"/>
    <w:rsid w:val="00A24279"/>
    <w:rsid w:val="00A248F8"/>
    <w:rsid w:val="00A25B22"/>
    <w:rsid w:val="00A30583"/>
    <w:rsid w:val="00A32C76"/>
    <w:rsid w:val="00A348BD"/>
    <w:rsid w:val="00A34B4D"/>
    <w:rsid w:val="00A34B8E"/>
    <w:rsid w:val="00A357EC"/>
    <w:rsid w:val="00A40042"/>
    <w:rsid w:val="00A43B03"/>
    <w:rsid w:val="00A43F02"/>
    <w:rsid w:val="00A43FA2"/>
    <w:rsid w:val="00A44309"/>
    <w:rsid w:val="00A44DD5"/>
    <w:rsid w:val="00A456E8"/>
    <w:rsid w:val="00A45AC7"/>
    <w:rsid w:val="00A46D21"/>
    <w:rsid w:val="00A50432"/>
    <w:rsid w:val="00A516D8"/>
    <w:rsid w:val="00A55366"/>
    <w:rsid w:val="00A5556A"/>
    <w:rsid w:val="00A60439"/>
    <w:rsid w:val="00A611DE"/>
    <w:rsid w:val="00A643BD"/>
    <w:rsid w:val="00A64999"/>
    <w:rsid w:val="00A649A2"/>
    <w:rsid w:val="00A65232"/>
    <w:rsid w:val="00A7051E"/>
    <w:rsid w:val="00A71B57"/>
    <w:rsid w:val="00A72654"/>
    <w:rsid w:val="00A72786"/>
    <w:rsid w:val="00A72BA4"/>
    <w:rsid w:val="00A7427F"/>
    <w:rsid w:val="00A75247"/>
    <w:rsid w:val="00A77AAE"/>
    <w:rsid w:val="00A842CF"/>
    <w:rsid w:val="00A84823"/>
    <w:rsid w:val="00A850E7"/>
    <w:rsid w:val="00A851FC"/>
    <w:rsid w:val="00A87271"/>
    <w:rsid w:val="00A87718"/>
    <w:rsid w:val="00A940A2"/>
    <w:rsid w:val="00A9465E"/>
    <w:rsid w:val="00A96AAD"/>
    <w:rsid w:val="00A97129"/>
    <w:rsid w:val="00A97AE5"/>
    <w:rsid w:val="00AA0AC2"/>
    <w:rsid w:val="00AA1FC4"/>
    <w:rsid w:val="00AA225D"/>
    <w:rsid w:val="00AA268B"/>
    <w:rsid w:val="00AA317C"/>
    <w:rsid w:val="00AA3B27"/>
    <w:rsid w:val="00AA3ED1"/>
    <w:rsid w:val="00AA4642"/>
    <w:rsid w:val="00AA5D7D"/>
    <w:rsid w:val="00AA63C6"/>
    <w:rsid w:val="00AA6ACC"/>
    <w:rsid w:val="00AA6AE7"/>
    <w:rsid w:val="00AB14AF"/>
    <w:rsid w:val="00AB20C4"/>
    <w:rsid w:val="00AB2AF4"/>
    <w:rsid w:val="00AB530E"/>
    <w:rsid w:val="00AC0F07"/>
    <w:rsid w:val="00AC0F1F"/>
    <w:rsid w:val="00AC1252"/>
    <w:rsid w:val="00AC151C"/>
    <w:rsid w:val="00AC30BE"/>
    <w:rsid w:val="00AC4F34"/>
    <w:rsid w:val="00AC630F"/>
    <w:rsid w:val="00AC63BB"/>
    <w:rsid w:val="00AC7F4C"/>
    <w:rsid w:val="00AD0EA8"/>
    <w:rsid w:val="00AD4615"/>
    <w:rsid w:val="00AD4EDD"/>
    <w:rsid w:val="00AD503F"/>
    <w:rsid w:val="00AD566A"/>
    <w:rsid w:val="00AE0AE1"/>
    <w:rsid w:val="00AE1258"/>
    <w:rsid w:val="00AE1BB5"/>
    <w:rsid w:val="00AE1D2F"/>
    <w:rsid w:val="00AE3C93"/>
    <w:rsid w:val="00AE44C4"/>
    <w:rsid w:val="00AE71F4"/>
    <w:rsid w:val="00AE790D"/>
    <w:rsid w:val="00AE7A60"/>
    <w:rsid w:val="00AF155D"/>
    <w:rsid w:val="00AF1576"/>
    <w:rsid w:val="00AF17F5"/>
    <w:rsid w:val="00AF26E4"/>
    <w:rsid w:val="00AF3151"/>
    <w:rsid w:val="00AF354C"/>
    <w:rsid w:val="00AF36F2"/>
    <w:rsid w:val="00AF404A"/>
    <w:rsid w:val="00AF4530"/>
    <w:rsid w:val="00AF453F"/>
    <w:rsid w:val="00B00498"/>
    <w:rsid w:val="00B00C28"/>
    <w:rsid w:val="00B00E94"/>
    <w:rsid w:val="00B02816"/>
    <w:rsid w:val="00B04AC2"/>
    <w:rsid w:val="00B04BB7"/>
    <w:rsid w:val="00B04D63"/>
    <w:rsid w:val="00B077CF"/>
    <w:rsid w:val="00B10165"/>
    <w:rsid w:val="00B1021A"/>
    <w:rsid w:val="00B10863"/>
    <w:rsid w:val="00B109FE"/>
    <w:rsid w:val="00B12374"/>
    <w:rsid w:val="00B12C4F"/>
    <w:rsid w:val="00B12DF7"/>
    <w:rsid w:val="00B20575"/>
    <w:rsid w:val="00B20707"/>
    <w:rsid w:val="00B221A0"/>
    <w:rsid w:val="00B22792"/>
    <w:rsid w:val="00B23274"/>
    <w:rsid w:val="00B24BBF"/>
    <w:rsid w:val="00B257E5"/>
    <w:rsid w:val="00B25CAD"/>
    <w:rsid w:val="00B268BB"/>
    <w:rsid w:val="00B26CF7"/>
    <w:rsid w:val="00B30F6D"/>
    <w:rsid w:val="00B312FB"/>
    <w:rsid w:val="00B32E93"/>
    <w:rsid w:val="00B375ED"/>
    <w:rsid w:val="00B37ACE"/>
    <w:rsid w:val="00B37E2B"/>
    <w:rsid w:val="00B4015B"/>
    <w:rsid w:val="00B401CD"/>
    <w:rsid w:val="00B40AC2"/>
    <w:rsid w:val="00B40AF5"/>
    <w:rsid w:val="00B43C25"/>
    <w:rsid w:val="00B43F7B"/>
    <w:rsid w:val="00B44969"/>
    <w:rsid w:val="00B463A9"/>
    <w:rsid w:val="00B47915"/>
    <w:rsid w:val="00B52573"/>
    <w:rsid w:val="00B52682"/>
    <w:rsid w:val="00B542FA"/>
    <w:rsid w:val="00B5593D"/>
    <w:rsid w:val="00B55C34"/>
    <w:rsid w:val="00B56280"/>
    <w:rsid w:val="00B56FF6"/>
    <w:rsid w:val="00B57351"/>
    <w:rsid w:val="00B5783E"/>
    <w:rsid w:val="00B603B6"/>
    <w:rsid w:val="00B613F7"/>
    <w:rsid w:val="00B61C1A"/>
    <w:rsid w:val="00B643BB"/>
    <w:rsid w:val="00B65C5E"/>
    <w:rsid w:val="00B660CC"/>
    <w:rsid w:val="00B70075"/>
    <w:rsid w:val="00B707D5"/>
    <w:rsid w:val="00B71AC9"/>
    <w:rsid w:val="00B738BF"/>
    <w:rsid w:val="00B73EC7"/>
    <w:rsid w:val="00B75239"/>
    <w:rsid w:val="00B75B10"/>
    <w:rsid w:val="00B80ECC"/>
    <w:rsid w:val="00B81FA6"/>
    <w:rsid w:val="00B82725"/>
    <w:rsid w:val="00B827EE"/>
    <w:rsid w:val="00B82997"/>
    <w:rsid w:val="00B82A9C"/>
    <w:rsid w:val="00B82E6E"/>
    <w:rsid w:val="00B8374F"/>
    <w:rsid w:val="00B8396B"/>
    <w:rsid w:val="00B84B0A"/>
    <w:rsid w:val="00B85AE3"/>
    <w:rsid w:val="00B8615B"/>
    <w:rsid w:val="00B86648"/>
    <w:rsid w:val="00B86839"/>
    <w:rsid w:val="00B92B3C"/>
    <w:rsid w:val="00B92D5B"/>
    <w:rsid w:val="00B935A2"/>
    <w:rsid w:val="00B9602F"/>
    <w:rsid w:val="00B971D9"/>
    <w:rsid w:val="00BA0C4A"/>
    <w:rsid w:val="00BA0E78"/>
    <w:rsid w:val="00BA0FC1"/>
    <w:rsid w:val="00BA1F59"/>
    <w:rsid w:val="00BA3FCF"/>
    <w:rsid w:val="00BA7527"/>
    <w:rsid w:val="00BA7BF8"/>
    <w:rsid w:val="00BB143E"/>
    <w:rsid w:val="00BB37F2"/>
    <w:rsid w:val="00BB706A"/>
    <w:rsid w:val="00BC05C2"/>
    <w:rsid w:val="00BC2875"/>
    <w:rsid w:val="00BC347B"/>
    <w:rsid w:val="00BC369A"/>
    <w:rsid w:val="00BC59B0"/>
    <w:rsid w:val="00BC71C4"/>
    <w:rsid w:val="00BD17FC"/>
    <w:rsid w:val="00BD261F"/>
    <w:rsid w:val="00BD3D7E"/>
    <w:rsid w:val="00BD3E73"/>
    <w:rsid w:val="00BD5823"/>
    <w:rsid w:val="00BE160B"/>
    <w:rsid w:val="00BE3563"/>
    <w:rsid w:val="00BE48C4"/>
    <w:rsid w:val="00BE5455"/>
    <w:rsid w:val="00BF2CBC"/>
    <w:rsid w:val="00BF4EAA"/>
    <w:rsid w:val="00BF6079"/>
    <w:rsid w:val="00BF6657"/>
    <w:rsid w:val="00BF694C"/>
    <w:rsid w:val="00C01FC6"/>
    <w:rsid w:val="00C0227C"/>
    <w:rsid w:val="00C02DCE"/>
    <w:rsid w:val="00C03417"/>
    <w:rsid w:val="00C03B3E"/>
    <w:rsid w:val="00C04A65"/>
    <w:rsid w:val="00C04B78"/>
    <w:rsid w:val="00C04E59"/>
    <w:rsid w:val="00C05746"/>
    <w:rsid w:val="00C06FFE"/>
    <w:rsid w:val="00C11D91"/>
    <w:rsid w:val="00C1240A"/>
    <w:rsid w:val="00C138EC"/>
    <w:rsid w:val="00C15497"/>
    <w:rsid w:val="00C15549"/>
    <w:rsid w:val="00C1735F"/>
    <w:rsid w:val="00C1756F"/>
    <w:rsid w:val="00C17A4E"/>
    <w:rsid w:val="00C21405"/>
    <w:rsid w:val="00C218CD"/>
    <w:rsid w:val="00C2477B"/>
    <w:rsid w:val="00C267E6"/>
    <w:rsid w:val="00C26C6B"/>
    <w:rsid w:val="00C30631"/>
    <w:rsid w:val="00C31886"/>
    <w:rsid w:val="00C32A2F"/>
    <w:rsid w:val="00C332A7"/>
    <w:rsid w:val="00C357A3"/>
    <w:rsid w:val="00C360AD"/>
    <w:rsid w:val="00C369F2"/>
    <w:rsid w:val="00C36D44"/>
    <w:rsid w:val="00C376F2"/>
    <w:rsid w:val="00C41DE9"/>
    <w:rsid w:val="00C42AC6"/>
    <w:rsid w:val="00C42F20"/>
    <w:rsid w:val="00C43791"/>
    <w:rsid w:val="00C44925"/>
    <w:rsid w:val="00C46447"/>
    <w:rsid w:val="00C46EE9"/>
    <w:rsid w:val="00C5053F"/>
    <w:rsid w:val="00C540A2"/>
    <w:rsid w:val="00C5453E"/>
    <w:rsid w:val="00C55221"/>
    <w:rsid w:val="00C55C25"/>
    <w:rsid w:val="00C55E53"/>
    <w:rsid w:val="00C56D4E"/>
    <w:rsid w:val="00C57998"/>
    <w:rsid w:val="00C57CF2"/>
    <w:rsid w:val="00C57FA3"/>
    <w:rsid w:val="00C61927"/>
    <w:rsid w:val="00C61CE5"/>
    <w:rsid w:val="00C623FF"/>
    <w:rsid w:val="00C62423"/>
    <w:rsid w:val="00C648A9"/>
    <w:rsid w:val="00C6533F"/>
    <w:rsid w:val="00C65BD1"/>
    <w:rsid w:val="00C666EA"/>
    <w:rsid w:val="00C67F6D"/>
    <w:rsid w:val="00C702F8"/>
    <w:rsid w:val="00C70A9F"/>
    <w:rsid w:val="00C70BEE"/>
    <w:rsid w:val="00C733BF"/>
    <w:rsid w:val="00C7555B"/>
    <w:rsid w:val="00C75D7F"/>
    <w:rsid w:val="00C76722"/>
    <w:rsid w:val="00C7743E"/>
    <w:rsid w:val="00C80458"/>
    <w:rsid w:val="00C80AE0"/>
    <w:rsid w:val="00C8292A"/>
    <w:rsid w:val="00C84A61"/>
    <w:rsid w:val="00C87322"/>
    <w:rsid w:val="00C87EE8"/>
    <w:rsid w:val="00C91CBD"/>
    <w:rsid w:val="00CA0B0B"/>
    <w:rsid w:val="00CA105A"/>
    <w:rsid w:val="00CA27B9"/>
    <w:rsid w:val="00CA7054"/>
    <w:rsid w:val="00CB0CD6"/>
    <w:rsid w:val="00CB1119"/>
    <w:rsid w:val="00CB2879"/>
    <w:rsid w:val="00CB479B"/>
    <w:rsid w:val="00CB4BC3"/>
    <w:rsid w:val="00CB571A"/>
    <w:rsid w:val="00CB592F"/>
    <w:rsid w:val="00CB5B6A"/>
    <w:rsid w:val="00CB7C6F"/>
    <w:rsid w:val="00CC35A5"/>
    <w:rsid w:val="00CC4861"/>
    <w:rsid w:val="00CC5781"/>
    <w:rsid w:val="00CC6C0A"/>
    <w:rsid w:val="00CD299A"/>
    <w:rsid w:val="00CD573B"/>
    <w:rsid w:val="00CD5DFC"/>
    <w:rsid w:val="00CD6AED"/>
    <w:rsid w:val="00CE0DC0"/>
    <w:rsid w:val="00CE101C"/>
    <w:rsid w:val="00CE375D"/>
    <w:rsid w:val="00CE4863"/>
    <w:rsid w:val="00CE4FA4"/>
    <w:rsid w:val="00CF0612"/>
    <w:rsid w:val="00CF2084"/>
    <w:rsid w:val="00CF50F3"/>
    <w:rsid w:val="00CF56B8"/>
    <w:rsid w:val="00CF5A27"/>
    <w:rsid w:val="00CF5AE9"/>
    <w:rsid w:val="00CF6400"/>
    <w:rsid w:val="00CF6F5C"/>
    <w:rsid w:val="00D0096B"/>
    <w:rsid w:val="00D0129F"/>
    <w:rsid w:val="00D05168"/>
    <w:rsid w:val="00D05954"/>
    <w:rsid w:val="00D05A64"/>
    <w:rsid w:val="00D05D6A"/>
    <w:rsid w:val="00D0754E"/>
    <w:rsid w:val="00D11CBC"/>
    <w:rsid w:val="00D14798"/>
    <w:rsid w:val="00D17004"/>
    <w:rsid w:val="00D209E8"/>
    <w:rsid w:val="00D21A9F"/>
    <w:rsid w:val="00D23526"/>
    <w:rsid w:val="00D23CA8"/>
    <w:rsid w:val="00D30026"/>
    <w:rsid w:val="00D30487"/>
    <w:rsid w:val="00D30E12"/>
    <w:rsid w:val="00D310CC"/>
    <w:rsid w:val="00D3245B"/>
    <w:rsid w:val="00D33104"/>
    <w:rsid w:val="00D345B0"/>
    <w:rsid w:val="00D407CF"/>
    <w:rsid w:val="00D40D4A"/>
    <w:rsid w:val="00D40F27"/>
    <w:rsid w:val="00D41369"/>
    <w:rsid w:val="00D43208"/>
    <w:rsid w:val="00D44646"/>
    <w:rsid w:val="00D4606A"/>
    <w:rsid w:val="00D46A73"/>
    <w:rsid w:val="00D46C17"/>
    <w:rsid w:val="00D5278E"/>
    <w:rsid w:val="00D53955"/>
    <w:rsid w:val="00D55427"/>
    <w:rsid w:val="00D55AF7"/>
    <w:rsid w:val="00D561C9"/>
    <w:rsid w:val="00D64241"/>
    <w:rsid w:val="00D64A0A"/>
    <w:rsid w:val="00D66136"/>
    <w:rsid w:val="00D70F0E"/>
    <w:rsid w:val="00D73AB5"/>
    <w:rsid w:val="00D741DB"/>
    <w:rsid w:val="00D74DAE"/>
    <w:rsid w:val="00D751E8"/>
    <w:rsid w:val="00D809CC"/>
    <w:rsid w:val="00D80ECC"/>
    <w:rsid w:val="00D82B38"/>
    <w:rsid w:val="00D85751"/>
    <w:rsid w:val="00D85A3B"/>
    <w:rsid w:val="00D8697E"/>
    <w:rsid w:val="00D9010A"/>
    <w:rsid w:val="00D902D2"/>
    <w:rsid w:val="00D90338"/>
    <w:rsid w:val="00D92468"/>
    <w:rsid w:val="00D924A6"/>
    <w:rsid w:val="00D949E5"/>
    <w:rsid w:val="00D951FA"/>
    <w:rsid w:val="00D95BDC"/>
    <w:rsid w:val="00DA1F6D"/>
    <w:rsid w:val="00DA2364"/>
    <w:rsid w:val="00DA2A79"/>
    <w:rsid w:val="00DA2B57"/>
    <w:rsid w:val="00DA45BC"/>
    <w:rsid w:val="00DA4833"/>
    <w:rsid w:val="00DA551B"/>
    <w:rsid w:val="00DA6BCA"/>
    <w:rsid w:val="00DA745B"/>
    <w:rsid w:val="00DA767C"/>
    <w:rsid w:val="00DB0843"/>
    <w:rsid w:val="00DB1524"/>
    <w:rsid w:val="00DB198F"/>
    <w:rsid w:val="00DB4F12"/>
    <w:rsid w:val="00DB5E5F"/>
    <w:rsid w:val="00DB6593"/>
    <w:rsid w:val="00DC162D"/>
    <w:rsid w:val="00DC50C2"/>
    <w:rsid w:val="00DC721C"/>
    <w:rsid w:val="00DC77D0"/>
    <w:rsid w:val="00DC7808"/>
    <w:rsid w:val="00DC7E03"/>
    <w:rsid w:val="00DD165E"/>
    <w:rsid w:val="00DD193A"/>
    <w:rsid w:val="00DD23C5"/>
    <w:rsid w:val="00DD26BA"/>
    <w:rsid w:val="00DD36F0"/>
    <w:rsid w:val="00DD6BF3"/>
    <w:rsid w:val="00DD6F31"/>
    <w:rsid w:val="00DD7787"/>
    <w:rsid w:val="00DE1562"/>
    <w:rsid w:val="00DE20FD"/>
    <w:rsid w:val="00DE2131"/>
    <w:rsid w:val="00DE3498"/>
    <w:rsid w:val="00DE42D7"/>
    <w:rsid w:val="00DE4A2A"/>
    <w:rsid w:val="00DE4FF2"/>
    <w:rsid w:val="00DE55F8"/>
    <w:rsid w:val="00DE6058"/>
    <w:rsid w:val="00DF0706"/>
    <w:rsid w:val="00DF28A4"/>
    <w:rsid w:val="00E0051E"/>
    <w:rsid w:val="00E0062F"/>
    <w:rsid w:val="00E006D2"/>
    <w:rsid w:val="00E01DA0"/>
    <w:rsid w:val="00E02838"/>
    <w:rsid w:val="00E0445A"/>
    <w:rsid w:val="00E04E34"/>
    <w:rsid w:val="00E06051"/>
    <w:rsid w:val="00E1134D"/>
    <w:rsid w:val="00E11D8B"/>
    <w:rsid w:val="00E122DB"/>
    <w:rsid w:val="00E1312C"/>
    <w:rsid w:val="00E16276"/>
    <w:rsid w:val="00E17405"/>
    <w:rsid w:val="00E175ED"/>
    <w:rsid w:val="00E210B2"/>
    <w:rsid w:val="00E22AA3"/>
    <w:rsid w:val="00E23501"/>
    <w:rsid w:val="00E2501B"/>
    <w:rsid w:val="00E26BE0"/>
    <w:rsid w:val="00E26C4C"/>
    <w:rsid w:val="00E3075F"/>
    <w:rsid w:val="00E312C9"/>
    <w:rsid w:val="00E33350"/>
    <w:rsid w:val="00E3359C"/>
    <w:rsid w:val="00E343B4"/>
    <w:rsid w:val="00E34FD2"/>
    <w:rsid w:val="00E36B53"/>
    <w:rsid w:val="00E37A0B"/>
    <w:rsid w:val="00E40502"/>
    <w:rsid w:val="00E41FAE"/>
    <w:rsid w:val="00E421D6"/>
    <w:rsid w:val="00E4282F"/>
    <w:rsid w:val="00E42D50"/>
    <w:rsid w:val="00E44BAB"/>
    <w:rsid w:val="00E45686"/>
    <w:rsid w:val="00E45A07"/>
    <w:rsid w:val="00E46ADF"/>
    <w:rsid w:val="00E47BA7"/>
    <w:rsid w:val="00E47FB8"/>
    <w:rsid w:val="00E50782"/>
    <w:rsid w:val="00E507E7"/>
    <w:rsid w:val="00E521DB"/>
    <w:rsid w:val="00E52B32"/>
    <w:rsid w:val="00E530F2"/>
    <w:rsid w:val="00E5330C"/>
    <w:rsid w:val="00E53DCB"/>
    <w:rsid w:val="00E5511E"/>
    <w:rsid w:val="00E570A2"/>
    <w:rsid w:val="00E574EA"/>
    <w:rsid w:val="00E61BCC"/>
    <w:rsid w:val="00E62359"/>
    <w:rsid w:val="00E62472"/>
    <w:rsid w:val="00E6255D"/>
    <w:rsid w:val="00E62614"/>
    <w:rsid w:val="00E63A74"/>
    <w:rsid w:val="00E6476D"/>
    <w:rsid w:val="00E6599B"/>
    <w:rsid w:val="00E67A9C"/>
    <w:rsid w:val="00E67F43"/>
    <w:rsid w:val="00E7033D"/>
    <w:rsid w:val="00E71298"/>
    <w:rsid w:val="00E73930"/>
    <w:rsid w:val="00E73999"/>
    <w:rsid w:val="00E73FC1"/>
    <w:rsid w:val="00E75FA8"/>
    <w:rsid w:val="00E761F0"/>
    <w:rsid w:val="00E77207"/>
    <w:rsid w:val="00E802C1"/>
    <w:rsid w:val="00E80AC2"/>
    <w:rsid w:val="00E819A3"/>
    <w:rsid w:val="00E85722"/>
    <w:rsid w:val="00E859AB"/>
    <w:rsid w:val="00E86B4F"/>
    <w:rsid w:val="00E906E9"/>
    <w:rsid w:val="00E91304"/>
    <w:rsid w:val="00E94FB4"/>
    <w:rsid w:val="00E9509E"/>
    <w:rsid w:val="00E95B8F"/>
    <w:rsid w:val="00E960AB"/>
    <w:rsid w:val="00EA1071"/>
    <w:rsid w:val="00EA122B"/>
    <w:rsid w:val="00EA33B9"/>
    <w:rsid w:val="00EA4D64"/>
    <w:rsid w:val="00EA4D9F"/>
    <w:rsid w:val="00EA514B"/>
    <w:rsid w:val="00EA532B"/>
    <w:rsid w:val="00EA5F39"/>
    <w:rsid w:val="00EA64BC"/>
    <w:rsid w:val="00EA67BF"/>
    <w:rsid w:val="00EA6A0F"/>
    <w:rsid w:val="00EA76CB"/>
    <w:rsid w:val="00EA79E1"/>
    <w:rsid w:val="00EB1021"/>
    <w:rsid w:val="00EB2317"/>
    <w:rsid w:val="00EB3554"/>
    <w:rsid w:val="00EB49AB"/>
    <w:rsid w:val="00EB6292"/>
    <w:rsid w:val="00EC7340"/>
    <w:rsid w:val="00EC796E"/>
    <w:rsid w:val="00EC7B11"/>
    <w:rsid w:val="00ED0581"/>
    <w:rsid w:val="00ED0716"/>
    <w:rsid w:val="00ED223F"/>
    <w:rsid w:val="00ED2C1C"/>
    <w:rsid w:val="00ED3862"/>
    <w:rsid w:val="00ED5511"/>
    <w:rsid w:val="00ED65A4"/>
    <w:rsid w:val="00ED6707"/>
    <w:rsid w:val="00ED758A"/>
    <w:rsid w:val="00EE01B7"/>
    <w:rsid w:val="00EE1580"/>
    <w:rsid w:val="00EE424C"/>
    <w:rsid w:val="00EE596D"/>
    <w:rsid w:val="00EE5BF2"/>
    <w:rsid w:val="00EF0A6F"/>
    <w:rsid w:val="00EF0C09"/>
    <w:rsid w:val="00EF29C7"/>
    <w:rsid w:val="00EF46AF"/>
    <w:rsid w:val="00EF4DEA"/>
    <w:rsid w:val="00EF5836"/>
    <w:rsid w:val="00EF5B39"/>
    <w:rsid w:val="00EF5E69"/>
    <w:rsid w:val="00EF765F"/>
    <w:rsid w:val="00F00F95"/>
    <w:rsid w:val="00F01EDF"/>
    <w:rsid w:val="00F02A6B"/>
    <w:rsid w:val="00F02D6B"/>
    <w:rsid w:val="00F10087"/>
    <w:rsid w:val="00F10D40"/>
    <w:rsid w:val="00F13467"/>
    <w:rsid w:val="00F13697"/>
    <w:rsid w:val="00F13720"/>
    <w:rsid w:val="00F13E58"/>
    <w:rsid w:val="00F14E0D"/>
    <w:rsid w:val="00F15524"/>
    <w:rsid w:val="00F15817"/>
    <w:rsid w:val="00F23450"/>
    <w:rsid w:val="00F23DD2"/>
    <w:rsid w:val="00F2560A"/>
    <w:rsid w:val="00F25912"/>
    <w:rsid w:val="00F269EE"/>
    <w:rsid w:val="00F3333E"/>
    <w:rsid w:val="00F33F6A"/>
    <w:rsid w:val="00F36D54"/>
    <w:rsid w:val="00F3792F"/>
    <w:rsid w:val="00F3798F"/>
    <w:rsid w:val="00F42488"/>
    <w:rsid w:val="00F42631"/>
    <w:rsid w:val="00F42BC9"/>
    <w:rsid w:val="00F434CE"/>
    <w:rsid w:val="00F43C0E"/>
    <w:rsid w:val="00F43C71"/>
    <w:rsid w:val="00F44CC5"/>
    <w:rsid w:val="00F45868"/>
    <w:rsid w:val="00F461E3"/>
    <w:rsid w:val="00F477F0"/>
    <w:rsid w:val="00F50645"/>
    <w:rsid w:val="00F50DD5"/>
    <w:rsid w:val="00F52B55"/>
    <w:rsid w:val="00F53936"/>
    <w:rsid w:val="00F54DE3"/>
    <w:rsid w:val="00F55647"/>
    <w:rsid w:val="00F5621E"/>
    <w:rsid w:val="00F575DB"/>
    <w:rsid w:val="00F605C9"/>
    <w:rsid w:val="00F61191"/>
    <w:rsid w:val="00F61FA9"/>
    <w:rsid w:val="00F6453C"/>
    <w:rsid w:val="00F64D3D"/>
    <w:rsid w:val="00F64F39"/>
    <w:rsid w:val="00F66CB6"/>
    <w:rsid w:val="00F66E55"/>
    <w:rsid w:val="00F67E67"/>
    <w:rsid w:val="00F70132"/>
    <w:rsid w:val="00F706F2"/>
    <w:rsid w:val="00F71C13"/>
    <w:rsid w:val="00F7442B"/>
    <w:rsid w:val="00F75185"/>
    <w:rsid w:val="00F75F39"/>
    <w:rsid w:val="00F77D42"/>
    <w:rsid w:val="00F808BF"/>
    <w:rsid w:val="00F814EB"/>
    <w:rsid w:val="00F82D59"/>
    <w:rsid w:val="00F833AC"/>
    <w:rsid w:val="00F841E6"/>
    <w:rsid w:val="00F84310"/>
    <w:rsid w:val="00F84A9B"/>
    <w:rsid w:val="00F85FBE"/>
    <w:rsid w:val="00F877C5"/>
    <w:rsid w:val="00F8786C"/>
    <w:rsid w:val="00F92C05"/>
    <w:rsid w:val="00F935A1"/>
    <w:rsid w:val="00F9406D"/>
    <w:rsid w:val="00F945D7"/>
    <w:rsid w:val="00F953F4"/>
    <w:rsid w:val="00F95735"/>
    <w:rsid w:val="00F967CE"/>
    <w:rsid w:val="00FA07F2"/>
    <w:rsid w:val="00FA07FA"/>
    <w:rsid w:val="00FA0900"/>
    <w:rsid w:val="00FA0DA9"/>
    <w:rsid w:val="00FA332B"/>
    <w:rsid w:val="00FA45B6"/>
    <w:rsid w:val="00FA473F"/>
    <w:rsid w:val="00FB13FE"/>
    <w:rsid w:val="00FB1554"/>
    <w:rsid w:val="00FB2739"/>
    <w:rsid w:val="00FB405D"/>
    <w:rsid w:val="00FB4662"/>
    <w:rsid w:val="00FB52C2"/>
    <w:rsid w:val="00FB6087"/>
    <w:rsid w:val="00FB7068"/>
    <w:rsid w:val="00FC28BA"/>
    <w:rsid w:val="00FC5124"/>
    <w:rsid w:val="00FC7443"/>
    <w:rsid w:val="00FC76BC"/>
    <w:rsid w:val="00FC78CE"/>
    <w:rsid w:val="00FD1366"/>
    <w:rsid w:val="00FD160C"/>
    <w:rsid w:val="00FD1996"/>
    <w:rsid w:val="00FD24E2"/>
    <w:rsid w:val="00FD5549"/>
    <w:rsid w:val="00FE0350"/>
    <w:rsid w:val="00FE1D55"/>
    <w:rsid w:val="00FE391B"/>
    <w:rsid w:val="00FE65EE"/>
    <w:rsid w:val="00FF081E"/>
    <w:rsid w:val="00FF0C18"/>
    <w:rsid w:val="00FF170C"/>
    <w:rsid w:val="00FF2A47"/>
    <w:rsid w:val="00FF3399"/>
    <w:rsid w:val="00FF355F"/>
    <w:rsid w:val="00FF4326"/>
    <w:rsid w:val="00FF445C"/>
    <w:rsid w:val="00FF633B"/>
    <w:rsid w:val="00FF6A78"/>
    <w:rsid w:val="39200F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BE6F52"/>
  <w15:docId w15:val="{9F42B04D-3077-4B2A-91CB-954818091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semiHidden="1" w:qFormat="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semiHidden="1"/>
    <w:lsdException w:name="annotation text" w:semiHidden="1"/>
    <w:lsdException w:name="header" w:qFormat="1"/>
    <w:lsdException w:name="caption" w:qFormat="1"/>
    <w:lsdException w:name="footnote reference" w:semiHidden="1"/>
    <w:lsdException w:name="annotation reference" w:semiHidden="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Indent 3" w:qFormat="1"/>
    <w:lsdException w:name="Hyperlink" w:qFormat="1"/>
    <w:lsdException w:name="Strong" w:qFormat="1"/>
    <w:lsdException w:name="Emphasis" w:uiPriority="20" w:qFormat="1"/>
    <w:lsdException w:name="Document Map" w:semiHidden="1"/>
    <w:lsdException w:name="HTML Top of Form" w:semiHidden="1" w:uiPriority="99" w:unhideWhenUsed="1"/>
    <w:lsdException w:name="HTML Bottom of Form" w:semiHidden="1" w:uiPriority="99" w:unhideWhenUsed="1"/>
    <w:lsdException w:name="HTML Preformatted" w:semiHidden="1" w:unhideWhenUsed="1"/>
    <w:lsdException w:name="Normal Table" w:semiHidden="1" w:uiPriority="99" w:unhideWhenUsed="1" w:qFormat="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Batang"/>
      <w:sz w:val="24"/>
      <w:szCs w:val="24"/>
      <w:lang w:eastAsia="ko-KR"/>
    </w:rPr>
  </w:style>
  <w:style w:type="paragraph" w:styleId="Heading1">
    <w:name w:val="heading 1"/>
    <w:basedOn w:val="Normal"/>
    <w:next w:val="Normal"/>
    <w:qFormat/>
    <w:pPr>
      <w:keepNext/>
      <w:numPr>
        <w:numId w:val="1"/>
      </w:numPr>
      <w:spacing w:before="120" w:after="60"/>
      <w:outlineLvl w:val="0"/>
    </w:pPr>
    <w:rPr>
      <w:rFonts w:eastAsia="Times New Roman"/>
      <w:b/>
      <w:caps/>
      <w:sz w:val="28"/>
      <w:szCs w:val="20"/>
      <w:lang w:val="en-GB" w:eastAsia="en-US"/>
    </w:rPr>
  </w:style>
  <w:style w:type="paragraph" w:styleId="Heading2">
    <w:name w:val="heading 2"/>
    <w:basedOn w:val="Normal"/>
    <w:next w:val="Normal"/>
    <w:qFormat/>
    <w:pPr>
      <w:keepNext/>
      <w:numPr>
        <w:ilvl w:val="1"/>
        <w:numId w:val="1"/>
      </w:numPr>
      <w:spacing w:before="360" w:after="240"/>
      <w:outlineLvl w:val="1"/>
    </w:pPr>
    <w:rPr>
      <w:rFonts w:eastAsia="Times New Roman"/>
      <w:b/>
      <w:smallCaps/>
      <w:szCs w:val="20"/>
      <w:lang w:val="en-GB" w:eastAsia="en-US"/>
    </w:rPr>
  </w:style>
  <w:style w:type="paragraph" w:styleId="Heading3">
    <w:name w:val="heading 3"/>
    <w:basedOn w:val="Normal"/>
    <w:next w:val="Normal"/>
    <w:qFormat/>
    <w:pPr>
      <w:keepNext/>
      <w:numPr>
        <w:ilvl w:val="2"/>
        <w:numId w:val="1"/>
      </w:numPr>
      <w:spacing w:before="240" w:after="120"/>
      <w:outlineLvl w:val="2"/>
    </w:pPr>
    <w:rPr>
      <w:rFonts w:eastAsia="Times New Roman"/>
      <w:b/>
      <w:szCs w:val="20"/>
      <w:lang w:val="it-IT" w:eastAsia="en-US"/>
    </w:rPr>
  </w:style>
  <w:style w:type="paragraph" w:styleId="Heading4">
    <w:name w:val="heading 4"/>
    <w:basedOn w:val="Normal"/>
    <w:next w:val="Normal"/>
    <w:qFormat/>
    <w:pPr>
      <w:keepNext/>
      <w:numPr>
        <w:ilvl w:val="3"/>
        <w:numId w:val="1"/>
      </w:numPr>
      <w:spacing w:before="360" w:after="120"/>
      <w:outlineLvl w:val="3"/>
    </w:pPr>
    <w:rPr>
      <w:rFonts w:eastAsia="Times New Roman"/>
      <w:sz w:val="26"/>
      <w:szCs w:val="20"/>
      <w:lang w:val="it-IT" w:eastAsia="en-US"/>
    </w:rPr>
  </w:style>
  <w:style w:type="paragraph" w:styleId="Heading5">
    <w:name w:val="heading 5"/>
    <w:basedOn w:val="Normal"/>
    <w:next w:val="Normal"/>
    <w:qFormat/>
    <w:pPr>
      <w:keepNext/>
      <w:numPr>
        <w:ilvl w:val="4"/>
        <w:numId w:val="1"/>
      </w:numPr>
      <w:spacing w:before="240" w:after="60"/>
      <w:outlineLvl w:val="4"/>
    </w:pPr>
    <w:rPr>
      <w:rFonts w:eastAsia="Times New Roman"/>
      <w:szCs w:val="20"/>
      <w:lang w:val="en-GB" w:eastAsia="en-US"/>
    </w:rPr>
  </w:style>
  <w:style w:type="paragraph" w:styleId="Heading6">
    <w:name w:val="heading 6"/>
    <w:basedOn w:val="Normal"/>
    <w:next w:val="Normal"/>
    <w:qFormat/>
    <w:pPr>
      <w:numPr>
        <w:ilvl w:val="5"/>
        <w:numId w:val="1"/>
      </w:numPr>
      <w:tabs>
        <w:tab w:val="left" w:pos="567"/>
      </w:tabs>
      <w:spacing w:before="120" w:after="120" w:line="300" w:lineRule="atLeast"/>
      <w:jc w:val="both"/>
      <w:outlineLvl w:val="5"/>
    </w:pPr>
    <w:rPr>
      <w:rFonts w:eastAsia="Times New Roman"/>
      <w:szCs w:val="20"/>
      <w:lang w:val="en-GB" w:eastAsia="en-US"/>
    </w:rPr>
  </w:style>
  <w:style w:type="paragraph" w:styleId="Heading7">
    <w:name w:val="heading 7"/>
    <w:basedOn w:val="Normal"/>
    <w:next w:val="Normal"/>
    <w:qFormat/>
    <w:pPr>
      <w:numPr>
        <w:ilvl w:val="6"/>
        <w:numId w:val="1"/>
      </w:numPr>
      <w:tabs>
        <w:tab w:val="left" w:pos="567"/>
      </w:tabs>
      <w:spacing w:before="80" w:after="80" w:line="300" w:lineRule="atLeast"/>
      <w:jc w:val="both"/>
      <w:outlineLvl w:val="6"/>
    </w:pPr>
    <w:rPr>
      <w:rFonts w:eastAsia="Times New Roman"/>
      <w:szCs w:val="20"/>
      <w:lang w:val="en-US" w:eastAsia="en-US"/>
    </w:rPr>
  </w:style>
  <w:style w:type="paragraph" w:styleId="Heading8">
    <w:name w:val="heading 8"/>
    <w:basedOn w:val="Normal"/>
    <w:next w:val="Normal"/>
    <w:qFormat/>
    <w:pPr>
      <w:numPr>
        <w:ilvl w:val="7"/>
        <w:numId w:val="1"/>
      </w:numPr>
      <w:spacing w:before="60" w:after="60" w:line="300" w:lineRule="atLeast"/>
      <w:jc w:val="both"/>
      <w:outlineLvl w:val="7"/>
    </w:pPr>
    <w:rPr>
      <w:rFonts w:eastAsia="Times New Roman"/>
      <w:szCs w:val="20"/>
      <w:lang w:val="it-IT" w:eastAsia="en-US"/>
    </w:rPr>
  </w:style>
  <w:style w:type="paragraph" w:styleId="Heading9">
    <w:name w:val="heading 9"/>
    <w:basedOn w:val="Normal"/>
    <w:next w:val="Normal"/>
    <w:qFormat/>
    <w:pPr>
      <w:numPr>
        <w:ilvl w:val="8"/>
        <w:numId w:val="1"/>
      </w:numPr>
      <w:spacing w:before="240" w:after="60"/>
      <w:outlineLvl w:val="8"/>
    </w:pPr>
    <w:rPr>
      <w:rFonts w:ascii="Arial" w:eastAsia="Times New Roman" w:hAnsi="Arial"/>
      <w:b/>
      <w:i/>
      <w:sz w:val="18"/>
      <w:szCs w:val="20"/>
      <w:lang w:val="it-I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BlockText">
    <w:name w:val="Block Text"/>
    <w:basedOn w:val="Normal"/>
    <w:pPr>
      <w:tabs>
        <w:tab w:val="left" w:pos="0"/>
      </w:tabs>
      <w:spacing w:before="120" w:after="120"/>
      <w:ind w:left="578" w:right="335"/>
      <w:jc w:val="center"/>
    </w:pPr>
    <w:rPr>
      <w:rFonts w:eastAsia="Times New Roman"/>
      <w:sz w:val="28"/>
      <w:szCs w:val="20"/>
      <w:lang w:val="en-GB" w:eastAsia="ro-RO"/>
    </w:rPr>
  </w:style>
  <w:style w:type="paragraph" w:styleId="BodyText">
    <w:name w:val="Body Text"/>
    <w:basedOn w:val="Normal"/>
    <w:qFormat/>
    <w:pPr>
      <w:jc w:val="both"/>
    </w:pPr>
    <w:rPr>
      <w:rFonts w:ascii="ArialUpR" w:eastAsia="Times New Roman" w:hAnsi="ArialUpR"/>
      <w:szCs w:val="20"/>
      <w:lang w:val="en-US" w:eastAsia="en-US"/>
    </w:rPr>
  </w:style>
  <w:style w:type="paragraph" w:styleId="BodyText2">
    <w:name w:val="Body Text 2"/>
    <w:basedOn w:val="Normal"/>
    <w:pPr>
      <w:jc w:val="both"/>
    </w:pPr>
    <w:rPr>
      <w:rFonts w:ascii="ArialUpR" w:eastAsia="Times New Roman" w:hAnsi="ArialUpR"/>
      <w:b/>
      <w:szCs w:val="20"/>
      <w:lang w:val="en-US" w:eastAsia="en-US"/>
    </w:rPr>
  </w:style>
  <w:style w:type="paragraph" w:styleId="BodyText3">
    <w:name w:val="Body Text 3"/>
    <w:basedOn w:val="Normal"/>
    <w:pPr>
      <w:jc w:val="both"/>
    </w:pPr>
    <w:rPr>
      <w:rFonts w:ascii="TimesRomanR" w:eastAsia="Times New Roman" w:hAnsi="TimesRomanR"/>
      <w:sz w:val="28"/>
      <w:szCs w:val="20"/>
      <w:lang w:eastAsia="ro-RO"/>
    </w:rPr>
  </w:style>
  <w:style w:type="paragraph" w:styleId="BodyTextIndent">
    <w:name w:val="Body Text Indent"/>
    <w:basedOn w:val="Normal"/>
    <w:qFormat/>
    <w:pPr>
      <w:tabs>
        <w:tab w:val="left" w:pos="540"/>
        <w:tab w:val="left" w:pos="567"/>
        <w:tab w:val="left" w:pos="810"/>
      </w:tabs>
      <w:spacing w:before="120"/>
      <w:ind w:left="567" w:hanging="567"/>
      <w:jc w:val="both"/>
    </w:pPr>
    <w:rPr>
      <w:rFonts w:eastAsia="Times New Roman"/>
      <w:szCs w:val="20"/>
      <w:lang w:eastAsia="ro-RO"/>
    </w:rPr>
  </w:style>
  <w:style w:type="paragraph" w:styleId="BodyTextIndent2">
    <w:name w:val="Body Text Indent 2"/>
    <w:basedOn w:val="Normal"/>
    <w:pPr>
      <w:spacing w:after="120" w:line="480" w:lineRule="auto"/>
      <w:ind w:left="360"/>
    </w:pPr>
    <w:rPr>
      <w:rFonts w:ascii="ArialUpR" w:eastAsia="Times New Roman" w:hAnsi="ArialUpR"/>
      <w:szCs w:val="20"/>
      <w:lang w:val="en-US" w:eastAsia="en-US"/>
    </w:rPr>
  </w:style>
  <w:style w:type="paragraph" w:styleId="BodyTextIndent3">
    <w:name w:val="Body Text Indent 3"/>
    <w:basedOn w:val="Normal"/>
    <w:link w:val="BodyTextIndent3Char"/>
    <w:qFormat/>
    <w:pPr>
      <w:spacing w:after="120"/>
      <w:ind w:left="360"/>
    </w:pPr>
    <w:rPr>
      <w:rFonts w:ascii="ArialUpR" w:eastAsia="Times New Roman" w:hAnsi="ArialUpR"/>
      <w:sz w:val="16"/>
      <w:szCs w:val="16"/>
      <w:lang w:val="en-US" w:eastAsia="en-US"/>
    </w:rPr>
  </w:style>
  <w:style w:type="paragraph" w:styleId="Caption">
    <w:name w:val="caption"/>
    <w:basedOn w:val="Normal"/>
    <w:next w:val="Normal"/>
    <w:qFormat/>
    <w:rPr>
      <w:rFonts w:ascii="TimesRomanR" w:eastAsia="Times New Roman" w:hAnsi="TimesRomanR"/>
      <w:b/>
      <w:szCs w:val="20"/>
      <w:lang w:eastAsia="ro-RO"/>
    </w:rPr>
  </w:style>
  <w:style w:type="paragraph" w:styleId="CommentText">
    <w:name w:val="annotation text"/>
    <w:basedOn w:val="Normal"/>
    <w:semiHidden/>
    <w:rPr>
      <w:rFonts w:ascii="TimesRomanR" w:eastAsia="Times New Roman" w:hAnsi="TimesRomanR"/>
      <w:sz w:val="20"/>
      <w:szCs w:val="20"/>
      <w:lang w:eastAsia="ro-RO"/>
    </w:rPr>
  </w:style>
  <w:style w:type="paragraph" w:styleId="CommentSubject">
    <w:name w:val="annotation subject"/>
    <w:basedOn w:val="CommentText"/>
    <w:next w:val="CommentText"/>
    <w:semiHidden/>
    <w:rPr>
      <w:rFonts w:ascii="ArialUpR" w:hAnsi="ArialUpR"/>
      <w:b/>
      <w:bCs/>
      <w:lang w:val="en-US" w:eastAsia="en-US"/>
    </w:rPr>
  </w:style>
  <w:style w:type="paragraph" w:styleId="DocumentMap">
    <w:name w:val="Document Map"/>
    <w:basedOn w:val="Normal"/>
    <w:semiHidden/>
    <w:pPr>
      <w:shd w:val="clear" w:color="auto" w:fill="000080"/>
    </w:pPr>
    <w:rPr>
      <w:rFonts w:ascii="Tahoma" w:eastAsia="Times New Roman" w:hAnsi="Tahoma"/>
      <w:szCs w:val="20"/>
      <w:lang w:eastAsia="ro-RO"/>
    </w:rPr>
  </w:style>
  <w:style w:type="paragraph" w:styleId="Footer">
    <w:name w:val="footer"/>
    <w:basedOn w:val="Normal"/>
    <w:pPr>
      <w:tabs>
        <w:tab w:val="center" w:pos="4153"/>
        <w:tab w:val="right" w:pos="8306"/>
      </w:tabs>
    </w:pPr>
    <w:rPr>
      <w:rFonts w:ascii="TimesRomanR" w:eastAsia="Times New Roman" w:hAnsi="TimesRomanR"/>
      <w:szCs w:val="20"/>
      <w:lang w:val="en-AU" w:eastAsia="ro-RO"/>
    </w:rPr>
  </w:style>
  <w:style w:type="paragraph" w:styleId="FootnoteText">
    <w:name w:val="footnote text"/>
    <w:basedOn w:val="Normal"/>
    <w:semiHidden/>
    <w:rPr>
      <w:rFonts w:ascii="ArialUpR" w:eastAsia="Times New Roman" w:hAnsi="ArialUpR"/>
      <w:szCs w:val="20"/>
      <w:lang w:val="en-US" w:eastAsia="en-US"/>
    </w:rPr>
  </w:style>
  <w:style w:type="paragraph" w:styleId="Header">
    <w:name w:val="header"/>
    <w:basedOn w:val="Normal"/>
    <w:link w:val="HeaderChar"/>
    <w:qFormat/>
    <w:pPr>
      <w:tabs>
        <w:tab w:val="center" w:pos="4320"/>
        <w:tab w:val="right" w:pos="8640"/>
      </w:tabs>
    </w:pPr>
  </w:style>
  <w:style w:type="paragraph" w:styleId="NormalWeb">
    <w:name w:val="Normal (Web)"/>
    <w:basedOn w:val="Normal"/>
    <w:pPr>
      <w:spacing w:before="100" w:beforeAutospacing="1" w:after="100" w:afterAutospacing="1"/>
    </w:pPr>
    <w:rPr>
      <w:rFonts w:eastAsia="Times New Roman"/>
      <w:lang w:val="en-US" w:eastAsia="en-US"/>
    </w:rPr>
  </w:style>
  <w:style w:type="paragraph" w:styleId="PlainText">
    <w:name w:val="Plain Text"/>
    <w:basedOn w:val="Normal"/>
    <w:rPr>
      <w:rFonts w:ascii="Courier New" w:eastAsia="Times New Roman" w:hAnsi="Courier New"/>
      <w:sz w:val="20"/>
      <w:szCs w:val="20"/>
      <w:lang w:eastAsia="en-US"/>
    </w:rPr>
  </w:style>
  <w:style w:type="paragraph" w:styleId="Subtitle">
    <w:name w:val="Subtitle"/>
    <w:basedOn w:val="Normal"/>
    <w:qFormat/>
    <w:pPr>
      <w:spacing w:before="120" w:after="120" w:line="300" w:lineRule="exact"/>
      <w:jc w:val="center"/>
    </w:pPr>
    <w:rPr>
      <w:rFonts w:ascii="TimesRomanR" w:eastAsia="Times New Roman" w:hAnsi="TimesRomanR"/>
      <w:b/>
      <w:szCs w:val="20"/>
      <w:lang w:val="en-AU" w:eastAsia="ro-RO"/>
    </w:rPr>
  </w:style>
  <w:style w:type="paragraph" w:styleId="Title">
    <w:name w:val="Title"/>
    <w:basedOn w:val="Normal"/>
    <w:qFormat/>
    <w:pPr>
      <w:jc w:val="center"/>
    </w:pPr>
    <w:rPr>
      <w:rFonts w:ascii="TimesRomanR" w:eastAsia="Times New Roman" w:hAnsi="TimesRomanR"/>
      <w:b/>
      <w:szCs w:val="20"/>
      <w:lang w:val="en-AU" w:eastAsia="ro-RO"/>
    </w:rPr>
  </w:style>
  <w:style w:type="paragraph" w:styleId="TOC1">
    <w:name w:val="toc 1"/>
    <w:basedOn w:val="Normal"/>
    <w:next w:val="Normal"/>
    <w:semiHidden/>
    <w:qFormat/>
    <w:pPr>
      <w:tabs>
        <w:tab w:val="left" w:pos="0"/>
        <w:tab w:val="left" w:pos="400"/>
        <w:tab w:val="right" w:leader="dot" w:pos="8460"/>
      </w:tabs>
      <w:ind w:right="749" w:hanging="630"/>
    </w:pPr>
    <w:rPr>
      <w:rFonts w:eastAsia="Times New Roman"/>
      <w:szCs w:val="20"/>
      <w:lang w:eastAsia="ro-RO"/>
    </w:rPr>
  </w:style>
  <w:style w:type="paragraph" w:styleId="TOC2">
    <w:name w:val="toc 2"/>
    <w:basedOn w:val="Normal"/>
    <w:next w:val="Normal"/>
    <w:semiHidden/>
    <w:pPr>
      <w:ind w:left="240"/>
    </w:pPr>
    <w:rPr>
      <w:rFonts w:ascii="TimesRomanR" w:eastAsia="Times New Roman" w:hAnsi="TimesRomanR"/>
      <w:szCs w:val="20"/>
      <w:lang w:eastAsia="ro-RO"/>
    </w:rPr>
  </w:style>
  <w:style w:type="paragraph" w:styleId="TOC3">
    <w:name w:val="toc 3"/>
    <w:basedOn w:val="Normal"/>
    <w:next w:val="Normal"/>
    <w:semiHidden/>
    <w:pPr>
      <w:ind w:left="480"/>
    </w:pPr>
    <w:rPr>
      <w:rFonts w:ascii="TimesRomanR" w:eastAsia="Times New Roman" w:hAnsi="TimesRomanR"/>
      <w:szCs w:val="20"/>
      <w:lang w:eastAsia="ro-RO"/>
    </w:rPr>
  </w:style>
  <w:style w:type="paragraph" w:styleId="TOC4">
    <w:name w:val="toc 4"/>
    <w:basedOn w:val="Normal"/>
    <w:next w:val="Normal"/>
    <w:semiHidden/>
    <w:pPr>
      <w:ind w:left="720"/>
    </w:pPr>
    <w:rPr>
      <w:rFonts w:ascii="TimesRomanR" w:eastAsia="Times New Roman" w:hAnsi="TimesRomanR"/>
      <w:szCs w:val="20"/>
      <w:lang w:eastAsia="ro-RO"/>
    </w:rPr>
  </w:style>
  <w:style w:type="paragraph" w:styleId="TOC5">
    <w:name w:val="toc 5"/>
    <w:basedOn w:val="Normal"/>
    <w:next w:val="Normal"/>
    <w:semiHidden/>
    <w:pPr>
      <w:ind w:left="960"/>
    </w:pPr>
    <w:rPr>
      <w:rFonts w:ascii="TimesRomanR" w:eastAsia="Times New Roman" w:hAnsi="TimesRomanR"/>
      <w:szCs w:val="20"/>
      <w:lang w:eastAsia="ro-RO"/>
    </w:rPr>
  </w:style>
  <w:style w:type="paragraph" w:styleId="TOC6">
    <w:name w:val="toc 6"/>
    <w:basedOn w:val="Normal"/>
    <w:next w:val="Normal"/>
    <w:semiHidden/>
    <w:pPr>
      <w:ind w:left="1200"/>
    </w:pPr>
    <w:rPr>
      <w:rFonts w:ascii="TimesRomanR" w:eastAsia="Times New Roman" w:hAnsi="TimesRomanR"/>
      <w:szCs w:val="20"/>
      <w:lang w:eastAsia="ro-RO"/>
    </w:rPr>
  </w:style>
  <w:style w:type="paragraph" w:styleId="TOC7">
    <w:name w:val="toc 7"/>
    <w:basedOn w:val="Normal"/>
    <w:next w:val="Normal"/>
    <w:semiHidden/>
    <w:pPr>
      <w:ind w:left="1440"/>
    </w:pPr>
    <w:rPr>
      <w:rFonts w:ascii="TimesRomanR" w:eastAsia="Times New Roman" w:hAnsi="TimesRomanR"/>
      <w:szCs w:val="20"/>
      <w:lang w:eastAsia="ro-RO"/>
    </w:rPr>
  </w:style>
  <w:style w:type="paragraph" w:styleId="TOC8">
    <w:name w:val="toc 8"/>
    <w:basedOn w:val="Normal"/>
    <w:next w:val="Normal"/>
    <w:semiHidden/>
    <w:pPr>
      <w:ind w:left="1680"/>
    </w:pPr>
    <w:rPr>
      <w:rFonts w:ascii="TimesRomanR" w:eastAsia="Times New Roman" w:hAnsi="TimesRomanR"/>
      <w:szCs w:val="20"/>
      <w:lang w:eastAsia="ro-RO"/>
    </w:rPr>
  </w:style>
  <w:style w:type="paragraph" w:styleId="TOC9">
    <w:name w:val="toc 9"/>
    <w:basedOn w:val="Normal"/>
    <w:next w:val="Normal"/>
    <w:semiHidden/>
    <w:pPr>
      <w:ind w:left="1920"/>
    </w:pPr>
    <w:rPr>
      <w:rFonts w:ascii="TimesRomanR" w:eastAsia="Times New Roman" w:hAnsi="TimesRomanR"/>
      <w:szCs w:val="20"/>
      <w:lang w:eastAsia="ro-RO"/>
    </w:rPr>
  </w:style>
  <w:style w:type="character" w:styleId="CommentReference">
    <w:name w:val="annotation reference"/>
    <w:semiHidden/>
    <w:qFormat/>
    <w:rPr>
      <w:sz w:val="16"/>
      <w:szCs w:val="16"/>
    </w:rPr>
  </w:style>
  <w:style w:type="character" w:styleId="Emphasis">
    <w:name w:val="Emphasis"/>
    <w:uiPriority w:val="20"/>
    <w:qFormat/>
    <w:rPr>
      <w:i/>
      <w:iCs/>
    </w:rPr>
  </w:style>
  <w:style w:type="character" w:styleId="FollowedHyperlink">
    <w:name w:val="FollowedHyperlink"/>
    <w:rPr>
      <w:color w:val="800080"/>
      <w:u w:val="single"/>
    </w:rPr>
  </w:style>
  <w:style w:type="character" w:styleId="FootnoteReference">
    <w:name w:val="footnote reference"/>
    <w:semiHidden/>
    <w:rPr>
      <w:vertAlign w:val="superscript"/>
    </w:rPr>
  </w:style>
  <w:style w:type="character" w:styleId="Hyperlink">
    <w:name w:val="Hyperlink"/>
    <w:qFormat/>
    <w:rPr>
      <w:color w:val="0000FF"/>
      <w:u w:val="single"/>
    </w:rPr>
  </w:style>
  <w:style w:type="character" w:styleId="PageNumber">
    <w:name w:val="page number"/>
    <w:basedOn w:val="DefaultParagraphFont"/>
    <w:qFormat/>
  </w:style>
  <w:style w:type="character" w:styleId="Strong">
    <w:name w:val="Strong"/>
    <w:qFormat/>
    <w:rPr>
      <w:b/>
      <w:bCs/>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Pr>
      <w:rFonts w:eastAsia="Times New Roman"/>
      <w:lang w:val="pl-PL" w:eastAsia="pl-PL"/>
    </w:rPr>
  </w:style>
  <w:style w:type="paragraph" w:customStyle="1" w:styleId="CharCharCharCaracter">
    <w:name w:val="Char Char Char Caracter"/>
    <w:basedOn w:val="Normal"/>
    <w:qFormat/>
    <w:rPr>
      <w:rFonts w:eastAsia="Times New Roman"/>
      <w:lang w:val="pl-PL" w:eastAsia="pl-PL"/>
    </w:rPr>
  </w:style>
  <w:style w:type="paragraph" w:customStyle="1" w:styleId="Default">
    <w:name w:val="Default"/>
    <w:pPr>
      <w:autoSpaceDE w:val="0"/>
      <w:autoSpaceDN w:val="0"/>
      <w:adjustRightInd w:val="0"/>
    </w:pPr>
    <w:rPr>
      <w:rFonts w:ascii="EUAlbertina" w:hAnsi="EUAlbertina" w:cs="EUAlbertina"/>
      <w:color w:val="000000"/>
      <w:sz w:val="24"/>
      <w:szCs w:val="24"/>
    </w:rPr>
  </w:style>
  <w:style w:type="character" w:customStyle="1" w:styleId="HeaderChar">
    <w:name w:val="Header Char"/>
    <w:link w:val="Header"/>
    <w:locked/>
    <w:rPr>
      <w:rFonts w:eastAsia="Batang"/>
      <w:sz w:val="24"/>
      <w:szCs w:val="24"/>
      <w:lang w:eastAsia="ko-KR"/>
    </w:rPr>
  </w:style>
  <w:style w:type="paragraph" w:customStyle="1" w:styleId="norm1">
    <w:name w:val="norm1"/>
    <w:basedOn w:val="Normal"/>
    <w:qFormat/>
    <w:pPr>
      <w:spacing w:before="120" w:line="340" w:lineRule="exact"/>
    </w:pPr>
    <w:rPr>
      <w:rFonts w:ascii="TimesRomanR" w:eastAsia="Times New Roman" w:hAnsi="TimesRomanR"/>
      <w:szCs w:val="20"/>
      <w:lang w:eastAsia="ro-RO"/>
    </w:rPr>
  </w:style>
  <w:style w:type="paragraph" w:customStyle="1" w:styleId="TextnBalon1">
    <w:name w:val="Text în Balon1"/>
    <w:basedOn w:val="Normal"/>
    <w:semiHidden/>
    <w:rPr>
      <w:rFonts w:ascii="Tahoma" w:eastAsia="Times New Roman" w:hAnsi="Tahoma" w:cs="Tahoma"/>
      <w:sz w:val="16"/>
      <w:szCs w:val="16"/>
      <w:lang w:eastAsia="ro-RO"/>
    </w:rPr>
  </w:style>
  <w:style w:type="paragraph" w:customStyle="1" w:styleId="SubiectComentariu1">
    <w:name w:val="Subiect Comentariu1"/>
    <w:basedOn w:val="CommentText"/>
    <w:next w:val="CommentText"/>
    <w:semiHidden/>
    <w:rPr>
      <w:b/>
      <w:bCs/>
    </w:rPr>
  </w:style>
  <w:style w:type="character" w:customStyle="1" w:styleId="email1">
    <w:name w:val="email1"/>
    <w:rPr>
      <w:rFonts w:ascii="System" w:hAnsi="System" w:hint="default"/>
      <w:color w:val="333333"/>
      <w:u w:val="none"/>
    </w:rPr>
  </w:style>
  <w:style w:type="paragraph" w:customStyle="1" w:styleId="ccNormal">
    <w:name w:val="ccNormal"/>
    <w:basedOn w:val="Normal"/>
    <w:pPr>
      <w:jc w:val="both"/>
    </w:pPr>
    <w:rPr>
      <w:rFonts w:eastAsia="Times New Roman"/>
      <w:szCs w:val="20"/>
      <w:lang w:val="en-GB" w:eastAsia="ro-RO"/>
    </w:rPr>
  </w:style>
  <w:style w:type="paragraph" w:customStyle="1" w:styleId="Bodytext-Bullet">
    <w:name w:val="Body text - Bullet"/>
    <w:basedOn w:val="BodyTextIndent"/>
    <w:pPr>
      <w:numPr>
        <w:numId w:val="2"/>
      </w:numPr>
      <w:tabs>
        <w:tab w:val="clear" w:pos="360"/>
        <w:tab w:val="clear" w:pos="540"/>
        <w:tab w:val="clear" w:pos="567"/>
        <w:tab w:val="clear" w:pos="810"/>
      </w:tabs>
      <w:spacing w:before="0" w:after="120" w:line="300" w:lineRule="atLeast"/>
      <w:ind w:left="1440"/>
    </w:pPr>
    <w:rPr>
      <w:sz w:val="22"/>
      <w:lang w:val="en-US" w:eastAsia="ko-KR"/>
    </w:rPr>
  </w:style>
  <w:style w:type="paragraph" w:customStyle="1" w:styleId="LNT">
    <w:name w:val="LNT"/>
    <w:basedOn w:val="Normal"/>
    <w:pPr>
      <w:spacing w:before="120" w:line="360" w:lineRule="auto"/>
      <w:jc w:val="both"/>
    </w:pPr>
    <w:rPr>
      <w:rFonts w:ascii="Arial" w:eastAsia="Times New Roman" w:hAnsi="Arial"/>
      <w:szCs w:val="20"/>
      <w:lang w:eastAsia="en-US"/>
    </w:rPr>
  </w:style>
  <w:style w:type="paragraph" w:customStyle="1" w:styleId="NewHeading1">
    <w:name w:val="NewHeading 1"/>
    <w:basedOn w:val="Normal"/>
    <w:pPr>
      <w:numPr>
        <w:numId w:val="3"/>
      </w:numPr>
      <w:spacing w:before="120"/>
      <w:jc w:val="both"/>
    </w:pPr>
    <w:rPr>
      <w:rFonts w:ascii="Arial" w:eastAsia="Times New Roman" w:hAnsi="Arial"/>
      <w:szCs w:val="20"/>
      <w:lang w:eastAsia="en-US"/>
    </w:rPr>
  </w:style>
  <w:style w:type="paragraph" w:customStyle="1" w:styleId="NewHeading2">
    <w:name w:val="NewHeading 2"/>
    <w:basedOn w:val="Normal"/>
    <w:pPr>
      <w:numPr>
        <w:ilvl w:val="1"/>
        <w:numId w:val="3"/>
      </w:numPr>
      <w:spacing w:before="120"/>
      <w:jc w:val="both"/>
    </w:pPr>
    <w:rPr>
      <w:rFonts w:ascii="Arial" w:eastAsia="Times New Roman" w:hAnsi="Arial"/>
      <w:szCs w:val="20"/>
      <w:lang w:eastAsia="en-US"/>
    </w:rPr>
  </w:style>
  <w:style w:type="paragraph" w:customStyle="1" w:styleId="NewHeading3">
    <w:name w:val="New Heading 3"/>
    <w:basedOn w:val="Normal"/>
    <w:pPr>
      <w:numPr>
        <w:ilvl w:val="2"/>
        <w:numId w:val="3"/>
      </w:numPr>
      <w:spacing w:before="120"/>
      <w:jc w:val="both"/>
    </w:pPr>
    <w:rPr>
      <w:rFonts w:ascii="Arial" w:eastAsia="Times New Roman" w:hAnsi="Arial"/>
      <w:szCs w:val="20"/>
      <w:lang w:eastAsia="en-US"/>
    </w:rPr>
  </w:style>
  <w:style w:type="paragraph" w:customStyle="1" w:styleId="NewHeading4">
    <w:name w:val="New Heading 4"/>
    <w:basedOn w:val="Normal"/>
    <w:pPr>
      <w:numPr>
        <w:ilvl w:val="3"/>
        <w:numId w:val="3"/>
      </w:numPr>
      <w:spacing w:before="120"/>
      <w:jc w:val="both"/>
    </w:pPr>
    <w:rPr>
      <w:rFonts w:ascii="Arial" w:eastAsia="Times New Roman" w:hAnsi="Arial"/>
      <w:szCs w:val="20"/>
      <w:lang w:eastAsia="en-US"/>
    </w:rPr>
  </w:style>
  <w:style w:type="paragraph" w:styleId="ListParagraph">
    <w:name w:val="List Paragraph"/>
    <w:basedOn w:val="Normal"/>
    <w:qFormat/>
    <w:pPr>
      <w:ind w:left="720"/>
    </w:pPr>
    <w:rPr>
      <w:rFonts w:eastAsia="Times New Roman"/>
      <w:lang w:val="en-US" w:eastAsia="en-US"/>
    </w:rPr>
  </w:style>
  <w:style w:type="paragraph" w:customStyle="1" w:styleId="CharCharCharChar">
    <w:name w:val="Char Char Char Char"/>
    <w:basedOn w:val="Normal"/>
    <w:rPr>
      <w:rFonts w:eastAsia="Times New Roman"/>
      <w:lang w:val="pl-PL" w:eastAsia="pl-PL"/>
    </w:rPr>
  </w:style>
  <w:style w:type="paragraph" w:customStyle="1" w:styleId="CharCharCaracter">
    <w:name w:val="Char Char Caracter"/>
    <w:basedOn w:val="Normal"/>
    <w:rPr>
      <w:rFonts w:eastAsia="Times New Roman"/>
      <w:lang w:val="pl-PL" w:eastAsia="pl-PL"/>
    </w:rPr>
  </w:style>
  <w:style w:type="character" w:customStyle="1" w:styleId="yiv351784985preambul1">
    <w:name w:val="yiv351784985preambul1"/>
    <w:rPr>
      <w:rFonts w:cs="Times New Roman"/>
    </w:rPr>
  </w:style>
  <w:style w:type="character" w:styleId="PlaceholderText">
    <w:name w:val="Placeholder Text"/>
    <w:basedOn w:val="DefaultParagraphFont"/>
    <w:uiPriority w:val="99"/>
    <w:semiHidden/>
    <w:rPr>
      <w:color w:val="808080"/>
    </w:rPr>
  </w:style>
  <w:style w:type="paragraph" w:customStyle="1" w:styleId="Stilactenormative">
    <w:name w:val="Stil acte normative"/>
    <w:basedOn w:val="BodyTextIndent3"/>
    <w:link w:val="StilactenormativeChar"/>
    <w:qFormat/>
    <w:pPr>
      <w:numPr>
        <w:numId w:val="4"/>
      </w:numPr>
      <w:tabs>
        <w:tab w:val="left" w:pos="142"/>
        <w:tab w:val="left" w:pos="851"/>
      </w:tabs>
      <w:spacing w:after="0" w:line="360" w:lineRule="auto"/>
      <w:jc w:val="both"/>
    </w:pPr>
    <w:rPr>
      <w:rFonts w:ascii="Times New Roman" w:hAnsi="Times New Roman"/>
      <w:sz w:val="24"/>
      <w:szCs w:val="24"/>
      <w:lang w:val="ro-RO"/>
    </w:rPr>
  </w:style>
  <w:style w:type="character" w:customStyle="1" w:styleId="BodyTextIndent3Char">
    <w:name w:val="Body Text Indent 3 Char"/>
    <w:basedOn w:val="DefaultParagraphFont"/>
    <w:link w:val="BodyTextIndent3"/>
    <w:rPr>
      <w:rFonts w:ascii="ArialUpR" w:hAnsi="ArialUpR"/>
      <w:sz w:val="16"/>
      <w:szCs w:val="16"/>
      <w:lang w:val="en-US" w:eastAsia="en-US"/>
    </w:rPr>
  </w:style>
  <w:style w:type="character" w:customStyle="1" w:styleId="StilactenormativeChar">
    <w:name w:val="Stil acte normative Char"/>
    <w:basedOn w:val="BodyTextIndent3Char"/>
    <w:link w:val="Stilactenormative"/>
    <w:rPr>
      <w:rFonts w:ascii="ArialUpR" w:hAnsi="ArialUpR"/>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6653BE-A743-410D-9CFA-F6C56CDB7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2681</Words>
  <Characters>16619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Ordin nr</vt:lpstr>
    </vt:vector>
  </TitlesOfParts>
  <Company>Hewlett-Packard Company</Company>
  <LinksUpToDate>false</LinksUpToDate>
  <CharactersWithSpaces>19262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cp:revision>6</cp:revision>
  <cp:lastPrinted>2020-08-04T09:48:00Z</cp:lastPrinted>
  <dcterms:created xsi:type="dcterms:W3CDTF">2020-08-04T08:28:00Z</dcterms:created>
  <dcterms:modified xsi:type="dcterms:W3CDTF">2020-08-04T09:58:00Z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