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BA2F3" w14:textId="4C4659A2" w:rsidR="00984D9A" w:rsidRPr="00431A12" w:rsidRDefault="00984D9A" w:rsidP="00431A12">
      <w:pPr>
        <w:rPr>
          <w:rFonts w:cs="Segoe UI Light"/>
        </w:rPr>
      </w:pPr>
    </w:p>
    <w:p w14:paraId="6B2B4D94" w14:textId="09C13040" w:rsidR="00984D9A" w:rsidRPr="00431A12" w:rsidRDefault="00984D9A" w:rsidP="00431A12">
      <w:pPr>
        <w:rPr>
          <w:rFonts w:cs="Segoe UI Light"/>
          <w:b/>
          <w:sz w:val="36"/>
          <w:szCs w:val="36"/>
        </w:rPr>
      </w:pPr>
      <w:r w:rsidRPr="00431A12">
        <w:rPr>
          <w:rFonts w:cs="Segoe UI Light"/>
          <w:b/>
          <w:sz w:val="36"/>
          <w:szCs w:val="36"/>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p w14:paraId="774C17AE" w14:textId="5022C303" w:rsidR="00984D9A" w:rsidRPr="00431A12" w:rsidRDefault="00984D9A" w:rsidP="00431A12">
      <w:pPr>
        <w:ind w:firstLine="720"/>
        <w:rPr>
          <w:rFonts w:cs="Segoe UI Light"/>
        </w:rPr>
      </w:pPr>
    </w:p>
    <w:p w14:paraId="5E7E594B" w14:textId="7C4AE2B0" w:rsidR="00984D9A" w:rsidRPr="00431A12" w:rsidRDefault="00984D9A" w:rsidP="001E68A1">
      <w:pPr>
        <w:rPr>
          <w:rFonts w:cs="Segoe UI Light"/>
        </w:rPr>
      </w:pPr>
    </w:p>
    <w:p w14:paraId="41F885ED" w14:textId="315F8FB3" w:rsidR="00431A12" w:rsidRPr="00431A12" w:rsidRDefault="00431A12" w:rsidP="001E68A1">
      <w:pPr>
        <w:rPr>
          <w:rFonts w:cs="Segoe UI Light"/>
        </w:rPr>
      </w:pPr>
    </w:p>
    <w:p w14:paraId="15FC46F3" w14:textId="348783B4" w:rsidR="00431A12" w:rsidRPr="001504B3" w:rsidRDefault="002F51C9" w:rsidP="00431A12">
      <w:pPr>
        <w:rPr>
          <w:rFonts w:eastAsiaTheme="majorEastAsia" w:cs="Segoe UI Light"/>
          <w:noProof w:val="0"/>
          <w:color w:val="001489"/>
          <w:spacing w:val="-10"/>
          <w:kern w:val="28"/>
          <w:sz w:val="32"/>
          <w:szCs w:val="56"/>
          <w:lang w:val="ro-RO"/>
        </w:rPr>
      </w:pPr>
      <w:r>
        <w:rPr>
          <w:rFonts w:eastAsiaTheme="majorEastAsia" w:cs="Segoe UI Light"/>
          <w:noProof w:val="0"/>
          <w:color w:val="001489"/>
          <w:spacing w:val="-10"/>
          <w:kern w:val="28"/>
          <w:sz w:val="32"/>
          <w:szCs w:val="56"/>
          <w:lang w:val="ro-RO"/>
        </w:rPr>
        <w:t>Livrabil</w:t>
      </w:r>
      <w:r w:rsidR="00431A12" w:rsidRPr="001504B3">
        <w:rPr>
          <w:rFonts w:eastAsiaTheme="majorEastAsia" w:cs="Segoe UI Light"/>
          <w:noProof w:val="0"/>
          <w:color w:val="001489"/>
          <w:spacing w:val="-10"/>
          <w:kern w:val="28"/>
          <w:sz w:val="32"/>
          <w:szCs w:val="56"/>
          <w:lang w:val="ro-RO"/>
        </w:rPr>
        <w:t xml:space="preserve"> </w:t>
      </w:r>
      <w:r w:rsidR="001504B3" w:rsidRPr="001504B3">
        <w:rPr>
          <w:rFonts w:eastAsiaTheme="majorEastAsia" w:cs="Segoe UI Light"/>
          <w:noProof w:val="0"/>
          <w:color w:val="001489"/>
          <w:spacing w:val="-10"/>
          <w:kern w:val="28"/>
          <w:sz w:val="32"/>
          <w:szCs w:val="56"/>
          <w:lang w:val="ro-RO"/>
        </w:rPr>
        <w:t xml:space="preserve">1 </w:t>
      </w:r>
      <w:r w:rsidR="00431A12" w:rsidRPr="001504B3">
        <w:rPr>
          <w:rFonts w:eastAsiaTheme="majorEastAsia" w:cs="Segoe UI Light"/>
          <w:noProof w:val="0"/>
          <w:color w:val="001489"/>
          <w:spacing w:val="-10"/>
          <w:kern w:val="28"/>
          <w:sz w:val="32"/>
          <w:szCs w:val="56"/>
          <w:lang w:val="ro-RO"/>
        </w:rPr>
        <w:t xml:space="preserve">– </w:t>
      </w:r>
      <w:r w:rsidRPr="002F51C9">
        <w:rPr>
          <w:rFonts w:eastAsiaTheme="majorEastAsia" w:cs="Segoe UI Light"/>
          <w:noProof w:val="0"/>
          <w:color w:val="001489"/>
          <w:spacing w:val="-10"/>
          <w:kern w:val="28"/>
          <w:sz w:val="32"/>
          <w:szCs w:val="56"/>
          <w:lang w:val="ro-RO"/>
        </w:rPr>
        <w:t>Rezultate ale documentării privind metode de alocare a</w:t>
      </w:r>
      <w:r w:rsidR="00052CD3">
        <w:rPr>
          <w:rFonts w:eastAsiaTheme="majorEastAsia" w:cs="Segoe UI Light"/>
          <w:noProof w:val="0"/>
          <w:color w:val="001489"/>
          <w:spacing w:val="-10"/>
          <w:kern w:val="28"/>
          <w:sz w:val="32"/>
          <w:szCs w:val="56"/>
          <w:lang w:val="ro-RO"/>
        </w:rPr>
        <w:t xml:space="preserve"> CPT, din experiența altor țări</w:t>
      </w:r>
    </w:p>
    <w:p w14:paraId="2E463D7D" w14:textId="09183DB6" w:rsidR="00984D9A" w:rsidRPr="001E68A1" w:rsidRDefault="001E68A1" w:rsidP="001E68A1">
      <w:pPr>
        <w:rPr>
          <w:rFonts w:eastAsiaTheme="majorEastAsia" w:cs="Segoe UI Light"/>
          <w:noProof w:val="0"/>
          <w:color w:val="001489"/>
          <w:spacing w:val="-10"/>
          <w:kern w:val="28"/>
          <w:sz w:val="32"/>
          <w:szCs w:val="56"/>
          <w:lang w:val="ro-RO"/>
        </w:rPr>
      </w:pPr>
      <w:r w:rsidRPr="001E68A1">
        <w:rPr>
          <w:rFonts w:eastAsiaTheme="majorEastAsia" w:cs="Segoe UI Light"/>
          <w:noProof w:val="0"/>
          <w:color w:val="001489"/>
          <w:spacing w:val="-10"/>
          <w:kern w:val="28"/>
          <w:sz w:val="32"/>
          <w:szCs w:val="56"/>
          <w:lang w:val="ro-RO"/>
        </w:rPr>
        <w:t>Identificarea și prezentarea unor soluții privind metode de calcul a tranzitelor suplimentare de energie, cu impact asupra CPT în rețelele de 110 kV ale operatorilor de distribuție a energiei electrice concesionari, precum și modul de alocare a costurilor aferente achiziției energiei pentru acoperirea</w:t>
      </w:r>
      <w:r>
        <w:rPr>
          <w:rFonts w:eastAsiaTheme="majorEastAsia" w:cs="Segoe UI Light"/>
          <w:noProof w:val="0"/>
          <w:color w:val="001489"/>
          <w:spacing w:val="-10"/>
          <w:kern w:val="28"/>
          <w:sz w:val="32"/>
          <w:szCs w:val="56"/>
          <w:lang w:val="ro-RO"/>
        </w:rPr>
        <w:t xml:space="preserve"> CPT, din experiența altor țări</w:t>
      </w:r>
    </w:p>
    <w:p w14:paraId="4D68B535" w14:textId="1E4BF1A7" w:rsidR="00984D9A" w:rsidRDefault="00984D9A" w:rsidP="00431A12">
      <w:pPr>
        <w:ind w:firstLine="720"/>
        <w:rPr>
          <w:rFonts w:cs="Segoe UI Light"/>
        </w:rPr>
      </w:pPr>
    </w:p>
    <w:p w14:paraId="62826590" w14:textId="77777777" w:rsidR="001E68A1" w:rsidRPr="00431A12" w:rsidRDefault="001E68A1" w:rsidP="00431A12">
      <w:pPr>
        <w:ind w:firstLine="720"/>
        <w:rPr>
          <w:rFonts w:cs="Segoe UI Light"/>
        </w:rPr>
      </w:pPr>
    </w:p>
    <w:p w14:paraId="229D3009" w14:textId="7BCB5FCC" w:rsidR="00984D9A" w:rsidRPr="00431A12" w:rsidRDefault="00984D9A" w:rsidP="001E68A1">
      <w:pPr>
        <w:rPr>
          <w:rFonts w:cs="Segoe UI Light"/>
        </w:rPr>
      </w:pPr>
    </w:p>
    <w:p w14:paraId="6551FA31" w14:textId="77777777" w:rsidR="00D939B6" w:rsidRDefault="00C84588" w:rsidP="00C84588">
      <w:pPr>
        <w:rPr>
          <w:rFonts w:cs="Segoe UI Light"/>
        </w:rPr>
      </w:pPr>
      <w:r w:rsidRPr="00C84588">
        <w:rPr>
          <w:rFonts w:cs="Segoe UI Light"/>
        </w:rPr>
        <w:t>Aprobat</w:t>
      </w:r>
      <w:r w:rsidRPr="00C84588">
        <w:rPr>
          <w:rFonts w:cs="Segoe UI Light"/>
        </w:rPr>
        <w:tab/>
        <w:t>Ion Triștiu</w:t>
      </w:r>
      <w:r w:rsidR="001E68A1">
        <w:rPr>
          <w:rFonts w:cs="Segoe UI Light"/>
        </w:rPr>
        <w:t xml:space="preserve">, </w:t>
      </w:r>
    </w:p>
    <w:p w14:paraId="5D7FEE3F" w14:textId="4482B476" w:rsidR="001E68A1" w:rsidRPr="00C84588" w:rsidRDefault="001E68A1" w:rsidP="00D939B6">
      <w:pPr>
        <w:ind w:left="720" w:firstLine="720"/>
        <w:rPr>
          <w:rFonts w:cs="Segoe UI Light"/>
        </w:rPr>
      </w:pPr>
      <w:r>
        <w:rPr>
          <w:rFonts w:cs="Segoe UI Light"/>
        </w:rPr>
        <w:t>Ovidiu-Ștefan Moișanu</w:t>
      </w:r>
    </w:p>
    <w:p w14:paraId="642BD25D" w14:textId="77777777" w:rsidR="00D939B6" w:rsidRDefault="00C84588" w:rsidP="00C84588">
      <w:pPr>
        <w:rPr>
          <w:rFonts w:cs="Segoe UI Light"/>
        </w:rPr>
      </w:pPr>
      <w:r w:rsidRPr="00C84588">
        <w:rPr>
          <w:rFonts w:cs="Segoe UI Light"/>
        </w:rPr>
        <w:t>Verificat</w:t>
      </w:r>
      <w:r w:rsidRPr="00C84588">
        <w:rPr>
          <w:rFonts w:cs="Segoe UI Light"/>
        </w:rPr>
        <w:tab/>
        <w:t xml:space="preserve">Mihaela Albu, </w:t>
      </w:r>
    </w:p>
    <w:p w14:paraId="40439909" w14:textId="5BA85759" w:rsidR="00C84588" w:rsidRPr="00C84588" w:rsidRDefault="00C84588" w:rsidP="00D939B6">
      <w:pPr>
        <w:ind w:left="720" w:firstLine="720"/>
        <w:rPr>
          <w:rFonts w:cs="Segoe UI Light"/>
        </w:rPr>
      </w:pPr>
      <w:r w:rsidRPr="00C84588">
        <w:rPr>
          <w:rFonts w:cs="Segoe UI Light"/>
        </w:rPr>
        <w:t>Radu Porumb</w:t>
      </w:r>
    </w:p>
    <w:p w14:paraId="109B6967" w14:textId="7C52CD46" w:rsidR="00984D9A" w:rsidRPr="00431A12" w:rsidRDefault="00C84588" w:rsidP="00C84588">
      <w:pPr>
        <w:rPr>
          <w:rFonts w:cs="Segoe UI Light"/>
        </w:rPr>
      </w:pPr>
      <w:r w:rsidRPr="00C84588">
        <w:rPr>
          <w:rFonts w:cs="Segoe UI Light"/>
        </w:rPr>
        <w:t>Întocmit</w:t>
      </w:r>
      <w:r w:rsidRPr="00C84588">
        <w:rPr>
          <w:rFonts w:cs="Segoe UI Light"/>
        </w:rPr>
        <w:tab/>
        <w:t>Dan Apetrei</w:t>
      </w:r>
    </w:p>
    <w:p w14:paraId="42C99927" w14:textId="4B055804" w:rsidR="00984D9A" w:rsidRPr="009C5F1C" w:rsidRDefault="00984D9A" w:rsidP="00431A12">
      <w:pPr>
        <w:ind w:firstLine="720"/>
        <w:rPr>
          <w:rFonts w:cs="Segoe UI Light"/>
          <w:lang w:val="en-US"/>
        </w:rPr>
      </w:pPr>
    </w:p>
    <w:p w14:paraId="1E4150DE" w14:textId="76ABD536" w:rsidR="00984D9A" w:rsidRPr="00431A12" w:rsidRDefault="00984D9A" w:rsidP="00431A12">
      <w:pPr>
        <w:rPr>
          <w:rFonts w:cs="Segoe UI Light"/>
          <w:lang w:val="en-US"/>
        </w:rPr>
      </w:pPr>
    </w:p>
    <w:tbl>
      <w:tblPr>
        <w:tblStyle w:val="GridTable1Light-Accent311"/>
        <w:tblW w:w="9351" w:type="dxa"/>
        <w:tblLook w:val="0400" w:firstRow="0" w:lastRow="0" w:firstColumn="0" w:lastColumn="0" w:noHBand="0" w:noVBand="1"/>
      </w:tblPr>
      <w:tblGrid>
        <w:gridCol w:w="2515"/>
        <w:gridCol w:w="6836"/>
      </w:tblGrid>
      <w:tr w:rsidR="00984D9A" w:rsidRPr="00431A12" w14:paraId="0109E6DF" w14:textId="77777777" w:rsidTr="00431A12">
        <w:tc>
          <w:tcPr>
            <w:tcW w:w="2515" w:type="dxa"/>
          </w:tcPr>
          <w:p w14:paraId="2786E2DC"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lastRenderedPageBreak/>
              <w:t>Denumirea proiectului</w:t>
            </w:r>
          </w:p>
        </w:tc>
        <w:tc>
          <w:tcPr>
            <w:tcW w:w="6836" w:type="dxa"/>
          </w:tcPr>
          <w:p w14:paraId="7CB9DAC0" w14:textId="7CE6CCEB" w:rsidR="00984D9A" w:rsidRPr="001504B3" w:rsidRDefault="00984D9A" w:rsidP="001504B3">
            <w:pPr>
              <w:spacing w:before="60" w:after="60" w:line="276" w:lineRule="auto"/>
              <w:rPr>
                <w:rFonts w:cs="Segoe UI Light"/>
                <w:sz w:val="22"/>
              </w:rPr>
            </w:pPr>
            <w:r w:rsidRPr="001504B3">
              <w:rPr>
                <w:rFonts w:eastAsia="PMingLiU" w:cs="Segoe UI Light"/>
                <w:sz w:val="22"/>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tc>
      </w:tr>
      <w:tr w:rsidR="00984D9A" w:rsidRPr="00431A12" w14:paraId="7282150E" w14:textId="77777777" w:rsidTr="00431A12">
        <w:tc>
          <w:tcPr>
            <w:tcW w:w="2515" w:type="dxa"/>
          </w:tcPr>
          <w:p w14:paraId="73EABADF"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Contractul de servicii</w:t>
            </w:r>
          </w:p>
        </w:tc>
        <w:tc>
          <w:tcPr>
            <w:tcW w:w="6836" w:type="dxa"/>
          </w:tcPr>
          <w:p w14:paraId="7180BA90" w14:textId="6827D475" w:rsidR="00984D9A" w:rsidRPr="001504B3" w:rsidRDefault="00310404" w:rsidP="001504B3">
            <w:pPr>
              <w:spacing w:before="60" w:after="60" w:line="276" w:lineRule="auto"/>
              <w:rPr>
                <w:rFonts w:cs="Segoe UI Light"/>
                <w:sz w:val="22"/>
              </w:rPr>
            </w:pPr>
            <w:r w:rsidRPr="001504B3">
              <w:rPr>
                <w:rFonts w:cs="Segoe UI Light"/>
                <w:sz w:val="22"/>
              </w:rPr>
              <w:t>91/29.04.2022</w:t>
            </w:r>
          </w:p>
        </w:tc>
      </w:tr>
      <w:tr w:rsidR="00984D9A" w:rsidRPr="00431A12" w14:paraId="0BB5D097" w14:textId="77777777" w:rsidTr="00431A12">
        <w:tc>
          <w:tcPr>
            <w:tcW w:w="2515" w:type="dxa"/>
          </w:tcPr>
          <w:p w14:paraId="036EA5E9"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Acte adiționale</w:t>
            </w:r>
          </w:p>
        </w:tc>
        <w:tc>
          <w:tcPr>
            <w:tcW w:w="6836" w:type="dxa"/>
          </w:tcPr>
          <w:p w14:paraId="46DF9DCE" w14:textId="77777777" w:rsidR="00984D9A" w:rsidRPr="001504B3" w:rsidRDefault="00984D9A" w:rsidP="001504B3">
            <w:pPr>
              <w:spacing w:before="60" w:after="60" w:line="276" w:lineRule="auto"/>
              <w:rPr>
                <w:rFonts w:cs="Segoe UI Light"/>
                <w:sz w:val="22"/>
              </w:rPr>
            </w:pPr>
            <w:r w:rsidRPr="001504B3">
              <w:rPr>
                <w:rFonts w:cs="Segoe UI Light"/>
                <w:sz w:val="22"/>
              </w:rPr>
              <w:t>Nu este cazul</w:t>
            </w:r>
          </w:p>
        </w:tc>
      </w:tr>
      <w:tr w:rsidR="00984D9A" w:rsidRPr="00431A12" w14:paraId="5DF28454" w14:textId="77777777" w:rsidTr="00431A12">
        <w:tc>
          <w:tcPr>
            <w:tcW w:w="2515" w:type="dxa"/>
          </w:tcPr>
          <w:p w14:paraId="590FE1C8"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Obiectul contractului</w:t>
            </w:r>
          </w:p>
        </w:tc>
        <w:tc>
          <w:tcPr>
            <w:tcW w:w="6836" w:type="dxa"/>
          </w:tcPr>
          <w:p w14:paraId="5155A6F2" w14:textId="532B9876" w:rsidR="00984D9A" w:rsidRPr="001504B3" w:rsidRDefault="00310404" w:rsidP="001504B3">
            <w:pPr>
              <w:spacing w:before="60" w:after="60" w:line="276" w:lineRule="auto"/>
              <w:rPr>
                <w:rFonts w:cs="Segoe UI Light"/>
                <w:sz w:val="22"/>
              </w:rPr>
            </w:pPr>
            <w:r w:rsidRPr="001504B3">
              <w:rPr>
                <w:rFonts w:cs="Segoe UI Light"/>
                <w:sz w:val="22"/>
              </w:rPr>
              <w:t xml:space="preserve">Elaborarea studiului privind determinarea unui algoritm de calcul si a unei modalități de atribuire producătorilor și operatortului de transport și de sistem, a consumului propriu tehnologic </w:t>
            </w:r>
            <w:r w:rsidRPr="001504B3">
              <w:rPr>
                <w:rFonts w:eastAsia="PMingLiU" w:cs="Segoe UI Light"/>
                <w:sz w:val="22"/>
              </w:rPr>
              <w:t>cauzat de tranzitele suplimentare de energie în rețelele de 110 kV ale operatorilor de distribuție a energiei electrice concesionari</w:t>
            </w:r>
          </w:p>
        </w:tc>
      </w:tr>
      <w:tr w:rsidR="00984D9A" w:rsidRPr="00431A12" w14:paraId="25F1E0E1" w14:textId="77777777" w:rsidTr="00431A12">
        <w:tc>
          <w:tcPr>
            <w:tcW w:w="2515" w:type="dxa"/>
          </w:tcPr>
          <w:p w14:paraId="3BCB725E"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Durata contractului</w:t>
            </w:r>
          </w:p>
        </w:tc>
        <w:tc>
          <w:tcPr>
            <w:tcW w:w="6836" w:type="dxa"/>
          </w:tcPr>
          <w:p w14:paraId="79328B23" w14:textId="77777777" w:rsidR="00984D9A" w:rsidRPr="001504B3" w:rsidRDefault="00431A12" w:rsidP="001504B3">
            <w:pPr>
              <w:spacing w:before="60" w:after="60" w:line="276" w:lineRule="auto"/>
              <w:rPr>
                <w:rFonts w:cs="Segoe UI Light"/>
                <w:sz w:val="22"/>
              </w:rPr>
            </w:pPr>
            <w:r w:rsidRPr="001504B3">
              <w:rPr>
                <w:rFonts w:cs="Segoe UI Light"/>
                <w:sz w:val="22"/>
              </w:rPr>
              <w:t>31.12.2022</w:t>
            </w:r>
          </w:p>
          <w:p w14:paraId="06EF508D" w14:textId="465C7018" w:rsidR="00431A12" w:rsidRPr="001504B3" w:rsidRDefault="00431A12" w:rsidP="001504B3">
            <w:pPr>
              <w:spacing w:before="60" w:after="60" w:line="276" w:lineRule="auto"/>
              <w:rPr>
                <w:rFonts w:cs="Segoe UI Light"/>
                <w:sz w:val="22"/>
                <w:lang w:val="ro-RO"/>
              </w:rPr>
            </w:pPr>
            <w:r w:rsidRPr="001504B3">
              <w:rPr>
                <w:rFonts w:cs="Segoe UI Light"/>
                <w:sz w:val="22"/>
              </w:rPr>
              <w:t>Termen de realizare al Studiului este de 159 zile, respectiv p</w:t>
            </w:r>
            <w:r w:rsidRPr="001504B3">
              <w:rPr>
                <w:rFonts w:cs="Segoe UI Light"/>
                <w:sz w:val="22"/>
                <w:lang w:val="ro-RO"/>
              </w:rPr>
              <w:t>ână la data de 08.10.2022</w:t>
            </w:r>
          </w:p>
        </w:tc>
      </w:tr>
      <w:tr w:rsidR="00984D9A" w:rsidRPr="00431A12" w14:paraId="49E790C1" w14:textId="77777777" w:rsidTr="00431A12">
        <w:tc>
          <w:tcPr>
            <w:tcW w:w="2515" w:type="dxa"/>
          </w:tcPr>
          <w:p w14:paraId="4B4CDF4B"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Beneficiar</w:t>
            </w:r>
          </w:p>
        </w:tc>
        <w:tc>
          <w:tcPr>
            <w:tcW w:w="6836" w:type="dxa"/>
          </w:tcPr>
          <w:p w14:paraId="5F1F2BFE" w14:textId="279AC76C" w:rsidR="00984D9A" w:rsidRPr="001504B3" w:rsidRDefault="00431A12" w:rsidP="001504B3">
            <w:pPr>
              <w:spacing w:before="60" w:after="60" w:line="276" w:lineRule="auto"/>
              <w:rPr>
                <w:rFonts w:cs="Segoe UI Light"/>
                <w:sz w:val="22"/>
              </w:rPr>
            </w:pPr>
            <w:r w:rsidRPr="001504B3">
              <w:rPr>
                <w:rFonts w:cs="Segoe UI Light"/>
                <w:sz w:val="22"/>
              </w:rPr>
              <w:t>Autoritatea Națională de Reglementare în Domeniul Energiei (ANRE)</w:t>
            </w:r>
          </w:p>
        </w:tc>
      </w:tr>
      <w:tr w:rsidR="00984D9A" w:rsidRPr="00431A12" w14:paraId="38DBD94F" w14:textId="77777777" w:rsidTr="00431A12">
        <w:tc>
          <w:tcPr>
            <w:tcW w:w="2515" w:type="dxa"/>
          </w:tcPr>
          <w:p w14:paraId="53A92204"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Prestator</w:t>
            </w:r>
          </w:p>
        </w:tc>
        <w:tc>
          <w:tcPr>
            <w:tcW w:w="6836" w:type="dxa"/>
          </w:tcPr>
          <w:p w14:paraId="2CBBBA03" w14:textId="5DAE71A6" w:rsidR="00984D9A" w:rsidRPr="001504B3" w:rsidRDefault="00431A12" w:rsidP="001504B3">
            <w:pPr>
              <w:spacing w:before="60" w:after="60" w:line="276" w:lineRule="auto"/>
              <w:rPr>
                <w:rFonts w:cs="Segoe UI Light"/>
                <w:sz w:val="22"/>
              </w:rPr>
            </w:pPr>
            <w:r w:rsidRPr="001504B3">
              <w:rPr>
                <w:rFonts w:cs="Segoe UI Light"/>
                <w:sz w:val="22"/>
              </w:rPr>
              <w:t>Cima Data Analytics S.A.</w:t>
            </w:r>
          </w:p>
        </w:tc>
      </w:tr>
      <w:tr w:rsidR="00984D9A" w:rsidRPr="00431A12" w14:paraId="2771070B" w14:textId="77777777" w:rsidTr="00431A12">
        <w:tc>
          <w:tcPr>
            <w:tcW w:w="2515" w:type="dxa"/>
          </w:tcPr>
          <w:p w14:paraId="652C8BD5"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 xml:space="preserve">Activitatea </w:t>
            </w:r>
          </w:p>
        </w:tc>
        <w:tc>
          <w:tcPr>
            <w:tcW w:w="6836" w:type="dxa"/>
          </w:tcPr>
          <w:p w14:paraId="4BD9EE62" w14:textId="5EFF6076" w:rsidR="004868C6" w:rsidRDefault="00431A12" w:rsidP="001504B3">
            <w:pPr>
              <w:spacing w:before="60" w:after="60" w:line="276" w:lineRule="auto"/>
              <w:rPr>
                <w:rFonts w:cs="Segoe UI Light"/>
                <w:sz w:val="22"/>
              </w:rPr>
            </w:pPr>
            <w:r w:rsidRPr="001504B3">
              <w:rPr>
                <w:rFonts w:cs="Segoe UI Light"/>
                <w:sz w:val="22"/>
              </w:rPr>
              <w:t>Etapa 1 –</w:t>
            </w:r>
            <w:r w:rsidR="00275443">
              <w:rPr>
                <w:rFonts w:cs="Segoe UI Light"/>
                <w:sz w:val="22"/>
              </w:rPr>
              <w:t xml:space="preserve"> D</w:t>
            </w:r>
            <w:r w:rsidR="004868C6" w:rsidRPr="004868C6">
              <w:rPr>
                <w:rFonts w:cs="Segoe UI Light"/>
                <w:sz w:val="22"/>
              </w:rPr>
              <w:t>ocumentare</w:t>
            </w:r>
          </w:p>
          <w:p w14:paraId="78FD45F0" w14:textId="308E1E35" w:rsidR="00431A12" w:rsidRPr="001504B3" w:rsidRDefault="001504B3" w:rsidP="004868C6">
            <w:pPr>
              <w:spacing w:before="60" w:after="60"/>
              <w:rPr>
                <w:rFonts w:cs="Segoe UI Light"/>
                <w:sz w:val="22"/>
              </w:rPr>
            </w:pPr>
            <w:r w:rsidRPr="001504B3">
              <w:rPr>
                <w:rFonts w:cs="Segoe UI Light"/>
                <w:sz w:val="22"/>
              </w:rPr>
              <w:t xml:space="preserve">Activitatea 1 - </w:t>
            </w:r>
            <w:r w:rsidR="004868C6" w:rsidRPr="004868C6">
              <w:rPr>
                <w:rFonts w:cs="Segoe UI Light"/>
                <w:sz w:val="22"/>
              </w:rPr>
              <w:t>Identificarea și p</w:t>
            </w:r>
            <w:r w:rsidR="004868C6">
              <w:rPr>
                <w:rFonts w:cs="Segoe UI Light"/>
                <w:sz w:val="22"/>
              </w:rPr>
              <w:t xml:space="preserve">rezentarea unor soluții privind </w:t>
            </w:r>
            <w:r w:rsidR="004868C6" w:rsidRPr="004868C6">
              <w:rPr>
                <w:rFonts w:cs="Segoe UI Light"/>
                <w:sz w:val="22"/>
              </w:rPr>
              <w:t>metode de calcu</w:t>
            </w:r>
            <w:r w:rsidR="004868C6">
              <w:rPr>
                <w:rFonts w:cs="Segoe UI Light"/>
                <w:sz w:val="22"/>
              </w:rPr>
              <w:t xml:space="preserve">l a tranzitelor suplimentare de </w:t>
            </w:r>
            <w:r w:rsidR="004868C6" w:rsidRPr="004868C6">
              <w:rPr>
                <w:rFonts w:cs="Segoe UI Light"/>
                <w:sz w:val="22"/>
              </w:rPr>
              <w:t>energie, cu impac</w:t>
            </w:r>
            <w:r w:rsidR="004868C6">
              <w:rPr>
                <w:rFonts w:cs="Segoe UI Light"/>
                <w:sz w:val="22"/>
              </w:rPr>
              <w:t xml:space="preserve">t asupra CPT în rețelele de 110 </w:t>
            </w:r>
            <w:r w:rsidR="004868C6" w:rsidRPr="004868C6">
              <w:rPr>
                <w:rFonts w:cs="Segoe UI Light"/>
                <w:sz w:val="22"/>
              </w:rPr>
              <w:t>kV ale operato</w:t>
            </w:r>
            <w:r w:rsidR="004868C6">
              <w:rPr>
                <w:rFonts w:cs="Segoe UI Light"/>
                <w:sz w:val="22"/>
              </w:rPr>
              <w:t xml:space="preserve">rilor de distribuție a energiei </w:t>
            </w:r>
            <w:r w:rsidR="004868C6" w:rsidRPr="004868C6">
              <w:rPr>
                <w:rFonts w:cs="Segoe UI Light"/>
                <w:sz w:val="22"/>
              </w:rPr>
              <w:t>electrice c</w:t>
            </w:r>
            <w:r w:rsidR="004868C6">
              <w:rPr>
                <w:rFonts w:cs="Segoe UI Light"/>
                <w:sz w:val="22"/>
              </w:rPr>
              <w:t xml:space="preserve">oncesionari, precum și modul de </w:t>
            </w:r>
            <w:r w:rsidR="004868C6" w:rsidRPr="004868C6">
              <w:rPr>
                <w:rFonts w:cs="Segoe UI Light"/>
                <w:sz w:val="22"/>
              </w:rPr>
              <w:t>alocare a costuril</w:t>
            </w:r>
            <w:r w:rsidR="004868C6">
              <w:rPr>
                <w:rFonts w:cs="Segoe UI Light"/>
                <w:sz w:val="22"/>
              </w:rPr>
              <w:t xml:space="preserve">or aferente achiziției energiei </w:t>
            </w:r>
            <w:r w:rsidR="004868C6" w:rsidRPr="004868C6">
              <w:rPr>
                <w:rFonts w:cs="Segoe UI Light"/>
                <w:sz w:val="22"/>
              </w:rPr>
              <w:t>pentru acope</w:t>
            </w:r>
            <w:r w:rsidR="004868C6">
              <w:rPr>
                <w:rFonts w:cs="Segoe UI Light"/>
                <w:sz w:val="22"/>
              </w:rPr>
              <w:t xml:space="preserve">rirea CPT, din experiența altor </w:t>
            </w:r>
            <w:r w:rsidR="004868C6" w:rsidRPr="004868C6">
              <w:rPr>
                <w:rFonts w:cs="Segoe UI Light"/>
                <w:sz w:val="22"/>
              </w:rPr>
              <w:t>ț</w:t>
            </w:r>
            <w:r w:rsidR="004868C6">
              <w:rPr>
                <w:rFonts w:cs="Segoe UI Light"/>
                <w:sz w:val="22"/>
              </w:rPr>
              <w:t>ări.</w:t>
            </w:r>
          </w:p>
        </w:tc>
      </w:tr>
      <w:tr w:rsidR="00984D9A" w:rsidRPr="00431A12" w14:paraId="37454BCC" w14:textId="77777777" w:rsidTr="00F604EA">
        <w:trPr>
          <w:trHeight w:val="276"/>
        </w:trPr>
        <w:tc>
          <w:tcPr>
            <w:tcW w:w="2515" w:type="dxa"/>
          </w:tcPr>
          <w:p w14:paraId="3627F867" w14:textId="77777777" w:rsidR="00984D9A" w:rsidRPr="001504B3" w:rsidRDefault="00984D9A" w:rsidP="001504B3">
            <w:pPr>
              <w:spacing w:before="60" w:after="60" w:line="276" w:lineRule="auto"/>
              <w:rPr>
                <w:rFonts w:cs="Segoe UI Light"/>
                <w:i/>
                <w:iCs/>
                <w:sz w:val="22"/>
              </w:rPr>
            </w:pPr>
            <w:r w:rsidRPr="001504B3">
              <w:rPr>
                <w:rFonts w:cs="Segoe UI Light"/>
                <w:i/>
                <w:iCs/>
                <w:sz w:val="22"/>
              </w:rPr>
              <w:t xml:space="preserve">Rezultatul aferent activității </w:t>
            </w:r>
          </w:p>
        </w:tc>
        <w:tc>
          <w:tcPr>
            <w:tcW w:w="6836" w:type="dxa"/>
          </w:tcPr>
          <w:p w14:paraId="628AA0A5" w14:textId="77777777" w:rsidR="00984D9A" w:rsidRPr="001504B3" w:rsidRDefault="00431A12" w:rsidP="001504B3">
            <w:pPr>
              <w:spacing w:before="60" w:after="60" w:line="276" w:lineRule="auto"/>
              <w:rPr>
                <w:rFonts w:cs="Segoe UI Light"/>
                <w:sz w:val="22"/>
              </w:rPr>
            </w:pPr>
            <w:r w:rsidRPr="001504B3">
              <w:rPr>
                <w:rFonts w:cs="Segoe UI Light"/>
                <w:sz w:val="22"/>
              </w:rPr>
              <w:t>Datele obținute vor fi utilizate în vederea elaborării următoarelor livrabile:</w:t>
            </w:r>
          </w:p>
          <w:p w14:paraId="3671653B" w14:textId="57A79FB8" w:rsidR="00431A12" w:rsidRPr="004868C6" w:rsidRDefault="00431A12" w:rsidP="004868C6">
            <w:pPr>
              <w:spacing w:before="60" w:after="60" w:line="276" w:lineRule="auto"/>
              <w:rPr>
                <w:rFonts w:cs="Segoe UI Light"/>
                <w:sz w:val="22"/>
              </w:rPr>
            </w:pPr>
            <w:r w:rsidRPr="001504B3">
              <w:rPr>
                <w:rFonts w:cs="Segoe UI Light"/>
                <w:i/>
                <w:sz w:val="22"/>
              </w:rPr>
              <w:t>Livrabil 1</w:t>
            </w:r>
            <w:r w:rsidRPr="001504B3">
              <w:rPr>
                <w:rFonts w:cs="Segoe UI Light"/>
                <w:sz w:val="22"/>
              </w:rPr>
              <w:t xml:space="preserve"> - Rezultate ale documentării privind metode de alocare a CPT, din experiența altor țări;</w:t>
            </w:r>
          </w:p>
        </w:tc>
      </w:tr>
      <w:tr w:rsidR="001E68A1" w:rsidRPr="00431A12" w14:paraId="4FDDB30D" w14:textId="77777777" w:rsidTr="00F604EA">
        <w:trPr>
          <w:trHeight w:val="276"/>
        </w:trPr>
        <w:tc>
          <w:tcPr>
            <w:tcW w:w="2515" w:type="dxa"/>
          </w:tcPr>
          <w:p w14:paraId="69957C61" w14:textId="4F1D7150" w:rsidR="001E68A1" w:rsidRPr="001504B3" w:rsidRDefault="001E68A1" w:rsidP="001504B3">
            <w:pPr>
              <w:spacing w:before="60" w:after="60"/>
              <w:rPr>
                <w:rFonts w:cs="Segoe UI Light"/>
                <w:i/>
                <w:iCs/>
                <w:sz w:val="22"/>
              </w:rPr>
            </w:pPr>
            <w:r>
              <w:rPr>
                <w:rFonts w:cs="Segoe UI Light"/>
                <w:i/>
                <w:iCs/>
                <w:sz w:val="22"/>
              </w:rPr>
              <w:t>Data transmiterii livrabilului</w:t>
            </w:r>
          </w:p>
        </w:tc>
        <w:tc>
          <w:tcPr>
            <w:tcW w:w="6836" w:type="dxa"/>
          </w:tcPr>
          <w:p w14:paraId="26D18B67" w14:textId="1998477A" w:rsidR="001E68A1" w:rsidRPr="001504B3" w:rsidRDefault="001E68A1" w:rsidP="001504B3">
            <w:pPr>
              <w:spacing w:before="60" w:after="60"/>
              <w:rPr>
                <w:rFonts w:cs="Segoe UI Light"/>
                <w:sz w:val="22"/>
              </w:rPr>
            </w:pPr>
            <w:r>
              <w:rPr>
                <w:rFonts w:cs="Segoe UI Light"/>
                <w:sz w:val="22"/>
              </w:rPr>
              <w:t>13.07.2022</w:t>
            </w:r>
          </w:p>
        </w:tc>
      </w:tr>
    </w:tbl>
    <w:p w14:paraId="417075B7" w14:textId="177032BD" w:rsidR="00431A12" w:rsidRDefault="00431A12" w:rsidP="001504B3">
      <w:pPr>
        <w:rPr>
          <w:rFonts w:cs="Segoe UI Light"/>
        </w:rPr>
      </w:pPr>
    </w:p>
    <w:p w14:paraId="46573814" w14:textId="49FD844B" w:rsidR="004868C6" w:rsidRDefault="004868C6" w:rsidP="001504B3">
      <w:pPr>
        <w:rPr>
          <w:rFonts w:cs="Segoe UI Light"/>
        </w:rPr>
      </w:pPr>
    </w:p>
    <w:p w14:paraId="1DC917FA" w14:textId="77777777" w:rsidR="004868C6" w:rsidRPr="00431A12" w:rsidRDefault="004868C6" w:rsidP="001504B3">
      <w:pPr>
        <w:rPr>
          <w:rFonts w:cs="Segoe UI Light"/>
        </w:rPr>
      </w:pPr>
    </w:p>
    <w:p w14:paraId="54AE516F" w14:textId="23DE8289" w:rsidR="00431A12" w:rsidRPr="00431A12" w:rsidRDefault="00431A12" w:rsidP="001504B3">
      <w:pPr>
        <w:rPr>
          <w:rFonts w:cs="Segoe UI Light"/>
        </w:rPr>
      </w:pPr>
    </w:p>
    <w:sdt>
      <w:sdtPr>
        <w:rPr>
          <w:rFonts w:ascii="Arial" w:hAnsi="Arial"/>
          <w:b/>
          <w:i/>
          <w:noProof/>
          <w:snapToGrid w:val="0"/>
          <w:color w:val="auto"/>
          <w:sz w:val="24"/>
          <w:szCs w:val="24"/>
          <w:bdr w:val="none" w:sz="0" w:space="0" w:color="auto"/>
          <w:lang w:val="cs-CZ" w:eastAsia="cs-CZ"/>
          <w14:textOutline w14:w="0" w14:cap="rnd" w14:cmpd="sng" w14:algn="ctr">
            <w14:noFill/>
            <w14:prstDash w14:val="solid"/>
            <w14:bevel/>
          </w14:textOutline>
        </w:rPr>
        <w:id w:val="-913615844"/>
        <w:docPartObj>
          <w:docPartGallery w:val="Table of Contents"/>
          <w:docPartUnique/>
        </w:docPartObj>
      </w:sdtPr>
      <w:sdtEndPr>
        <w:rPr>
          <w:bCs/>
        </w:rPr>
      </w:sdtEndPr>
      <w:sdtContent>
        <w:p w14:paraId="7519868D" w14:textId="5CDC56A0" w:rsidR="00207270" w:rsidRPr="001E68A1" w:rsidRDefault="00C248B0" w:rsidP="00C248B0">
          <w:pPr>
            <w:pStyle w:val="Body"/>
            <w:jc w:val="both"/>
            <w:rPr>
              <w:rFonts w:ascii="Segoe UI Light" w:hAnsi="Segoe UI Light" w:cs="Segoe UI Light"/>
              <w:b/>
              <w:sz w:val="24"/>
              <w:szCs w:val="24"/>
            </w:rPr>
          </w:pPr>
          <w:r w:rsidRPr="001E68A1">
            <w:rPr>
              <w:rFonts w:ascii="Segoe UI Light" w:hAnsi="Segoe UI Light" w:cs="Segoe UI Light"/>
              <w:b/>
              <w:sz w:val="24"/>
              <w:szCs w:val="24"/>
            </w:rPr>
            <w:t>Cuprins</w:t>
          </w:r>
        </w:p>
        <w:p w14:paraId="466325D6" w14:textId="606B2551" w:rsidR="00EE6BB8" w:rsidRPr="00F834CD" w:rsidRDefault="00207270">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r w:rsidRPr="00F834CD">
            <w:rPr>
              <w:rFonts w:ascii="Segoe UI Light" w:hAnsi="Segoe UI Light" w:cs="Segoe UI Light"/>
              <w:b w:val="0"/>
              <w:i w:val="0"/>
              <w:sz w:val="22"/>
              <w:szCs w:val="22"/>
            </w:rPr>
            <w:fldChar w:fldCharType="begin"/>
          </w:r>
          <w:r w:rsidRPr="00F834CD">
            <w:rPr>
              <w:rFonts w:ascii="Segoe UI Light" w:hAnsi="Segoe UI Light" w:cs="Segoe UI Light"/>
              <w:b w:val="0"/>
              <w:i w:val="0"/>
              <w:sz w:val="22"/>
              <w:szCs w:val="22"/>
            </w:rPr>
            <w:instrText xml:space="preserve"> TOC \o "1-3" \h \z \u </w:instrText>
          </w:r>
          <w:r w:rsidRPr="00F834CD">
            <w:rPr>
              <w:rFonts w:ascii="Segoe UI Light" w:hAnsi="Segoe UI Light" w:cs="Segoe UI Light"/>
              <w:b w:val="0"/>
              <w:i w:val="0"/>
              <w:sz w:val="22"/>
              <w:szCs w:val="22"/>
            </w:rPr>
            <w:fldChar w:fldCharType="separate"/>
          </w:r>
          <w:hyperlink w:anchor="_Toc109164796" w:history="1">
            <w:r w:rsidR="00EE6BB8" w:rsidRPr="00F834CD">
              <w:rPr>
                <w:rStyle w:val="Hyperlink"/>
                <w:rFonts w:ascii="Segoe UI Light" w:hAnsi="Segoe UI Light" w:cs="Segoe UI Light"/>
                <w:b w:val="0"/>
                <w:i w:val="0"/>
                <w:sz w:val="22"/>
                <w:szCs w:val="22"/>
              </w:rPr>
              <w:t>1.</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hAnsi="Segoe UI Light" w:cs="Segoe UI Light"/>
                <w:b w:val="0"/>
                <w:i w:val="0"/>
                <w:sz w:val="22"/>
                <w:szCs w:val="22"/>
              </w:rPr>
              <w:t>Introducere</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_Toc109164796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sidR="003004E5">
              <w:rPr>
                <w:rFonts w:ascii="Segoe UI Light" w:hAnsi="Segoe UI Light" w:cs="Segoe UI Light"/>
                <w:b w:val="0"/>
                <w:i w:val="0"/>
                <w:webHidden/>
                <w:sz w:val="22"/>
                <w:szCs w:val="22"/>
              </w:rPr>
              <w:t>4</w:t>
            </w:r>
            <w:r w:rsidR="00EE6BB8" w:rsidRPr="00F834CD">
              <w:rPr>
                <w:rFonts w:ascii="Segoe UI Light" w:hAnsi="Segoe UI Light" w:cs="Segoe UI Light"/>
                <w:b w:val="0"/>
                <w:i w:val="0"/>
                <w:webHidden/>
                <w:sz w:val="22"/>
                <w:szCs w:val="22"/>
              </w:rPr>
              <w:fldChar w:fldCharType="end"/>
            </w:r>
          </w:hyperlink>
        </w:p>
        <w:p w14:paraId="64AF4E91" w14:textId="239C67F4" w:rsidR="00EE6BB8" w:rsidRPr="00F834CD" w:rsidRDefault="003004E5">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64797" w:history="1">
            <w:r w:rsidR="00EE6BB8" w:rsidRPr="00F834CD">
              <w:rPr>
                <w:rStyle w:val="Hyperlink"/>
                <w:rFonts w:ascii="Segoe UI Light" w:hAnsi="Segoe UI Light" w:cs="Segoe UI Light"/>
                <w:b w:val="0"/>
                <w:i w:val="0"/>
                <w:sz w:val="22"/>
                <w:szCs w:val="22"/>
              </w:rPr>
              <w:t>2.</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hAnsi="Segoe UI Light" w:cs="Segoe UI Light"/>
                <w:b w:val="0"/>
                <w:i w:val="0"/>
                <w:sz w:val="22"/>
                <w:szCs w:val="22"/>
                <w:lang w:val="pt-PT"/>
              </w:rPr>
              <w:t>Scopul documentării</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_Toc109164797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4</w:t>
            </w:r>
            <w:r w:rsidR="00EE6BB8" w:rsidRPr="00F834CD">
              <w:rPr>
                <w:rFonts w:ascii="Segoe UI Light" w:hAnsi="Segoe UI Light" w:cs="Segoe UI Light"/>
                <w:b w:val="0"/>
                <w:i w:val="0"/>
                <w:webHidden/>
                <w:sz w:val="22"/>
                <w:szCs w:val="22"/>
              </w:rPr>
              <w:fldChar w:fldCharType="end"/>
            </w:r>
          </w:hyperlink>
        </w:p>
        <w:p w14:paraId="346609FC" w14:textId="59D21EC0" w:rsidR="00EE6BB8" w:rsidRPr="00F834CD" w:rsidRDefault="003004E5">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64798" w:history="1">
            <w:r w:rsidR="00EE6BB8" w:rsidRPr="00F834CD">
              <w:rPr>
                <w:rStyle w:val="Hyperlink"/>
                <w:rFonts w:ascii="Segoe UI Light" w:hAnsi="Segoe UI Light" w:cs="Segoe UI Light"/>
                <w:b w:val="0"/>
                <w:i w:val="0"/>
                <w:sz w:val="22"/>
                <w:szCs w:val="22"/>
              </w:rPr>
              <w:t>3.</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hAnsi="Segoe UI Light" w:cs="Segoe UI Light"/>
                <w:b w:val="0"/>
                <w:i w:val="0"/>
                <w:sz w:val="22"/>
                <w:szCs w:val="22"/>
              </w:rPr>
              <w:t>Părți interesate, surse de informare, categorii de competențe implicate în documentare</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_Toc109164798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8</w:t>
            </w:r>
            <w:r w:rsidR="00EE6BB8" w:rsidRPr="00F834CD">
              <w:rPr>
                <w:rFonts w:ascii="Segoe UI Light" w:hAnsi="Segoe UI Light" w:cs="Segoe UI Light"/>
                <w:b w:val="0"/>
                <w:i w:val="0"/>
                <w:webHidden/>
                <w:sz w:val="22"/>
                <w:szCs w:val="22"/>
              </w:rPr>
              <w:fldChar w:fldCharType="end"/>
            </w:r>
          </w:hyperlink>
        </w:p>
        <w:p w14:paraId="4999E54F" w14:textId="34CFE107" w:rsidR="00EE6BB8" w:rsidRPr="00F834CD" w:rsidRDefault="003004E5">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64799" w:history="1">
            <w:r w:rsidR="00EE6BB8" w:rsidRPr="00F834CD">
              <w:rPr>
                <w:rStyle w:val="Hyperlink"/>
                <w:rFonts w:ascii="Segoe UI Light" w:hAnsi="Segoe UI Light" w:cs="Segoe UI Light"/>
                <w:b w:val="0"/>
                <w:i w:val="0"/>
                <w:sz w:val="22"/>
                <w:szCs w:val="22"/>
              </w:rPr>
              <w:t>4.</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hAnsi="Segoe UI Light" w:cs="Segoe UI Light"/>
                <w:b w:val="0"/>
                <w:i w:val="0"/>
                <w:sz w:val="22"/>
                <w:szCs w:val="22"/>
              </w:rPr>
              <w:t>Iterațiile procesului de documentare</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_Toc109164799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9</w:t>
            </w:r>
            <w:r w:rsidR="00EE6BB8" w:rsidRPr="00F834CD">
              <w:rPr>
                <w:rFonts w:ascii="Segoe UI Light" w:hAnsi="Segoe UI Light" w:cs="Segoe UI Light"/>
                <w:b w:val="0"/>
                <w:i w:val="0"/>
                <w:webHidden/>
                <w:sz w:val="22"/>
                <w:szCs w:val="22"/>
              </w:rPr>
              <w:fldChar w:fldCharType="end"/>
            </w:r>
          </w:hyperlink>
        </w:p>
        <w:p w14:paraId="2FFEDC98" w14:textId="134B8D2B" w:rsidR="00EE6BB8" w:rsidRPr="00F834CD" w:rsidRDefault="003004E5">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64800" w:history="1">
            <w:r w:rsidR="00EE6BB8" w:rsidRPr="00F834CD">
              <w:rPr>
                <w:rStyle w:val="Hyperlink"/>
                <w:rFonts w:ascii="Segoe UI Light" w:eastAsia="Arial Unicode MS" w:hAnsi="Segoe UI Light" w:cs="Segoe UI Light"/>
                <w:b w:val="0"/>
                <w:i w:val="0"/>
                <w:sz w:val="22"/>
                <w:szCs w:val="22"/>
              </w:rPr>
              <w:t>5.</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eastAsia="Arial Unicode MS" w:hAnsi="Segoe UI Light" w:cs="Segoe UI Light"/>
                <w:b w:val="0"/>
                <w:i w:val="0"/>
                <w:sz w:val="22"/>
                <w:szCs w:val="22"/>
              </w:rPr>
              <w:t>Rezultatele primei iterații de documentare – volumul datelor analizate</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_Toc109164800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10</w:t>
            </w:r>
            <w:r w:rsidR="00EE6BB8" w:rsidRPr="00F834CD">
              <w:rPr>
                <w:rFonts w:ascii="Segoe UI Light" w:hAnsi="Segoe UI Light" w:cs="Segoe UI Light"/>
                <w:b w:val="0"/>
                <w:i w:val="0"/>
                <w:webHidden/>
                <w:sz w:val="22"/>
                <w:szCs w:val="22"/>
              </w:rPr>
              <w:fldChar w:fldCharType="end"/>
            </w:r>
          </w:hyperlink>
        </w:p>
        <w:p w14:paraId="5F618557" w14:textId="2FBCBE42" w:rsidR="00EE6BB8" w:rsidRPr="00F834CD" w:rsidRDefault="003004E5">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64801" w:history="1">
            <w:r w:rsidR="00EE6BB8" w:rsidRPr="00F834CD">
              <w:rPr>
                <w:rStyle w:val="Hyperlink"/>
                <w:rFonts w:ascii="Segoe UI Light" w:eastAsia="Arial Unicode MS" w:hAnsi="Segoe UI Light" w:cs="Segoe UI Light"/>
                <w:b w:val="0"/>
                <w:i w:val="0"/>
                <w:sz w:val="22"/>
                <w:szCs w:val="22"/>
              </w:rPr>
              <w:t>6.</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eastAsia="Arial Unicode MS" w:hAnsi="Segoe UI Light" w:cs="Segoe UI Light"/>
                <w:b w:val="0"/>
                <w:i w:val="0"/>
                <w:sz w:val="22"/>
                <w:szCs w:val="22"/>
              </w:rPr>
              <w:t>Principalele elemente ale materialului documentar legate de tema de documentare</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_Toc109164801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12</w:t>
            </w:r>
            <w:r w:rsidR="00EE6BB8" w:rsidRPr="00F834CD">
              <w:rPr>
                <w:rFonts w:ascii="Segoe UI Light" w:hAnsi="Segoe UI Light" w:cs="Segoe UI Light"/>
                <w:b w:val="0"/>
                <w:i w:val="0"/>
                <w:webHidden/>
                <w:sz w:val="22"/>
                <w:szCs w:val="22"/>
              </w:rPr>
              <w:fldChar w:fldCharType="end"/>
            </w:r>
          </w:hyperlink>
        </w:p>
        <w:p w14:paraId="3B453771" w14:textId="266EF9BC" w:rsidR="00EE6BB8" w:rsidRPr="00F834CD" w:rsidRDefault="003004E5">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hyperlink w:anchor="_Toc109164802" w:history="1">
            <w:r w:rsidR="00EE6BB8" w:rsidRPr="00F834CD">
              <w:rPr>
                <w:rStyle w:val="Hyperlink"/>
                <w:rFonts w:ascii="Segoe UI Light" w:eastAsia="Arial Unicode MS" w:hAnsi="Segoe UI Light" w:cs="Segoe UI Light"/>
                <w:b w:val="0"/>
                <w:i w:val="0"/>
                <w:sz w:val="22"/>
                <w:szCs w:val="22"/>
              </w:rPr>
              <w:t>7.</w:t>
            </w:r>
            <w:r w:rsidR="00EE6BB8" w:rsidRPr="00F834CD">
              <w:rPr>
                <w:rFonts w:ascii="Segoe UI Light" w:eastAsiaTheme="minorEastAsia" w:hAnsi="Segoe UI Light" w:cs="Segoe UI Light"/>
                <w:b w:val="0"/>
                <w:i w:val="0"/>
                <w:snapToGrid/>
                <w:sz w:val="22"/>
                <w:szCs w:val="22"/>
                <w:lang w:val="en-US" w:eastAsia="en-US"/>
              </w:rPr>
              <w:tab/>
            </w:r>
            <w:r w:rsidR="00EE6BB8" w:rsidRPr="00F834CD">
              <w:rPr>
                <w:rStyle w:val="Hyperlink"/>
                <w:rFonts w:ascii="Segoe UI Light" w:eastAsia="Arial Unicode MS" w:hAnsi="Segoe UI Light" w:cs="Segoe UI Light"/>
                <w:b w:val="0"/>
                <w:i w:val="0"/>
                <w:sz w:val="22"/>
                <w:szCs w:val="22"/>
              </w:rPr>
              <w:t>Concluzii</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_Toc109164802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14</w:t>
            </w:r>
            <w:r w:rsidR="00EE6BB8" w:rsidRPr="00F834CD">
              <w:rPr>
                <w:rFonts w:ascii="Segoe UI Light" w:hAnsi="Segoe UI Light" w:cs="Segoe UI Light"/>
                <w:b w:val="0"/>
                <w:i w:val="0"/>
                <w:webHidden/>
                <w:sz w:val="22"/>
                <w:szCs w:val="22"/>
              </w:rPr>
              <w:fldChar w:fldCharType="end"/>
            </w:r>
          </w:hyperlink>
        </w:p>
        <w:p w14:paraId="696CC5E9" w14:textId="346670A6" w:rsidR="00EE6BB8" w:rsidRPr="00F834CD" w:rsidRDefault="003004E5">
          <w:pPr>
            <w:pStyle w:val="Cuprins1"/>
            <w:tabs>
              <w:tab w:val="right" w:leader="dot" w:pos="9396"/>
            </w:tabs>
            <w:rPr>
              <w:rFonts w:ascii="Segoe UI Light" w:eastAsiaTheme="minorEastAsia" w:hAnsi="Segoe UI Light" w:cs="Segoe UI Light"/>
              <w:b w:val="0"/>
              <w:i w:val="0"/>
              <w:snapToGrid/>
              <w:sz w:val="22"/>
              <w:szCs w:val="22"/>
              <w:lang w:val="en-US" w:eastAsia="en-US"/>
            </w:rPr>
          </w:pPr>
          <w:hyperlink w:anchor="_Toc109164803" w:history="1">
            <w:r w:rsidR="00EE6BB8" w:rsidRPr="00F834CD">
              <w:rPr>
                <w:rStyle w:val="Hyperlink"/>
                <w:rFonts w:ascii="Segoe UI Light" w:eastAsia="Arial Unicode MS" w:hAnsi="Segoe UI Light" w:cs="Segoe UI Light"/>
                <w:b w:val="0"/>
                <w:i w:val="0"/>
                <w:sz w:val="22"/>
                <w:szCs w:val="22"/>
              </w:rPr>
              <w:t>Bibliografie</w:t>
            </w:r>
            <w:r w:rsidR="00EE6BB8" w:rsidRPr="00F834CD">
              <w:rPr>
                <w:rFonts w:ascii="Segoe UI Light" w:hAnsi="Segoe UI Light" w:cs="Segoe UI Light"/>
                <w:b w:val="0"/>
                <w:i w:val="0"/>
                <w:webHidden/>
                <w:sz w:val="22"/>
                <w:szCs w:val="22"/>
              </w:rPr>
              <w:tab/>
            </w:r>
            <w:r w:rsidR="00EE6BB8" w:rsidRPr="00F834CD">
              <w:rPr>
                <w:rFonts w:ascii="Segoe UI Light" w:hAnsi="Segoe UI Light" w:cs="Segoe UI Light"/>
                <w:b w:val="0"/>
                <w:i w:val="0"/>
                <w:webHidden/>
                <w:sz w:val="22"/>
                <w:szCs w:val="22"/>
              </w:rPr>
              <w:fldChar w:fldCharType="begin"/>
            </w:r>
            <w:r w:rsidR="00EE6BB8" w:rsidRPr="00F834CD">
              <w:rPr>
                <w:rFonts w:ascii="Segoe UI Light" w:hAnsi="Segoe UI Light" w:cs="Segoe UI Light"/>
                <w:b w:val="0"/>
                <w:i w:val="0"/>
                <w:webHidden/>
                <w:sz w:val="22"/>
                <w:szCs w:val="22"/>
              </w:rPr>
              <w:instrText xml:space="preserve"> PAGEREF _Toc109164803 \h </w:instrText>
            </w:r>
            <w:r w:rsidR="00EE6BB8" w:rsidRPr="00F834CD">
              <w:rPr>
                <w:rFonts w:ascii="Segoe UI Light" w:hAnsi="Segoe UI Light" w:cs="Segoe UI Light"/>
                <w:b w:val="0"/>
                <w:i w:val="0"/>
                <w:webHidden/>
                <w:sz w:val="22"/>
                <w:szCs w:val="22"/>
              </w:rPr>
            </w:r>
            <w:r w:rsidR="00EE6BB8" w:rsidRPr="00F834CD">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15</w:t>
            </w:r>
            <w:r w:rsidR="00EE6BB8" w:rsidRPr="00F834CD">
              <w:rPr>
                <w:rFonts w:ascii="Segoe UI Light" w:hAnsi="Segoe UI Light" w:cs="Segoe UI Light"/>
                <w:b w:val="0"/>
                <w:i w:val="0"/>
                <w:webHidden/>
                <w:sz w:val="22"/>
                <w:szCs w:val="22"/>
              </w:rPr>
              <w:fldChar w:fldCharType="end"/>
            </w:r>
          </w:hyperlink>
        </w:p>
        <w:p w14:paraId="6F4BC528" w14:textId="3A89753B" w:rsidR="00207270" w:rsidRPr="00C248B0" w:rsidRDefault="00207270" w:rsidP="00C248B0">
          <w:pPr>
            <w:pStyle w:val="Cuprins1"/>
            <w:tabs>
              <w:tab w:val="left" w:pos="440"/>
              <w:tab w:val="right" w:leader="dot" w:pos="9396"/>
            </w:tabs>
            <w:rPr>
              <w:rFonts w:ascii="Segoe UI Light" w:eastAsiaTheme="minorEastAsia" w:hAnsi="Segoe UI Light" w:cs="Segoe UI Light"/>
              <w:b w:val="0"/>
              <w:i w:val="0"/>
              <w:snapToGrid/>
              <w:sz w:val="22"/>
              <w:szCs w:val="22"/>
              <w:lang w:val="en-US" w:eastAsia="en-US"/>
            </w:rPr>
          </w:pPr>
          <w:r w:rsidRPr="00F834CD">
            <w:rPr>
              <w:rFonts w:ascii="Segoe UI Light" w:hAnsi="Segoe UI Light" w:cs="Segoe UI Light"/>
              <w:b w:val="0"/>
              <w:bCs/>
              <w:i w:val="0"/>
              <w:sz w:val="22"/>
              <w:szCs w:val="22"/>
            </w:rPr>
            <w:fldChar w:fldCharType="end"/>
          </w:r>
        </w:p>
      </w:sdtContent>
    </w:sdt>
    <w:p w14:paraId="3076F523" w14:textId="6C1E7BAF" w:rsidR="00431A12" w:rsidRPr="00431A12" w:rsidRDefault="00431A12" w:rsidP="00431A12">
      <w:pPr>
        <w:pStyle w:val="Body"/>
        <w:jc w:val="both"/>
        <w:rPr>
          <w:rFonts w:ascii="Segoe UI Light" w:hAnsi="Segoe UI Light" w:cs="Segoe UI Light"/>
        </w:rPr>
      </w:pPr>
    </w:p>
    <w:p w14:paraId="5EA71222" w14:textId="47B88947" w:rsidR="00431A12" w:rsidRDefault="00431A12" w:rsidP="00431A12">
      <w:pPr>
        <w:pStyle w:val="Body"/>
        <w:jc w:val="both"/>
        <w:rPr>
          <w:rFonts w:ascii="Segoe UI Light" w:hAnsi="Segoe UI Light" w:cs="Segoe UI Light"/>
        </w:rPr>
      </w:pPr>
    </w:p>
    <w:p w14:paraId="0D774ABA" w14:textId="347A848F" w:rsidR="00C248B0" w:rsidRDefault="00C248B0" w:rsidP="00431A12">
      <w:pPr>
        <w:pStyle w:val="Body"/>
        <w:jc w:val="both"/>
        <w:rPr>
          <w:rFonts w:ascii="Segoe UI Light" w:hAnsi="Segoe UI Light" w:cs="Segoe UI Light"/>
        </w:rPr>
      </w:pPr>
      <w:bookmarkStart w:id="0" w:name="_GoBack"/>
      <w:bookmarkEnd w:id="0"/>
    </w:p>
    <w:p w14:paraId="5B3C2442" w14:textId="2D47EEAA" w:rsidR="00C248B0" w:rsidRDefault="00C248B0" w:rsidP="00431A12">
      <w:pPr>
        <w:pStyle w:val="Body"/>
        <w:jc w:val="both"/>
        <w:rPr>
          <w:rFonts w:ascii="Segoe UI Light" w:hAnsi="Segoe UI Light" w:cs="Segoe UI Light"/>
        </w:rPr>
      </w:pPr>
    </w:p>
    <w:p w14:paraId="3B9BBECF" w14:textId="60F3D6E0" w:rsidR="00C248B0" w:rsidRDefault="00C248B0" w:rsidP="00431A12">
      <w:pPr>
        <w:pStyle w:val="Body"/>
        <w:jc w:val="both"/>
        <w:rPr>
          <w:rFonts w:ascii="Segoe UI Light" w:hAnsi="Segoe UI Light" w:cs="Segoe UI Light"/>
        </w:rPr>
      </w:pPr>
    </w:p>
    <w:p w14:paraId="05873AC0" w14:textId="1A1A5120" w:rsidR="00C248B0" w:rsidRDefault="00C248B0" w:rsidP="00431A12">
      <w:pPr>
        <w:pStyle w:val="Body"/>
        <w:jc w:val="both"/>
        <w:rPr>
          <w:rFonts w:ascii="Segoe UI Light" w:hAnsi="Segoe UI Light" w:cs="Segoe UI Light"/>
        </w:rPr>
      </w:pPr>
    </w:p>
    <w:p w14:paraId="7EA6F1F1" w14:textId="659CA907" w:rsidR="00C248B0" w:rsidRDefault="00C248B0" w:rsidP="00431A12">
      <w:pPr>
        <w:pStyle w:val="Body"/>
        <w:jc w:val="both"/>
        <w:rPr>
          <w:rFonts w:ascii="Segoe UI Light" w:hAnsi="Segoe UI Light" w:cs="Segoe UI Light"/>
        </w:rPr>
      </w:pPr>
    </w:p>
    <w:p w14:paraId="460D62C2" w14:textId="0A9297ED" w:rsidR="00C248B0" w:rsidRDefault="00C248B0" w:rsidP="00431A12">
      <w:pPr>
        <w:pStyle w:val="Body"/>
        <w:jc w:val="both"/>
        <w:rPr>
          <w:rFonts w:ascii="Segoe UI Light" w:hAnsi="Segoe UI Light" w:cs="Segoe UI Light"/>
        </w:rPr>
      </w:pPr>
    </w:p>
    <w:p w14:paraId="34DB24B5" w14:textId="5644418A" w:rsidR="00C248B0" w:rsidRDefault="00C248B0" w:rsidP="00431A12">
      <w:pPr>
        <w:pStyle w:val="Body"/>
        <w:jc w:val="both"/>
        <w:rPr>
          <w:rFonts w:ascii="Segoe UI Light" w:hAnsi="Segoe UI Light" w:cs="Segoe UI Light"/>
        </w:rPr>
      </w:pPr>
    </w:p>
    <w:p w14:paraId="13933502" w14:textId="11655A75" w:rsidR="00C248B0" w:rsidRDefault="00C248B0" w:rsidP="00431A12">
      <w:pPr>
        <w:pStyle w:val="Body"/>
        <w:jc w:val="both"/>
        <w:rPr>
          <w:rFonts w:ascii="Segoe UI Light" w:hAnsi="Segoe UI Light" w:cs="Segoe UI Light"/>
        </w:rPr>
      </w:pPr>
    </w:p>
    <w:p w14:paraId="784BEDFA" w14:textId="13F587DC" w:rsidR="00C248B0" w:rsidRDefault="00C248B0" w:rsidP="00431A12">
      <w:pPr>
        <w:pStyle w:val="Body"/>
        <w:jc w:val="both"/>
        <w:rPr>
          <w:rFonts w:ascii="Segoe UI Light" w:hAnsi="Segoe UI Light" w:cs="Segoe UI Light"/>
        </w:rPr>
      </w:pPr>
    </w:p>
    <w:p w14:paraId="047E6967" w14:textId="6BA3A3A1" w:rsidR="00C248B0" w:rsidRDefault="00C248B0" w:rsidP="00431A12">
      <w:pPr>
        <w:pStyle w:val="Body"/>
        <w:jc w:val="both"/>
        <w:rPr>
          <w:rFonts w:ascii="Segoe UI Light" w:hAnsi="Segoe UI Light" w:cs="Segoe UI Light"/>
        </w:rPr>
      </w:pPr>
    </w:p>
    <w:p w14:paraId="7FC93B70" w14:textId="65FA43E0" w:rsidR="00731510" w:rsidRDefault="00731510" w:rsidP="00431A12">
      <w:pPr>
        <w:pStyle w:val="Body"/>
        <w:jc w:val="both"/>
        <w:rPr>
          <w:rFonts w:ascii="Segoe UI Light" w:hAnsi="Segoe UI Light" w:cs="Segoe UI Light"/>
        </w:rPr>
      </w:pPr>
    </w:p>
    <w:p w14:paraId="4D0AE2E2" w14:textId="35AED144" w:rsidR="00731510" w:rsidRDefault="00731510" w:rsidP="00431A12">
      <w:pPr>
        <w:pStyle w:val="Body"/>
        <w:jc w:val="both"/>
        <w:rPr>
          <w:rFonts w:ascii="Segoe UI Light" w:hAnsi="Segoe UI Light" w:cs="Segoe UI Light"/>
        </w:rPr>
      </w:pPr>
    </w:p>
    <w:p w14:paraId="0E9EFD64" w14:textId="046B9716" w:rsidR="00731510" w:rsidRDefault="00731510" w:rsidP="00431A12">
      <w:pPr>
        <w:pStyle w:val="Body"/>
        <w:jc w:val="both"/>
        <w:rPr>
          <w:rFonts w:ascii="Segoe UI Light" w:hAnsi="Segoe UI Light" w:cs="Segoe UI Light"/>
        </w:rPr>
      </w:pPr>
    </w:p>
    <w:p w14:paraId="2E8FCB7C" w14:textId="5D7E1921" w:rsidR="00731510" w:rsidRDefault="00731510" w:rsidP="00431A12">
      <w:pPr>
        <w:pStyle w:val="Body"/>
        <w:jc w:val="both"/>
        <w:rPr>
          <w:rFonts w:ascii="Segoe UI Light" w:hAnsi="Segoe UI Light" w:cs="Segoe UI Light"/>
        </w:rPr>
      </w:pPr>
    </w:p>
    <w:p w14:paraId="4996F2F6" w14:textId="77777777" w:rsidR="00731510" w:rsidRPr="00431A12" w:rsidRDefault="00731510" w:rsidP="00431A12">
      <w:pPr>
        <w:pStyle w:val="Body"/>
        <w:jc w:val="both"/>
        <w:rPr>
          <w:rFonts w:ascii="Segoe UI Light" w:hAnsi="Segoe UI Light" w:cs="Segoe UI Light"/>
        </w:rPr>
      </w:pPr>
    </w:p>
    <w:p w14:paraId="5ED7374D" w14:textId="73CD5EBB" w:rsidR="00C248B0" w:rsidRDefault="00C248B0" w:rsidP="00F604EA">
      <w:pPr>
        <w:pStyle w:val="H1b"/>
      </w:pPr>
      <w:bookmarkStart w:id="1" w:name="_Toc109164796"/>
      <w:bookmarkStart w:id="2" w:name="_Toc"/>
      <w:r>
        <w:lastRenderedPageBreak/>
        <w:t>Introducere</w:t>
      </w:r>
      <w:bookmarkEnd w:id="1"/>
    </w:p>
    <w:p w14:paraId="5A95A244" w14:textId="44136640" w:rsidR="002E76EB" w:rsidRDefault="00AE55C5" w:rsidP="002F51C9">
      <w:pPr>
        <w:pStyle w:val="Body"/>
        <w:jc w:val="both"/>
        <w:rPr>
          <w:rFonts w:ascii="Segoe UI Light" w:eastAsia="Arial Unicode MS" w:hAnsi="Segoe UI Light" w:cs="Segoe UI Light"/>
        </w:rPr>
      </w:pPr>
      <w:r w:rsidRPr="00AE55C5">
        <w:rPr>
          <w:rFonts w:ascii="Segoe UI Light" w:eastAsia="Arial Unicode MS" w:hAnsi="Segoe UI Light" w:cs="Segoe UI Light"/>
        </w:rPr>
        <w:t>Acest material este gândit ca succesiune a trei etape de documentare. Prima etapă stabilește conceptele asupra pentru care se identifică experiența similară și care determină sursele principale de date. Etapa a doua parcurge materialele și extrage conceptele utile pentru tema lucrării. Problema analizată se referă la estimarea pierderilor de putere și/sau energie determinate de regimuri de funcționare atipice ale rețelelor de distribuție a energiei electrice. Este vizată 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tbl>
      <w:tblPr>
        <w:tblStyle w:val="Tabelgril4-Accentuare5"/>
        <w:tblW w:w="9211" w:type="dxa"/>
        <w:tblLayout w:type="fixed"/>
        <w:tblLook w:val="04A0" w:firstRow="1" w:lastRow="0" w:firstColumn="1" w:lastColumn="0" w:noHBand="0" w:noVBand="1"/>
      </w:tblPr>
      <w:tblGrid>
        <w:gridCol w:w="3683"/>
        <w:gridCol w:w="1701"/>
        <w:gridCol w:w="1701"/>
        <w:gridCol w:w="2126"/>
      </w:tblGrid>
      <w:tr w:rsidR="002E76EB" w:rsidRPr="002E76EB" w14:paraId="5F45C350" w14:textId="77777777" w:rsidTr="002E76EB">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3683" w:type="dxa"/>
          </w:tcPr>
          <w:p w14:paraId="7555CD4B" w14:textId="77777777" w:rsidR="002E76EB" w:rsidRPr="002E76EB" w:rsidRDefault="002E76EB" w:rsidP="002E76EB">
            <w:pPr>
              <w:pStyle w:val="TableStyle1"/>
              <w:tabs>
                <w:tab w:val="left" w:pos="720"/>
                <w:tab w:val="left" w:pos="1440"/>
                <w:tab w:val="left" w:pos="2160"/>
                <w:tab w:val="left" w:pos="2880"/>
              </w:tabs>
              <w:jc w:val="center"/>
              <w:rPr>
                <w:rFonts w:ascii="Segoe UI Light" w:hAnsi="Segoe UI Light" w:cs="Segoe UI Light"/>
                <w:b/>
                <w:sz w:val="22"/>
                <w:szCs w:val="22"/>
              </w:rPr>
            </w:pPr>
            <w:r w:rsidRPr="002E76EB">
              <w:rPr>
                <w:rFonts w:ascii="Segoe UI Light" w:hAnsi="Segoe UI Light" w:cs="Segoe UI Light"/>
                <w:b/>
                <w:sz w:val="22"/>
                <w:szCs w:val="22"/>
              </w:rPr>
              <w:t>Etapă a procesului de documentare</w:t>
            </w:r>
          </w:p>
        </w:tc>
        <w:tc>
          <w:tcPr>
            <w:tcW w:w="1701" w:type="dxa"/>
          </w:tcPr>
          <w:p w14:paraId="77B1B4DF" w14:textId="77777777" w:rsidR="002E76EB" w:rsidRPr="002E76EB" w:rsidRDefault="002E76EB" w:rsidP="002E76EB">
            <w:pPr>
              <w:pStyle w:val="TableStyle1"/>
              <w:tabs>
                <w:tab w:val="left" w:pos="720"/>
                <w:tab w:val="left" w:pos="1440"/>
              </w:tabs>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22"/>
                <w:szCs w:val="22"/>
              </w:rPr>
            </w:pPr>
            <w:r w:rsidRPr="002E76EB">
              <w:rPr>
                <w:rFonts w:ascii="Segoe UI Light" w:hAnsi="Segoe UI Light" w:cs="Segoe UI Light"/>
                <w:b/>
                <w:sz w:val="22"/>
                <w:szCs w:val="22"/>
              </w:rPr>
              <w:t>Iterația 1 (săptămâna trei de contract)</w:t>
            </w:r>
          </w:p>
        </w:tc>
        <w:tc>
          <w:tcPr>
            <w:tcW w:w="1701" w:type="dxa"/>
          </w:tcPr>
          <w:p w14:paraId="7774CE50" w14:textId="3A809A17" w:rsidR="002E76EB" w:rsidRPr="002E76EB" w:rsidRDefault="00275443" w:rsidP="002E76EB">
            <w:pPr>
              <w:pStyle w:val="TableStyle1"/>
              <w:tabs>
                <w:tab w:val="left" w:pos="720"/>
                <w:tab w:val="left" w:pos="1440"/>
              </w:tabs>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22"/>
                <w:szCs w:val="22"/>
              </w:rPr>
            </w:pPr>
            <w:r>
              <w:rPr>
                <w:rFonts w:ascii="Segoe UI Light" w:hAnsi="Segoe UI Light" w:cs="Segoe UI Light"/>
                <w:b/>
                <w:sz w:val="22"/>
                <w:szCs w:val="22"/>
              </w:rPr>
              <w:t>Iterația 2 (săptămâna șas</w:t>
            </w:r>
            <w:r w:rsidR="002E76EB" w:rsidRPr="002E76EB">
              <w:rPr>
                <w:rFonts w:ascii="Segoe UI Light" w:hAnsi="Segoe UI Light" w:cs="Segoe UI Light"/>
                <w:b/>
                <w:sz w:val="22"/>
                <w:szCs w:val="22"/>
              </w:rPr>
              <w:t>e de contract)</w:t>
            </w:r>
          </w:p>
        </w:tc>
        <w:tc>
          <w:tcPr>
            <w:tcW w:w="2126" w:type="dxa"/>
          </w:tcPr>
          <w:p w14:paraId="571BC447" w14:textId="77777777" w:rsidR="002E76EB" w:rsidRPr="002E76EB" w:rsidRDefault="002E76EB" w:rsidP="002E76EB">
            <w:pPr>
              <w:pStyle w:val="TableStyle1"/>
              <w:tabs>
                <w:tab w:val="left" w:pos="720"/>
              </w:tabs>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22"/>
                <w:szCs w:val="22"/>
              </w:rPr>
            </w:pPr>
            <w:r w:rsidRPr="002E76EB">
              <w:rPr>
                <w:rFonts w:ascii="Segoe UI Light" w:hAnsi="Segoe UI Light" w:cs="Segoe UI Light"/>
                <w:b/>
                <w:sz w:val="22"/>
                <w:szCs w:val="22"/>
              </w:rPr>
              <w:t>Iterația 3 - săptămâna 11 de contract)</w:t>
            </w:r>
          </w:p>
        </w:tc>
      </w:tr>
      <w:tr w:rsidR="002E76EB" w:rsidRPr="002E76EB" w14:paraId="5BB60DE6" w14:textId="77777777" w:rsidTr="002E76EB">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3683" w:type="dxa"/>
            <w:shd w:val="clear" w:color="auto" w:fill="auto"/>
          </w:tcPr>
          <w:p w14:paraId="1262C701" w14:textId="77777777" w:rsidR="002E76EB" w:rsidRPr="002E76EB" w:rsidRDefault="002E76EB" w:rsidP="002E76EB">
            <w:pPr>
              <w:pStyle w:val="TableStyle1"/>
              <w:tabs>
                <w:tab w:val="left" w:pos="720"/>
                <w:tab w:val="left" w:pos="1440"/>
                <w:tab w:val="left" w:pos="2160"/>
                <w:tab w:val="left" w:pos="2880"/>
              </w:tabs>
              <w:jc w:val="both"/>
              <w:rPr>
                <w:rFonts w:ascii="Segoe UI Light" w:hAnsi="Segoe UI Light" w:cs="Segoe UI Light"/>
                <w:sz w:val="22"/>
                <w:szCs w:val="22"/>
              </w:rPr>
            </w:pPr>
            <w:r w:rsidRPr="002E76EB">
              <w:rPr>
                <w:rFonts w:ascii="Segoe UI Light" w:hAnsi="Segoe UI Light" w:cs="Segoe UI Light"/>
                <w:sz w:val="22"/>
                <w:szCs w:val="22"/>
              </w:rPr>
              <w:t>Parcurgerea principalelor elemente ale materialului documentar legate de tema de documentare</w:t>
            </w:r>
          </w:p>
        </w:tc>
        <w:tc>
          <w:tcPr>
            <w:tcW w:w="1701" w:type="dxa"/>
            <w:shd w:val="clear" w:color="auto" w:fill="auto"/>
          </w:tcPr>
          <w:p w14:paraId="72793D43" w14:textId="77777777" w:rsidR="002E76EB" w:rsidRPr="002E76EB" w:rsidRDefault="002E76EB" w:rsidP="002E76EB">
            <w:pPr>
              <w:jc w:val="center"/>
              <w:cnfStyle w:val="000000100000" w:firstRow="0" w:lastRow="0" w:firstColumn="0" w:lastColumn="0" w:oddVBand="0" w:evenVBand="0" w:oddHBand="1" w:evenHBand="0" w:firstRowFirstColumn="0" w:firstRowLastColumn="0" w:lastRowFirstColumn="0" w:lastRowLastColumn="0"/>
              <w:rPr>
                <w:rFonts w:eastAsia="Helvetica Neue" w:cs="Segoe UI Light"/>
                <w:b/>
                <w:bCs/>
                <w:noProof w:val="0"/>
                <w:color w:val="000000"/>
                <w:sz w:val="22"/>
                <w:bdr w:val="nil"/>
                <w:lang w:val="ro-RO" w:eastAsia="ro-RO"/>
                <w14:textOutline w14:w="0" w14:cap="flat" w14:cmpd="sng" w14:algn="ctr">
                  <w14:noFill/>
                  <w14:prstDash w14:val="solid"/>
                  <w14:bevel/>
                </w14:textOutline>
              </w:rPr>
            </w:pPr>
            <w:r w:rsidRPr="002E76EB">
              <w:rPr>
                <w:rFonts w:eastAsia="Helvetica Neue" w:cs="Segoe UI Light"/>
                <w:b/>
                <w:bCs/>
                <w:noProof w:val="0"/>
                <w:color w:val="000000"/>
                <w:sz w:val="22"/>
                <w:bdr w:val="nil"/>
                <w:lang w:val="ro-RO" w:eastAsia="ro-RO"/>
                <w14:textOutline w14:w="0" w14:cap="flat" w14:cmpd="sng" w14:algn="ctr">
                  <w14:noFill/>
                  <w14:prstDash w14:val="solid"/>
                  <w14:bevel/>
                </w14:textOutline>
              </w:rPr>
              <w:t>10%</w:t>
            </w:r>
          </w:p>
        </w:tc>
        <w:tc>
          <w:tcPr>
            <w:tcW w:w="1701" w:type="dxa"/>
            <w:shd w:val="clear" w:color="auto" w:fill="auto"/>
          </w:tcPr>
          <w:p w14:paraId="3030339E" w14:textId="77777777" w:rsidR="002E76EB" w:rsidRPr="002E76EB" w:rsidRDefault="002E76EB" w:rsidP="002E76EB">
            <w:pPr>
              <w:jc w:val="center"/>
              <w:cnfStyle w:val="000000100000" w:firstRow="0" w:lastRow="0" w:firstColumn="0" w:lastColumn="0" w:oddVBand="0" w:evenVBand="0" w:oddHBand="1" w:evenHBand="0" w:firstRowFirstColumn="0" w:firstRowLastColumn="0" w:lastRowFirstColumn="0" w:lastRowLastColumn="0"/>
              <w:rPr>
                <w:rFonts w:eastAsia="Helvetica Neue" w:cs="Segoe UI Light"/>
                <w:b/>
                <w:bCs/>
                <w:noProof w:val="0"/>
                <w:color w:val="000000"/>
                <w:sz w:val="22"/>
                <w:bdr w:val="nil"/>
                <w:lang w:val="ro-RO" w:eastAsia="ro-RO"/>
                <w14:textOutline w14:w="0" w14:cap="flat" w14:cmpd="sng" w14:algn="ctr">
                  <w14:noFill/>
                  <w14:prstDash w14:val="solid"/>
                  <w14:bevel/>
                </w14:textOutline>
              </w:rPr>
            </w:pPr>
            <w:r w:rsidRPr="002E76EB">
              <w:rPr>
                <w:rFonts w:eastAsia="Helvetica Neue" w:cs="Segoe UI Light"/>
                <w:b/>
                <w:bCs/>
                <w:noProof w:val="0"/>
                <w:color w:val="000000"/>
                <w:sz w:val="22"/>
                <w:bdr w:val="nil"/>
                <w:lang w:val="ro-RO" w:eastAsia="ro-RO"/>
                <w14:textOutline w14:w="0" w14:cap="flat" w14:cmpd="sng" w14:algn="ctr">
                  <w14:noFill/>
                  <w14:prstDash w14:val="solid"/>
                  <w14:bevel/>
                </w14:textOutline>
              </w:rPr>
              <w:t>40%</w:t>
            </w:r>
          </w:p>
        </w:tc>
        <w:tc>
          <w:tcPr>
            <w:tcW w:w="2126" w:type="dxa"/>
            <w:shd w:val="clear" w:color="auto" w:fill="auto"/>
          </w:tcPr>
          <w:p w14:paraId="44390D0A" w14:textId="77777777" w:rsidR="002E76EB" w:rsidRPr="002E76EB" w:rsidRDefault="002E76EB" w:rsidP="002E76EB">
            <w:pPr>
              <w:jc w:val="center"/>
              <w:cnfStyle w:val="000000100000" w:firstRow="0" w:lastRow="0" w:firstColumn="0" w:lastColumn="0" w:oddVBand="0" w:evenVBand="0" w:oddHBand="1" w:evenHBand="0" w:firstRowFirstColumn="0" w:firstRowLastColumn="0" w:lastRowFirstColumn="0" w:lastRowLastColumn="0"/>
              <w:rPr>
                <w:rFonts w:eastAsia="Helvetica Neue" w:cs="Segoe UI Light"/>
                <w:b/>
                <w:bCs/>
                <w:noProof w:val="0"/>
                <w:color w:val="000000"/>
                <w:sz w:val="22"/>
                <w:bdr w:val="nil"/>
                <w:lang w:val="ro-RO" w:eastAsia="ro-RO"/>
                <w14:textOutline w14:w="0" w14:cap="flat" w14:cmpd="sng" w14:algn="ctr">
                  <w14:noFill/>
                  <w14:prstDash w14:val="solid"/>
                  <w14:bevel/>
                </w14:textOutline>
              </w:rPr>
            </w:pPr>
            <w:r w:rsidRPr="002E76EB">
              <w:rPr>
                <w:rFonts w:eastAsia="Helvetica Neue" w:cs="Segoe UI Light"/>
                <w:b/>
                <w:bCs/>
                <w:noProof w:val="0"/>
                <w:color w:val="000000"/>
                <w:sz w:val="22"/>
                <w:bdr w:val="nil"/>
                <w:lang w:val="ro-RO" w:eastAsia="ro-RO"/>
                <w14:textOutline w14:w="0" w14:cap="flat" w14:cmpd="sng" w14:algn="ctr">
                  <w14:noFill/>
                  <w14:prstDash w14:val="solid"/>
                  <w14:bevel/>
                </w14:textOutline>
              </w:rPr>
              <w:t>50%</w:t>
            </w:r>
          </w:p>
        </w:tc>
      </w:tr>
      <w:tr w:rsidR="002E76EB" w:rsidRPr="002E76EB" w14:paraId="015BF9E3" w14:textId="77777777" w:rsidTr="002E76EB">
        <w:trPr>
          <w:trHeight w:val="360"/>
        </w:trPr>
        <w:tc>
          <w:tcPr>
            <w:cnfStyle w:val="001000000000" w:firstRow="0" w:lastRow="0" w:firstColumn="1" w:lastColumn="0" w:oddVBand="0" w:evenVBand="0" w:oddHBand="0" w:evenHBand="0" w:firstRowFirstColumn="0" w:firstRowLastColumn="0" w:lastRowFirstColumn="0" w:lastRowLastColumn="0"/>
            <w:tcW w:w="3683" w:type="dxa"/>
          </w:tcPr>
          <w:p w14:paraId="72402584" w14:textId="77777777" w:rsidR="002E76EB" w:rsidRPr="002E76EB" w:rsidRDefault="002E76EB" w:rsidP="002E76EB">
            <w:pPr>
              <w:pStyle w:val="TableStyle1"/>
              <w:tabs>
                <w:tab w:val="left" w:pos="720"/>
                <w:tab w:val="left" w:pos="1440"/>
                <w:tab w:val="left" w:pos="2160"/>
                <w:tab w:val="left" w:pos="2880"/>
              </w:tabs>
              <w:jc w:val="both"/>
              <w:rPr>
                <w:rFonts w:ascii="Segoe UI Light" w:hAnsi="Segoe UI Light" w:cs="Segoe UI Light"/>
                <w:sz w:val="22"/>
                <w:szCs w:val="22"/>
              </w:rPr>
            </w:pPr>
            <w:r w:rsidRPr="002E76EB">
              <w:rPr>
                <w:rFonts w:ascii="Segoe UI Light" w:hAnsi="Segoe UI Light" w:cs="Segoe UI Light"/>
                <w:sz w:val="22"/>
                <w:szCs w:val="22"/>
              </w:rPr>
              <w:t>Extragerea elementelor documentare de interes pe fiecare obiectiv</w:t>
            </w:r>
          </w:p>
        </w:tc>
        <w:tc>
          <w:tcPr>
            <w:tcW w:w="1701" w:type="dxa"/>
          </w:tcPr>
          <w:p w14:paraId="21EC278D" w14:textId="77777777" w:rsidR="002E76EB" w:rsidRPr="002E76EB"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22"/>
                <w:lang w:val="ro-RO"/>
              </w:rPr>
            </w:pPr>
            <w:r w:rsidRPr="002E76EB">
              <w:rPr>
                <w:rFonts w:cs="Segoe UI Light"/>
                <w:color w:val="000000"/>
                <w:sz w:val="22"/>
                <w:lang w:val="ro-RO"/>
                <w14:textOutline w14:w="0" w14:cap="flat" w14:cmpd="sng" w14:algn="ctr">
                  <w14:noFill/>
                  <w14:prstDash w14:val="solid"/>
                  <w14:bevel/>
                </w14:textOutline>
              </w:rPr>
              <w:t>0%</w:t>
            </w:r>
          </w:p>
        </w:tc>
        <w:tc>
          <w:tcPr>
            <w:tcW w:w="1701" w:type="dxa"/>
          </w:tcPr>
          <w:p w14:paraId="7BB60397" w14:textId="77777777" w:rsidR="002E76EB" w:rsidRPr="002E76EB"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22"/>
                <w:lang w:val="ro-RO"/>
              </w:rPr>
            </w:pPr>
            <w:r w:rsidRPr="002E76EB">
              <w:rPr>
                <w:rFonts w:cs="Segoe UI Light"/>
                <w:color w:val="000000"/>
                <w:sz w:val="22"/>
                <w:lang w:val="ro-RO"/>
                <w14:textOutline w14:w="0" w14:cap="flat" w14:cmpd="sng" w14:algn="ctr">
                  <w14:noFill/>
                  <w14:prstDash w14:val="solid"/>
                  <w14:bevel/>
                </w14:textOutline>
              </w:rPr>
              <w:t>10%</w:t>
            </w:r>
          </w:p>
        </w:tc>
        <w:tc>
          <w:tcPr>
            <w:tcW w:w="2126" w:type="dxa"/>
          </w:tcPr>
          <w:p w14:paraId="10B4C0FA" w14:textId="77777777" w:rsidR="002E76EB" w:rsidRPr="002E76EB"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22"/>
                <w:lang w:val="ro-RO"/>
              </w:rPr>
            </w:pPr>
            <w:r w:rsidRPr="002E76EB">
              <w:rPr>
                <w:rFonts w:cs="Segoe UI Light"/>
                <w:color w:val="000000"/>
                <w:sz w:val="22"/>
                <w:lang w:val="ro-RO"/>
                <w14:textOutline w14:w="0" w14:cap="flat" w14:cmpd="sng" w14:algn="ctr">
                  <w14:noFill/>
                  <w14:prstDash w14:val="solid"/>
                  <w14:bevel/>
                </w14:textOutline>
              </w:rPr>
              <w:t>90%</w:t>
            </w:r>
          </w:p>
        </w:tc>
      </w:tr>
    </w:tbl>
    <w:p w14:paraId="7137FDDE" w14:textId="7C3255BE" w:rsidR="002E76EB" w:rsidRPr="002E76EB" w:rsidRDefault="002E76EB" w:rsidP="002E76EB">
      <w:pPr>
        <w:pStyle w:val="Body"/>
        <w:jc w:val="center"/>
        <w:rPr>
          <w:rFonts w:ascii="Segoe UI Light" w:eastAsia="Arial Unicode MS" w:hAnsi="Segoe UI Light" w:cs="Segoe UI Light"/>
          <w:i/>
        </w:rPr>
      </w:pPr>
      <w:r w:rsidRPr="002E76EB">
        <w:rPr>
          <w:rFonts w:ascii="Segoe UI Light" w:eastAsia="Arial Unicode MS" w:hAnsi="Segoe UI Light" w:cs="Segoe UI Light"/>
          <w:i/>
        </w:rPr>
        <w:t>Fig. 1 Etapele și activitățile specifice procesului de documentare</w:t>
      </w:r>
    </w:p>
    <w:p w14:paraId="5C5CCA0F" w14:textId="584E3BD3" w:rsidR="002F51C9" w:rsidRPr="002F51C9" w:rsidRDefault="002F51C9" w:rsidP="002F51C9">
      <w:pPr>
        <w:pStyle w:val="Body"/>
        <w:jc w:val="both"/>
        <w:rPr>
          <w:rFonts w:ascii="Segoe UI Light" w:eastAsia="Arial Unicode MS" w:hAnsi="Segoe UI Light" w:cs="Segoe UI Light"/>
        </w:rPr>
      </w:pPr>
      <w:r w:rsidRPr="002F51C9">
        <w:rPr>
          <w:rFonts w:ascii="Segoe UI Light" w:eastAsia="Arial Unicode MS" w:hAnsi="Segoe UI Light" w:cs="Segoe UI Light"/>
        </w:rPr>
        <w:t xml:space="preserve">Documentele de contract care precizează modul de lucru și volumul rezultatelor anticipate sunt: </w:t>
      </w:r>
      <w:r w:rsidR="002E76EB">
        <w:rPr>
          <w:rFonts w:ascii="Segoe UI Light" w:eastAsia="Arial Unicode MS" w:hAnsi="Segoe UI Light" w:cs="Segoe UI Light"/>
        </w:rPr>
        <w:t>propunerea tehnic</w:t>
      </w:r>
      <w:r w:rsidR="002E76EB">
        <w:rPr>
          <w:rFonts w:ascii="Segoe UI Light" w:eastAsia="Arial Unicode MS" w:hAnsi="Segoe UI Light" w:cs="Segoe UI Light"/>
          <w:lang w:val="ro-RO"/>
        </w:rPr>
        <w:t xml:space="preserve">ă </w:t>
      </w:r>
      <w:r w:rsidR="002E76EB">
        <w:rPr>
          <w:rFonts w:ascii="Segoe UI Light" w:eastAsia="Arial Unicode MS" w:hAnsi="Segoe UI Light" w:cs="Segoe UI Light"/>
        </w:rPr>
        <w:t>și c</w:t>
      </w:r>
      <w:r w:rsidRPr="002F51C9">
        <w:rPr>
          <w:rFonts w:ascii="Segoe UI Light" w:eastAsia="Arial Unicode MS" w:hAnsi="Segoe UI Light" w:cs="Segoe UI Light"/>
        </w:rPr>
        <w:t xml:space="preserve">aietul de sarcini. </w:t>
      </w:r>
      <w:r w:rsidR="00275443">
        <w:rPr>
          <w:rFonts w:ascii="Segoe UI Light" w:eastAsia="Arial Unicode MS" w:hAnsi="Segoe UI Light" w:cs="Segoe UI Light"/>
        </w:rPr>
        <w:t>Propunerea tehnică înt</w:t>
      </w:r>
      <w:r w:rsidR="002E76EB">
        <w:rPr>
          <w:rFonts w:ascii="Segoe UI Light" w:eastAsia="Arial Unicode MS" w:hAnsi="Segoe UI Light" w:cs="Segoe UI Light"/>
        </w:rPr>
        <w:t>o</w:t>
      </w:r>
      <w:r w:rsidR="00275443">
        <w:rPr>
          <w:rFonts w:ascii="Segoe UI Light" w:eastAsia="Arial Unicode MS" w:hAnsi="Segoe UI Light" w:cs="Segoe UI Light"/>
        </w:rPr>
        <w:t>c</w:t>
      </w:r>
      <w:r w:rsidR="002E76EB">
        <w:rPr>
          <w:rFonts w:ascii="Segoe UI Light" w:eastAsia="Arial Unicode MS" w:hAnsi="Segoe UI Light" w:cs="Segoe UI Light"/>
        </w:rPr>
        <w:t>mită de către</w:t>
      </w:r>
      <w:r w:rsidRPr="002F51C9">
        <w:rPr>
          <w:rFonts w:ascii="Segoe UI Light" w:eastAsia="Arial Unicode MS" w:hAnsi="Segoe UI Light" w:cs="Segoe UI Light"/>
        </w:rPr>
        <w:t xml:space="preserve"> </w:t>
      </w:r>
      <w:r w:rsidR="002E76EB">
        <w:rPr>
          <w:rFonts w:ascii="Segoe UI Light" w:eastAsia="Arial Unicode MS" w:hAnsi="Segoe UI Light" w:cs="Segoe UI Light"/>
        </w:rPr>
        <w:t>Cima Data Analytics</w:t>
      </w:r>
      <w:r w:rsidRPr="002F51C9">
        <w:rPr>
          <w:rFonts w:ascii="Segoe UI Light" w:eastAsia="Arial Unicode MS" w:hAnsi="Segoe UI Light" w:cs="Segoe UI Light"/>
        </w:rPr>
        <w:t xml:space="preserve"> explicitează modalitatea de documentare și termenele de livrare a rezultatelor documentării. În ce privește Caietul de sarcini sunt două paragrafe care precizează cele necesare:</w:t>
      </w:r>
    </w:p>
    <w:p w14:paraId="6EC07B70" w14:textId="1FBA2D56" w:rsidR="002F51C9" w:rsidRPr="002F51C9" w:rsidRDefault="002F51C9" w:rsidP="002F51C9">
      <w:pPr>
        <w:pStyle w:val="Body"/>
        <w:numPr>
          <w:ilvl w:val="0"/>
          <w:numId w:val="25"/>
        </w:numPr>
        <w:jc w:val="both"/>
        <w:rPr>
          <w:rFonts w:ascii="Segoe UI Light" w:eastAsia="Arial Unicode MS" w:hAnsi="Segoe UI Light" w:cs="Segoe UI Light"/>
        </w:rPr>
      </w:pPr>
      <w:r w:rsidRPr="002F51C9">
        <w:rPr>
          <w:rFonts w:ascii="Segoe UI Light" w:eastAsia="Arial Unicode MS" w:hAnsi="Segoe UI Light" w:cs="Segoe UI Light"/>
        </w:rPr>
        <w:t xml:space="preserve">2.3 (i) - „rezultate ale documentării privind metode de alocare a CPT, din experiența altor țări”, respectiv </w:t>
      </w:r>
    </w:p>
    <w:p w14:paraId="694C574B" w14:textId="27AB36C6" w:rsidR="002F51C9" w:rsidRPr="002F51C9" w:rsidRDefault="002F51C9" w:rsidP="002F51C9">
      <w:pPr>
        <w:pStyle w:val="Body"/>
        <w:numPr>
          <w:ilvl w:val="0"/>
          <w:numId w:val="25"/>
        </w:numPr>
        <w:jc w:val="both"/>
        <w:rPr>
          <w:rFonts w:ascii="Segoe UI Light" w:eastAsia="Arial Unicode MS" w:hAnsi="Segoe UI Light" w:cs="Segoe UI Light"/>
        </w:rPr>
      </w:pPr>
      <w:r w:rsidRPr="002F51C9">
        <w:rPr>
          <w:rFonts w:ascii="Segoe UI Light" w:eastAsia="Arial Unicode MS" w:hAnsi="Segoe UI Light" w:cs="Segoe UI Light"/>
        </w:rPr>
        <w:t>2.2. (i) „Identificarea și prezentarea unor soluții privind metode de calcul a tranzitelor suplimentare de energie, cu impact asupra CPT în rețelele de 110 kV ale operatorilor de distribuție a energiei electrice concesionari, precum și modul de alocare a costurilor aferente achiziției energiei pentru acoperirea CPT, din experiența altor țări;”</w:t>
      </w:r>
    </w:p>
    <w:p w14:paraId="30BDCFC2" w14:textId="7F682CBA" w:rsidR="002F51C9" w:rsidRPr="002F51C9" w:rsidRDefault="002E76EB" w:rsidP="002F51C9">
      <w:pPr>
        <w:pStyle w:val="Body"/>
        <w:jc w:val="both"/>
        <w:rPr>
          <w:rFonts w:ascii="Segoe UI Light" w:eastAsia="Arial Unicode MS" w:hAnsi="Segoe UI Light" w:cs="Segoe UI Light"/>
        </w:rPr>
      </w:pPr>
      <w:r>
        <w:rPr>
          <w:rFonts w:ascii="Segoe UI Light" w:eastAsia="Arial Unicode MS" w:hAnsi="Segoe UI Light" w:cs="Segoe UI Light"/>
        </w:rPr>
        <w:t>În continuare, după definirea s</w:t>
      </w:r>
      <w:r w:rsidR="002F51C9" w:rsidRPr="002F51C9">
        <w:rPr>
          <w:rFonts w:ascii="Segoe UI Light" w:eastAsia="Arial Unicode MS" w:hAnsi="Segoe UI Light" w:cs="Segoe UI Light"/>
        </w:rPr>
        <w:t>copului lucrării de documentare, sunt prezentate categoriile de</w:t>
      </w:r>
      <w:r w:rsidR="002F51C9">
        <w:rPr>
          <w:rFonts w:ascii="Segoe UI Light" w:eastAsia="Arial Unicode MS" w:hAnsi="Segoe UI Light" w:cs="Segoe UI Light"/>
        </w:rPr>
        <w:t xml:space="preserve"> surse de documentare relevante</w:t>
      </w:r>
      <w:r w:rsidR="002F51C9" w:rsidRPr="002F51C9">
        <w:rPr>
          <w:rFonts w:ascii="Segoe UI Light" w:eastAsia="Arial Unicode MS" w:hAnsi="Segoe UI Light" w:cs="Segoe UI Light"/>
        </w:rPr>
        <w:t>, pașii gândiți pentru realizarea documentării și se prezintă rezultatele primei iterații a procesului de documentare</w:t>
      </w:r>
    </w:p>
    <w:p w14:paraId="369C8031" w14:textId="00AD524F" w:rsidR="00431A12" w:rsidRPr="001504B3" w:rsidRDefault="002F51C9" w:rsidP="002F51C9">
      <w:pPr>
        <w:pStyle w:val="H1b"/>
      </w:pPr>
      <w:r w:rsidRPr="002F51C9">
        <w:rPr>
          <w:rFonts w:eastAsiaTheme="minorHAnsi" w:cstheme="minorBidi"/>
          <w:color w:val="auto"/>
          <w:kern w:val="0"/>
          <w:sz w:val="22"/>
          <w:szCs w:val="22"/>
        </w:rPr>
        <w:t xml:space="preserve"> </w:t>
      </w:r>
      <w:bookmarkStart w:id="3" w:name="_Toc109164797"/>
      <w:bookmarkEnd w:id="2"/>
      <w:r w:rsidRPr="002F51C9">
        <w:rPr>
          <w:lang w:val="pt-PT"/>
        </w:rPr>
        <w:t>Scopul documentării</w:t>
      </w:r>
      <w:bookmarkEnd w:id="3"/>
    </w:p>
    <w:p w14:paraId="74727F8F" w14:textId="70A76274" w:rsidR="002F51C9" w:rsidRPr="002F51C9" w:rsidRDefault="002F51C9" w:rsidP="002F51C9">
      <w:pPr>
        <w:pStyle w:val="Body"/>
        <w:jc w:val="both"/>
        <w:rPr>
          <w:rFonts w:ascii="Segoe UI Light" w:eastAsia="Arial Unicode MS" w:hAnsi="Segoe UI Light" w:cs="Segoe UI Light"/>
        </w:rPr>
      </w:pPr>
      <w:r w:rsidRPr="002F51C9">
        <w:rPr>
          <w:rFonts w:ascii="Segoe UI Light" w:eastAsia="Arial Unicode MS" w:hAnsi="Segoe UI Light" w:cs="Segoe UI Light"/>
        </w:rPr>
        <w:t>Prin localizare înțelegem manifestarea fenomenului pierderilor suplimentare la un areal limitat. Nivelu</w:t>
      </w:r>
      <w:r w:rsidR="00275443">
        <w:rPr>
          <w:rFonts w:ascii="Segoe UI Light" w:eastAsia="Arial Unicode MS" w:hAnsi="Segoe UI Light" w:cs="Segoe UI Light"/>
        </w:rPr>
        <w:t>l grosier de analiză este cel la</w:t>
      </w:r>
      <w:r w:rsidRPr="002F51C9">
        <w:rPr>
          <w:rFonts w:ascii="Segoe UI Light" w:eastAsia="Arial Unicode MS" w:hAnsi="Segoe UI Light" w:cs="Segoe UI Light"/>
        </w:rPr>
        <w:t xml:space="preserve"> nivel de zonă de licență. Este însă de așteptat ca de cele mai multe ori efectele tranzitelor suplimentare să nu fie însă detectabile la nivel de zonă de licență.</w:t>
      </w:r>
    </w:p>
    <w:p w14:paraId="21CB05BB" w14:textId="5A431925" w:rsidR="00431A12" w:rsidRDefault="002F51C9" w:rsidP="002F51C9">
      <w:pPr>
        <w:pStyle w:val="Body"/>
        <w:jc w:val="both"/>
        <w:rPr>
          <w:rFonts w:ascii="Segoe UI Light" w:eastAsia="Arial Unicode MS" w:hAnsi="Segoe UI Light" w:cs="Segoe UI Light"/>
        </w:rPr>
      </w:pPr>
      <w:r w:rsidRPr="002F51C9">
        <w:rPr>
          <w:rFonts w:ascii="Segoe UI Light" w:eastAsia="Arial Unicode MS" w:hAnsi="Segoe UI Light" w:cs="Segoe UI Light"/>
        </w:rPr>
        <w:lastRenderedPageBreak/>
        <w:t>Tabelul de mai jos sintetizează modul de organizare a documentării în raport cu această observație și scopul studiului</w:t>
      </w:r>
      <w:r>
        <w:rPr>
          <w:rFonts w:ascii="Segoe UI Light" w:eastAsia="Arial Unicode MS" w:hAnsi="Segoe UI Light" w:cs="Segoe UI Light"/>
        </w:rPr>
        <w:t>:</w:t>
      </w:r>
    </w:p>
    <w:tbl>
      <w:tblPr>
        <w:tblStyle w:val="Tabelgril1Luminos-Accentuare5"/>
        <w:tblW w:w="5000" w:type="pct"/>
        <w:tblLook w:val="04A0" w:firstRow="1" w:lastRow="0" w:firstColumn="1" w:lastColumn="0" w:noHBand="0" w:noVBand="1"/>
      </w:tblPr>
      <w:tblGrid>
        <w:gridCol w:w="583"/>
        <w:gridCol w:w="2414"/>
        <w:gridCol w:w="1791"/>
        <w:gridCol w:w="1335"/>
        <w:gridCol w:w="828"/>
        <w:gridCol w:w="2445"/>
      </w:tblGrid>
      <w:tr w:rsidR="002F51C9" w14:paraId="043BCB34" w14:textId="77777777" w:rsidTr="006A3925">
        <w:trPr>
          <w:cnfStyle w:val="100000000000" w:firstRow="1" w:lastRow="0" w:firstColumn="0" w:lastColumn="0" w:oddVBand="0" w:evenVBand="0" w:oddHBand="0" w:evenHBand="0" w:firstRowFirstColumn="0" w:firstRowLastColumn="0" w:lastRowFirstColumn="0" w:lastRowLastColumn="0"/>
          <w:trHeight w:val="543"/>
          <w:tblHeader/>
        </w:trPr>
        <w:tc>
          <w:tcPr>
            <w:cnfStyle w:val="001000000000" w:firstRow="0" w:lastRow="0" w:firstColumn="1" w:lastColumn="0" w:oddVBand="0" w:evenVBand="0" w:oddHBand="0" w:evenHBand="0" w:firstRowFirstColumn="0" w:firstRowLastColumn="0" w:lastRowFirstColumn="0" w:lastRowLastColumn="0"/>
            <w:tcW w:w="330" w:type="pct"/>
            <w:shd w:val="clear" w:color="auto" w:fill="92CDDC" w:themeFill="accent5" w:themeFillTint="99"/>
          </w:tcPr>
          <w:p w14:paraId="63DA2026" w14:textId="77777777" w:rsidR="002F51C9" w:rsidRPr="006A3925" w:rsidRDefault="002F51C9" w:rsidP="006A3925">
            <w:pPr>
              <w:pStyle w:val="Body"/>
              <w:jc w:val="center"/>
              <w:rPr>
                <w:rFonts w:ascii="Segoe UI Light" w:hAnsi="Segoe UI Light" w:cs="Segoe UI Light"/>
                <w:sz w:val="20"/>
                <w:szCs w:val="20"/>
              </w:rPr>
            </w:pPr>
            <w:r w:rsidRPr="006A3925">
              <w:rPr>
                <w:rFonts w:ascii="Segoe UI Light" w:hAnsi="Segoe UI Light" w:cs="Segoe UI Light"/>
                <w:sz w:val="20"/>
                <w:szCs w:val="20"/>
              </w:rPr>
              <w:t>Nr crt</w:t>
            </w:r>
          </w:p>
        </w:tc>
        <w:tc>
          <w:tcPr>
            <w:tcW w:w="1304" w:type="pct"/>
            <w:shd w:val="clear" w:color="auto" w:fill="92CDDC" w:themeFill="accent5" w:themeFillTint="99"/>
          </w:tcPr>
          <w:p w14:paraId="421038E8" w14:textId="03421CCC" w:rsidR="002F51C9" w:rsidRPr="006A3925" w:rsidRDefault="002F51C9" w:rsidP="006A3925">
            <w:pPr>
              <w:pStyle w:val="Body"/>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6A3925">
              <w:rPr>
                <w:rFonts w:ascii="Segoe UI Light" w:hAnsi="Segoe UI Light" w:cs="Segoe UI Light"/>
                <w:sz w:val="20"/>
                <w:szCs w:val="20"/>
              </w:rPr>
              <w:t>2.2. Obiective specifice ale contractului și serviciile solicitate</w:t>
            </w:r>
          </w:p>
        </w:tc>
        <w:tc>
          <w:tcPr>
            <w:tcW w:w="972" w:type="pct"/>
            <w:shd w:val="clear" w:color="auto" w:fill="92CDDC" w:themeFill="accent5" w:themeFillTint="99"/>
          </w:tcPr>
          <w:p w14:paraId="0363F3BA" w14:textId="1A577D6D" w:rsidR="002F51C9" w:rsidRPr="006A3925" w:rsidRDefault="002F51C9" w:rsidP="006A3925">
            <w:pPr>
              <w:pStyle w:val="Body"/>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6A3925">
              <w:rPr>
                <w:rFonts w:ascii="Segoe UI Light" w:hAnsi="Segoe UI Light" w:cs="Segoe UI Light"/>
                <w:sz w:val="20"/>
                <w:szCs w:val="20"/>
              </w:rPr>
              <w:t>2.3. Documente livrate/Rezultatele care trebuie obținute</w:t>
            </w:r>
          </w:p>
        </w:tc>
        <w:tc>
          <w:tcPr>
            <w:tcW w:w="614" w:type="pct"/>
            <w:shd w:val="clear" w:color="auto" w:fill="92CDDC" w:themeFill="accent5" w:themeFillTint="99"/>
          </w:tcPr>
          <w:p w14:paraId="2C89D913" w14:textId="77777777" w:rsidR="002F51C9" w:rsidRPr="006A3925" w:rsidRDefault="002F51C9" w:rsidP="006A3925">
            <w:pPr>
              <w:pStyle w:val="Body"/>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6A3925">
              <w:rPr>
                <w:rFonts w:ascii="Segoe UI Light" w:hAnsi="Segoe UI Light" w:cs="Segoe UI Light"/>
                <w:sz w:val="20"/>
                <w:szCs w:val="20"/>
                <w:lang w:val="it-IT"/>
              </w:rPr>
              <w:t>Concept - Cuv</w:t>
            </w:r>
            <w:r w:rsidRPr="006A3925">
              <w:rPr>
                <w:rFonts w:ascii="Segoe UI Light" w:hAnsi="Segoe UI Light" w:cs="Segoe UI Light"/>
                <w:sz w:val="20"/>
                <w:szCs w:val="20"/>
              </w:rPr>
              <w:t>ânt cheie documentare</w:t>
            </w:r>
          </w:p>
        </w:tc>
        <w:tc>
          <w:tcPr>
            <w:tcW w:w="460" w:type="pct"/>
            <w:shd w:val="clear" w:color="auto" w:fill="92CDDC" w:themeFill="accent5" w:themeFillTint="99"/>
          </w:tcPr>
          <w:p w14:paraId="3F5971B6" w14:textId="77777777" w:rsidR="002F51C9" w:rsidRPr="006A3925" w:rsidRDefault="002F51C9" w:rsidP="006A3925">
            <w:pPr>
              <w:pStyle w:val="Body"/>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6A3925">
              <w:rPr>
                <w:rFonts w:ascii="Segoe UI Light" w:hAnsi="Segoe UI Light" w:cs="Segoe UI Light"/>
                <w:sz w:val="20"/>
                <w:szCs w:val="20"/>
                <w:lang w:val="pt-PT"/>
              </w:rPr>
              <w:t>Livrabil</w:t>
            </w:r>
          </w:p>
        </w:tc>
        <w:tc>
          <w:tcPr>
            <w:tcW w:w="1320" w:type="pct"/>
            <w:shd w:val="clear" w:color="auto" w:fill="92CDDC" w:themeFill="accent5" w:themeFillTint="99"/>
          </w:tcPr>
          <w:p w14:paraId="656C3BB7" w14:textId="77777777" w:rsidR="002F51C9" w:rsidRPr="006A3925" w:rsidRDefault="002F51C9" w:rsidP="006A3925">
            <w:pPr>
              <w:pStyle w:val="Body"/>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6A3925">
              <w:rPr>
                <w:rFonts w:ascii="Segoe UI Light" w:hAnsi="Segoe UI Light" w:cs="Segoe UI Light"/>
                <w:sz w:val="20"/>
                <w:szCs w:val="20"/>
              </w:rPr>
              <w:t>Descriere livrabil</w:t>
            </w:r>
          </w:p>
        </w:tc>
      </w:tr>
      <w:tr w:rsidR="002F51C9" w14:paraId="08AB98AF" w14:textId="77777777" w:rsidTr="006A3925">
        <w:trPr>
          <w:trHeight w:val="1983"/>
        </w:trPr>
        <w:tc>
          <w:tcPr>
            <w:cnfStyle w:val="001000000000" w:firstRow="0" w:lastRow="0" w:firstColumn="1" w:lastColumn="0" w:oddVBand="0" w:evenVBand="0" w:oddHBand="0" w:evenHBand="0" w:firstRowFirstColumn="0" w:firstRowLastColumn="0" w:lastRowFirstColumn="0" w:lastRowLastColumn="0"/>
            <w:tcW w:w="330" w:type="pct"/>
          </w:tcPr>
          <w:p w14:paraId="04EF36B4" w14:textId="77777777" w:rsidR="002F51C9" w:rsidRPr="002F51C9" w:rsidRDefault="002F51C9" w:rsidP="002F51C9">
            <w:pPr>
              <w:pStyle w:val="Body"/>
              <w:rPr>
                <w:rFonts w:ascii="Segoe UI Light" w:hAnsi="Segoe UI Light" w:cs="Segoe UI Light"/>
                <w:sz w:val="20"/>
                <w:szCs w:val="20"/>
              </w:rPr>
            </w:pPr>
            <w:r w:rsidRPr="002F51C9">
              <w:rPr>
                <w:rFonts w:ascii="Segoe UI Light" w:hAnsi="Segoe UI Light" w:cs="Segoe UI Light"/>
                <w:sz w:val="20"/>
                <w:szCs w:val="20"/>
              </w:rPr>
              <w:t>1</w:t>
            </w:r>
          </w:p>
        </w:tc>
        <w:tc>
          <w:tcPr>
            <w:tcW w:w="1304" w:type="pct"/>
          </w:tcPr>
          <w:p w14:paraId="68123C54" w14:textId="27BB41AC"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i. Identificarea și prezentarea unor soluții privind metode de calcul a tranzitelor suplimentare de  energie, cu impact asupra CPT în rețelele de 110 kV ale operatorilor de distribuție a energiei  electrice concesionari, precum și modul de alocare a costurilor aferente achiziției energiei pentru  acoperirea CPT, din experiența altor ță</w:t>
            </w:r>
            <w:r w:rsidR="002E76EB">
              <w:rPr>
                <w:rFonts w:ascii="Segoe UI Light" w:hAnsi="Segoe UI Light" w:cs="Segoe UI Light"/>
                <w:sz w:val="20"/>
                <w:szCs w:val="20"/>
                <w:lang w:val="it-IT"/>
              </w:rPr>
              <w:t>ri.</w:t>
            </w:r>
          </w:p>
        </w:tc>
        <w:tc>
          <w:tcPr>
            <w:tcW w:w="972" w:type="pct"/>
          </w:tcPr>
          <w:p w14:paraId="1EA15169"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 xml:space="preserve">i. rezultate ale documentării privind metode de alocare a CPT, din experiența altor țări; ii. datele de intrare utilizate pentru fiecare an și pentru fiecare zonă </w:t>
            </w:r>
            <w:r w:rsidRPr="002F51C9">
              <w:rPr>
                <w:rFonts w:ascii="Segoe UI Light" w:hAnsi="Segoe UI Light" w:cs="Segoe UI Light"/>
                <w:sz w:val="20"/>
                <w:szCs w:val="20"/>
                <w:lang w:val="nl-NL"/>
              </w:rPr>
              <w:t>de re</w:t>
            </w:r>
            <w:r w:rsidRPr="002F51C9">
              <w:rPr>
                <w:rFonts w:ascii="Segoe UI Light" w:hAnsi="Segoe UI Light" w:cs="Segoe UI Light"/>
                <w:sz w:val="20"/>
                <w:szCs w:val="20"/>
              </w:rPr>
              <w:t xml:space="preserve">țea în formatul stabilit de  Prestator; </w:t>
            </w:r>
          </w:p>
        </w:tc>
        <w:tc>
          <w:tcPr>
            <w:tcW w:w="614" w:type="pct"/>
          </w:tcPr>
          <w:p w14:paraId="2DBCFC64"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nu e cazul</w:t>
            </w:r>
          </w:p>
        </w:tc>
        <w:tc>
          <w:tcPr>
            <w:tcW w:w="460" w:type="pct"/>
          </w:tcPr>
          <w:p w14:paraId="462B5A99"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L1</w:t>
            </w:r>
          </w:p>
        </w:tc>
        <w:tc>
          <w:tcPr>
            <w:tcW w:w="1320" w:type="pct"/>
          </w:tcPr>
          <w:p w14:paraId="083F8A5C"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u w:val="single"/>
                <w:lang w:val="da-DK"/>
              </w:rPr>
              <w:t>LIVRABIL 1</w:t>
            </w:r>
            <w:r w:rsidRPr="002F51C9">
              <w:rPr>
                <w:rFonts w:ascii="Segoe UI Light" w:hAnsi="Segoe UI Light" w:cs="Segoe UI Light"/>
                <w:sz w:val="20"/>
                <w:szCs w:val="20"/>
              </w:rPr>
              <w:t xml:space="preserve"> - i. rezultate ale documentării privind metode de alocare a CPT, din experiența altor ță</w:t>
            </w:r>
            <w:r w:rsidRPr="002F51C9">
              <w:rPr>
                <w:rFonts w:ascii="Segoe UI Light" w:hAnsi="Segoe UI Light" w:cs="Segoe UI Light"/>
                <w:sz w:val="20"/>
                <w:szCs w:val="20"/>
                <w:lang w:val="it-IT"/>
              </w:rPr>
              <w:t xml:space="preserve">ri; </w:t>
            </w:r>
          </w:p>
        </w:tc>
      </w:tr>
      <w:tr w:rsidR="002F51C9" w14:paraId="78FAFF86" w14:textId="77777777" w:rsidTr="006A3925">
        <w:trPr>
          <w:trHeight w:val="2883"/>
        </w:trPr>
        <w:tc>
          <w:tcPr>
            <w:cnfStyle w:val="001000000000" w:firstRow="0" w:lastRow="0" w:firstColumn="1" w:lastColumn="0" w:oddVBand="0" w:evenVBand="0" w:oddHBand="0" w:evenHBand="0" w:firstRowFirstColumn="0" w:firstRowLastColumn="0" w:lastRowFirstColumn="0" w:lastRowLastColumn="0"/>
            <w:tcW w:w="330" w:type="pct"/>
          </w:tcPr>
          <w:p w14:paraId="3A0D19F6" w14:textId="77777777" w:rsidR="002F51C9" w:rsidRPr="002F51C9" w:rsidRDefault="002F51C9" w:rsidP="002F51C9">
            <w:pPr>
              <w:pStyle w:val="Body"/>
              <w:rPr>
                <w:rFonts w:ascii="Segoe UI Light" w:hAnsi="Segoe UI Light" w:cs="Segoe UI Light"/>
                <w:sz w:val="20"/>
                <w:szCs w:val="20"/>
              </w:rPr>
            </w:pPr>
            <w:r w:rsidRPr="002F51C9">
              <w:rPr>
                <w:rFonts w:ascii="Segoe UI Light" w:hAnsi="Segoe UI Light" w:cs="Segoe UI Light"/>
                <w:sz w:val="20"/>
                <w:szCs w:val="20"/>
              </w:rPr>
              <w:t>2</w:t>
            </w:r>
          </w:p>
        </w:tc>
        <w:tc>
          <w:tcPr>
            <w:tcW w:w="1304" w:type="pct"/>
          </w:tcPr>
          <w:p w14:paraId="23A9C889" w14:textId="451FED6B" w:rsidR="002F51C9" w:rsidRPr="002F51C9" w:rsidRDefault="002F51C9" w:rsidP="00E24861">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 xml:space="preserve">ii. Analiza datelor de intrare aferente anilor 2019-2021 necesare determinării algoritmului de calcul:  lista abaterilor de la schema normală </w:t>
            </w:r>
            <w:r w:rsidRPr="002F51C9">
              <w:rPr>
                <w:rFonts w:ascii="Segoe UI Light" w:hAnsi="Segoe UI Light" w:cs="Segoe UI Light"/>
                <w:sz w:val="20"/>
                <w:szCs w:val="20"/>
                <w:lang w:val="pt-PT"/>
              </w:rPr>
              <w:t>de func</w:t>
            </w:r>
            <w:r w:rsidRPr="002F51C9">
              <w:rPr>
                <w:rFonts w:ascii="Segoe UI Light" w:hAnsi="Segoe UI Light" w:cs="Segoe UI Light"/>
                <w:sz w:val="20"/>
                <w:szCs w:val="20"/>
              </w:rPr>
              <w:t>ț</w:t>
            </w:r>
            <w:r w:rsidRPr="002F51C9">
              <w:rPr>
                <w:rFonts w:ascii="Segoe UI Light" w:hAnsi="Segoe UI Light" w:cs="Segoe UI Light"/>
                <w:sz w:val="20"/>
                <w:szCs w:val="20"/>
                <w:lang w:val="it-IT"/>
              </w:rPr>
              <w:t>ionare a re</w:t>
            </w:r>
            <w:r w:rsidRPr="002F51C9">
              <w:rPr>
                <w:rFonts w:ascii="Segoe UI Light" w:hAnsi="Segoe UI Light" w:cs="Segoe UI Light"/>
                <w:sz w:val="20"/>
                <w:szCs w:val="20"/>
              </w:rPr>
              <w:t>țelei de 110 kV și, în cazul în care este  necesar, a abaterilor din rețelele de MT/220 kV, stabilirea punctelor de măsurare (contoare)  necesar pentru realizarea bilanțurilor, valorile măsurate ale tranzitelor de energie electrică și orice  alte informații necesare. Prestatorul va propune u</w:t>
            </w:r>
            <w:r w:rsidR="002E76EB">
              <w:rPr>
                <w:rFonts w:ascii="Segoe UI Light" w:hAnsi="Segoe UI Light" w:cs="Segoe UI Light"/>
                <w:sz w:val="20"/>
                <w:szCs w:val="20"/>
              </w:rPr>
              <w:t>n format al datelor de intrare.</w:t>
            </w:r>
          </w:p>
        </w:tc>
        <w:tc>
          <w:tcPr>
            <w:tcW w:w="972" w:type="pct"/>
          </w:tcPr>
          <w:p w14:paraId="437F0543" w14:textId="77777777" w:rsidR="002F51C9" w:rsidRPr="002F51C9" w:rsidRDefault="002F51C9" w:rsidP="00E24861">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 </w:t>
            </w:r>
          </w:p>
        </w:tc>
        <w:tc>
          <w:tcPr>
            <w:tcW w:w="614" w:type="pct"/>
          </w:tcPr>
          <w:p w14:paraId="7AF9BED7" w14:textId="77777777" w:rsidR="002F51C9" w:rsidRPr="002F51C9" w:rsidRDefault="002F51C9" w:rsidP="00E24861">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Algoritm, abateri de la schema normala, punctele de mă</w:t>
            </w:r>
            <w:r w:rsidRPr="002F51C9">
              <w:rPr>
                <w:rFonts w:ascii="Segoe UI Light" w:hAnsi="Segoe UI Light" w:cs="Segoe UI Light"/>
                <w:sz w:val="20"/>
                <w:szCs w:val="20"/>
                <w:lang w:val="it-IT"/>
              </w:rPr>
              <w:t>surare, bilan</w:t>
            </w:r>
            <w:r w:rsidRPr="002F51C9">
              <w:rPr>
                <w:rFonts w:ascii="Segoe UI Light" w:hAnsi="Segoe UI Light" w:cs="Segoe UI Light"/>
                <w:sz w:val="20"/>
                <w:szCs w:val="20"/>
              </w:rPr>
              <w:t>ț energie, tranzit energie, format date</w:t>
            </w:r>
          </w:p>
        </w:tc>
        <w:tc>
          <w:tcPr>
            <w:tcW w:w="460" w:type="pct"/>
          </w:tcPr>
          <w:p w14:paraId="5A1B46B3" w14:textId="77777777" w:rsidR="002F51C9" w:rsidRPr="002F51C9" w:rsidRDefault="002F51C9" w:rsidP="00E24861">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L1.1 + L2</w:t>
            </w:r>
          </w:p>
        </w:tc>
        <w:tc>
          <w:tcPr>
            <w:tcW w:w="1320" w:type="pct"/>
          </w:tcPr>
          <w:p w14:paraId="63741FF6" w14:textId="77777777" w:rsidR="002F51C9" w:rsidRPr="002F51C9" w:rsidRDefault="002F51C9" w:rsidP="00E24861">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 xml:space="preserve">Livrabil 1.1 - lista datelor de intrare necesare pentru efectuarea studiului (abstractizare) </w:t>
            </w:r>
            <w:r w:rsidRPr="002F51C9">
              <w:rPr>
                <w:rFonts w:ascii="Segoe UI Light" w:hAnsi="Segoe UI Light" w:cs="Segoe UI Light"/>
                <w:sz w:val="20"/>
                <w:szCs w:val="20"/>
                <w:u w:val="single"/>
                <w:lang w:val="da-DK"/>
              </w:rPr>
              <w:t>LIVRABIL 2</w:t>
            </w:r>
            <w:r w:rsidRPr="002F51C9">
              <w:rPr>
                <w:rFonts w:ascii="Segoe UI Light" w:hAnsi="Segoe UI Light" w:cs="Segoe UI Light"/>
                <w:sz w:val="20"/>
                <w:szCs w:val="20"/>
              </w:rPr>
              <w:t xml:space="preserve"> - comunicare format date de intrare; corelare modalități de stocare cu elemente de prelucrare date (î</w:t>
            </w:r>
            <w:r w:rsidRPr="002F51C9">
              <w:rPr>
                <w:rFonts w:ascii="Segoe UI Light" w:hAnsi="Segoe UI Light" w:cs="Segoe UI Light"/>
                <w:sz w:val="20"/>
                <w:szCs w:val="20"/>
                <w:lang w:val="it-IT"/>
              </w:rPr>
              <w:t>ncapsulare); schi</w:t>
            </w:r>
            <w:r w:rsidRPr="002F51C9">
              <w:rPr>
                <w:rFonts w:ascii="Segoe UI Light" w:hAnsi="Segoe UI Light" w:cs="Segoe UI Light"/>
                <w:sz w:val="20"/>
                <w:szCs w:val="20"/>
              </w:rPr>
              <w:t>țarea procedurilor și ierahizarea datelor primare, secundare ș</w:t>
            </w:r>
            <w:r w:rsidRPr="002F51C9">
              <w:rPr>
                <w:rFonts w:ascii="Segoe UI Light" w:hAnsi="Segoe UI Light" w:cs="Segoe UI Light"/>
                <w:sz w:val="20"/>
                <w:szCs w:val="20"/>
                <w:lang w:val="it-IT"/>
              </w:rPr>
              <w:t>i tre</w:t>
            </w:r>
            <w:r w:rsidRPr="002F51C9">
              <w:rPr>
                <w:rFonts w:ascii="Segoe UI Light" w:hAnsi="Segoe UI Light" w:cs="Segoe UI Light"/>
                <w:sz w:val="20"/>
                <w:szCs w:val="20"/>
              </w:rPr>
              <w:t>țiare cu criteriile de  validare; precizarea criteriilor minime de validare</w:t>
            </w:r>
          </w:p>
        </w:tc>
      </w:tr>
      <w:tr w:rsidR="002F51C9" w14:paraId="6B0206F0" w14:textId="77777777" w:rsidTr="006A3925">
        <w:trPr>
          <w:trHeight w:val="1803"/>
        </w:trPr>
        <w:tc>
          <w:tcPr>
            <w:cnfStyle w:val="001000000000" w:firstRow="0" w:lastRow="0" w:firstColumn="1" w:lastColumn="0" w:oddVBand="0" w:evenVBand="0" w:oddHBand="0" w:evenHBand="0" w:firstRowFirstColumn="0" w:firstRowLastColumn="0" w:lastRowFirstColumn="0" w:lastRowLastColumn="0"/>
            <w:tcW w:w="330" w:type="pct"/>
          </w:tcPr>
          <w:p w14:paraId="5029ABBE" w14:textId="77777777" w:rsidR="002F51C9" w:rsidRPr="002F51C9" w:rsidRDefault="002F51C9" w:rsidP="002F51C9">
            <w:pPr>
              <w:pStyle w:val="Body"/>
              <w:rPr>
                <w:rFonts w:ascii="Segoe UI Light" w:hAnsi="Segoe UI Light" w:cs="Segoe UI Light"/>
                <w:sz w:val="20"/>
                <w:szCs w:val="20"/>
              </w:rPr>
            </w:pPr>
            <w:r w:rsidRPr="002F51C9">
              <w:rPr>
                <w:rFonts w:ascii="Segoe UI Light" w:hAnsi="Segoe UI Light" w:cs="Segoe UI Light"/>
                <w:sz w:val="20"/>
                <w:szCs w:val="20"/>
              </w:rPr>
              <w:lastRenderedPageBreak/>
              <w:t>3</w:t>
            </w:r>
          </w:p>
        </w:tc>
        <w:tc>
          <w:tcPr>
            <w:tcW w:w="1304" w:type="pct"/>
          </w:tcPr>
          <w:p w14:paraId="69AE7FCC" w14:textId="6D73D6F5"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 xml:space="preserve">iii. Determinarea regimurilor de funcționare de referință </w:t>
            </w:r>
            <w:r w:rsidRPr="002F51C9">
              <w:rPr>
                <w:rFonts w:ascii="Segoe UI Light" w:hAnsi="Segoe UI Light" w:cs="Segoe UI Light"/>
                <w:sz w:val="20"/>
                <w:szCs w:val="20"/>
                <w:lang w:val="fr-FR"/>
              </w:rPr>
              <w:t>ale re</w:t>
            </w:r>
            <w:r w:rsidRPr="002F51C9">
              <w:rPr>
                <w:rFonts w:ascii="Segoe UI Light" w:hAnsi="Segoe UI Light" w:cs="Segoe UI Light"/>
                <w:sz w:val="20"/>
                <w:szCs w:val="20"/>
              </w:rPr>
              <w:t>țelei de 110 kV pentru fiecare zonă de  rețea și prezentarea justificărilor tehnice privind alegerea ipotezelor pentr</w:t>
            </w:r>
            <w:r w:rsidR="002E76EB">
              <w:rPr>
                <w:rFonts w:ascii="Segoe UI Light" w:hAnsi="Segoe UI Light" w:cs="Segoe UI Light"/>
                <w:sz w:val="20"/>
                <w:szCs w:val="20"/>
              </w:rPr>
              <w:t>u stabilirea acestor  regimuri.</w:t>
            </w:r>
          </w:p>
        </w:tc>
        <w:tc>
          <w:tcPr>
            <w:tcW w:w="972" w:type="pct"/>
          </w:tcPr>
          <w:p w14:paraId="6669A4E6"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iii. regimurile de funcționare de referință: detalierea modului de determinare a regimurilor de  referință ș</w:t>
            </w:r>
            <w:r w:rsidRPr="002F51C9">
              <w:rPr>
                <w:rFonts w:ascii="Segoe UI Light" w:hAnsi="Segoe UI Light" w:cs="Segoe UI Light"/>
                <w:sz w:val="20"/>
                <w:szCs w:val="20"/>
                <w:lang w:val="pt-PT"/>
              </w:rPr>
              <w:t>i justific</w:t>
            </w:r>
            <w:r w:rsidRPr="002F51C9">
              <w:rPr>
                <w:rFonts w:ascii="Segoe UI Light" w:hAnsi="Segoe UI Light" w:cs="Segoe UI Light"/>
                <w:sz w:val="20"/>
                <w:szCs w:val="20"/>
              </w:rPr>
              <w:t xml:space="preserve">ările tehnice privind ipotezele alese; </w:t>
            </w:r>
          </w:p>
        </w:tc>
        <w:tc>
          <w:tcPr>
            <w:tcW w:w="614" w:type="pct"/>
          </w:tcPr>
          <w:p w14:paraId="7DE80C0E"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Regim de funcționare, justificare tehnica regim de funcționare, ipoteze stabilire regimuri de functionare</w:t>
            </w:r>
          </w:p>
        </w:tc>
        <w:tc>
          <w:tcPr>
            <w:tcW w:w="460" w:type="pct"/>
          </w:tcPr>
          <w:p w14:paraId="4A2362A1"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L3</w:t>
            </w:r>
          </w:p>
        </w:tc>
        <w:tc>
          <w:tcPr>
            <w:tcW w:w="1320" w:type="pct"/>
          </w:tcPr>
          <w:p w14:paraId="4A8BA9E8" w14:textId="1AF5FC70" w:rsidR="002F51C9" w:rsidRPr="002F51C9" w:rsidRDefault="002E76EB"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u w:val="single"/>
              </w:rPr>
              <w:t>LIVRABIL 3</w:t>
            </w:r>
            <w:r w:rsidRPr="002F51C9">
              <w:rPr>
                <w:rFonts w:ascii="Segoe UI Light" w:hAnsi="Segoe UI Light" w:cs="Segoe UI Light"/>
                <w:sz w:val="20"/>
                <w:szCs w:val="20"/>
                <w:lang w:val="it-IT"/>
              </w:rPr>
              <w:t xml:space="preserve"> </w:t>
            </w:r>
            <w:r w:rsidR="002F51C9" w:rsidRPr="002F51C9">
              <w:rPr>
                <w:rFonts w:ascii="Segoe UI Light" w:hAnsi="Segoe UI Light" w:cs="Segoe UI Light"/>
                <w:sz w:val="20"/>
                <w:szCs w:val="20"/>
                <w:lang w:val="it-IT"/>
              </w:rPr>
              <w:t xml:space="preserve">- procesare, validare </w:t>
            </w:r>
            <w:r w:rsidR="002F51C9" w:rsidRPr="002F51C9">
              <w:rPr>
                <w:rFonts w:ascii="Segoe UI Light" w:hAnsi="Segoe UI Light" w:cs="Segoe UI Light"/>
                <w:sz w:val="20"/>
                <w:szCs w:val="20"/>
              </w:rPr>
              <w:t xml:space="preserve">și analiză - ii. datele de intrare utilizate pentru fiecare an și </w:t>
            </w:r>
            <w:r w:rsidR="002F51C9" w:rsidRPr="002F51C9">
              <w:rPr>
                <w:rFonts w:ascii="Segoe UI Light" w:hAnsi="Segoe UI Light" w:cs="Segoe UI Light"/>
                <w:sz w:val="20"/>
                <w:szCs w:val="20"/>
                <w:u w:val="single"/>
              </w:rPr>
              <w:t xml:space="preserve">pentru cel puțin patru zone de rețea în formatul stabilit </w:t>
            </w:r>
            <w:r w:rsidR="002F51C9" w:rsidRPr="002F51C9">
              <w:rPr>
                <w:rFonts w:ascii="Segoe UI Light" w:hAnsi="Segoe UI Light" w:cs="Segoe UI Light"/>
                <w:sz w:val="20"/>
                <w:szCs w:val="20"/>
              </w:rPr>
              <w:t>de  către Prestator; (punerea la dispoziție a datelor de intrare)</w:t>
            </w:r>
          </w:p>
        </w:tc>
      </w:tr>
      <w:tr w:rsidR="002F51C9" w14:paraId="0316B5F0" w14:textId="77777777" w:rsidTr="006A3925">
        <w:trPr>
          <w:trHeight w:val="1983"/>
        </w:trPr>
        <w:tc>
          <w:tcPr>
            <w:cnfStyle w:val="001000000000" w:firstRow="0" w:lastRow="0" w:firstColumn="1" w:lastColumn="0" w:oddVBand="0" w:evenVBand="0" w:oddHBand="0" w:evenHBand="0" w:firstRowFirstColumn="0" w:firstRowLastColumn="0" w:lastRowFirstColumn="0" w:lastRowLastColumn="0"/>
            <w:tcW w:w="330" w:type="pct"/>
          </w:tcPr>
          <w:p w14:paraId="47D12756" w14:textId="77777777" w:rsidR="002F51C9" w:rsidRPr="002F51C9" w:rsidRDefault="002F51C9" w:rsidP="002F51C9">
            <w:pPr>
              <w:pStyle w:val="Body"/>
              <w:rPr>
                <w:rFonts w:ascii="Segoe UI Light" w:hAnsi="Segoe UI Light" w:cs="Segoe UI Light"/>
                <w:sz w:val="20"/>
                <w:szCs w:val="20"/>
              </w:rPr>
            </w:pPr>
            <w:r w:rsidRPr="002F51C9">
              <w:rPr>
                <w:rFonts w:ascii="Segoe UI Light" w:hAnsi="Segoe UI Light" w:cs="Segoe UI Light"/>
                <w:sz w:val="20"/>
                <w:szCs w:val="20"/>
              </w:rPr>
              <w:t>4</w:t>
            </w:r>
          </w:p>
        </w:tc>
        <w:tc>
          <w:tcPr>
            <w:tcW w:w="1304" w:type="pct"/>
          </w:tcPr>
          <w:p w14:paraId="3DDEFBB6" w14:textId="256F8440"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 xml:space="preserve">iv. Stabilirea unor algoritmi de calcul pentru determinarea pentru fiecare zonă </w:t>
            </w:r>
            <w:r w:rsidRPr="002F51C9">
              <w:rPr>
                <w:rFonts w:ascii="Segoe UI Light" w:hAnsi="Segoe UI Light" w:cs="Segoe UI Light"/>
                <w:sz w:val="20"/>
                <w:szCs w:val="20"/>
                <w:lang w:val="nl-NL"/>
              </w:rPr>
              <w:t>de re</w:t>
            </w:r>
            <w:r w:rsidRPr="002F51C9">
              <w:rPr>
                <w:rFonts w:ascii="Segoe UI Light" w:hAnsi="Segoe UI Light" w:cs="Segoe UI Light"/>
                <w:sz w:val="20"/>
                <w:szCs w:val="20"/>
              </w:rPr>
              <w:t xml:space="preserve">țea a tranzitelor  de energie suplimentare în raport cu regimurile de referință </w:t>
            </w:r>
            <w:r w:rsidRPr="002F51C9">
              <w:rPr>
                <w:rFonts w:ascii="Segoe UI Light" w:hAnsi="Segoe UI Light" w:cs="Segoe UI Light"/>
                <w:sz w:val="20"/>
                <w:szCs w:val="20"/>
                <w:lang w:val="fr-FR"/>
              </w:rPr>
              <w:t>ale re</w:t>
            </w:r>
            <w:r w:rsidRPr="002F51C9">
              <w:rPr>
                <w:rFonts w:ascii="Segoe UI Light" w:hAnsi="Segoe UI Light" w:cs="Segoe UI Light"/>
                <w:sz w:val="20"/>
                <w:szCs w:val="20"/>
              </w:rPr>
              <w:t>țelei de 110 kV stabilite la pct. iii) ș</w:t>
            </w:r>
            <w:r w:rsidRPr="002F51C9">
              <w:rPr>
                <w:rFonts w:ascii="Segoe UI Light" w:hAnsi="Segoe UI Light" w:cs="Segoe UI Light"/>
                <w:sz w:val="20"/>
                <w:szCs w:val="20"/>
                <w:lang w:val="it-IT"/>
              </w:rPr>
              <w:t>i a p</w:t>
            </w:r>
            <w:r w:rsidRPr="002F51C9">
              <w:rPr>
                <w:rFonts w:ascii="Segoe UI Light" w:hAnsi="Segoe UI Light" w:cs="Segoe UI Light"/>
                <w:sz w:val="20"/>
                <w:szCs w:val="20"/>
              </w:rPr>
              <w:t>ărților responsabile de generarea acestora (după caz, operatorul de transport și de sistem  și producă</w:t>
            </w:r>
            <w:r w:rsidR="002E76EB">
              <w:rPr>
                <w:rFonts w:ascii="Segoe UI Light" w:hAnsi="Segoe UI Light" w:cs="Segoe UI Light"/>
                <w:sz w:val="20"/>
                <w:szCs w:val="20"/>
                <w:lang w:val="it-IT"/>
              </w:rPr>
              <w:t>tori locali).</w:t>
            </w:r>
          </w:p>
        </w:tc>
        <w:tc>
          <w:tcPr>
            <w:tcW w:w="972" w:type="pct"/>
          </w:tcPr>
          <w:p w14:paraId="2E6B5D6B"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iv. pezentarea tranzitelor suplimentare de energie și alocarea părților responsabile de generarea acestora,  cu detalierea etapelor de calcul ale algoritmului și calculelor pentru fiecare an ș</w:t>
            </w:r>
            <w:r w:rsidRPr="002F51C9">
              <w:rPr>
                <w:rFonts w:ascii="Segoe UI Light" w:hAnsi="Segoe UI Light" w:cs="Segoe UI Light"/>
                <w:sz w:val="20"/>
                <w:szCs w:val="20"/>
                <w:lang w:val="nl-NL"/>
              </w:rPr>
              <w:t>i zon</w:t>
            </w:r>
            <w:r w:rsidRPr="002F51C9">
              <w:rPr>
                <w:rFonts w:ascii="Segoe UI Light" w:hAnsi="Segoe UI Light" w:cs="Segoe UI Light"/>
                <w:sz w:val="20"/>
                <w:szCs w:val="20"/>
              </w:rPr>
              <w:t xml:space="preserve">ă </w:t>
            </w:r>
            <w:r w:rsidRPr="002F51C9">
              <w:rPr>
                <w:rFonts w:ascii="Segoe UI Light" w:hAnsi="Segoe UI Light" w:cs="Segoe UI Light"/>
                <w:sz w:val="20"/>
                <w:szCs w:val="20"/>
                <w:lang w:val="nl-NL"/>
              </w:rPr>
              <w:t>de re</w:t>
            </w:r>
            <w:r w:rsidRPr="002F51C9">
              <w:rPr>
                <w:rFonts w:ascii="Segoe UI Light" w:hAnsi="Segoe UI Light" w:cs="Segoe UI Light"/>
                <w:sz w:val="20"/>
                <w:szCs w:val="20"/>
              </w:rPr>
              <w:t>țea;</w:t>
            </w:r>
          </w:p>
        </w:tc>
        <w:tc>
          <w:tcPr>
            <w:tcW w:w="614" w:type="pct"/>
          </w:tcPr>
          <w:p w14:paraId="67EBA5B7"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Tranzit suplimentar și responsabil tranzit suplimentar</w:t>
            </w:r>
          </w:p>
        </w:tc>
        <w:tc>
          <w:tcPr>
            <w:tcW w:w="460" w:type="pct"/>
          </w:tcPr>
          <w:p w14:paraId="56414122"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L4</w:t>
            </w:r>
          </w:p>
        </w:tc>
        <w:tc>
          <w:tcPr>
            <w:tcW w:w="1320" w:type="pct"/>
          </w:tcPr>
          <w:p w14:paraId="206CA585" w14:textId="3C060E78" w:rsidR="002F51C9" w:rsidRPr="002F51C9" w:rsidRDefault="002E76EB"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E76EB">
              <w:rPr>
                <w:rFonts w:ascii="Segoe UI Light" w:hAnsi="Segoe UI Light" w:cs="Segoe UI Light"/>
                <w:sz w:val="20"/>
                <w:szCs w:val="20"/>
                <w:u w:val="single"/>
              </w:rPr>
              <w:t>LIVRABIL 4 -</w:t>
            </w:r>
            <w:r w:rsidRPr="002F51C9">
              <w:rPr>
                <w:rFonts w:ascii="Segoe UI Light" w:hAnsi="Segoe UI Light" w:cs="Segoe UI Light"/>
                <w:sz w:val="20"/>
                <w:szCs w:val="20"/>
              </w:rPr>
              <w:t xml:space="preserve"> </w:t>
            </w:r>
            <w:r w:rsidR="002F51C9" w:rsidRPr="002F51C9">
              <w:rPr>
                <w:rFonts w:ascii="Segoe UI Light" w:hAnsi="Segoe UI Light" w:cs="Segoe UI Light"/>
                <w:sz w:val="20"/>
                <w:szCs w:val="20"/>
              </w:rPr>
              <w:t>iii. regimurile de funcționare de referință: detalierea modului de determinare a regimurilor de  referință ș</w:t>
            </w:r>
            <w:r w:rsidR="002F51C9" w:rsidRPr="002F51C9">
              <w:rPr>
                <w:rFonts w:ascii="Segoe UI Light" w:hAnsi="Segoe UI Light" w:cs="Segoe UI Light"/>
                <w:sz w:val="20"/>
                <w:szCs w:val="20"/>
                <w:lang w:val="pt-PT"/>
              </w:rPr>
              <w:t>i justific</w:t>
            </w:r>
            <w:r w:rsidR="002F51C9" w:rsidRPr="002F51C9">
              <w:rPr>
                <w:rFonts w:ascii="Segoe UI Light" w:hAnsi="Segoe UI Light" w:cs="Segoe UI Light"/>
                <w:sz w:val="20"/>
                <w:szCs w:val="20"/>
              </w:rPr>
              <w:t xml:space="preserve">ările tehnice privind ipotezele alese; </w:t>
            </w:r>
          </w:p>
        </w:tc>
      </w:tr>
      <w:tr w:rsidR="002F51C9" w14:paraId="7130F059" w14:textId="77777777" w:rsidTr="002E76EB">
        <w:trPr>
          <w:trHeight w:val="2365"/>
        </w:trPr>
        <w:tc>
          <w:tcPr>
            <w:cnfStyle w:val="001000000000" w:firstRow="0" w:lastRow="0" w:firstColumn="1" w:lastColumn="0" w:oddVBand="0" w:evenVBand="0" w:oddHBand="0" w:evenHBand="0" w:firstRowFirstColumn="0" w:firstRowLastColumn="0" w:lastRowFirstColumn="0" w:lastRowLastColumn="0"/>
            <w:tcW w:w="330" w:type="pct"/>
          </w:tcPr>
          <w:p w14:paraId="194E6AC4" w14:textId="77777777" w:rsidR="002F51C9" w:rsidRPr="002F51C9" w:rsidRDefault="002F51C9" w:rsidP="002F51C9">
            <w:pPr>
              <w:pStyle w:val="Body"/>
              <w:rPr>
                <w:rFonts w:ascii="Segoe UI Light" w:hAnsi="Segoe UI Light" w:cs="Segoe UI Light"/>
                <w:sz w:val="20"/>
                <w:szCs w:val="20"/>
              </w:rPr>
            </w:pPr>
            <w:r w:rsidRPr="002F51C9">
              <w:rPr>
                <w:rFonts w:ascii="Segoe UI Light" w:hAnsi="Segoe UI Light" w:cs="Segoe UI Light"/>
                <w:sz w:val="20"/>
                <w:szCs w:val="20"/>
              </w:rPr>
              <w:t>5</w:t>
            </w:r>
          </w:p>
        </w:tc>
        <w:tc>
          <w:tcPr>
            <w:tcW w:w="1304" w:type="pct"/>
          </w:tcPr>
          <w:p w14:paraId="7062ABFB" w14:textId="36E46C44"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v. Stabilirea unor algoritmi de calcul pentru determinarea CPT aferent tranzitelor suplimentare la  nivel de an ș</w:t>
            </w:r>
            <w:r w:rsidRPr="002F51C9">
              <w:rPr>
                <w:rFonts w:ascii="Segoe UI Light" w:hAnsi="Segoe UI Light" w:cs="Segoe UI Light"/>
                <w:sz w:val="20"/>
                <w:szCs w:val="20"/>
                <w:lang w:val="nl-NL"/>
              </w:rPr>
              <w:t>i de zon</w:t>
            </w:r>
            <w:r w:rsidRPr="002F51C9">
              <w:rPr>
                <w:rFonts w:ascii="Segoe UI Light" w:hAnsi="Segoe UI Light" w:cs="Segoe UI Light"/>
                <w:sz w:val="20"/>
                <w:szCs w:val="20"/>
              </w:rPr>
              <w:t xml:space="preserve">ă </w:t>
            </w:r>
            <w:r w:rsidRPr="002F51C9">
              <w:rPr>
                <w:rFonts w:ascii="Segoe UI Light" w:hAnsi="Segoe UI Light" w:cs="Segoe UI Light"/>
                <w:sz w:val="20"/>
                <w:szCs w:val="20"/>
                <w:lang w:val="nl-NL"/>
              </w:rPr>
              <w:t>de re</w:t>
            </w:r>
            <w:r w:rsidRPr="002F51C9">
              <w:rPr>
                <w:rFonts w:ascii="Segoe UI Light" w:hAnsi="Segoe UI Light" w:cs="Segoe UI Light"/>
                <w:sz w:val="20"/>
                <w:szCs w:val="20"/>
              </w:rPr>
              <w:t xml:space="preserve">țea și alocarea acestuia părților responsabile. Prestatorul va determina,  prin fiecare algoritm de calcul propus, ponderea în CPT a tranzitelor suplimentare de energie în  rețeaua electrică 110 kV </w:t>
            </w:r>
            <w:r w:rsidRPr="002F51C9">
              <w:rPr>
                <w:rFonts w:ascii="Segoe UI Light" w:hAnsi="Segoe UI Light" w:cs="Segoe UI Light"/>
                <w:sz w:val="20"/>
                <w:szCs w:val="20"/>
              </w:rPr>
              <w:lastRenderedPageBreak/>
              <w:t>cauzate de producătorii locali de energie electrică și operatorul de  t</w:t>
            </w:r>
            <w:r w:rsidR="002E76EB">
              <w:rPr>
                <w:rFonts w:ascii="Segoe UI Light" w:hAnsi="Segoe UI Light" w:cs="Segoe UI Light"/>
                <w:sz w:val="20"/>
                <w:szCs w:val="20"/>
              </w:rPr>
              <w:t>ransport al energiei electrice.</w:t>
            </w:r>
          </w:p>
        </w:tc>
        <w:tc>
          <w:tcPr>
            <w:tcW w:w="972" w:type="pct"/>
          </w:tcPr>
          <w:p w14:paraId="146CB7AB"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lastRenderedPageBreak/>
              <w:t xml:space="preserve">v. prezentarea rezultatului privind determinarea ponderilor în CPT ale tranzitelor suplimentare de  energie în rețeaua electrică 110 kV cauzate de producătorii locali de energie electrică și operatorul  de </w:t>
            </w:r>
            <w:r w:rsidRPr="002F51C9">
              <w:rPr>
                <w:rFonts w:ascii="Segoe UI Light" w:hAnsi="Segoe UI Light" w:cs="Segoe UI Light"/>
                <w:sz w:val="20"/>
                <w:szCs w:val="20"/>
              </w:rPr>
              <w:lastRenderedPageBreak/>
              <w:t>transport al energiei electrice: detalierea etapelor de calcul ale algoritmului și calculelor pentru  fiecare an ș</w:t>
            </w:r>
            <w:r w:rsidRPr="002F51C9">
              <w:rPr>
                <w:rFonts w:ascii="Segoe UI Light" w:hAnsi="Segoe UI Light" w:cs="Segoe UI Light"/>
                <w:sz w:val="20"/>
                <w:szCs w:val="20"/>
                <w:lang w:val="nl-NL"/>
              </w:rPr>
              <w:t>i zon</w:t>
            </w:r>
            <w:r w:rsidRPr="002F51C9">
              <w:rPr>
                <w:rFonts w:ascii="Segoe UI Light" w:hAnsi="Segoe UI Light" w:cs="Segoe UI Light"/>
                <w:sz w:val="20"/>
                <w:szCs w:val="20"/>
              </w:rPr>
              <w:t xml:space="preserve">ă </w:t>
            </w:r>
            <w:r w:rsidRPr="002F51C9">
              <w:rPr>
                <w:rFonts w:ascii="Segoe UI Light" w:hAnsi="Segoe UI Light" w:cs="Segoe UI Light"/>
                <w:sz w:val="20"/>
                <w:szCs w:val="20"/>
                <w:lang w:val="nl-NL"/>
              </w:rPr>
              <w:t>de re</w:t>
            </w:r>
            <w:r w:rsidRPr="002F51C9">
              <w:rPr>
                <w:rFonts w:ascii="Segoe UI Light" w:hAnsi="Segoe UI Light" w:cs="Segoe UI Light"/>
                <w:sz w:val="20"/>
                <w:szCs w:val="20"/>
              </w:rPr>
              <w:t xml:space="preserve">țea; </w:t>
            </w:r>
          </w:p>
        </w:tc>
        <w:tc>
          <w:tcPr>
            <w:tcW w:w="614" w:type="pct"/>
          </w:tcPr>
          <w:p w14:paraId="29CEDBC9"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lastRenderedPageBreak/>
              <w:t> </w:t>
            </w:r>
          </w:p>
        </w:tc>
        <w:tc>
          <w:tcPr>
            <w:tcW w:w="460" w:type="pct"/>
          </w:tcPr>
          <w:p w14:paraId="7FD27E7D" w14:textId="77777777" w:rsidR="002F51C9" w:rsidRPr="002F51C9" w:rsidRDefault="002F51C9"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F51C9">
              <w:rPr>
                <w:rFonts w:ascii="Segoe UI Light" w:hAnsi="Segoe UI Light" w:cs="Segoe UI Light"/>
                <w:sz w:val="20"/>
                <w:szCs w:val="20"/>
              </w:rPr>
              <w:t>L5</w:t>
            </w:r>
          </w:p>
        </w:tc>
        <w:tc>
          <w:tcPr>
            <w:tcW w:w="1320" w:type="pct"/>
          </w:tcPr>
          <w:p w14:paraId="494B84C2" w14:textId="75A4E1E9" w:rsidR="002F51C9" w:rsidRPr="002F51C9" w:rsidRDefault="002E76EB" w:rsidP="006A3925">
            <w:pPr>
              <w:pStyle w:val="Body"/>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2E76EB">
              <w:rPr>
                <w:rFonts w:ascii="Segoe UI Light" w:hAnsi="Segoe UI Light" w:cs="Segoe UI Light"/>
                <w:sz w:val="20"/>
                <w:szCs w:val="20"/>
                <w:u w:val="single"/>
                <w:lang w:val="it-IT"/>
              </w:rPr>
              <w:t>LIVRABIL 5</w:t>
            </w:r>
            <w:r w:rsidRPr="002F51C9">
              <w:rPr>
                <w:rFonts w:ascii="Segoe UI Light" w:hAnsi="Segoe UI Light" w:cs="Segoe UI Light"/>
                <w:sz w:val="20"/>
                <w:szCs w:val="20"/>
                <w:lang w:val="it-IT"/>
              </w:rPr>
              <w:t xml:space="preserve"> </w:t>
            </w:r>
            <w:r w:rsidR="002F51C9" w:rsidRPr="002F51C9">
              <w:rPr>
                <w:rFonts w:ascii="Segoe UI Light" w:hAnsi="Segoe UI Light" w:cs="Segoe UI Light"/>
                <w:sz w:val="20"/>
                <w:szCs w:val="20"/>
              </w:rPr>
              <w:t>și 5 prim - iv. p</w:t>
            </w:r>
            <w:r w:rsidR="00275443">
              <w:rPr>
                <w:rFonts w:ascii="Segoe UI Light" w:hAnsi="Segoe UI Light" w:cs="Segoe UI Light"/>
                <w:sz w:val="20"/>
                <w:szCs w:val="20"/>
              </w:rPr>
              <w:t>r</w:t>
            </w:r>
            <w:r w:rsidR="002F51C9" w:rsidRPr="002F51C9">
              <w:rPr>
                <w:rFonts w:ascii="Segoe UI Light" w:hAnsi="Segoe UI Light" w:cs="Segoe UI Light"/>
                <w:sz w:val="20"/>
                <w:szCs w:val="20"/>
              </w:rPr>
              <w:t xml:space="preserve">ezentarea tranzitelor suplimentare de energie și alocarea părților responsabile de generarea acestora,  cu detalierea etapelor de calcul ale algoritmului și calculelor pentru fiecare </w:t>
            </w:r>
            <w:r w:rsidR="002F51C9" w:rsidRPr="002F51C9">
              <w:rPr>
                <w:rFonts w:ascii="Segoe UI Light" w:hAnsi="Segoe UI Light" w:cs="Segoe UI Light"/>
                <w:sz w:val="20"/>
                <w:szCs w:val="20"/>
                <w:u w:val="single"/>
              </w:rPr>
              <w:t xml:space="preserve">an și pentru cel puțin patru zone </w:t>
            </w:r>
            <w:r w:rsidR="002F51C9" w:rsidRPr="002F51C9">
              <w:rPr>
                <w:rFonts w:ascii="Segoe UI Light" w:hAnsi="Segoe UI Light" w:cs="Segoe UI Light"/>
                <w:sz w:val="20"/>
                <w:szCs w:val="20"/>
                <w:lang w:val="nl-NL"/>
              </w:rPr>
              <w:t>de re</w:t>
            </w:r>
            <w:r w:rsidR="002F51C9" w:rsidRPr="002F51C9">
              <w:rPr>
                <w:rFonts w:ascii="Segoe UI Light" w:hAnsi="Segoe UI Light" w:cs="Segoe UI Light"/>
                <w:sz w:val="20"/>
                <w:szCs w:val="20"/>
              </w:rPr>
              <w:t>țea;</w:t>
            </w:r>
          </w:p>
        </w:tc>
      </w:tr>
    </w:tbl>
    <w:p w14:paraId="1CFA3A6F" w14:textId="772684C7" w:rsidR="002F51C9" w:rsidRDefault="002F51C9" w:rsidP="002F51C9">
      <w:pPr>
        <w:pStyle w:val="Body"/>
        <w:jc w:val="both"/>
        <w:rPr>
          <w:rFonts w:ascii="Segoe UI Light" w:eastAsia="Arial Unicode MS" w:hAnsi="Segoe UI Light" w:cs="Segoe UI Light"/>
        </w:rPr>
      </w:pPr>
    </w:p>
    <w:p w14:paraId="794BE101" w14:textId="656EFA8E" w:rsidR="002F51C9" w:rsidRPr="002F51C9" w:rsidRDefault="002E76EB" w:rsidP="002F51C9">
      <w:pPr>
        <w:pStyle w:val="Body"/>
        <w:jc w:val="both"/>
        <w:rPr>
          <w:rFonts w:ascii="Segoe UI Light" w:eastAsia="Arial Unicode MS" w:hAnsi="Segoe UI Light" w:cs="Segoe UI Light"/>
        </w:rPr>
      </w:pPr>
      <w:r>
        <w:rPr>
          <w:rFonts w:ascii="Segoe UI Light" w:eastAsia="Arial Unicode MS" w:hAnsi="Segoe UI Light" w:cs="Segoe UI Light"/>
        </w:rPr>
        <w:t>Față de cele</w:t>
      </w:r>
      <w:r w:rsidR="002F51C9" w:rsidRPr="002F51C9">
        <w:rPr>
          <w:rFonts w:ascii="Segoe UI Light" w:eastAsia="Arial Unicode MS" w:hAnsi="Segoe UI Light" w:cs="Segoe UI Light"/>
        </w:rPr>
        <w:t xml:space="preserve"> rezultate din tabel, documentarea vizează patru obiective care contribuie în mod egal la definirea Scopului:</w:t>
      </w:r>
    </w:p>
    <w:p w14:paraId="6F03D70D" w14:textId="39298271" w:rsidR="002F51C9" w:rsidRPr="002F51C9" w:rsidRDefault="002F51C9" w:rsidP="002F51C9">
      <w:pPr>
        <w:pStyle w:val="Body"/>
        <w:numPr>
          <w:ilvl w:val="0"/>
          <w:numId w:val="26"/>
        </w:numPr>
        <w:jc w:val="both"/>
        <w:rPr>
          <w:rFonts w:ascii="Segoe UI Light" w:eastAsia="Arial Unicode MS" w:hAnsi="Segoe UI Light" w:cs="Segoe UI Light"/>
        </w:rPr>
      </w:pPr>
      <w:r w:rsidRPr="002F51C9">
        <w:rPr>
          <w:rFonts w:ascii="Segoe UI Light" w:eastAsia="Arial Unicode MS" w:hAnsi="Segoe UI Light" w:cs="Segoe UI Light"/>
        </w:rPr>
        <w:t>Obiectivul 1 - Identificarea unui Algoritm similar utilizat în practica altor țări, Stabilirea formatului datelor (O1)</w:t>
      </w:r>
      <w:r w:rsidR="00CF39F6">
        <w:rPr>
          <w:rFonts w:ascii="Segoe UI Light" w:eastAsia="Arial Unicode MS" w:hAnsi="Segoe UI Light" w:cs="Segoe UI Light"/>
        </w:rPr>
        <w:t>;</w:t>
      </w:r>
    </w:p>
    <w:p w14:paraId="015DF8F3" w14:textId="1915536E" w:rsidR="002F51C9" w:rsidRPr="002F51C9" w:rsidRDefault="002F51C9" w:rsidP="002F51C9">
      <w:pPr>
        <w:pStyle w:val="Body"/>
        <w:numPr>
          <w:ilvl w:val="0"/>
          <w:numId w:val="26"/>
        </w:numPr>
        <w:jc w:val="both"/>
        <w:rPr>
          <w:rFonts w:ascii="Segoe UI Light" w:eastAsia="Arial Unicode MS" w:hAnsi="Segoe UI Light" w:cs="Segoe UI Light"/>
        </w:rPr>
      </w:pPr>
      <w:r w:rsidRPr="002F51C9">
        <w:rPr>
          <w:rFonts w:ascii="Segoe UI Light" w:eastAsia="Arial Unicode MS" w:hAnsi="Segoe UI Light" w:cs="Segoe UI Light"/>
        </w:rPr>
        <w:t>Obiectivul 2 - Definirea abaterilor de la schema normala, Stabilirea punctele de măsu</w:t>
      </w:r>
      <w:r w:rsidR="006A3925">
        <w:rPr>
          <w:rFonts w:ascii="Segoe UI Light" w:eastAsia="Arial Unicode MS" w:hAnsi="Segoe UI Light" w:cs="Segoe UI Light"/>
        </w:rPr>
        <w:t xml:space="preserve">rare, Detalierea bilanțului de </w:t>
      </w:r>
      <w:r w:rsidRPr="002F51C9">
        <w:rPr>
          <w:rFonts w:ascii="Segoe UI Light" w:eastAsia="Arial Unicode MS" w:hAnsi="Segoe UI Light" w:cs="Segoe UI Light"/>
        </w:rPr>
        <w:t>ene</w:t>
      </w:r>
      <w:r w:rsidR="00CF39F6">
        <w:rPr>
          <w:rFonts w:ascii="Segoe UI Light" w:eastAsia="Arial Unicode MS" w:hAnsi="Segoe UI Light" w:cs="Segoe UI Light"/>
        </w:rPr>
        <w:t>rgie (O2);</w:t>
      </w:r>
    </w:p>
    <w:p w14:paraId="0D24330F" w14:textId="050D3263" w:rsidR="002F51C9" w:rsidRPr="002F51C9" w:rsidRDefault="002F51C9" w:rsidP="002F51C9">
      <w:pPr>
        <w:pStyle w:val="Body"/>
        <w:numPr>
          <w:ilvl w:val="0"/>
          <w:numId w:val="26"/>
        </w:numPr>
        <w:jc w:val="both"/>
        <w:rPr>
          <w:rFonts w:ascii="Segoe UI Light" w:eastAsia="Arial Unicode MS" w:hAnsi="Segoe UI Light" w:cs="Segoe UI Light"/>
        </w:rPr>
      </w:pPr>
      <w:r w:rsidRPr="002F51C9">
        <w:rPr>
          <w:rFonts w:ascii="Segoe UI Light" w:eastAsia="Arial Unicode MS" w:hAnsi="Segoe UI Light" w:cs="Segoe UI Light"/>
        </w:rPr>
        <w:t>Obiectivul 3 - Definirea Tranzitului supli</w:t>
      </w:r>
      <w:r w:rsidR="006A3925">
        <w:rPr>
          <w:rFonts w:ascii="Segoe UI Light" w:eastAsia="Arial Unicode MS" w:hAnsi="Segoe UI Light" w:cs="Segoe UI Light"/>
        </w:rPr>
        <w:t xml:space="preserve">mentar și a responsabilului de </w:t>
      </w:r>
      <w:r w:rsidRPr="002F51C9">
        <w:rPr>
          <w:rFonts w:ascii="Segoe UI Light" w:eastAsia="Arial Unicode MS" w:hAnsi="Segoe UI Light" w:cs="Segoe UI Light"/>
        </w:rPr>
        <w:t>tranzit suplimentar</w:t>
      </w:r>
      <w:r w:rsidR="00CF39F6">
        <w:rPr>
          <w:rFonts w:ascii="Segoe UI Light" w:eastAsia="Arial Unicode MS" w:hAnsi="Segoe UI Light" w:cs="Segoe UI Light"/>
        </w:rPr>
        <w:t>, Identificarea tranzitului de energie (O3);</w:t>
      </w:r>
    </w:p>
    <w:p w14:paraId="410A65D9" w14:textId="29963043" w:rsidR="002F51C9" w:rsidRPr="002F51C9" w:rsidRDefault="002F51C9" w:rsidP="002F51C9">
      <w:pPr>
        <w:pStyle w:val="Body"/>
        <w:numPr>
          <w:ilvl w:val="0"/>
          <w:numId w:val="26"/>
        </w:numPr>
        <w:jc w:val="both"/>
        <w:rPr>
          <w:rFonts w:ascii="Segoe UI Light" w:eastAsia="Arial Unicode MS" w:hAnsi="Segoe UI Light" w:cs="Segoe UI Light"/>
        </w:rPr>
      </w:pPr>
      <w:r w:rsidRPr="002F51C9">
        <w:rPr>
          <w:rFonts w:ascii="Segoe UI Light" w:eastAsia="Arial Unicode MS" w:hAnsi="Segoe UI Light" w:cs="Segoe UI Light"/>
        </w:rPr>
        <w:t>Obiectivul 4 - D</w:t>
      </w:r>
      <w:r w:rsidR="006A3925">
        <w:rPr>
          <w:rFonts w:ascii="Segoe UI Light" w:eastAsia="Arial Unicode MS" w:hAnsi="Segoe UI Light" w:cs="Segoe UI Light"/>
        </w:rPr>
        <w:t xml:space="preserve">efinirea Regim de funcționare, </w:t>
      </w:r>
      <w:r w:rsidRPr="002F51C9">
        <w:rPr>
          <w:rFonts w:ascii="Segoe UI Light" w:eastAsia="Arial Unicode MS" w:hAnsi="Segoe UI Light" w:cs="Segoe UI Light"/>
        </w:rPr>
        <w:t>justificare</w:t>
      </w:r>
      <w:r w:rsidR="00CF39F6">
        <w:rPr>
          <w:rFonts w:ascii="Segoe UI Light" w:eastAsia="Arial Unicode MS" w:hAnsi="Segoe UI Light" w:cs="Segoe UI Light"/>
        </w:rPr>
        <w:t xml:space="preserve"> tehnica regim de funcționare, </w:t>
      </w:r>
      <w:r w:rsidRPr="002F51C9">
        <w:rPr>
          <w:rFonts w:ascii="Segoe UI Light" w:eastAsia="Arial Unicode MS" w:hAnsi="Segoe UI Light" w:cs="Segoe UI Light"/>
        </w:rPr>
        <w:t>ipoteze stabilire regimuri de functionare (O4).</w:t>
      </w:r>
    </w:p>
    <w:p w14:paraId="67B6E66D" w14:textId="548317B5" w:rsidR="00275443" w:rsidRDefault="00275443" w:rsidP="002F51C9">
      <w:pPr>
        <w:pStyle w:val="Body"/>
        <w:jc w:val="both"/>
        <w:rPr>
          <w:rFonts w:ascii="Segoe UI Light" w:eastAsia="Arial Unicode MS" w:hAnsi="Segoe UI Light" w:cs="Segoe UI Light"/>
        </w:rPr>
      </w:pPr>
      <w:r w:rsidRPr="00275443">
        <w:rPr>
          <w:rFonts w:ascii="Segoe UI Light" w:eastAsia="Arial Unicode MS" w:hAnsi="Segoe UI Light" w:cs="Segoe UI Light"/>
        </w:rPr>
        <w:t>Esențial pentru studiu este definirea tranzitului suplimentar și identifica</w:t>
      </w:r>
      <w:r>
        <w:rPr>
          <w:rFonts w:ascii="Segoe UI Light" w:eastAsia="Arial Unicode MS" w:hAnsi="Segoe UI Light" w:cs="Segoe UI Light"/>
        </w:rPr>
        <w:t xml:space="preserve">rea responsabilului. Mecanisme </w:t>
      </w:r>
      <w:r w:rsidRPr="00275443">
        <w:rPr>
          <w:rFonts w:ascii="Segoe UI Light" w:eastAsia="Arial Unicode MS" w:hAnsi="Segoe UI Light" w:cs="Segoe UI Light"/>
        </w:rPr>
        <w:t>direct aplicabile la experiența din România nu sunt identificate urmare a modulul de repartizare a responsabilităților la nivelul sistemului energetic național. Sunt puține țări cu sistem de piață similar României care asociază rețelele de 110kV la o licență de distribuție. Chiar dacă astfel de experiențe sunt dificil de adaptat, există înțelegeri comerciale pentru asumarea costurilor determinate de tranzitele suplimentare care au fost validate la nivelul EU și care pot fi adaptate.</w:t>
      </w:r>
    </w:p>
    <w:p w14:paraId="1A4A124C" w14:textId="2977DA8F" w:rsidR="00275443" w:rsidRDefault="00275443" w:rsidP="002F51C9">
      <w:pPr>
        <w:pStyle w:val="Body"/>
        <w:jc w:val="both"/>
        <w:rPr>
          <w:rFonts w:ascii="Segoe UI Light" w:eastAsia="Arial Unicode MS" w:hAnsi="Segoe UI Light" w:cs="Segoe UI Light"/>
        </w:rPr>
      </w:pPr>
      <w:r w:rsidRPr="00275443">
        <w:rPr>
          <w:rFonts w:ascii="Segoe UI Light" w:eastAsia="Arial Unicode MS" w:hAnsi="Segoe UI Light" w:cs="Segoe UI Light"/>
        </w:rPr>
        <w:t>Având în ved</w:t>
      </w:r>
      <w:r>
        <w:rPr>
          <w:rFonts w:ascii="Segoe UI Light" w:eastAsia="Arial Unicode MS" w:hAnsi="Segoe UI Light" w:cs="Segoe UI Light"/>
        </w:rPr>
        <w:t xml:space="preserve">ere scopul lucrării, Nivelul 1 </w:t>
      </w:r>
      <w:r w:rsidRPr="00275443">
        <w:rPr>
          <w:rFonts w:ascii="Segoe UI Light" w:eastAsia="Arial Unicode MS" w:hAnsi="Segoe UI Light" w:cs="Segoe UI Light"/>
        </w:rPr>
        <w:t>de segmentare t</w:t>
      </w:r>
      <w:r>
        <w:rPr>
          <w:rFonts w:ascii="Segoe UI Light" w:eastAsia="Arial Unicode MS" w:hAnsi="Segoe UI Light" w:cs="Segoe UI Light"/>
        </w:rPr>
        <w:t>eritorială va fi favorizat. Aceasta</w:t>
      </w:r>
      <w:r w:rsidRPr="00275443">
        <w:rPr>
          <w:rFonts w:ascii="Segoe UI Light" w:eastAsia="Arial Unicode MS" w:hAnsi="Segoe UI Light" w:cs="Segoe UI Light"/>
        </w:rPr>
        <w:t xml:space="preserve"> presupune analiza la nivel de zonă de licență. Doar în cazuri speciale se vor derula anali</w:t>
      </w:r>
      <w:r>
        <w:rPr>
          <w:rFonts w:ascii="Segoe UI Light" w:eastAsia="Arial Unicode MS" w:hAnsi="Segoe UI Light" w:cs="Segoe UI Light"/>
        </w:rPr>
        <w:t xml:space="preserve">ze la alt nivel de segmentare. </w:t>
      </w:r>
      <w:r w:rsidRPr="00275443">
        <w:rPr>
          <w:rFonts w:ascii="Segoe UI Light" w:eastAsia="Arial Unicode MS" w:hAnsi="Segoe UI Light" w:cs="Segoe UI Light"/>
        </w:rPr>
        <w:t>De aceea din punct de vedere al etapei de documentare, experiențele locale vor fi investigate doar colateral.</w:t>
      </w:r>
    </w:p>
    <w:p w14:paraId="37CAFABF" w14:textId="2ED60C1B" w:rsidR="002F51C9" w:rsidRPr="002F51C9" w:rsidRDefault="002F51C9" w:rsidP="002F51C9">
      <w:pPr>
        <w:pStyle w:val="H1b"/>
      </w:pPr>
      <w:bookmarkStart w:id="4" w:name="_Toc109164798"/>
      <w:r>
        <w:lastRenderedPageBreak/>
        <w:t>Părți interesate, s</w:t>
      </w:r>
      <w:r w:rsidRPr="002F51C9">
        <w:t>urse de inform</w:t>
      </w:r>
      <w:r>
        <w:t>are</w:t>
      </w:r>
      <w:r w:rsidRPr="002F51C9">
        <w:t>, categorii de competențe implicate în documentare</w:t>
      </w:r>
      <w:bookmarkEnd w:id="4"/>
    </w:p>
    <w:p w14:paraId="020631B8" w14:textId="77777777" w:rsidR="002F51C9" w:rsidRPr="002F51C9" w:rsidRDefault="002F51C9" w:rsidP="002F51C9">
      <w:pPr>
        <w:pStyle w:val="Body"/>
        <w:jc w:val="both"/>
        <w:rPr>
          <w:rFonts w:ascii="Segoe UI Light" w:eastAsia="Arial Unicode MS" w:hAnsi="Segoe UI Light" w:cs="Segoe UI Light"/>
        </w:rPr>
      </w:pPr>
      <w:r w:rsidRPr="002F51C9">
        <w:rPr>
          <w:rFonts w:ascii="Segoe UI Light" w:eastAsia="Arial Unicode MS" w:hAnsi="Segoe UI Light" w:cs="Segoe UI Light"/>
        </w:rPr>
        <w:t>Problema atribuirii consumului propriu tehnologic determinat de tranzitele suplimentare în rețelele de 110 kV producătorilor și operatorului de transport și de sistem are aspecte:</w:t>
      </w:r>
    </w:p>
    <w:p w14:paraId="42AE08AE" w14:textId="18F296BA"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Pr>
          <w:rFonts w:ascii="Segoe UI Light" w:eastAsia="Arial Unicode MS" w:hAnsi="Segoe UI Light" w:cs="Segoe UI Light"/>
        </w:rPr>
        <w:t>a</w:t>
      </w:r>
      <w:r w:rsidRPr="002F51C9">
        <w:rPr>
          <w:rFonts w:ascii="Segoe UI Light" w:eastAsia="Arial Unicode MS" w:hAnsi="Segoe UI Light" w:cs="Segoe UI Light"/>
        </w:rPr>
        <w:t xml:space="preserve">spectul modelării teoretice a circulațiilor de putere și modul în care energia electrică se transformă în alte forme de energie (O1&amp;O2 – enunțate anterior) și </w:t>
      </w:r>
    </w:p>
    <w:p w14:paraId="298FD4D4" w14:textId="285D0D37"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aspecte comerciale date de prognoza, achiziția și evaluarea energiei rezultate corespunzător pierderilor (O3&amp;O4).</w:t>
      </w:r>
    </w:p>
    <w:p w14:paraId="0DE49CCA" w14:textId="5BCAD4A4" w:rsidR="002F51C9" w:rsidRPr="002F51C9" w:rsidRDefault="002F51C9" w:rsidP="002F51C9">
      <w:pPr>
        <w:pStyle w:val="Body"/>
        <w:jc w:val="both"/>
        <w:rPr>
          <w:rFonts w:ascii="Segoe UI Light" w:eastAsia="Arial Unicode MS" w:hAnsi="Segoe UI Light" w:cs="Segoe UI Light"/>
        </w:rPr>
      </w:pPr>
      <w:r w:rsidRPr="002F51C9">
        <w:rPr>
          <w:rFonts w:ascii="Segoe UI Light" w:eastAsia="Arial Unicode MS" w:hAnsi="Segoe UI Light" w:cs="Segoe UI Light"/>
        </w:rPr>
        <w:t xml:space="preserve">Modelele matematice, abordează problema pierderilor începând de la nivelul fundamental al fenomenelor implicate în transferul energiei de la sursă la utilizator </w:t>
      </w:r>
      <w:r w:rsidRPr="00275443">
        <w:rPr>
          <w:rFonts w:ascii="Segoe UI Light" w:eastAsia="Arial Unicode MS" w:hAnsi="Segoe UI Light" w:cs="Segoe UI Light"/>
          <w:i/>
        </w:rPr>
        <w:t>(</w:t>
      </w:r>
      <w:r w:rsidR="00275443" w:rsidRPr="00275443">
        <w:rPr>
          <w:rFonts w:ascii="Segoe UI Light" w:eastAsia="Arial Unicode MS" w:hAnsi="Segoe UI Light" w:cs="Segoe UI Light"/>
          <w:i/>
        </w:rPr>
        <w:t xml:space="preserve">a se vedea punctul </w:t>
      </w:r>
      <w:r w:rsidRPr="00275443">
        <w:rPr>
          <w:rFonts w:ascii="Segoe UI Light" w:eastAsia="Arial Unicode MS" w:hAnsi="Segoe UI Light" w:cs="Segoe UI Light"/>
          <w:i/>
        </w:rPr>
        <w:t>7</w:t>
      </w:r>
      <w:r w:rsidR="00275443" w:rsidRPr="00275443">
        <w:rPr>
          <w:rFonts w:ascii="Segoe UI Light" w:eastAsia="Arial Unicode MS" w:hAnsi="Segoe UI Light" w:cs="Segoe UI Light"/>
          <w:i/>
        </w:rPr>
        <w:t xml:space="preserve"> din Bibliografie</w:t>
      </w:r>
      <w:r w:rsidRPr="00275443">
        <w:rPr>
          <w:rFonts w:ascii="Segoe UI Light" w:eastAsia="Arial Unicode MS" w:hAnsi="Segoe UI Light" w:cs="Segoe UI Light"/>
          <w:i/>
        </w:rPr>
        <w:t>)</w:t>
      </w:r>
      <w:r w:rsidRPr="002F51C9">
        <w:rPr>
          <w:rFonts w:ascii="Segoe UI Light" w:eastAsia="Arial Unicode MS" w:hAnsi="Segoe UI Light" w:cs="Segoe UI Light"/>
        </w:rPr>
        <w:t xml:space="preserve"> atunci când se pune problema determinării cantitative, iar pentru determinări valorice, literatură de specialitate abordează aspectele comerciale și detaliză modul de lucru teoretic </w:t>
      </w:r>
      <w:r w:rsidR="00275443" w:rsidRPr="00275443">
        <w:rPr>
          <w:rFonts w:ascii="Segoe UI Light" w:eastAsia="Arial Unicode MS" w:hAnsi="Segoe UI Light" w:cs="Segoe UI Light"/>
          <w:i/>
        </w:rPr>
        <w:t>(a se vedea punctul 7 din Bibliografie)</w:t>
      </w:r>
      <w:r w:rsidR="00275443">
        <w:rPr>
          <w:rFonts w:ascii="Segoe UI Light" w:eastAsia="Arial Unicode MS" w:hAnsi="Segoe UI Light" w:cs="Segoe UI Light"/>
        </w:rPr>
        <w:t xml:space="preserve">. </w:t>
      </w:r>
      <w:r w:rsidRPr="002F51C9">
        <w:rPr>
          <w:rFonts w:ascii="Segoe UI Light" w:eastAsia="Arial Unicode MS" w:hAnsi="Segoe UI Light" w:cs="Segoe UI Light"/>
        </w:rPr>
        <w:t>Din felul în care tema de studiu este formulată de către ANRE, implicate în soluționarea studiului sunt trei categorii de părți interesate:</w:t>
      </w:r>
    </w:p>
    <w:p w14:paraId="590DF2D5" w14:textId="3AC1B0E1" w:rsidR="00431A12"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 xml:space="preserve">prima categorie de părți interesate (PI1) importante pentru arbitrarea relațiilor determinate de coexistența pe aceeași infrastructură fizică/comercială și menținerea unei relații echitabile cu utilizatorii de energie electrică </w:t>
      </w:r>
      <w:r w:rsidR="00275443">
        <w:rPr>
          <w:rFonts w:ascii="Segoe UI Light" w:eastAsia="Arial Unicode MS" w:hAnsi="Segoe UI Light" w:cs="Segoe UI Light"/>
        </w:rPr>
        <w:t>sunt</w:t>
      </w:r>
      <w:r w:rsidRPr="002F51C9">
        <w:rPr>
          <w:rFonts w:ascii="Segoe UI Light" w:eastAsia="Arial Unicode MS" w:hAnsi="Segoe UI Light" w:cs="Segoe UI Light"/>
        </w:rPr>
        <w:t xml:space="preserve"> R</w:t>
      </w:r>
      <w:r>
        <w:rPr>
          <w:rFonts w:ascii="Segoe UI Light" w:eastAsia="Arial Unicode MS" w:hAnsi="Segoe UI Light" w:cs="Segoe UI Light"/>
        </w:rPr>
        <w:t>eglementatori</w:t>
      </w:r>
      <w:r w:rsidR="00275443">
        <w:rPr>
          <w:rFonts w:ascii="Segoe UI Light" w:eastAsia="Arial Unicode MS" w:hAnsi="Segoe UI Light" w:cs="Segoe UI Light"/>
        </w:rPr>
        <w:t>i</w:t>
      </w:r>
      <w:r w:rsidRPr="002F51C9">
        <w:rPr>
          <w:rFonts w:ascii="Segoe UI Light" w:eastAsia="Arial Unicode MS" w:hAnsi="Segoe UI Light" w:cs="Segoe UI Light"/>
        </w:rPr>
        <w:t>;</w:t>
      </w:r>
    </w:p>
    <w:p w14:paraId="229CA9EB" w14:textId="77777777"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principalele organizații care pot furniza documentație din acest punct de vedere sunt CEER</w:t>
      </w:r>
      <w:r w:rsidRPr="002F51C9">
        <w:rPr>
          <w:rFonts w:ascii="Segoe UI Light" w:eastAsia="Arial Unicode MS" w:hAnsi="Segoe UI Light" w:cs="Segoe UI Light"/>
          <w:vertAlign w:val="superscript"/>
        </w:rPr>
        <w:footnoteReference w:id="1"/>
      </w:r>
      <w:r w:rsidRPr="002F51C9">
        <w:rPr>
          <w:rFonts w:ascii="Segoe UI Light" w:eastAsia="Arial Unicode MS" w:hAnsi="Segoe UI Light" w:cs="Segoe UI Light"/>
          <w:vertAlign w:val="superscript"/>
        </w:rPr>
        <w:t xml:space="preserve"> </w:t>
      </w:r>
      <w:r w:rsidRPr="002F51C9">
        <w:rPr>
          <w:rFonts w:ascii="Segoe UI Light" w:eastAsia="Arial Unicode MS" w:hAnsi="Segoe UI Light" w:cs="Segoe UI Light"/>
        </w:rPr>
        <w:t>și ACER</w:t>
      </w:r>
      <w:r w:rsidRPr="002F51C9">
        <w:rPr>
          <w:rFonts w:ascii="Segoe UI Light" w:eastAsia="Arial Unicode MS" w:hAnsi="Segoe UI Light" w:cs="Segoe UI Light"/>
          <w:vertAlign w:val="superscript"/>
        </w:rPr>
        <w:footnoteReference w:id="2"/>
      </w:r>
    </w:p>
    <w:p w14:paraId="6F2F6B45" w14:textId="32E33469"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a doua categorie de păți interesate (PI2)   implicate în confirmarea sau infirma</w:t>
      </w:r>
      <w:r w:rsidR="00275443">
        <w:rPr>
          <w:rFonts w:ascii="Segoe UI Light" w:eastAsia="Arial Unicode MS" w:hAnsi="Segoe UI Light" w:cs="Segoe UI Light"/>
        </w:rPr>
        <w:t xml:space="preserve">rea unui mecanism de determinare a </w:t>
      </w:r>
      <w:r w:rsidRPr="002F51C9">
        <w:rPr>
          <w:rFonts w:ascii="Segoe UI Light" w:eastAsia="Arial Unicode MS" w:hAnsi="Segoe UI Light" w:cs="Segoe UI Light"/>
        </w:rPr>
        <w:t>cantităților și de decontare sunt Titulari de licență de distribuție și / sau transport</w:t>
      </w:r>
      <w:r w:rsidR="00275443">
        <w:rPr>
          <w:rFonts w:ascii="Segoe UI Light" w:eastAsia="Arial Unicode MS" w:hAnsi="Segoe UI Light" w:cs="Segoe UI Light"/>
        </w:rPr>
        <w:t>.</w:t>
      </w:r>
    </w:p>
    <w:p w14:paraId="09331A2D" w14:textId="7683BA3A"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lastRenderedPageBreak/>
        <w:t>a treia cate</w:t>
      </w:r>
      <w:r w:rsidR="00275443">
        <w:rPr>
          <w:rFonts w:ascii="Segoe UI Light" w:eastAsia="Arial Unicode MS" w:hAnsi="Segoe UI Light" w:cs="Segoe UI Light"/>
        </w:rPr>
        <w:t xml:space="preserve">gorie de părți interesate (PI3) </w:t>
      </w:r>
      <w:r w:rsidRPr="002F51C9">
        <w:rPr>
          <w:rFonts w:ascii="Segoe UI Light" w:eastAsia="Arial Unicode MS" w:hAnsi="Segoe UI Light" w:cs="Segoe UI Light"/>
        </w:rPr>
        <w:t>care vizează condițiile de accesare rețea sunt Producătorii.</w:t>
      </w:r>
    </w:p>
    <w:p w14:paraId="087FD73D" w14:textId="1B511365" w:rsidR="002F51C9" w:rsidRPr="002F51C9" w:rsidRDefault="00275443" w:rsidP="002F51C9">
      <w:pPr>
        <w:pStyle w:val="BodyA"/>
        <w:jc w:val="both"/>
        <w:rPr>
          <w:rFonts w:ascii="Segoe UI Light" w:eastAsia="Arial Unicode MS" w:hAnsi="Segoe UI Light" w:cs="Segoe UI Light"/>
          <w:lang w:val="en-US" w:eastAsia="en-GB"/>
          <w14:textOutline w14:w="0" w14:cap="flat" w14:cmpd="sng" w14:algn="ctr">
            <w14:noFill/>
            <w14:prstDash w14:val="solid"/>
            <w14:bevel/>
          </w14:textOutline>
        </w:rPr>
      </w:pPr>
      <w:r>
        <w:rPr>
          <w:rFonts w:ascii="Segoe UI Light" w:eastAsia="Arial Unicode MS" w:hAnsi="Segoe UI Light" w:cs="Segoe UI Light"/>
          <w:lang w:val="en-US" w:eastAsia="en-GB"/>
          <w14:textOutline w14:w="0" w14:cap="flat" w14:cmpd="sng" w14:algn="ctr">
            <w14:noFill/>
            <w14:prstDash w14:val="solid"/>
            <w14:bevel/>
          </w14:textOutline>
        </w:rPr>
        <w:t>Elementul</w:t>
      </w:r>
      <w:r w:rsidR="002F51C9" w:rsidRPr="002F51C9">
        <w:rPr>
          <w:rFonts w:ascii="Segoe UI Light" w:eastAsia="Arial Unicode MS" w:hAnsi="Segoe UI Light" w:cs="Segoe UI Light"/>
          <w:lang w:val="en-US" w:eastAsia="en-GB"/>
          <w14:textOutline w14:w="0" w14:cap="flat" w14:cmpd="sng" w14:algn="ctr">
            <w14:noFill/>
            <w14:prstDash w14:val="solid"/>
            <w14:bevel/>
          </w14:textOutline>
        </w:rPr>
        <w:t xml:space="preserve"> comun al PI1, PI2, PI3 din punct de vedere al centralizării datelor necesare documentării sunt Asociațiile profesionale. În aceste condiții pe lângă CEER</w:t>
      </w:r>
      <w:r w:rsidR="000B619D">
        <w:rPr>
          <w:rFonts w:ascii="Segoe UI Light" w:eastAsia="Arial Unicode MS" w:hAnsi="Segoe UI Light" w:cs="Segoe UI Light"/>
          <w:lang w:val="en-US" w:eastAsia="en-GB"/>
          <w14:textOutline w14:w="0" w14:cap="flat" w14:cmpd="sng" w14:algn="ctr">
            <w14:noFill/>
            <w14:prstDash w14:val="solid"/>
            <w14:bevel/>
          </w14:textOutline>
        </w:rPr>
        <w:t>, asocia</w:t>
      </w:r>
      <w:r w:rsidR="000B619D">
        <w:rPr>
          <w:rFonts w:ascii="Segoe UI Light" w:eastAsia="Arial Unicode MS" w:hAnsi="Segoe UI Light" w:cs="Segoe UI Light"/>
          <w:lang w:eastAsia="en-GB"/>
          <w14:textOutline w14:w="0" w14:cap="flat" w14:cmpd="sng" w14:algn="ctr">
            <w14:noFill/>
            <w14:prstDash w14:val="solid"/>
            <w14:bevel/>
          </w14:textOutline>
        </w:rPr>
        <w:t xml:space="preserve">țiile </w:t>
      </w:r>
      <w:r w:rsidRPr="00275443">
        <w:rPr>
          <w:rFonts w:ascii="Segoe UI Light" w:eastAsia="Arial Unicode MS" w:hAnsi="Segoe UI Light" w:cs="Segoe UI Light"/>
          <w:lang w:val="en-US" w:eastAsia="en-GB"/>
          <w14:textOutline w14:w="0" w14:cap="flat" w14:cmpd="sng" w14:algn="ctr">
            <w14:noFill/>
            <w14:prstDash w14:val="solid"/>
            <w14:bevel/>
          </w14:textOutline>
        </w:rPr>
        <w:t xml:space="preserve">ale căror resurse de documentare au fost </w:t>
      </w:r>
      <w:r w:rsidR="002F51C9" w:rsidRPr="002F51C9">
        <w:rPr>
          <w:rFonts w:ascii="Segoe UI Light" w:eastAsia="Arial Unicode MS" w:hAnsi="Segoe UI Light" w:cs="Segoe UI Light"/>
          <w:lang w:val="en-US" w:eastAsia="en-GB"/>
          <w14:textOutline w14:w="0" w14:cap="flat" w14:cmpd="sng" w14:algn="ctr">
            <w14:noFill/>
            <w14:prstDash w14:val="solid"/>
            <w14:bevel/>
          </w14:textOutline>
        </w:rPr>
        <w:t>investigate sunt:</w:t>
      </w:r>
    </w:p>
    <w:p w14:paraId="2B70FD0D" w14:textId="77777777"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organizația profesională a distribuitorilor de energie electrică - CIRED</w:t>
      </w:r>
      <w:r w:rsidRPr="000B619D">
        <w:rPr>
          <w:rFonts w:ascii="Segoe UI Light" w:eastAsia="Arial Unicode MS" w:hAnsi="Segoe UI Light" w:cs="Segoe UI Light"/>
          <w:vertAlign w:val="superscript"/>
        </w:rPr>
        <w:footnoteReference w:id="3"/>
      </w:r>
      <w:r w:rsidRPr="002F51C9">
        <w:rPr>
          <w:rFonts w:ascii="Segoe UI Light" w:eastAsia="Arial Unicode MS" w:hAnsi="Segoe UI Light" w:cs="Segoe UI Light"/>
        </w:rPr>
        <w:t>,</w:t>
      </w:r>
    </w:p>
    <w:p w14:paraId="28A8B6EA" w14:textId="5CDEDAEC"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 xml:space="preserve">primul forum al marilor rețele electrice </w:t>
      </w:r>
      <w:r w:rsidR="002E76EB">
        <w:rPr>
          <w:rFonts w:ascii="Segoe UI Light" w:eastAsia="Arial Unicode MS" w:hAnsi="Segoe UI Light" w:cs="Segoe UI Light"/>
          <w:i/>
        </w:rPr>
        <w:t>«</w:t>
      </w:r>
      <w:r w:rsidRPr="002E76EB">
        <w:rPr>
          <w:rFonts w:ascii="Segoe UI Light" w:eastAsia="Arial Unicode MS" w:hAnsi="Segoe UI Light" w:cs="Segoe UI Light"/>
          <w:i/>
        </w:rPr>
        <w:t xml:space="preserve">Conférence Internationale des Grands Réseaux Électriques », </w:t>
      </w:r>
      <w:r w:rsidRPr="002F51C9">
        <w:rPr>
          <w:rFonts w:ascii="Segoe UI Light" w:eastAsia="Arial Unicode MS" w:hAnsi="Segoe UI Light" w:cs="Segoe UI Light"/>
        </w:rPr>
        <w:t>CIGRE</w:t>
      </w:r>
      <w:r w:rsidRPr="000B619D">
        <w:rPr>
          <w:rFonts w:ascii="Segoe UI Light" w:eastAsia="Arial Unicode MS" w:hAnsi="Segoe UI Light" w:cs="Segoe UI Light"/>
          <w:vertAlign w:val="superscript"/>
        </w:rPr>
        <w:footnoteReference w:id="4"/>
      </w:r>
      <w:r w:rsidRPr="002F51C9">
        <w:rPr>
          <w:rFonts w:ascii="Segoe UI Light" w:eastAsia="Arial Unicode MS" w:hAnsi="Segoe UI Light" w:cs="Segoe UI Light"/>
        </w:rPr>
        <w:t>,</w:t>
      </w:r>
    </w:p>
    <w:p w14:paraId="6B7DE4A7" w14:textId="77777777" w:rsidR="002F51C9" w:rsidRPr="002F51C9" w:rsidRDefault="002F51C9" w:rsidP="002F51C9">
      <w:pPr>
        <w:pStyle w:val="Body"/>
        <w:numPr>
          <w:ilvl w:val="0"/>
          <w:numId w:val="30"/>
        </w:numPr>
        <w:ind w:left="709" w:hanging="283"/>
        <w:jc w:val="both"/>
        <w:rPr>
          <w:rFonts w:ascii="Segoe UI Light" w:eastAsia="Arial Unicode MS" w:hAnsi="Segoe UI Light" w:cs="Segoe UI Light"/>
        </w:rPr>
      </w:pPr>
      <w:r w:rsidRPr="002F51C9">
        <w:rPr>
          <w:rFonts w:ascii="Segoe UI Light" w:eastAsia="Arial Unicode MS" w:hAnsi="Segoe UI Light" w:cs="Segoe UI Light"/>
        </w:rPr>
        <w:t>ENTSO-E</w:t>
      </w:r>
    </w:p>
    <w:p w14:paraId="57B9DCF8" w14:textId="77777777" w:rsidR="002F51C9" w:rsidRPr="002F51C9" w:rsidRDefault="002F51C9" w:rsidP="002F51C9">
      <w:pPr>
        <w:pStyle w:val="BodyA"/>
        <w:jc w:val="both"/>
        <w:rPr>
          <w:rFonts w:ascii="Segoe UI Light" w:hAnsi="Segoe UI Light" w:cs="Segoe UI Light"/>
        </w:rPr>
      </w:pPr>
      <w:r w:rsidRPr="002F51C9">
        <w:rPr>
          <w:rFonts w:ascii="Segoe UI Light" w:eastAsia="Arial Unicode MS" w:hAnsi="Segoe UI Light" w:cs="Segoe UI Light"/>
        </w:rPr>
        <w:t>În plus, o sursă bună de date s-a dovedit sistemul de reglementare ș</w:t>
      </w:r>
      <w:r w:rsidRPr="002F51C9">
        <w:rPr>
          <w:rFonts w:ascii="Segoe UI Light" w:eastAsia="Arial Unicode MS" w:hAnsi="Segoe UI Light" w:cs="Segoe UI Light"/>
          <w:lang w:val="it-IT"/>
        </w:rPr>
        <w:t>i finan</w:t>
      </w:r>
      <w:r w:rsidRPr="002F51C9">
        <w:rPr>
          <w:rFonts w:ascii="Segoe UI Light" w:eastAsia="Arial Unicode MS" w:hAnsi="Segoe UI Light" w:cs="Segoe UI Light"/>
        </w:rPr>
        <w:t>țare proiecte în cadrul uniunii Europene cu proiecte cum ar fi: INNOGATE, MEDREG, MDPI iar pentru elemente de standardizare IEEE.</w:t>
      </w:r>
    </w:p>
    <w:p w14:paraId="731505CC" w14:textId="72C0450D" w:rsidR="002F51C9" w:rsidRDefault="002F51C9" w:rsidP="002F51C9">
      <w:pPr>
        <w:pStyle w:val="BodyA"/>
        <w:jc w:val="both"/>
        <w:rPr>
          <w:rFonts w:ascii="Segoe UI Light" w:eastAsia="Arial Unicode MS" w:hAnsi="Segoe UI Light" w:cs="Segoe UI Light"/>
        </w:rPr>
      </w:pPr>
      <w:r w:rsidRPr="002F51C9">
        <w:rPr>
          <w:rFonts w:ascii="Segoe UI Light" w:eastAsia="Arial Unicode MS" w:hAnsi="Segoe UI Light" w:cs="Segoe UI Light"/>
        </w:rPr>
        <w:t>Problema algoritmului fiind una complexă care include pe lângă aspectele operaț</w:t>
      </w:r>
      <w:r w:rsidRPr="002F51C9">
        <w:rPr>
          <w:rFonts w:ascii="Segoe UI Light" w:eastAsia="Arial Unicode MS" w:hAnsi="Segoe UI Light" w:cs="Segoe UI Light"/>
          <w:lang w:val="it-IT"/>
        </w:rPr>
        <w:t xml:space="preserve">ionale </w:t>
      </w:r>
      <w:r w:rsidRPr="002F51C9">
        <w:rPr>
          <w:rFonts w:ascii="Segoe UI Light" w:eastAsia="Arial Unicode MS" w:hAnsi="Segoe UI Light" w:cs="Segoe UI Light"/>
        </w:rPr>
        <w:t xml:space="preserve">și aspecte economice trebuie semnalat încă </w:t>
      </w:r>
      <w:r w:rsidRPr="002F51C9">
        <w:rPr>
          <w:rFonts w:ascii="Segoe UI Light" w:eastAsia="Arial Unicode MS" w:hAnsi="Segoe UI Light" w:cs="Segoe UI Light"/>
          <w:lang w:val="fr-FR"/>
        </w:rPr>
        <w:t xml:space="preserve">de la </w:t>
      </w:r>
      <w:r w:rsidR="000B619D">
        <w:rPr>
          <w:rFonts w:ascii="Segoe UI Light" w:eastAsia="Arial Unicode MS" w:hAnsi="Segoe UI Light" w:cs="Segoe UI Light"/>
        </w:rPr>
        <w:t xml:space="preserve">început că </w:t>
      </w:r>
      <w:r w:rsidR="000B619D">
        <w:rPr>
          <w:rFonts w:ascii="Segoe UI Light" w:eastAsia="Arial Unicode MS" w:hAnsi="Segoe UI Light" w:cs="Segoe UI Light"/>
          <w:lang w:val="en-US"/>
        </w:rPr>
        <w:t>“</w:t>
      </w:r>
      <w:r w:rsidR="000B619D">
        <w:rPr>
          <w:rFonts w:ascii="Segoe UI Light" w:eastAsia="Arial Unicode MS" w:hAnsi="Segoe UI Light" w:cs="Segoe UI Light"/>
        </w:rPr>
        <w:t>pierderile”</w:t>
      </w:r>
      <w:r w:rsidRPr="002F51C9">
        <w:rPr>
          <w:rFonts w:ascii="Segoe UI Light" w:eastAsia="Arial Unicode MS" w:hAnsi="Segoe UI Light" w:cs="Segoe UI Light"/>
        </w:rPr>
        <w:t xml:space="preserve"> de energie sunt î</w:t>
      </w:r>
      <w:r w:rsidRPr="002F51C9">
        <w:rPr>
          <w:rFonts w:ascii="Segoe UI Light" w:eastAsia="Arial Unicode MS" w:hAnsi="Segoe UI Light" w:cs="Segoe UI Light"/>
          <w:lang w:val="es-ES_tradnl"/>
        </w:rPr>
        <w:t>n esen</w:t>
      </w:r>
      <w:r w:rsidRPr="002F51C9">
        <w:rPr>
          <w:rFonts w:ascii="Segoe UI Light" w:eastAsia="Arial Unicode MS" w:hAnsi="Segoe UI Light" w:cs="Segoe UI Light"/>
        </w:rPr>
        <w:t xml:space="preserve">ță </w:t>
      </w:r>
      <w:r w:rsidRPr="002F51C9">
        <w:rPr>
          <w:rFonts w:ascii="Segoe UI Light" w:eastAsia="Arial Unicode MS" w:hAnsi="Segoe UI Light" w:cs="Segoe UI Light"/>
          <w:lang w:val="pt-PT"/>
        </w:rPr>
        <w:t>suma diferen</w:t>
      </w:r>
      <w:r w:rsidRPr="002F51C9">
        <w:rPr>
          <w:rFonts w:ascii="Segoe UI Light" w:eastAsia="Arial Unicode MS" w:hAnsi="Segoe UI Light" w:cs="Segoe UI Light"/>
        </w:rPr>
        <w:t xml:space="preserve">țelor de </w:t>
      </w:r>
      <w:r w:rsidRPr="002F51C9">
        <w:rPr>
          <w:rFonts w:ascii="Segoe UI Light" w:eastAsia="Arial Unicode MS" w:hAnsi="Segoe UI Light" w:cs="Segoe UI Light"/>
          <w:rtl/>
        </w:rPr>
        <w:t>‘</w:t>
      </w:r>
      <w:r w:rsidRPr="002F51C9">
        <w:rPr>
          <w:rFonts w:ascii="Segoe UI Light" w:eastAsia="Arial Unicode MS" w:hAnsi="Segoe UI Light" w:cs="Segoe UI Light"/>
        </w:rPr>
        <w:t>Putere</w:t>
      </w:r>
      <w:r w:rsidRPr="002F51C9">
        <w:rPr>
          <w:rFonts w:ascii="Segoe UI Light" w:eastAsia="Arial Unicode MS" w:hAnsi="Segoe UI Light" w:cs="Segoe UI Light"/>
          <w:rtl/>
        </w:rPr>
        <w:t xml:space="preserve">’ </w:t>
      </w:r>
      <w:r w:rsidRPr="002F51C9">
        <w:rPr>
          <w:rFonts w:ascii="Segoe UI Light" w:eastAsia="Arial Unicode MS" w:hAnsi="Segoe UI Light" w:cs="Segoe UI Light"/>
        </w:rPr>
        <w:t>asociate intervalelor de timp.</w:t>
      </w:r>
    </w:p>
    <w:p w14:paraId="3A590D35" w14:textId="77777777" w:rsidR="002F51C9" w:rsidRDefault="002F51C9" w:rsidP="002F51C9">
      <w:pPr>
        <w:pStyle w:val="BodyA"/>
        <w:jc w:val="both"/>
        <w:rPr>
          <w:rFonts w:ascii="Segoe UI Light" w:eastAsia="Arial Unicode MS" w:hAnsi="Segoe UI Light" w:cs="Segoe UI Light"/>
        </w:rPr>
      </w:pPr>
    </w:p>
    <w:p w14:paraId="057A05A2" w14:textId="77777777" w:rsidR="002F51C9" w:rsidRPr="002F51C9" w:rsidRDefault="002F51C9" w:rsidP="002F51C9">
      <w:pPr>
        <w:pStyle w:val="H1b"/>
      </w:pPr>
      <w:bookmarkStart w:id="5" w:name="_Toc103580125"/>
      <w:bookmarkStart w:id="6" w:name="_Toc109164799"/>
      <w:r w:rsidRPr="002F51C9">
        <w:t>Itera</w:t>
      </w:r>
      <w:r>
        <w:t>țiile procesului de documentare</w:t>
      </w:r>
      <w:bookmarkEnd w:id="5"/>
      <w:bookmarkEnd w:id="6"/>
      <w:r>
        <w:t xml:space="preserve"> </w:t>
      </w:r>
    </w:p>
    <w:p w14:paraId="3536C08A" w14:textId="77777777" w:rsidR="002F51C9" w:rsidRDefault="002F51C9" w:rsidP="002F51C9">
      <w:pPr>
        <w:pStyle w:val="Listparagraf"/>
        <w:ind w:left="0"/>
      </w:pPr>
    </w:p>
    <w:p w14:paraId="7D1374DF" w14:textId="611F0F44" w:rsidR="002F51C9" w:rsidRDefault="002F51C9" w:rsidP="002F51C9">
      <w:pPr>
        <w:pStyle w:val="BodyA"/>
        <w:jc w:val="both"/>
        <w:rPr>
          <w:rFonts w:ascii="Segoe UI Light" w:eastAsia="Arial Unicode MS" w:hAnsi="Segoe UI Light" w:cs="Segoe UI Light"/>
        </w:rPr>
      </w:pPr>
      <w:r w:rsidRPr="002F51C9">
        <w:rPr>
          <w:rFonts w:ascii="Segoe UI Light" w:eastAsia="Arial Unicode MS" w:hAnsi="Segoe UI Light" w:cs="Segoe UI Light"/>
        </w:rPr>
        <w:t xml:space="preserve">Procesul de documentare </w:t>
      </w:r>
      <w:r>
        <w:rPr>
          <w:rFonts w:ascii="Segoe UI Light" w:eastAsia="Arial Unicode MS" w:hAnsi="Segoe UI Light" w:cs="Segoe UI Light"/>
        </w:rPr>
        <w:t>are trei etape, prezentate în cele ce urmează, astfel:</w:t>
      </w:r>
    </w:p>
    <w:p w14:paraId="78E103A1" w14:textId="6541C3E7" w:rsidR="002F51C9" w:rsidRDefault="002F51C9" w:rsidP="002F51C9">
      <w:pPr>
        <w:pStyle w:val="BodyA"/>
        <w:numPr>
          <w:ilvl w:val="0"/>
          <w:numId w:val="35"/>
        </w:numPr>
        <w:jc w:val="both"/>
        <w:rPr>
          <w:rFonts w:ascii="Segoe UI Light" w:eastAsia="Arial Unicode MS" w:hAnsi="Segoe UI Light" w:cs="Segoe UI Light"/>
        </w:rPr>
      </w:pPr>
      <w:r>
        <w:rPr>
          <w:rFonts w:ascii="Segoe UI Light" w:eastAsia="Arial Unicode MS" w:hAnsi="Segoe UI Light" w:cs="Segoe UI Light"/>
        </w:rPr>
        <w:t>î</w:t>
      </w:r>
      <w:r w:rsidRPr="002F51C9">
        <w:rPr>
          <w:rFonts w:ascii="Segoe UI Light" w:eastAsia="Arial Unicode MS" w:hAnsi="Segoe UI Light" w:cs="Segoe UI Light"/>
        </w:rPr>
        <w:t>n prima etapă sunt identificate principalele surse de informare și clasificate pe domenii de competenț</w:t>
      </w:r>
      <w:r>
        <w:rPr>
          <w:rFonts w:ascii="Segoe UI Light" w:eastAsia="Arial Unicode MS" w:hAnsi="Segoe UI Light" w:cs="Segoe UI Light"/>
        </w:rPr>
        <w:t>ă în raport cu studiul derulat</w:t>
      </w:r>
      <w:r>
        <w:rPr>
          <w:rFonts w:ascii="Segoe UI Light" w:eastAsia="Arial Unicode MS" w:hAnsi="Segoe UI Light" w:cs="Segoe UI Light"/>
          <w:lang w:val="en-US"/>
        </w:rPr>
        <w:t>;</w:t>
      </w:r>
    </w:p>
    <w:p w14:paraId="3BB9FBEA" w14:textId="1A9AC1A4" w:rsidR="002F51C9" w:rsidRDefault="002F51C9" w:rsidP="002F51C9">
      <w:pPr>
        <w:pStyle w:val="BodyA"/>
        <w:numPr>
          <w:ilvl w:val="0"/>
          <w:numId w:val="35"/>
        </w:numPr>
        <w:jc w:val="both"/>
        <w:rPr>
          <w:rFonts w:ascii="Segoe UI Light" w:eastAsia="Arial Unicode MS" w:hAnsi="Segoe UI Light" w:cs="Segoe UI Light"/>
        </w:rPr>
      </w:pPr>
      <w:r>
        <w:rPr>
          <w:rFonts w:ascii="Segoe UI Light" w:eastAsia="Arial Unicode MS" w:hAnsi="Segoe UI Light" w:cs="Segoe UI Light"/>
        </w:rPr>
        <w:t>î</w:t>
      </w:r>
      <w:r w:rsidRPr="002F51C9">
        <w:rPr>
          <w:rFonts w:ascii="Segoe UI Light" w:eastAsia="Arial Unicode MS" w:hAnsi="Segoe UI Light" w:cs="Segoe UI Light"/>
        </w:rPr>
        <w:t>n etapa a doua, fiecare sursă identificată este investigată pe scurt și sunt extrase elementele utile pe</w:t>
      </w:r>
      <w:r>
        <w:rPr>
          <w:rFonts w:ascii="Segoe UI Light" w:eastAsia="Arial Unicode MS" w:hAnsi="Segoe UI Light" w:cs="Segoe UI Light"/>
        </w:rPr>
        <w:t>ntru scopul lucrării;</w:t>
      </w:r>
    </w:p>
    <w:p w14:paraId="4154CDEE" w14:textId="75554CBA" w:rsidR="002F51C9" w:rsidRDefault="002F51C9" w:rsidP="002F51C9">
      <w:pPr>
        <w:pStyle w:val="BodyA"/>
        <w:numPr>
          <w:ilvl w:val="0"/>
          <w:numId w:val="35"/>
        </w:numPr>
        <w:jc w:val="both"/>
        <w:rPr>
          <w:rFonts w:ascii="Segoe UI Light" w:eastAsia="Arial Unicode MS" w:hAnsi="Segoe UI Light" w:cs="Segoe UI Light"/>
        </w:rPr>
      </w:pPr>
      <w:r>
        <w:rPr>
          <w:rFonts w:ascii="Segoe UI Light" w:eastAsia="Arial Unicode MS" w:hAnsi="Segoe UI Light" w:cs="Segoe UI Light"/>
        </w:rPr>
        <w:lastRenderedPageBreak/>
        <w:t>î</w:t>
      </w:r>
      <w:r w:rsidRPr="002F51C9">
        <w:rPr>
          <w:rFonts w:ascii="Segoe UI Light" w:eastAsia="Arial Unicode MS" w:hAnsi="Segoe UI Light" w:cs="Segoe UI Light"/>
        </w:rPr>
        <w:t xml:space="preserve">n etapa finală sunt enunțate principiile identificate drept relevante pentru tema analizată și se stabilește gradul de adaptare la contextul românesc. </w:t>
      </w:r>
    </w:p>
    <w:p w14:paraId="0F9D6821" w14:textId="3250E8C9" w:rsidR="002F51C9" w:rsidRPr="002F51C9" w:rsidRDefault="002F51C9" w:rsidP="002F51C9">
      <w:pPr>
        <w:pStyle w:val="Listparagraf"/>
        <w:ind w:left="0"/>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pPr>
      <w:r w:rsidRPr="002F51C9">
        <w:rPr>
          <w:rFonts w:eastAsia="Arial Unicode MS" w:cs="Segoe UI Light"/>
        </w:rPr>
        <w:t>Tabelul de mai jos sintetizează principalele activități</w:t>
      </w:r>
      <w:r>
        <w:rPr>
          <w:rFonts w:eastAsia="Arial Unicode MS" w:cs="Segoe UI Light"/>
        </w:rPr>
        <w:t xml:space="preserve"> </w:t>
      </w:r>
      <w:r w:rsidRPr="002F51C9">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t>derulate pe parcursul celor trei etape.</w:t>
      </w:r>
    </w:p>
    <w:tbl>
      <w:tblPr>
        <w:tblStyle w:val="Tabelgril1Luminos-Accentuare5"/>
        <w:tblW w:w="8784" w:type="dxa"/>
        <w:tblLayout w:type="fixed"/>
        <w:tblLook w:val="04A0" w:firstRow="1" w:lastRow="0" w:firstColumn="1" w:lastColumn="0" w:noHBand="0" w:noVBand="1"/>
      </w:tblPr>
      <w:tblGrid>
        <w:gridCol w:w="620"/>
        <w:gridCol w:w="2925"/>
        <w:gridCol w:w="1628"/>
        <w:gridCol w:w="1537"/>
        <w:gridCol w:w="2074"/>
      </w:tblGrid>
      <w:tr w:rsidR="002E76EB" w14:paraId="4B11613A" w14:textId="77777777" w:rsidTr="002E76EB">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8784" w:type="dxa"/>
            <w:gridSpan w:val="5"/>
          </w:tcPr>
          <w:p w14:paraId="61C7DA5F" w14:textId="77777777" w:rsidR="002E76EB" w:rsidRPr="006A3925" w:rsidRDefault="002E76EB" w:rsidP="002E76EB">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0"/>
                <w:szCs w:val="20"/>
              </w:rPr>
            </w:pPr>
            <w:r w:rsidRPr="006A3925">
              <w:rPr>
                <w:rFonts w:eastAsia="Times New Roman"/>
                <w:color w:val="000000"/>
                <w:sz w:val="20"/>
                <w:szCs w:val="20"/>
                <w14:textOutline w14:w="0" w14:cap="flat" w14:cmpd="sng" w14:algn="ctr">
                  <w14:noFill/>
                  <w14:prstDash w14:val="solid"/>
                  <w14:bevel/>
                </w14:textOutline>
              </w:rPr>
              <w:t>Etapele și activitățile specifice procesului de documentare</w:t>
            </w:r>
          </w:p>
        </w:tc>
      </w:tr>
      <w:tr w:rsidR="002E76EB" w14:paraId="7C43BC84" w14:textId="77777777" w:rsidTr="002E76EB">
        <w:trPr>
          <w:trHeight w:val="544"/>
        </w:trPr>
        <w:tc>
          <w:tcPr>
            <w:cnfStyle w:val="001000000000" w:firstRow="0" w:lastRow="0" w:firstColumn="1" w:lastColumn="0" w:oddVBand="0" w:evenVBand="0" w:oddHBand="0" w:evenHBand="0" w:firstRowFirstColumn="0" w:firstRowLastColumn="0" w:lastRowFirstColumn="0" w:lastRowLastColumn="0"/>
            <w:tcW w:w="620" w:type="dxa"/>
            <w:shd w:val="clear" w:color="auto" w:fill="92CDDC" w:themeFill="accent5" w:themeFillTint="99"/>
          </w:tcPr>
          <w:p w14:paraId="74CBCB6E" w14:textId="77777777" w:rsidR="002E76EB" w:rsidRPr="006A3925" w:rsidRDefault="002E76EB" w:rsidP="002E76EB">
            <w:pPr>
              <w:pStyle w:val="TableStyle1"/>
              <w:jc w:val="center"/>
              <w:rPr>
                <w:rFonts w:ascii="Segoe UI Light" w:hAnsi="Segoe UI Light" w:cs="Segoe UI Light"/>
              </w:rPr>
            </w:pPr>
            <w:r w:rsidRPr="006A3925">
              <w:rPr>
                <w:rFonts w:ascii="Segoe UI Light" w:hAnsi="Segoe UI Light" w:cs="Segoe UI Light"/>
                <w:b/>
                <w:bCs/>
              </w:rPr>
              <w:t>Nr crt</w:t>
            </w:r>
          </w:p>
        </w:tc>
        <w:tc>
          <w:tcPr>
            <w:tcW w:w="2925" w:type="dxa"/>
            <w:shd w:val="clear" w:color="auto" w:fill="92CDDC" w:themeFill="accent5" w:themeFillTint="99"/>
          </w:tcPr>
          <w:p w14:paraId="4948213D" w14:textId="77777777" w:rsidR="002E76EB" w:rsidRPr="006A3925" w:rsidRDefault="002E76EB" w:rsidP="002E76EB">
            <w:pPr>
              <w:pStyle w:val="TableStyle1"/>
              <w:tabs>
                <w:tab w:val="left" w:pos="720"/>
                <w:tab w:val="left" w:pos="1440"/>
                <w:tab w:val="left" w:pos="2160"/>
                <w:tab w:val="left" w:pos="2880"/>
              </w:tabs>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6A3925">
              <w:rPr>
                <w:rFonts w:ascii="Segoe UI Light" w:hAnsi="Segoe UI Light" w:cs="Segoe UI Light"/>
                <w:bCs w:val="0"/>
              </w:rPr>
              <w:t>Etapă a procesului de documentare</w:t>
            </w:r>
          </w:p>
        </w:tc>
        <w:tc>
          <w:tcPr>
            <w:tcW w:w="1628" w:type="dxa"/>
            <w:shd w:val="clear" w:color="auto" w:fill="92CDDC" w:themeFill="accent5" w:themeFillTint="99"/>
          </w:tcPr>
          <w:p w14:paraId="6F2FF8C0" w14:textId="77777777" w:rsidR="002E76EB" w:rsidRPr="006A3925" w:rsidRDefault="002E76EB" w:rsidP="002E76EB">
            <w:pPr>
              <w:pStyle w:val="TableStyle1"/>
              <w:tabs>
                <w:tab w:val="left" w:pos="720"/>
                <w:tab w:val="left" w:pos="1440"/>
              </w:tabs>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6A3925">
              <w:rPr>
                <w:rFonts w:ascii="Segoe UI Light" w:hAnsi="Segoe UI Light" w:cs="Segoe UI Light"/>
                <w:bCs w:val="0"/>
              </w:rPr>
              <w:t xml:space="preserve">Iterația 1 (săptămâna </w:t>
            </w:r>
            <w:r>
              <w:rPr>
                <w:rFonts w:ascii="Segoe UI Light" w:hAnsi="Segoe UI Light" w:cs="Segoe UI Light"/>
                <w:bCs w:val="0"/>
              </w:rPr>
              <w:t xml:space="preserve">3 </w:t>
            </w:r>
            <w:r w:rsidRPr="006A3925">
              <w:rPr>
                <w:rFonts w:ascii="Segoe UI Light" w:hAnsi="Segoe UI Light" w:cs="Segoe UI Light"/>
                <w:bCs w:val="0"/>
              </w:rPr>
              <w:t>de contract)</w:t>
            </w:r>
          </w:p>
        </w:tc>
        <w:tc>
          <w:tcPr>
            <w:tcW w:w="1537" w:type="dxa"/>
            <w:shd w:val="clear" w:color="auto" w:fill="92CDDC" w:themeFill="accent5" w:themeFillTint="99"/>
          </w:tcPr>
          <w:p w14:paraId="1E66C48E" w14:textId="77777777" w:rsidR="002E76EB" w:rsidRPr="006A3925" w:rsidRDefault="002E76EB" w:rsidP="002E76EB">
            <w:pPr>
              <w:pStyle w:val="TableStyle1"/>
              <w:tabs>
                <w:tab w:val="left" w:pos="720"/>
                <w:tab w:val="left" w:pos="1440"/>
              </w:tabs>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6A3925">
              <w:rPr>
                <w:rFonts w:ascii="Segoe UI Light" w:hAnsi="Segoe UI Light" w:cs="Segoe UI Light"/>
                <w:bCs w:val="0"/>
              </w:rPr>
              <w:t xml:space="preserve">Iterația 2 (săptămâna </w:t>
            </w:r>
            <w:r>
              <w:rPr>
                <w:rFonts w:ascii="Segoe UI Light" w:hAnsi="Segoe UI Light" w:cs="Segoe UI Light"/>
                <w:bCs w:val="0"/>
              </w:rPr>
              <w:t>6</w:t>
            </w:r>
            <w:r w:rsidRPr="006A3925">
              <w:rPr>
                <w:rFonts w:ascii="Segoe UI Light" w:hAnsi="Segoe UI Light" w:cs="Segoe UI Light"/>
                <w:bCs w:val="0"/>
              </w:rPr>
              <w:t xml:space="preserve"> de contract)</w:t>
            </w:r>
          </w:p>
        </w:tc>
        <w:tc>
          <w:tcPr>
            <w:tcW w:w="2074" w:type="dxa"/>
            <w:shd w:val="clear" w:color="auto" w:fill="92CDDC" w:themeFill="accent5" w:themeFillTint="99"/>
          </w:tcPr>
          <w:p w14:paraId="678F3727" w14:textId="77777777" w:rsidR="002E76EB" w:rsidRPr="006A3925" w:rsidRDefault="002E76EB" w:rsidP="002E76EB">
            <w:pPr>
              <w:pStyle w:val="TableStyle1"/>
              <w:tabs>
                <w:tab w:val="left" w:pos="720"/>
              </w:tabs>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6A3925">
              <w:rPr>
                <w:rFonts w:ascii="Segoe UI Light" w:hAnsi="Segoe UI Light" w:cs="Segoe UI Light"/>
                <w:bCs w:val="0"/>
              </w:rPr>
              <w:t>Iterația 3 - săptămâna 11 de contract)</w:t>
            </w:r>
          </w:p>
        </w:tc>
      </w:tr>
      <w:tr w:rsidR="002E76EB" w14:paraId="5175A4A7" w14:textId="77777777" w:rsidTr="002E76EB">
        <w:trPr>
          <w:trHeight w:val="544"/>
        </w:trPr>
        <w:tc>
          <w:tcPr>
            <w:cnfStyle w:val="001000000000" w:firstRow="0" w:lastRow="0" w:firstColumn="1" w:lastColumn="0" w:oddVBand="0" w:evenVBand="0" w:oddHBand="0" w:evenHBand="0" w:firstRowFirstColumn="0" w:firstRowLastColumn="0" w:lastRowFirstColumn="0" w:lastRowLastColumn="0"/>
            <w:tcW w:w="620" w:type="dxa"/>
          </w:tcPr>
          <w:p w14:paraId="4DA3FCA1"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1</w:t>
            </w:r>
          </w:p>
        </w:tc>
        <w:tc>
          <w:tcPr>
            <w:tcW w:w="2925" w:type="dxa"/>
          </w:tcPr>
          <w:p w14:paraId="271F7CE3"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Extragere temă de documentare din materialele contractuale (caiet de sarcini, ofertă, contract, corespondență și clarificări)</w:t>
            </w:r>
          </w:p>
        </w:tc>
        <w:tc>
          <w:tcPr>
            <w:tcW w:w="1628" w:type="dxa"/>
          </w:tcPr>
          <w:p w14:paraId="7E06E67B"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80%</w:t>
            </w:r>
          </w:p>
        </w:tc>
        <w:tc>
          <w:tcPr>
            <w:tcW w:w="1537" w:type="dxa"/>
          </w:tcPr>
          <w:p w14:paraId="69C4EA9A"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c>
          <w:tcPr>
            <w:tcW w:w="2074" w:type="dxa"/>
          </w:tcPr>
          <w:p w14:paraId="426901C4"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r>
      <w:tr w:rsidR="002E76EB" w14:paraId="22C2BD2F" w14:textId="77777777" w:rsidTr="002E76EB">
        <w:trPr>
          <w:trHeight w:val="276"/>
        </w:trPr>
        <w:tc>
          <w:tcPr>
            <w:cnfStyle w:val="001000000000" w:firstRow="0" w:lastRow="0" w:firstColumn="1" w:lastColumn="0" w:oddVBand="0" w:evenVBand="0" w:oddHBand="0" w:evenHBand="0" w:firstRowFirstColumn="0" w:firstRowLastColumn="0" w:lastRowFirstColumn="0" w:lastRowLastColumn="0"/>
            <w:tcW w:w="620" w:type="dxa"/>
          </w:tcPr>
          <w:p w14:paraId="293A7C73"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2</w:t>
            </w:r>
          </w:p>
        </w:tc>
        <w:tc>
          <w:tcPr>
            <w:tcW w:w="2925" w:type="dxa"/>
          </w:tcPr>
          <w:p w14:paraId="43C52331"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Stabilire scop documentare</w:t>
            </w:r>
          </w:p>
        </w:tc>
        <w:tc>
          <w:tcPr>
            <w:tcW w:w="1628" w:type="dxa"/>
          </w:tcPr>
          <w:p w14:paraId="7CE3D95A"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75%</w:t>
            </w:r>
          </w:p>
        </w:tc>
        <w:tc>
          <w:tcPr>
            <w:tcW w:w="1537" w:type="dxa"/>
          </w:tcPr>
          <w:p w14:paraId="4C1647A2"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15%</w:t>
            </w:r>
          </w:p>
        </w:tc>
        <w:tc>
          <w:tcPr>
            <w:tcW w:w="2074" w:type="dxa"/>
          </w:tcPr>
          <w:p w14:paraId="0DC6E819"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r>
      <w:tr w:rsidR="002E76EB" w14:paraId="6AD31F81" w14:textId="77777777" w:rsidTr="002E76EB">
        <w:trPr>
          <w:trHeight w:val="276"/>
        </w:trPr>
        <w:tc>
          <w:tcPr>
            <w:cnfStyle w:val="001000000000" w:firstRow="0" w:lastRow="0" w:firstColumn="1" w:lastColumn="0" w:oddVBand="0" w:evenVBand="0" w:oddHBand="0" w:evenHBand="0" w:firstRowFirstColumn="0" w:firstRowLastColumn="0" w:lastRowFirstColumn="0" w:lastRowLastColumn="0"/>
            <w:tcW w:w="620" w:type="dxa"/>
          </w:tcPr>
          <w:p w14:paraId="23E06D19"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3</w:t>
            </w:r>
          </w:p>
        </w:tc>
        <w:tc>
          <w:tcPr>
            <w:tcW w:w="2925" w:type="dxa"/>
          </w:tcPr>
          <w:p w14:paraId="73C61452"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Definire obiective documentare</w:t>
            </w:r>
          </w:p>
        </w:tc>
        <w:tc>
          <w:tcPr>
            <w:tcW w:w="1628" w:type="dxa"/>
          </w:tcPr>
          <w:p w14:paraId="11068F7E"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70%</w:t>
            </w:r>
          </w:p>
        </w:tc>
        <w:tc>
          <w:tcPr>
            <w:tcW w:w="1537" w:type="dxa"/>
          </w:tcPr>
          <w:p w14:paraId="43BB986F"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20%</w:t>
            </w:r>
          </w:p>
        </w:tc>
        <w:tc>
          <w:tcPr>
            <w:tcW w:w="2074" w:type="dxa"/>
          </w:tcPr>
          <w:p w14:paraId="0ED3B4FE"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r>
      <w:tr w:rsidR="002E76EB" w14:paraId="6E935901" w14:textId="77777777" w:rsidTr="002E76EB">
        <w:trPr>
          <w:trHeight w:val="276"/>
        </w:trPr>
        <w:tc>
          <w:tcPr>
            <w:cnfStyle w:val="001000000000" w:firstRow="0" w:lastRow="0" w:firstColumn="1" w:lastColumn="0" w:oddVBand="0" w:evenVBand="0" w:oddHBand="0" w:evenHBand="0" w:firstRowFirstColumn="0" w:firstRowLastColumn="0" w:lastRowFirstColumn="0" w:lastRowLastColumn="0"/>
            <w:tcW w:w="620" w:type="dxa"/>
          </w:tcPr>
          <w:p w14:paraId="406C90A6"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4</w:t>
            </w:r>
          </w:p>
        </w:tc>
        <w:tc>
          <w:tcPr>
            <w:tcW w:w="2925" w:type="dxa"/>
          </w:tcPr>
          <w:p w14:paraId="1FF602A7"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Idenficare părți interesate</w:t>
            </w:r>
          </w:p>
        </w:tc>
        <w:tc>
          <w:tcPr>
            <w:tcW w:w="1628" w:type="dxa"/>
          </w:tcPr>
          <w:p w14:paraId="3BD08C0C"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90%</w:t>
            </w:r>
          </w:p>
        </w:tc>
        <w:tc>
          <w:tcPr>
            <w:tcW w:w="1537" w:type="dxa"/>
          </w:tcPr>
          <w:p w14:paraId="4A9977DC"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5%</w:t>
            </w:r>
          </w:p>
        </w:tc>
        <w:tc>
          <w:tcPr>
            <w:tcW w:w="2074" w:type="dxa"/>
          </w:tcPr>
          <w:p w14:paraId="7C98020B"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5%</w:t>
            </w:r>
          </w:p>
        </w:tc>
      </w:tr>
      <w:tr w:rsidR="002E76EB" w14:paraId="7C1EFFAC" w14:textId="77777777" w:rsidTr="002E76EB">
        <w:trPr>
          <w:trHeight w:val="540"/>
        </w:trPr>
        <w:tc>
          <w:tcPr>
            <w:cnfStyle w:val="001000000000" w:firstRow="0" w:lastRow="0" w:firstColumn="1" w:lastColumn="0" w:oddVBand="0" w:evenVBand="0" w:oddHBand="0" w:evenHBand="0" w:firstRowFirstColumn="0" w:firstRowLastColumn="0" w:lastRowFirstColumn="0" w:lastRowLastColumn="0"/>
            <w:tcW w:w="620" w:type="dxa"/>
          </w:tcPr>
          <w:p w14:paraId="25CA62B1"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5</w:t>
            </w:r>
          </w:p>
        </w:tc>
        <w:tc>
          <w:tcPr>
            <w:tcW w:w="2925" w:type="dxa"/>
          </w:tcPr>
          <w:p w14:paraId="6038E65B"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Precizare categorii de surse de documentare și stabilire modalitate de acces documentație</w:t>
            </w:r>
          </w:p>
        </w:tc>
        <w:tc>
          <w:tcPr>
            <w:tcW w:w="1628" w:type="dxa"/>
          </w:tcPr>
          <w:p w14:paraId="01EA2AE5"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80%</w:t>
            </w:r>
          </w:p>
        </w:tc>
        <w:tc>
          <w:tcPr>
            <w:tcW w:w="1537" w:type="dxa"/>
          </w:tcPr>
          <w:p w14:paraId="0F7C5402"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c>
          <w:tcPr>
            <w:tcW w:w="2074" w:type="dxa"/>
          </w:tcPr>
          <w:p w14:paraId="2FAF88C7"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r>
      <w:tr w:rsidR="002E76EB" w14:paraId="5E618CC4" w14:textId="77777777" w:rsidTr="002E76EB">
        <w:trPr>
          <w:trHeight w:val="540"/>
        </w:trPr>
        <w:tc>
          <w:tcPr>
            <w:cnfStyle w:val="001000000000" w:firstRow="0" w:lastRow="0" w:firstColumn="1" w:lastColumn="0" w:oddVBand="0" w:evenVBand="0" w:oddHBand="0" w:evenHBand="0" w:firstRowFirstColumn="0" w:firstRowLastColumn="0" w:lastRowFirstColumn="0" w:lastRowLastColumn="0"/>
            <w:tcW w:w="620" w:type="dxa"/>
          </w:tcPr>
          <w:p w14:paraId="4C437154"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6</w:t>
            </w:r>
          </w:p>
        </w:tc>
        <w:tc>
          <w:tcPr>
            <w:tcW w:w="2925" w:type="dxa"/>
          </w:tcPr>
          <w:p w14:paraId="525F897E"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Parcurgerea principalelor elemente ale materialului documentar legate de tema de documentare</w:t>
            </w:r>
          </w:p>
        </w:tc>
        <w:tc>
          <w:tcPr>
            <w:tcW w:w="1628" w:type="dxa"/>
          </w:tcPr>
          <w:p w14:paraId="362A88C8"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c>
          <w:tcPr>
            <w:tcW w:w="1537" w:type="dxa"/>
          </w:tcPr>
          <w:p w14:paraId="18CE2A9D"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40%</w:t>
            </w:r>
          </w:p>
        </w:tc>
        <w:tc>
          <w:tcPr>
            <w:tcW w:w="2074" w:type="dxa"/>
          </w:tcPr>
          <w:p w14:paraId="3845873A"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50%</w:t>
            </w:r>
          </w:p>
        </w:tc>
      </w:tr>
      <w:tr w:rsidR="002E76EB" w14:paraId="13516929" w14:textId="77777777" w:rsidTr="002E76EB">
        <w:trPr>
          <w:trHeight w:val="360"/>
        </w:trPr>
        <w:tc>
          <w:tcPr>
            <w:cnfStyle w:val="001000000000" w:firstRow="0" w:lastRow="0" w:firstColumn="1" w:lastColumn="0" w:oddVBand="0" w:evenVBand="0" w:oddHBand="0" w:evenHBand="0" w:firstRowFirstColumn="0" w:firstRowLastColumn="0" w:lastRowFirstColumn="0" w:lastRowLastColumn="0"/>
            <w:tcW w:w="620" w:type="dxa"/>
          </w:tcPr>
          <w:p w14:paraId="5F622D18" w14:textId="77777777" w:rsidR="002E76EB" w:rsidRPr="006A3925" w:rsidRDefault="002E76EB" w:rsidP="002E76EB">
            <w:pPr>
              <w:jc w:val="center"/>
              <w:rPr>
                <w:rFonts w:cs="Segoe UI Light"/>
                <w:b w:val="0"/>
                <w:sz w:val="20"/>
                <w:szCs w:val="20"/>
              </w:rPr>
            </w:pPr>
            <w:r w:rsidRPr="006A3925">
              <w:rPr>
                <w:rFonts w:cs="Segoe UI Light"/>
                <w:b w:val="0"/>
                <w:color w:val="000000"/>
                <w:sz w:val="20"/>
                <w:szCs w:val="20"/>
                <w14:textOutline w14:w="0" w14:cap="flat" w14:cmpd="sng" w14:algn="ctr">
                  <w14:noFill/>
                  <w14:prstDash w14:val="solid"/>
                  <w14:bevel/>
                </w14:textOutline>
              </w:rPr>
              <w:t>7</w:t>
            </w:r>
          </w:p>
        </w:tc>
        <w:tc>
          <w:tcPr>
            <w:tcW w:w="2925" w:type="dxa"/>
          </w:tcPr>
          <w:p w14:paraId="5468CF27" w14:textId="77777777" w:rsidR="002E76EB" w:rsidRPr="006A3925" w:rsidRDefault="002E76EB" w:rsidP="002E76EB">
            <w:pPr>
              <w:pStyle w:val="TableStyle1"/>
              <w:tabs>
                <w:tab w:val="left" w:pos="720"/>
                <w:tab w:val="left" w:pos="1440"/>
                <w:tab w:val="left" w:pos="2160"/>
                <w:tab w:val="left" w:pos="288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6A3925">
              <w:rPr>
                <w:rFonts w:ascii="Segoe UI Light" w:hAnsi="Segoe UI Light" w:cs="Segoe UI Light"/>
                <w:b w:val="0"/>
                <w:bCs w:val="0"/>
                <w:sz w:val="18"/>
                <w:szCs w:val="18"/>
              </w:rPr>
              <w:t>Extragerea elementelor documentare de interes pe fiecare obiectiv</w:t>
            </w:r>
          </w:p>
        </w:tc>
        <w:tc>
          <w:tcPr>
            <w:tcW w:w="1628" w:type="dxa"/>
          </w:tcPr>
          <w:p w14:paraId="53DFF86A"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0%</w:t>
            </w:r>
          </w:p>
        </w:tc>
        <w:tc>
          <w:tcPr>
            <w:tcW w:w="1537" w:type="dxa"/>
          </w:tcPr>
          <w:p w14:paraId="5249CDE7"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10%</w:t>
            </w:r>
          </w:p>
        </w:tc>
        <w:tc>
          <w:tcPr>
            <w:tcW w:w="2074" w:type="dxa"/>
          </w:tcPr>
          <w:p w14:paraId="746CF71F" w14:textId="77777777" w:rsidR="002E76EB" w:rsidRPr="006A3925"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6A3925">
              <w:rPr>
                <w:rFonts w:cs="Segoe UI Light"/>
                <w:color w:val="000000"/>
                <w:sz w:val="18"/>
                <w:szCs w:val="18"/>
                <w14:textOutline w14:w="0" w14:cap="flat" w14:cmpd="sng" w14:algn="ctr">
                  <w14:noFill/>
                  <w14:prstDash w14:val="solid"/>
                  <w14:bevel/>
                </w14:textOutline>
              </w:rPr>
              <w:t>90%</w:t>
            </w:r>
          </w:p>
        </w:tc>
      </w:tr>
    </w:tbl>
    <w:p w14:paraId="327471DD" w14:textId="6744F08C" w:rsidR="002F51C9" w:rsidRPr="002F51C9" w:rsidRDefault="002F51C9" w:rsidP="002F51C9">
      <w:pPr>
        <w:pStyle w:val="BodyA"/>
        <w:jc w:val="both"/>
        <w:rPr>
          <w:rFonts w:ascii="Segoe UI Light" w:hAnsi="Segoe UI Light" w:cs="Segoe UI Light"/>
          <w:b/>
          <w:bCs/>
          <w:u w:val="single"/>
        </w:rPr>
      </w:pPr>
    </w:p>
    <w:p w14:paraId="23FEA35C" w14:textId="4C73E52C" w:rsidR="00431A12" w:rsidRDefault="002F51C9" w:rsidP="002F51C9">
      <w:pPr>
        <w:pStyle w:val="Listparagraf"/>
        <w:ind w:left="0"/>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pPr>
      <w:r w:rsidRPr="002F51C9">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t>Acoperirea completă a activităților de documentare, coincide cu săptămâ</w:t>
      </w:r>
      <w:r w:rsidR="002E76EB">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t xml:space="preserve">na în care sunt livrate primele </w:t>
      </w:r>
      <w:r w:rsidRPr="002F51C9">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t>prelucră</w:t>
      </w:r>
      <w:r w:rsidR="002E76EB">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t>ri</w:t>
      </w:r>
      <w:r w:rsidRPr="002F51C9">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t xml:space="preserve"> de test supuse dezbaterii publice, astfel încât principalele argumente pentru soluțiile adoptate vor fi disponibile în măsura în care se regăsesc în practica altor țări.</w:t>
      </w:r>
    </w:p>
    <w:p w14:paraId="0E4E82EC" w14:textId="2603CA21" w:rsidR="002F51C9" w:rsidRPr="002F51C9" w:rsidRDefault="002F51C9" w:rsidP="002F51C9">
      <w:pPr>
        <w:pStyle w:val="Listparagraf"/>
        <w:ind w:left="0"/>
        <w:rPr>
          <w:rFonts w:eastAsia="Arial Unicode MS" w:cs="Segoe UI Light"/>
          <w:noProof w:val="0"/>
          <w:color w:val="000000"/>
          <w:sz w:val="22"/>
          <w:u w:color="000000"/>
          <w:bdr w:val="nil"/>
          <w:lang w:eastAsia="ro-RO"/>
          <w14:textOutline w14:w="12700" w14:cap="flat" w14:cmpd="sng" w14:algn="ctr">
            <w14:noFill/>
            <w14:prstDash w14:val="solid"/>
            <w14:miter w14:lim="400000"/>
          </w14:textOutline>
        </w:rPr>
      </w:pPr>
    </w:p>
    <w:p w14:paraId="4D4D8F0F" w14:textId="61984F9C" w:rsidR="002F51C9" w:rsidRPr="002F51C9" w:rsidRDefault="002F51C9" w:rsidP="002F51C9">
      <w:pPr>
        <w:pStyle w:val="H1b"/>
        <w:rPr>
          <w:rFonts w:eastAsia="Arial Unicode MS"/>
        </w:rPr>
      </w:pPr>
      <w:bookmarkStart w:id="7" w:name="_Toc109164800"/>
      <w:r w:rsidRPr="002F51C9">
        <w:rPr>
          <w:rFonts w:eastAsia="Arial Unicode MS"/>
        </w:rPr>
        <w:t>Rezultatele primei iterații de documentare – volumul datelor analizate</w:t>
      </w:r>
      <w:bookmarkEnd w:id="7"/>
    </w:p>
    <w:p w14:paraId="3B08655A" w14:textId="1EF6E7A4" w:rsidR="002F51C9" w:rsidRPr="002F51C9" w:rsidRDefault="002F51C9" w:rsidP="00431A12">
      <w:pPr>
        <w:pStyle w:val="Body"/>
        <w:jc w:val="both"/>
        <w:rPr>
          <w:rFonts w:ascii="Segoe UI Light" w:hAnsi="Segoe UI Light" w:cs="Segoe UI Light"/>
          <w:iCs/>
        </w:rPr>
      </w:pPr>
      <w:r w:rsidRPr="002F51C9">
        <w:rPr>
          <w:rFonts w:ascii="Segoe UI Light" w:hAnsi="Segoe UI Light" w:cs="Segoe UI Light"/>
          <w:iCs/>
        </w:rPr>
        <w:t>Așa cum se poate observa din bibliografie au</w:t>
      </w:r>
      <w:r w:rsidR="00275443">
        <w:rPr>
          <w:rFonts w:ascii="Segoe UI Light" w:hAnsi="Segoe UI Light" w:cs="Segoe UI Light"/>
          <w:iCs/>
        </w:rPr>
        <w:t xml:space="preserve"> fost identificate 22 documente </w:t>
      </w:r>
      <w:r w:rsidRPr="002F51C9">
        <w:rPr>
          <w:rFonts w:ascii="Segoe UI Light" w:hAnsi="Segoe UI Light" w:cs="Segoe UI Light"/>
          <w:iCs/>
        </w:rPr>
        <w:t>referitor la subiectul analizat. Cele 22 documente au fost analizate la prima lectură în privința modului în care răspund unuia sau altuia din cele patru obiective ale studiului. Pentru evaluare a fost subiectiv alocat un punctaj de la 0 la 1 astfel încât ponderea așteptată a acoperirii subiectului de analiza să fie cuantificată. De asemenea, analiza preliminară a bibliografiei acumulate a inclus acoperirea părților interesate. Tabelul de mai jos reflectă rezultatul estimărilor realizate.</w:t>
      </w:r>
    </w:p>
    <w:tbl>
      <w:tblPr>
        <w:tblStyle w:val="Tabelgril1Luminos-Accentuare5"/>
        <w:tblW w:w="5000" w:type="pct"/>
        <w:tblLook w:val="04A0" w:firstRow="1" w:lastRow="0" w:firstColumn="1" w:lastColumn="0" w:noHBand="0" w:noVBand="1"/>
      </w:tblPr>
      <w:tblGrid>
        <w:gridCol w:w="410"/>
        <w:gridCol w:w="3923"/>
        <w:gridCol w:w="737"/>
        <w:gridCol w:w="495"/>
        <w:gridCol w:w="676"/>
        <w:gridCol w:w="676"/>
        <w:gridCol w:w="676"/>
        <w:gridCol w:w="543"/>
        <w:gridCol w:w="717"/>
        <w:gridCol w:w="543"/>
      </w:tblGrid>
      <w:tr w:rsidR="002F51C9" w14:paraId="7F9BD2BD" w14:textId="77777777" w:rsidTr="00275443">
        <w:trPr>
          <w:cnfStyle w:val="100000000000" w:firstRow="1" w:lastRow="0" w:firstColumn="0" w:lastColumn="0" w:oddVBand="0" w:evenVBand="0" w:oddHBand="0" w:evenHBand="0" w:firstRowFirstColumn="0" w:firstRowLastColumn="0" w:lastRowFirstColumn="0" w:lastRowLastColumn="0"/>
          <w:trHeight w:val="212"/>
          <w:tblHeader/>
        </w:trPr>
        <w:tc>
          <w:tcPr>
            <w:cnfStyle w:val="001000000000" w:firstRow="0" w:lastRow="0" w:firstColumn="1" w:lastColumn="0" w:oddVBand="0" w:evenVBand="0" w:oddHBand="0" w:evenHBand="0" w:firstRowFirstColumn="0" w:firstRowLastColumn="0" w:lastRowFirstColumn="0" w:lastRowLastColumn="0"/>
            <w:tcW w:w="218" w:type="pct"/>
            <w:tcBorders>
              <w:bottom w:val="single" w:sz="4" w:space="0" w:color="auto"/>
            </w:tcBorders>
            <w:shd w:val="clear" w:color="auto" w:fill="92CDDC" w:themeFill="accent5" w:themeFillTint="99"/>
          </w:tcPr>
          <w:p w14:paraId="0B2B61AB" w14:textId="437EDB48" w:rsidR="002F51C9" w:rsidRPr="006A3925" w:rsidRDefault="002F51C9" w:rsidP="002F51C9">
            <w:pPr>
              <w:pStyle w:val="TableStyle1"/>
              <w:jc w:val="center"/>
              <w:rPr>
                <w:rFonts w:ascii="Segoe UI Light" w:hAnsi="Segoe UI Light" w:cs="Segoe UI Light"/>
                <w:b/>
                <w:sz w:val="18"/>
                <w:szCs w:val="18"/>
              </w:rPr>
            </w:pPr>
            <w:r w:rsidRPr="006A3925">
              <w:rPr>
                <w:rFonts w:ascii="Segoe UI Light" w:hAnsi="Segoe UI Light" w:cs="Segoe UI Light"/>
                <w:b/>
                <w:sz w:val="18"/>
                <w:szCs w:val="18"/>
              </w:rPr>
              <w:lastRenderedPageBreak/>
              <w:t>Nr crt</w:t>
            </w:r>
          </w:p>
        </w:tc>
        <w:tc>
          <w:tcPr>
            <w:tcW w:w="2107" w:type="pct"/>
            <w:tcBorders>
              <w:bottom w:val="single" w:sz="4" w:space="0" w:color="auto"/>
            </w:tcBorders>
            <w:shd w:val="clear" w:color="auto" w:fill="92CDDC" w:themeFill="accent5" w:themeFillTint="99"/>
          </w:tcPr>
          <w:p w14:paraId="1A4E8DFA" w14:textId="77777777" w:rsidR="002F51C9" w:rsidRPr="006A3925" w:rsidRDefault="002F51C9" w:rsidP="002F51C9">
            <w:pPr>
              <w:pStyle w:val="TableStyle1"/>
              <w:tabs>
                <w:tab w:val="left" w:pos="720"/>
                <w:tab w:val="left" w:pos="1440"/>
                <w:tab w:val="left" w:pos="2160"/>
                <w:tab w:val="left" w:pos="2880"/>
                <w:tab w:val="left" w:pos="3600"/>
              </w:tabs>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Titlu</w:t>
            </w:r>
          </w:p>
        </w:tc>
        <w:tc>
          <w:tcPr>
            <w:tcW w:w="392" w:type="pct"/>
            <w:tcBorders>
              <w:bottom w:val="single" w:sz="4" w:space="0" w:color="auto"/>
            </w:tcBorders>
            <w:shd w:val="clear" w:color="auto" w:fill="92CDDC" w:themeFill="accent5" w:themeFillTint="99"/>
          </w:tcPr>
          <w:p w14:paraId="52A973C8" w14:textId="70034F59" w:rsidR="002F51C9" w:rsidRPr="006A3925" w:rsidRDefault="002F51C9" w:rsidP="002F51C9">
            <w:pPr>
              <w:pStyle w:val="TableStyle1"/>
              <w:tabs>
                <w:tab w:val="left" w:pos="720"/>
              </w:tabs>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N</w:t>
            </w:r>
            <w:r w:rsidR="006A3925">
              <w:rPr>
                <w:rFonts w:ascii="Segoe UI Light" w:hAnsi="Segoe UI Light" w:cs="Segoe UI Light"/>
                <w:b/>
                <w:sz w:val="18"/>
                <w:szCs w:val="18"/>
              </w:rPr>
              <w:t>umăr</w:t>
            </w:r>
            <w:r w:rsidRPr="006A3925">
              <w:rPr>
                <w:rFonts w:ascii="Segoe UI Light" w:hAnsi="Segoe UI Light" w:cs="Segoe UI Light"/>
                <w:b/>
                <w:sz w:val="18"/>
                <w:szCs w:val="18"/>
              </w:rPr>
              <w:t xml:space="preserve"> pagini</w:t>
            </w:r>
          </w:p>
        </w:tc>
        <w:tc>
          <w:tcPr>
            <w:tcW w:w="264" w:type="pct"/>
            <w:tcBorders>
              <w:bottom w:val="single" w:sz="4" w:space="0" w:color="auto"/>
            </w:tcBorders>
            <w:shd w:val="clear" w:color="auto" w:fill="92CDDC" w:themeFill="accent5" w:themeFillTint="99"/>
          </w:tcPr>
          <w:p w14:paraId="49CB8FD4"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PI1</w:t>
            </w:r>
          </w:p>
        </w:tc>
        <w:tc>
          <w:tcPr>
            <w:tcW w:w="360" w:type="pct"/>
            <w:tcBorders>
              <w:bottom w:val="single" w:sz="4" w:space="0" w:color="auto"/>
            </w:tcBorders>
            <w:shd w:val="clear" w:color="auto" w:fill="92CDDC" w:themeFill="accent5" w:themeFillTint="99"/>
          </w:tcPr>
          <w:p w14:paraId="21599F7E"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PI2</w:t>
            </w:r>
          </w:p>
        </w:tc>
        <w:tc>
          <w:tcPr>
            <w:tcW w:w="360" w:type="pct"/>
            <w:tcBorders>
              <w:bottom w:val="single" w:sz="4" w:space="0" w:color="auto"/>
            </w:tcBorders>
            <w:shd w:val="clear" w:color="auto" w:fill="92CDDC" w:themeFill="accent5" w:themeFillTint="99"/>
          </w:tcPr>
          <w:p w14:paraId="064878B2"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PI3</w:t>
            </w:r>
          </w:p>
        </w:tc>
        <w:tc>
          <w:tcPr>
            <w:tcW w:w="360" w:type="pct"/>
            <w:tcBorders>
              <w:bottom w:val="single" w:sz="4" w:space="0" w:color="auto"/>
            </w:tcBorders>
            <w:shd w:val="clear" w:color="auto" w:fill="92CDDC" w:themeFill="accent5" w:themeFillTint="99"/>
          </w:tcPr>
          <w:p w14:paraId="254B08ED"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O1</w:t>
            </w:r>
          </w:p>
        </w:tc>
        <w:tc>
          <w:tcPr>
            <w:tcW w:w="289" w:type="pct"/>
            <w:tcBorders>
              <w:bottom w:val="single" w:sz="4" w:space="0" w:color="auto"/>
            </w:tcBorders>
            <w:shd w:val="clear" w:color="auto" w:fill="92CDDC" w:themeFill="accent5" w:themeFillTint="99"/>
          </w:tcPr>
          <w:p w14:paraId="4AA231C8"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O2</w:t>
            </w:r>
          </w:p>
        </w:tc>
        <w:tc>
          <w:tcPr>
            <w:tcW w:w="475" w:type="pct"/>
            <w:tcBorders>
              <w:bottom w:val="single" w:sz="4" w:space="0" w:color="auto"/>
            </w:tcBorders>
            <w:shd w:val="clear" w:color="auto" w:fill="92CDDC" w:themeFill="accent5" w:themeFillTint="99"/>
          </w:tcPr>
          <w:p w14:paraId="4B5C9CA6"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O3</w:t>
            </w:r>
          </w:p>
        </w:tc>
        <w:tc>
          <w:tcPr>
            <w:tcW w:w="175" w:type="pct"/>
            <w:tcBorders>
              <w:bottom w:val="single" w:sz="4" w:space="0" w:color="auto"/>
            </w:tcBorders>
            <w:shd w:val="clear" w:color="auto" w:fill="92CDDC" w:themeFill="accent5" w:themeFillTint="99"/>
          </w:tcPr>
          <w:p w14:paraId="3AF261B9" w14:textId="77777777" w:rsidR="002F51C9" w:rsidRPr="006A3925" w:rsidRDefault="002F51C9" w:rsidP="002F51C9">
            <w:pPr>
              <w:pStyle w:val="TableStyle1"/>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b/>
                <w:sz w:val="18"/>
                <w:szCs w:val="18"/>
              </w:rPr>
            </w:pPr>
            <w:r w:rsidRPr="006A3925">
              <w:rPr>
                <w:rFonts w:ascii="Segoe UI Light" w:hAnsi="Segoe UI Light" w:cs="Segoe UI Light"/>
                <w:b/>
                <w:sz w:val="18"/>
                <w:szCs w:val="18"/>
              </w:rPr>
              <w:t>O4</w:t>
            </w:r>
          </w:p>
        </w:tc>
      </w:tr>
      <w:tr w:rsidR="002E76EB" w14:paraId="79EE7B58"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Borders>
              <w:top w:val="single" w:sz="4" w:space="0" w:color="auto"/>
            </w:tcBorders>
          </w:tcPr>
          <w:p w14:paraId="17F0A961"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w:t>
            </w:r>
          </w:p>
        </w:tc>
        <w:tc>
          <w:tcPr>
            <w:tcW w:w="2107" w:type="pct"/>
            <w:tcBorders>
              <w:top w:val="single" w:sz="4" w:space="0" w:color="auto"/>
            </w:tcBorders>
          </w:tcPr>
          <w:p w14:paraId="069EA683" w14:textId="7533E9FB"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CIRED WG CC-2015-2 ,  Reduction of Technical and Non-Technical Losses in Distribution Networks 2017</w:t>
            </w:r>
          </w:p>
        </w:tc>
        <w:tc>
          <w:tcPr>
            <w:tcW w:w="392" w:type="pct"/>
            <w:tcBorders>
              <w:top w:val="single" w:sz="4" w:space="0" w:color="auto"/>
            </w:tcBorders>
          </w:tcPr>
          <w:p w14:paraId="0F66B2E1" w14:textId="5507996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w:t>
            </w:r>
          </w:p>
        </w:tc>
        <w:tc>
          <w:tcPr>
            <w:tcW w:w="264" w:type="pct"/>
            <w:tcBorders>
              <w:top w:val="single" w:sz="4" w:space="0" w:color="auto"/>
            </w:tcBorders>
          </w:tcPr>
          <w:p w14:paraId="71E9198F" w14:textId="335AB3E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114</w:t>
            </w:r>
          </w:p>
        </w:tc>
        <w:tc>
          <w:tcPr>
            <w:tcW w:w="360" w:type="pct"/>
            <w:tcBorders>
              <w:top w:val="single" w:sz="4" w:space="0" w:color="auto"/>
            </w:tcBorders>
          </w:tcPr>
          <w:p w14:paraId="16866927" w14:textId="3091036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25%</w:t>
            </w:r>
          </w:p>
        </w:tc>
        <w:tc>
          <w:tcPr>
            <w:tcW w:w="360" w:type="pct"/>
            <w:tcBorders>
              <w:top w:val="single" w:sz="4" w:space="0" w:color="auto"/>
            </w:tcBorders>
          </w:tcPr>
          <w:p w14:paraId="3D7CCDB7" w14:textId="35F53D2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360" w:type="pct"/>
            <w:tcBorders>
              <w:top w:val="single" w:sz="4" w:space="0" w:color="auto"/>
            </w:tcBorders>
          </w:tcPr>
          <w:p w14:paraId="77ECC96F" w14:textId="4FB8AB2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289" w:type="pct"/>
            <w:tcBorders>
              <w:top w:val="single" w:sz="4" w:space="0" w:color="auto"/>
            </w:tcBorders>
          </w:tcPr>
          <w:p w14:paraId="51F88D00" w14:textId="2BA056C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Borders>
              <w:top w:val="single" w:sz="4" w:space="0" w:color="auto"/>
            </w:tcBorders>
          </w:tcPr>
          <w:p w14:paraId="47462592" w14:textId="78DAA3D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95%</w:t>
            </w:r>
          </w:p>
        </w:tc>
        <w:tc>
          <w:tcPr>
            <w:tcW w:w="175" w:type="pct"/>
            <w:tcBorders>
              <w:top w:val="single" w:sz="4" w:space="0" w:color="auto"/>
            </w:tcBorders>
          </w:tcPr>
          <w:p w14:paraId="691C3372" w14:textId="1CBCF11A"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3%</w:t>
            </w:r>
          </w:p>
        </w:tc>
      </w:tr>
      <w:tr w:rsidR="002E76EB" w14:paraId="5141A313" w14:textId="77777777" w:rsidTr="002E76EB">
        <w:trPr>
          <w:trHeight w:val="812"/>
        </w:trPr>
        <w:tc>
          <w:tcPr>
            <w:cnfStyle w:val="001000000000" w:firstRow="0" w:lastRow="0" w:firstColumn="1" w:lastColumn="0" w:oddVBand="0" w:evenVBand="0" w:oddHBand="0" w:evenHBand="0" w:firstRowFirstColumn="0" w:firstRowLastColumn="0" w:lastRowFirstColumn="0" w:lastRowLastColumn="0"/>
            <w:tcW w:w="218" w:type="pct"/>
          </w:tcPr>
          <w:p w14:paraId="4CFEE47E"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2</w:t>
            </w:r>
          </w:p>
        </w:tc>
        <w:tc>
          <w:tcPr>
            <w:tcW w:w="2107" w:type="pct"/>
          </w:tcPr>
          <w:p w14:paraId="6990839F" w14:textId="40482ACA"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D. RUBIO-MIGUEL1*; J. MERINO2,3; P. EGUÍA-LÓPEZ3; E. TORRES-IGLESIAS3 ,  Assessment of distribution grid losses depending on storage location for residential PV systems in three grids in the region of Murcia 2020</w:t>
            </w:r>
          </w:p>
        </w:tc>
        <w:tc>
          <w:tcPr>
            <w:tcW w:w="392" w:type="pct"/>
          </w:tcPr>
          <w:p w14:paraId="68166066" w14:textId="5AF1153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2</w:t>
            </w:r>
          </w:p>
        </w:tc>
        <w:tc>
          <w:tcPr>
            <w:tcW w:w="264" w:type="pct"/>
          </w:tcPr>
          <w:p w14:paraId="3D7D09A3" w14:textId="35EFBCC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w:t>
            </w:r>
          </w:p>
        </w:tc>
        <w:tc>
          <w:tcPr>
            <w:tcW w:w="360" w:type="pct"/>
          </w:tcPr>
          <w:p w14:paraId="00E7913A" w14:textId="04CECEC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360" w:type="pct"/>
          </w:tcPr>
          <w:p w14:paraId="4EBB1DD5" w14:textId="4628060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7B746452" w14:textId="29A89E3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289" w:type="pct"/>
          </w:tcPr>
          <w:p w14:paraId="3B399154" w14:textId="7A70F77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2A8920F4" w14:textId="77E876E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69C1F785" w14:textId="7ACB3A22"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26%</w:t>
            </w:r>
          </w:p>
        </w:tc>
      </w:tr>
      <w:tr w:rsidR="002E76EB" w14:paraId="33A0E8A9" w14:textId="77777777" w:rsidTr="002E76EB">
        <w:trPr>
          <w:trHeight w:val="212"/>
        </w:trPr>
        <w:tc>
          <w:tcPr>
            <w:cnfStyle w:val="001000000000" w:firstRow="0" w:lastRow="0" w:firstColumn="1" w:lastColumn="0" w:oddVBand="0" w:evenVBand="0" w:oddHBand="0" w:evenHBand="0" w:firstRowFirstColumn="0" w:firstRowLastColumn="0" w:lastRowFirstColumn="0" w:lastRowLastColumn="0"/>
            <w:tcW w:w="218" w:type="pct"/>
          </w:tcPr>
          <w:p w14:paraId="5E19F01C"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3</w:t>
            </w:r>
          </w:p>
        </w:tc>
        <w:tc>
          <w:tcPr>
            <w:tcW w:w="2107" w:type="pct"/>
          </w:tcPr>
          <w:p w14:paraId="241D44B4" w14:textId="6917A2AA"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Michael D Simms ,  Distribution System Losses 2013</w:t>
            </w:r>
          </w:p>
        </w:tc>
        <w:tc>
          <w:tcPr>
            <w:tcW w:w="392" w:type="pct"/>
          </w:tcPr>
          <w:p w14:paraId="11E181C3" w14:textId="78E7941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3</w:t>
            </w:r>
          </w:p>
        </w:tc>
        <w:tc>
          <w:tcPr>
            <w:tcW w:w="264" w:type="pct"/>
          </w:tcPr>
          <w:p w14:paraId="133BDD8D" w14:textId="3B3A405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14</w:t>
            </w:r>
          </w:p>
        </w:tc>
        <w:tc>
          <w:tcPr>
            <w:tcW w:w="360" w:type="pct"/>
          </w:tcPr>
          <w:p w14:paraId="7AAF172D" w14:textId="73F8A0A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60.0%</w:t>
            </w:r>
          </w:p>
        </w:tc>
        <w:tc>
          <w:tcPr>
            <w:tcW w:w="360" w:type="pct"/>
          </w:tcPr>
          <w:p w14:paraId="2A1918F4" w14:textId="3DD0055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30.0%</w:t>
            </w:r>
          </w:p>
        </w:tc>
        <w:tc>
          <w:tcPr>
            <w:tcW w:w="360" w:type="pct"/>
          </w:tcPr>
          <w:p w14:paraId="1FDF0902" w14:textId="407F0E8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289" w:type="pct"/>
          </w:tcPr>
          <w:p w14:paraId="4A694653" w14:textId="6790042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43BBCB9F" w14:textId="570E639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167F7B11" w14:textId="26B6D76E"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25%</w:t>
            </w:r>
          </w:p>
        </w:tc>
      </w:tr>
      <w:tr w:rsidR="002E76EB" w14:paraId="4D69DD1B"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Pr>
          <w:p w14:paraId="3F0A58B0"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4</w:t>
            </w:r>
          </w:p>
        </w:tc>
        <w:tc>
          <w:tcPr>
            <w:tcW w:w="2107" w:type="pct"/>
          </w:tcPr>
          <w:p w14:paraId="0AF921BF" w14:textId="4A9D7013"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Ra</w:t>
            </w:r>
            <w:r w:rsidR="001E68A1">
              <w:rPr>
                <w:rFonts w:ascii="Segoe UI Light" w:eastAsia="Times New Roman" w:hAnsi="Segoe UI Light" w:cs="Segoe UI Light"/>
                <w:sz w:val="18"/>
                <w:szCs w:val="18"/>
                <w:lang w:val="ro-RO" w:eastAsia="ro-RO"/>
              </w:rPr>
              <w:t>bab Haidera, David D’Achiardia</w:t>
            </w:r>
            <w:r w:rsidRPr="001E68A1">
              <w:rPr>
                <w:rFonts w:ascii="Segoe UI Light" w:eastAsia="Times New Roman" w:hAnsi="Segoe UI Light" w:cs="Segoe UI Light"/>
                <w:sz w:val="18"/>
                <w:szCs w:val="18"/>
                <w:lang w:val="ro-RO" w:eastAsia="ro-RO"/>
              </w:rPr>
              <w:t>,  Reinventing the Utility for DERs: A Proposal for a DSO-Centric Retail Electricity Market 2021</w:t>
            </w:r>
          </w:p>
        </w:tc>
        <w:tc>
          <w:tcPr>
            <w:tcW w:w="392" w:type="pct"/>
          </w:tcPr>
          <w:p w14:paraId="12904CA5" w14:textId="2383D85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4</w:t>
            </w:r>
          </w:p>
        </w:tc>
        <w:tc>
          <w:tcPr>
            <w:tcW w:w="264" w:type="pct"/>
          </w:tcPr>
          <w:p w14:paraId="44D90885" w14:textId="2DC663F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14</w:t>
            </w:r>
          </w:p>
        </w:tc>
        <w:tc>
          <w:tcPr>
            <w:tcW w:w="360" w:type="pct"/>
          </w:tcPr>
          <w:p w14:paraId="5528A118" w14:textId="3E9CF13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12B8FA33" w14:textId="6823EC7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360" w:type="pct"/>
          </w:tcPr>
          <w:p w14:paraId="5D634041" w14:textId="43FD6CF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289" w:type="pct"/>
          </w:tcPr>
          <w:p w14:paraId="43A4F3A0" w14:textId="19837DE6"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2A231E30" w14:textId="5E3A98F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175" w:type="pct"/>
          </w:tcPr>
          <w:p w14:paraId="2049E1D8" w14:textId="28A6AA60"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16%</w:t>
            </w:r>
          </w:p>
        </w:tc>
      </w:tr>
      <w:tr w:rsidR="002E76EB" w14:paraId="0110F718" w14:textId="77777777" w:rsidTr="002E76EB">
        <w:trPr>
          <w:trHeight w:val="812"/>
        </w:trPr>
        <w:tc>
          <w:tcPr>
            <w:cnfStyle w:val="001000000000" w:firstRow="0" w:lastRow="0" w:firstColumn="1" w:lastColumn="0" w:oddVBand="0" w:evenVBand="0" w:oddHBand="0" w:evenHBand="0" w:firstRowFirstColumn="0" w:firstRowLastColumn="0" w:lastRowFirstColumn="0" w:lastRowLastColumn="0"/>
            <w:tcW w:w="218" w:type="pct"/>
          </w:tcPr>
          <w:p w14:paraId="71543324"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5</w:t>
            </w:r>
          </w:p>
        </w:tc>
        <w:tc>
          <w:tcPr>
            <w:tcW w:w="2107" w:type="pct"/>
          </w:tcPr>
          <w:p w14:paraId="463AE038" w14:textId="4D65F58F"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Ricardo Silva *, Everton Alves</w:t>
            </w:r>
            <w:r w:rsidR="002E76EB" w:rsidRPr="001E68A1">
              <w:rPr>
                <w:rFonts w:ascii="Segoe UI Light" w:eastAsia="Times New Roman" w:hAnsi="Segoe UI Light" w:cs="Segoe UI Light"/>
                <w:sz w:val="18"/>
                <w:szCs w:val="18"/>
                <w:lang w:val="ro-RO" w:eastAsia="ro-RO"/>
              </w:rPr>
              <w:t>, Ricardo Ferreira</w:t>
            </w:r>
            <w:r>
              <w:rPr>
                <w:rFonts w:ascii="Segoe UI Light" w:eastAsia="Times New Roman" w:hAnsi="Segoe UI Light" w:cs="Segoe UI Light"/>
                <w:sz w:val="18"/>
                <w:szCs w:val="18"/>
                <w:lang w:val="ro-RO" w:eastAsia="ro-RO"/>
              </w:rPr>
              <w:t>, José Villar and Clara Gouveia</w:t>
            </w:r>
            <w:r w:rsidR="002E76EB" w:rsidRPr="001E68A1">
              <w:rPr>
                <w:rFonts w:ascii="Segoe UI Light" w:eastAsia="Times New Roman" w:hAnsi="Segoe UI Light" w:cs="Segoe UI Light"/>
                <w:sz w:val="18"/>
                <w:szCs w:val="18"/>
                <w:lang w:val="ro-RO" w:eastAsia="ro-RO"/>
              </w:rPr>
              <w:t>,  Characterization of TSO and DSO Grid System Services and TSO-DSO Basic Coordination Mechanisms in the Current Decarbonization Context 2021</w:t>
            </w:r>
          </w:p>
        </w:tc>
        <w:tc>
          <w:tcPr>
            <w:tcW w:w="392" w:type="pct"/>
          </w:tcPr>
          <w:p w14:paraId="5BB88CCC" w14:textId="47C85DC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5</w:t>
            </w:r>
          </w:p>
        </w:tc>
        <w:tc>
          <w:tcPr>
            <w:tcW w:w="264" w:type="pct"/>
          </w:tcPr>
          <w:p w14:paraId="51FE60C0" w14:textId="67964B8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30</w:t>
            </w:r>
          </w:p>
        </w:tc>
        <w:tc>
          <w:tcPr>
            <w:tcW w:w="360" w:type="pct"/>
          </w:tcPr>
          <w:p w14:paraId="26D27C25" w14:textId="2707F50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30.0%</w:t>
            </w:r>
          </w:p>
        </w:tc>
        <w:tc>
          <w:tcPr>
            <w:tcW w:w="360" w:type="pct"/>
          </w:tcPr>
          <w:p w14:paraId="73F15B79" w14:textId="2BA6484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360" w:type="pct"/>
          </w:tcPr>
          <w:p w14:paraId="0D4F2E77" w14:textId="59892A8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31B6484C" w14:textId="1E3076D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390066DF" w14:textId="05CF517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5F775BFE" w14:textId="68C3BCDE"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26%</w:t>
            </w:r>
          </w:p>
        </w:tc>
      </w:tr>
      <w:tr w:rsidR="002E76EB" w14:paraId="5290BD46"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02E402B4"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6</w:t>
            </w:r>
          </w:p>
        </w:tc>
        <w:tc>
          <w:tcPr>
            <w:tcW w:w="2107" w:type="pct"/>
          </w:tcPr>
          <w:p w14:paraId="0048629A" w14:textId="250EE558"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Hayden M Reeve Steve Widergren Rob Pratt Bishnu Bhattarai Sarmad Hanif Sadie Bender Trevor Hardy Mitch Pelton ,  Distribution System Operator with Transactive (DSO+T) Study: Main Report 2022</w:t>
            </w:r>
          </w:p>
        </w:tc>
        <w:tc>
          <w:tcPr>
            <w:tcW w:w="392" w:type="pct"/>
          </w:tcPr>
          <w:p w14:paraId="73FB5730" w14:textId="4AC138E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6</w:t>
            </w:r>
          </w:p>
        </w:tc>
        <w:tc>
          <w:tcPr>
            <w:tcW w:w="264" w:type="pct"/>
          </w:tcPr>
          <w:p w14:paraId="0C4CC891" w14:textId="4B18F8C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101</w:t>
            </w:r>
          </w:p>
        </w:tc>
        <w:tc>
          <w:tcPr>
            <w:tcW w:w="360" w:type="pct"/>
          </w:tcPr>
          <w:p w14:paraId="78B72BBA" w14:textId="4CF863C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26158299" w14:textId="14F0C44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223FDD28" w14:textId="318AD9C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07141C81" w14:textId="7EB5333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29963397" w14:textId="54BB165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02460093" w14:textId="68A7EAD5"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25%</w:t>
            </w:r>
          </w:p>
        </w:tc>
      </w:tr>
      <w:tr w:rsidR="002E76EB" w14:paraId="2FDDACC2"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Pr>
          <w:p w14:paraId="15BA1747"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7</w:t>
            </w:r>
          </w:p>
        </w:tc>
        <w:tc>
          <w:tcPr>
            <w:tcW w:w="2107" w:type="pct"/>
          </w:tcPr>
          <w:p w14:paraId="1F1BB80A" w14:textId="7672CD8C"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Daniel Kirschen Goran Strbac ,  Fundamentals of Power System Economics 2004</w:t>
            </w:r>
          </w:p>
        </w:tc>
        <w:tc>
          <w:tcPr>
            <w:tcW w:w="392" w:type="pct"/>
          </w:tcPr>
          <w:p w14:paraId="057028C9" w14:textId="585817A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7</w:t>
            </w:r>
          </w:p>
        </w:tc>
        <w:tc>
          <w:tcPr>
            <w:tcW w:w="264" w:type="pct"/>
          </w:tcPr>
          <w:p w14:paraId="3AD94FA2" w14:textId="490B2B8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288</w:t>
            </w:r>
          </w:p>
        </w:tc>
        <w:tc>
          <w:tcPr>
            <w:tcW w:w="360" w:type="pct"/>
          </w:tcPr>
          <w:p w14:paraId="3DD0BE90" w14:textId="6C8BE8E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360" w:type="pct"/>
          </w:tcPr>
          <w:p w14:paraId="0C2B6372" w14:textId="25ABAAC6"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30.0%</w:t>
            </w:r>
          </w:p>
        </w:tc>
        <w:tc>
          <w:tcPr>
            <w:tcW w:w="360" w:type="pct"/>
          </w:tcPr>
          <w:p w14:paraId="7792CAAD" w14:textId="6CFBE0E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60.0%</w:t>
            </w:r>
          </w:p>
        </w:tc>
        <w:tc>
          <w:tcPr>
            <w:tcW w:w="289" w:type="pct"/>
          </w:tcPr>
          <w:p w14:paraId="55764CE0" w14:textId="18C84A6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36701B4C" w14:textId="2214218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175" w:type="pct"/>
          </w:tcPr>
          <w:p w14:paraId="05D3F7FF" w14:textId="4817C4CA"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14%</w:t>
            </w:r>
          </w:p>
        </w:tc>
      </w:tr>
      <w:tr w:rsidR="002E76EB" w14:paraId="5FE4EDE7" w14:textId="77777777" w:rsidTr="002E76EB">
        <w:trPr>
          <w:trHeight w:val="212"/>
        </w:trPr>
        <w:tc>
          <w:tcPr>
            <w:cnfStyle w:val="001000000000" w:firstRow="0" w:lastRow="0" w:firstColumn="1" w:lastColumn="0" w:oddVBand="0" w:evenVBand="0" w:oddHBand="0" w:evenHBand="0" w:firstRowFirstColumn="0" w:firstRowLastColumn="0" w:lastRowFirstColumn="0" w:lastRowLastColumn="0"/>
            <w:tcW w:w="218" w:type="pct"/>
          </w:tcPr>
          <w:p w14:paraId="66394E04"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8</w:t>
            </w:r>
          </w:p>
        </w:tc>
        <w:tc>
          <w:tcPr>
            <w:tcW w:w="2107" w:type="pct"/>
          </w:tcPr>
          <w:p w14:paraId="3F72CA7E" w14:textId="60A6E562"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Sohn associates, Electricity distribution system losses 2009</w:t>
            </w:r>
          </w:p>
        </w:tc>
        <w:tc>
          <w:tcPr>
            <w:tcW w:w="392" w:type="pct"/>
          </w:tcPr>
          <w:p w14:paraId="31CF11DA" w14:textId="4DB249D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8</w:t>
            </w:r>
          </w:p>
        </w:tc>
        <w:tc>
          <w:tcPr>
            <w:tcW w:w="264" w:type="pct"/>
          </w:tcPr>
          <w:p w14:paraId="6FEC9602" w14:textId="399EFF3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41</w:t>
            </w:r>
          </w:p>
        </w:tc>
        <w:tc>
          <w:tcPr>
            <w:tcW w:w="360" w:type="pct"/>
          </w:tcPr>
          <w:p w14:paraId="6243C54F" w14:textId="487195A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5CF547D5" w14:textId="561EF8E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48D191F1" w14:textId="70F23D3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2AD8A30B" w14:textId="39C02D6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53F3A454" w14:textId="488A9C4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175" w:type="pct"/>
          </w:tcPr>
          <w:p w14:paraId="44F4015C" w14:textId="75E6A28D"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14%</w:t>
            </w:r>
          </w:p>
        </w:tc>
      </w:tr>
      <w:tr w:rsidR="002E76EB" w14:paraId="0B1E934F"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Pr>
          <w:p w14:paraId="6C879BB2"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9</w:t>
            </w:r>
          </w:p>
        </w:tc>
        <w:tc>
          <w:tcPr>
            <w:tcW w:w="2107" w:type="pct"/>
          </w:tcPr>
          <w:p w14:paraId="296CE145" w14:textId="18DAEE0A"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OFGEM</w:t>
            </w:r>
            <w:r w:rsidR="002E76EB" w:rsidRPr="001E68A1">
              <w:rPr>
                <w:rFonts w:ascii="Segoe UI Light" w:eastAsia="Times New Roman" w:hAnsi="Segoe UI Light" w:cs="Segoe UI Light"/>
                <w:sz w:val="18"/>
                <w:szCs w:val="18"/>
                <w:lang w:val="ro-RO" w:eastAsia="ro-RO"/>
              </w:rPr>
              <w:t>,  Distribution Price Control Review (DPCR) 4 2015</w:t>
            </w:r>
          </w:p>
        </w:tc>
        <w:tc>
          <w:tcPr>
            <w:tcW w:w="392" w:type="pct"/>
          </w:tcPr>
          <w:p w14:paraId="510AD33B" w14:textId="2602C68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9</w:t>
            </w:r>
          </w:p>
        </w:tc>
        <w:tc>
          <w:tcPr>
            <w:tcW w:w="264" w:type="pct"/>
          </w:tcPr>
          <w:p w14:paraId="27565CFF" w14:textId="56310EC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453</w:t>
            </w:r>
          </w:p>
        </w:tc>
        <w:tc>
          <w:tcPr>
            <w:tcW w:w="360" w:type="pct"/>
          </w:tcPr>
          <w:p w14:paraId="373A5EF4" w14:textId="491963B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555998F2" w14:textId="7FC612F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15%</w:t>
            </w:r>
          </w:p>
        </w:tc>
        <w:tc>
          <w:tcPr>
            <w:tcW w:w="360" w:type="pct"/>
          </w:tcPr>
          <w:p w14:paraId="694D61BD" w14:textId="656AD24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289" w:type="pct"/>
          </w:tcPr>
          <w:p w14:paraId="58AB8A18" w14:textId="00E991A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47DD8CEA" w14:textId="4AA6D81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1973D0D1" w14:textId="611F74B8"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5%</w:t>
            </w:r>
          </w:p>
        </w:tc>
      </w:tr>
      <w:tr w:rsidR="002E76EB" w14:paraId="3A0E7B19" w14:textId="77777777" w:rsidTr="002E76EB">
        <w:trPr>
          <w:trHeight w:val="212"/>
        </w:trPr>
        <w:tc>
          <w:tcPr>
            <w:cnfStyle w:val="001000000000" w:firstRow="0" w:lastRow="0" w:firstColumn="1" w:lastColumn="0" w:oddVBand="0" w:evenVBand="0" w:oddHBand="0" w:evenHBand="0" w:firstRowFirstColumn="0" w:firstRowLastColumn="0" w:lastRowFirstColumn="0" w:lastRowLastColumn="0"/>
            <w:tcW w:w="218" w:type="pct"/>
          </w:tcPr>
          <w:p w14:paraId="2F05E5B6"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10</w:t>
            </w:r>
          </w:p>
        </w:tc>
        <w:tc>
          <w:tcPr>
            <w:tcW w:w="2107" w:type="pct"/>
          </w:tcPr>
          <w:p w14:paraId="104A50CF" w14:textId="6202A5A6"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CEER</w:t>
            </w:r>
            <w:r w:rsidR="002E76EB" w:rsidRPr="001E68A1">
              <w:rPr>
                <w:rFonts w:ascii="Segoe UI Light" w:eastAsia="Times New Roman" w:hAnsi="Segoe UI Light" w:cs="Segoe UI Light"/>
                <w:sz w:val="18"/>
                <w:szCs w:val="18"/>
                <w:lang w:val="ro-RO" w:eastAsia="ro-RO"/>
              </w:rPr>
              <w:t>,  2 nd CEER Report on Power Losses 2020</w:t>
            </w:r>
          </w:p>
        </w:tc>
        <w:tc>
          <w:tcPr>
            <w:tcW w:w="392" w:type="pct"/>
          </w:tcPr>
          <w:p w14:paraId="0E0AD8F0" w14:textId="785B527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10</w:t>
            </w:r>
          </w:p>
        </w:tc>
        <w:tc>
          <w:tcPr>
            <w:tcW w:w="264" w:type="pct"/>
          </w:tcPr>
          <w:p w14:paraId="51312A74" w14:textId="0276A44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165</w:t>
            </w:r>
          </w:p>
        </w:tc>
        <w:tc>
          <w:tcPr>
            <w:tcW w:w="360" w:type="pct"/>
          </w:tcPr>
          <w:p w14:paraId="663697FA" w14:textId="6000BE0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360" w:type="pct"/>
          </w:tcPr>
          <w:p w14:paraId="57714AFA" w14:textId="4DA352A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25%</w:t>
            </w:r>
          </w:p>
        </w:tc>
        <w:tc>
          <w:tcPr>
            <w:tcW w:w="360" w:type="pct"/>
          </w:tcPr>
          <w:p w14:paraId="30564E02" w14:textId="4120E21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289" w:type="pct"/>
          </w:tcPr>
          <w:p w14:paraId="79FB7FDC" w14:textId="478D996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406512A8" w14:textId="75A5DBD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00899B11" w14:textId="4E8B95A7"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6%</w:t>
            </w:r>
          </w:p>
        </w:tc>
      </w:tr>
      <w:tr w:rsidR="002E76EB" w14:paraId="781DDD4E"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58953018"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11</w:t>
            </w:r>
          </w:p>
        </w:tc>
        <w:tc>
          <w:tcPr>
            <w:tcW w:w="2107" w:type="pct"/>
          </w:tcPr>
          <w:p w14:paraId="6E62EEFE" w14:textId="2CD2088F"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CEER,</w:t>
            </w:r>
            <w:r w:rsidR="002E76EB" w:rsidRPr="001E68A1">
              <w:rPr>
                <w:rFonts w:ascii="Segoe UI Light" w:eastAsia="Times New Roman" w:hAnsi="Segoe UI Light" w:cs="Segoe UI Light"/>
                <w:sz w:val="18"/>
                <w:szCs w:val="18"/>
                <w:lang w:val="ro-RO" w:eastAsia="ro-RO"/>
              </w:rPr>
              <w:t xml:space="preserve">  Electricity Distribution Network Tariffs CEER Guidelines of Good Practice 2017</w:t>
            </w:r>
          </w:p>
        </w:tc>
        <w:tc>
          <w:tcPr>
            <w:tcW w:w="392" w:type="pct"/>
          </w:tcPr>
          <w:p w14:paraId="64778427" w14:textId="7FF22AB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11</w:t>
            </w:r>
          </w:p>
        </w:tc>
        <w:tc>
          <w:tcPr>
            <w:tcW w:w="264" w:type="pct"/>
          </w:tcPr>
          <w:p w14:paraId="5815AC00" w14:textId="24F68D6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40</w:t>
            </w:r>
          </w:p>
        </w:tc>
        <w:tc>
          <w:tcPr>
            <w:tcW w:w="360" w:type="pct"/>
          </w:tcPr>
          <w:p w14:paraId="5274620D" w14:textId="598F9D8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55E275B2" w14:textId="4E5CA87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6BCA19DC" w14:textId="3AA62F9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434EF1DA" w14:textId="29048A6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46A10572" w14:textId="08412C4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2A5ACAAB" w14:textId="64FB64C4"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6%</w:t>
            </w:r>
          </w:p>
        </w:tc>
      </w:tr>
      <w:tr w:rsidR="002E76EB" w14:paraId="31FFB79E" w14:textId="77777777" w:rsidTr="002E76EB">
        <w:trPr>
          <w:trHeight w:val="212"/>
        </w:trPr>
        <w:tc>
          <w:tcPr>
            <w:cnfStyle w:val="001000000000" w:firstRow="0" w:lastRow="0" w:firstColumn="1" w:lastColumn="0" w:oddVBand="0" w:evenVBand="0" w:oddHBand="0" w:evenHBand="0" w:firstRowFirstColumn="0" w:firstRowLastColumn="0" w:lastRowFirstColumn="0" w:lastRowLastColumn="0"/>
            <w:tcW w:w="218" w:type="pct"/>
          </w:tcPr>
          <w:p w14:paraId="2CBFFBB6"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12</w:t>
            </w:r>
          </w:p>
        </w:tc>
        <w:tc>
          <w:tcPr>
            <w:tcW w:w="2107" w:type="pct"/>
          </w:tcPr>
          <w:p w14:paraId="5C28510E" w14:textId="693FCB0F"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CEER</w:t>
            </w:r>
            <w:r w:rsidR="002E76EB" w:rsidRPr="001E68A1">
              <w:rPr>
                <w:rFonts w:ascii="Segoe UI Light" w:eastAsia="Times New Roman" w:hAnsi="Segoe UI Light" w:cs="Segoe UI Light"/>
                <w:sz w:val="18"/>
                <w:szCs w:val="18"/>
                <w:lang w:val="ro-RO" w:eastAsia="ro-RO"/>
              </w:rPr>
              <w:t>,  CEER Report on Power Losses 2017</w:t>
            </w:r>
          </w:p>
        </w:tc>
        <w:tc>
          <w:tcPr>
            <w:tcW w:w="392" w:type="pct"/>
          </w:tcPr>
          <w:p w14:paraId="11BA5B0F" w14:textId="6A273A3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12</w:t>
            </w:r>
          </w:p>
        </w:tc>
        <w:tc>
          <w:tcPr>
            <w:tcW w:w="264" w:type="pct"/>
          </w:tcPr>
          <w:p w14:paraId="3544012D" w14:textId="0F58496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43</w:t>
            </w:r>
          </w:p>
        </w:tc>
        <w:tc>
          <w:tcPr>
            <w:tcW w:w="360" w:type="pct"/>
          </w:tcPr>
          <w:p w14:paraId="0CEDF411" w14:textId="619EA19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1FB8E60D" w14:textId="2D3FB92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135E4B34" w14:textId="58B1AF6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2377D280" w14:textId="7431673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46D32C5A" w14:textId="34647A0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175" w:type="pct"/>
          </w:tcPr>
          <w:p w14:paraId="2E5946D9" w14:textId="3D519882"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15%</w:t>
            </w:r>
          </w:p>
        </w:tc>
      </w:tr>
      <w:tr w:rsidR="002E76EB" w14:paraId="6C5256CB" w14:textId="77777777" w:rsidTr="002E76EB">
        <w:trPr>
          <w:trHeight w:val="1212"/>
        </w:trPr>
        <w:tc>
          <w:tcPr>
            <w:cnfStyle w:val="001000000000" w:firstRow="0" w:lastRow="0" w:firstColumn="1" w:lastColumn="0" w:oddVBand="0" w:evenVBand="0" w:oddHBand="0" w:evenHBand="0" w:firstRowFirstColumn="0" w:firstRowLastColumn="0" w:lastRowFirstColumn="0" w:lastRowLastColumn="0"/>
            <w:tcW w:w="218" w:type="pct"/>
          </w:tcPr>
          <w:p w14:paraId="3A33F87F"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13</w:t>
            </w:r>
          </w:p>
        </w:tc>
        <w:tc>
          <w:tcPr>
            <w:tcW w:w="2107" w:type="pct"/>
          </w:tcPr>
          <w:p w14:paraId="76D100A4" w14:textId="602FE133"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 xml:space="preserve">DG ENERGY </w:t>
            </w:r>
            <w:r w:rsidR="001E68A1">
              <w:rPr>
                <w:rFonts w:ascii="Segoe UI Light" w:eastAsia="Times New Roman" w:hAnsi="Segoe UI Light" w:cs="Segoe UI Light"/>
                <w:sz w:val="18"/>
                <w:szCs w:val="18"/>
                <w:lang w:val="ro-RO" w:eastAsia="ro-RO"/>
              </w:rPr>
              <w:t xml:space="preserve">- EUROPEAN COMMISSION | BELGIUM, </w:t>
            </w:r>
            <w:r w:rsidRPr="001E68A1">
              <w:rPr>
                <w:rFonts w:ascii="Segoe UI Light" w:eastAsia="Times New Roman" w:hAnsi="Segoe UI Light" w:cs="Segoe UI Light"/>
                <w:sz w:val="18"/>
                <w:szCs w:val="18"/>
                <w:lang w:val="ro-RO" w:eastAsia="ro-RO"/>
              </w:rPr>
              <w:t>IDENTIFYING ENERGY EFFICIENCY IMPROVEMENTS AND SAVING POTENTIAL IN ENERGY NETWORKS, INCLUDING ANALYSIS OF THE VALUE OF DEMAND RESPONSE 2015</w:t>
            </w:r>
          </w:p>
        </w:tc>
        <w:tc>
          <w:tcPr>
            <w:tcW w:w="392" w:type="pct"/>
          </w:tcPr>
          <w:p w14:paraId="4B1291FB" w14:textId="1AC68866"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13</w:t>
            </w:r>
          </w:p>
        </w:tc>
        <w:tc>
          <w:tcPr>
            <w:tcW w:w="264" w:type="pct"/>
          </w:tcPr>
          <w:p w14:paraId="22773482" w14:textId="2F9A1D7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182</w:t>
            </w:r>
          </w:p>
        </w:tc>
        <w:tc>
          <w:tcPr>
            <w:tcW w:w="360" w:type="pct"/>
          </w:tcPr>
          <w:p w14:paraId="52262F66" w14:textId="21E5538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50.0%</w:t>
            </w:r>
          </w:p>
        </w:tc>
        <w:tc>
          <w:tcPr>
            <w:tcW w:w="360" w:type="pct"/>
          </w:tcPr>
          <w:p w14:paraId="1DF54388" w14:textId="54AC0EC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45%</w:t>
            </w:r>
          </w:p>
        </w:tc>
        <w:tc>
          <w:tcPr>
            <w:tcW w:w="360" w:type="pct"/>
          </w:tcPr>
          <w:p w14:paraId="652C8C53" w14:textId="4D7CE5C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289" w:type="pct"/>
          </w:tcPr>
          <w:p w14:paraId="791036C6" w14:textId="598E5C2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7E1235F9" w14:textId="576EBB2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175" w:type="pct"/>
          </w:tcPr>
          <w:p w14:paraId="1BAD8EF7" w14:textId="3856DD25"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14%</w:t>
            </w:r>
          </w:p>
        </w:tc>
      </w:tr>
      <w:tr w:rsidR="002E76EB" w14:paraId="37C6F629" w14:textId="77777777" w:rsidTr="002E76EB">
        <w:trPr>
          <w:trHeight w:val="1212"/>
        </w:trPr>
        <w:tc>
          <w:tcPr>
            <w:cnfStyle w:val="001000000000" w:firstRow="0" w:lastRow="0" w:firstColumn="1" w:lastColumn="0" w:oddVBand="0" w:evenVBand="0" w:oddHBand="0" w:evenHBand="0" w:firstRowFirstColumn="0" w:firstRowLastColumn="0" w:lastRowFirstColumn="0" w:lastRowLastColumn="0"/>
            <w:tcW w:w="218" w:type="pct"/>
          </w:tcPr>
          <w:p w14:paraId="2DD8AB60"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14</w:t>
            </w:r>
          </w:p>
        </w:tc>
        <w:tc>
          <w:tcPr>
            <w:tcW w:w="2107" w:type="pct"/>
          </w:tcPr>
          <w:p w14:paraId="6C333EA4" w14:textId="5DB2ECFC"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PARLAMENTUL EUROPEA</w:t>
            </w:r>
            <w:r w:rsidR="001E68A1">
              <w:rPr>
                <w:rFonts w:ascii="Segoe UI Light" w:eastAsia="Times New Roman" w:hAnsi="Segoe UI Light" w:cs="Segoe UI Light"/>
                <w:sz w:val="18"/>
                <w:szCs w:val="18"/>
                <w:lang w:val="ro-RO" w:eastAsia="ro-RO"/>
              </w:rPr>
              <w:t xml:space="preserve">N ȘI CONSILIUL UNIUNII EUROPENE, </w:t>
            </w:r>
            <w:r w:rsidRPr="001E68A1">
              <w:rPr>
                <w:rFonts w:ascii="Segoe UI Light" w:eastAsia="Times New Roman" w:hAnsi="Segoe UI Light" w:cs="Segoe UI Light"/>
                <w:sz w:val="18"/>
                <w:szCs w:val="18"/>
                <w:lang w:val="ro-RO" w:eastAsia="ro-RO"/>
              </w:rPr>
              <w:t>DIRECTIVA 2009/72/CE A PARLAMENTULUI EUROPEAN ȘI A CONSILIULUI din 13  iulie 2009 privind normele comune pentru piaţa internă a energiei electrice și de abrogare a Directivei 2003/54/CE 2009</w:t>
            </w:r>
          </w:p>
        </w:tc>
        <w:tc>
          <w:tcPr>
            <w:tcW w:w="392" w:type="pct"/>
          </w:tcPr>
          <w:p w14:paraId="04F6FF56" w14:textId="51DC0DB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14</w:t>
            </w:r>
          </w:p>
        </w:tc>
        <w:tc>
          <w:tcPr>
            <w:tcW w:w="264" w:type="pct"/>
          </w:tcPr>
          <w:p w14:paraId="12AE2D22" w14:textId="7F16E98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39</w:t>
            </w:r>
          </w:p>
        </w:tc>
        <w:tc>
          <w:tcPr>
            <w:tcW w:w="360" w:type="pct"/>
          </w:tcPr>
          <w:p w14:paraId="3F062F3E" w14:textId="162835B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60.0%</w:t>
            </w:r>
          </w:p>
        </w:tc>
        <w:tc>
          <w:tcPr>
            <w:tcW w:w="360" w:type="pct"/>
          </w:tcPr>
          <w:p w14:paraId="6B4F38B5" w14:textId="787C75B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35%</w:t>
            </w:r>
          </w:p>
        </w:tc>
        <w:tc>
          <w:tcPr>
            <w:tcW w:w="360" w:type="pct"/>
          </w:tcPr>
          <w:p w14:paraId="593F7A21" w14:textId="509844B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289" w:type="pct"/>
          </w:tcPr>
          <w:p w14:paraId="733D1FEC" w14:textId="6047945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0AFE9C12" w14:textId="035E745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64B6116A" w14:textId="23446115"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4%</w:t>
            </w:r>
          </w:p>
        </w:tc>
      </w:tr>
      <w:tr w:rsidR="002E76EB" w14:paraId="6CE85663"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66DE56E3"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15</w:t>
            </w:r>
          </w:p>
        </w:tc>
        <w:tc>
          <w:tcPr>
            <w:tcW w:w="2107" w:type="pct"/>
          </w:tcPr>
          <w:p w14:paraId="7AB8340E" w14:textId="3A130C1E"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 xml:space="preserve">INOGATE Programm, </w:t>
            </w:r>
            <w:r w:rsidR="002E76EB" w:rsidRPr="001E68A1">
              <w:rPr>
                <w:rFonts w:ascii="Segoe UI Light" w:eastAsia="Times New Roman" w:hAnsi="Segoe UI Light" w:cs="Segoe UI Light"/>
                <w:sz w:val="18"/>
                <w:szCs w:val="18"/>
                <w:lang w:val="ro-RO" w:eastAsia="ro-RO"/>
              </w:rPr>
              <w:t>EU practice in treatment of technical losses in the high voltage electricity grid 2009</w:t>
            </w:r>
          </w:p>
        </w:tc>
        <w:tc>
          <w:tcPr>
            <w:tcW w:w="392" w:type="pct"/>
          </w:tcPr>
          <w:p w14:paraId="07B1E504" w14:textId="351D967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15</w:t>
            </w:r>
          </w:p>
        </w:tc>
        <w:tc>
          <w:tcPr>
            <w:tcW w:w="264" w:type="pct"/>
          </w:tcPr>
          <w:p w14:paraId="4EAB7B88" w14:textId="56646D9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14</w:t>
            </w:r>
          </w:p>
        </w:tc>
        <w:tc>
          <w:tcPr>
            <w:tcW w:w="360" w:type="pct"/>
          </w:tcPr>
          <w:p w14:paraId="23AEE946" w14:textId="1BFA393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360" w:type="pct"/>
          </w:tcPr>
          <w:p w14:paraId="0837E63E" w14:textId="249BC05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25%</w:t>
            </w:r>
          </w:p>
        </w:tc>
        <w:tc>
          <w:tcPr>
            <w:tcW w:w="360" w:type="pct"/>
          </w:tcPr>
          <w:p w14:paraId="63889AC2" w14:textId="351323F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289" w:type="pct"/>
          </w:tcPr>
          <w:p w14:paraId="0AA5F433" w14:textId="3DA6269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w:t>
            </w:r>
          </w:p>
        </w:tc>
        <w:tc>
          <w:tcPr>
            <w:tcW w:w="475" w:type="pct"/>
          </w:tcPr>
          <w:p w14:paraId="1B95F556" w14:textId="2CE11EB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62F1AF8B" w14:textId="1F844769"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24%</w:t>
            </w:r>
          </w:p>
        </w:tc>
      </w:tr>
      <w:tr w:rsidR="002E76EB" w14:paraId="414D6CC7"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28470D93"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lastRenderedPageBreak/>
              <w:t>16</w:t>
            </w:r>
          </w:p>
        </w:tc>
        <w:tc>
          <w:tcPr>
            <w:tcW w:w="2107" w:type="pct"/>
          </w:tcPr>
          <w:p w14:paraId="48E092C0" w14:textId="49A3D807"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 xml:space="preserve">SMART NET, </w:t>
            </w:r>
            <w:r w:rsidR="002E76EB" w:rsidRPr="001E68A1">
              <w:rPr>
                <w:rFonts w:ascii="Segoe UI Light" w:eastAsia="Times New Roman" w:hAnsi="Segoe UI Light" w:cs="Segoe UI Light"/>
                <w:sz w:val="18"/>
                <w:szCs w:val="18"/>
                <w:lang w:val="ro-RO" w:eastAsia="ro-RO"/>
              </w:rPr>
              <w:t>Basic schemes for TSO-DSO coordination and ancillary services provision 2016</w:t>
            </w:r>
          </w:p>
        </w:tc>
        <w:tc>
          <w:tcPr>
            <w:tcW w:w="392" w:type="pct"/>
          </w:tcPr>
          <w:p w14:paraId="6A6A9B20" w14:textId="7D30496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16</w:t>
            </w:r>
          </w:p>
        </w:tc>
        <w:tc>
          <w:tcPr>
            <w:tcW w:w="264" w:type="pct"/>
          </w:tcPr>
          <w:p w14:paraId="16CE107D" w14:textId="1556C2C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100</w:t>
            </w:r>
          </w:p>
        </w:tc>
        <w:tc>
          <w:tcPr>
            <w:tcW w:w="360" w:type="pct"/>
          </w:tcPr>
          <w:p w14:paraId="7A5B5A88" w14:textId="648DEF2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30.0%</w:t>
            </w:r>
          </w:p>
        </w:tc>
        <w:tc>
          <w:tcPr>
            <w:tcW w:w="360" w:type="pct"/>
          </w:tcPr>
          <w:p w14:paraId="1DAD0C6B" w14:textId="33279EB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360" w:type="pct"/>
          </w:tcPr>
          <w:p w14:paraId="12C225D6" w14:textId="34712F9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3D3248BA" w14:textId="1E779CD6"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4D1CD412" w14:textId="3D2DC8B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6600A1D6" w14:textId="739B2883"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25%</w:t>
            </w:r>
          </w:p>
        </w:tc>
      </w:tr>
      <w:tr w:rsidR="002E76EB" w14:paraId="499938BF"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Pr>
          <w:p w14:paraId="5252E68F"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17</w:t>
            </w:r>
          </w:p>
        </w:tc>
        <w:tc>
          <w:tcPr>
            <w:tcW w:w="2107" w:type="pct"/>
          </w:tcPr>
          <w:p w14:paraId="5163D4BD" w14:textId="167107A6"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ENTSO-E,  ENTSO-E Overview of Transmission Tariffs in Europe: Synthesis 2019 2019</w:t>
            </w:r>
          </w:p>
        </w:tc>
        <w:tc>
          <w:tcPr>
            <w:tcW w:w="392" w:type="pct"/>
          </w:tcPr>
          <w:p w14:paraId="7DE539DD" w14:textId="62B2F616"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17</w:t>
            </w:r>
          </w:p>
        </w:tc>
        <w:tc>
          <w:tcPr>
            <w:tcW w:w="264" w:type="pct"/>
          </w:tcPr>
          <w:p w14:paraId="5DE9C001" w14:textId="7E97E95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72</w:t>
            </w:r>
          </w:p>
        </w:tc>
        <w:tc>
          <w:tcPr>
            <w:tcW w:w="360" w:type="pct"/>
          </w:tcPr>
          <w:p w14:paraId="6B77D5C8" w14:textId="0C6E379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6F513750" w14:textId="655F1E6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19C3FA5E" w14:textId="03A4A95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0E6896D5" w14:textId="76D6C75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5D6F2312" w14:textId="2642C07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0BA16480" w14:textId="00332ABC"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26%</w:t>
            </w:r>
          </w:p>
        </w:tc>
      </w:tr>
      <w:tr w:rsidR="002E76EB" w14:paraId="4681D221"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Pr>
          <w:p w14:paraId="1622E4B6"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18</w:t>
            </w:r>
          </w:p>
        </w:tc>
        <w:tc>
          <w:tcPr>
            <w:tcW w:w="2107" w:type="pct"/>
          </w:tcPr>
          <w:p w14:paraId="53ACCE1E" w14:textId="5E92777E"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ENTSO-E, TSO – DSO DATA MANAGEMENT REPORT 2016</w:t>
            </w:r>
          </w:p>
        </w:tc>
        <w:tc>
          <w:tcPr>
            <w:tcW w:w="392" w:type="pct"/>
          </w:tcPr>
          <w:p w14:paraId="276C30FD" w14:textId="440FC70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18</w:t>
            </w:r>
          </w:p>
        </w:tc>
        <w:tc>
          <w:tcPr>
            <w:tcW w:w="264" w:type="pct"/>
          </w:tcPr>
          <w:p w14:paraId="7CA01673" w14:textId="7565109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72</w:t>
            </w:r>
          </w:p>
        </w:tc>
        <w:tc>
          <w:tcPr>
            <w:tcW w:w="360" w:type="pct"/>
          </w:tcPr>
          <w:p w14:paraId="248A30FE" w14:textId="11EC6B4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25%</w:t>
            </w:r>
          </w:p>
        </w:tc>
        <w:tc>
          <w:tcPr>
            <w:tcW w:w="360" w:type="pct"/>
          </w:tcPr>
          <w:p w14:paraId="64863373" w14:textId="0877E7C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75%</w:t>
            </w:r>
          </w:p>
        </w:tc>
        <w:tc>
          <w:tcPr>
            <w:tcW w:w="360" w:type="pct"/>
          </w:tcPr>
          <w:p w14:paraId="0B709EF1" w14:textId="4B89041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7A8E470F" w14:textId="3C405A1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3F48FD8A" w14:textId="637A0F7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70.0%</w:t>
            </w:r>
          </w:p>
        </w:tc>
        <w:tc>
          <w:tcPr>
            <w:tcW w:w="175" w:type="pct"/>
          </w:tcPr>
          <w:p w14:paraId="6E3370F8" w14:textId="5643D99F"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26%</w:t>
            </w:r>
          </w:p>
        </w:tc>
      </w:tr>
      <w:tr w:rsidR="002E76EB" w14:paraId="067F8F4A" w14:textId="77777777" w:rsidTr="002E76EB">
        <w:trPr>
          <w:trHeight w:val="1012"/>
        </w:trPr>
        <w:tc>
          <w:tcPr>
            <w:cnfStyle w:val="001000000000" w:firstRow="0" w:lastRow="0" w:firstColumn="1" w:lastColumn="0" w:oddVBand="0" w:evenVBand="0" w:oddHBand="0" w:evenHBand="0" w:firstRowFirstColumn="0" w:firstRowLastColumn="0" w:lastRowFirstColumn="0" w:lastRowLastColumn="0"/>
            <w:tcW w:w="218" w:type="pct"/>
          </w:tcPr>
          <w:p w14:paraId="7D671586"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19</w:t>
            </w:r>
          </w:p>
        </w:tc>
        <w:tc>
          <w:tcPr>
            <w:tcW w:w="2107" w:type="pct"/>
          </w:tcPr>
          <w:p w14:paraId="76B1B834" w14:textId="20772A71"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 xml:space="preserve">ERRA - Energy Regulators Regional Association ,  STUDY ONRegulatory Approaches to Revenue Setting for Electricity Transmission and Distribution System Operator samong ERRA Member Organizations </w:t>
            </w:r>
          </w:p>
        </w:tc>
        <w:tc>
          <w:tcPr>
            <w:tcW w:w="392" w:type="pct"/>
          </w:tcPr>
          <w:p w14:paraId="1AF48CEB" w14:textId="4FB1E81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19</w:t>
            </w:r>
          </w:p>
        </w:tc>
        <w:tc>
          <w:tcPr>
            <w:tcW w:w="264" w:type="pct"/>
          </w:tcPr>
          <w:p w14:paraId="32CEC7BF" w14:textId="28B0CAB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p>
        </w:tc>
        <w:tc>
          <w:tcPr>
            <w:tcW w:w="360" w:type="pct"/>
          </w:tcPr>
          <w:p w14:paraId="41D1C2F4" w14:textId="5A633AA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2730D8F1" w14:textId="7F48C67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17FF6846" w14:textId="01CC9E6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3C500D49" w14:textId="06E281B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661A8AC6" w14:textId="6027FD3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175" w:type="pct"/>
          </w:tcPr>
          <w:p w14:paraId="234AC54B" w14:textId="61508631"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15%</w:t>
            </w:r>
          </w:p>
        </w:tc>
      </w:tr>
      <w:tr w:rsidR="002E76EB" w14:paraId="0FE52620" w14:textId="77777777" w:rsidTr="002E76EB">
        <w:trPr>
          <w:trHeight w:val="412"/>
        </w:trPr>
        <w:tc>
          <w:tcPr>
            <w:cnfStyle w:val="001000000000" w:firstRow="0" w:lastRow="0" w:firstColumn="1" w:lastColumn="0" w:oddVBand="0" w:evenVBand="0" w:oddHBand="0" w:evenHBand="0" w:firstRowFirstColumn="0" w:firstRowLastColumn="0" w:lastRowFirstColumn="0" w:lastRowLastColumn="0"/>
            <w:tcW w:w="218" w:type="pct"/>
          </w:tcPr>
          <w:p w14:paraId="66A8B078"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20</w:t>
            </w:r>
          </w:p>
        </w:tc>
        <w:tc>
          <w:tcPr>
            <w:tcW w:w="2107" w:type="pct"/>
          </w:tcPr>
          <w:p w14:paraId="7086DA56" w14:textId="0114DC21"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Eurelectric,  Distribution Grids in Europe Facts and Figures 2020 2020</w:t>
            </w:r>
          </w:p>
        </w:tc>
        <w:tc>
          <w:tcPr>
            <w:tcW w:w="392" w:type="pct"/>
          </w:tcPr>
          <w:p w14:paraId="007300EB" w14:textId="7A7E82C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20</w:t>
            </w:r>
          </w:p>
        </w:tc>
        <w:tc>
          <w:tcPr>
            <w:tcW w:w="264" w:type="pct"/>
          </w:tcPr>
          <w:p w14:paraId="56F6EB98" w14:textId="0085863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w:t>
            </w:r>
          </w:p>
        </w:tc>
        <w:tc>
          <w:tcPr>
            <w:tcW w:w="360" w:type="pct"/>
          </w:tcPr>
          <w:p w14:paraId="59B91736" w14:textId="1AEFB81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5%</w:t>
            </w:r>
          </w:p>
        </w:tc>
        <w:tc>
          <w:tcPr>
            <w:tcW w:w="360" w:type="pct"/>
          </w:tcPr>
          <w:p w14:paraId="2CBC54A0" w14:textId="242A866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95%</w:t>
            </w:r>
          </w:p>
        </w:tc>
        <w:tc>
          <w:tcPr>
            <w:tcW w:w="360" w:type="pct"/>
          </w:tcPr>
          <w:p w14:paraId="50074814" w14:textId="0449935C"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42650BD2" w14:textId="3E98BF3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w:t>
            </w:r>
          </w:p>
        </w:tc>
        <w:tc>
          <w:tcPr>
            <w:tcW w:w="475" w:type="pct"/>
          </w:tcPr>
          <w:p w14:paraId="398347FD" w14:textId="5D6FE0B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7C6D806F" w14:textId="07BFF031"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4%</w:t>
            </w:r>
          </w:p>
        </w:tc>
      </w:tr>
      <w:tr w:rsidR="002E76EB" w14:paraId="579FDDF8"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64F46095"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21</w:t>
            </w:r>
          </w:p>
        </w:tc>
        <w:tc>
          <w:tcPr>
            <w:tcW w:w="2107" w:type="pct"/>
          </w:tcPr>
          <w:p w14:paraId="0E2A0E7F" w14:textId="33E24D44"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MDPI, Local Market for TSO and DSO Reactive Power Provision Using DSO Grid Resources 2020</w:t>
            </w:r>
          </w:p>
        </w:tc>
        <w:tc>
          <w:tcPr>
            <w:tcW w:w="392" w:type="pct"/>
          </w:tcPr>
          <w:p w14:paraId="7E7AD3DB" w14:textId="642C8FC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21</w:t>
            </w:r>
          </w:p>
        </w:tc>
        <w:tc>
          <w:tcPr>
            <w:tcW w:w="264" w:type="pct"/>
          </w:tcPr>
          <w:p w14:paraId="491E81D4" w14:textId="161E002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19</w:t>
            </w:r>
          </w:p>
        </w:tc>
        <w:tc>
          <w:tcPr>
            <w:tcW w:w="360" w:type="pct"/>
          </w:tcPr>
          <w:p w14:paraId="326772DD" w14:textId="1B6CB1F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45AE61C0" w14:textId="63444EB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4DE8D7F1" w14:textId="73CB7A7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78B1268B" w14:textId="1410C0A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w:t>
            </w:r>
          </w:p>
        </w:tc>
        <w:tc>
          <w:tcPr>
            <w:tcW w:w="475" w:type="pct"/>
          </w:tcPr>
          <w:p w14:paraId="3F209536" w14:textId="6F7D984B"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6009160D" w14:textId="34984814"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5%</w:t>
            </w:r>
          </w:p>
        </w:tc>
      </w:tr>
      <w:tr w:rsidR="002E76EB" w14:paraId="2B664FA5"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2B13467E" w14:textId="77777777" w:rsidR="002E76EB" w:rsidRPr="002F51C9" w:rsidRDefault="002E76EB" w:rsidP="002E76EB">
            <w:pPr>
              <w:jc w:val="center"/>
              <w:rPr>
                <w:rFonts w:cs="Segoe UI Light"/>
                <w:sz w:val="18"/>
                <w:szCs w:val="18"/>
              </w:rPr>
            </w:pPr>
            <w:r w:rsidRPr="002F51C9">
              <w:rPr>
                <w:rFonts w:cs="Segoe UI Light"/>
                <w:color w:val="000000"/>
                <w:sz w:val="18"/>
                <w:szCs w:val="18"/>
                <w14:textOutline w14:w="0" w14:cap="flat" w14:cmpd="sng" w14:algn="ctr">
                  <w14:noFill/>
                  <w14:prstDash w14:val="solid"/>
                  <w14:bevel/>
                </w14:textOutline>
              </w:rPr>
              <w:t>22</w:t>
            </w:r>
          </w:p>
        </w:tc>
        <w:tc>
          <w:tcPr>
            <w:tcW w:w="2107" w:type="pct"/>
          </w:tcPr>
          <w:p w14:paraId="1D84099F" w14:textId="7DC1DB35" w:rsidR="002E76EB" w:rsidRPr="001E68A1" w:rsidRDefault="001E68A1"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Pr>
                <w:rFonts w:ascii="Segoe UI Light" w:eastAsia="Times New Roman" w:hAnsi="Segoe UI Light" w:cs="Segoe UI Light"/>
                <w:sz w:val="18"/>
                <w:szCs w:val="18"/>
                <w:lang w:val="ro-RO" w:eastAsia="ro-RO"/>
              </w:rPr>
              <w:t xml:space="preserve">MEDREG, </w:t>
            </w:r>
            <w:r w:rsidR="002E76EB" w:rsidRPr="001E68A1">
              <w:rPr>
                <w:rFonts w:ascii="Segoe UI Light" w:eastAsia="Times New Roman" w:hAnsi="Segoe UI Light" w:cs="Segoe UI Light"/>
                <w:sz w:val="18"/>
                <w:szCs w:val="18"/>
                <w:lang w:val="ro-RO" w:eastAsia="ro-RO"/>
              </w:rPr>
              <w:t>Regulatory practices on handling technical and non-technical losses for electricity 2019</w:t>
            </w:r>
          </w:p>
        </w:tc>
        <w:tc>
          <w:tcPr>
            <w:tcW w:w="392" w:type="pct"/>
          </w:tcPr>
          <w:p w14:paraId="6D71D4ED" w14:textId="746B56A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b/>
                <w:bCs/>
                <w:color w:val="000000"/>
                <w:sz w:val="18"/>
                <w:szCs w:val="18"/>
                <w:lang w:val="ro-RO" w:eastAsia="ro-RO"/>
              </w:rPr>
              <w:t>22</w:t>
            </w:r>
          </w:p>
        </w:tc>
        <w:tc>
          <w:tcPr>
            <w:tcW w:w="264" w:type="pct"/>
          </w:tcPr>
          <w:p w14:paraId="430282D5" w14:textId="53B9BB72"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36</w:t>
            </w:r>
          </w:p>
        </w:tc>
        <w:tc>
          <w:tcPr>
            <w:tcW w:w="360" w:type="pct"/>
          </w:tcPr>
          <w:p w14:paraId="5261ED3C" w14:textId="498F3B8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80.0%</w:t>
            </w:r>
          </w:p>
        </w:tc>
        <w:tc>
          <w:tcPr>
            <w:tcW w:w="360" w:type="pct"/>
          </w:tcPr>
          <w:p w14:paraId="11D6F80F" w14:textId="0471B33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20.0%</w:t>
            </w:r>
          </w:p>
        </w:tc>
        <w:tc>
          <w:tcPr>
            <w:tcW w:w="360" w:type="pct"/>
          </w:tcPr>
          <w:p w14:paraId="7EF70214" w14:textId="1685759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0%</w:t>
            </w:r>
          </w:p>
        </w:tc>
        <w:tc>
          <w:tcPr>
            <w:tcW w:w="289" w:type="pct"/>
          </w:tcPr>
          <w:p w14:paraId="6517C707" w14:textId="137FE37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4%</w:t>
            </w:r>
          </w:p>
        </w:tc>
        <w:tc>
          <w:tcPr>
            <w:tcW w:w="475" w:type="pct"/>
          </w:tcPr>
          <w:p w14:paraId="5C3B4ADB" w14:textId="6EE0650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68A1">
              <w:rPr>
                <w:rFonts w:eastAsia="Times New Roman" w:cs="Segoe UI Light"/>
                <w:color w:val="000000"/>
                <w:sz w:val="18"/>
                <w:szCs w:val="18"/>
                <w:lang w:val="ro-RO" w:eastAsia="ro-RO"/>
              </w:rPr>
              <w:t>90.0%</w:t>
            </w:r>
          </w:p>
        </w:tc>
        <w:tc>
          <w:tcPr>
            <w:tcW w:w="175" w:type="pct"/>
          </w:tcPr>
          <w:p w14:paraId="69B3A24D" w14:textId="095BABE3"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sz w:val="18"/>
                <w:szCs w:val="18"/>
              </w:rPr>
            </w:pPr>
            <w:r w:rsidRPr="001E3E2C">
              <w:rPr>
                <w:rFonts w:eastAsia="Times New Roman"/>
                <w:color w:val="000000"/>
                <w:sz w:val="18"/>
                <w:szCs w:val="18"/>
                <w:lang w:val="ro-RO" w:eastAsia="ro-RO"/>
              </w:rPr>
              <w:t>3%</w:t>
            </w:r>
          </w:p>
        </w:tc>
      </w:tr>
      <w:tr w:rsidR="002E76EB" w14:paraId="4B91A80F"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3165C85C" w14:textId="0FDD7321" w:rsidR="002E76EB" w:rsidRPr="002F51C9" w:rsidRDefault="002E76EB" w:rsidP="002E76EB">
            <w:pPr>
              <w:jc w:val="center"/>
              <w:rPr>
                <w:rFonts w:cs="Segoe UI Light"/>
                <w:color w:val="000000"/>
                <w:sz w:val="18"/>
                <w:szCs w:val="18"/>
                <w14:textOutline w14:w="0" w14:cap="flat" w14:cmpd="sng" w14:algn="ctr">
                  <w14:noFill/>
                  <w14:prstDash w14:val="solid"/>
                  <w14:bevel/>
                </w14:textOutline>
              </w:rPr>
            </w:pPr>
            <w:r>
              <w:rPr>
                <w:rFonts w:cs="Segoe UI Light"/>
                <w:color w:val="000000"/>
                <w:sz w:val="18"/>
                <w:szCs w:val="18"/>
                <w14:textOutline w14:w="0" w14:cap="flat" w14:cmpd="sng" w14:algn="ctr">
                  <w14:noFill/>
                  <w14:prstDash w14:val="solid"/>
                  <w14:bevel/>
                </w14:textOutline>
              </w:rPr>
              <w:t>23</w:t>
            </w:r>
          </w:p>
        </w:tc>
        <w:tc>
          <w:tcPr>
            <w:tcW w:w="2107" w:type="pct"/>
          </w:tcPr>
          <w:p w14:paraId="28C4384E" w14:textId="6FB4721F"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Jurnalul Oficial al Uniunii Europene ,  REGULAMENTUL (UE) NR. 838/2010 AL COMISIEIdin 23 septembrie 2010privind stabilirea orientărilor referitoare la mecanismul compensărilor între operatorii de sisteme de transport .i abordarea comună de reglementare în domeniul stabilirii taxelor de transport 2010</w:t>
            </w:r>
          </w:p>
        </w:tc>
        <w:tc>
          <w:tcPr>
            <w:tcW w:w="392" w:type="pct"/>
          </w:tcPr>
          <w:p w14:paraId="0AB0DBBC" w14:textId="03C8618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b/>
                <w:bCs/>
                <w:color w:val="000000"/>
                <w:sz w:val="18"/>
                <w:szCs w:val="18"/>
                <w:lang w:val="ro-RO" w:eastAsia="ro-RO"/>
              </w:rPr>
              <w:t>23</w:t>
            </w:r>
          </w:p>
        </w:tc>
        <w:tc>
          <w:tcPr>
            <w:tcW w:w="264" w:type="pct"/>
          </w:tcPr>
          <w:p w14:paraId="3DEA7524" w14:textId="39524C4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7</w:t>
            </w:r>
          </w:p>
        </w:tc>
        <w:tc>
          <w:tcPr>
            <w:tcW w:w="360" w:type="pct"/>
          </w:tcPr>
          <w:p w14:paraId="669CC89B" w14:textId="2544867A"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30.0%</w:t>
            </w:r>
          </w:p>
        </w:tc>
        <w:tc>
          <w:tcPr>
            <w:tcW w:w="360" w:type="pct"/>
          </w:tcPr>
          <w:p w14:paraId="27C8DD0B" w14:textId="50E7AB8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20.0%</w:t>
            </w:r>
          </w:p>
        </w:tc>
        <w:tc>
          <w:tcPr>
            <w:tcW w:w="360" w:type="pct"/>
          </w:tcPr>
          <w:p w14:paraId="5FD4B6B3" w14:textId="62ABE5C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30%</w:t>
            </w:r>
          </w:p>
        </w:tc>
        <w:tc>
          <w:tcPr>
            <w:tcW w:w="289" w:type="pct"/>
          </w:tcPr>
          <w:p w14:paraId="7E71EAB5" w14:textId="779BFD8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50%</w:t>
            </w:r>
          </w:p>
        </w:tc>
        <w:tc>
          <w:tcPr>
            <w:tcW w:w="475" w:type="pct"/>
          </w:tcPr>
          <w:p w14:paraId="7346215B" w14:textId="365A214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10.0%</w:t>
            </w:r>
          </w:p>
        </w:tc>
        <w:tc>
          <w:tcPr>
            <w:tcW w:w="175" w:type="pct"/>
          </w:tcPr>
          <w:p w14:paraId="647A86C9" w14:textId="3ABA5BCF"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3E2C">
              <w:rPr>
                <w:rFonts w:eastAsia="Times New Roman"/>
                <w:color w:val="000000"/>
                <w:sz w:val="18"/>
                <w:szCs w:val="18"/>
                <w:lang w:val="ro-RO" w:eastAsia="ro-RO"/>
              </w:rPr>
              <w:t>37%</w:t>
            </w:r>
          </w:p>
        </w:tc>
      </w:tr>
      <w:tr w:rsidR="002E76EB" w14:paraId="6DDF0F62"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725B9ADF" w14:textId="3C352EEC" w:rsidR="002E76EB" w:rsidRPr="002F51C9" w:rsidRDefault="002E76EB" w:rsidP="002E76EB">
            <w:pPr>
              <w:rPr>
                <w:rFonts w:cs="Segoe UI Light"/>
                <w:color w:val="000000"/>
                <w:sz w:val="18"/>
                <w:szCs w:val="18"/>
                <w14:textOutline w14:w="0" w14:cap="flat" w14:cmpd="sng" w14:algn="ctr">
                  <w14:noFill/>
                  <w14:prstDash w14:val="solid"/>
                  <w14:bevel/>
                </w14:textOutline>
              </w:rPr>
            </w:pPr>
            <w:r>
              <w:rPr>
                <w:rFonts w:cs="Segoe UI Light"/>
                <w:color w:val="000000"/>
                <w:sz w:val="18"/>
                <w:szCs w:val="18"/>
                <w14:textOutline w14:w="0" w14:cap="flat" w14:cmpd="sng" w14:algn="ctr">
                  <w14:noFill/>
                  <w14:prstDash w14:val="solid"/>
                  <w14:bevel/>
                </w14:textOutline>
              </w:rPr>
              <w:t>24</w:t>
            </w:r>
          </w:p>
        </w:tc>
        <w:tc>
          <w:tcPr>
            <w:tcW w:w="2107" w:type="pct"/>
          </w:tcPr>
          <w:p w14:paraId="3F515486" w14:textId="13FA7581"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Ref.</w:t>
            </w:r>
            <w:r w:rsidR="001E68A1">
              <w:rPr>
                <w:rFonts w:ascii="Segoe UI Light" w:eastAsia="Times New Roman" w:hAnsi="Segoe UI Light" w:cs="Segoe UI Light"/>
                <w:sz w:val="18"/>
                <w:szCs w:val="18"/>
                <w:lang w:val="ro-RO" w:eastAsia="ro-RO"/>
              </w:rPr>
              <w:t xml:space="preserve"> Ares(2016)6753257 - 02/12/2016, </w:t>
            </w:r>
            <w:r w:rsidRPr="001E68A1">
              <w:rPr>
                <w:rFonts w:ascii="Segoe UI Light" w:eastAsia="Times New Roman" w:hAnsi="Segoe UI Light" w:cs="Segoe UI Light"/>
                <w:sz w:val="18"/>
                <w:szCs w:val="18"/>
                <w:lang w:val="ro-RO" w:eastAsia="ro-RO"/>
              </w:rPr>
              <w:t>Basic schemes for TSO-DSO coordination andancillary services provision 2016</w:t>
            </w:r>
          </w:p>
        </w:tc>
        <w:tc>
          <w:tcPr>
            <w:tcW w:w="392" w:type="pct"/>
          </w:tcPr>
          <w:p w14:paraId="2E2467BB" w14:textId="10880A9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b/>
                <w:bCs/>
                <w:color w:val="000000"/>
                <w:sz w:val="18"/>
                <w:szCs w:val="18"/>
                <w:lang w:val="ro-RO" w:eastAsia="ro-RO"/>
              </w:rPr>
              <w:t>24</w:t>
            </w:r>
          </w:p>
        </w:tc>
        <w:tc>
          <w:tcPr>
            <w:tcW w:w="264" w:type="pct"/>
          </w:tcPr>
          <w:p w14:paraId="45AC3C9C" w14:textId="4E0BE89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100</w:t>
            </w:r>
          </w:p>
        </w:tc>
        <w:tc>
          <w:tcPr>
            <w:tcW w:w="360" w:type="pct"/>
          </w:tcPr>
          <w:p w14:paraId="7B9E180A" w14:textId="39E62A71"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80.0%</w:t>
            </w:r>
          </w:p>
        </w:tc>
        <w:tc>
          <w:tcPr>
            <w:tcW w:w="360" w:type="pct"/>
          </w:tcPr>
          <w:p w14:paraId="7B0D42FF" w14:textId="4DF6FF20"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20.0%</w:t>
            </w:r>
          </w:p>
        </w:tc>
        <w:tc>
          <w:tcPr>
            <w:tcW w:w="360" w:type="pct"/>
          </w:tcPr>
          <w:p w14:paraId="46D02B25" w14:textId="17A652CF"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0%</w:t>
            </w:r>
          </w:p>
        </w:tc>
        <w:tc>
          <w:tcPr>
            <w:tcW w:w="289" w:type="pct"/>
          </w:tcPr>
          <w:p w14:paraId="3B1403AE" w14:textId="62C37D0E"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4%</w:t>
            </w:r>
          </w:p>
        </w:tc>
        <w:tc>
          <w:tcPr>
            <w:tcW w:w="475" w:type="pct"/>
          </w:tcPr>
          <w:p w14:paraId="09DE10DE" w14:textId="00A1623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90.0%</w:t>
            </w:r>
          </w:p>
        </w:tc>
        <w:tc>
          <w:tcPr>
            <w:tcW w:w="175" w:type="pct"/>
          </w:tcPr>
          <w:p w14:paraId="2739C248" w14:textId="4A41D9E8"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3E2C">
              <w:rPr>
                <w:rFonts w:eastAsia="Times New Roman"/>
                <w:color w:val="000000"/>
                <w:sz w:val="18"/>
                <w:szCs w:val="18"/>
                <w:lang w:val="ro-RO" w:eastAsia="ro-RO"/>
              </w:rPr>
              <w:t>3%</w:t>
            </w:r>
          </w:p>
        </w:tc>
      </w:tr>
      <w:tr w:rsidR="002E76EB" w14:paraId="72B2B2C0" w14:textId="77777777" w:rsidTr="002E76EB">
        <w:trPr>
          <w:trHeight w:val="612"/>
        </w:trPr>
        <w:tc>
          <w:tcPr>
            <w:cnfStyle w:val="001000000000" w:firstRow="0" w:lastRow="0" w:firstColumn="1" w:lastColumn="0" w:oddVBand="0" w:evenVBand="0" w:oddHBand="0" w:evenHBand="0" w:firstRowFirstColumn="0" w:firstRowLastColumn="0" w:lastRowFirstColumn="0" w:lastRowLastColumn="0"/>
            <w:tcW w:w="218" w:type="pct"/>
          </w:tcPr>
          <w:p w14:paraId="6E959B24" w14:textId="4876E414" w:rsidR="002E76EB" w:rsidRPr="002F51C9" w:rsidRDefault="002E76EB" w:rsidP="002E76EB">
            <w:pPr>
              <w:jc w:val="center"/>
              <w:rPr>
                <w:rFonts w:cs="Segoe UI Light"/>
                <w:color w:val="000000"/>
                <w:sz w:val="18"/>
                <w:szCs w:val="18"/>
                <w14:textOutline w14:w="0" w14:cap="flat" w14:cmpd="sng" w14:algn="ctr">
                  <w14:noFill/>
                  <w14:prstDash w14:val="solid"/>
                  <w14:bevel/>
                </w14:textOutline>
              </w:rPr>
            </w:pPr>
            <w:r>
              <w:rPr>
                <w:rFonts w:cs="Segoe UI Light"/>
                <w:color w:val="000000"/>
                <w:sz w:val="18"/>
                <w:szCs w:val="18"/>
                <w14:textOutline w14:w="0" w14:cap="flat" w14:cmpd="sng" w14:algn="ctr">
                  <w14:noFill/>
                  <w14:prstDash w14:val="solid"/>
                  <w14:bevel/>
                </w14:textOutline>
              </w:rPr>
              <w:t>25</w:t>
            </w:r>
          </w:p>
        </w:tc>
        <w:tc>
          <w:tcPr>
            <w:tcW w:w="2107" w:type="pct"/>
          </w:tcPr>
          <w:p w14:paraId="7C6DA0B9" w14:textId="52AE04BF" w:rsidR="002E76EB" w:rsidRPr="001E68A1" w:rsidRDefault="002E76EB" w:rsidP="001E68A1">
            <w:pPr>
              <w:pStyle w:val="Default"/>
              <w:tabs>
                <w:tab w:val="left" w:pos="720"/>
                <w:tab w:val="left" w:pos="1440"/>
                <w:tab w:val="left" w:pos="2160"/>
                <w:tab w:val="left" w:pos="2880"/>
                <w:tab w:val="left" w:pos="3600"/>
              </w:tabs>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18"/>
                <w:szCs w:val="18"/>
              </w:rPr>
            </w:pPr>
            <w:r w:rsidRPr="001E68A1">
              <w:rPr>
                <w:rFonts w:ascii="Segoe UI Light" w:eastAsia="Times New Roman" w:hAnsi="Segoe UI Light" w:cs="Segoe UI Light"/>
                <w:sz w:val="18"/>
                <w:szCs w:val="18"/>
                <w:lang w:val="ro-RO" w:eastAsia="ro-RO"/>
              </w:rPr>
              <w:t>EG3 report ,  Regulatory Recommendations forthe Deployment of Flexibility 2015</w:t>
            </w:r>
          </w:p>
        </w:tc>
        <w:tc>
          <w:tcPr>
            <w:tcW w:w="392" w:type="pct"/>
          </w:tcPr>
          <w:p w14:paraId="14BBC1BC" w14:textId="5E868BB9"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b/>
                <w:bCs/>
                <w:color w:val="000000"/>
                <w:sz w:val="18"/>
                <w:szCs w:val="18"/>
                <w:lang w:val="ro-RO" w:eastAsia="ro-RO"/>
              </w:rPr>
              <w:t>25</w:t>
            </w:r>
          </w:p>
        </w:tc>
        <w:tc>
          <w:tcPr>
            <w:tcW w:w="264" w:type="pct"/>
          </w:tcPr>
          <w:p w14:paraId="02040BC3" w14:textId="6AAB2D65"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94</w:t>
            </w:r>
          </w:p>
        </w:tc>
        <w:tc>
          <w:tcPr>
            <w:tcW w:w="360" w:type="pct"/>
          </w:tcPr>
          <w:p w14:paraId="7043EFBC" w14:textId="43F958D4"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70.0%</w:t>
            </w:r>
          </w:p>
        </w:tc>
        <w:tc>
          <w:tcPr>
            <w:tcW w:w="360" w:type="pct"/>
          </w:tcPr>
          <w:p w14:paraId="7950EC77" w14:textId="4FD18E63"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10.0%</w:t>
            </w:r>
          </w:p>
        </w:tc>
        <w:tc>
          <w:tcPr>
            <w:tcW w:w="360" w:type="pct"/>
          </w:tcPr>
          <w:p w14:paraId="308C9B06" w14:textId="35504FD8"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0%</w:t>
            </w:r>
          </w:p>
        </w:tc>
        <w:tc>
          <w:tcPr>
            <w:tcW w:w="289" w:type="pct"/>
          </w:tcPr>
          <w:p w14:paraId="1D241085" w14:textId="6513F02D"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4%</w:t>
            </w:r>
          </w:p>
        </w:tc>
        <w:tc>
          <w:tcPr>
            <w:tcW w:w="475" w:type="pct"/>
          </w:tcPr>
          <w:p w14:paraId="0B9A81E8" w14:textId="48F1DEF7" w:rsidR="002E76EB" w:rsidRPr="001E68A1"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68A1">
              <w:rPr>
                <w:rFonts w:eastAsia="Times New Roman" w:cs="Segoe UI Light"/>
                <w:color w:val="000000"/>
                <w:sz w:val="18"/>
                <w:szCs w:val="18"/>
                <w:lang w:val="ro-RO" w:eastAsia="ro-RO"/>
              </w:rPr>
              <w:t>60.0%</w:t>
            </w:r>
          </w:p>
        </w:tc>
        <w:tc>
          <w:tcPr>
            <w:tcW w:w="175" w:type="pct"/>
          </w:tcPr>
          <w:p w14:paraId="41764E9D" w14:textId="020383CC" w:rsidR="002E76EB" w:rsidRPr="002F51C9" w:rsidRDefault="002E76EB" w:rsidP="002E76EB">
            <w:pPr>
              <w:jc w:val="center"/>
              <w:cnfStyle w:val="000000000000" w:firstRow="0" w:lastRow="0" w:firstColumn="0" w:lastColumn="0" w:oddVBand="0" w:evenVBand="0" w:oddHBand="0" w:evenHBand="0" w:firstRowFirstColumn="0" w:firstRowLastColumn="0" w:lastRowFirstColumn="0" w:lastRowLastColumn="0"/>
              <w:rPr>
                <w:rFonts w:cs="Segoe UI Light"/>
                <w:color w:val="000000"/>
                <w:sz w:val="18"/>
                <w:szCs w:val="18"/>
                <w14:textOutline w14:w="0" w14:cap="flat" w14:cmpd="sng" w14:algn="ctr">
                  <w14:noFill/>
                  <w14:prstDash w14:val="solid"/>
                  <w14:bevel/>
                </w14:textOutline>
              </w:rPr>
            </w:pPr>
            <w:r w:rsidRPr="001E3E2C">
              <w:rPr>
                <w:rFonts w:eastAsia="Times New Roman"/>
                <w:color w:val="000000"/>
                <w:sz w:val="18"/>
                <w:szCs w:val="18"/>
                <w:lang w:val="ro-RO" w:eastAsia="ro-RO"/>
              </w:rPr>
              <w:t>33%</w:t>
            </w:r>
          </w:p>
        </w:tc>
      </w:tr>
    </w:tbl>
    <w:p w14:paraId="1C0BC904" w14:textId="77777777" w:rsidR="002F51C9" w:rsidRPr="00431A12" w:rsidRDefault="002F51C9" w:rsidP="00431A12">
      <w:pPr>
        <w:pStyle w:val="Body"/>
        <w:jc w:val="both"/>
        <w:rPr>
          <w:rFonts w:ascii="Segoe UI Light" w:hAnsi="Segoe UI Light" w:cs="Segoe UI Light"/>
          <w:i/>
          <w:iCs/>
        </w:rPr>
      </w:pPr>
    </w:p>
    <w:p w14:paraId="0A8F9755" w14:textId="64A29191" w:rsidR="00F604EA" w:rsidRPr="00431A12" w:rsidRDefault="002F51C9" w:rsidP="00431A12">
      <w:pPr>
        <w:pStyle w:val="Body"/>
        <w:jc w:val="both"/>
        <w:rPr>
          <w:rFonts w:ascii="Segoe UI Light" w:hAnsi="Segoe UI Light" w:cs="Segoe UI Light"/>
        </w:rPr>
      </w:pPr>
      <w:r w:rsidRPr="002F51C9">
        <w:rPr>
          <w:rFonts w:ascii="Segoe UI Light" w:hAnsi="Segoe UI Light" w:cs="Segoe UI Light"/>
        </w:rPr>
        <w:t>Analizând modul procentual de acoperire a subiectelor care fac obiectul studiului și modul în care materialul bib</w:t>
      </w:r>
      <w:r w:rsidR="00275443">
        <w:rPr>
          <w:rFonts w:ascii="Segoe UI Light" w:hAnsi="Segoe UI Light" w:cs="Segoe UI Light"/>
        </w:rPr>
        <w:t xml:space="preserve">liografic reflectă preocupările părților interesate </w:t>
      </w:r>
      <w:r w:rsidRPr="002F51C9">
        <w:rPr>
          <w:rFonts w:ascii="Segoe UI Light" w:hAnsi="Segoe UI Light" w:cs="Segoe UI Light"/>
        </w:rPr>
        <w:t xml:space="preserve">rezultă un deficit de documentare pe subiect pentru producători. </w:t>
      </w:r>
      <w:r w:rsidR="00275443">
        <w:rPr>
          <w:rFonts w:ascii="Segoe UI Light" w:hAnsi="Segoe UI Light" w:cs="Segoe UI Light"/>
        </w:rPr>
        <w:t xml:space="preserve">Din </w:t>
      </w:r>
      <w:r w:rsidRPr="002F51C9">
        <w:rPr>
          <w:rFonts w:ascii="Segoe UI Light" w:hAnsi="Segoe UI Light" w:cs="Segoe UI Light"/>
        </w:rPr>
        <w:t xml:space="preserve">sursele bibliografice identificate până acum, producătorilor le este dedicată puțină atenție </w:t>
      </w:r>
      <w:r w:rsidR="00275443">
        <w:rPr>
          <w:rFonts w:ascii="Segoe UI Light" w:hAnsi="Segoe UI Light" w:cs="Segoe UI Light"/>
        </w:rPr>
        <w:t>atunci când se pune problema tr</w:t>
      </w:r>
      <w:r w:rsidRPr="002F51C9">
        <w:rPr>
          <w:rFonts w:ascii="Segoe UI Light" w:hAnsi="Segoe UI Light" w:cs="Segoe UI Light"/>
        </w:rPr>
        <w:t>a</w:t>
      </w:r>
      <w:r w:rsidR="00275443">
        <w:rPr>
          <w:rFonts w:ascii="Segoe UI Light" w:hAnsi="Segoe UI Light" w:cs="Segoe UI Light"/>
        </w:rPr>
        <w:t>n</w:t>
      </w:r>
      <w:r w:rsidRPr="002F51C9">
        <w:rPr>
          <w:rFonts w:ascii="Segoe UI Light" w:hAnsi="Segoe UI Light" w:cs="Segoe UI Light"/>
        </w:rPr>
        <w:t xml:space="preserve">zitelor suplimentare și </w:t>
      </w:r>
      <w:r w:rsidR="00275443">
        <w:rPr>
          <w:rFonts w:ascii="Segoe UI Light" w:hAnsi="Segoe UI Light" w:cs="Segoe UI Light"/>
        </w:rPr>
        <w:t xml:space="preserve">în </w:t>
      </w:r>
      <w:r w:rsidRPr="002F51C9">
        <w:rPr>
          <w:rFonts w:ascii="Segoe UI Light" w:hAnsi="Segoe UI Light" w:cs="Segoe UI Light"/>
        </w:rPr>
        <w:t>sistemele de distribuție de 110KV.</w:t>
      </w:r>
    </w:p>
    <w:p w14:paraId="466464E5" w14:textId="7B98FCAA" w:rsidR="002E76EB" w:rsidRPr="001E68A1" w:rsidRDefault="00275443" w:rsidP="001E68A1">
      <w:pPr>
        <w:pStyle w:val="H1b"/>
        <w:rPr>
          <w:rFonts w:eastAsia="Arial Unicode MS"/>
        </w:rPr>
      </w:pPr>
      <w:bookmarkStart w:id="8" w:name="_Toc109164801"/>
      <w:r>
        <w:rPr>
          <w:rFonts w:eastAsia="Arial Unicode MS"/>
        </w:rPr>
        <w:t>Principalele</w:t>
      </w:r>
      <w:r w:rsidR="002E76EB" w:rsidRPr="002E76EB">
        <w:rPr>
          <w:rFonts w:eastAsia="Arial Unicode MS"/>
        </w:rPr>
        <w:t xml:space="preserve"> elemente ale materialului documentar legate de tema de documentare</w:t>
      </w:r>
      <w:bookmarkEnd w:id="8"/>
      <w:r w:rsidR="002E76EB" w:rsidRPr="002E76EB">
        <w:rPr>
          <w:rFonts w:eastAsia="Arial Unicode MS"/>
        </w:rPr>
        <w:t xml:space="preserve"> </w:t>
      </w:r>
    </w:p>
    <w:p w14:paraId="20D82471" w14:textId="77777777" w:rsidR="00275443" w:rsidRDefault="001E68A1" w:rsidP="001E68A1">
      <w:pPr>
        <w:pStyle w:val="Body"/>
        <w:jc w:val="both"/>
        <w:rPr>
          <w:rFonts w:ascii="Segoe UI Light" w:hAnsi="Segoe UI Light" w:cs="Segoe UI Light"/>
        </w:rPr>
      </w:pPr>
      <w:r w:rsidRPr="001E68A1">
        <w:rPr>
          <w:rFonts w:ascii="Segoe UI Light" w:hAnsi="Segoe UI Light" w:cs="Segoe UI Light"/>
        </w:rPr>
        <w:t xml:space="preserve">Față de prima etapă de documentare, în etapa a doua a fost suplimentat numărul surselor documentare de la 22 la 25 așa cum rezultă atât din bibliografie cât și din paragraful cinci actualizat. </w:t>
      </w:r>
    </w:p>
    <w:p w14:paraId="6778BE95" w14:textId="73C36BDD" w:rsidR="001E68A1" w:rsidRPr="001E68A1" w:rsidRDefault="001E68A1" w:rsidP="001E68A1">
      <w:pPr>
        <w:pStyle w:val="Body"/>
        <w:jc w:val="both"/>
        <w:rPr>
          <w:rFonts w:ascii="Segoe UI Light" w:hAnsi="Segoe UI Light" w:cs="Segoe UI Light"/>
        </w:rPr>
      </w:pPr>
      <w:r w:rsidRPr="001E68A1">
        <w:rPr>
          <w:rFonts w:ascii="Segoe UI Light" w:hAnsi="Segoe UI Light" w:cs="Segoe UI Light"/>
        </w:rPr>
        <w:t xml:space="preserve">Față de versiunea anterioară, parcurgerea materialelor </w:t>
      </w:r>
      <w:r w:rsidR="00275443">
        <w:rPr>
          <w:rFonts w:ascii="Segoe UI Light" w:hAnsi="Segoe UI Light" w:cs="Segoe UI Light"/>
        </w:rPr>
        <w:t>evidențiază</w:t>
      </w:r>
      <w:r w:rsidRPr="001E68A1">
        <w:rPr>
          <w:rFonts w:ascii="Segoe UI Light" w:hAnsi="Segoe UI Light" w:cs="Segoe UI Light"/>
        </w:rPr>
        <w:t xml:space="preserve"> ur</w:t>
      </w:r>
      <w:r w:rsidR="00275443">
        <w:rPr>
          <w:rFonts w:ascii="Segoe UI Light" w:hAnsi="Segoe UI Light" w:cs="Segoe UI Light"/>
        </w:rPr>
        <w:t>mătoarele definiții și concept:</w:t>
      </w:r>
    </w:p>
    <w:p w14:paraId="1E345490" w14:textId="56FDD741" w:rsidR="001E68A1" w:rsidRPr="001E68A1" w:rsidRDefault="001E68A1" w:rsidP="001E68A1">
      <w:pPr>
        <w:pStyle w:val="Body"/>
        <w:numPr>
          <w:ilvl w:val="0"/>
          <w:numId w:val="39"/>
        </w:numPr>
        <w:tabs>
          <w:tab w:val="left" w:pos="709"/>
        </w:tabs>
        <w:ind w:left="567" w:hanging="294"/>
        <w:jc w:val="both"/>
        <w:rPr>
          <w:rFonts w:ascii="Segoe UI Light" w:hAnsi="Segoe UI Light" w:cs="Segoe UI Light"/>
        </w:rPr>
      </w:pPr>
      <w:r w:rsidRPr="001E68A1">
        <w:rPr>
          <w:rFonts w:ascii="Segoe UI Light" w:hAnsi="Segoe UI Light" w:cs="Segoe UI Light"/>
        </w:rPr>
        <w:lastRenderedPageBreak/>
        <w:t>Pentru a implementa mecanismul de identificare și alocarea a pierderilor suplimentare, eventual decontare între operatorul de rețea și producători sau operatorii de transport, trebuie adoptate noile linii directoare prevăzut</w:t>
      </w:r>
      <w:r w:rsidR="00275443">
        <w:rPr>
          <w:rFonts w:ascii="Segoe UI Light" w:hAnsi="Segoe UI Light" w:cs="Segoe UI Light"/>
        </w:rPr>
        <w:t xml:space="preserve">e în uzanța Uniunii Europene </w:t>
      </w:r>
      <w:r w:rsidR="00275443" w:rsidRPr="00275443">
        <w:rPr>
          <w:rFonts w:ascii="Segoe UI Light" w:hAnsi="Segoe UI Light" w:cs="Segoe UI Light"/>
          <w:i/>
        </w:rPr>
        <w:t>(a se vedea punctul 10 din Bibliografie</w:t>
      </w:r>
      <w:r w:rsidRPr="00275443">
        <w:rPr>
          <w:rFonts w:ascii="Segoe UI Light" w:hAnsi="Segoe UI Light" w:cs="Segoe UI Light"/>
          <w:i/>
        </w:rPr>
        <w:t>),(</w:t>
      </w:r>
      <w:r w:rsidR="00275443" w:rsidRPr="00275443">
        <w:rPr>
          <w:rFonts w:ascii="Segoe UI Light" w:hAnsi="Segoe UI Light" w:cs="Segoe UI Light"/>
          <w:i/>
        </w:rPr>
        <w:t>a se vedea punctul 11 din Bibliografie</w:t>
      </w:r>
      <w:r w:rsidRPr="00275443">
        <w:rPr>
          <w:rFonts w:ascii="Segoe UI Light" w:hAnsi="Segoe UI Light" w:cs="Segoe UI Light"/>
          <w:i/>
        </w:rPr>
        <w:t xml:space="preserve">), </w:t>
      </w:r>
      <w:r w:rsidRPr="001E68A1">
        <w:rPr>
          <w:rFonts w:ascii="Segoe UI Light" w:hAnsi="Segoe UI Light" w:cs="Segoe UI Light"/>
        </w:rPr>
        <w:t xml:space="preserve">care reflectă cadrul instituțional la momentul realizării acestui studiu; </w:t>
      </w:r>
    </w:p>
    <w:p w14:paraId="589CEA82" w14:textId="7E78DEE6" w:rsidR="001E68A1" w:rsidRPr="001E68A1" w:rsidRDefault="001E68A1" w:rsidP="001E68A1">
      <w:pPr>
        <w:pStyle w:val="Body"/>
        <w:numPr>
          <w:ilvl w:val="0"/>
          <w:numId w:val="39"/>
        </w:numPr>
        <w:tabs>
          <w:tab w:val="left" w:pos="709"/>
        </w:tabs>
        <w:ind w:left="567" w:hanging="294"/>
        <w:jc w:val="both"/>
        <w:rPr>
          <w:rFonts w:ascii="Segoe UI Light" w:hAnsi="Segoe UI Light" w:cs="Segoe UI Light"/>
        </w:rPr>
      </w:pPr>
      <w:r w:rsidRPr="001E68A1">
        <w:rPr>
          <w:rFonts w:ascii="Segoe UI Light" w:hAnsi="Segoe UI Light" w:cs="Segoe UI Light"/>
        </w:rPr>
        <w:t>În special, Agenția pentru cooperarea autorităților de reglementare din domeniul energetic (denumită în continuare „</w:t>
      </w:r>
      <w:r w:rsidR="00275443">
        <w:rPr>
          <w:rFonts w:ascii="Segoe UI Light" w:hAnsi="Segoe UI Light" w:cs="Segoe UI Light"/>
        </w:rPr>
        <w:t>ACER</w:t>
      </w:r>
      <w:r w:rsidRPr="001E68A1">
        <w:rPr>
          <w:rFonts w:ascii="Segoe UI Light" w:hAnsi="Segoe UI Light" w:cs="Segoe UI Light"/>
        </w:rPr>
        <w:t>”), înființată prin Regulamentul (CE) nr. 713/2009 al Parlamentului European și al Consiliului poate fi adoptată ca mode</w:t>
      </w:r>
      <w:r w:rsidR="00275443">
        <w:rPr>
          <w:rFonts w:ascii="Segoe UI Light" w:hAnsi="Segoe UI Light" w:cs="Segoe UI Light"/>
        </w:rPr>
        <w:t xml:space="preserve">l la nivel ANRE pentru </w:t>
      </w:r>
      <w:r w:rsidRPr="001E68A1">
        <w:rPr>
          <w:rFonts w:ascii="Segoe UI Light" w:hAnsi="Segoe UI Light" w:cs="Segoe UI Light"/>
        </w:rPr>
        <w:t>asumarea responsabilităților de monitorizare a implementării mecanismului de compensare între operato</w:t>
      </w:r>
      <w:r w:rsidR="00275443">
        <w:rPr>
          <w:rFonts w:ascii="Segoe UI Light" w:hAnsi="Segoe UI Light" w:cs="Segoe UI Light"/>
        </w:rPr>
        <w:t xml:space="preserve">rii de sisteme de distribuție </w:t>
      </w:r>
      <w:r w:rsidR="00275443" w:rsidRPr="00275443">
        <w:rPr>
          <w:rFonts w:ascii="Segoe UI Light" w:hAnsi="Segoe UI Light" w:cs="Segoe UI Light"/>
          <w:i/>
        </w:rPr>
        <w:t>(a se vedea punctul 1 din Bibliografie), (a se vedea punctul 3 din Bibliografie</w:t>
      </w:r>
      <w:r w:rsidRPr="00275443">
        <w:rPr>
          <w:rFonts w:ascii="Segoe UI Light" w:hAnsi="Segoe UI Light" w:cs="Segoe UI Light"/>
          <w:i/>
        </w:rPr>
        <w:t xml:space="preserve">), </w:t>
      </w:r>
      <w:r w:rsidRPr="001E68A1">
        <w:rPr>
          <w:rFonts w:ascii="Segoe UI Light" w:hAnsi="Segoe UI Light" w:cs="Segoe UI Light"/>
        </w:rPr>
        <w:t xml:space="preserve">producători cu injecție la 110kV și operatorii de sisteme de transport; </w:t>
      </w:r>
    </w:p>
    <w:p w14:paraId="16DD6109" w14:textId="056183EF" w:rsidR="001E68A1" w:rsidRPr="001E68A1" w:rsidRDefault="001E68A1" w:rsidP="001E68A1">
      <w:pPr>
        <w:pStyle w:val="Body"/>
        <w:numPr>
          <w:ilvl w:val="0"/>
          <w:numId w:val="39"/>
        </w:numPr>
        <w:tabs>
          <w:tab w:val="left" w:pos="709"/>
        </w:tabs>
        <w:ind w:left="567" w:hanging="294"/>
        <w:jc w:val="both"/>
        <w:rPr>
          <w:rFonts w:ascii="Segoe UI Light" w:hAnsi="Segoe UI Light" w:cs="Segoe UI Light"/>
        </w:rPr>
      </w:pPr>
      <w:r w:rsidRPr="001E68A1">
        <w:rPr>
          <w:rFonts w:ascii="Segoe UI Light" w:hAnsi="Segoe UI Light" w:cs="Segoe UI Light"/>
        </w:rPr>
        <w:t>Liniile directoare obligatorii prin care se instituie un mecanism de compensare între operatorii de sisteme de distribuție și producători sau operatori de sisteme de transport trebuie să creeze o bază stabilă pentru funcționarea mecanismului de compensare și să conducă la o compensație corectă pentru operatorii de sisteme de transport a costurilor afe</w:t>
      </w:r>
      <w:r w:rsidR="00275443">
        <w:rPr>
          <w:rFonts w:ascii="Segoe UI Light" w:hAnsi="Segoe UI Light" w:cs="Segoe UI Light"/>
        </w:rPr>
        <w:t xml:space="preserve">rente tranzitelor suplimentare </w:t>
      </w:r>
      <w:r w:rsidR="00275443" w:rsidRPr="00275443">
        <w:rPr>
          <w:rFonts w:ascii="Segoe UI Light" w:hAnsi="Segoe UI Light" w:cs="Segoe UI Light"/>
          <w:i/>
        </w:rPr>
        <w:t xml:space="preserve">(a se vedea punctul </w:t>
      </w:r>
      <w:r w:rsidR="00275443">
        <w:rPr>
          <w:rFonts w:ascii="Segoe UI Light" w:hAnsi="Segoe UI Light" w:cs="Segoe UI Light"/>
          <w:i/>
        </w:rPr>
        <w:t>8</w:t>
      </w:r>
      <w:r w:rsidR="00275443" w:rsidRPr="00275443">
        <w:rPr>
          <w:rFonts w:ascii="Segoe UI Light" w:hAnsi="Segoe UI Light" w:cs="Segoe UI Light"/>
          <w:i/>
        </w:rPr>
        <w:t xml:space="preserve"> din Bibliografie</w:t>
      </w:r>
      <w:r w:rsidR="00275443">
        <w:rPr>
          <w:rFonts w:ascii="Segoe UI Light" w:hAnsi="Segoe UI Light" w:cs="Segoe UI Light"/>
        </w:rPr>
        <w:t>),</w:t>
      </w:r>
      <w:r w:rsidR="00275443" w:rsidRPr="00275443">
        <w:rPr>
          <w:rFonts w:ascii="Segoe UI Light" w:hAnsi="Segoe UI Light" w:cs="Segoe UI Light"/>
          <w:i/>
        </w:rPr>
        <w:t xml:space="preserve"> (a se vedea punctul </w:t>
      </w:r>
      <w:r w:rsidR="00275443">
        <w:rPr>
          <w:rFonts w:ascii="Segoe UI Light" w:hAnsi="Segoe UI Light" w:cs="Segoe UI Light"/>
          <w:i/>
        </w:rPr>
        <w:t>9</w:t>
      </w:r>
      <w:r w:rsidR="00275443" w:rsidRPr="00275443">
        <w:rPr>
          <w:rFonts w:ascii="Segoe UI Light" w:hAnsi="Segoe UI Light" w:cs="Segoe UI Light"/>
          <w:i/>
        </w:rPr>
        <w:t xml:space="preserve"> din Bibliografie</w:t>
      </w:r>
      <w:r w:rsidRPr="001E68A1">
        <w:rPr>
          <w:rFonts w:ascii="Segoe UI Light" w:hAnsi="Segoe UI Light" w:cs="Segoe UI Light"/>
        </w:rPr>
        <w:t>);</w:t>
      </w:r>
    </w:p>
    <w:p w14:paraId="45E047A6" w14:textId="45BA2078" w:rsidR="001E68A1" w:rsidRPr="001E68A1" w:rsidRDefault="001E68A1" w:rsidP="00275443">
      <w:pPr>
        <w:pStyle w:val="Body"/>
        <w:numPr>
          <w:ilvl w:val="0"/>
          <w:numId w:val="39"/>
        </w:numPr>
        <w:tabs>
          <w:tab w:val="left" w:pos="709"/>
        </w:tabs>
        <w:ind w:left="567" w:hanging="294"/>
        <w:jc w:val="both"/>
        <w:rPr>
          <w:rFonts w:ascii="Segoe UI Light" w:hAnsi="Segoe UI Light" w:cs="Segoe UI Light"/>
        </w:rPr>
      </w:pPr>
      <w:r w:rsidRPr="001E68A1">
        <w:rPr>
          <w:rFonts w:ascii="Segoe UI Light" w:hAnsi="Segoe UI Light" w:cs="Segoe UI Light"/>
        </w:rPr>
        <w:t>Modelul instituirii unui fond de compensare a operator</w:t>
      </w:r>
      <w:r w:rsidR="00275443">
        <w:rPr>
          <w:rFonts w:ascii="Segoe UI Light" w:hAnsi="Segoe UI Light" w:cs="Segoe UI Light"/>
        </w:rPr>
        <w:t xml:space="preserve">ilor de sisteme de distribuție </w:t>
      </w:r>
      <w:r w:rsidR="00275443" w:rsidRPr="00275443">
        <w:rPr>
          <w:rFonts w:ascii="Segoe UI Light" w:hAnsi="Segoe UI Light" w:cs="Segoe UI Light"/>
          <w:i/>
        </w:rPr>
        <w:t>(a se vedea punctul 1</w:t>
      </w:r>
      <w:r w:rsidR="00275443">
        <w:rPr>
          <w:rFonts w:ascii="Segoe UI Light" w:hAnsi="Segoe UI Light" w:cs="Segoe UI Light"/>
          <w:i/>
        </w:rPr>
        <w:t>3</w:t>
      </w:r>
      <w:r w:rsidR="00275443" w:rsidRPr="00275443">
        <w:rPr>
          <w:rFonts w:ascii="Segoe UI Light" w:hAnsi="Segoe UI Light" w:cs="Segoe UI Light"/>
          <w:i/>
        </w:rPr>
        <w:t xml:space="preserve"> din Bibliografie</w:t>
      </w:r>
      <w:r w:rsidRPr="00275443">
        <w:rPr>
          <w:rFonts w:ascii="Segoe UI Light" w:hAnsi="Segoe UI Light" w:cs="Segoe UI Light"/>
          <w:i/>
        </w:rPr>
        <w:t xml:space="preserve">) </w:t>
      </w:r>
      <w:r w:rsidRPr="001E68A1">
        <w:rPr>
          <w:rFonts w:ascii="Segoe UI Light" w:hAnsi="Segoe UI Light" w:cs="Segoe UI Light"/>
        </w:rPr>
        <w:t xml:space="preserve">pentru pierderile determinate de circulațiile suplimentare aferente punerii la dispoziția producătorilor sau operatorilor de transport a infrastructurii pentru găzduirea fluxurilor suplimentare de putere și implicit de energie electrică. Valoarea acestui fond trebuie să se bazeze pe estimarea la nivel național a costurilor marginale medii previzionate pe termen mediu și termen lung ale punerii la dispoziție a infrastructurii pentru găzduirea fluxurilor suplimentare de energie electrică </w:t>
      </w:r>
      <w:r w:rsidR="00275443" w:rsidRPr="00275443">
        <w:rPr>
          <w:rFonts w:ascii="Segoe UI Light" w:hAnsi="Segoe UI Light" w:cs="Segoe UI Light"/>
          <w:i/>
        </w:rPr>
        <w:t>(a se vedea punctul 1</w:t>
      </w:r>
      <w:r w:rsidR="00275443">
        <w:rPr>
          <w:rFonts w:ascii="Segoe UI Light" w:hAnsi="Segoe UI Light" w:cs="Segoe UI Light"/>
          <w:i/>
        </w:rPr>
        <w:t>3</w:t>
      </w:r>
      <w:r w:rsidR="00275443" w:rsidRPr="00275443">
        <w:rPr>
          <w:rFonts w:ascii="Segoe UI Light" w:hAnsi="Segoe UI Light" w:cs="Segoe UI Light"/>
          <w:i/>
        </w:rPr>
        <w:t xml:space="preserve"> din Bibliografie</w:t>
      </w:r>
      <w:r w:rsidR="00275443">
        <w:rPr>
          <w:rFonts w:ascii="Segoe UI Light" w:hAnsi="Segoe UI Light" w:cs="Segoe UI Light"/>
          <w:i/>
        </w:rPr>
        <w:t>).</w:t>
      </w:r>
    </w:p>
    <w:p w14:paraId="482979AE" w14:textId="0C3CDD45" w:rsidR="001E68A1" w:rsidRPr="001E68A1" w:rsidRDefault="001E68A1" w:rsidP="001E68A1">
      <w:pPr>
        <w:pStyle w:val="Body"/>
        <w:numPr>
          <w:ilvl w:val="0"/>
          <w:numId w:val="39"/>
        </w:numPr>
        <w:tabs>
          <w:tab w:val="left" w:pos="709"/>
        </w:tabs>
        <w:ind w:left="567" w:hanging="294"/>
        <w:jc w:val="both"/>
        <w:rPr>
          <w:rFonts w:ascii="Segoe UI Light" w:hAnsi="Segoe UI Light" w:cs="Segoe UI Light"/>
        </w:rPr>
      </w:pPr>
      <w:r w:rsidRPr="001E68A1">
        <w:rPr>
          <w:rFonts w:ascii="Segoe UI Light" w:hAnsi="Segoe UI Light" w:cs="Segoe UI Light"/>
        </w:rPr>
        <w:t>Evaluarea la nivelul României a infrastructurii de distribuție a energiei electrice, asociată cu analiza fluxurilor utile și a fluxurilor suplimentare de energie electrică, determinarea indicilor de tranzit și reglementarea domeniilor de tranzit trebuie efectuată sistematic. Organismul desemnat ca responsabil de coordonarea activităților operatorilor de distribuție, producătorilor și operatorului de transport trebuie să îndeplinească o funcție similară la nivel național. În acest moment, OPCOM/OMEPA pe fluxurile specifice decontării în piața de energie dețin cele mai multe funcționalități și competențe din domeniu la nivel național.</w:t>
      </w:r>
    </w:p>
    <w:p w14:paraId="7A2DE1E6" w14:textId="1523FCCB" w:rsidR="001E68A1" w:rsidRPr="001E68A1" w:rsidRDefault="001E68A1" w:rsidP="00275443">
      <w:pPr>
        <w:pStyle w:val="Body"/>
        <w:numPr>
          <w:ilvl w:val="0"/>
          <w:numId w:val="39"/>
        </w:numPr>
        <w:tabs>
          <w:tab w:val="left" w:pos="709"/>
        </w:tabs>
        <w:ind w:left="567" w:hanging="294"/>
        <w:jc w:val="both"/>
        <w:rPr>
          <w:rFonts w:ascii="Segoe UI Light" w:hAnsi="Segoe UI Light" w:cs="Segoe UI Light"/>
        </w:rPr>
      </w:pPr>
      <w:r w:rsidRPr="001E68A1">
        <w:rPr>
          <w:rFonts w:ascii="Segoe UI Light" w:hAnsi="Segoe UI Light" w:cs="Segoe UI Light"/>
        </w:rPr>
        <w:t xml:space="preserve">Diferențele în ceea ce privește taxele de acces suportate de producătorii de energie electrică pentru accesul la sistemul de distribuție sau transport nu trebuie să aducă atingere principiilor pieței interne Europene. Din acest motiv, taxele medii pentru accesul la rețea în zonele de distribuție afectate trebuie menținute între limite care să contribuie la asigurarea realizării de beneficii </w:t>
      </w:r>
      <w:r w:rsidR="00275443" w:rsidRPr="00275443">
        <w:rPr>
          <w:rFonts w:ascii="Segoe UI Light" w:hAnsi="Segoe UI Light" w:cs="Segoe UI Light"/>
          <w:i/>
        </w:rPr>
        <w:t>(a se vedea punctul 1</w:t>
      </w:r>
      <w:r w:rsidR="00275443">
        <w:rPr>
          <w:rFonts w:ascii="Segoe UI Light" w:hAnsi="Segoe UI Light" w:cs="Segoe UI Light"/>
          <w:i/>
        </w:rPr>
        <w:t>3</w:t>
      </w:r>
      <w:r w:rsidR="00275443" w:rsidRPr="00275443">
        <w:rPr>
          <w:rFonts w:ascii="Segoe UI Light" w:hAnsi="Segoe UI Light" w:cs="Segoe UI Light"/>
          <w:i/>
        </w:rPr>
        <w:t xml:space="preserve"> din Bibliografie</w:t>
      </w:r>
      <w:r w:rsidR="00275443">
        <w:rPr>
          <w:rFonts w:ascii="Segoe UI Light" w:hAnsi="Segoe UI Light" w:cs="Segoe UI Light"/>
          <w:i/>
        </w:rPr>
        <w:t>).</w:t>
      </w:r>
    </w:p>
    <w:p w14:paraId="4D401EA7" w14:textId="77777777" w:rsidR="001E68A1" w:rsidRPr="001E68A1" w:rsidRDefault="001E68A1" w:rsidP="001E68A1">
      <w:pPr>
        <w:pStyle w:val="Body"/>
        <w:rPr>
          <w:rFonts w:ascii="Segoe UI Light" w:hAnsi="Segoe UI Light" w:cs="Segoe UI Light"/>
        </w:rPr>
      </w:pPr>
      <w:r w:rsidRPr="001E68A1">
        <w:rPr>
          <w:rFonts w:ascii="Segoe UI Light" w:hAnsi="Segoe UI Light" w:cs="Segoe UI Light"/>
        </w:rPr>
        <w:t>Modul de lucru practic presupune următoarele elemente de reglementare:</w:t>
      </w:r>
    </w:p>
    <w:p w14:paraId="2FE4CE4D" w14:textId="15F70E50" w:rsidR="001E68A1" w:rsidRPr="001E68A1" w:rsidRDefault="001E68A1" w:rsidP="001E68A1">
      <w:pPr>
        <w:pStyle w:val="Body"/>
        <w:numPr>
          <w:ilvl w:val="0"/>
          <w:numId w:val="40"/>
        </w:numPr>
        <w:jc w:val="both"/>
        <w:rPr>
          <w:rFonts w:ascii="Segoe UI Light" w:hAnsi="Segoe UI Light" w:cs="Segoe UI Light"/>
        </w:rPr>
      </w:pPr>
      <w:r w:rsidRPr="001E68A1">
        <w:rPr>
          <w:rFonts w:ascii="Segoe UI Light" w:hAnsi="Segoe UI Light" w:cs="Segoe UI Light"/>
        </w:rPr>
        <w:lastRenderedPageBreak/>
        <w:t>Operatorii de sisteme de distribuție primesc o compensație pentru costurile suportate ca rezultat al găzduirii fluxurilor suplimentare de energie electrică în rețelele lor pe baza liniilor directoare prevăzute în Livrabilul 5/5prim și 5 secund al acestui studiu</w:t>
      </w:r>
    </w:p>
    <w:p w14:paraId="31AD5B28" w14:textId="2014B0E2" w:rsidR="006A3925" w:rsidRDefault="001E68A1" w:rsidP="001E68A1">
      <w:pPr>
        <w:pStyle w:val="Body"/>
        <w:numPr>
          <w:ilvl w:val="0"/>
          <w:numId w:val="40"/>
        </w:numPr>
        <w:jc w:val="both"/>
        <w:rPr>
          <w:rFonts w:ascii="Segoe UI Light" w:eastAsia="Arial Unicode MS" w:hAnsi="Segoe UI Light" w:cs="Segoe UI Light"/>
        </w:rPr>
      </w:pPr>
      <w:r w:rsidRPr="001E68A1">
        <w:rPr>
          <w:rFonts w:ascii="Segoe UI Light" w:hAnsi="Segoe UI Light" w:cs="Segoe UI Light"/>
        </w:rPr>
        <w:t>Taxele aplicate de operatorii de rețea pentru accesul la sistemele de distribuție trebuie să fie în conformitate cu liniile directoare stabilite în Livrabilul 5 secund.</w:t>
      </w:r>
    </w:p>
    <w:p w14:paraId="3F0C092B" w14:textId="4588C815" w:rsidR="001E68A1" w:rsidRPr="001E68A1" w:rsidRDefault="001E68A1" w:rsidP="001E68A1">
      <w:pPr>
        <w:pStyle w:val="H1b"/>
        <w:rPr>
          <w:rFonts w:eastAsia="Arial Unicode MS"/>
        </w:rPr>
      </w:pPr>
      <w:bookmarkStart w:id="9" w:name="_Toc108333044"/>
      <w:bookmarkStart w:id="10" w:name="_Toc109164802"/>
      <w:r w:rsidRPr="001E68A1">
        <w:rPr>
          <w:rFonts w:eastAsia="Arial Unicode MS"/>
        </w:rPr>
        <w:t>Concluzii</w:t>
      </w:r>
      <w:bookmarkEnd w:id="9"/>
      <w:bookmarkEnd w:id="10"/>
      <w:r w:rsidRPr="001E68A1">
        <w:rPr>
          <w:rFonts w:eastAsia="Arial Unicode MS"/>
        </w:rPr>
        <w:t xml:space="preserve"> </w:t>
      </w:r>
    </w:p>
    <w:p w14:paraId="4BC8928F" w14:textId="77777777" w:rsidR="001E68A1" w:rsidRPr="001E68A1" w:rsidRDefault="001E68A1" w:rsidP="001E68A1">
      <w:pPr>
        <w:pStyle w:val="Frspaiere"/>
        <w:jc w:val="both"/>
        <w:rPr>
          <w:rFonts w:ascii="Segoe UI Light" w:eastAsia="Times New Roman" w:hAnsi="Segoe UI Light" w:cs="Segoe UI Light"/>
          <w:color w:val="000000"/>
          <w:u w:color="000000"/>
          <w:bdr w:val="nil"/>
          <w:lang w:val="en-US" w:eastAsia="en-GB"/>
          <w14:textOutline w14:w="0" w14:cap="flat" w14:cmpd="sng" w14:algn="ctr">
            <w14:noFill/>
            <w14:prstDash w14:val="solid"/>
            <w14:bevel/>
          </w14:textOutline>
        </w:rPr>
      </w:pPr>
      <w:r w:rsidRPr="001E68A1">
        <w:rPr>
          <w:rFonts w:ascii="Segoe UI Light" w:eastAsia="Times New Roman" w:hAnsi="Segoe UI Light" w:cs="Segoe UI Light"/>
          <w:color w:val="000000"/>
          <w:u w:color="000000"/>
          <w:bdr w:val="nil"/>
          <w:lang w:val="en-US" w:eastAsia="en-GB"/>
          <w14:textOutline w14:w="0" w14:cap="flat" w14:cmpd="sng" w14:algn="ctr">
            <w14:noFill/>
            <w14:prstDash w14:val="solid"/>
            <w14:bevel/>
          </w14:textOutline>
        </w:rPr>
        <w:t>Procesul de documentare a permis identificarea surselor bibliografice. În esență documentele vizează probleme de: reglementare, mecanisme de gestionare a pierderilor de către distribuitori și mai puțin aspecte determinate de pierderile suplimentare.</w:t>
      </w:r>
    </w:p>
    <w:p w14:paraId="3BEAB529" w14:textId="4C9A8C36" w:rsidR="006A3925" w:rsidRPr="001E68A1" w:rsidRDefault="001E68A1" w:rsidP="001E68A1">
      <w:pPr>
        <w:pStyle w:val="BodyA"/>
        <w:numPr>
          <w:ilvl w:val="0"/>
          <w:numId w:val="40"/>
        </w:numPr>
      </w:pPr>
      <w:r w:rsidRPr="003C792F">
        <w:rPr>
          <w:rFonts w:ascii="Arial Unicode MS" w:eastAsia="Arial Unicode MS" w:hAnsi="Arial Unicode MS" w:cs="Arial Unicode MS"/>
        </w:rPr>
        <w:br w:type="page"/>
      </w:r>
    </w:p>
    <w:p w14:paraId="3DAC84D9" w14:textId="77777777" w:rsidR="002F51C9" w:rsidRPr="002F51C9" w:rsidRDefault="002F51C9" w:rsidP="002F51C9">
      <w:pPr>
        <w:pStyle w:val="H1b"/>
        <w:numPr>
          <w:ilvl w:val="0"/>
          <w:numId w:val="0"/>
        </w:numPr>
        <w:rPr>
          <w:rFonts w:eastAsia="Arial Unicode MS"/>
        </w:rPr>
      </w:pPr>
      <w:bookmarkStart w:id="11" w:name="_Toc103580128"/>
      <w:bookmarkStart w:id="12" w:name="_Toc109164803"/>
      <w:r w:rsidRPr="002F51C9">
        <w:rPr>
          <w:rFonts w:eastAsia="Arial Unicode MS"/>
        </w:rPr>
        <w:lastRenderedPageBreak/>
        <w:t>Bibliografie</w:t>
      </w:r>
      <w:bookmarkEnd w:id="11"/>
      <w:bookmarkEnd w:id="12"/>
      <w:r w:rsidRPr="002F51C9">
        <w:rPr>
          <w:rFonts w:eastAsia="Arial Unicode MS"/>
        </w:rPr>
        <w:t xml:space="preserve"> </w:t>
      </w:r>
    </w:p>
    <w:p w14:paraId="1E714470" w14:textId="77777777" w:rsidR="002F51C9" w:rsidRPr="002F51C9" w:rsidRDefault="002F51C9" w:rsidP="002F51C9">
      <w:pPr>
        <w:pStyle w:val="BodyA"/>
        <w:jc w:val="both"/>
        <w:rPr>
          <w:rFonts w:ascii="Segoe UI Light" w:hAnsi="Segoe UI Light" w:cs="Segoe UI Light"/>
        </w:rPr>
      </w:pPr>
    </w:p>
    <w:p w14:paraId="7A5B3ABA" w14:textId="28693142" w:rsidR="002F51C9" w:rsidRPr="002F51C9" w:rsidRDefault="002F51C9" w:rsidP="007D4E81">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CIRED WG CC-2015-2, </w:t>
      </w:r>
      <w:r w:rsidRPr="002F51C9">
        <w:rPr>
          <w:rFonts w:ascii="Segoe UI Light" w:eastAsia="Arial Unicode MS" w:hAnsi="Segoe UI Light" w:cs="Segoe UI Light"/>
          <w:lang w:val="en-US"/>
        </w:rPr>
        <w:t>Reduction of Technical and Non-Technical Losses in Distribution Networks 2017</w:t>
      </w:r>
      <w:r w:rsidR="007D4E81">
        <w:rPr>
          <w:rFonts w:ascii="Segoe UI Light" w:eastAsia="Arial Unicode MS" w:hAnsi="Segoe UI Light" w:cs="Segoe UI Light"/>
          <w:lang w:val="en-US"/>
        </w:rPr>
        <w:t xml:space="preserve"> (</w:t>
      </w:r>
      <w:r w:rsidR="007D4E81" w:rsidRPr="007D4E81">
        <w:rPr>
          <w:rFonts w:ascii="Segoe UI Light" w:eastAsia="Arial Unicode MS" w:hAnsi="Segoe UI Light" w:cs="Segoe UI Light"/>
          <w:lang w:val="en-US"/>
        </w:rPr>
        <w:t>http://www.cired.net/cired-working-groups/technical-and-non-technical-losses</w:t>
      </w:r>
      <w:r w:rsidR="007D4E81">
        <w:rPr>
          <w:rFonts w:ascii="Segoe UI Light" w:eastAsia="Arial Unicode MS" w:hAnsi="Segoe UI Light" w:cs="Segoe UI Light"/>
          <w:lang w:val="en-US"/>
        </w:rPr>
        <w:t>)</w:t>
      </w:r>
    </w:p>
    <w:p w14:paraId="18E8DAB3" w14:textId="5208396D" w:rsidR="002F51C9" w:rsidRPr="002F51C9" w:rsidRDefault="002F51C9" w:rsidP="001E68A1">
      <w:pPr>
        <w:pStyle w:val="BodyA"/>
        <w:numPr>
          <w:ilvl w:val="0"/>
          <w:numId w:val="37"/>
        </w:numPr>
        <w:jc w:val="both"/>
        <w:rPr>
          <w:rFonts w:ascii="Segoe UI Light" w:hAnsi="Segoe UI Light" w:cs="Segoe UI Light"/>
        </w:rPr>
      </w:pPr>
      <w:r w:rsidRPr="002F51C9">
        <w:rPr>
          <w:rFonts w:ascii="Segoe UI Light" w:eastAsia="Arial Unicode MS" w:hAnsi="Segoe UI Light" w:cs="Segoe UI Light"/>
          <w:lang w:val="de-DE"/>
        </w:rPr>
        <w:t>D. RUBIO-MIGUEL1*; J. MERINO2,3; P. EGU</w:t>
      </w:r>
      <w:r w:rsidRPr="002F51C9">
        <w:rPr>
          <w:rFonts w:ascii="Segoe UI Light" w:eastAsia="Arial Unicode MS" w:hAnsi="Segoe UI Light" w:cs="Segoe UI Light"/>
        </w:rPr>
        <w:t>Í</w:t>
      </w:r>
      <w:r w:rsidRPr="002F51C9">
        <w:rPr>
          <w:rFonts w:ascii="Segoe UI Light" w:eastAsia="Arial Unicode MS" w:hAnsi="Segoe UI Light" w:cs="Segoe UI Light"/>
          <w:lang w:val="de-DE"/>
        </w:rPr>
        <w:t>A-L</w:t>
      </w:r>
      <w:r w:rsidRPr="002F51C9">
        <w:rPr>
          <w:rFonts w:ascii="Segoe UI Light" w:eastAsia="Arial Unicode MS" w:hAnsi="Segoe UI Light" w:cs="Segoe UI Light"/>
        </w:rPr>
        <w:t>Ó</w:t>
      </w:r>
      <w:r>
        <w:rPr>
          <w:rFonts w:ascii="Segoe UI Light" w:eastAsia="Arial Unicode MS" w:hAnsi="Segoe UI Light" w:cs="Segoe UI Light"/>
          <w:lang w:val="en-US"/>
        </w:rPr>
        <w:t xml:space="preserve">PEZ3; E. TORRES-IGLESIAS3, </w:t>
      </w:r>
      <w:r w:rsidRPr="002F51C9">
        <w:rPr>
          <w:rFonts w:ascii="Segoe UI Light" w:eastAsia="Arial Unicode MS" w:hAnsi="Segoe UI Light" w:cs="Segoe UI Light"/>
          <w:lang w:val="en-US"/>
        </w:rPr>
        <w:t>Assessment of distribution grid losses depending on storage location for residential PV systems in three grids in the region of Murcia 2020</w:t>
      </w:r>
    </w:p>
    <w:p w14:paraId="381AB282" w14:textId="212A6BE0" w:rsidR="002F51C9" w:rsidRPr="002F51C9" w:rsidRDefault="00275443" w:rsidP="007D4E81">
      <w:pPr>
        <w:pStyle w:val="BodyA"/>
        <w:numPr>
          <w:ilvl w:val="0"/>
          <w:numId w:val="37"/>
        </w:numPr>
        <w:jc w:val="both"/>
        <w:rPr>
          <w:rFonts w:ascii="Segoe UI Light" w:hAnsi="Segoe UI Light" w:cs="Segoe UI Light"/>
        </w:rPr>
      </w:pPr>
      <w:r>
        <w:rPr>
          <w:rFonts w:ascii="Segoe UI Light" w:eastAsia="Arial Unicode MS" w:hAnsi="Segoe UI Light" w:cs="Segoe UI Light"/>
          <w:lang w:val="de-DE"/>
        </w:rPr>
        <w:t xml:space="preserve">Michael D Simms, </w:t>
      </w:r>
      <w:r w:rsidR="002F51C9" w:rsidRPr="002F51C9">
        <w:rPr>
          <w:rFonts w:ascii="Segoe UI Light" w:eastAsia="Arial Unicode MS" w:hAnsi="Segoe UI Light" w:cs="Segoe UI Light"/>
          <w:lang w:val="de-DE"/>
        </w:rPr>
        <w:t>Distribution System Losses 2013</w:t>
      </w:r>
      <w:r w:rsidR="007D4E81">
        <w:rPr>
          <w:rFonts w:ascii="Segoe UI Light" w:eastAsia="Arial Unicode MS" w:hAnsi="Segoe UI Light" w:cs="Segoe UI Light"/>
          <w:lang w:val="de-DE"/>
        </w:rPr>
        <w:t xml:space="preserve"> (</w:t>
      </w:r>
      <w:hyperlink r:id="rId8" w:history="1">
        <w:r w:rsidR="007D4E81" w:rsidRPr="000F50C5">
          <w:rPr>
            <w:rStyle w:val="Hyperlink"/>
            <w:rFonts w:ascii="Segoe UI Light" w:eastAsia="Arial Unicode MS" w:hAnsi="Segoe UI Light" w:cs="Segoe UI Light"/>
            <w:lang w:val="de-DE"/>
          </w:rPr>
          <w:t>https://manualzz.com/doc/38801324/smart-metering-by-mike-simms</w:t>
        </w:r>
      </w:hyperlink>
      <w:r w:rsidR="007D4E81">
        <w:rPr>
          <w:rFonts w:ascii="Segoe UI Light" w:eastAsia="Arial Unicode MS" w:hAnsi="Segoe UI Light" w:cs="Segoe UI Light"/>
          <w:lang w:val="de-DE"/>
        </w:rPr>
        <w:t xml:space="preserve"> )</w:t>
      </w:r>
    </w:p>
    <w:p w14:paraId="733F08E1" w14:textId="09353AC6" w:rsidR="002F51C9" w:rsidRPr="007D4E81" w:rsidRDefault="007D4E81" w:rsidP="007D4E81">
      <w:pPr>
        <w:pStyle w:val="BodyA"/>
        <w:numPr>
          <w:ilvl w:val="0"/>
          <w:numId w:val="37"/>
        </w:numPr>
        <w:rPr>
          <w:rFonts w:ascii="Segoe UI Light" w:eastAsia="Arial Unicode MS" w:hAnsi="Segoe UI Light" w:cs="Segoe UI Light"/>
          <w:lang w:val="pt-PT"/>
        </w:rPr>
      </w:pPr>
      <w:r>
        <w:rPr>
          <w:rFonts w:ascii="Segoe UI Light" w:eastAsia="Arial Unicode MS" w:hAnsi="Segoe UI Light" w:cs="Segoe UI Light"/>
          <w:lang w:val="pt-PT"/>
        </w:rPr>
        <w:t>Rabab Haidera</w:t>
      </w:r>
      <w:r w:rsidRPr="007D4E81">
        <w:rPr>
          <w:rFonts w:ascii="Segoe UI Light" w:eastAsia="Arial Unicode MS" w:hAnsi="Segoe UI Light" w:cs="Segoe UI Light"/>
          <w:lang w:val="pt-PT"/>
        </w:rPr>
        <w:t>, David D’Achiardia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Venkatesh Venkataramanana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Anurag Srivastavab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Anjan Boseb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Anuradha M. Annaswamy</w:t>
      </w:r>
      <w:r>
        <w:rPr>
          <w:rFonts w:ascii="Segoe UI Light" w:eastAsia="Arial Unicode MS" w:hAnsi="Segoe UI Light" w:cs="Segoe UI Light"/>
          <w:lang w:val="pt-PT"/>
        </w:rPr>
        <w:t xml:space="preserve"> - </w:t>
      </w:r>
      <w:r w:rsidR="002F51C9" w:rsidRPr="007D4E81">
        <w:rPr>
          <w:rFonts w:ascii="Segoe UI Light" w:eastAsia="Arial Unicode MS" w:hAnsi="Segoe UI Light" w:cs="Segoe UI Light"/>
          <w:lang w:val="en-US"/>
        </w:rPr>
        <w:t>Reinventing the Utility for DERs: A Proposal for a DSO-Centric Retail Electricity Market 2021</w:t>
      </w:r>
      <w:r>
        <w:rPr>
          <w:rFonts w:ascii="Segoe UI Light" w:eastAsia="Arial Unicode MS" w:hAnsi="Segoe UI Light" w:cs="Segoe UI Light"/>
          <w:lang w:val="en-US"/>
        </w:rPr>
        <w:t xml:space="preserve"> (</w:t>
      </w:r>
      <w:hyperlink r:id="rId9" w:history="1">
        <w:r w:rsidRPr="000F50C5">
          <w:rPr>
            <w:rStyle w:val="Hyperlink"/>
            <w:rFonts w:ascii="Segoe UI Light" w:eastAsia="Arial Unicode MS" w:hAnsi="Segoe UI Light" w:cs="Segoe UI Light"/>
            <w:lang w:val="en-US"/>
          </w:rPr>
          <w:t>https://arxiv.org/pdf/2102.01269.pdf</w:t>
        </w:r>
      </w:hyperlink>
      <w:r>
        <w:rPr>
          <w:rFonts w:ascii="Segoe UI Light" w:eastAsia="Arial Unicode MS" w:hAnsi="Segoe UI Light" w:cs="Segoe UI Light"/>
          <w:lang w:val="en-US"/>
        </w:rPr>
        <w:t xml:space="preserve"> )</w:t>
      </w:r>
    </w:p>
    <w:p w14:paraId="54448FE8" w14:textId="4522F382" w:rsidR="002F51C9" w:rsidRPr="002F51C9" w:rsidRDefault="002F51C9" w:rsidP="007D4E81">
      <w:pPr>
        <w:pStyle w:val="BodyA"/>
        <w:numPr>
          <w:ilvl w:val="0"/>
          <w:numId w:val="37"/>
        </w:numPr>
        <w:jc w:val="both"/>
        <w:rPr>
          <w:rFonts w:ascii="Segoe UI Light" w:hAnsi="Segoe UI Light" w:cs="Segoe UI Light"/>
        </w:rPr>
      </w:pPr>
      <w:r w:rsidRPr="002F51C9">
        <w:rPr>
          <w:rFonts w:ascii="Segoe UI Light" w:eastAsia="Arial Unicode MS" w:hAnsi="Segoe UI Light" w:cs="Segoe UI Light"/>
          <w:lang w:val="pt-PT"/>
        </w:rPr>
        <w:t>Ricardo Silva * , Everton Alves , Ricardo Ferreira, Jos</w:t>
      </w:r>
      <w:r w:rsidRPr="002F51C9">
        <w:rPr>
          <w:rFonts w:ascii="Segoe UI Light" w:eastAsia="Arial Unicode MS" w:hAnsi="Segoe UI Light" w:cs="Segoe UI Light"/>
          <w:lang w:val="fr-FR"/>
        </w:rPr>
        <w:t xml:space="preserve">é </w:t>
      </w:r>
      <w:r w:rsidR="007D4E81">
        <w:rPr>
          <w:rFonts w:ascii="Segoe UI Light" w:eastAsia="Arial Unicode MS" w:hAnsi="Segoe UI Light" w:cs="Segoe UI Light"/>
          <w:lang w:val="en-US"/>
        </w:rPr>
        <w:t xml:space="preserve">Villar and Clara Gouveia - </w:t>
      </w:r>
      <w:r w:rsidRPr="002F51C9">
        <w:rPr>
          <w:rFonts w:ascii="Segoe UI Light" w:eastAsia="Arial Unicode MS" w:hAnsi="Segoe UI Light" w:cs="Segoe UI Light"/>
          <w:lang w:val="en-US"/>
        </w:rPr>
        <w:t xml:space="preserve"> Characterization of TSO and DSO Grid System Services and TSO-DSO Basic Coordination Mechanisms in the Current Decarbonization Context 2021</w:t>
      </w:r>
      <w:r w:rsidR="005E5CF0">
        <w:rPr>
          <w:rFonts w:ascii="Segoe UI Light" w:eastAsia="Arial Unicode MS" w:hAnsi="Segoe UI Light" w:cs="Segoe UI Light"/>
          <w:lang w:val="en-US"/>
        </w:rPr>
        <w:t xml:space="preserve"> </w:t>
      </w:r>
      <w:r w:rsidR="007D4E81">
        <w:rPr>
          <w:rFonts w:ascii="Segoe UI Light" w:eastAsia="Arial Unicode MS" w:hAnsi="Segoe UI Light" w:cs="Segoe UI Light"/>
          <w:lang w:val="en-US"/>
        </w:rPr>
        <w:t>(</w:t>
      </w:r>
      <w:hyperlink r:id="rId10" w:history="1">
        <w:r w:rsidR="007D4E81" w:rsidRPr="000F50C5">
          <w:rPr>
            <w:rStyle w:val="Hyperlink"/>
            <w:rFonts w:ascii="Segoe UI Light" w:eastAsia="Arial Unicode MS" w:hAnsi="Segoe UI Light" w:cs="Segoe UI Light"/>
            <w:lang w:val="en-US"/>
          </w:rPr>
          <w:t>https://www.mdpi.com/1996-1073/14/15/4451</w:t>
        </w:r>
      </w:hyperlink>
      <w:r w:rsidR="007D4E81">
        <w:rPr>
          <w:rFonts w:ascii="Segoe UI Light" w:eastAsia="Arial Unicode MS" w:hAnsi="Segoe UI Light" w:cs="Segoe UI Light"/>
          <w:lang w:val="en-US"/>
        </w:rPr>
        <w:t xml:space="preserve"> )</w:t>
      </w:r>
    </w:p>
    <w:p w14:paraId="65518DF9" w14:textId="50E7E6FB" w:rsidR="002F51C9" w:rsidRPr="002F51C9" w:rsidRDefault="002F51C9" w:rsidP="007D4E81">
      <w:pPr>
        <w:pStyle w:val="BodyA"/>
        <w:numPr>
          <w:ilvl w:val="0"/>
          <w:numId w:val="37"/>
        </w:numPr>
        <w:jc w:val="both"/>
        <w:rPr>
          <w:rFonts w:ascii="Segoe UI Light" w:hAnsi="Segoe UI Light" w:cs="Segoe UI Light"/>
        </w:rPr>
      </w:pPr>
      <w:r w:rsidRPr="002F51C9">
        <w:rPr>
          <w:rFonts w:ascii="Segoe UI Light" w:eastAsia="Arial Unicode MS" w:hAnsi="Segoe UI Light" w:cs="Segoe UI Light"/>
          <w:lang w:val="en-US"/>
        </w:rPr>
        <w:t>Hayden M Reeve Steve Widergren Rob Pratt Bishnu Bhattarai Sarmad Hanif Sadie Bender Trevor Hardy Mitch Pelton</w:t>
      </w:r>
      <w:r>
        <w:rPr>
          <w:rFonts w:ascii="Segoe UI Light" w:eastAsia="Arial Unicode MS" w:hAnsi="Segoe UI Light" w:cs="Segoe UI Light"/>
          <w:lang w:val="en-US"/>
        </w:rPr>
        <w:t xml:space="preserve">, </w:t>
      </w:r>
      <w:r w:rsidRPr="002F51C9">
        <w:rPr>
          <w:rFonts w:ascii="Segoe UI Light" w:eastAsia="Arial Unicode MS" w:hAnsi="Segoe UI Light" w:cs="Segoe UI Light"/>
          <w:lang w:val="en-US"/>
        </w:rPr>
        <w:t>Distribution System Operator with Transactive (DSO+T) Study: Main Report 2022</w:t>
      </w:r>
      <w:r w:rsidR="007D4E81">
        <w:rPr>
          <w:rFonts w:ascii="Segoe UI Light" w:eastAsia="Arial Unicode MS" w:hAnsi="Segoe UI Light" w:cs="Segoe UI Light"/>
          <w:lang w:val="en-US"/>
        </w:rPr>
        <w:t xml:space="preserve"> (</w:t>
      </w:r>
      <w:hyperlink r:id="rId11" w:history="1">
        <w:r w:rsidR="007D4E81" w:rsidRPr="000F50C5">
          <w:rPr>
            <w:rStyle w:val="Hyperlink"/>
            <w:rFonts w:ascii="Segoe UI Light" w:eastAsia="Arial Unicode MS" w:hAnsi="Segoe UI Light" w:cs="Segoe UI Light"/>
            <w:lang w:val="en-US"/>
          </w:rPr>
          <w:t>https://www.pnnl.gov/sites/default/files/media/file/DSOT%20Vol%201%20Main%20Report-Final.pdf</w:t>
        </w:r>
      </w:hyperlink>
      <w:r w:rsidR="007D4E81">
        <w:rPr>
          <w:rFonts w:ascii="Segoe UI Light" w:eastAsia="Arial Unicode MS" w:hAnsi="Segoe UI Light" w:cs="Segoe UI Light"/>
          <w:lang w:val="en-US"/>
        </w:rPr>
        <w:t xml:space="preserve"> )</w:t>
      </w:r>
    </w:p>
    <w:p w14:paraId="04C0695F" w14:textId="7CEFBA59" w:rsidR="002F51C9" w:rsidRPr="002F51C9" w:rsidRDefault="005E5CF0"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de-DE"/>
        </w:rPr>
        <w:t xml:space="preserve">Daniel Kirschen Goran Strbac, </w:t>
      </w:r>
      <w:r w:rsidR="002F51C9" w:rsidRPr="002F51C9">
        <w:rPr>
          <w:rFonts w:ascii="Segoe UI Light" w:eastAsia="Arial Unicode MS" w:hAnsi="Segoe UI Light" w:cs="Segoe UI Light"/>
          <w:lang w:val="de-DE"/>
        </w:rPr>
        <w:t>Fundamentals of Power System Economics 2004</w:t>
      </w:r>
      <w:r>
        <w:rPr>
          <w:rFonts w:ascii="Segoe UI Light" w:eastAsia="Arial Unicode MS" w:hAnsi="Segoe UI Light" w:cs="Segoe UI Light"/>
          <w:lang w:val="de-DE"/>
        </w:rPr>
        <w:t xml:space="preserve"> (</w:t>
      </w:r>
      <w:hyperlink r:id="rId12" w:history="1">
        <w:r w:rsidRPr="000F50C5">
          <w:rPr>
            <w:rStyle w:val="Hyperlink"/>
            <w:rFonts w:ascii="Segoe UI Light" w:eastAsia="Arial Unicode MS" w:hAnsi="Segoe UI Light" w:cs="Segoe UI Light"/>
            <w:lang w:val="de-DE"/>
          </w:rPr>
          <w:t>https://www.usb.ac.ir/FileStaff/7926_2019-4-10-12-27-43.pdf</w:t>
        </w:r>
      </w:hyperlink>
      <w:r>
        <w:rPr>
          <w:rFonts w:ascii="Segoe UI Light" w:eastAsia="Arial Unicode MS" w:hAnsi="Segoe UI Light" w:cs="Segoe UI Light"/>
          <w:lang w:val="de-DE"/>
        </w:rPr>
        <w:t xml:space="preserve"> )</w:t>
      </w:r>
    </w:p>
    <w:p w14:paraId="649701CE" w14:textId="5C46B7B1"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Sohn Associates, </w:t>
      </w:r>
      <w:r w:rsidRPr="002F51C9">
        <w:rPr>
          <w:rFonts w:ascii="Segoe UI Light" w:eastAsia="Arial Unicode MS" w:hAnsi="Segoe UI Light" w:cs="Segoe UI Light"/>
          <w:lang w:val="en-US"/>
        </w:rPr>
        <w:t>Electricity distribution system losses 2009</w:t>
      </w:r>
      <w:r w:rsidR="005E5CF0">
        <w:rPr>
          <w:rFonts w:ascii="Segoe UI Light" w:eastAsia="Arial Unicode MS" w:hAnsi="Segoe UI Light" w:cs="Segoe UI Light"/>
          <w:lang w:val="en-US"/>
        </w:rPr>
        <w:t xml:space="preserve"> (</w:t>
      </w:r>
      <w:hyperlink r:id="rId13" w:history="1">
        <w:r w:rsidR="005E5CF0" w:rsidRPr="000F50C5">
          <w:rPr>
            <w:rStyle w:val="Hyperlink"/>
            <w:rFonts w:ascii="Segoe UI Light" w:eastAsia="Arial Unicode MS" w:hAnsi="Segoe UI Light" w:cs="Segoe UI Light"/>
            <w:lang w:val="en-US"/>
          </w:rPr>
          <w:t>https://www.ofgem.gov.uk/sites/default/files/docs/2009/05/sohn-overview-of-losses-final-internet-version.pdf</w:t>
        </w:r>
      </w:hyperlink>
      <w:r w:rsidR="005E5CF0">
        <w:rPr>
          <w:rFonts w:ascii="Segoe UI Light" w:eastAsia="Arial Unicode MS" w:hAnsi="Segoe UI Light" w:cs="Segoe UI Light"/>
          <w:lang w:val="en-US"/>
        </w:rPr>
        <w:t xml:space="preserve"> )</w:t>
      </w:r>
    </w:p>
    <w:p w14:paraId="102D20B1" w14:textId="449C4E12"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OFGEM, </w:t>
      </w:r>
      <w:r w:rsidRPr="002F51C9">
        <w:rPr>
          <w:rFonts w:ascii="Segoe UI Light" w:eastAsia="Arial Unicode MS" w:hAnsi="Segoe UI Light" w:cs="Segoe UI Light"/>
          <w:lang w:val="en-US"/>
        </w:rPr>
        <w:t>Distribution Price Control Review (DPCR) 4 2015</w:t>
      </w:r>
      <w:r w:rsidR="005E5CF0">
        <w:rPr>
          <w:rFonts w:ascii="Segoe UI Light" w:eastAsia="Arial Unicode MS" w:hAnsi="Segoe UI Light" w:cs="Segoe UI Light"/>
          <w:lang w:val="en-US"/>
        </w:rPr>
        <w:t xml:space="preserve"> (</w:t>
      </w:r>
      <w:hyperlink r:id="rId14" w:history="1">
        <w:r w:rsidR="005E5CF0" w:rsidRPr="000F50C5">
          <w:rPr>
            <w:rStyle w:val="Hyperlink"/>
            <w:rFonts w:ascii="Segoe UI Light" w:eastAsia="Arial Unicode MS" w:hAnsi="Segoe UI Light" w:cs="Segoe UI Light"/>
            <w:lang w:val="en-US"/>
          </w:rPr>
          <w:t>https://www.ofgem.gov.uk/energy-policy-and-regulation/policy-and-regulatory-programmes/distribution-price-control-review-dpcr-4</w:t>
        </w:r>
      </w:hyperlink>
      <w:r w:rsidR="005E5CF0">
        <w:rPr>
          <w:rFonts w:ascii="Segoe UI Light" w:eastAsia="Arial Unicode MS" w:hAnsi="Segoe UI Light" w:cs="Segoe UI Light"/>
          <w:lang w:val="en-US"/>
        </w:rPr>
        <w:t xml:space="preserve"> )</w:t>
      </w:r>
    </w:p>
    <w:p w14:paraId="2E4BEC83" w14:textId="05590F92"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de-DE"/>
        </w:rPr>
        <w:t>CEER</w:t>
      </w:r>
      <w:r w:rsidRPr="002F51C9">
        <w:rPr>
          <w:rFonts w:ascii="Segoe UI Light" w:eastAsia="Arial Unicode MS" w:hAnsi="Segoe UI Light" w:cs="Segoe UI Light"/>
          <w:lang w:val="de-DE"/>
        </w:rPr>
        <w:t>,  2 nd CEER Report on Power Losses 2020</w:t>
      </w:r>
      <w:r w:rsidR="005E5CF0">
        <w:rPr>
          <w:rFonts w:ascii="Segoe UI Light" w:eastAsia="Arial Unicode MS" w:hAnsi="Segoe UI Light" w:cs="Segoe UI Light"/>
          <w:lang w:val="de-DE"/>
        </w:rPr>
        <w:t xml:space="preserve"> (</w:t>
      </w:r>
      <w:hyperlink r:id="rId15" w:history="1">
        <w:r w:rsidR="005E5CF0" w:rsidRPr="000F50C5">
          <w:rPr>
            <w:rStyle w:val="Hyperlink"/>
            <w:rFonts w:ascii="Segoe UI Light" w:eastAsia="Arial Unicode MS" w:hAnsi="Segoe UI Light" w:cs="Segoe UI Light"/>
            <w:lang w:val="de-DE"/>
          </w:rPr>
          <w:t>https://www.ceer.eu/documents/104400/-/-/fd4178b4-ed00-6d06-5f4b-8b87d630b060</w:t>
        </w:r>
      </w:hyperlink>
      <w:r w:rsidR="005E5CF0">
        <w:rPr>
          <w:rFonts w:ascii="Segoe UI Light" w:eastAsia="Arial Unicode MS" w:hAnsi="Segoe UI Light" w:cs="Segoe UI Light"/>
          <w:lang w:val="de-DE"/>
        </w:rPr>
        <w:t xml:space="preserve"> )</w:t>
      </w:r>
    </w:p>
    <w:p w14:paraId="31BD18A2" w14:textId="215769CD"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CEER, </w:t>
      </w:r>
      <w:r w:rsidRPr="002F51C9">
        <w:rPr>
          <w:rFonts w:ascii="Segoe UI Light" w:eastAsia="Arial Unicode MS" w:hAnsi="Segoe UI Light" w:cs="Segoe UI Light"/>
          <w:lang w:val="en-US"/>
        </w:rPr>
        <w:t>Electricity Distribution Network Tariffs CEER Guidelines of Good Practice 2017</w:t>
      </w:r>
      <w:r w:rsidR="005E5CF0">
        <w:rPr>
          <w:rFonts w:ascii="Segoe UI Light" w:eastAsia="Arial Unicode MS" w:hAnsi="Segoe UI Light" w:cs="Segoe UI Light"/>
          <w:lang w:val="en-US"/>
        </w:rPr>
        <w:t xml:space="preserve"> (</w:t>
      </w:r>
      <w:hyperlink r:id="rId16" w:history="1">
        <w:r w:rsidR="005E5CF0" w:rsidRPr="000F50C5">
          <w:rPr>
            <w:rStyle w:val="Hyperlink"/>
            <w:rFonts w:ascii="Segoe UI Light" w:eastAsia="Arial Unicode MS" w:hAnsi="Segoe UI Light" w:cs="Segoe UI Light"/>
            <w:lang w:val="en-US"/>
          </w:rPr>
          <w:t>https://www.ceer.eu/documents/104400/-/-/1bdc6307-7f9a-c6de-6950-f19873959413</w:t>
        </w:r>
      </w:hyperlink>
      <w:r w:rsidR="005E5CF0">
        <w:rPr>
          <w:rFonts w:ascii="Segoe UI Light" w:eastAsia="Arial Unicode MS" w:hAnsi="Segoe UI Light" w:cs="Segoe UI Light"/>
          <w:lang w:val="en-US"/>
        </w:rPr>
        <w:t xml:space="preserve"> )</w:t>
      </w:r>
    </w:p>
    <w:p w14:paraId="3E66DDC9" w14:textId="772F33E0"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lastRenderedPageBreak/>
        <w:t xml:space="preserve">CEER, </w:t>
      </w:r>
      <w:r w:rsidRPr="002F51C9">
        <w:rPr>
          <w:rFonts w:ascii="Segoe UI Light" w:eastAsia="Arial Unicode MS" w:hAnsi="Segoe UI Light" w:cs="Segoe UI Light"/>
          <w:lang w:val="en-US"/>
        </w:rPr>
        <w:t>CEER Report on Power Losses 2017</w:t>
      </w:r>
      <w:r w:rsidR="005E5CF0">
        <w:rPr>
          <w:rFonts w:ascii="Segoe UI Light" w:eastAsia="Arial Unicode MS" w:hAnsi="Segoe UI Light" w:cs="Segoe UI Light"/>
          <w:lang w:val="en-US"/>
        </w:rPr>
        <w:t xml:space="preserve"> (</w:t>
      </w:r>
      <w:hyperlink r:id="rId17" w:history="1">
        <w:r w:rsidR="005E5CF0" w:rsidRPr="000F50C5">
          <w:rPr>
            <w:rStyle w:val="Hyperlink"/>
            <w:rFonts w:ascii="Segoe UI Light" w:eastAsia="Arial Unicode MS" w:hAnsi="Segoe UI Light" w:cs="Segoe UI Light"/>
            <w:lang w:val="en-US"/>
          </w:rPr>
          <w:t>https://www.ceer.eu/documents/104400/-/-/09ecee88-e877-3305-6767-e75404637087</w:t>
        </w:r>
      </w:hyperlink>
      <w:r w:rsidR="005E5CF0">
        <w:rPr>
          <w:rFonts w:ascii="Segoe UI Light" w:eastAsia="Arial Unicode MS" w:hAnsi="Segoe UI Light" w:cs="Segoe UI Light"/>
          <w:lang w:val="en-US"/>
        </w:rPr>
        <w:t xml:space="preserve"> )</w:t>
      </w:r>
    </w:p>
    <w:p w14:paraId="0B57472F" w14:textId="4EF68961" w:rsidR="002F51C9" w:rsidRPr="002F51C9" w:rsidRDefault="002F51C9" w:rsidP="005E5CF0">
      <w:pPr>
        <w:pStyle w:val="BodyA"/>
        <w:numPr>
          <w:ilvl w:val="0"/>
          <w:numId w:val="37"/>
        </w:numPr>
        <w:jc w:val="both"/>
        <w:rPr>
          <w:rFonts w:ascii="Segoe UI Light" w:hAnsi="Segoe UI Light" w:cs="Segoe UI Light"/>
        </w:rPr>
      </w:pPr>
      <w:r w:rsidRPr="002F51C9">
        <w:rPr>
          <w:rFonts w:ascii="Segoe UI Light" w:eastAsia="Arial Unicode MS" w:hAnsi="Segoe UI Light" w:cs="Segoe UI Light"/>
          <w:lang w:val="en-US"/>
        </w:rPr>
        <w:t xml:space="preserve">DG ENERGY </w:t>
      </w:r>
      <w:r>
        <w:rPr>
          <w:rFonts w:ascii="Segoe UI Light" w:eastAsia="Arial Unicode MS" w:hAnsi="Segoe UI Light" w:cs="Segoe UI Light"/>
          <w:lang w:val="en-US"/>
        </w:rPr>
        <w:t>- EUROPEAN COMMISSION | BELGIUM, I</w:t>
      </w:r>
      <w:r w:rsidRPr="002F51C9">
        <w:rPr>
          <w:rFonts w:ascii="Segoe UI Light" w:eastAsia="Arial Unicode MS" w:hAnsi="Segoe UI Light" w:cs="Segoe UI Light"/>
          <w:lang w:val="en-US"/>
        </w:rPr>
        <w:t>DENTIFYING ENERGY EFFICIENCY IMPROVEMENTS AND SAVING POTENTIAL IN ENERGY NETWORKS, INCLUDING ANALYSIS OF THE VALUE OF DEMAND RESPONSE 2015</w:t>
      </w:r>
      <w:r w:rsidR="005E5CF0">
        <w:rPr>
          <w:rFonts w:ascii="Segoe UI Light" w:eastAsia="Arial Unicode MS" w:hAnsi="Segoe UI Light" w:cs="Segoe UI Light"/>
          <w:lang w:val="en-US"/>
        </w:rPr>
        <w:t xml:space="preserve"> (</w:t>
      </w:r>
      <w:hyperlink r:id="rId18" w:history="1">
        <w:r w:rsidR="005E5CF0" w:rsidRPr="000F50C5">
          <w:rPr>
            <w:rStyle w:val="Hyperlink"/>
            <w:rFonts w:ascii="Segoe UI Light" w:eastAsia="Arial Unicode MS" w:hAnsi="Segoe UI Light" w:cs="Segoe UI Light"/>
            <w:lang w:val="en-US"/>
          </w:rPr>
          <w:t>https://ec.europa.eu/energy/sites/ener/files/documents/GRIDEE_4NT_364174_000_01_TOTALDOC%20-%2018-1-2016.pdf</w:t>
        </w:r>
      </w:hyperlink>
      <w:r w:rsidR="005E5CF0">
        <w:rPr>
          <w:rFonts w:ascii="Segoe UI Light" w:eastAsia="Arial Unicode MS" w:hAnsi="Segoe UI Light" w:cs="Segoe UI Light"/>
          <w:lang w:val="en-US"/>
        </w:rPr>
        <w:t xml:space="preserve"> )</w:t>
      </w:r>
    </w:p>
    <w:p w14:paraId="2E527D6A" w14:textId="5D86C741" w:rsidR="002F51C9" w:rsidRPr="002F51C9" w:rsidRDefault="002F51C9" w:rsidP="005E5CF0">
      <w:pPr>
        <w:pStyle w:val="BodyA"/>
        <w:numPr>
          <w:ilvl w:val="0"/>
          <w:numId w:val="37"/>
        </w:numPr>
        <w:jc w:val="both"/>
        <w:rPr>
          <w:rFonts w:ascii="Segoe UI Light" w:hAnsi="Segoe UI Light" w:cs="Segoe UI Light"/>
        </w:rPr>
      </w:pPr>
      <w:r w:rsidRPr="002F51C9">
        <w:rPr>
          <w:rFonts w:ascii="Segoe UI Light" w:eastAsia="Arial Unicode MS" w:hAnsi="Segoe UI Light" w:cs="Segoe UI Light"/>
          <w:lang w:val="en-US"/>
        </w:rPr>
        <w:t xml:space="preserve">PARLAMENTUL EUROPEAN </w:t>
      </w:r>
      <w:r w:rsidRPr="002F51C9">
        <w:rPr>
          <w:rFonts w:ascii="Segoe UI Light" w:eastAsia="Arial Unicode MS" w:hAnsi="Segoe UI Light" w:cs="Segoe UI Light"/>
        </w:rPr>
        <w:t>Ș</w:t>
      </w:r>
      <w:r>
        <w:rPr>
          <w:rFonts w:ascii="Segoe UI Light" w:eastAsia="Arial Unicode MS" w:hAnsi="Segoe UI Light" w:cs="Segoe UI Light"/>
          <w:lang w:val="en-US"/>
        </w:rPr>
        <w:t xml:space="preserve">I CONSILIUL UNIUNII EUROPENE, </w:t>
      </w:r>
      <w:r w:rsidRPr="002F51C9">
        <w:rPr>
          <w:rFonts w:ascii="Segoe UI Light" w:eastAsia="Arial Unicode MS" w:hAnsi="Segoe UI Light" w:cs="Segoe UI Light"/>
          <w:lang w:val="en-US"/>
        </w:rPr>
        <w:t xml:space="preserve">DIRECTIVA 2009/72/CE A PARLAMENTULUI EUROPEAN </w:t>
      </w:r>
      <w:r w:rsidRPr="002F51C9">
        <w:rPr>
          <w:rFonts w:ascii="Segoe UI Light" w:eastAsia="Arial Unicode MS" w:hAnsi="Segoe UI Light" w:cs="Segoe UI Light"/>
        </w:rPr>
        <w:t>Ș</w:t>
      </w:r>
      <w:r>
        <w:rPr>
          <w:rFonts w:ascii="Segoe UI Light" w:eastAsia="Arial Unicode MS" w:hAnsi="Segoe UI Light" w:cs="Segoe UI Light"/>
        </w:rPr>
        <w:t>I A CONSILIULUI din 13 </w:t>
      </w:r>
      <w:r w:rsidRPr="002F51C9">
        <w:rPr>
          <w:rFonts w:ascii="Segoe UI Light" w:eastAsia="Arial Unicode MS" w:hAnsi="Segoe UI Light" w:cs="Segoe UI Light"/>
        </w:rPr>
        <w:t>iulie 2009 privind normele comune pentru piaţ</w:t>
      </w:r>
      <w:r w:rsidRPr="002F51C9">
        <w:rPr>
          <w:rFonts w:ascii="Segoe UI Light" w:eastAsia="Arial Unicode MS" w:hAnsi="Segoe UI Light" w:cs="Segoe UI Light"/>
          <w:lang w:val="it-IT"/>
        </w:rPr>
        <w:t>a intern</w:t>
      </w:r>
      <w:r w:rsidRPr="002F51C9">
        <w:rPr>
          <w:rFonts w:ascii="Segoe UI Light" w:eastAsia="Arial Unicode MS" w:hAnsi="Segoe UI Light" w:cs="Segoe UI Light"/>
        </w:rPr>
        <w:t>ă a energiei electrice și de abrogare a Directivei 2003/54/CE 2009</w:t>
      </w:r>
      <w:r w:rsidR="005E5CF0">
        <w:rPr>
          <w:rFonts w:ascii="Segoe UI Light" w:eastAsia="Arial Unicode MS" w:hAnsi="Segoe UI Light" w:cs="Segoe UI Light"/>
        </w:rPr>
        <w:t xml:space="preserve"> (</w:t>
      </w:r>
      <w:hyperlink r:id="rId19" w:history="1">
        <w:r w:rsidR="005E5CF0" w:rsidRPr="000F50C5">
          <w:rPr>
            <w:rStyle w:val="Hyperlink"/>
            <w:rFonts w:ascii="Segoe UI Light" w:eastAsia="Arial Unicode MS" w:hAnsi="Segoe UI Light" w:cs="Segoe UI Light"/>
          </w:rPr>
          <w:t>https://eur-lex.europa.eu/legal-content/RO/TXT/PDF/?uri=CELEX:32009L0072&amp;from=HU</w:t>
        </w:r>
      </w:hyperlink>
      <w:r w:rsidR="005E5CF0">
        <w:rPr>
          <w:rFonts w:ascii="Segoe UI Light" w:eastAsia="Arial Unicode MS" w:hAnsi="Segoe UI Light" w:cs="Segoe UI Light"/>
        </w:rPr>
        <w:t xml:space="preserve"> )</w:t>
      </w:r>
    </w:p>
    <w:p w14:paraId="2DA20CD9" w14:textId="47DC814F"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INOGATE Programm, </w:t>
      </w:r>
      <w:r w:rsidRPr="002F51C9">
        <w:rPr>
          <w:rFonts w:ascii="Segoe UI Light" w:eastAsia="Arial Unicode MS" w:hAnsi="Segoe UI Light" w:cs="Segoe UI Light"/>
          <w:lang w:val="en-US"/>
        </w:rPr>
        <w:t>EU practice in treatment of technical losses in the high voltage electricity grid 2009</w:t>
      </w:r>
      <w:r w:rsidR="005E5CF0">
        <w:rPr>
          <w:rFonts w:ascii="Segoe UI Light" w:eastAsia="Arial Unicode MS" w:hAnsi="Segoe UI Light" w:cs="Segoe UI Light"/>
          <w:lang w:val="en-US"/>
        </w:rPr>
        <w:t xml:space="preserve"> (</w:t>
      </w:r>
      <w:hyperlink r:id="rId20" w:history="1">
        <w:r w:rsidR="005E5CF0" w:rsidRPr="000F50C5">
          <w:rPr>
            <w:rStyle w:val="Hyperlink"/>
            <w:rFonts w:ascii="Segoe UI Light" w:eastAsia="Arial Unicode MS" w:hAnsi="Segoe UI Light" w:cs="Segoe UI Light"/>
            <w:lang w:val="en-US"/>
          </w:rPr>
          <w:t>http://www.inogate.org/documents/Treatment%20of%20losses%20in%20the%20HV%20networks.pdf</w:t>
        </w:r>
      </w:hyperlink>
      <w:r w:rsidR="005E5CF0">
        <w:rPr>
          <w:rFonts w:ascii="Segoe UI Light" w:eastAsia="Arial Unicode MS" w:hAnsi="Segoe UI Light" w:cs="Segoe UI Light"/>
          <w:lang w:val="en-US"/>
        </w:rPr>
        <w:t xml:space="preserve"> )</w:t>
      </w:r>
    </w:p>
    <w:p w14:paraId="3CD3A34B" w14:textId="0D5D40A8" w:rsidR="002F51C9" w:rsidRPr="002F51C9" w:rsidRDefault="00275443" w:rsidP="001E68A1">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SMART NET</w:t>
      </w:r>
      <w:r w:rsidR="002F51C9">
        <w:rPr>
          <w:rFonts w:ascii="Segoe UI Light" w:eastAsia="Arial Unicode MS" w:hAnsi="Segoe UI Light" w:cs="Segoe UI Light"/>
          <w:lang w:val="en-US"/>
        </w:rPr>
        <w:t>,</w:t>
      </w:r>
      <w:r w:rsidR="002F51C9" w:rsidRPr="002F51C9">
        <w:rPr>
          <w:rFonts w:ascii="Segoe UI Light" w:eastAsia="Arial Unicode MS" w:hAnsi="Segoe UI Light" w:cs="Segoe UI Light"/>
          <w:lang w:val="en-US"/>
        </w:rPr>
        <w:t xml:space="preserve"> Basic schemes for TSO-DSO coordination and ancillary services provision 2016</w:t>
      </w:r>
    </w:p>
    <w:p w14:paraId="1E2C5282" w14:textId="2CE80E0D"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ENTSO-E, </w:t>
      </w:r>
      <w:r w:rsidRPr="002F51C9">
        <w:rPr>
          <w:rFonts w:ascii="Segoe UI Light" w:eastAsia="Arial Unicode MS" w:hAnsi="Segoe UI Light" w:cs="Segoe UI Light"/>
          <w:lang w:val="en-US"/>
        </w:rPr>
        <w:t xml:space="preserve">ENTSO-E Overview of Transmission Tariffs in Europe: Synthesis 2019 </w:t>
      </w:r>
      <w:r w:rsidR="005E5CF0">
        <w:rPr>
          <w:rFonts w:ascii="Segoe UI Light" w:eastAsia="Arial Unicode MS" w:hAnsi="Segoe UI Light" w:cs="Segoe UI Light"/>
          <w:lang w:val="en-US"/>
        </w:rPr>
        <w:t>(</w:t>
      </w:r>
      <w:hyperlink r:id="rId21" w:history="1">
        <w:r w:rsidR="005E5CF0" w:rsidRPr="000F50C5">
          <w:rPr>
            <w:rStyle w:val="Hyperlink"/>
            <w:rFonts w:ascii="Segoe UI Light" w:eastAsia="Arial Unicode MS" w:hAnsi="Segoe UI Light" w:cs="Segoe UI Light"/>
            <w:lang w:val="en-US"/>
          </w:rPr>
          <w:t>https://www.entsoe.eu/news/2020/12/16/entso-e-publishes-its-annual-overview-of-transmission-tariffs-in-europe-for-2019/</w:t>
        </w:r>
      </w:hyperlink>
      <w:r w:rsidR="005E5CF0">
        <w:rPr>
          <w:rFonts w:ascii="Segoe UI Light" w:eastAsia="Arial Unicode MS" w:hAnsi="Segoe UI Light" w:cs="Segoe UI Light"/>
          <w:lang w:val="en-US"/>
        </w:rPr>
        <w:t xml:space="preserve"> )</w:t>
      </w:r>
    </w:p>
    <w:p w14:paraId="25660C09" w14:textId="5EF3A818" w:rsidR="002F51C9" w:rsidRPr="002F51C9" w:rsidRDefault="002F51C9" w:rsidP="005E5CF0">
      <w:pPr>
        <w:pStyle w:val="BodyA"/>
        <w:numPr>
          <w:ilvl w:val="0"/>
          <w:numId w:val="37"/>
        </w:numPr>
        <w:jc w:val="both"/>
        <w:rPr>
          <w:rFonts w:ascii="Segoe UI Light" w:hAnsi="Segoe UI Light" w:cs="Segoe UI Light"/>
        </w:rPr>
      </w:pPr>
      <w:r>
        <w:rPr>
          <w:rFonts w:ascii="Segoe UI Light" w:eastAsia="Arial Unicode MS" w:hAnsi="Segoe UI Light" w:cs="Segoe UI Light"/>
          <w:lang w:val="de-DE"/>
        </w:rPr>
        <w:t xml:space="preserve">ENTSO-E, </w:t>
      </w:r>
      <w:r w:rsidRPr="002F51C9">
        <w:rPr>
          <w:rFonts w:ascii="Segoe UI Light" w:eastAsia="Arial Unicode MS" w:hAnsi="Segoe UI Light" w:cs="Segoe UI Light"/>
          <w:lang w:val="de-DE"/>
        </w:rPr>
        <w:t xml:space="preserve">TSO </w:t>
      </w:r>
      <w:r w:rsidRPr="002F51C9">
        <w:rPr>
          <w:rFonts w:ascii="Segoe UI Light" w:eastAsia="Arial Unicode MS" w:hAnsi="Segoe UI Light" w:cs="Segoe UI Light"/>
        </w:rPr>
        <w:t xml:space="preserve">– </w:t>
      </w:r>
      <w:r w:rsidRPr="002F51C9">
        <w:rPr>
          <w:rFonts w:ascii="Segoe UI Light" w:eastAsia="Arial Unicode MS" w:hAnsi="Segoe UI Light" w:cs="Segoe UI Light"/>
          <w:lang w:val="de-DE"/>
        </w:rPr>
        <w:t>DSO DATA MANAGEMENT REPORT 2016</w:t>
      </w:r>
      <w:r w:rsidR="005E5CF0">
        <w:rPr>
          <w:rFonts w:ascii="Segoe UI Light" w:eastAsia="Arial Unicode MS" w:hAnsi="Segoe UI Light" w:cs="Segoe UI Light"/>
          <w:lang w:val="de-DE"/>
        </w:rPr>
        <w:t xml:space="preserve"> (</w:t>
      </w:r>
      <w:hyperlink r:id="rId22" w:history="1">
        <w:r w:rsidR="005E5CF0" w:rsidRPr="000F50C5">
          <w:rPr>
            <w:rStyle w:val="Hyperlink"/>
            <w:rFonts w:ascii="Segoe UI Light" w:eastAsia="Arial Unicode MS" w:hAnsi="Segoe UI Light" w:cs="Segoe UI Light"/>
            <w:lang w:val="de-DE"/>
          </w:rPr>
          <w:t>https://eepublicdownloads.entsoe.eu/clean-documents/Publications/Position%20papers%20and%20reports/entsoe_TSO-DSO_DMR_web.pdf</w:t>
        </w:r>
      </w:hyperlink>
      <w:r w:rsidR="005E5CF0">
        <w:rPr>
          <w:rFonts w:ascii="Segoe UI Light" w:eastAsia="Arial Unicode MS" w:hAnsi="Segoe UI Light" w:cs="Segoe UI Light"/>
          <w:lang w:val="de-DE"/>
        </w:rPr>
        <w:t xml:space="preserve"> )</w:t>
      </w:r>
    </w:p>
    <w:p w14:paraId="56E881B2" w14:textId="291DD0A1" w:rsidR="002F51C9" w:rsidRPr="002F51C9" w:rsidRDefault="002F51C9" w:rsidP="005E5CF0">
      <w:pPr>
        <w:pStyle w:val="BodyA"/>
        <w:numPr>
          <w:ilvl w:val="0"/>
          <w:numId w:val="37"/>
        </w:numPr>
        <w:jc w:val="both"/>
        <w:rPr>
          <w:rFonts w:ascii="Segoe UI Light" w:hAnsi="Segoe UI Light" w:cs="Segoe UI Light"/>
        </w:rPr>
      </w:pPr>
      <w:r w:rsidRPr="002F51C9">
        <w:rPr>
          <w:rFonts w:ascii="Segoe UI Light" w:eastAsia="Arial Unicode MS" w:hAnsi="Segoe UI Light" w:cs="Segoe UI Light"/>
          <w:lang w:val="en-US"/>
        </w:rPr>
        <w:t xml:space="preserve">ERRA - Energy </w:t>
      </w:r>
      <w:r>
        <w:rPr>
          <w:rFonts w:ascii="Segoe UI Light" w:eastAsia="Arial Unicode MS" w:hAnsi="Segoe UI Light" w:cs="Segoe UI Light"/>
          <w:lang w:val="en-US"/>
        </w:rPr>
        <w:t xml:space="preserve">Regulators Regional Association, </w:t>
      </w:r>
      <w:r w:rsidRPr="002F51C9">
        <w:rPr>
          <w:rFonts w:ascii="Segoe UI Light" w:eastAsia="Arial Unicode MS" w:hAnsi="Segoe UI Light" w:cs="Segoe UI Light"/>
          <w:lang w:val="en-US"/>
        </w:rPr>
        <w:t xml:space="preserve">STUDY ONRegulatory Approaches to Revenue Setting for Electricity Transmission and Distribution System Operator samong ERRA Member Organizations </w:t>
      </w:r>
      <w:r w:rsidR="005E5CF0">
        <w:rPr>
          <w:rFonts w:ascii="Segoe UI Light" w:eastAsia="Arial Unicode MS" w:hAnsi="Segoe UI Light" w:cs="Segoe UI Light"/>
          <w:lang w:val="en-US"/>
        </w:rPr>
        <w:t>(</w:t>
      </w:r>
      <w:hyperlink r:id="rId23" w:history="1">
        <w:r w:rsidR="005E5CF0" w:rsidRPr="000F50C5">
          <w:rPr>
            <w:rStyle w:val="Hyperlink"/>
            <w:rFonts w:ascii="Segoe UI Light" w:eastAsia="Arial Unicode MS" w:hAnsi="Segoe UI Light" w:cs="Segoe UI Light"/>
            <w:lang w:val="en-US"/>
          </w:rPr>
          <w:t>https://erranet.org/wp-content/uploads/2020/04/TSO-DSO-Main-Report.pdf</w:t>
        </w:r>
      </w:hyperlink>
      <w:r w:rsidR="005E5CF0">
        <w:rPr>
          <w:rFonts w:ascii="Segoe UI Light" w:eastAsia="Arial Unicode MS" w:hAnsi="Segoe UI Light" w:cs="Segoe UI Light"/>
          <w:lang w:val="en-US"/>
        </w:rPr>
        <w:t xml:space="preserve"> )</w:t>
      </w:r>
    </w:p>
    <w:p w14:paraId="30C46DFF" w14:textId="3527DA81" w:rsidR="002F51C9" w:rsidRPr="002F51C9" w:rsidRDefault="002F51C9" w:rsidP="00275443">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E</w:t>
      </w:r>
      <w:r w:rsidRPr="002F51C9">
        <w:rPr>
          <w:rFonts w:ascii="Segoe UI Light" w:eastAsia="Arial Unicode MS" w:hAnsi="Segoe UI Light" w:cs="Segoe UI Light"/>
          <w:lang w:val="en-US"/>
        </w:rPr>
        <w:t>urelect</w:t>
      </w:r>
      <w:r>
        <w:rPr>
          <w:rFonts w:ascii="Segoe UI Light" w:eastAsia="Arial Unicode MS" w:hAnsi="Segoe UI Light" w:cs="Segoe UI Light"/>
          <w:lang w:val="en-US"/>
        </w:rPr>
        <w:t xml:space="preserve">ric, </w:t>
      </w:r>
      <w:r w:rsidRPr="002F51C9">
        <w:rPr>
          <w:rFonts w:ascii="Segoe UI Light" w:eastAsia="Arial Unicode MS" w:hAnsi="Segoe UI Light" w:cs="Segoe UI Light"/>
          <w:lang w:val="en-US"/>
        </w:rPr>
        <w:t>Distribution Grids i</w:t>
      </w:r>
      <w:r w:rsidR="00275443">
        <w:rPr>
          <w:rFonts w:ascii="Segoe UI Light" w:eastAsia="Arial Unicode MS" w:hAnsi="Segoe UI Light" w:cs="Segoe UI Light"/>
          <w:lang w:val="en-US"/>
        </w:rPr>
        <w:t>n Europe Facts and Figures 2020 (</w:t>
      </w:r>
      <w:hyperlink r:id="rId24" w:history="1">
        <w:r w:rsidR="00275443" w:rsidRPr="000F50C5">
          <w:rPr>
            <w:rStyle w:val="Hyperlink"/>
            <w:rFonts w:ascii="Segoe UI Light" w:eastAsia="Arial Unicode MS" w:hAnsi="Segoe UI Light" w:cs="Segoe UI Light"/>
            <w:lang w:val="en-US"/>
          </w:rPr>
          <w:t>https://cdn.eurelectric.org/media/5089/dso-facts-and-figures-11122020-compressed-2020-030-0721-01-e-h-6BF237D8.pdf</w:t>
        </w:r>
      </w:hyperlink>
      <w:r w:rsidR="00275443">
        <w:rPr>
          <w:rFonts w:ascii="Segoe UI Light" w:eastAsia="Arial Unicode MS" w:hAnsi="Segoe UI Light" w:cs="Segoe UI Light"/>
          <w:lang w:val="en-US"/>
        </w:rPr>
        <w:t xml:space="preserve"> )</w:t>
      </w:r>
    </w:p>
    <w:p w14:paraId="7ABC8B6D" w14:textId="23D5CA88" w:rsidR="002F51C9" w:rsidRPr="002F51C9" w:rsidRDefault="002F51C9" w:rsidP="00275443">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MDPI, </w:t>
      </w:r>
      <w:r w:rsidRPr="002F51C9">
        <w:rPr>
          <w:rFonts w:ascii="Segoe UI Light" w:eastAsia="Arial Unicode MS" w:hAnsi="Segoe UI Light" w:cs="Segoe UI Light"/>
          <w:lang w:val="en-US"/>
        </w:rPr>
        <w:t>Local Market for TSO and DSO Reactive Power Provision Using DSO Grid Resources 2020</w:t>
      </w:r>
      <w:r w:rsidR="00275443">
        <w:rPr>
          <w:rFonts w:ascii="Segoe UI Light" w:eastAsia="Arial Unicode MS" w:hAnsi="Segoe UI Light" w:cs="Segoe UI Light"/>
          <w:lang w:val="en-US"/>
        </w:rPr>
        <w:br/>
        <w:t>(</w:t>
      </w:r>
      <w:hyperlink r:id="rId25" w:history="1">
        <w:r w:rsidR="00275443" w:rsidRPr="000F50C5">
          <w:rPr>
            <w:rStyle w:val="Hyperlink"/>
            <w:rFonts w:ascii="Segoe UI Light" w:eastAsia="Arial Unicode MS" w:hAnsi="Segoe UI Light" w:cs="Segoe UI Light"/>
            <w:lang w:val="en-US"/>
          </w:rPr>
          <w:t>https://www.mdpi.com/1996-1073/13/13/3442</w:t>
        </w:r>
      </w:hyperlink>
      <w:r w:rsidR="00275443">
        <w:rPr>
          <w:rFonts w:ascii="Segoe UI Light" w:eastAsia="Arial Unicode MS" w:hAnsi="Segoe UI Light" w:cs="Segoe UI Light"/>
          <w:lang w:val="en-US"/>
        </w:rPr>
        <w:t xml:space="preserve"> )</w:t>
      </w:r>
    </w:p>
    <w:p w14:paraId="2E3DD2DA" w14:textId="43184133" w:rsidR="002F51C9" w:rsidRPr="001E68A1" w:rsidRDefault="002F51C9" w:rsidP="00275443">
      <w:pPr>
        <w:pStyle w:val="BodyA"/>
        <w:numPr>
          <w:ilvl w:val="0"/>
          <w:numId w:val="37"/>
        </w:numPr>
        <w:jc w:val="both"/>
        <w:rPr>
          <w:rFonts w:ascii="Segoe UI Light" w:hAnsi="Segoe UI Light" w:cs="Segoe UI Light"/>
        </w:rPr>
      </w:pPr>
      <w:r>
        <w:rPr>
          <w:rFonts w:ascii="Segoe UI Light" w:eastAsia="Arial Unicode MS" w:hAnsi="Segoe UI Light" w:cs="Segoe UI Light"/>
          <w:lang w:val="en-US"/>
        </w:rPr>
        <w:t xml:space="preserve">MEDREG, </w:t>
      </w:r>
      <w:r w:rsidRPr="002F51C9">
        <w:rPr>
          <w:rFonts w:ascii="Segoe UI Light" w:eastAsia="Arial Unicode MS" w:hAnsi="Segoe UI Light" w:cs="Segoe UI Light"/>
          <w:lang w:val="en-US"/>
        </w:rPr>
        <w:t>Regulatory practices on handling technical and non-technical losses for electricity 2019</w:t>
      </w:r>
      <w:r w:rsidR="00275443">
        <w:rPr>
          <w:rFonts w:ascii="Segoe UI Light" w:eastAsia="Arial Unicode MS" w:hAnsi="Segoe UI Light" w:cs="Segoe UI Light"/>
          <w:lang w:val="en-US"/>
        </w:rPr>
        <w:t xml:space="preserve"> (</w:t>
      </w:r>
      <w:hyperlink r:id="rId26" w:history="1">
        <w:r w:rsidR="00275443" w:rsidRPr="000F50C5">
          <w:rPr>
            <w:rStyle w:val="Hyperlink"/>
            <w:rFonts w:ascii="Segoe UI Light" w:eastAsia="Arial Unicode MS" w:hAnsi="Segoe UI Light" w:cs="Segoe UI Light"/>
            <w:lang w:val="en-US"/>
          </w:rPr>
          <w:t>https://www.euneighbours.eu/sites/default/files/publications/2019-12/Medreg%20regulatory%20practices.pdf</w:t>
        </w:r>
      </w:hyperlink>
      <w:r w:rsidR="00275443">
        <w:rPr>
          <w:rFonts w:ascii="Segoe UI Light" w:eastAsia="Arial Unicode MS" w:hAnsi="Segoe UI Light" w:cs="Segoe UI Light"/>
          <w:lang w:val="en-US"/>
        </w:rPr>
        <w:t xml:space="preserve"> )</w:t>
      </w:r>
    </w:p>
    <w:p w14:paraId="2B06FEBF" w14:textId="7E6709ED" w:rsidR="001E68A1" w:rsidRPr="001E68A1" w:rsidRDefault="001E68A1" w:rsidP="00275443">
      <w:pPr>
        <w:pStyle w:val="BodyA"/>
        <w:numPr>
          <w:ilvl w:val="0"/>
          <w:numId w:val="37"/>
        </w:numPr>
        <w:jc w:val="both"/>
        <w:rPr>
          <w:rFonts w:ascii="Segoe UI Light" w:eastAsia="Arial Unicode MS" w:hAnsi="Segoe UI Light" w:cs="Segoe UI Light"/>
          <w:lang w:val="en-US"/>
        </w:rPr>
      </w:pPr>
      <w:r w:rsidRPr="001E68A1">
        <w:rPr>
          <w:rFonts w:ascii="Segoe UI Light" w:eastAsia="Arial Unicode MS" w:hAnsi="Segoe UI Light" w:cs="Segoe UI Light"/>
          <w:lang w:val="en-US"/>
        </w:rPr>
        <w:lastRenderedPageBreak/>
        <w:t>Jurna</w:t>
      </w:r>
      <w:r w:rsidR="00275443">
        <w:rPr>
          <w:rFonts w:ascii="Segoe UI Light" w:eastAsia="Arial Unicode MS" w:hAnsi="Segoe UI Light" w:cs="Segoe UI Light"/>
          <w:lang w:val="en-US"/>
        </w:rPr>
        <w:t>lul Oficial al Uniunii Europene,</w:t>
      </w:r>
      <w:r w:rsidRPr="001E68A1">
        <w:rPr>
          <w:rFonts w:ascii="Segoe UI Light" w:eastAsia="Arial Unicode MS" w:hAnsi="Segoe UI Light" w:cs="Segoe UI Light"/>
          <w:lang w:val="en-US"/>
        </w:rPr>
        <w:t xml:space="preserve"> REGULAMENTUL (UE) NR. 838/2010 AL COMISIEI</w:t>
      </w:r>
      <w:r>
        <w:rPr>
          <w:rFonts w:ascii="Segoe UI Light" w:eastAsia="Arial Unicode MS" w:hAnsi="Segoe UI Light" w:cs="Segoe UI Light"/>
          <w:lang w:val="en-US"/>
        </w:rPr>
        <w:t xml:space="preserve"> </w:t>
      </w:r>
      <w:r w:rsidRPr="001E68A1">
        <w:rPr>
          <w:rFonts w:ascii="Segoe UI Light" w:eastAsia="Arial Unicode MS" w:hAnsi="Segoe UI Light" w:cs="Segoe UI Light"/>
          <w:lang w:val="en-US"/>
        </w:rPr>
        <w:t>din 23 septembrie 2010</w:t>
      </w:r>
      <w:r w:rsidR="00275443">
        <w:rPr>
          <w:rFonts w:ascii="Segoe UI Light" w:eastAsia="Arial Unicode MS" w:hAnsi="Segoe UI Light" w:cs="Segoe UI Light"/>
          <w:lang w:val="en-US"/>
        </w:rPr>
        <w:t xml:space="preserve"> </w:t>
      </w:r>
      <w:r w:rsidRPr="001E68A1">
        <w:rPr>
          <w:rFonts w:ascii="Segoe UI Light" w:eastAsia="Arial Unicode MS" w:hAnsi="Segoe UI Light" w:cs="Segoe UI Light"/>
          <w:lang w:val="en-US"/>
        </w:rPr>
        <w:t>privind stabilirea orientărilor referitoare la mecanismul compensărilor între oper</w:t>
      </w:r>
      <w:r w:rsidR="00275443">
        <w:rPr>
          <w:rFonts w:ascii="Segoe UI Light" w:eastAsia="Arial Unicode MS" w:hAnsi="Segoe UI Light" w:cs="Segoe UI Light"/>
          <w:lang w:val="en-US"/>
        </w:rPr>
        <w:t>atorii de sisteme de transport ș</w:t>
      </w:r>
      <w:r w:rsidRPr="001E68A1">
        <w:rPr>
          <w:rFonts w:ascii="Segoe UI Light" w:eastAsia="Arial Unicode MS" w:hAnsi="Segoe UI Light" w:cs="Segoe UI Light"/>
          <w:lang w:val="en-US"/>
        </w:rPr>
        <w:t>i abordarea comună de reglementare în domeniul stabilirii taxelor de transport 2010</w:t>
      </w:r>
      <w:r w:rsidR="00275443">
        <w:rPr>
          <w:rFonts w:ascii="Segoe UI Light" w:eastAsia="Arial Unicode MS" w:hAnsi="Segoe UI Light" w:cs="Segoe UI Light"/>
          <w:lang w:val="en-US"/>
        </w:rPr>
        <w:t xml:space="preserve"> (</w:t>
      </w:r>
      <w:hyperlink r:id="rId27" w:history="1">
        <w:r w:rsidR="00275443" w:rsidRPr="000F50C5">
          <w:rPr>
            <w:rStyle w:val="Hyperlink"/>
            <w:rFonts w:ascii="Segoe UI Light" w:eastAsia="Arial Unicode MS" w:hAnsi="Segoe UI Light" w:cs="Segoe UI Light"/>
            <w:lang w:val="en-US"/>
          </w:rPr>
          <w:t>https://eur-lex.europa.eu/legal-content/RO/TXT/PDF/?uri=CELEX:32010R0838&amp;from=EN</w:t>
        </w:r>
      </w:hyperlink>
      <w:r w:rsidR="00275443">
        <w:rPr>
          <w:rFonts w:ascii="Segoe UI Light" w:eastAsia="Arial Unicode MS" w:hAnsi="Segoe UI Light" w:cs="Segoe UI Light"/>
          <w:lang w:val="en-US"/>
        </w:rPr>
        <w:t>)</w:t>
      </w:r>
    </w:p>
    <w:p w14:paraId="46679E08" w14:textId="687B9F84" w:rsidR="001E68A1" w:rsidRPr="001E68A1" w:rsidRDefault="001E68A1" w:rsidP="00275443">
      <w:pPr>
        <w:pStyle w:val="BodyA"/>
        <w:numPr>
          <w:ilvl w:val="0"/>
          <w:numId w:val="37"/>
        </w:numPr>
        <w:jc w:val="both"/>
        <w:rPr>
          <w:rFonts w:ascii="Segoe UI Light" w:eastAsia="Arial Unicode MS" w:hAnsi="Segoe UI Light" w:cs="Segoe UI Light"/>
          <w:lang w:val="en-US"/>
        </w:rPr>
      </w:pPr>
      <w:r w:rsidRPr="001E68A1">
        <w:rPr>
          <w:rFonts w:ascii="Segoe UI Light" w:eastAsia="Arial Unicode MS" w:hAnsi="Segoe UI Light" w:cs="Segoe UI Light"/>
          <w:lang w:val="en-US"/>
        </w:rPr>
        <w:t>Ref. Ares</w:t>
      </w:r>
      <w:r w:rsidR="00275443">
        <w:rPr>
          <w:rFonts w:ascii="Segoe UI Light" w:eastAsia="Arial Unicode MS" w:hAnsi="Segoe UI Light" w:cs="Segoe UI Light"/>
          <w:lang w:val="en-US"/>
        </w:rPr>
        <w:t xml:space="preserve"> (2016)6753257 - 02/12/2016, </w:t>
      </w:r>
      <w:r w:rsidRPr="001E68A1">
        <w:rPr>
          <w:rFonts w:ascii="Segoe UI Light" w:eastAsia="Arial Unicode MS" w:hAnsi="Segoe UI Light" w:cs="Segoe UI Light"/>
          <w:lang w:val="en-US"/>
        </w:rPr>
        <w:t>Basic schemes for TSO-DSO coordination andancillary services provision 2016</w:t>
      </w:r>
      <w:r w:rsidR="00275443">
        <w:rPr>
          <w:rFonts w:ascii="Segoe UI Light" w:eastAsia="Arial Unicode MS" w:hAnsi="Segoe UI Light" w:cs="Segoe UI Light"/>
          <w:lang w:val="en-US"/>
        </w:rPr>
        <w:t xml:space="preserve"> (</w:t>
      </w:r>
      <w:hyperlink r:id="rId28" w:history="1">
        <w:r w:rsidR="00275443" w:rsidRPr="000F50C5">
          <w:rPr>
            <w:rStyle w:val="Hyperlink"/>
            <w:rFonts w:ascii="Segoe UI Light" w:eastAsia="Arial Unicode MS" w:hAnsi="Segoe UI Light" w:cs="Segoe UI Light"/>
            <w:lang w:val="en-US"/>
          </w:rPr>
          <w:t>https://ec.europa.eu/research/participants/documents/downloadPublic?documentIds=080166e5ae9eecc0&amp;appId=PPGMS</w:t>
        </w:r>
      </w:hyperlink>
      <w:r w:rsidR="00275443">
        <w:rPr>
          <w:rFonts w:ascii="Segoe UI Light" w:eastAsia="Arial Unicode MS" w:hAnsi="Segoe UI Light" w:cs="Segoe UI Light"/>
          <w:lang w:val="en-US"/>
        </w:rPr>
        <w:t xml:space="preserve">) </w:t>
      </w:r>
    </w:p>
    <w:p w14:paraId="3B4F5CA9" w14:textId="2D68B2D5" w:rsidR="00275443" w:rsidRPr="00275443" w:rsidRDefault="00275443" w:rsidP="00275443">
      <w:pPr>
        <w:pStyle w:val="BodyA"/>
        <w:numPr>
          <w:ilvl w:val="0"/>
          <w:numId w:val="37"/>
        </w:numPr>
        <w:jc w:val="both"/>
        <w:rPr>
          <w:rFonts w:ascii="Segoe UI Light" w:eastAsia="Arial Unicode MS" w:hAnsi="Segoe UI Light" w:cs="Segoe UI Light"/>
          <w:lang w:val="en-US"/>
        </w:rPr>
      </w:pPr>
      <w:r>
        <w:rPr>
          <w:rFonts w:ascii="Segoe UI Light" w:eastAsia="Arial Unicode MS" w:hAnsi="Segoe UI Light" w:cs="Segoe UI Light"/>
          <w:lang w:val="en-US"/>
        </w:rPr>
        <w:t xml:space="preserve">EG3 report, </w:t>
      </w:r>
      <w:r w:rsidR="001E68A1" w:rsidRPr="001E68A1">
        <w:rPr>
          <w:rFonts w:ascii="Segoe UI Light" w:eastAsia="Arial Unicode MS" w:hAnsi="Segoe UI Light" w:cs="Segoe UI Light"/>
          <w:lang w:val="en-US"/>
        </w:rPr>
        <w:t>Regulatory Recommendations forthe Deployment of Flexibility 2015</w:t>
      </w:r>
      <w:r>
        <w:rPr>
          <w:rFonts w:ascii="Segoe UI Light" w:eastAsia="Arial Unicode MS" w:hAnsi="Segoe UI Light" w:cs="Segoe UI Light"/>
          <w:lang w:val="en-US"/>
        </w:rPr>
        <w:t xml:space="preserve"> (</w:t>
      </w:r>
      <w:hyperlink r:id="rId29" w:history="1">
        <w:r w:rsidRPr="000F50C5">
          <w:rPr>
            <w:rStyle w:val="Hyperlink"/>
            <w:rFonts w:ascii="Segoe UI Light" w:eastAsia="Arial Unicode MS" w:hAnsi="Segoe UI Light" w:cs="Segoe UI Light"/>
            <w:lang w:val="en-US"/>
          </w:rPr>
          <w:t>https://ec.europa.eu/energy/sites/ener/files/documents/EG3%20Final%20-%20January%202015.pdf</w:t>
        </w:r>
      </w:hyperlink>
      <w:r>
        <w:rPr>
          <w:rFonts w:ascii="Segoe UI Light" w:eastAsia="Arial Unicode MS" w:hAnsi="Segoe UI Light" w:cs="Segoe UI Light"/>
          <w:lang w:val="en-US"/>
        </w:rPr>
        <w:t xml:space="preserve">) </w:t>
      </w:r>
    </w:p>
    <w:p w14:paraId="514C7715" w14:textId="77777777" w:rsidR="001E68A1" w:rsidRPr="002F51C9" w:rsidRDefault="001E68A1" w:rsidP="001E68A1">
      <w:pPr>
        <w:pStyle w:val="BodyA"/>
        <w:ind w:left="720"/>
        <w:jc w:val="both"/>
        <w:rPr>
          <w:rFonts w:ascii="Segoe UI Light" w:hAnsi="Segoe UI Light" w:cs="Segoe UI Light"/>
        </w:rPr>
      </w:pPr>
    </w:p>
    <w:p w14:paraId="65565D96" w14:textId="075EC995" w:rsidR="00431A12" w:rsidRPr="00F604EA" w:rsidRDefault="00431A12" w:rsidP="00F604EA">
      <w:pPr>
        <w:pStyle w:val="Body"/>
        <w:jc w:val="both"/>
        <w:rPr>
          <w:rFonts w:ascii="Segoe UI Light" w:hAnsi="Segoe UI Light" w:cs="Segoe UI Light"/>
        </w:rPr>
      </w:pPr>
    </w:p>
    <w:sectPr w:rsidR="00431A12" w:rsidRPr="00F604EA" w:rsidSect="00984D9A">
      <w:headerReference w:type="default" r:id="rId30"/>
      <w:footerReference w:type="default" r:id="rId31"/>
      <w:pgSz w:w="12240" w:h="15840"/>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CEC93" w14:textId="77777777" w:rsidR="00D30AC8" w:rsidRDefault="00D30AC8" w:rsidP="00CC1DA3">
      <w:pPr>
        <w:spacing w:after="0" w:line="240" w:lineRule="auto"/>
      </w:pPr>
      <w:r>
        <w:separator/>
      </w:r>
    </w:p>
  </w:endnote>
  <w:endnote w:type="continuationSeparator" w:id="0">
    <w:p w14:paraId="57DF4A9C" w14:textId="77777777" w:rsidR="00D30AC8" w:rsidRDefault="00D30AC8" w:rsidP="00CC1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Light">
    <w:panose1 w:val="020B0502040204020203"/>
    <w:charset w:val="EE"/>
    <w:family w:val="swiss"/>
    <w:pitch w:val="variable"/>
    <w:sig w:usb0="E00002FF" w:usb1="4000A47B" w:usb2="00000001" w:usb3="00000000" w:csb0="0000019F" w:csb1="00000000"/>
  </w:font>
  <w:font w:name="Arial Unicode MS">
    <w:altName w:val="Arial"/>
    <w:panose1 w:val="020B0604020202020204"/>
    <w:charset w:val="00"/>
    <w:family w:val="roman"/>
    <w:pitch w:val="default"/>
  </w:font>
  <w:font w:name="Calibri">
    <w:panose1 w:val="020F0502020204030204"/>
    <w:charset w:val="EE"/>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DejaVu Sans">
    <w:altName w:val="Arial"/>
    <w:charset w:val="00"/>
    <w:family w:val="swiss"/>
    <w:pitch w:val="variable"/>
    <w:sig w:usb0="E7002EFF" w:usb1="D200F5FF" w:usb2="0A246029" w:usb3="00000000" w:csb0="000001FF" w:csb1="00000000"/>
  </w:font>
  <w:font w:name="GE Inspira">
    <w:altName w:val="Calibri"/>
    <w:charset w:val="00"/>
    <w:family w:val="swiss"/>
    <w:pitch w:val="variable"/>
    <w:sig w:usb0="00000003"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MS Reference Sans Serif"/>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Neue Light">
    <w:altName w:val="Corbel"/>
    <w:charset w:val="00"/>
    <w:family w:val="auto"/>
    <w:pitch w:val="variable"/>
    <w:sig w:usb0="00000001" w:usb1="5000205B" w:usb2="00000002" w:usb3="00000000" w:csb0="00000007"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79E2A" w14:textId="68DF1F77" w:rsidR="00275443" w:rsidRPr="00B108BE" w:rsidRDefault="003004E5" w:rsidP="00B108BE">
    <w:pPr>
      <w:pStyle w:val="Subsol"/>
    </w:pPr>
    <w:sdt>
      <w:sdtPr>
        <w:id w:val="-1748801603"/>
        <w:docPartObj>
          <w:docPartGallery w:val="Page Numbers (Bottom of Page)"/>
          <w:docPartUnique/>
        </w:docPartObj>
      </w:sdtPr>
      <w:sdtEndPr/>
      <w:sdtContent>
        <w:sdt>
          <w:sdtPr>
            <w:id w:val="-1769616900"/>
            <w:docPartObj>
              <w:docPartGallery w:val="Page Numbers (Top of Page)"/>
              <w:docPartUnique/>
            </w:docPartObj>
          </w:sdtPr>
          <w:sdtEndPr/>
          <w:sdtContent>
            <w:r w:rsidR="00275443">
              <w:rPr>
                <w:sz w:val="20"/>
                <w:szCs w:val="20"/>
              </w:rPr>
              <w:tab/>
            </w:r>
            <w:r w:rsidR="00275443">
              <w:rPr>
                <w:sz w:val="20"/>
                <w:szCs w:val="20"/>
              </w:rPr>
              <w:tab/>
            </w:r>
            <w:r w:rsidR="00275443" w:rsidRPr="00052CD3">
              <w:rPr>
                <w:sz w:val="20"/>
                <w:szCs w:val="20"/>
              </w:rPr>
              <w:t xml:space="preserve">Page </w:t>
            </w:r>
            <w:r w:rsidR="00275443" w:rsidRPr="00052CD3">
              <w:rPr>
                <w:b/>
                <w:bCs/>
                <w:sz w:val="20"/>
                <w:szCs w:val="20"/>
              </w:rPr>
              <w:fldChar w:fldCharType="begin"/>
            </w:r>
            <w:r w:rsidR="00275443" w:rsidRPr="00052CD3">
              <w:rPr>
                <w:b/>
                <w:bCs/>
                <w:sz w:val="20"/>
                <w:szCs w:val="20"/>
              </w:rPr>
              <w:instrText xml:space="preserve"> PAGE </w:instrText>
            </w:r>
            <w:r w:rsidR="00275443" w:rsidRPr="00052CD3">
              <w:rPr>
                <w:b/>
                <w:bCs/>
                <w:sz w:val="20"/>
                <w:szCs w:val="20"/>
              </w:rPr>
              <w:fldChar w:fldCharType="separate"/>
            </w:r>
            <w:r w:rsidR="000B619D">
              <w:rPr>
                <w:b/>
                <w:bCs/>
                <w:sz w:val="20"/>
                <w:szCs w:val="20"/>
              </w:rPr>
              <w:t>5</w:t>
            </w:r>
            <w:r w:rsidR="00275443" w:rsidRPr="00052CD3">
              <w:rPr>
                <w:b/>
                <w:bCs/>
                <w:sz w:val="20"/>
                <w:szCs w:val="20"/>
              </w:rPr>
              <w:fldChar w:fldCharType="end"/>
            </w:r>
            <w:r w:rsidR="00275443" w:rsidRPr="00052CD3">
              <w:rPr>
                <w:sz w:val="20"/>
                <w:szCs w:val="20"/>
              </w:rPr>
              <w:t xml:space="preserve"> of </w:t>
            </w:r>
            <w:r w:rsidR="00275443" w:rsidRPr="00052CD3">
              <w:rPr>
                <w:b/>
                <w:bCs/>
                <w:sz w:val="20"/>
                <w:szCs w:val="20"/>
              </w:rPr>
              <w:fldChar w:fldCharType="begin"/>
            </w:r>
            <w:r w:rsidR="00275443" w:rsidRPr="00052CD3">
              <w:rPr>
                <w:b/>
                <w:bCs/>
                <w:sz w:val="20"/>
                <w:szCs w:val="20"/>
              </w:rPr>
              <w:instrText xml:space="preserve"> NUMPAGES  </w:instrText>
            </w:r>
            <w:r w:rsidR="00275443" w:rsidRPr="00052CD3">
              <w:rPr>
                <w:b/>
                <w:bCs/>
                <w:sz w:val="20"/>
                <w:szCs w:val="20"/>
              </w:rPr>
              <w:fldChar w:fldCharType="separate"/>
            </w:r>
            <w:r w:rsidR="000B619D">
              <w:rPr>
                <w:b/>
                <w:bCs/>
                <w:sz w:val="20"/>
                <w:szCs w:val="20"/>
              </w:rPr>
              <w:t>17</w:t>
            </w:r>
            <w:r w:rsidR="00275443" w:rsidRPr="00052CD3">
              <w:rPr>
                <w:b/>
                <w:bCs/>
                <w:sz w:val="20"/>
                <w:szCs w:val="20"/>
              </w:rPr>
              <w:fldChar w:fldCharType="end"/>
            </w:r>
          </w:sdtContent>
        </w:sdt>
      </w:sdtContent>
    </w:sdt>
    <w:r w:rsidR="00275443">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D3A0B" w14:textId="77777777" w:rsidR="00D30AC8" w:rsidRDefault="00D30AC8" w:rsidP="00CC1DA3">
      <w:pPr>
        <w:spacing w:after="0" w:line="240" w:lineRule="auto"/>
      </w:pPr>
      <w:r>
        <w:separator/>
      </w:r>
    </w:p>
  </w:footnote>
  <w:footnote w:type="continuationSeparator" w:id="0">
    <w:p w14:paraId="28BC386B" w14:textId="77777777" w:rsidR="00D30AC8" w:rsidRDefault="00D30AC8" w:rsidP="00CC1DA3">
      <w:pPr>
        <w:spacing w:after="0" w:line="240" w:lineRule="auto"/>
      </w:pPr>
      <w:r>
        <w:continuationSeparator/>
      </w:r>
    </w:p>
  </w:footnote>
  <w:footnote w:id="1">
    <w:p w14:paraId="246F7DC6" w14:textId="77777777" w:rsidR="00275443" w:rsidRPr="002F51C9" w:rsidRDefault="00275443" w:rsidP="002F51C9">
      <w:pPr>
        <w:pStyle w:val="Textnotdesubsol"/>
        <w:rPr>
          <w:sz w:val="16"/>
          <w:szCs w:val="16"/>
        </w:rPr>
      </w:pPr>
      <w:r w:rsidRPr="002F51C9">
        <w:rPr>
          <w:rStyle w:val="Referinnotdesubsol"/>
          <w:sz w:val="16"/>
          <w:szCs w:val="16"/>
        </w:rPr>
        <w:footnoteRef/>
      </w:r>
      <w:r w:rsidRPr="002F51C9">
        <w:rPr>
          <w:rFonts w:eastAsia="Arial Unicode MS" w:cs="Arial Unicode MS"/>
          <w:sz w:val="16"/>
          <w:szCs w:val="16"/>
        </w:rPr>
        <w:t xml:space="preserve"> </w:t>
      </w:r>
      <w:hyperlink r:id="rId1" w:history="1">
        <w:r w:rsidRPr="002F51C9">
          <w:rPr>
            <w:rStyle w:val="Hyperlink0"/>
            <w:rFonts w:eastAsia="Arial Unicode MS" w:cs="Arial Unicode MS"/>
          </w:rPr>
          <w:t>https://en.wikipedia.org/wiki/Council_of_European_Energy_Regulators</w:t>
        </w:r>
      </w:hyperlink>
      <w:r w:rsidRPr="002F51C9">
        <w:rPr>
          <w:rFonts w:eastAsia="Arial Unicode MS" w:cs="Arial Unicode MS"/>
          <w:sz w:val="16"/>
          <w:szCs w:val="16"/>
        </w:rPr>
        <w:t xml:space="preserve"> In March 2000, ten national energy regulatory authorities voluntarily signed a "Memorandum of Understanding" for the establishment of the Council of European Energy Regulators (CEER). CEER's objective is to facilitate cooperation among Europe's energy regulators in promoting a single-EU electricity and gas market. In 2003 the CEER was formally established as a "not-for-profit association" under Belgian law, with its own Brussels-based Secretariat. CEER represents 30 Members - the national energy regulators from the EU Member States, Iceland, Norway and Great Britain as CEER Members, and the regulators of Albania, Bosnia and Herzegovina, Georgia, Kosovo, Moldova, Montenegro, Republic of North Macedonia, Republic of Serbia and the Swiss Confederation as Observers</w:t>
      </w:r>
    </w:p>
  </w:footnote>
  <w:footnote w:id="2">
    <w:p w14:paraId="6438E986" w14:textId="77777777" w:rsidR="00275443" w:rsidRPr="002F51C9" w:rsidRDefault="00275443" w:rsidP="002F51C9">
      <w:pPr>
        <w:pStyle w:val="Textnotdesubsol"/>
        <w:rPr>
          <w:sz w:val="16"/>
          <w:szCs w:val="16"/>
        </w:rPr>
      </w:pPr>
      <w:r w:rsidRPr="002F51C9">
        <w:rPr>
          <w:rStyle w:val="Referinnotdesubsol"/>
          <w:sz w:val="16"/>
          <w:szCs w:val="16"/>
        </w:rPr>
        <w:footnoteRef/>
      </w:r>
      <w:r w:rsidRPr="002F51C9">
        <w:rPr>
          <w:rFonts w:eastAsia="Arial Unicode MS" w:cs="Arial Unicode MS"/>
          <w:sz w:val="16"/>
          <w:szCs w:val="16"/>
        </w:rPr>
        <w:t xml:space="preserve"> </w:t>
      </w:r>
      <w:hyperlink r:id="rId2" w:history="1">
        <w:r w:rsidRPr="002F51C9">
          <w:rPr>
            <w:rStyle w:val="Hyperlink0"/>
            <w:rFonts w:eastAsia="Arial Unicode MS" w:cs="Arial Unicode MS"/>
          </w:rPr>
          <w:t>https://www.acer.europa.eu/the-agency/about-acer</w:t>
        </w:r>
      </w:hyperlink>
      <w:r w:rsidRPr="002F51C9">
        <w:rPr>
          <w:rFonts w:eastAsia="Arial Unicode MS" w:cs="Arial Unicode MS"/>
          <w:sz w:val="16"/>
          <w:szCs w:val="16"/>
        </w:rPr>
        <w:t xml:space="preserve"> The European Union Agency for the Cooperation of Energy Regulators (ACER) was established in March 2011 by​ th​e Third Energy Package legislation as an independent body to foster the integration and completion of the Eu​​ropean Internal Energy Market for electricity and natural gas​. ACER is one of the EU decentralised agencies. Distinct from the EU institutions, agencies are set up as separate legal entities to perform specific technical and scientific tasks that help EU institutions and Member States to implement policies and take decisions. ACER's headquarters are located in Ljubljana, Slovenia. EU Agencies also support the cooperation between the European Union and national governments by pooling technical and specialist expertise. By fostering cooperation among National Regulatory Authorities (NRAs), ACER ensures that the integration of national energy markets and the implementation of legislation in the Member States are met according to the EU's energy policy objectives and regulatory frameworks.</w:t>
      </w:r>
    </w:p>
  </w:footnote>
  <w:footnote w:id="3">
    <w:p w14:paraId="7663964A" w14:textId="77777777" w:rsidR="00275443" w:rsidRPr="002F51C9" w:rsidRDefault="00275443" w:rsidP="002F51C9">
      <w:pPr>
        <w:pStyle w:val="Textnotdesubsol"/>
        <w:rPr>
          <w:sz w:val="16"/>
          <w:szCs w:val="16"/>
        </w:rPr>
      </w:pPr>
      <w:r w:rsidRPr="002F51C9">
        <w:rPr>
          <w:rStyle w:val="Referinnotdesubsol"/>
          <w:sz w:val="16"/>
          <w:szCs w:val="16"/>
        </w:rPr>
        <w:footnoteRef/>
      </w:r>
      <w:r w:rsidRPr="002F51C9">
        <w:rPr>
          <w:rFonts w:eastAsia="Arial Unicode MS" w:cs="Arial Unicode MS"/>
          <w:sz w:val="16"/>
          <w:szCs w:val="16"/>
        </w:rPr>
        <w:t xml:space="preserve"> </w:t>
      </w:r>
      <w:hyperlink r:id="rId3" w:history="1">
        <w:r w:rsidRPr="002F51C9">
          <w:rPr>
            <w:rStyle w:val="Hyperlink0"/>
            <w:rFonts w:eastAsia="Arial Unicode MS" w:cs="Arial Unicode MS"/>
          </w:rPr>
          <w:t>www.cired.org</w:t>
        </w:r>
      </w:hyperlink>
      <w:r w:rsidRPr="002F51C9">
        <w:rPr>
          <w:rFonts w:eastAsia="Arial Unicode MS" w:cs="Arial Unicode MS"/>
          <w:sz w:val="16"/>
          <w:szCs w:val="16"/>
        </w:rPr>
        <w:t xml:space="preserve"> The first CIRED Conference was organised in May 1971 by AIM - Association des Ingénieurs de Montefiore, Belgium, as the result of the interest shown in their previous conference held in Liège in 1969 on the same subject. Similarly, in the UK, the large amount of interest shown in conferences on electricity distribution held in Edinburgh by the UK Electrical Research Association (ERA) in 1967 and by the formally known Institution of Electrical Engineers (IEE), now the Institution of Engineering and Technology (IET) and ERA jointly in 1970 demonstrated the need for an international conference on this subject. In order to avoid a major overlap between the existing conferences, it was decided to hold a conference every two years, under the name of CIRED, alternately in Belgium and the United Kingdom. The growing interest in CIRED activities and the increasingly important part of the exhibition have led the organizers to move outside from Belgium and the UK and to consider every two years changing venue in Europe.</w:t>
      </w:r>
    </w:p>
  </w:footnote>
  <w:footnote w:id="4">
    <w:p w14:paraId="65898234" w14:textId="77777777" w:rsidR="00275443" w:rsidRDefault="00275443" w:rsidP="002F51C9">
      <w:pPr>
        <w:pStyle w:val="Textnotdesubsol"/>
      </w:pPr>
      <w:r w:rsidRPr="002F51C9">
        <w:rPr>
          <w:rStyle w:val="Referinnotdesubsol"/>
          <w:sz w:val="16"/>
          <w:szCs w:val="16"/>
        </w:rPr>
        <w:footnoteRef/>
      </w:r>
      <w:r w:rsidRPr="002F51C9">
        <w:rPr>
          <w:rFonts w:eastAsia="Arial Unicode MS" w:cs="Arial Unicode MS"/>
          <w:sz w:val="16"/>
          <w:szCs w:val="16"/>
        </w:rPr>
        <w:t xml:space="preserve"> </w:t>
      </w:r>
      <w:hyperlink r:id="rId4" w:history="1">
        <w:r w:rsidRPr="002F51C9">
          <w:rPr>
            <w:rStyle w:val="Hyperlink0"/>
            <w:rFonts w:eastAsia="Arial Unicode MS" w:cs="Arial Unicode MS"/>
          </w:rPr>
          <w:t>https://www.cigre.org/userfiles/files/About/</w:t>
        </w:r>
      </w:hyperlink>
      <w:r w:rsidRPr="002F51C9">
        <w:rPr>
          <w:rFonts w:eastAsia="Arial Unicode MS" w:cs="Arial Unicode MS"/>
          <w:sz w:val="16"/>
          <w:szCs w:val="16"/>
        </w:rPr>
        <w:t>...  Established in 1921 in Paris, France, CIGRE is a global community committed to the collaborative development and sharing of power system expertise. The community features thousands of professionals from over 90 countries and 1250 member organisations, including some of the world’s leading experts. At its heart are CIGRE’s 59 in country National Committees offering diverse technical perspectives and expertise from every corner of the globe. CIGRE operates the world’s foremost knowledge programme, spanning 16 domains of work encompassing all the core areas of the power system. Across these domains 250+ Working Groups draw and build on practical expertise to solve existing and future challenges facing the power system.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1108D" w14:textId="240C7766" w:rsidR="00275443" w:rsidRDefault="00275443" w:rsidP="004E1107">
    <w:pPr>
      <w:pStyle w:val="Antet"/>
      <w:jc w:val="right"/>
    </w:pPr>
    <w:r>
      <w:rPr>
        <w:lang w:val="en-US"/>
      </w:rPr>
      <w:drawing>
        <wp:anchor distT="0" distB="0" distL="114300" distR="114300" simplePos="0" relativeHeight="251809792" behindDoc="0" locked="0" layoutInCell="1" allowOverlap="1" wp14:anchorId="6852E98A" wp14:editId="0D4D4CF7">
          <wp:simplePos x="0" y="0"/>
          <wp:positionH relativeFrom="column">
            <wp:posOffset>-509270</wp:posOffset>
          </wp:positionH>
          <wp:positionV relativeFrom="page">
            <wp:posOffset>167640</wp:posOffset>
          </wp:positionV>
          <wp:extent cx="928965" cy="913169"/>
          <wp:effectExtent l="0" t="0" r="508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8965" cy="913169"/>
                  </a:xfrm>
                  <a:prstGeom prst="rect">
                    <a:avLst/>
                  </a:prstGeom>
                </pic:spPr>
              </pic:pic>
            </a:graphicData>
          </a:graphic>
          <wp14:sizeRelH relativeFrom="margin">
            <wp14:pctWidth>0</wp14:pctWidth>
          </wp14:sizeRelH>
          <wp14:sizeRelV relativeFrom="margin">
            <wp14:pctHeight>0</wp14:pctHeight>
          </wp14:sizeRelV>
        </wp:anchor>
      </w:drawing>
    </w:r>
    <w:r>
      <w:rPr>
        <w:lang w:val="en-US"/>
      </w:rPr>
      <w:drawing>
        <wp:anchor distT="0" distB="0" distL="114300" distR="114300" simplePos="0" relativeHeight="251808768" behindDoc="0" locked="0" layoutInCell="1" allowOverlap="1" wp14:anchorId="6B5666C6" wp14:editId="6CB1BA94">
          <wp:simplePos x="0" y="0"/>
          <wp:positionH relativeFrom="column">
            <wp:posOffset>13136468</wp:posOffset>
          </wp:positionH>
          <wp:positionV relativeFrom="page">
            <wp:posOffset>0</wp:posOffset>
          </wp:positionV>
          <wp:extent cx="1043305" cy="1025564"/>
          <wp:effectExtent l="0" t="0" r="444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3305" cy="1025564"/>
                  </a:xfrm>
                  <a:prstGeom prst="rect">
                    <a:avLst/>
                  </a:prstGeom>
                </pic:spPr>
              </pic:pic>
            </a:graphicData>
          </a:graphic>
          <wp14:sizeRelH relativeFrom="margin">
            <wp14:pctWidth>0</wp14:pctWidth>
          </wp14:sizeRelH>
          <wp14:sizeRelV relativeFrom="margin">
            <wp14:pctHeight>0</wp14:pctHeight>
          </wp14:sizeRelV>
        </wp:anchor>
      </w:drawing>
    </w:r>
  </w:p>
  <w:p w14:paraId="1C54CB97" w14:textId="77777777" w:rsidR="00275443" w:rsidRDefault="0027544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6"/>
    <w:multiLevelType w:val="singleLevel"/>
    <w:tmpl w:val="00000026"/>
    <w:name w:val="WW8Num41"/>
    <w:lvl w:ilvl="0">
      <w:start w:val="1"/>
      <w:numFmt w:val="bullet"/>
      <w:lvlText w:val=""/>
      <w:lvlJc w:val="left"/>
      <w:pPr>
        <w:tabs>
          <w:tab w:val="num" w:pos="360"/>
        </w:tabs>
        <w:ind w:left="360" w:hanging="360"/>
      </w:pPr>
      <w:rPr>
        <w:rFonts w:ascii="Symbol" w:hAnsi="Symbol"/>
      </w:rPr>
    </w:lvl>
  </w:abstractNum>
  <w:abstractNum w:abstractNumId="1" w15:restartNumberingAfterBreak="0">
    <w:nsid w:val="02B57AFD"/>
    <w:multiLevelType w:val="hybridMultilevel"/>
    <w:tmpl w:val="2C447E88"/>
    <w:lvl w:ilvl="0" w:tplc="B3A0703C">
      <w:start w:val="1"/>
      <w:numFmt w:val="bullet"/>
      <w:pStyle w:val="bulletround"/>
      <w:lvlText w:val=""/>
      <w:lvlJc w:val="left"/>
      <w:pPr>
        <w:ind w:left="1800" w:hanging="360"/>
      </w:pPr>
      <w:rPr>
        <w:rFonts w:ascii="Symbol" w:hAnsi="Symbol" w:hint="default"/>
      </w:rPr>
    </w:lvl>
    <w:lvl w:ilvl="1" w:tplc="3E862B0C">
      <w:numFmt w:val="bullet"/>
      <w:lvlText w:val="-"/>
      <w:lvlJc w:val="left"/>
      <w:pPr>
        <w:ind w:left="2520" w:hanging="360"/>
      </w:pPr>
      <w:rPr>
        <w:rFonts w:ascii="Trebuchet MS" w:eastAsia="MS Mincho" w:hAnsi="Trebuchet MS" w:hint="default"/>
        <w:color w:val="auto"/>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8A43705"/>
    <w:multiLevelType w:val="hybridMultilevel"/>
    <w:tmpl w:val="E17AA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236B9"/>
    <w:multiLevelType w:val="hybridMultilevel"/>
    <w:tmpl w:val="24924546"/>
    <w:lvl w:ilvl="0" w:tplc="49B87EAC">
      <w:numFmt w:val="bullet"/>
      <w:lvlText w:val="-"/>
      <w:lvlJc w:val="left"/>
      <w:pPr>
        <w:ind w:left="1080" w:hanging="720"/>
      </w:pPr>
      <w:rPr>
        <w:rFonts w:ascii="Segoe UI Light" w:eastAsia="Times New Roman" w:hAnsi="Segoe UI Light" w:cs="Segoe U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B21D4"/>
    <w:multiLevelType w:val="hybridMultilevel"/>
    <w:tmpl w:val="0CB4C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A2019"/>
    <w:multiLevelType w:val="hybridMultilevel"/>
    <w:tmpl w:val="0CD0C5F4"/>
    <w:lvl w:ilvl="0" w:tplc="9D983B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90474"/>
    <w:multiLevelType w:val="hybridMultilevel"/>
    <w:tmpl w:val="12C693C4"/>
    <w:lvl w:ilvl="0" w:tplc="806C53A4">
      <w:start w:val="4"/>
      <w:numFmt w:val="bullet"/>
      <w:lvlText w:val="-"/>
      <w:lvlJc w:val="left"/>
      <w:pPr>
        <w:ind w:left="1140" w:hanging="780"/>
      </w:pPr>
      <w:rPr>
        <w:rFonts w:ascii="Segoe UI Light" w:eastAsia="Arial Unicode MS" w:hAnsi="Segoe UI Light" w:cs="Segoe U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0D0176"/>
    <w:multiLevelType w:val="hybridMultilevel"/>
    <w:tmpl w:val="72721940"/>
    <w:lvl w:ilvl="0" w:tplc="38821D84">
      <w:numFmt w:val="bullet"/>
      <w:pStyle w:val="Aufzhlung2"/>
      <w:lvlText w:val="-"/>
      <w:lvlJc w:val="left"/>
      <w:pPr>
        <w:ind w:left="927" w:hanging="360"/>
      </w:pPr>
      <w:rPr>
        <w:rFonts w:ascii="Calibri" w:hAnsi="Calibri" w:hint="default"/>
        <w:b/>
        <w:i w:val="0"/>
        <w:color w:val="auto"/>
        <w:sz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AB12132"/>
    <w:multiLevelType w:val="multilevel"/>
    <w:tmpl w:val="BFD03F5E"/>
    <w:styleLink w:val="ListStyleLevelVF"/>
    <w:lvl w:ilvl="0">
      <w:start w:val="1"/>
      <w:numFmt w:val="decimal"/>
      <w:pStyle w:val="Level1VF"/>
      <w:lvlText w:val="%1"/>
      <w:lvlJc w:val="left"/>
      <w:pPr>
        <w:tabs>
          <w:tab w:val="num" w:pos="720"/>
        </w:tabs>
        <w:ind w:left="720" w:hanging="720"/>
      </w:pPr>
      <w:rPr>
        <w:rFonts w:ascii="Times New Roman Bold" w:hAnsi="Times New Roman Bold" w:hint="default"/>
        <w:b/>
        <w:i w:val="0"/>
        <w:sz w:val="28"/>
      </w:rPr>
    </w:lvl>
    <w:lvl w:ilvl="1">
      <w:start w:val="1"/>
      <w:numFmt w:val="decimal"/>
      <w:pStyle w:val="Level2VF"/>
      <w:lvlText w:val="%1.%2"/>
      <w:lvlJc w:val="left"/>
      <w:pPr>
        <w:tabs>
          <w:tab w:val="num" w:pos="720"/>
        </w:tabs>
        <w:ind w:left="720" w:hanging="720"/>
      </w:pPr>
      <w:rPr>
        <w:rFonts w:ascii="Times New Roman Bold" w:hAnsi="Times New Roman Bold" w:hint="default"/>
        <w:b/>
        <w:i w:val="0"/>
        <w:sz w:val="23"/>
      </w:rPr>
    </w:lvl>
    <w:lvl w:ilvl="2">
      <w:start w:val="1"/>
      <w:numFmt w:val="decimal"/>
      <w:pStyle w:val="Level3VF"/>
      <w:lvlText w:val="%1.%2.%3"/>
      <w:lvlJc w:val="left"/>
      <w:pPr>
        <w:tabs>
          <w:tab w:val="num" w:pos="1440"/>
        </w:tabs>
        <w:ind w:left="1440" w:hanging="720"/>
      </w:pPr>
      <w:rPr>
        <w:rFonts w:ascii="Times New Roman Bold" w:hAnsi="Times New Roman Bold" w:hint="default"/>
        <w:b/>
        <w:i w:val="0"/>
        <w:sz w:val="20"/>
      </w:rPr>
    </w:lvl>
    <w:lvl w:ilvl="3">
      <w:start w:val="1"/>
      <w:numFmt w:val="lowerLetter"/>
      <w:pStyle w:val="Level4VF"/>
      <w:lvlText w:val="(%4)"/>
      <w:lvlJc w:val="left"/>
      <w:pPr>
        <w:tabs>
          <w:tab w:val="num" w:pos="2160"/>
        </w:tabs>
        <w:ind w:left="2160" w:hanging="720"/>
      </w:pPr>
      <w:rPr>
        <w:rFonts w:ascii="Times New Roman" w:hAnsi="Times New Roman" w:hint="default"/>
        <w:b w:val="0"/>
        <w:i w:val="0"/>
        <w:sz w:val="22"/>
      </w:rPr>
    </w:lvl>
    <w:lvl w:ilvl="4">
      <w:start w:val="1"/>
      <w:numFmt w:val="lowerRoman"/>
      <w:pStyle w:val="Level5VF"/>
      <w:lvlText w:val="(%5)"/>
      <w:lvlJc w:val="left"/>
      <w:pPr>
        <w:tabs>
          <w:tab w:val="num" w:pos="2880"/>
        </w:tabs>
        <w:ind w:left="2880" w:hanging="720"/>
      </w:pPr>
      <w:rPr>
        <w:rFonts w:ascii="Times New Roman" w:hAnsi="Times New Roman" w:hint="default"/>
        <w:b w:val="0"/>
        <w:i w:val="0"/>
        <w:sz w:val="22"/>
      </w:rPr>
    </w:lvl>
    <w:lvl w:ilvl="5">
      <w:start w:val="1"/>
      <w:numFmt w:val="upperRoman"/>
      <w:pStyle w:val="Level6VF"/>
      <w:lvlText w:val="(%6)"/>
      <w:lvlJc w:val="left"/>
      <w:pPr>
        <w:tabs>
          <w:tab w:val="num" w:pos="3600"/>
        </w:tabs>
        <w:ind w:left="3600" w:hanging="720"/>
      </w:pPr>
      <w:rPr>
        <w:rFonts w:ascii="Times New Roman" w:hAnsi="Times New Roman" w:hint="default"/>
        <w:b w:val="0"/>
        <w:i w:val="0"/>
        <w:sz w:val="22"/>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numFmt w:val="none"/>
      <w:lvlText w:val=""/>
      <w:lvlJc w:val="left"/>
      <w:pPr>
        <w:tabs>
          <w:tab w:val="num" w:pos="360"/>
        </w:tabs>
      </w:pPr>
    </w:lvl>
  </w:abstractNum>
  <w:abstractNum w:abstractNumId="9" w15:restartNumberingAfterBreak="0">
    <w:nsid w:val="1DCD0AB6"/>
    <w:multiLevelType w:val="hybridMultilevel"/>
    <w:tmpl w:val="12883820"/>
    <w:styleLink w:val="ImportedStyle7"/>
    <w:lvl w:ilvl="0" w:tplc="AC38599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D8C7B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08264A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E9EB64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85CCD6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D18EE8A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11880F7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6087F9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D4C092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0285E58"/>
    <w:multiLevelType w:val="hybridMultilevel"/>
    <w:tmpl w:val="FFB2193C"/>
    <w:numStyleLink w:val="Numbered"/>
  </w:abstractNum>
  <w:abstractNum w:abstractNumId="11" w15:restartNumberingAfterBreak="0">
    <w:nsid w:val="2C45004B"/>
    <w:multiLevelType w:val="hybridMultilevel"/>
    <w:tmpl w:val="EB00F46E"/>
    <w:lvl w:ilvl="0" w:tplc="04090001">
      <w:start w:val="1"/>
      <w:numFmt w:val="bullet"/>
      <w:lvlText w:val=""/>
      <w:lvlJc w:val="left"/>
      <w:pPr>
        <w:ind w:left="1140" w:hanging="78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935090"/>
    <w:multiLevelType w:val="hybridMultilevel"/>
    <w:tmpl w:val="D8C8EB58"/>
    <w:styleLink w:val="ImportedStyle1"/>
    <w:lvl w:ilvl="0" w:tplc="13783C2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D323A9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9D8ED8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42453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AD2D17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592D4C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D0A84D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014EEA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E0CC40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CDC33EB"/>
    <w:multiLevelType w:val="hybridMultilevel"/>
    <w:tmpl w:val="F9E6999E"/>
    <w:lvl w:ilvl="0" w:tplc="6C5C94E8">
      <w:start w:val="1"/>
      <w:numFmt w:val="bullet"/>
      <w:pStyle w:val="bullettable"/>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32C6726"/>
    <w:multiLevelType w:val="hybridMultilevel"/>
    <w:tmpl w:val="A79446A6"/>
    <w:lvl w:ilvl="0" w:tplc="A77CCC90">
      <w:start w:val="1"/>
      <w:numFmt w:val="bullet"/>
      <w:pStyle w:val="list1"/>
      <w:lvlText w:val=""/>
      <w:lvlJc w:val="left"/>
      <w:pPr>
        <w:ind w:left="1410" w:hanging="705"/>
      </w:pPr>
      <w:rPr>
        <w:rFonts w:ascii="Symbol" w:hAnsi="Symbol" w:hint="default"/>
      </w:rPr>
    </w:lvl>
    <w:lvl w:ilvl="1" w:tplc="A5542776">
      <w:numFmt w:val="bullet"/>
      <w:lvlText w:val=""/>
      <w:lvlJc w:val="left"/>
      <w:pPr>
        <w:ind w:left="2490" w:hanging="705"/>
      </w:pPr>
      <w:rPr>
        <w:rFonts w:ascii="Symbol" w:eastAsia="Calibri" w:hAnsi="Symbol" w:cs="Times New Roman" w:hint="default"/>
      </w:rPr>
    </w:lvl>
    <w:lvl w:ilvl="2" w:tplc="C8FCFEBE">
      <w:numFmt w:val="bullet"/>
      <w:lvlText w:val="•"/>
      <w:lvlJc w:val="left"/>
      <w:pPr>
        <w:ind w:left="2865" w:hanging="360"/>
      </w:pPr>
      <w:rPr>
        <w:rFonts w:ascii="Segoe UI Light" w:eastAsia="DejaVu Sans" w:hAnsi="Segoe UI Light" w:cs="Segoe UI Light"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5" w15:restartNumberingAfterBreak="0">
    <w:nsid w:val="3C640847"/>
    <w:multiLevelType w:val="multilevel"/>
    <w:tmpl w:val="6268885C"/>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2694" w:firstLine="0"/>
      </w:pPr>
      <w:rPr>
        <w:rFonts w:hint="default"/>
      </w:rPr>
    </w:lvl>
    <w:lvl w:ilvl="4">
      <w:start w:val="1"/>
      <w:numFmt w:val="decimal"/>
      <w:lvlText w:val="%1.%2.%3.%4.%5."/>
      <w:lvlJc w:val="left"/>
      <w:pPr>
        <w:ind w:left="0" w:firstLine="0"/>
      </w:pPr>
      <w:rPr>
        <w:rFonts w:hint="default"/>
      </w:rPr>
    </w:lvl>
    <w:lvl w:ilvl="5">
      <w:start w:val="1"/>
      <w:numFmt w:val="none"/>
      <w:pStyle w:val="Titlu6"/>
      <w:lvlText w:val="%1.%2.%3.%4.%5."/>
      <w:lvlJc w:val="left"/>
      <w:pPr>
        <w:ind w:left="0" w:firstLine="0"/>
      </w:pPr>
      <w:rPr>
        <w:rFonts w:hint="default"/>
      </w:rPr>
    </w:lvl>
    <w:lvl w:ilvl="6">
      <w:start w:val="1"/>
      <w:numFmt w:val="none"/>
      <w:pStyle w:val="Titlu7"/>
      <w:lvlText w:val="%1.%2.%3.%4.%5."/>
      <w:lvlJc w:val="left"/>
      <w:pPr>
        <w:ind w:left="0" w:firstLine="0"/>
      </w:pPr>
      <w:rPr>
        <w:rFonts w:hint="default"/>
      </w:rPr>
    </w:lvl>
    <w:lvl w:ilvl="7">
      <w:start w:val="1"/>
      <w:numFmt w:val="none"/>
      <w:pStyle w:val="Titlu8"/>
      <w:lvlText w:val="%1.%2.%3.%4.%5."/>
      <w:lvlJc w:val="left"/>
      <w:pPr>
        <w:ind w:left="0" w:firstLine="0"/>
      </w:pPr>
      <w:rPr>
        <w:rFonts w:hint="default"/>
      </w:rPr>
    </w:lvl>
    <w:lvl w:ilvl="8">
      <w:start w:val="1"/>
      <w:numFmt w:val="none"/>
      <w:pStyle w:val="Titlu9"/>
      <w:lvlText w:val="%1.%2.%3.%4.%5."/>
      <w:lvlJc w:val="left"/>
      <w:pPr>
        <w:ind w:left="0" w:firstLine="0"/>
      </w:pPr>
      <w:rPr>
        <w:rFonts w:hint="default"/>
      </w:rPr>
    </w:lvl>
  </w:abstractNum>
  <w:abstractNum w:abstractNumId="16" w15:restartNumberingAfterBreak="0">
    <w:nsid w:val="41EC335B"/>
    <w:multiLevelType w:val="hybridMultilevel"/>
    <w:tmpl w:val="D34E0A30"/>
    <w:lvl w:ilvl="0" w:tplc="A56A79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61D69"/>
    <w:multiLevelType w:val="hybridMultilevel"/>
    <w:tmpl w:val="0B18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55769"/>
    <w:multiLevelType w:val="multilevel"/>
    <w:tmpl w:val="AB3EEAAA"/>
    <w:lvl w:ilvl="0">
      <w:start w:val="1"/>
      <w:numFmt w:val="decimal"/>
      <w:pStyle w:val="H1b"/>
      <w:lvlText w:val="%1."/>
      <w:lvlJc w:val="left"/>
      <w:pPr>
        <w:ind w:left="720" w:hanging="360"/>
      </w:pPr>
      <w:rPr>
        <w:rFonts w:hint="default"/>
        <w:b/>
        <w:bCs/>
        <w:sz w:val="32"/>
        <w:szCs w:val="32"/>
      </w:rPr>
    </w:lvl>
    <w:lvl w:ilvl="1">
      <w:start w:val="1"/>
      <w:numFmt w:val="decimal"/>
      <w:pStyle w:val="Titlu2"/>
      <w:isLgl/>
      <w:lvlText w:val="%1.%2"/>
      <w:lvlJc w:val="left"/>
      <w:pPr>
        <w:ind w:left="405" w:hanging="405"/>
      </w:pPr>
      <w:rPr>
        <w:rFonts w:hint="default"/>
      </w:rPr>
    </w:lvl>
    <w:lvl w:ilvl="2">
      <w:start w:val="1"/>
      <w:numFmt w:val="decimal"/>
      <w:pStyle w:val="Titlu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494BE3"/>
    <w:multiLevelType w:val="hybridMultilevel"/>
    <w:tmpl w:val="E4007B7C"/>
    <w:numStyleLink w:val="ImportedStyle20"/>
  </w:abstractNum>
  <w:abstractNum w:abstractNumId="20" w15:restartNumberingAfterBreak="0">
    <w:nsid w:val="51B72D7A"/>
    <w:multiLevelType w:val="hybridMultilevel"/>
    <w:tmpl w:val="BB36A4D8"/>
    <w:numStyleLink w:val="ImportedStyle4"/>
  </w:abstractNum>
  <w:abstractNum w:abstractNumId="21" w15:restartNumberingAfterBreak="0">
    <w:nsid w:val="5242632B"/>
    <w:multiLevelType w:val="hybridMultilevel"/>
    <w:tmpl w:val="A4A27E0C"/>
    <w:lvl w:ilvl="0" w:tplc="2A045DDC">
      <w:start w:val="1"/>
      <w:numFmt w:val="bullet"/>
      <w:pStyle w:val="bullettbl"/>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2" w15:restartNumberingAfterBreak="0">
    <w:nsid w:val="555C7834"/>
    <w:multiLevelType w:val="hybridMultilevel"/>
    <w:tmpl w:val="50844DF0"/>
    <w:styleLink w:val="ImportedStyle5"/>
    <w:lvl w:ilvl="0" w:tplc="83C8292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2C1C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70C0EC">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BD22694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86687B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1607C2">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EB466A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2803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222E9A">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6E725DE"/>
    <w:multiLevelType w:val="hybridMultilevel"/>
    <w:tmpl w:val="BB36A4D8"/>
    <w:styleLink w:val="ImportedStyle4"/>
    <w:lvl w:ilvl="0" w:tplc="8EC0C1B0">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D4765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CA8DF3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35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67A4F3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2C5DD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B47C4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08830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0CE09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B004C99"/>
    <w:multiLevelType w:val="hybridMultilevel"/>
    <w:tmpl w:val="B1DE0F44"/>
    <w:styleLink w:val="ImportedStyle2"/>
    <w:lvl w:ilvl="0" w:tplc="E584B27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30FF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1CEECA">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8438ED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662B0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022444">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2DEC30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E45A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CEB6AC">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0FD1B26"/>
    <w:multiLevelType w:val="hybridMultilevel"/>
    <w:tmpl w:val="6366A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F44FC9"/>
    <w:multiLevelType w:val="hybridMultilevel"/>
    <w:tmpl w:val="113A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817713"/>
    <w:multiLevelType w:val="hybridMultilevel"/>
    <w:tmpl w:val="E4007B7C"/>
    <w:styleLink w:val="ImportedStyle20"/>
    <w:lvl w:ilvl="0" w:tplc="D686622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64250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9CA91B0">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7CF0A22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0CA608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22AD3FC">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0432337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D661B6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312C2C0">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D6C0B71"/>
    <w:multiLevelType w:val="hybridMultilevel"/>
    <w:tmpl w:val="458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E67468"/>
    <w:multiLevelType w:val="hybridMultilevel"/>
    <w:tmpl w:val="D8C8EB58"/>
    <w:numStyleLink w:val="ImportedStyle1"/>
  </w:abstractNum>
  <w:abstractNum w:abstractNumId="30" w15:restartNumberingAfterBreak="0">
    <w:nsid w:val="71BA44CE"/>
    <w:multiLevelType w:val="hybridMultilevel"/>
    <w:tmpl w:val="D0364F30"/>
    <w:styleLink w:val="ImportedStyle6"/>
    <w:lvl w:ilvl="0" w:tplc="6D167C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8C1F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7889DA">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52C4F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7485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0A2668">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C046BC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BC12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CC8922">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2E9132E"/>
    <w:multiLevelType w:val="hybridMultilevel"/>
    <w:tmpl w:val="DA7AF3F2"/>
    <w:lvl w:ilvl="0" w:tplc="98963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A8127D"/>
    <w:multiLevelType w:val="hybridMultilevel"/>
    <w:tmpl w:val="FFB2193C"/>
    <w:styleLink w:val="Numbered"/>
    <w:lvl w:ilvl="0" w:tplc="695A2DC6">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7FA0A8DC">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91E470A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65280B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69AA2FC6">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1C72BFE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B0D8D42C">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463E382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1CE454E">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7251E23"/>
    <w:multiLevelType w:val="hybridMultilevel"/>
    <w:tmpl w:val="D8C8EB58"/>
    <w:numStyleLink w:val="ImportedStyle1"/>
  </w:abstractNum>
  <w:num w:numId="1">
    <w:abstractNumId w:val="15"/>
  </w:num>
  <w:num w:numId="2">
    <w:abstractNumId w:val="18"/>
  </w:num>
  <w:num w:numId="3">
    <w:abstractNumId w:val="18"/>
  </w:num>
  <w:num w:numId="4">
    <w:abstractNumId w:val="8"/>
    <w:lvlOverride w:ilvl="0">
      <w:lvl w:ilvl="0">
        <w:start w:val="1"/>
        <w:numFmt w:val="decimal"/>
        <w:pStyle w:val="Level1VF"/>
        <w:lvlText w:val="%1"/>
        <w:lvlJc w:val="left"/>
        <w:pPr>
          <w:tabs>
            <w:tab w:val="num" w:pos="720"/>
          </w:tabs>
          <w:ind w:left="720" w:hanging="720"/>
        </w:pPr>
        <w:rPr>
          <w:rFonts w:ascii="Times New Roman" w:hAnsi="Times New Roman" w:cs="Times New Roman" w:hint="default"/>
          <w:b/>
          <w:i w:val="0"/>
          <w:sz w:val="28"/>
        </w:rPr>
      </w:lvl>
    </w:lvlOverride>
    <w:lvlOverride w:ilvl="1">
      <w:lvl w:ilvl="1">
        <w:start w:val="1"/>
        <w:numFmt w:val="decimal"/>
        <w:pStyle w:val="Level2VF"/>
        <w:lvlText w:val="%1.%2"/>
        <w:lvlJc w:val="left"/>
        <w:pPr>
          <w:tabs>
            <w:tab w:val="num" w:pos="1180"/>
          </w:tabs>
          <w:ind w:left="1180" w:hanging="720"/>
        </w:pPr>
        <w:rPr>
          <w:rFonts w:ascii="Arial" w:hAnsi="Arial" w:cs="Arial" w:hint="default"/>
          <w:b/>
          <w:i w:val="0"/>
          <w:color w:val="auto"/>
          <w:sz w:val="23"/>
        </w:rPr>
      </w:lvl>
    </w:lvlOverride>
    <w:lvlOverride w:ilvl="2">
      <w:lvl w:ilvl="2">
        <w:start w:val="1"/>
        <w:numFmt w:val="decimal"/>
        <w:pStyle w:val="Level3VF"/>
        <w:lvlText w:val="%1.%2.%3"/>
        <w:lvlJc w:val="left"/>
        <w:pPr>
          <w:tabs>
            <w:tab w:val="num" w:pos="1440"/>
          </w:tabs>
          <w:ind w:left="1440" w:hanging="720"/>
        </w:pPr>
        <w:rPr>
          <w:rFonts w:ascii="GE Inspira" w:hAnsi="GE Inspira" w:hint="default"/>
          <w:b/>
          <w:i w:val="0"/>
          <w:sz w:val="20"/>
        </w:rPr>
      </w:lvl>
    </w:lvlOverride>
  </w:num>
  <w:num w:numId="5">
    <w:abstractNumId w:val="8"/>
  </w:num>
  <w:num w:numId="6">
    <w:abstractNumId w:val="21"/>
  </w:num>
  <w:num w:numId="7">
    <w:abstractNumId w:val="1"/>
  </w:num>
  <w:num w:numId="8">
    <w:abstractNumId w:val="13"/>
  </w:num>
  <w:num w:numId="9">
    <w:abstractNumId w:val="7"/>
  </w:num>
  <w:num w:numId="10">
    <w:abstractNumId w:val="14"/>
  </w:num>
  <w:num w:numId="11">
    <w:abstractNumId w:val="12"/>
  </w:num>
  <w:num w:numId="12">
    <w:abstractNumId w:val="33"/>
  </w:num>
  <w:num w:numId="13">
    <w:abstractNumId w:val="24"/>
  </w:num>
  <w:num w:numId="14">
    <w:abstractNumId w:val="32"/>
  </w:num>
  <w:num w:numId="15">
    <w:abstractNumId w:val="10"/>
  </w:num>
  <w:num w:numId="16">
    <w:abstractNumId w:val="10"/>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10"/>
    <w:lvlOverride w:ilvl="0">
      <w:startOverride w:val="1"/>
    </w:lvlOverride>
  </w:num>
  <w:num w:numId="20">
    <w:abstractNumId w:val="23"/>
  </w:num>
  <w:num w:numId="21">
    <w:abstractNumId w:val="20"/>
  </w:num>
  <w:num w:numId="22">
    <w:abstractNumId w:val="22"/>
  </w:num>
  <w:num w:numId="23">
    <w:abstractNumId w:val="30"/>
  </w:num>
  <w:num w:numId="24">
    <w:abstractNumId w:val="9"/>
  </w:num>
  <w:num w:numId="25">
    <w:abstractNumId w:val="4"/>
  </w:num>
  <w:num w:numId="26">
    <w:abstractNumId w:val="25"/>
  </w:num>
  <w:num w:numId="27">
    <w:abstractNumId w:val="5"/>
  </w:num>
  <w:num w:numId="28">
    <w:abstractNumId w:val="26"/>
  </w:num>
  <w:num w:numId="29">
    <w:abstractNumId w:val="6"/>
  </w:num>
  <w:num w:numId="30">
    <w:abstractNumId w:val="11"/>
  </w:num>
  <w:num w:numId="31">
    <w:abstractNumId w:val="29"/>
  </w:num>
  <w:num w:numId="32">
    <w:abstractNumId w:val="27"/>
  </w:num>
  <w:num w:numId="33">
    <w:abstractNumId w:val="19"/>
    <w:lvlOverride w:ilvl="0">
      <w:startOverride w:val="4"/>
      <w:lvl w:ilvl="0" w:tplc="ED601560">
        <w:start w:val="4"/>
        <w:numFmt w:val="decimal"/>
        <w:lvlText w:val="%1."/>
        <w:lvlJc w:val="left"/>
        <w:pPr>
          <w:ind w:left="3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FBAA856">
        <w:start w:val="1"/>
        <w:numFmt w:val="lowerLetter"/>
        <w:lvlText w:val="%2."/>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AB04DD6">
        <w:start w:val="1"/>
        <w:numFmt w:val="lowerRoman"/>
        <w:lvlText w:val="%3."/>
        <w:lvlJc w:val="left"/>
        <w:pPr>
          <w:ind w:left="1440" w:hanging="32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AF6E68E">
        <w:start w:val="1"/>
        <w:numFmt w:val="decimal"/>
        <w:lvlText w:val="%4."/>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150BAB0">
        <w:start w:val="1"/>
        <w:numFmt w:val="lowerLetter"/>
        <w:lvlText w:val="%5."/>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6E6DDB2">
        <w:start w:val="1"/>
        <w:numFmt w:val="lowerRoman"/>
        <w:lvlText w:val="%6."/>
        <w:lvlJc w:val="left"/>
        <w:pPr>
          <w:ind w:left="3600" w:hanging="32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DD68180">
        <w:start w:val="1"/>
        <w:numFmt w:val="decimal"/>
        <w:lvlText w:val="%7."/>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EFE1F48">
        <w:start w:val="1"/>
        <w:numFmt w:val="lowerLetter"/>
        <w:lvlText w:val="%8."/>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8047BEE">
        <w:start w:val="1"/>
        <w:numFmt w:val="lowerRoman"/>
        <w:lvlText w:val="%9."/>
        <w:lvlJc w:val="left"/>
        <w:pPr>
          <w:ind w:left="5760" w:hanging="32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34">
    <w:abstractNumId w:val="18"/>
  </w:num>
  <w:num w:numId="35">
    <w:abstractNumId w:val="28"/>
  </w:num>
  <w:num w:numId="36">
    <w:abstractNumId w:val="18"/>
  </w:num>
  <w:num w:numId="37">
    <w:abstractNumId w:val="2"/>
  </w:num>
  <w:num w:numId="38">
    <w:abstractNumId w:val="17"/>
  </w:num>
  <w:num w:numId="39">
    <w:abstractNumId w:val="3"/>
  </w:num>
  <w:num w:numId="40">
    <w:abstractNumId w:val="31"/>
  </w:num>
  <w:num w:numId="41">
    <w:abstractNumId w:val="16"/>
  </w:num>
  <w:num w:numId="4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DA3"/>
    <w:rsid w:val="0000006D"/>
    <w:rsid w:val="00000EB1"/>
    <w:rsid w:val="000032AC"/>
    <w:rsid w:val="000117E2"/>
    <w:rsid w:val="000127F8"/>
    <w:rsid w:val="00014357"/>
    <w:rsid w:val="000147FA"/>
    <w:rsid w:val="00015257"/>
    <w:rsid w:val="00023167"/>
    <w:rsid w:val="000234D9"/>
    <w:rsid w:val="00023BBB"/>
    <w:rsid w:val="000244B0"/>
    <w:rsid w:val="00026B16"/>
    <w:rsid w:val="00031172"/>
    <w:rsid w:val="00041FDF"/>
    <w:rsid w:val="00042585"/>
    <w:rsid w:val="00043BAE"/>
    <w:rsid w:val="00044540"/>
    <w:rsid w:val="000445E0"/>
    <w:rsid w:val="00045CD4"/>
    <w:rsid w:val="0004660D"/>
    <w:rsid w:val="00050119"/>
    <w:rsid w:val="00051A9B"/>
    <w:rsid w:val="00052CD3"/>
    <w:rsid w:val="00055FBA"/>
    <w:rsid w:val="00056108"/>
    <w:rsid w:val="00057A18"/>
    <w:rsid w:val="000604E4"/>
    <w:rsid w:val="0006062E"/>
    <w:rsid w:val="00061717"/>
    <w:rsid w:val="0006209E"/>
    <w:rsid w:val="00064D81"/>
    <w:rsid w:val="0007141A"/>
    <w:rsid w:val="00072C6C"/>
    <w:rsid w:val="00074A72"/>
    <w:rsid w:val="00074EC1"/>
    <w:rsid w:val="000829E6"/>
    <w:rsid w:val="0008340C"/>
    <w:rsid w:val="00083C32"/>
    <w:rsid w:val="00084417"/>
    <w:rsid w:val="00085CE2"/>
    <w:rsid w:val="000877FE"/>
    <w:rsid w:val="0009208A"/>
    <w:rsid w:val="00093A8D"/>
    <w:rsid w:val="000961E3"/>
    <w:rsid w:val="000A0E2D"/>
    <w:rsid w:val="000A0EB8"/>
    <w:rsid w:val="000A1E54"/>
    <w:rsid w:val="000A3A7D"/>
    <w:rsid w:val="000A7C0B"/>
    <w:rsid w:val="000B01DC"/>
    <w:rsid w:val="000B11ED"/>
    <w:rsid w:val="000B2205"/>
    <w:rsid w:val="000B56FA"/>
    <w:rsid w:val="000B5745"/>
    <w:rsid w:val="000B619D"/>
    <w:rsid w:val="000B66D4"/>
    <w:rsid w:val="000C0F45"/>
    <w:rsid w:val="000C1B58"/>
    <w:rsid w:val="000C223D"/>
    <w:rsid w:val="000C40EF"/>
    <w:rsid w:val="000C569D"/>
    <w:rsid w:val="000D19E9"/>
    <w:rsid w:val="000D21D0"/>
    <w:rsid w:val="000D2B89"/>
    <w:rsid w:val="000D33E8"/>
    <w:rsid w:val="000D4361"/>
    <w:rsid w:val="000D47EE"/>
    <w:rsid w:val="000E0AF4"/>
    <w:rsid w:val="000E38AE"/>
    <w:rsid w:val="000E40CF"/>
    <w:rsid w:val="000E44B9"/>
    <w:rsid w:val="000E598F"/>
    <w:rsid w:val="000E78D4"/>
    <w:rsid w:val="000F07DA"/>
    <w:rsid w:val="000F2A7E"/>
    <w:rsid w:val="000F2C35"/>
    <w:rsid w:val="000F37F2"/>
    <w:rsid w:val="000F42C1"/>
    <w:rsid w:val="000F4893"/>
    <w:rsid w:val="000F4E71"/>
    <w:rsid w:val="000F546E"/>
    <w:rsid w:val="000F5B61"/>
    <w:rsid w:val="000F6D74"/>
    <w:rsid w:val="000F77E8"/>
    <w:rsid w:val="001000F0"/>
    <w:rsid w:val="00100640"/>
    <w:rsid w:val="001009BC"/>
    <w:rsid w:val="00101BBD"/>
    <w:rsid w:val="00104CDB"/>
    <w:rsid w:val="00105A98"/>
    <w:rsid w:val="0010693A"/>
    <w:rsid w:val="0010695B"/>
    <w:rsid w:val="001078BF"/>
    <w:rsid w:val="00110D64"/>
    <w:rsid w:val="00112315"/>
    <w:rsid w:val="00113651"/>
    <w:rsid w:val="0011672C"/>
    <w:rsid w:val="00117807"/>
    <w:rsid w:val="00120000"/>
    <w:rsid w:val="001202D6"/>
    <w:rsid w:val="00122DDA"/>
    <w:rsid w:val="001238F0"/>
    <w:rsid w:val="00131D61"/>
    <w:rsid w:val="00133D3D"/>
    <w:rsid w:val="00133F43"/>
    <w:rsid w:val="0013574A"/>
    <w:rsid w:val="00135A42"/>
    <w:rsid w:val="0013645D"/>
    <w:rsid w:val="001370D6"/>
    <w:rsid w:val="001418B7"/>
    <w:rsid w:val="00145289"/>
    <w:rsid w:val="001468D7"/>
    <w:rsid w:val="00146BFB"/>
    <w:rsid w:val="001504B3"/>
    <w:rsid w:val="00150DD9"/>
    <w:rsid w:val="00153A75"/>
    <w:rsid w:val="00157218"/>
    <w:rsid w:val="001576DD"/>
    <w:rsid w:val="00157714"/>
    <w:rsid w:val="00160EEB"/>
    <w:rsid w:val="001640D6"/>
    <w:rsid w:val="00164ABF"/>
    <w:rsid w:val="0016703B"/>
    <w:rsid w:val="001672BE"/>
    <w:rsid w:val="001705C1"/>
    <w:rsid w:val="0017061B"/>
    <w:rsid w:val="00170F1E"/>
    <w:rsid w:val="00171481"/>
    <w:rsid w:val="00176519"/>
    <w:rsid w:val="00177A2B"/>
    <w:rsid w:val="00180AC1"/>
    <w:rsid w:val="00184385"/>
    <w:rsid w:val="00187993"/>
    <w:rsid w:val="00190050"/>
    <w:rsid w:val="00190DB1"/>
    <w:rsid w:val="00193A56"/>
    <w:rsid w:val="00195B4F"/>
    <w:rsid w:val="00197638"/>
    <w:rsid w:val="001A052B"/>
    <w:rsid w:val="001A07DA"/>
    <w:rsid w:val="001A0C67"/>
    <w:rsid w:val="001A25BB"/>
    <w:rsid w:val="001A33A1"/>
    <w:rsid w:val="001A361D"/>
    <w:rsid w:val="001A37AF"/>
    <w:rsid w:val="001B054F"/>
    <w:rsid w:val="001B0D8A"/>
    <w:rsid w:val="001B0F6B"/>
    <w:rsid w:val="001B16EC"/>
    <w:rsid w:val="001B16F3"/>
    <w:rsid w:val="001B31B9"/>
    <w:rsid w:val="001B3EB4"/>
    <w:rsid w:val="001B44D1"/>
    <w:rsid w:val="001B4C6D"/>
    <w:rsid w:val="001B6C21"/>
    <w:rsid w:val="001B6E26"/>
    <w:rsid w:val="001B7A02"/>
    <w:rsid w:val="001C0013"/>
    <w:rsid w:val="001C1C2B"/>
    <w:rsid w:val="001C38E5"/>
    <w:rsid w:val="001C3B92"/>
    <w:rsid w:val="001C3F0A"/>
    <w:rsid w:val="001C68C3"/>
    <w:rsid w:val="001D197D"/>
    <w:rsid w:val="001D1AE9"/>
    <w:rsid w:val="001D28BF"/>
    <w:rsid w:val="001D33D3"/>
    <w:rsid w:val="001D7C12"/>
    <w:rsid w:val="001E4DF5"/>
    <w:rsid w:val="001E5D87"/>
    <w:rsid w:val="001E68A1"/>
    <w:rsid w:val="001E7A5A"/>
    <w:rsid w:val="001F040C"/>
    <w:rsid w:val="001F1BC7"/>
    <w:rsid w:val="001F1FC1"/>
    <w:rsid w:val="001F27C5"/>
    <w:rsid w:val="001F2FB5"/>
    <w:rsid w:val="001F3BC5"/>
    <w:rsid w:val="001F5796"/>
    <w:rsid w:val="001F5819"/>
    <w:rsid w:val="001F74CF"/>
    <w:rsid w:val="001F7DE9"/>
    <w:rsid w:val="0020682C"/>
    <w:rsid w:val="00206B36"/>
    <w:rsid w:val="00207270"/>
    <w:rsid w:val="002077B4"/>
    <w:rsid w:val="00207F13"/>
    <w:rsid w:val="002106C5"/>
    <w:rsid w:val="0021129F"/>
    <w:rsid w:val="0021155E"/>
    <w:rsid w:val="002122F3"/>
    <w:rsid w:val="00213383"/>
    <w:rsid w:val="00216539"/>
    <w:rsid w:val="00217992"/>
    <w:rsid w:val="00220B04"/>
    <w:rsid w:val="00222A7F"/>
    <w:rsid w:val="00224333"/>
    <w:rsid w:val="00227902"/>
    <w:rsid w:val="00232288"/>
    <w:rsid w:val="00233EF1"/>
    <w:rsid w:val="00237FC7"/>
    <w:rsid w:val="00241B16"/>
    <w:rsid w:val="00243F1D"/>
    <w:rsid w:val="002442E7"/>
    <w:rsid w:val="002452BA"/>
    <w:rsid w:val="00247488"/>
    <w:rsid w:val="0025025E"/>
    <w:rsid w:val="00250BE1"/>
    <w:rsid w:val="00250FA8"/>
    <w:rsid w:val="00255585"/>
    <w:rsid w:val="002556E6"/>
    <w:rsid w:val="00255955"/>
    <w:rsid w:val="00256D51"/>
    <w:rsid w:val="00260370"/>
    <w:rsid w:val="00266FCF"/>
    <w:rsid w:val="00271062"/>
    <w:rsid w:val="00272B43"/>
    <w:rsid w:val="00273F6F"/>
    <w:rsid w:val="002745AA"/>
    <w:rsid w:val="00275443"/>
    <w:rsid w:val="00275D35"/>
    <w:rsid w:val="00276D6B"/>
    <w:rsid w:val="00277E53"/>
    <w:rsid w:val="00280352"/>
    <w:rsid w:val="002817B5"/>
    <w:rsid w:val="002821A5"/>
    <w:rsid w:val="00283EE1"/>
    <w:rsid w:val="002847C0"/>
    <w:rsid w:val="00287683"/>
    <w:rsid w:val="00290E90"/>
    <w:rsid w:val="00292B35"/>
    <w:rsid w:val="002937C4"/>
    <w:rsid w:val="00293E43"/>
    <w:rsid w:val="00294043"/>
    <w:rsid w:val="00294963"/>
    <w:rsid w:val="002961F4"/>
    <w:rsid w:val="002976D8"/>
    <w:rsid w:val="002A245D"/>
    <w:rsid w:val="002A3D9B"/>
    <w:rsid w:val="002A47F1"/>
    <w:rsid w:val="002A5068"/>
    <w:rsid w:val="002A535F"/>
    <w:rsid w:val="002A6B61"/>
    <w:rsid w:val="002B1EED"/>
    <w:rsid w:val="002B2149"/>
    <w:rsid w:val="002B42A8"/>
    <w:rsid w:val="002B4CA1"/>
    <w:rsid w:val="002B7017"/>
    <w:rsid w:val="002B70F0"/>
    <w:rsid w:val="002C0569"/>
    <w:rsid w:val="002C5615"/>
    <w:rsid w:val="002C69A8"/>
    <w:rsid w:val="002C7189"/>
    <w:rsid w:val="002D3640"/>
    <w:rsid w:val="002D49A5"/>
    <w:rsid w:val="002D5D91"/>
    <w:rsid w:val="002D680A"/>
    <w:rsid w:val="002D79A8"/>
    <w:rsid w:val="002E0078"/>
    <w:rsid w:val="002E17C1"/>
    <w:rsid w:val="002E47A5"/>
    <w:rsid w:val="002E58E1"/>
    <w:rsid w:val="002E5C06"/>
    <w:rsid w:val="002E7302"/>
    <w:rsid w:val="002E76EB"/>
    <w:rsid w:val="002F22DF"/>
    <w:rsid w:val="002F2337"/>
    <w:rsid w:val="002F51C9"/>
    <w:rsid w:val="002F5940"/>
    <w:rsid w:val="002F5ED1"/>
    <w:rsid w:val="002F7155"/>
    <w:rsid w:val="003004E5"/>
    <w:rsid w:val="003005A6"/>
    <w:rsid w:val="00301B1C"/>
    <w:rsid w:val="00304C3D"/>
    <w:rsid w:val="00305279"/>
    <w:rsid w:val="003052E9"/>
    <w:rsid w:val="00306325"/>
    <w:rsid w:val="00310404"/>
    <w:rsid w:val="003113FF"/>
    <w:rsid w:val="00311C8C"/>
    <w:rsid w:val="003148B7"/>
    <w:rsid w:val="003153F8"/>
    <w:rsid w:val="003155A6"/>
    <w:rsid w:val="003162B5"/>
    <w:rsid w:val="003170A1"/>
    <w:rsid w:val="00317470"/>
    <w:rsid w:val="0031785B"/>
    <w:rsid w:val="00320BAD"/>
    <w:rsid w:val="003211FD"/>
    <w:rsid w:val="00321738"/>
    <w:rsid w:val="003231FD"/>
    <w:rsid w:val="003242A9"/>
    <w:rsid w:val="0032496A"/>
    <w:rsid w:val="003252F8"/>
    <w:rsid w:val="00330AAC"/>
    <w:rsid w:val="00334EB5"/>
    <w:rsid w:val="0033618B"/>
    <w:rsid w:val="00337210"/>
    <w:rsid w:val="00343C8D"/>
    <w:rsid w:val="00344C5C"/>
    <w:rsid w:val="003458BC"/>
    <w:rsid w:val="00346360"/>
    <w:rsid w:val="003469A2"/>
    <w:rsid w:val="00347691"/>
    <w:rsid w:val="0035064C"/>
    <w:rsid w:val="00353268"/>
    <w:rsid w:val="003551A6"/>
    <w:rsid w:val="00356286"/>
    <w:rsid w:val="00356FB5"/>
    <w:rsid w:val="00361109"/>
    <w:rsid w:val="00361F2A"/>
    <w:rsid w:val="00365772"/>
    <w:rsid w:val="00365C44"/>
    <w:rsid w:val="00365C76"/>
    <w:rsid w:val="00366767"/>
    <w:rsid w:val="00366DCF"/>
    <w:rsid w:val="003673C6"/>
    <w:rsid w:val="003708D7"/>
    <w:rsid w:val="00370B10"/>
    <w:rsid w:val="00370E0D"/>
    <w:rsid w:val="00371307"/>
    <w:rsid w:val="0037162B"/>
    <w:rsid w:val="00372327"/>
    <w:rsid w:val="00373A47"/>
    <w:rsid w:val="003828CB"/>
    <w:rsid w:val="00384A5F"/>
    <w:rsid w:val="00385CBC"/>
    <w:rsid w:val="003864A3"/>
    <w:rsid w:val="003902C3"/>
    <w:rsid w:val="0039095E"/>
    <w:rsid w:val="00390A8C"/>
    <w:rsid w:val="0039172D"/>
    <w:rsid w:val="003918B3"/>
    <w:rsid w:val="00391C98"/>
    <w:rsid w:val="003925AA"/>
    <w:rsid w:val="003925AF"/>
    <w:rsid w:val="00394E73"/>
    <w:rsid w:val="003958C0"/>
    <w:rsid w:val="00395C03"/>
    <w:rsid w:val="00397870"/>
    <w:rsid w:val="003A2278"/>
    <w:rsid w:val="003A3169"/>
    <w:rsid w:val="003A5849"/>
    <w:rsid w:val="003A64E1"/>
    <w:rsid w:val="003B1D3A"/>
    <w:rsid w:val="003B6F77"/>
    <w:rsid w:val="003C1110"/>
    <w:rsid w:val="003C2052"/>
    <w:rsid w:val="003C293A"/>
    <w:rsid w:val="003C310B"/>
    <w:rsid w:val="003C3719"/>
    <w:rsid w:val="003C429A"/>
    <w:rsid w:val="003C46E3"/>
    <w:rsid w:val="003C4951"/>
    <w:rsid w:val="003C688D"/>
    <w:rsid w:val="003D34FE"/>
    <w:rsid w:val="003D501D"/>
    <w:rsid w:val="003E1753"/>
    <w:rsid w:val="003E1EA4"/>
    <w:rsid w:val="003E2D6B"/>
    <w:rsid w:val="003E4579"/>
    <w:rsid w:val="003E565A"/>
    <w:rsid w:val="003E7411"/>
    <w:rsid w:val="003E75BC"/>
    <w:rsid w:val="003E7E2E"/>
    <w:rsid w:val="003F56AE"/>
    <w:rsid w:val="0040131D"/>
    <w:rsid w:val="004025E1"/>
    <w:rsid w:val="0040441E"/>
    <w:rsid w:val="00405DD8"/>
    <w:rsid w:val="00412DA6"/>
    <w:rsid w:val="004137AE"/>
    <w:rsid w:val="004141FB"/>
    <w:rsid w:val="00421CB0"/>
    <w:rsid w:val="004227A8"/>
    <w:rsid w:val="004240D5"/>
    <w:rsid w:val="00424575"/>
    <w:rsid w:val="00426174"/>
    <w:rsid w:val="00426B68"/>
    <w:rsid w:val="00427D95"/>
    <w:rsid w:val="00431A12"/>
    <w:rsid w:val="004358B9"/>
    <w:rsid w:val="0043615B"/>
    <w:rsid w:val="00436826"/>
    <w:rsid w:val="004369AF"/>
    <w:rsid w:val="004407CC"/>
    <w:rsid w:val="00443344"/>
    <w:rsid w:val="004449C2"/>
    <w:rsid w:val="00445A5F"/>
    <w:rsid w:val="00446530"/>
    <w:rsid w:val="00450EF9"/>
    <w:rsid w:val="00452A80"/>
    <w:rsid w:val="00455EE6"/>
    <w:rsid w:val="00457196"/>
    <w:rsid w:val="00461893"/>
    <w:rsid w:val="0046237D"/>
    <w:rsid w:val="00464841"/>
    <w:rsid w:val="004648DC"/>
    <w:rsid w:val="00464F53"/>
    <w:rsid w:val="0047112C"/>
    <w:rsid w:val="004722E6"/>
    <w:rsid w:val="00473EB9"/>
    <w:rsid w:val="004761D8"/>
    <w:rsid w:val="00476AF2"/>
    <w:rsid w:val="00477011"/>
    <w:rsid w:val="00477866"/>
    <w:rsid w:val="00477EEC"/>
    <w:rsid w:val="00481C4D"/>
    <w:rsid w:val="00484A42"/>
    <w:rsid w:val="0048651C"/>
    <w:rsid w:val="004868C6"/>
    <w:rsid w:val="00486AF0"/>
    <w:rsid w:val="00487527"/>
    <w:rsid w:val="0049003E"/>
    <w:rsid w:val="00493B41"/>
    <w:rsid w:val="004966A5"/>
    <w:rsid w:val="004A48E0"/>
    <w:rsid w:val="004A6CD4"/>
    <w:rsid w:val="004B1102"/>
    <w:rsid w:val="004B114E"/>
    <w:rsid w:val="004B1628"/>
    <w:rsid w:val="004B2380"/>
    <w:rsid w:val="004B386F"/>
    <w:rsid w:val="004B4DE2"/>
    <w:rsid w:val="004B6525"/>
    <w:rsid w:val="004B70AE"/>
    <w:rsid w:val="004B7B63"/>
    <w:rsid w:val="004C01C2"/>
    <w:rsid w:val="004C2215"/>
    <w:rsid w:val="004C456D"/>
    <w:rsid w:val="004C495C"/>
    <w:rsid w:val="004C5CFB"/>
    <w:rsid w:val="004C6BC4"/>
    <w:rsid w:val="004D1AD6"/>
    <w:rsid w:val="004D1D40"/>
    <w:rsid w:val="004D2BBC"/>
    <w:rsid w:val="004D2DDC"/>
    <w:rsid w:val="004D3864"/>
    <w:rsid w:val="004E026B"/>
    <w:rsid w:val="004E05B1"/>
    <w:rsid w:val="004E1107"/>
    <w:rsid w:val="004E1DC9"/>
    <w:rsid w:val="004E2EBF"/>
    <w:rsid w:val="004E36E7"/>
    <w:rsid w:val="004E3D34"/>
    <w:rsid w:val="004E44B4"/>
    <w:rsid w:val="004E7051"/>
    <w:rsid w:val="004F10EC"/>
    <w:rsid w:val="004F1573"/>
    <w:rsid w:val="004F1677"/>
    <w:rsid w:val="004F44EA"/>
    <w:rsid w:val="004F4CCF"/>
    <w:rsid w:val="004F664A"/>
    <w:rsid w:val="00504ED2"/>
    <w:rsid w:val="0051117C"/>
    <w:rsid w:val="005162A3"/>
    <w:rsid w:val="005176E4"/>
    <w:rsid w:val="005230FA"/>
    <w:rsid w:val="0052463F"/>
    <w:rsid w:val="005248C1"/>
    <w:rsid w:val="00525531"/>
    <w:rsid w:val="00532954"/>
    <w:rsid w:val="00534083"/>
    <w:rsid w:val="005343A7"/>
    <w:rsid w:val="005350CE"/>
    <w:rsid w:val="00535828"/>
    <w:rsid w:val="00540FC5"/>
    <w:rsid w:val="00544E91"/>
    <w:rsid w:val="00546523"/>
    <w:rsid w:val="005468D0"/>
    <w:rsid w:val="00550135"/>
    <w:rsid w:val="0055312E"/>
    <w:rsid w:val="0055353B"/>
    <w:rsid w:val="005538FD"/>
    <w:rsid w:val="00555085"/>
    <w:rsid w:val="00555434"/>
    <w:rsid w:val="00556D17"/>
    <w:rsid w:val="0056083F"/>
    <w:rsid w:val="00560F07"/>
    <w:rsid w:val="00563B4C"/>
    <w:rsid w:val="00564840"/>
    <w:rsid w:val="00564B5C"/>
    <w:rsid w:val="00564F7C"/>
    <w:rsid w:val="00565463"/>
    <w:rsid w:val="005660A1"/>
    <w:rsid w:val="005663D6"/>
    <w:rsid w:val="00570B4E"/>
    <w:rsid w:val="0057116E"/>
    <w:rsid w:val="00574702"/>
    <w:rsid w:val="00576186"/>
    <w:rsid w:val="00577DC8"/>
    <w:rsid w:val="00580260"/>
    <w:rsid w:val="00580B47"/>
    <w:rsid w:val="00580FF3"/>
    <w:rsid w:val="0058164C"/>
    <w:rsid w:val="005816E6"/>
    <w:rsid w:val="005825D4"/>
    <w:rsid w:val="00583063"/>
    <w:rsid w:val="00585F21"/>
    <w:rsid w:val="00585F2B"/>
    <w:rsid w:val="005861F0"/>
    <w:rsid w:val="005901C1"/>
    <w:rsid w:val="00591116"/>
    <w:rsid w:val="00591AF5"/>
    <w:rsid w:val="00592298"/>
    <w:rsid w:val="00593C86"/>
    <w:rsid w:val="00594C5B"/>
    <w:rsid w:val="00596BE8"/>
    <w:rsid w:val="005A2175"/>
    <w:rsid w:val="005A4D3A"/>
    <w:rsid w:val="005A7B5D"/>
    <w:rsid w:val="005B0AF6"/>
    <w:rsid w:val="005B17E1"/>
    <w:rsid w:val="005B7E2A"/>
    <w:rsid w:val="005B7E66"/>
    <w:rsid w:val="005C0245"/>
    <w:rsid w:val="005C06F7"/>
    <w:rsid w:val="005C2B31"/>
    <w:rsid w:val="005C2E2E"/>
    <w:rsid w:val="005C35CE"/>
    <w:rsid w:val="005C53EA"/>
    <w:rsid w:val="005C79A1"/>
    <w:rsid w:val="005D0D1A"/>
    <w:rsid w:val="005D212C"/>
    <w:rsid w:val="005D26B4"/>
    <w:rsid w:val="005D328F"/>
    <w:rsid w:val="005D3E94"/>
    <w:rsid w:val="005E1D74"/>
    <w:rsid w:val="005E4270"/>
    <w:rsid w:val="005E5927"/>
    <w:rsid w:val="005E5CF0"/>
    <w:rsid w:val="005E6367"/>
    <w:rsid w:val="005E6D86"/>
    <w:rsid w:val="005F2937"/>
    <w:rsid w:val="005F34EF"/>
    <w:rsid w:val="005F4FA8"/>
    <w:rsid w:val="005F6107"/>
    <w:rsid w:val="005F6719"/>
    <w:rsid w:val="005F761A"/>
    <w:rsid w:val="0060164E"/>
    <w:rsid w:val="006025DD"/>
    <w:rsid w:val="00604B47"/>
    <w:rsid w:val="00605932"/>
    <w:rsid w:val="0060701C"/>
    <w:rsid w:val="0062511A"/>
    <w:rsid w:val="00625ECB"/>
    <w:rsid w:val="006263F2"/>
    <w:rsid w:val="00627773"/>
    <w:rsid w:val="00630E1E"/>
    <w:rsid w:val="006353B6"/>
    <w:rsid w:val="006368F4"/>
    <w:rsid w:val="00637515"/>
    <w:rsid w:val="00640CCC"/>
    <w:rsid w:val="006411B6"/>
    <w:rsid w:val="00642170"/>
    <w:rsid w:val="0064380E"/>
    <w:rsid w:val="006440C2"/>
    <w:rsid w:val="006446E4"/>
    <w:rsid w:val="00644882"/>
    <w:rsid w:val="00645F25"/>
    <w:rsid w:val="0064659D"/>
    <w:rsid w:val="0064662B"/>
    <w:rsid w:val="00647323"/>
    <w:rsid w:val="00651E91"/>
    <w:rsid w:val="00651EC0"/>
    <w:rsid w:val="00652EC8"/>
    <w:rsid w:val="00653C0D"/>
    <w:rsid w:val="00653D30"/>
    <w:rsid w:val="00653DDC"/>
    <w:rsid w:val="006617D5"/>
    <w:rsid w:val="00661EB5"/>
    <w:rsid w:val="0066656D"/>
    <w:rsid w:val="00670BAD"/>
    <w:rsid w:val="006757F4"/>
    <w:rsid w:val="00676ED5"/>
    <w:rsid w:val="0067748E"/>
    <w:rsid w:val="006802D5"/>
    <w:rsid w:val="00680F26"/>
    <w:rsid w:val="00681D3E"/>
    <w:rsid w:val="006825A6"/>
    <w:rsid w:val="006832C9"/>
    <w:rsid w:val="0069120A"/>
    <w:rsid w:val="006917FF"/>
    <w:rsid w:val="00691AAF"/>
    <w:rsid w:val="0069427C"/>
    <w:rsid w:val="00695A5D"/>
    <w:rsid w:val="00695B42"/>
    <w:rsid w:val="00696DBE"/>
    <w:rsid w:val="006A13A8"/>
    <w:rsid w:val="006A2886"/>
    <w:rsid w:val="006A29CC"/>
    <w:rsid w:val="006A2F6B"/>
    <w:rsid w:val="006A3925"/>
    <w:rsid w:val="006A3A75"/>
    <w:rsid w:val="006A3C21"/>
    <w:rsid w:val="006A6EF8"/>
    <w:rsid w:val="006A7B17"/>
    <w:rsid w:val="006B12EE"/>
    <w:rsid w:val="006B3114"/>
    <w:rsid w:val="006B3516"/>
    <w:rsid w:val="006B3C12"/>
    <w:rsid w:val="006B502F"/>
    <w:rsid w:val="006B7287"/>
    <w:rsid w:val="006B779D"/>
    <w:rsid w:val="006C0135"/>
    <w:rsid w:val="006C0A84"/>
    <w:rsid w:val="006C2398"/>
    <w:rsid w:val="006C4276"/>
    <w:rsid w:val="006C4BB6"/>
    <w:rsid w:val="006C5B4E"/>
    <w:rsid w:val="006C719A"/>
    <w:rsid w:val="006D0B90"/>
    <w:rsid w:val="006D0C6E"/>
    <w:rsid w:val="006D1FB5"/>
    <w:rsid w:val="006D35E8"/>
    <w:rsid w:val="006D5966"/>
    <w:rsid w:val="006E0731"/>
    <w:rsid w:val="006E2639"/>
    <w:rsid w:val="006E491E"/>
    <w:rsid w:val="006E5556"/>
    <w:rsid w:val="006E6C03"/>
    <w:rsid w:val="006E7291"/>
    <w:rsid w:val="006E7649"/>
    <w:rsid w:val="006E7A18"/>
    <w:rsid w:val="006F018B"/>
    <w:rsid w:val="006F19B9"/>
    <w:rsid w:val="006F285C"/>
    <w:rsid w:val="006F336C"/>
    <w:rsid w:val="006F4923"/>
    <w:rsid w:val="006F52F9"/>
    <w:rsid w:val="006F5E89"/>
    <w:rsid w:val="00701F62"/>
    <w:rsid w:val="00703E7C"/>
    <w:rsid w:val="00707582"/>
    <w:rsid w:val="00707B4B"/>
    <w:rsid w:val="0071088A"/>
    <w:rsid w:val="00714B7B"/>
    <w:rsid w:val="00715D49"/>
    <w:rsid w:val="0071627F"/>
    <w:rsid w:val="0072129F"/>
    <w:rsid w:val="0072528C"/>
    <w:rsid w:val="0072583B"/>
    <w:rsid w:val="00726B0B"/>
    <w:rsid w:val="00730DF2"/>
    <w:rsid w:val="00731510"/>
    <w:rsid w:val="00731881"/>
    <w:rsid w:val="007327C2"/>
    <w:rsid w:val="00733B1D"/>
    <w:rsid w:val="00735CA6"/>
    <w:rsid w:val="007361F3"/>
    <w:rsid w:val="00736B0E"/>
    <w:rsid w:val="0073757A"/>
    <w:rsid w:val="007474FB"/>
    <w:rsid w:val="007510DB"/>
    <w:rsid w:val="007517FB"/>
    <w:rsid w:val="00752FF2"/>
    <w:rsid w:val="00753E9F"/>
    <w:rsid w:val="00753F37"/>
    <w:rsid w:val="00755327"/>
    <w:rsid w:val="00757491"/>
    <w:rsid w:val="0076026C"/>
    <w:rsid w:val="007606E1"/>
    <w:rsid w:val="00762ADF"/>
    <w:rsid w:val="007664E5"/>
    <w:rsid w:val="00771B40"/>
    <w:rsid w:val="00772EDB"/>
    <w:rsid w:val="00774AF9"/>
    <w:rsid w:val="00777B9D"/>
    <w:rsid w:val="00786FC4"/>
    <w:rsid w:val="00787728"/>
    <w:rsid w:val="007910C7"/>
    <w:rsid w:val="00793C97"/>
    <w:rsid w:val="00794D17"/>
    <w:rsid w:val="007961E4"/>
    <w:rsid w:val="00796C74"/>
    <w:rsid w:val="00796FEA"/>
    <w:rsid w:val="007A118E"/>
    <w:rsid w:val="007A23B3"/>
    <w:rsid w:val="007A404A"/>
    <w:rsid w:val="007A5584"/>
    <w:rsid w:val="007A693E"/>
    <w:rsid w:val="007A75D1"/>
    <w:rsid w:val="007B3343"/>
    <w:rsid w:val="007B3464"/>
    <w:rsid w:val="007B6122"/>
    <w:rsid w:val="007B72C6"/>
    <w:rsid w:val="007C44CD"/>
    <w:rsid w:val="007C49A5"/>
    <w:rsid w:val="007C534E"/>
    <w:rsid w:val="007C6DC3"/>
    <w:rsid w:val="007D077B"/>
    <w:rsid w:val="007D19BF"/>
    <w:rsid w:val="007D3A35"/>
    <w:rsid w:val="007D4E81"/>
    <w:rsid w:val="007D5EA7"/>
    <w:rsid w:val="007D7324"/>
    <w:rsid w:val="007D7468"/>
    <w:rsid w:val="007E12D5"/>
    <w:rsid w:val="007E55F1"/>
    <w:rsid w:val="007F5445"/>
    <w:rsid w:val="007F5D64"/>
    <w:rsid w:val="007F7B02"/>
    <w:rsid w:val="007F7CF2"/>
    <w:rsid w:val="008004E0"/>
    <w:rsid w:val="008014AB"/>
    <w:rsid w:val="00802095"/>
    <w:rsid w:val="0080273D"/>
    <w:rsid w:val="00805499"/>
    <w:rsid w:val="00806BE0"/>
    <w:rsid w:val="0081005B"/>
    <w:rsid w:val="0081027F"/>
    <w:rsid w:val="00810BD3"/>
    <w:rsid w:val="008130BD"/>
    <w:rsid w:val="0081315F"/>
    <w:rsid w:val="008158B5"/>
    <w:rsid w:val="008168E6"/>
    <w:rsid w:val="008215DF"/>
    <w:rsid w:val="008216FE"/>
    <w:rsid w:val="00822B37"/>
    <w:rsid w:val="00824F82"/>
    <w:rsid w:val="0082697C"/>
    <w:rsid w:val="00826BDB"/>
    <w:rsid w:val="0082728C"/>
    <w:rsid w:val="0083000B"/>
    <w:rsid w:val="00834325"/>
    <w:rsid w:val="00835F5A"/>
    <w:rsid w:val="008373D6"/>
    <w:rsid w:val="00837D69"/>
    <w:rsid w:val="0084015E"/>
    <w:rsid w:val="00841187"/>
    <w:rsid w:val="00841B97"/>
    <w:rsid w:val="008421F5"/>
    <w:rsid w:val="008431F5"/>
    <w:rsid w:val="0085072C"/>
    <w:rsid w:val="00850FA8"/>
    <w:rsid w:val="008520DB"/>
    <w:rsid w:val="00852FDE"/>
    <w:rsid w:val="00853444"/>
    <w:rsid w:val="008545C7"/>
    <w:rsid w:val="0085517F"/>
    <w:rsid w:val="00855AC5"/>
    <w:rsid w:val="00857C13"/>
    <w:rsid w:val="00862C4B"/>
    <w:rsid w:val="00864E33"/>
    <w:rsid w:val="00867179"/>
    <w:rsid w:val="00876F9E"/>
    <w:rsid w:val="00877833"/>
    <w:rsid w:val="008778BC"/>
    <w:rsid w:val="00880888"/>
    <w:rsid w:val="00883F2A"/>
    <w:rsid w:val="0088573D"/>
    <w:rsid w:val="00891E59"/>
    <w:rsid w:val="00895C43"/>
    <w:rsid w:val="00896C0E"/>
    <w:rsid w:val="00897B70"/>
    <w:rsid w:val="00897C18"/>
    <w:rsid w:val="00897E49"/>
    <w:rsid w:val="008A0A0A"/>
    <w:rsid w:val="008A0ACE"/>
    <w:rsid w:val="008A4674"/>
    <w:rsid w:val="008A5B8F"/>
    <w:rsid w:val="008A6BF9"/>
    <w:rsid w:val="008B130C"/>
    <w:rsid w:val="008B227A"/>
    <w:rsid w:val="008B375F"/>
    <w:rsid w:val="008B4E9A"/>
    <w:rsid w:val="008B6BFB"/>
    <w:rsid w:val="008C0577"/>
    <w:rsid w:val="008C0902"/>
    <w:rsid w:val="008C2571"/>
    <w:rsid w:val="008C266E"/>
    <w:rsid w:val="008C54FE"/>
    <w:rsid w:val="008C6B25"/>
    <w:rsid w:val="008C79D6"/>
    <w:rsid w:val="008D236C"/>
    <w:rsid w:val="008D3B5A"/>
    <w:rsid w:val="008D5326"/>
    <w:rsid w:val="008D677C"/>
    <w:rsid w:val="008E06DF"/>
    <w:rsid w:val="008E161B"/>
    <w:rsid w:val="008E1C3E"/>
    <w:rsid w:val="008E21D0"/>
    <w:rsid w:val="008E22F0"/>
    <w:rsid w:val="008E5554"/>
    <w:rsid w:val="008E5A2F"/>
    <w:rsid w:val="008E607D"/>
    <w:rsid w:val="008E6AE3"/>
    <w:rsid w:val="008F41A5"/>
    <w:rsid w:val="008F6A0F"/>
    <w:rsid w:val="008F7C76"/>
    <w:rsid w:val="0090096B"/>
    <w:rsid w:val="00900A94"/>
    <w:rsid w:val="00900D3C"/>
    <w:rsid w:val="00901B77"/>
    <w:rsid w:val="00904E03"/>
    <w:rsid w:val="00906343"/>
    <w:rsid w:val="00906FCC"/>
    <w:rsid w:val="00907E2A"/>
    <w:rsid w:val="00911254"/>
    <w:rsid w:val="00911CEB"/>
    <w:rsid w:val="00912130"/>
    <w:rsid w:val="009135E3"/>
    <w:rsid w:val="00917134"/>
    <w:rsid w:val="00917B63"/>
    <w:rsid w:val="00922453"/>
    <w:rsid w:val="00922C18"/>
    <w:rsid w:val="00923CD2"/>
    <w:rsid w:val="00923EBA"/>
    <w:rsid w:val="00924B44"/>
    <w:rsid w:val="0092501D"/>
    <w:rsid w:val="00926130"/>
    <w:rsid w:val="00926822"/>
    <w:rsid w:val="00932A7F"/>
    <w:rsid w:val="00932F22"/>
    <w:rsid w:val="00934A7E"/>
    <w:rsid w:val="0093582E"/>
    <w:rsid w:val="00935B5B"/>
    <w:rsid w:val="00936EC6"/>
    <w:rsid w:val="009409CD"/>
    <w:rsid w:val="00941965"/>
    <w:rsid w:val="00945A9C"/>
    <w:rsid w:val="0095027B"/>
    <w:rsid w:val="00950A2E"/>
    <w:rsid w:val="0095288D"/>
    <w:rsid w:val="0095586A"/>
    <w:rsid w:val="00960F8A"/>
    <w:rsid w:val="009646DE"/>
    <w:rsid w:val="009675CD"/>
    <w:rsid w:val="00971F6C"/>
    <w:rsid w:val="009749F4"/>
    <w:rsid w:val="00975CA0"/>
    <w:rsid w:val="00982287"/>
    <w:rsid w:val="00982701"/>
    <w:rsid w:val="00982814"/>
    <w:rsid w:val="00982EAC"/>
    <w:rsid w:val="009844BB"/>
    <w:rsid w:val="00984D9A"/>
    <w:rsid w:val="00987865"/>
    <w:rsid w:val="009878A2"/>
    <w:rsid w:val="009903B8"/>
    <w:rsid w:val="00990631"/>
    <w:rsid w:val="00993060"/>
    <w:rsid w:val="00993103"/>
    <w:rsid w:val="009932DB"/>
    <w:rsid w:val="009941AB"/>
    <w:rsid w:val="00994BAC"/>
    <w:rsid w:val="00994D86"/>
    <w:rsid w:val="00995267"/>
    <w:rsid w:val="009970DB"/>
    <w:rsid w:val="009A1B83"/>
    <w:rsid w:val="009A28E3"/>
    <w:rsid w:val="009B22E2"/>
    <w:rsid w:val="009B2490"/>
    <w:rsid w:val="009B32A3"/>
    <w:rsid w:val="009B673D"/>
    <w:rsid w:val="009C00E6"/>
    <w:rsid w:val="009C1335"/>
    <w:rsid w:val="009C1BAF"/>
    <w:rsid w:val="009C3844"/>
    <w:rsid w:val="009C438F"/>
    <w:rsid w:val="009C58A9"/>
    <w:rsid w:val="009C5F1C"/>
    <w:rsid w:val="009C7426"/>
    <w:rsid w:val="009C7A1B"/>
    <w:rsid w:val="009D10A1"/>
    <w:rsid w:val="009D2174"/>
    <w:rsid w:val="009D3B7D"/>
    <w:rsid w:val="009D44D9"/>
    <w:rsid w:val="009E2C52"/>
    <w:rsid w:val="009E478E"/>
    <w:rsid w:val="009F1ABE"/>
    <w:rsid w:val="009F5123"/>
    <w:rsid w:val="009F52C8"/>
    <w:rsid w:val="00A00418"/>
    <w:rsid w:val="00A03D8B"/>
    <w:rsid w:val="00A04FDB"/>
    <w:rsid w:val="00A059A5"/>
    <w:rsid w:val="00A059E3"/>
    <w:rsid w:val="00A06117"/>
    <w:rsid w:val="00A121D5"/>
    <w:rsid w:val="00A13A80"/>
    <w:rsid w:val="00A13E74"/>
    <w:rsid w:val="00A14279"/>
    <w:rsid w:val="00A14438"/>
    <w:rsid w:val="00A15A8B"/>
    <w:rsid w:val="00A15CAC"/>
    <w:rsid w:val="00A221AC"/>
    <w:rsid w:val="00A23305"/>
    <w:rsid w:val="00A24083"/>
    <w:rsid w:val="00A246C5"/>
    <w:rsid w:val="00A2485A"/>
    <w:rsid w:val="00A26162"/>
    <w:rsid w:val="00A3123F"/>
    <w:rsid w:val="00A31553"/>
    <w:rsid w:val="00A35543"/>
    <w:rsid w:val="00A36157"/>
    <w:rsid w:val="00A41996"/>
    <w:rsid w:val="00A41F9A"/>
    <w:rsid w:val="00A438E9"/>
    <w:rsid w:val="00A4455A"/>
    <w:rsid w:val="00A4553C"/>
    <w:rsid w:val="00A47CBA"/>
    <w:rsid w:val="00A502EA"/>
    <w:rsid w:val="00A57715"/>
    <w:rsid w:val="00A579A7"/>
    <w:rsid w:val="00A60713"/>
    <w:rsid w:val="00A613A5"/>
    <w:rsid w:val="00A63DBD"/>
    <w:rsid w:val="00A65AA9"/>
    <w:rsid w:val="00A66ADE"/>
    <w:rsid w:val="00A67F57"/>
    <w:rsid w:val="00A70236"/>
    <w:rsid w:val="00A71939"/>
    <w:rsid w:val="00A723C7"/>
    <w:rsid w:val="00A72926"/>
    <w:rsid w:val="00A72B6E"/>
    <w:rsid w:val="00A73937"/>
    <w:rsid w:val="00A7424D"/>
    <w:rsid w:val="00A77457"/>
    <w:rsid w:val="00A77C16"/>
    <w:rsid w:val="00A83F07"/>
    <w:rsid w:val="00A848FD"/>
    <w:rsid w:val="00A84E91"/>
    <w:rsid w:val="00A87117"/>
    <w:rsid w:val="00A87AF7"/>
    <w:rsid w:val="00A87B16"/>
    <w:rsid w:val="00A937B9"/>
    <w:rsid w:val="00A976B6"/>
    <w:rsid w:val="00AA077D"/>
    <w:rsid w:val="00AA0AF6"/>
    <w:rsid w:val="00AA14D3"/>
    <w:rsid w:val="00AA464A"/>
    <w:rsid w:val="00AA79C5"/>
    <w:rsid w:val="00AB058D"/>
    <w:rsid w:val="00AB0A48"/>
    <w:rsid w:val="00AB0F34"/>
    <w:rsid w:val="00AB2E26"/>
    <w:rsid w:val="00AB3256"/>
    <w:rsid w:val="00AB44B9"/>
    <w:rsid w:val="00AB7BCD"/>
    <w:rsid w:val="00AC3738"/>
    <w:rsid w:val="00AC4ADB"/>
    <w:rsid w:val="00AC4FAF"/>
    <w:rsid w:val="00AC503B"/>
    <w:rsid w:val="00AD109C"/>
    <w:rsid w:val="00AD28F8"/>
    <w:rsid w:val="00AD3FFF"/>
    <w:rsid w:val="00AD4979"/>
    <w:rsid w:val="00AD5413"/>
    <w:rsid w:val="00AD6FAC"/>
    <w:rsid w:val="00AD78F1"/>
    <w:rsid w:val="00AE0728"/>
    <w:rsid w:val="00AE55C5"/>
    <w:rsid w:val="00AE5BAD"/>
    <w:rsid w:val="00AE6B88"/>
    <w:rsid w:val="00AE72AA"/>
    <w:rsid w:val="00AF51BA"/>
    <w:rsid w:val="00AF618F"/>
    <w:rsid w:val="00AF7518"/>
    <w:rsid w:val="00B00A0A"/>
    <w:rsid w:val="00B01452"/>
    <w:rsid w:val="00B025CE"/>
    <w:rsid w:val="00B108BE"/>
    <w:rsid w:val="00B1130B"/>
    <w:rsid w:val="00B13046"/>
    <w:rsid w:val="00B13BBF"/>
    <w:rsid w:val="00B14648"/>
    <w:rsid w:val="00B152EF"/>
    <w:rsid w:val="00B16114"/>
    <w:rsid w:val="00B16A8D"/>
    <w:rsid w:val="00B16D8A"/>
    <w:rsid w:val="00B170ED"/>
    <w:rsid w:val="00B173E0"/>
    <w:rsid w:val="00B175DE"/>
    <w:rsid w:val="00B20093"/>
    <w:rsid w:val="00B2072D"/>
    <w:rsid w:val="00B20E1A"/>
    <w:rsid w:val="00B22172"/>
    <w:rsid w:val="00B23D20"/>
    <w:rsid w:val="00B24CCB"/>
    <w:rsid w:val="00B2508B"/>
    <w:rsid w:val="00B27131"/>
    <w:rsid w:val="00B27F62"/>
    <w:rsid w:val="00B30153"/>
    <w:rsid w:val="00B316B2"/>
    <w:rsid w:val="00B31790"/>
    <w:rsid w:val="00B32517"/>
    <w:rsid w:val="00B33AC4"/>
    <w:rsid w:val="00B365A3"/>
    <w:rsid w:val="00B41A0E"/>
    <w:rsid w:val="00B457F9"/>
    <w:rsid w:val="00B4582C"/>
    <w:rsid w:val="00B45A56"/>
    <w:rsid w:val="00B50956"/>
    <w:rsid w:val="00B51F3F"/>
    <w:rsid w:val="00B53D03"/>
    <w:rsid w:val="00B5428B"/>
    <w:rsid w:val="00B57052"/>
    <w:rsid w:val="00B60D8C"/>
    <w:rsid w:val="00B6343F"/>
    <w:rsid w:val="00B64180"/>
    <w:rsid w:val="00B65277"/>
    <w:rsid w:val="00B70939"/>
    <w:rsid w:val="00B7216D"/>
    <w:rsid w:val="00B72633"/>
    <w:rsid w:val="00B729F0"/>
    <w:rsid w:val="00B72BC6"/>
    <w:rsid w:val="00B739AE"/>
    <w:rsid w:val="00B7563D"/>
    <w:rsid w:val="00B76D5A"/>
    <w:rsid w:val="00B77D2A"/>
    <w:rsid w:val="00B812F5"/>
    <w:rsid w:val="00B83B3D"/>
    <w:rsid w:val="00B85937"/>
    <w:rsid w:val="00B91287"/>
    <w:rsid w:val="00B91841"/>
    <w:rsid w:val="00B95E46"/>
    <w:rsid w:val="00B965A4"/>
    <w:rsid w:val="00B96B54"/>
    <w:rsid w:val="00BA0608"/>
    <w:rsid w:val="00BA106B"/>
    <w:rsid w:val="00BA19BB"/>
    <w:rsid w:val="00BA29BC"/>
    <w:rsid w:val="00BA428C"/>
    <w:rsid w:val="00BA6D61"/>
    <w:rsid w:val="00BB0897"/>
    <w:rsid w:val="00BB169E"/>
    <w:rsid w:val="00BB1B06"/>
    <w:rsid w:val="00BB416A"/>
    <w:rsid w:val="00BB5097"/>
    <w:rsid w:val="00BB7100"/>
    <w:rsid w:val="00BC2594"/>
    <w:rsid w:val="00BC36C4"/>
    <w:rsid w:val="00BC5009"/>
    <w:rsid w:val="00BC79A4"/>
    <w:rsid w:val="00BD60B6"/>
    <w:rsid w:val="00BE103F"/>
    <w:rsid w:val="00BE2746"/>
    <w:rsid w:val="00BE4302"/>
    <w:rsid w:val="00BE72AB"/>
    <w:rsid w:val="00BF03E7"/>
    <w:rsid w:val="00BF44AE"/>
    <w:rsid w:val="00BF5229"/>
    <w:rsid w:val="00BF5A57"/>
    <w:rsid w:val="00BF60C0"/>
    <w:rsid w:val="00C00EBB"/>
    <w:rsid w:val="00C02688"/>
    <w:rsid w:val="00C034DB"/>
    <w:rsid w:val="00C04260"/>
    <w:rsid w:val="00C07768"/>
    <w:rsid w:val="00C1216B"/>
    <w:rsid w:val="00C12E01"/>
    <w:rsid w:val="00C14C6E"/>
    <w:rsid w:val="00C202AE"/>
    <w:rsid w:val="00C20CD3"/>
    <w:rsid w:val="00C22B32"/>
    <w:rsid w:val="00C23242"/>
    <w:rsid w:val="00C233D4"/>
    <w:rsid w:val="00C248B0"/>
    <w:rsid w:val="00C24ACE"/>
    <w:rsid w:val="00C31DC1"/>
    <w:rsid w:val="00C330D3"/>
    <w:rsid w:val="00C344EC"/>
    <w:rsid w:val="00C346BA"/>
    <w:rsid w:val="00C34BD3"/>
    <w:rsid w:val="00C35949"/>
    <w:rsid w:val="00C37988"/>
    <w:rsid w:val="00C40102"/>
    <w:rsid w:val="00C40A33"/>
    <w:rsid w:val="00C41476"/>
    <w:rsid w:val="00C431F6"/>
    <w:rsid w:val="00C450C7"/>
    <w:rsid w:val="00C51646"/>
    <w:rsid w:val="00C54369"/>
    <w:rsid w:val="00C57A5B"/>
    <w:rsid w:val="00C61EE0"/>
    <w:rsid w:val="00C6471F"/>
    <w:rsid w:val="00C65931"/>
    <w:rsid w:val="00C65A85"/>
    <w:rsid w:val="00C67B80"/>
    <w:rsid w:val="00C73851"/>
    <w:rsid w:val="00C77B5C"/>
    <w:rsid w:val="00C814E4"/>
    <w:rsid w:val="00C828F7"/>
    <w:rsid w:val="00C84588"/>
    <w:rsid w:val="00C84E42"/>
    <w:rsid w:val="00C86609"/>
    <w:rsid w:val="00C87CF5"/>
    <w:rsid w:val="00C91283"/>
    <w:rsid w:val="00C9136C"/>
    <w:rsid w:val="00C9200F"/>
    <w:rsid w:val="00C922AE"/>
    <w:rsid w:val="00C94054"/>
    <w:rsid w:val="00C9582D"/>
    <w:rsid w:val="00CA0170"/>
    <w:rsid w:val="00CA0B18"/>
    <w:rsid w:val="00CA2AF5"/>
    <w:rsid w:val="00CB034B"/>
    <w:rsid w:val="00CB108A"/>
    <w:rsid w:val="00CB1951"/>
    <w:rsid w:val="00CB274D"/>
    <w:rsid w:val="00CB5130"/>
    <w:rsid w:val="00CB6848"/>
    <w:rsid w:val="00CB6A46"/>
    <w:rsid w:val="00CB7C9F"/>
    <w:rsid w:val="00CC126C"/>
    <w:rsid w:val="00CC1DA3"/>
    <w:rsid w:val="00CC451F"/>
    <w:rsid w:val="00CC4B06"/>
    <w:rsid w:val="00CC56A1"/>
    <w:rsid w:val="00CC627E"/>
    <w:rsid w:val="00CD0072"/>
    <w:rsid w:val="00CD2383"/>
    <w:rsid w:val="00CD534D"/>
    <w:rsid w:val="00CD62AE"/>
    <w:rsid w:val="00CE2492"/>
    <w:rsid w:val="00CE2C35"/>
    <w:rsid w:val="00CE3816"/>
    <w:rsid w:val="00CE3F95"/>
    <w:rsid w:val="00CE4960"/>
    <w:rsid w:val="00CE4A75"/>
    <w:rsid w:val="00CE4D54"/>
    <w:rsid w:val="00CE6A5E"/>
    <w:rsid w:val="00CE7B83"/>
    <w:rsid w:val="00CF32F2"/>
    <w:rsid w:val="00CF39F6"/>
    <w:rsid w:val="00CF51D6"/>
    <w:rsid w:val="00CF6254"/>
    <w:rsid w:val="00CF744E"/>
    <w:rsid w:val="00D00295"/>
    <w:rsid w:val="00D02054"/>
    <w:rsid w:val="00D02F17"/>
    <w:rsid w:val="00D044F4"/>
    <w:rsid w:val="00D0486D"/>
    <w:rsid w:val="00D0506B"/>
    <w:rsid w:val="00D0753E"/>
    <w:rsid w:val="00D115FC"/>
    <w:rsid w:val="00D17AAD"/>
    <w:rsid w:val="00D20142"/>
    <w:rsid w:val="00D21389"/>
    <w:rsid w:val="00D22409"/>
    <w:rsid w:val="00D22A78"/>
    <w:rsid w:val="00D25266"/>
    <w:rsid w:val="00D257EF"/>
    <w:rsid w:val="00D27B18"/>
    <w:rsid w:val="00D30AC8"/>
    <w:rsid w:val="00D3144D"/>
    <w:rsid w:val="00D32E9D"/>
    <w:rsid w:val="00D33F3F"/>
    <w:rsid w:val="00D3490A"/>
    <w:rsid w:val="00D35B9B"/>
    <w:rsid w:val="00D35FFF"/>
    <w:rsid w:val="00D367C4"/>
    <w:rsid w:val="00D43A53"/>
    <w:rsid w:val="00D4438C"/>
    <w:rsid w:val="00D44A7B"/>
    <w:rsid w:val="00D44BD3"/>
    <w:rsid w:val="00D45333"/>
    <w:rsid w:val="00D46A15"/>
    <w:rsid w:val="00D4700B"/>
    <w:rsid w:val="00D5173D"/>
    <w:rsid w:val="00D51B1A"/>
    <w:rsid w:val="00D52321"/>
    <w:rsid w:val="00D52B7F"/>
    <w:rsid w:val="00D539C3"/>
    <w:rsid w:val="00D54635"/>
    <w:rsid w:val="00D548B5"/>
    <w:rsid w:val="00D54922"/>
    <w:rsid w:val="00D54944"/>
    <w:rsid w:val="00D554A2"/>
    <w:rsid w:val="00D55CBD"/>
    <w:rsid w:val="00D57648"/>
    <w:rsid w:val="00D57D6E"/>
    <w:rsid w:val="00D57E04"/>
    <w:rsid w:val="00D60D2A"/>
    <w:rsid w:val="00D61866"/>
    <w:rsid w:val="00D637DB"/>
    <w:rsid w:val="00D63B56"/>
    <w:rsid w:val="00D64226"/>
    <w:rsid w:val="00D67D86"/>
    <w:rsid w:val="00D726DF"/>
    <w:rsid w:val="00D726FF"/>
    <w:rsid w:val="00D72DEE"/>
    <w:rsid w:val="00D802EB"/>
    <w:rsid w:val="00D806C6"/>
    <w:rsid w:val="00D80EAD"/>
    <w:rsid w:val="00D82240"/>
    <w:rsid w:val="00D8292E"/>
    <w:rsid w:val="00D83BB7"/>
    <w:rsid w:val="00D84159"/>
    <w:rsid w:val="00D86045"/>
    <w:rsid w:val="00D939B6"/>
    <w:rsid w:val="00D94F70"/>
    <w:rsid w:val="00D95D34"/>
    <w:rsid w:val="00D96E84"/>
    <w:rsid w:val="00DA4130"/>
    <w:rsid w:val="00DA4CCF"/>
    <w:rsid w:val="00DA5AF3"/>
    <w:rsid w:val="00DA78D0"/>
    <w:rsid w:val="00DA7985"/>
    <w:rsid w:val="00DA7F43"/>
    <w:rsid w:val="00DB02C4"/>
    <w:rsid w:val="00DB0BB2"/>
    <w:rsid w:val="00DB0ECD"/>
    <w:rsid w:val="00DB16F9"/>
    <w:rsid w:val="00DB572B"/>
    <w:rsid w:val="00DB596A"/>
    <w:rsid w:val="00DC146B"/>
    <w:rsid w:val="00DC1AAE"/>
    <w:rsid w:val="00DC1F8B"/>
    <w:rsid w:val="00DC47F8"/>
    <w:rsid w:val="00DC765D"/>
    <w:rsid w:val="00DC7EB2"/>
    <w:rsid w:val="00DD37F2"/>
    <w:rsid w:val="00DD5C3D"/>
    <w:rsid w:val="00DE1292"/>
    <w:rsid w:val="00DE3FC3"/>
    <w:rsid w:val="00DE4679"/>
    <w:rsid w:val="00DE5DA7"/>
    <w:rsid w:val="00DE7439"/>
    <w:rsid w:val="00DF1690"/>
    <w:rsid w:val="00DF1D0F"/>
    <w:rsid w:val="00DF1FBF"/>
    <w:rsid w:val="00DF57B1"/>
    <w:rsid w:val="00DF5A9D"/>
    <w:rsid w:val="00DF6C37"/>
    <w:rsid w:val="00DF74A7"/>
    <w:rsid w:val="00E00701"/>
    <w:rsid w:val="00E00739"/>
    <w:rsid w:val="00E1223F"/>
    <w:rsid w:val="00E127B0"/>
    <w:rsid w:val="00E15F6D"/>
    <w:rsid w:val="00E16E6E"/>
    <w:rsid w:val="00E20C4D"/>
    <w:rsid w:val="00E219D9"/>
    <w:rsid w:val="00E22793"/>
    <w:rsid w:val="00E23BBE"/>
    <w:rsid w:val="00E24861"/>
    <w:rsid w:val="00E24CC6"/>
    <w:rsid w:val="00E254B9"/>
    <w:rsid w:val="00E265C5"/>
    <w:rsid w:val="00E26ADF"/>
    <w:rsid w:val="00E27252"/>
    <w:rsid w:val="00E308BD"/>
    <w:rsid w:val="00E32A8C"/>
    <w:rsid w:val="00E33102"/>
    <w:rsid w:val="00E33A55"/>
    <w:rsid w:val="00E35B2B"/>
    <w:rsid w:val="00E40356"/>
    <w:rsid w:val="00E41FCD"/>
    <w:rsid w:val="00E423FC"/>
    <w:rsid w:val="00E43608"/>
    <w:rsid w:val="00E54F47"/>
    <w:rsid w:val="00E550C5"/>
    <w:rsid w:val="00E55A8B"/>
    <w:rsid w:val="00E56AB2"/>
    <w:rsid w:val="00E5709D"/>
    <w:rsid w:val="00E576DC"/>
    <w:rsid w:val="00E5778E"/>
    <w:rsid w:val="00E60F97"/>
    <w:rsid w:val="00E6561E"/>
    <w:rsid w:val="00E66FC9"/>
    <w:rsid w:val="00E715CE"/>
    <w:rsid w:val="00E73F18"/>
    <w:rsid w:val="00E77619"/>
    <w:rsid w:val="00E77A7B"/>
    <w:rsid w:val="00E843E8"/>
    <w:rsid w:val="00E84853"/>
    <w:rsid w:val="00E872A4"/>
    <w:rsid w:val="00E9060A"/>
    <w:rsid w:val="00E9073E"/>
    <w:rsid w:val="00E975FB"/>
    <w:rsid w:val="00EA361C"/>
    <w:rsid w:val="00EA6C67"/>
    <w:rsid w:val="00EB22E5"/>
    <w:rsid w:val="00EB2D23"/>
    <w:rsid w:val="00EB40DD"/>
    <w:rsid w:val="00EB6B97"/>
    <w:rsid w:val="00EB7897"/>
    <w:rsid w:val="00EC00AA"/>
    <w:rsid w:val="00EC2940"/>
    <w:rsid w:val="00EC3ABE"/>
    <w:rsid w:val="00ED024A"/>
    <w:rsid w:val="00ED2A21"/>
    <w:rsid w:val="00ED2D34"/>
    <w:rsid w:val="00ED4B6A"/>
    <w:rsid w:val="00EE005A"/>
    <w:rsid w:val="00EE0BD1"/>
    <w:rsid w:val="00EE10FE"/>
    <w:rsid w:val="00EE3B78"/>
    <w:rsid w:val="00EE5646"/>
    <w:rsid w:val="00EE5AF0"/>
    <w:rsid w:val="00EE6B15"/>
    <w:rsid w:val="00EE6BB8"/>
    <w:rsid w:val="00EE6F6F"/>
    <w:rsid w:val="00EF08FE"/>
    <w:rsid w:val="00EF142A"/>
    <w:rsid w:val="00EF3930"/>
    <w:rsid w:val="00EF3FD0"/>
    <w:rsid w:val="00EF4627"/>
    <w:rsid w:val="00EF646F"/>
    <w:rsid w:val="00EF72B5"/>
    <w:rsid w:val="00EF7886"/>
    <w:rsid w:val="00F00CCE"/>
    <w:rsid w:val="00F01A0F"/>
    <w:rsid w:val="00F045AC"/>
    <w:rsid w:val="00F05488"/>
    <w:rsid w:val="00F10085"/>
    <w:rsid w:val="00F107B2"/>
    <w:rsid w:val="00F12EA4"/>
    <w:rsid w:val="00F15348"/>
    <w:rsid w:val="00F15D52"/>
    <w:rsid w:val="00F17230"/>
    <w:rsid w:val="00F20214"/>
    <w:rsid w:val="00F204ED"/>
    <w:rsid w:val="00F21E67"/>
    <w:rsid w:val="00F22E55"/>
    <w:rsid w:val="00F2342A"/>
    <w:rsid w:val="00F25AFF"/>
    <w:rsid w:val="00F25D62"/>
    <w:rsid w:val="00F3017F"/>
    <w:rsid w:val="00F311F7"/>
    <w:rsid w:val="00F32A11"/>
    <w:rsid w:val="00F351A3"/>
    <w:rsid w:val="00F35422"/>
    <w:rsid w:val="00F35927"/>
    <w:rsid w:val="00F518D6"/>
    <w:rsid w:val="00F52D32"/>
    <w:rsid w:val="00F533EE"/>
    <w:rsid w:val="00F55FC5"/>
    <w:rsid w:val="00F5792C"/>
    <w:rsid w:val="00F604EA"/>
    <w:rsid w:val="00F63D06"/>
    <w:rsid w:val="00F6799B"/>
    <w:rsid w:val="00F67C85"/>
    <w:rsid w:val="00F67D26"/>
    <w:rsid w:val="00F70171"/>
    <w:rsid w:val="00F73C11"/>
    <w:rsid w:val="00F741DA"/>
    <w:rsid w:val="00F7447B"/>
    <w:rsid w:val="00F764C1"/>
    <w:rsid w:val="00F76AFA"/>
    <w:rsid w:val="00F76B95"/>
    <w:rsid w:val="00F77566"/>
    <w:rsid w:val="00F80AD6"/>
    <w:rsid w:val="00F824BD"/>
    <w:rsid w:val="00F834CD"/>
    <w:rsid w:val="00F8446E"/>
    <w:rsid w:val="00F87E27"/>
    <w:rsid w:val="00F90819"/>
    <w:rsid w:val="00F9273D"/>
    <w:rsid w:val="00F962EA"/>
    <w:rsid w:val="00FA01E4"/>
    <w:rsid w:val="00FA0742"/>
    <w:rsid w:val="00FA10B7"/>
    <w:rsid w:val="00FA10FF"/>
    <w:rsid w:val="00FA1C98"/>
    <w:rsid w:val="00FA47B6"/>
    <w:rsid w:val="00FA48B8"/>
    <w:rsid w:val="00FB3490"/>
    <w:rsid w:val="00FB351E"/>
    <w:rsid w:val="00FB6742"/>
    <w:rsid w:val="00FC026F"/>
    <w:rsid w:val="00FC06C1"/>
    <w:rsid w:val="00FC3500"/>
    <w:rsid w:val="00FC36B0"/>
    <w:rsid w:val="00FC4790"/>
    <w:rsid w:val="00FC4CBB"/>
    <w:rsid w:val="00FC6CA5"/>
    <w:rsid w:val="00FD06B9"/>
    <w:rsid w:val="00FD2B0C"/>
    <w:rsid w:val="00FD3AEC"/>
    <w:rsid w:val="00FD3D02"/>
    <w:rsid w:val="00FD40ED"/>
    <w:rsid w:val="00FD4164"/>
    <w:rsid w:val="00FD6B32"/>
    <w:rsid w:val="00FD795D"/>
    <w:rsid w:val="00FE1977"/>
    <w:rsid w:val="00FE21DD"/>
    <w:rsid w:val="00FE2635"/>
    <w:rsid w:val="00FE2FAF"/>
    <w:rsid w:val="00FE4499"/>
    <w:rsid w:val="00FE4673"/>
    <w:rsid w:val="00FE48A5"/>
    <w:rsid w:val="00FE6863"/>
    <w:rsid w:val="00FF2B9C"/>
    <w:rsid w:val="00FF3883"/>
    <w:rsid w:val="00FF6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0A4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6FF"/>
    <w:pPr>
      <w:spacing w:after="80"/>
      <w:jc w:val="both"/>
    </w:pPr>
    <w:rPr>
      <w:rFonts w:ascii="Segoe UI Light" w:hAnsi="Segoe UI Light"/>
      <w:noProof/>
      <w:sz w:val="24"/>
      <w:lang w:val="en-GB"/>
    </w:rPr>
  </w:style>
  <w:style w:type="paragraph" w:styleId="Titlu1">
    <w:name w:val="heading 1"/>
    <w:aliases w:val="H1,ASAPHeading 1,SAHeading 1,TOC 11,A MAJOR/BOLD,Capitolo,II+,I,H11,H12,H13,H14,H15,H16,H17,H18,H111,H121,H131,H141,H151,H161,H171,H19,H112,H122,H132,H142,H152,H162,H172,H181,H1111,H1211,H1311,H1411,H1511,H1611,H1711,H110,H113,H123,H133,H143,g"/>
    <w:basedOn w:val="Normal"/>
    <w:next w:val="Normal"/>
    <w:link w:val="Titlu1Caracter"/>
    <w:autoRedefine/>
    <w:uiPriority w:val="9"/>
    <w:qFormat/>
    <w:rsid w:val="00897E49"/>
    <w:pPr>
      <w:keepNext/>
      <w:spacing w:before="240" w:after="60" w:line="240" w:lineRule="auto"/>
      <w:outlineLvl w:val="0"/>
    </w:pPr>
    <w:rPr>
      <w:rFonts w:eastAsia="Times New Roman" w:cs="Arial"/>
      <w:b/>
      <w:bCs/>
      <w:color w:val="7F7F7F" w:themeColor="text1" w:themeTint="80"/>
      <w:kern w:val="32"/>
      <w:sz w:val="32"/>
      <w:szCs w:val="32"/>
      <w:lang w:val="ro-RO"/>
    </w:rPr>
  </w:style>
  <w:style w:type="paragraph" w:styleId="Titlu2">
    <w:name w:val="heading 2"/>
    <w:aliases w:val="H2"/>
    <w:basedOn w:val="Normal"/>
    <w:next w:val="Normal"/>
    <w:link w:val="Titlu2Caracter"/>
    <w:autoRedefine/>
    <w:qFormat/>
    <w:rsid w:val="00B175DE"/>
    <w:pPr>
      <w:keepNext/>
      <w:numPr>
        <w:ilvl w:val="1"/>
        <w:numId w:val="2"/>
      </w:numPr>
      <w:spacing w:before="240" w:after="60" w:line="240" w:lineRule="auto"/>
      <w:ind w:left="450"/>
      <w:outlineLvl w:val="1"/>
    </w:pPr>
    <w:rPr>
      <w:rFonts w:eastAsia="Times New Roman" w:cs="Arial"/>
      <w:b/>
      <w:bCs/>
      <w:iCs/>
      <w:color w:val="595959" w:themeColor="text1" w:themeTint="A6"/>
      <w:sz w:val="28"/>
      <w:szCs w:val="28"/>
      <w:lang w:val="ro-RO"/>
    </w:rPr>
  </w:style>
  <w:style w:type="paragraph" w:styleId="Titlu3">
    <w:name w:val="heading 3"/>
    <w:aliases w:val="H3,Org Heanormal,Org Heading 1,h1,§,§§,ASAPHeading 3,Livello 3,h3,1.2.3.,titolo 3,C Sub-Sub/Italic,h3 sub heading,subhead,Titolo paragrafo,3 Heading,3rdOrd (1.),Unnumbered Head,uh,UH,Third-Order Heading,summit,y,Paragraaf,head 3,h31,Heading 4a"/>
    <w:basedOn w:val="Normal"/>
    <w:next w:val="Normal"/>
    <w:link w:val="Titlu3Caracter"/>
    <w:autoRedefine/>
    <w:qFormat/>
    <w:rsid w:val="00BB416A"/>
    <w:pPr>
      <w:keepNext/>
      <w:numPr>
        <w:ilvl w:val="2"/>
        <w:numId w:val="2"/>
      </w:numPr>
      <w:spacing w:before="240" w:after="60" w:line="240" w:lineRule="auto"/>
      <w:outlineLvl w:val="2"/>
    </w:pPr>
    <w:rPr>
      <w:rFonts w:eastAsia="Times New Roman" w:cs="Arial"/>
      <w:b/>
      <w:bCs/>
      <w:color w:val="7F7F7F" w:themeColor="text1" w:themeTint="80"/>
      <w:sz w:val="26"/>
      <w:szCs w:val="26"/>
      <w:lang w:val="ro-RO"/>
    </w:rPr>
  </w:style>
  <w:style w:type="paragraph" w:styleId="Titlu4">
    <w:name w:val="heading 4"/>
    <w:aliases w:val="H4"/>
    <w:basedOn w:val="Normal"/>
    <w:next w:val="Normal"/>
    <w:link w:val="Titlu4Caracter"/>
    <w:autoRedefine/>
    <w:qFormat/>
    <w:rsid w:val="001B4C6D"/>
    <w:pPr>
      <w:keepNext/>
      <w:spacing w:before="240" w:after="60" w:line="240" w:lineRule="auto"/>
      <w:outlineLvl w:val="3"/>
    </w:pPr>
    <w:rPr>
      <w:rFonts w:eastAsia="Times New Roman" w:cs="Segoe UI Light"/>
      <w:b/>
      <w:bCs/>
      <w:szCs w:val="24"/>
      <w:lang w:val="ro-RO"/>
    </w:rPr>
  </w:style>
  <w:style w:type="paragraph" w:styleId="Titlu5">
    <w:name w:val="heading 5"/>
    <w:aliases w:val="H5"/>
    <w:basedOn w:val="Normal"/>
    <w:next w:val="Normal"/>
    <w:link w:val="Titlu5Caracter"/>
    <w:qFormat/>
    <w:rsid w:val="00CE6A5E"/>
    <w:pPr>
      <w:spacing w:before="240" w:after="60" w:line="240" w:lineRule="auto"/>
      <w:outlineLvl w:val="4"/>
    </w:pPr>
    <w:rPr>
      <w:rFonts w:ascii="Arial" w:eastAsia="Times New Roman" w:hAnsi="Arial" w:cs="Times New Roman"/>
      <w:b/>
      <w:bCs/>
      <w:i/>
      <w:iCs/>
      <w:sz w:val="26"/>
      <w:szCs w:val="26"/>
      <w:lang w:val="ro-RO"/>
    </w:rPr>
  </w:style>
  <w:style w:type="paragraph" w:styleId="Titlu6">
    <w:name w:val="heading 6"/>
    <w:aliases w:val="Bullet list,Bullet list1,Bullet list2,Bullet list11,Bullet list3,Bullet list12,Bullet list21,Bullet list111,Bullet lis,Legal Level 1.,Legal Level 1.1,Legal Level 1.2,Legal Level 1.3,Legal Level 1.11,Legal Level 1.21,Legal Level 1.4,6,h6,sd,H61"/>
    <w:basedOn w:val="Normal"/>
    <w:next w:val="Normal"/>
    <w:link w:val="Titlu6Caracter"/>
    <w:unhideWhenUsed/>
    <w:qFormat/>
    <w:rsid w:val="005B7E6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lang w:val="ro-RO"/>
    </w:rPr>
  </w:style>
  <w:style w:type="paragraph" w:styleId="Titlu7">
    <w:name w:val="heading 7"/>
    <w:aliases w:val="Legal Level 1.1.,Legal Level 1.1.1,Legal Level 1.1.2,Legal Level 1.1.3,Legal Level 1.1.11,Legal Level 1.1.21,Legal Level 1.1.4,Legal Level 1.1.12,Legal Level 1.1.22,Legal Level 1.1.31,Legal Level 1.1.111,Legal Level 1.1.211,Legal Level 1.1.5,7"/>
    <w:basedOn w:val="Normal"/>
    <w:next w:val="Normal"/>
    <w:link w:val="Titlu7Caracter"/>
    <w:unhideWhenUsed/>
    <w:qFormat/>
    <w:rsid w:val="005B7E66"/>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val="ro-RO"/>
    </w:rPr>
  </w:style>
  <w:style w:type="paragraph" w:styleId="Titlu8">
    <w:name w:val="heading 8"/>
    <w:aliases w:val="Legal Level 1.1.1.,Legal Level 1.1.1.1,Legal Level 1.1.1.2,Legal Level 1.1.1.3,Legal Level 1.1.1.11,Legal Level 1.1.1.21,Legal Level 1.1.1.4,Legal Level 1.1.1.12,Legal Level 1.1.1.22,Legal Level 1.1.1.31,Legal Level 1.1.1.111,8,FigureTitle,req"/>
    <w:basedOn w:val="Normal"/>
    <w:next w:val="Normal"/>
    <w:link w:val="Titlu8Caracter"/>
    <w:unhideWhenUsed/>
    <w:qFormat/>
    <w:rsid w:val="005B7E6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val="ro-RO"/>
    </w:rPr>
  </w:style>
  <w:style w:type="paragraph" w:styleId="Titlu9">
    <w:name w:val="heading 9"/>
    <w:aliases w:val="Legal Level 1.1.1.1.,Legal Level 1.1.1.1.1,Legal Level 1.1.1.1.2,Legal Level 1.1.1.1.3,Legal Level 1.1.1.1.11,Legal Level 1.1.1.1.21,Legal Level 1.1.1.1.4,Legal Level 1.1.1.1.12,Legal Level 1.1.1.1.22,Legal Level 1.1.1.1.31,Titre 10,9,rb,req1"/>
    <w:basedOn w:val="Normal"/>
    <w:next w:val="Normal"/>
    <w:link w:val="Titlu9Caracter"/>
    <w:unhideWhenUsed/>
    <w:qFormat/>
    <w:rsid w:val="005B7E6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H1 Caracter,ASAPHeading 1 Caracter,SAHeading 1 Caracter,TOC 11 Caracter,A MAJOR/BOLD Caracter,Capitolo Caracter,II+ Caracter,I Caracter,H11 Caracter,H12 Caracter,H13 Caracter,H14 Caracter,H15 Caracter,H16 Caracter,H17 Caracter"/>
    <w:basedOn w:val="Fontdeparagrafimplicit"/>
    <w:link w:val="Titlu1"/>
    <w:uiPriority w:val="9"/>
    <w:rsid w:val="00897E49"/>
    <w:rPr>
      <w:rFonts w:ascii="Segoe UI Light" w:eastAsia="Times New Roman" w:hAnsi="Segoe UI Light" w:cs="Arial"/>
      <w:b/>
      <w:bCs/>
      <w:noProof/>
      <w:color w:val="7F7F7F" w:themeColor="text1" w:themeTint="80"/>
      <w:kern w:val="32"/>
      <w:sz w:val="32"/>
      <w:szCs w:val="32"/>
      <w:lang w:val="ro-RO"/>
    </w:rPr>
  </w:style>
  <w:style w:type="character" w:customStyle="1" w:styleId="Titlu2Caracter">
    <w:name w:val="Titlu 2 Caracter"/>
    <w:aliases w:val="H2 Caracter"/>
    <w:basedOn w:val="Fontdeparagrafimplicit"/>
    <w:link w:val="Titlu2"/>
    <w:rsid w:val="00B175DE"/>
    <w:rPr>
      <w:rFonts w:ascii="Segoe UI Light" w:eastAsia="Times New Roman" w:hAnsi="Segoe UI Light" w:cs="Arial"/>
      <w:b/>
      <w:bCs/>
      <w:iCs/>
      <w:noProof/>
      <w:color w:val="595959" w:themeColor="text1" w:themeTint="A6"/>
      <w:sz w:val="28"/>
      <w:szCs w:val="28"/>
      <w:lang w:val="ro-RO"/>
    </w:rPr>
  </w:style>
  <w:style w:type="character" w:customStyle="1" w:styleId="Titlu3Caracter">
    <w:name w:val="Titlu 3 Caracter"/>
    <w:aliases w:val="H3 Caracter,Org Heanormal Caracter,Org Heading 1 Caracter,h1 Caracter,§ Caracter,§§ Caracter,ASAPHeading 3 Caracter,Livello 3 Caracter,h3 Caracter,1.2.3. Caracter,titolo 3 Caracter,C Sub-Sub/Italic Caracter,h3 sub heading Caracter"/>
    <w:basedOn w:val="Fontdeparagrafimplicit"/>
    <w:link w:val="Titlu3"/>
    <w:rsid w:val="00BB416A"/>
    <w:rPr>
      <w:rFonts w:ascii="Segoe UI Light" w:eastAsia="Times New Roman" w:hAnsi="Segoe UI Light" w:cs="Arial"/>
      <w:b/>
      <w:bCs/>
      <w:noProof/>
      <w:color w:val="7F7F7F" w:themeColor="text1" w:themeTint="80"/>
      <w:sz w:val="26"/>
      <w:szCs w:val="26"/>
      <w:lang w:val="ro-RO"/>
    </w:rPr>
  </w:style>
  <w:style w:type="character" w:customStyle="1" w:styleId="Titlu4Caracter">
    <w:name w:val="Titlu 4 Caracter"/>
    <w:aliases w:val="H4 Caracter"/>
    <w:basedOn w:val="Fontdeparagrafimplicit"/>
    <w:link w:val="Titlu4"/>
    <w:rsid w:val="001B4C6D"/>
    <w:rPr>
      <w:rFonts w:ascii="Segoe UI Light" w:eastAsia="Times New Roman" w:hAnsi="Segoe UI Light" w:cs="Segoe UI Light"/>
      <w:b/>
      <w:bCs/>
      <w:noProof/>
      <w:sz w:val="24"/>
      <w:szCs w:val="24"/>
      <w:lang w:val="ro-RO"/>
    </w:rPr>
  </w:style>
  <w:style w:type="character" w:customStyle="1" w:styleId="Titlu5Caracter">
    <w:name w:val="Titlu 5 Caracter"/>
    <w:aliases w:val="H5 Caracter"/>
    <w:basedOn w:val="Fontdeparagrafimplicit"/>
    <w:link w:val="Titlu5"/>
    <w:rsid w:val="004B114E"/>
    <w:rPr>
      <w:rFonts w:ascii="Arial" w:eastAsia="Times New Roman" w:hAnsi="Arial" w:cs="Times New Roman"/>
      <w:b/>
      <w:bCs/>
      <w:i/>
      <w:iCs/>
      <w:noProof/>
      <w:sz w:val="26"/>
      <w:szCs w:val="26"/>
      <w:lang w:val="ro-RO"/>
    </w:rPr>
  </w:style>
  <w:style w:type="character" w:customStyle="1" w:styleId="Titlu6Caracter">
    <w:name w:val="Titlu 6 Caracter"/>
    <w:aliases w:val="Bullet list Caracter,Bullet list1 Caracter,Bullet list2 Caracter,Bullet list11 Caracter,Bullet list3 Caracter,Bullet list12 Caracter,Bullet list21 Caracter,Bullet list111 Caracter,Bullet lis Caracter,Legal Level 1. Caracter,6 Caracter"/>
    <w:basedOn w:val="Fontdeparagrafimplicit"/>
    <w:link w:val="Titlu6"/>
    <w:rsid w:val="004B114E"/>
    <w:rPr>
      <w:rFonts w:asciiTheme="majorHAnsi" w:eastAsiaTheme="majorEastAsia" w:hAnsiTheme="majorHAnsi" w:cstheme="majorBidi"/>
      <w:i/>
      <w:iCs/>
      <w:noProof/>
      <w:color w:val="243F60" w:themeColor="accent1" w:themeShade="7F"/>
      <w:sz w:val="24"/>
      <w:lang w:val="ro-RO"/>
    </w:rPr>
  </w:style>
  <w:style w:type="character" w:customStyle="1" w:styleId="Titlu7Caracter">
    <w:name w:val="Titlu 7 Caracter"/>
    <w:aliases w:val="Legal Level 1.1. Caracter,Legal Level 1.1.1 Caracter,Legal Level 1.1.2 Caracter,Legal Level 1.1.3 Caracter,Legal Level 1.1.11 Caracter,Legal Level 1.1.21 Caracter,Legal Level 1.1.4 Caracter,Legal Level 1.1.12 Caracter,7 Caracter"/>
    <w:basedOn w:val="Fontdeparagrafimplicit"/>
    <w:link w:val="Titlu7"/>
    <w:rsid w:val="004B114E"/>
    <w:rPr>
      <w:rFonts w:asciiTheme="majorHAnsi" w:eastAsiaTheme="majorEastAsia" w:hAnsiTheme="majorHAnsi" w:cstheme="majorBidi"/>
      <w:i/>
      <w:iCs/>
      <w:noProof/>
      <w:color w:val="404040" w:themeColor="text1" w:themeTint="BF"/>
      <w:sz w:val="24"/>
      <w:lang w:val="ro-RO"/>
    </w:rPr>
  </w:style>
  <w:style w:type="character" w:customStyle="1" w:styleId="Titlu8Caracter">
    <w:name w:val="Titlu 8 Caracter"/>
    <w:aliases w:val="Legal Level 1.1.1. Caracter,Legal Level 1.1.1.1 Caracter,Legal Level 1.1.1.2 Caracter,Legal Level 1.1.1.3 Caracter,Legal Level 1.1.1.11 Caracter,Legal Level 1.1.1.21 Caracter,Legal Level 1.1.1.4 Caracter,Legal Level 1.1.1.12 Caracter"/>
    <w:basedOn w:val="Fontdeparagrafimplicit"/>
    <w:link w:val="Titlu8"/>
    <w:rsid w:val="004B114E"/>
    <w:rPr>
      <w:rFonts w:asciiTheme="majorHAnsi" w:eastAsiaTheme="majorEastAsia" w:hAnsiTheme="majorHAnsi" w:cstheme="majorBidi"/>
      <w:noProof/>
      <w:color w:val="404040" w:themeColor="text1" w:themeTint="BF"/>
      <w:sz w:val="20"/>
      <w:szCs w:val="20"/>
      <w:lang w:val="ro-RO"/>
    </w:rPr>
  </w:style>
  <w:style w:type="character" w:customStyle="1" w:styleId="Titlu9Caracter">
    <w:name w:val="Titlu 9 Caracter"/>
    <w:aliases w:val="Legal Level 1.1.1.1. Caracter,Legal Level 1.1.1.1.1 Caracter,Legal Level 1.1.1.1.2 Caracter,Legal Level 1.1.1.1.3 Caracter,Legal Level 1.1.1.1.11 Caracter,Legal Level 1.1.1.1.21 Caracter,Legal Level 1.1.1.1.4 Caracter,Titre 10 Caracter"/>
    <w:basedOn w:val="Fontdeparagrafimplicit"/>
    <w:link w:val="Titlu9"/>
    <w:rsid w:val="004B114E"/>
    <w:rPr>
      <w:rFonts w:asciiTheme="majorHAnsi" w:eastAsiaTheme="majorEastAsia" w:hAnsiTheme="majorHAnsi" w:cstheme="majorBidi"/>
      <w:i/>
      <w:iCs/>
      <w:noProof/>
      <w:color w:val="404040" w:themeColor="text1" w:themeTint="BF"/>
      <w:sz w:val="20"/>
      <w:szCs w:val="20"/>
      <w:lang w:val="ro-RO"/>
    </w:rPr>
  </w:style>
  <w:style w:type="paragraph" w:customStyle="1" w:styleId="Style2">
    <w:name w:val="Style2"/>
    <w:basedOn w:val="Titlu1"/>
    <w:link w:val="Style2Char"/>
    <w:qFormat/>
    <w:rsid w:val="004B114E"/>
  </w:style>
  <w:style w:type="character" w:customStyle="1" w:styleId="Style2Char">
    <w:name w:val="Style2 Char"/>
    <w:basedOn w:val="Fontdeparagrafimplicit"/>
    <w:link w:val="Style2"/>
    <w:rsid w:val="004B114E"/>
    <w:rPr>
      <w:rFonts w:asciiTheme="majorHAnsi" w:eastAsiaTheme="majorEastAsia" w:hAnsiTheme="majorHAnsi" w:cstheme="majorBidi"/>
      <w:b/>
      <w:bCs/>
      <w:sz w:val="28"/>
      <w:szCs w:val="32"/>
      <w:lang w:val="ro-RO"/>
    </w:rPr>
  </w:style>
  <w:style w:type="paragraph" w:customStyle="1" w:styleId="Style3">
    <w:name w:val="Style3"/>
    <w:basedOn w:val="Titlu2"/>
    <w:link w:val="Style3Char"/>
    <w:qFormat/>
    <w:rsid w:val="004B114E"/>
  </w:style>
  <w:style w:type="character" w:customStyle="1" w:styleId="Style3Char">
    <w:name w:val="Style3 Char"/>
    <w:basedOn w:val="Fontdeparagrafimplicit"/>
    <w:link w:val="Style3"/>
    <w:rsid w:val="004B114E"/>
    <w:rPr>
      <w:rFonts w:ascii="Segoe UI Light" w:eastAsia="Times New Roman" w:hAnsi="Segoe UI Light" w:cs="Arial"/>
      <w:b/>
      <w:bCs/>
      <w:iCs/>
      <w:noProof/>
      <w:color w:val="595959" w:themeColor="text1" w:themeTint="A6"/>
      <w:sz w:val="28"/>
      <w:szCs w:val="28"/>
      <w:lang w:val="ro-RO"/>
    </w:rPr>
  </w:style>
  <w:style w:type="paragraph" w:customStyle="1" w:styleId="Style4">
    <w:name w:val="Style4"/>
    <w:basedOn w:val="Titlu3"/>
    <w:link w:val="Style4Char"/>
    <w:qFormat/>
    <w:rsid w:val="004B114E"/>
    <w:pPr>
      <w:tabs>
        <w:tab w:val="num" w:pos="360"/>
      </w:tabs>
    </w:pPr>
    <w:rPr>
      <w:sz w:val="24"/>
      <w:szCs w:val="24"/>
      <w:lang w:val="en-GB" w:eastAsia="it-IT"/>
    </w:rPr>
  </w:style>
  <w:style w:type="character" w:customStyle="1" w:styleId="Style4Char">
    <w:name w:val="Style4 Char"/>
    <w:basedOn w:val="Fontdeparagrafimplicit"/>
    <w:link w:val="Style4"/>
    <w:rsid w:val="004B114E"/>
    <w:rPr>
      <w:rFonts w:ascii="Segoe UI Light" w:eastAsia="Times New Roman" w:hAnsi="Segoe UI Light" w:cs="Arial"/>
      <w:b/>
      <w:bCs/>
      <w:noProof/>
      <w:color w:val="7F7F7F" w:themeColor="text1" w:themeTint="80"/>
      <w:sz w:val="24"/>
      <w:szCs w:val="24"/>
      <w:lang w:val="en-GB" w:eastAsia="it-IT"/>
    </w:rPr>
  </w:style>
  <w:style w:type="paragraph" w:customStyle="1" w:styleId="Style5">
    <w:name w:val="Style5"/>
    <w:basedOn w:val="Titlu4"/>
    <w:link w:val="Style5Char"/>
    <w:qFormat/>
    <w:rsid w:val="004B114E"/>
    <w:pPr>
      <w:tabs>
        <w:tab w:val="num" w:pos="360"/>
      </w:tabs>
    </w:pPr>
    <w:rPr>
      <w:i/>
      <w:lang w:val="en-GB" w:eastAsia="it-IT"/>
    </w:rPr>
  </w:style>
  <w:style w:type="character" w:customStyle="1" w:styleId="Style5Char">
    <w:name w:val="Style5 Char"/>
    <w:basedOn w:val="Fontdeparagrafimplicit"/>
    <w:link w:val="Style5"/>
    <w:rsid w:val="004B114E"/>
    <w:rPr>
      <w:rFonts w:asciiTheme="majorHAnsi" w:eastAsia="Times New Roman" w:hAnsiTheme="majorHAnsi" w:cstheme="majorBidi"/>
      <w:b/>
      <w:bCs/>
      <w:iCs/>
      <w:lang w:val="en-GB" w:eastAsia="it-IT"/>
    </w:rPr>
  </w:style>
  <w:style w:type="paragraph" w:customStyle="1" w:styleId="Style6">
    <w:name w:val="Style6"/>
    <w:basedOn w:val="Titlu5"/>
    <w:link w:val="Style6Char"/>
    <w:qFormat/>
    <w:rsid w:val="004B114E"/>
    <w:pPr>
      <w:tabs>
        <w:tab w:val="num" w:pos="360"/>
      </w:tabs>
    </w:pPr>
    <w:rPr>
      <w:b w:val="0"/>
    </w:rPr>
  </w:style>
  <w:style w:type="character" w:customStyle="1" w:styleId="Style6Char">
    <w:name w:val="Style6 Char"/>
    <w:basedOn w:val="Fontdeparagrafimplicit"/>
    <w:link w:val="Style6"/>
    <w:rsid w:val="004B114E"/>
    <w:rPr>
      <w:rFonts w:asciiTheme="majorHAnsi" w:eastAsiaTheme="majorEastAsia" w:hAnsiTheme="majorHAnsi" w:cstheme="majorBidi"/>
      <w:b/>
      <w:lang w:val="ro-RO"/>
    </w:rPr>
  </w:style>
  <w:style w:type="character" w:styleId="Robust">
    <w:name w:val="Strong"/>
    <w:basedOn w:val="Fontdeparagrafimplicit"/>
    <w:uiPriority w:val="22"/>
    <w:qFormat/>
    <w:rsid w:val="004B114E"/>
    <w:rPr>
      <w:b/>
      <w:bCs/>
    </w:rPr>
  </w:style>
  <w:style w:type="paragraph" w:styleId="Listparagraf">
    <w:name w:val="List Paragraph"/>
    <w:aliases w:val="lista tabla,a.texto1,Bullets,lp1,Paragrafo elenco,List Paragraph Char Char,List Paragraph11,b1 + Justified,b1,b1 Char,Bullet 11,b1 + Justified1,Bullet 111,b1 + Justified11,SGLText List Paragraph,Normal Sentence,Colorful List - Accent 11"/>
    <w:basedOn w:val="Normal"/>
    <w:link w:val="ListparagrafCaracter"/>
    <w:qFormat/>
    <w:rsid w:val="004B114E"/>
    <w:pPr>
      <w:ind w:left="720"/>
      <w:contextualSpacing/>
    </w:pPr>
    <w:rPr>
      <w:lang w:val="ro-RO"/>
    </w:rPr>
  </w:style>
  <w:style w:type="character" w:customStyle="1" w:styleId="ListparagrafCaracter">
    <w:name w:val="Listă paragraf Caracter"/>
    <w:aliases w:val="lista tabla Caracter,a.texto1 Caracter,Bullets Caracter,lp1 Caracter,Paragrafo elenco Caracter,List Paragraph Char Char Caracter,List Paragraph11 Caracter,b1 + Justified Caracter,b1 Caracter,b1 Char Caracter,Bullet 11 Caracter"/>
    <w:basedOn w:val="Fontdeparagrafimplicit"/>
    <w:link w:val="Listparagraf"/>
    <w:uiPriority w:val="34"/>
    <w:qFormat/>
    <w:rsid w:val="004B114E"/>
    <w:rPr>
      <w:lang w:val="ro-RO"/>
    </w:rPr>
  </w:style>
  <w:style w:type="paragraph" w:styleId="Cuprins1">
    <w:name w:val="toc 1"/>
    <w:basedOn w:val="Normal"/>
    <w:next w:val="Normal"/>
    <w:autoRedefine/>
    <w:uiPriority w:val="39"/>
    <w:unhideWhenUsed/>
    <w:rsid w:val="005B7E66"/>
    <w:pPr>
      <w:spacing w:after="100" w:line="280" w:lineRule="atLeast"/>
    </w:pPr>
    <w:rPr>
      <w:rFonts w:ascii="Arial" w:eastAsia="Times New Roman" w:hAnsi="Arial" w:cs="Times New Roman"/>
      <w:b/>
      <w:i/>
      <w:snapToGrid w:val="0"/>
      <w:szCs w:val="24"/>
      <w:lang w:val="cs-CZ" w:eastAsia="cs-CZ"/>
    </w:rPr>
  </w:style>
  <w:style w:type="paragraph" w:styleId="NormalWeb">
    <w:name w:val="Normal (Web)"/>
    <w:basedOn w:val="Normal"/>
    <w:uiPriority w:val="99"/>
    <w:unhideWhenUsed/>
    <w:rsid w:val="00CC1DA3"/>
    <w:pPr>
      <w:spacing w:before="100" w:beforeAutospacing="1" w:after="100" w:afterAutospacing="1" w:line="240" w:lineRule="auto"/>
    </w:pPr>
    <w:rPr>
      <w:rFonts w:ascii="Times New Roman" w:eastAsiaTheme="minorEastAsia" w:hAnsi="Times New Roman" w:cs="Times New Roman"/>
      <w:szCs w:val="24"/>
      <w:lang w:val="en-US"/>
    </w:rPr>
  </w:style>
  <w:style w:type="paragraph" w:styleId="Antet">
    <w:name w:val="header"/>
    <w:aliases w:val="E.e,TussenBladHeader"/>
    <w:basedOn w:val="Normal"/>
    <w:link w:val="AntetCaracter"/>
    <w:unhideWhenUsed/>
    <w:rsid w:val="00CC1DA3"/>
    <w:pPr>
      <w:tabs>
        <w:tab w:val="center" w:pos="4703"/>
        <w:tab w:val="right" w:pos="9406"/>
      </w:tabs>
      <w:spacing w:after="0" w:line="240" w:lineRule="auto"/>
    </w:pPr>
  </w:style>
  <w:style w:type="character" w:customStyle="1" w:styleId="AntetCaracter">
    <w:name w:val="Antet Caracter"/>
    <w:aliases w:val="E.e Caracter,TussenBladHeader Caracter"/>
    <w:basedOn w:val="Fontdeparagrafimplicit"/>
    <w:link w:val="Antet"/>
    <w:uiPriority w:val="99"/>
    <w:rsid w:val="00CC1DA3"/>
    <w:rPr>
      <w:lang w:val="en-GB"/>
    </w:rPr>
  </w:style>
  <w:style w:type="paragraph" w:styleId="Subsol">
    <w:name w:val="footer"/>
    <w:aliases w:val="Fußzeile-2,Fußzeile-2 Caracter Char Char,Fußzeile-2 Caracter"/>
    <w:basedOn w:val="Normal"/>
    <w:link w:val="SubsolCaracter"/>
    <w:uiPriority w:val="99"/>
    <w:unhideWhenUsed/>
    <w:rsid w:val="00CC1DA3"/>
    <w:pPr>
      <w:tabs>
        <w:tab w:val="center" w:pos="4703"/>
        <w:tab w:val="right" w:pos="9406"/>
      </w:tabs>
      <w:spacing w:after="0" w:line="240" w:lineRule="auto"/>
    </w:pPr>
  </w:style>
  <w:style w:type="character" w:customStyle="1" w:styleId="SubsolCaracter">
    <w:name w:val="Subsol Caracter"/>
    <w:aliases w:val="Fußzeile-2 Caracter1,Fußzeile-2 Caracter Char Char Caracter,Fußzeile-2 Caracter Caracter"/>
    <w:basedOn w:val="Fontdeparagrafimplicit"/>
    <w:link w:val="Subsol"/>
    <w:uiPriority w:val="99"/>
    <w:rsid w:val="00CC1DA3"/>
    <w:rPr>
      <w:lang w:val="en-GB"/>
    </w:rPr>
  </w:style>
  <w:style w:type="paragraph" w:styleId="Titlucuprins">
    <w:name w:val="TOC Heading"/>
    <w:basedOn w:val="Titlu1"/>
    <w:next w:val="Normal"/>
    <w:uiPriority w:val="39"/>
    <w:unhideWhenUsed/>
    <w:qFormat/>
    <w:rsid w:val="007F7B02"/>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Cuprins2">
    <w:name w:val="toc 2"/>
    <w:basedOn w:val="Normal"/>
    <w:next w:val="Normal"/>
    <w:autoRedefine/>
    <w:uiPriority w:val="39"/>
    <w:unhideWhenUsed/>
    <w:rsid w:val="007F7B02"/>
    <w:pPr>
      <w:spacing w:after="100"/>
      <w:ind w:left="220"/>
    </w:pPr>
  </w:style>
  <w:style w:type="character" w:styleId="Hyperlink">
    <w:name w:val="Hyperlink"/>
    <w:basedOn w:val="Fontdeparagrafimplicit"/>
    <w:uiPriority w:val="99"/>
    <w:unhideWhenUsed/>
    <w:rsid w:val="007F7B02"/>
    <w:rPr>
      <w:color w:val="0000FF" w:themeColor="hyperlink"/>
      <w:u w:val="single"/>
    </w:rPr>
  </w:style>
  <w:style w:type="paragraph" w:styleId="TextnBalon">
    <w:name w:val="Balloon Text"/>
    <w:basedOn w:val="Normal"/>
    <w:link w:val="TextnBalonCaracter"/>
    <w:uiPriority w:val="99"/>
    <w:semiHidden/>
    <w:unhideWhenUsed/>
    <w:rsid w:val="007F7B0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F7B02"/>
    <w:rPr>
      <w:rFonts w:ascii="Tahoma" w:hAnsi="Tahoma" w:cs="Tahoma"/>
      <w:sz w:val="16"/>
      <w:szCs w:val="16"/>
      <w:lang w:val="en-GB"/>
    </w:rPr>
  </w:style>
  <w:style w:type="paragraph" w:styleId="Cuprins3">
    <w:name w:val="toc 3"/>
    <w:basedOn w:val="Normal"/>
    <w:next w:val="Normal"/>
    <w:autoRedefine/>
    <w:uiPriority w:val="39"/>
    <w:unhideWhenUsed/>
    <w:rsid w:val="00424575"/>
    <w:pPr>
      <w:spacing w:after="100"/>
      <w:ind w:left="440"/>
    </w:pPr>
    <w:rPr>
      <w:rFonts w:eastAsiaTheme="minorEastAsia"/>
      <w:lang w:val="en-US"/>
    </w:rPr>
  </w:style>
  <w:style w:type="paragraph" w:styleId="Cuprins4">
    <w:name w:val="toc 4"/>
    <w:basedOn w:val="Normal"/>
    <w:next w:val="Normal"/>
    <w:autoRedefine/>
    <w:uiPriority w:val="39"/>
    <w:unhideWhenUsed/>
    <w:rsid w:val="00424575"/>
    <w:pPr>
      <w:spacing w:after="100"/>
      <w:ind w:left="660"/>
    </w:pPr>
    <w:rPr>
      <w:rFonts w:eastAsiaTheme="minorEastAsia"/>
      <w:lang w:val="en-US"/>
    </w:rPr>
  </w:style>
  <w:style w:type="paragraph" w:styleId="Cuprins5">
    <w:name w:val="toc 5"/>
    <w:basedOn w:val="Normal"/>
    <w:next w:val="Normal"/>
    <w:autoRedefine/>
    <w:uiPriority w:val="39"/>
    <w:unhideWhenUsed/>
    <w:rsid w:val="00424575"/>
    <w:pPr>
      <w:spacing w:after="100"/>
      <w:ind w:left="880"/>
    </w:pPr>
    <w:rPr>
      <w:rFonts w:eastAsiaTheme="minorEastAsia"/>
      <w:lang w:val="en-US"/>
    </w:rPr>
  </w:style>
  <w:style w:type="paragraph" w:styleId="Cuprins6">
    <w:name w:val="toc 6"/>
    <w:basedOn w:val="Normal"/>
    <w:next w:val="Normal"/>
    <w:autoRedefine/>
    <w:uiPriority w:val="39"/>
    <w:unhideWhenUsed/>
    <w:rsid w:val="00424575"/>
    <w:pPr>
      <w:spacing w:after="100"/>
      <w:ind w:left="1100"/>
    </w:pPr>
    <w:rPr>
      <w:rFonts w:eastAsiaTheme="minorEastAsia"/>
      <w:lang w:val="en-US"/>
    </w:rPr>
  </w:style>
  <w:style w:type="paragraph" w:styleId="Cuprins7">
    <w:name w:val="toc 7"/>
    <w:basedOn w:val="Normal"/>
    <w:next w:val="Normal"/>
    <w:autoRedefine/>
    <w:uiPriority w:val="39"/>
    <w:unhideWhenUsed/>
    <w:rsid w:val="00424575"/>
    <w:pPr>
      <w:spacing w:after="100"/>
      <w:ind w:left="1320"/>
    </w:pPr>
    <w:rPr>
      <w:rFonts w:eastAsiaTheme="minorEastAsia"/>
      <w:lang w:val="en-US"/>
    </w:rPr>
  </w:style>
  <w:style w:type="paragraph" w:styleId="Cuprins8">
    <w:name w:val="toc 8"/>
    <w:basedOn w:val="Normal"/>
    <w:next w:val="Normal"/>
    <w:autoRedefine/>
    <w:uiPriority w:val="39"/>
    <w:unhideWhenUsed/>
    <w:rsid w:val="00424575"/>
    <w:pPr>
      <w:spacing w:after="100"/>
      <w:ind w:left="1540"/>
    </w:pPr>
    <w:rPr>
      <w:rFonts w:eastAsiaTheme="minorEastAsia"/>
      <w:lang w:val="en-US"/>
    </w:rPr>
  </w:style>
  <w:style w:type="paragraph" w:styleId="Cuprins9">
    <w:name w:val="toc 9"/>
    <w:basedOn w:val="Normal"/>
    <w:next w:val="Normal"/>
    <w:autoRedefine/>
    <w:uiPriority w:val="39"/>
    <w:unhideWhenUsed/>
    <w:rsid w:val="00424575"/>
    <w:pPr>
      <w:spacing w:after="100"/>
      <w:ind w:left="1760"/>
    </w:pPr>
    <w:rPr>
      <w:rFonts w:eastAsiaTheme="minorEastAsia"/>
      <w:lang w:val="en-US"/>
    </w:rPr>
  </w:style>
  <w:style w:type="character" w:styleId="HyperlinkParcurs">
    <w:name w:val="FollowedHyperlink"/>
    <w:basedOn w:val="Fontdeparagrafimplicit"/>
    <w:uiPriority w:val="99"/>
    <w:semiHidden/>
    <w:unhideWhenUsed/>
    <w:rsid w:val="002E7302"/>
    <w:rPr>
      <w:color w:val="800080"/>
      <w:u w:val="single"/>
    </w:rPr>
  </w:style>
  <w:style w:type="paragraph" w:customStyle="1" w:styleId="msonormal0">
    <w:name w:val="msonormal"/>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paragraph" w:customStyle="1" w:styleId="xl63">
    <w:name w:val="xl63"/>
    <w:basedOn w:val="Normal"/>
    <w:rsid w:val="002E7302"/>
    <w:pPr>
      <w:shd w:val="clear" w:color="000000" w:fill="FFFF00"/>
      <w:spacing w:before="100" w:beforeAutospacing="1" w:after="100" w:afterAutospacing="1" w:line="240" w:lineRule="auto"/>
    </w:pPr>
    <w:rPr>
      <w:rFonts w:ascii="Times New Roman" w:eastAsia="Times New Roman" w:hAnsi="Times New Roman" w:cs="Times New Roman"/>
      <w:b/>
      <w:bCs/>
      <w:szCs w:val="24"/>
      <w:lang w:val="en-US"/>
    </w:rPr>
  </w:style>
  <w:style w:type="paragraph" w:customStyle="1" w:styleId="xl64">
    <w:name w:val="xl64"/>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table" w:styleId="Tabelgril">
    <w:name w:val="Table Grid"/>
    <w:basedOn w:val="TabelNormal"/>
    <w:rsid w:val="00EF1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6">
    <w:name w:val="Grid Table 4 Accent 6"/>
    <w:basedOn w:val="TabelNormal"/>
    <w:uiPriority w:val="49"/>
    <w:rsid w:val="00BA19B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2-Accentuare6">
    <w:name w:val="Grid Table 2 Accent 6"/>
    <w:basedOn w:val="TabelNormal"/>
    <w:uiPriority w:val="47"/>
    <w:rsid w:val="00BA19BB"/>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5ntunecat-Accentuare6">
    <w:name w:val="Grid Table 5 Dark Accent 6"/>
    <w:basedOn w:val="TabelNormal"/>
    <w:uiPriority w:val="50"/>
    <w:rsid w:val="00BA19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elgril1Luminos-Accentuare6">
    <w:name w:val="Grid Table 1 Light Accent 6"/>
    <w:basedOn w:val="TabelNormal"/>
    <w:uiPriority w:val="46"/>
    <w:rsid w:val="00BA19BB"/>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H1b">
    <w:name w:val="H1b"/>
    <w:basedOn w:val="Titlu1"/>
    <w:link w:val="H1bChar"/>
    <w:qFormat/>
    <w:rsid w:val="0004660D"/>
    <w:pPr>
      <w:numPr>
        <w:numId w:val="3"/>
      </w:numPr>
    </w:pPr>
    <w:rPr>
      <w:rFonts w:cs="Segoe UI Light"/>
      <w:lang w:val="en-GB"/>
    </w:rPr>
  </w:style>
  <w:style w:type="character" w:customStyle="1" w:styleId="H1bChar">
    <w:name w:val="H1b Char"/>
    <w:basedOn w:val="Titlu1Caracter"/>
    <w:link w:val="H1b"/>
    <w:rsid w:val="0004660D"/>
    <w:rPr>
      <w:rFonts w:ascii="Segoe UI Light" w:eastAsia="Times New Roman" w:hAnsi="Segoe UI Light" w:cs="Segoe UI Light"/>
      <w:b/>
      <w:bCs/>
      <w:noProof/>
      <w:color w:val="7F7F7F" w:themeColor="text1" w:themeTint="80"/>
      <w:kern w:val="32"/>
      <w:sz w:val="32"/>
      <w:szCs w:val="32"/>
      <w:lang w:val="en-GB"/>
    </w:rPr>
  </w:style>
  <w:style w:type="table" w:styleId="Tabellist3-Accentuare6">
    <w:name w:val="List Table 3 Accent 6"/>
    <w:basedOn w:val="TabelNormal"/>
    <w:uiPriority w:val="48"/>
    <w:rsid w:val="00A41996"/>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customStyle="1" w:styleId="UnresolvedMention1">
    <w:name w:val="Unresolved Mention1"/>
    <w:basedOn w:val="Fontdeparagrafimplicit"/>
    <w:uiPriority w:val="99"/>
    <w:semiHidden/>
    <w:unhideWhenUsed/>
    <w:rsid w:val="00A41996"/>
    <w:rPr>
      <w:color w:val="605E5C"/>
      <w:shd w:val="clear" w:color="auto" w:fill="E1DFDD"/>
    </w:rPr>
  </w:style>
  <w:style w:type="table" w:customStyle="1" w:styleId="GridTable5Dark-Accent61">
    <w:name w:val="Grid Table 5 Dark - Accent 61"/>
    <w:basedOn w:val="TabelNormal"/>
    <w:next w:val="Tabelgril5ntunecat-Accentuare6"/>
    <w:uiPriority w:val="50"/>
    <w:rsid w:val="00BA29BC"/>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styleId="Tabelsimplu4">
    <w:name w:val="Plain Table 4"/>
    <w:basedOn w:val="TabelNormal"/>
    <w:uiPriority w:val="44"/>
    <w:rsid w:val="00BA29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emtabel">
    <w:name w:val="Table Theme"/>
    <w:basedOn w:val="TabelNormal"/>
    <w:uiPriority w:val="99"/>
    <w:rsid w:val="00BA29BC"/>
    <w:pPr>
      <w:spacing w:after="160"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eVDD">
    <w:name w:val="Tabele VDD"/>
    <w:basedOn w:val="TabelNormal"/>
    <w:uiPriority w:val="99"/>
    <w:rsid w:val="003C46E3"/>
    <w:pPr>
      <w:spacing w:after="0" w:line="240" w:lineRule="auto"/>
    </w:pPr>
    <w:rPr>
      <w:rFonts w:ascii="Segoe UI Light" w:hAnsi="Segoe UI Light"/>
      <w:sz w:val="16"/>
    </w:rPr>
    <w:tblPr/>
  </w:style>
  <w:style w:type="character" w:customStyle="1" w:styleId="UnresolvedMention2">
    <w:name w:val="Unresolved Mention2"/>
    <w:basedOn w:val="Fontdeparagrafimplicit"/>
    <w:uiPriority w:val="99"/>
    <w:semiHidden/>
    <w:unhideWhenUsed/>
    <w:rsid w:val="00B23D20"/>
    <w:rPr>
      <w:color w:val="605E5C"/>
      <w:shd w:val="clear" w:color="auto" w:fill="E1DFDD"/>
    </w:rPr>
  </w:style>
  <w:style w:type="table" w:styleId="Tabelgril6Colorat-Accentuare6">
    <w:name w:val="Grid Table 6 Colorful Accent 6"/>
    <w:basedOn w:val="TabelNormal"/>
    <w:uiPriority w:val="51"/>
    <w:rsid w:val="00987865"/>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1Luminos-Accentuare2">
    <w:name w:val="Grid Table 1 Light Accent 2"/>
    <w:basedOn w:val="TabelNormal"/>
    <w:uiPriority w:val="46"/>
    <w:rsid w:val="00987865"/>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15Indented">
    <w:name w:val="1.5 Indented"/>
    <w:basedOn w:val="Normal"/>
    <w:rsid w:val="00C9136C"/>
    <w:pPr>
      <w:spacing w:after="140" w:line="300" w:lineRule="atLeast"/>
      <w:ind w:left="2160"/>
    </w:pPr>
    <w:rPr>
      <w:rFonts w:ascii="Arial" w:eastAsia="Times New Roman" w:hAnsi="Arial" w:cs="Times New Roman"/>
      <w:noProof w:val="0"/>
      <w:snapToGrid w:val="0"/>
      <w:color w:val="000000"/>
      <w:sz w:val="20"/>
      <w:szCs w:val="20"/>
      <w:lang w:val="en-US"/>
    </w:rPr>
  </w:style>
  <w:style w:type="character" w:styleId="Referincomentariu">
    <w:name w:val="annotation reference"/>
    <w:basedOn w:val="Fontdeparagrafimplicit"/>
    <w:uiPriority w:val="99"/>
    <w:semiHidden/>
    <w:unhideWhenUsed/>
    <w:rsid w:val="00272B43"/>
    <w:rPr>
      <w:sz w:val="16"/>
      <w:szCs w:val="16"/>
    </w:rPr>
  </w:style>
  <w:style w:type="paragraph" w:styleId="Textcomentariu">
    <w:name w:val="annotation text"/>
    <w:basedOn w:val="Normal"/>
    <w:link w:val="TextcomentariuCaracter"/>
    <w:uiPriority w:val="99"/>
    <w:semiHidden/>
    <w:unhideWhenUsed/>
    <w:rsid w:val="00272B4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72B43"/>
    <w:rPr>
      <w:rFonts w:ascii="Segoe UI Light" w:hAnsi="Segoe UI Light"/>
      <w:noProof/>
      <w:sz w:val="20"/>
      <w:szCs w:val="20"/>
      <w:lang w:val="en-GB"/>
    </w:rPr>
  </w:style>
  <w:style w:type="paragraph" w:styleId="SubiectComentariu">
    <w:name w:val="annotation subject"/>
    <w:basedOn w:val="Textcomentariu"/>
    <w:next w:val="Textcomentariu"/>
    <w:link w:val="SubiectComentariuCaracter"/>
    <w:uiPriority w:val="99"/>
    <w:semiHidden/>
    <w:unhideWhenUsed/>
    <w:rsid w:val="00272B43"/>
    <w:rPr>
      <w:b/>
      <w:bCs/>
    </w:rPr>
  </w:style>
  <w:style w:type="character" w:customStyle="1" w:styleId="SubiectComentariuCaracter">
    <w:name w:val="Subiect Comentariu Caracter"/>
    <w:basedOn w:val="TextcomentariuCaracter"/>
    <w:link w:val="SubiectComentariu"/>
    <w:uiPriority w:val="99"/>
    <w:semiHidden/>
    <w:rsid w:val="00272B43"/>
    <w:rPr>
      <w:rFonts w:ascii="Segoe UI Light" w:hAnsi="Segoe UI Light"/>
      <w:b/>
      <w:bCs/>
      <w:noProof/>
      <w:sz w:val="20"/>
      <w:szCs w:val="20"/>
      <w:lang w:val="en-GB"/>
    </w:rPr>
  </w:style>
  <w:style w:type="paragraph" w:customStyle="1" w:styleId="Level1VF">
    <w:name w:val="Level 1 VF"/>
    <w:basedOn w:val="Normal"/>
    <w:next w:val="Normal"/>
    <w:rsid w:val="00AB44B9"/>
    <w:pPr>
      <w:numPr>
        <w:numId w:val="4"/>
      </w:numPr>
      <w:spacing w:before="240" w:after="180" w:line="288" w:lineRule="auto"/>
    </w:pPr>
    <w:rPr>
      <w:rFonts w:ascii="Times New Roman Bold" w:eastAsia="Times New Roman" w:hAnsi="Times New Roman Bold" w:cs="Times New Roman"/>
      <w:b/>
      <w:smallCaps/>
      <w:noProof w:val="0"/>
      <w:sz w:val="25"/>
      <w:szCs w:val="24"/>
      <w:lang w:val="en-US"/>
    </w:rPr>
  </w:style>
  <w:style w:type="paragraph" w:customStyle="1" w:styleId="Level2VF">
    <w:name w:val="Level 2 VF"/>
    <w:basedOn w:val="Normal"/>
    <w:next w:val="Normal"/>
    <w:rsid w:val="00AB44B9"/>
    <w:pPr>
      <w:numPr>
        <w:ilvl w:val="1"/>
        <w:numId w:val="4"/>
      </w:numPr>
      <w:spacing w:after="180" w:line="288" w:lineRule="auto"/>
    </w:pPr>
    <w:rPr>
      <w:rFonts w:ascii="Times New Roman" w:eastAsia="Times New Roman" w:hAnsi="Times New Roman" w:cs="Times New Roman"/>
      <w:b/>
      <w:noProof w:val="0"/>
      <w:sz w:val="22"/>
      <w:szCs w:val="24"/>
      <w:lang w:val="en-US"/>
    </w:rPr>
  </w:style>
  <w:style w:type="paragraph" w:customStyle="1" w:styleId="Level3VF">
    <w:name w:val="Level 3 VF"/>
    <w:basedOn w:val="Normal"/>
    <w:next w:val="Normal"/>
    <w:link w:val="Level3VFChar"/>
    <w:rsid w:val="00AB44B9"/>
    <w:pPr>
      <w:numPr>
        <w:ilvl w:val="2"/>
        <w:numId w:val="4"/>
      </w:numPr>
      <w:spacing w:after="180" w:line="288" w:lineRule="auto"/>
    </w:pPr>
    <w:rPr>
      <w:rFonts w:ascii="Times New Roman" w:eastAsia="Times New Roman" w:hAnsi="Times New Roman" w:cs="Times New Roman"/>
      <w:noProof w:val="0"/>
      <w:sz w:val="22"/>
      <w:szCs w:val="24"/>
      <w:lang w:val="en-US"/>
    </w:rPr>
  </w:style>
  <w:style w:type="paragraph" w:customStyle="1" w:styleId="Level4VF">
    <w:name w:val="Level 4 VF"/>
    <w:basedOn w:val="Normal"/>
    <w:rsid w:val="00AB44B9"/>
    <w:pPr>
      <w:numPr>
        <w:ilvl w:val="3"/>
        <w:numId w:val="4"/>
      </w:numPr>
      <w:spacing w:after="180" w:line="288" w:lineRule="auto"/>
    </w:pPr>
    <w:rPr>
      <w:rFonts w:ascii="Times New Roman" w:eastAsia="Times New Roman" w:hAnsi="Times New Roman" w:cs="Times New Roman"/>
      <w:noProof w:val="0"/>
      <w:sz w:val="22"/>
      <w:szCs w:val="24"/>
      <w:lang w:val="en-US"/>
    </w:rPr>
  </w:style>
  <w:style w:type="paragraph" w:customStyle="1" w:styleId="Level5VF">
    <w:name w:val="Level 5 VF"/>
    <w:basedOn w:val="Normal"/>
    <w:rsid w:val="00AB44B9"/>
    <w:pPr>
      <w:numPr>
        <w:ilvl w:val="4"/>
        <w:numId w:val="4"/>
      </w:numPr>
      <w:spacing w:after="180" w:line="288" w:lineRule="auto"/>
    </w:pPr>
    <w:rPr>
      <w:rFonts w:ascii="Times New Roman" w:eastAsia="Times New Roman" w:hAnsi="Times New Roman" w:cs="Times New Roman"/>
      <w:noProof w:val="0"/>
      <w:sz w:val="22"/>
      <w:szCs w:val="24"/>
      <w:lang w:val="en-US"/>
    </w:rPr>
  </w:style>
  <w:style w:type="paragraph" w:customStyle="1" w:styleId="Level6VF">
    <w:name w:val="Level 6 VF"/>
    <w:basedOn w:val="Normal"/>
    <w:rsid w:val="00AB44B9"/>
    <w:pPr>
      <w:numPr>
        <w:ilvl w:val="5"/>
        <w:numId w:val="4"/>
      </w:numPr>
      <w:spacing w:after="180" w:line="288" w:lineRule="auto"/>
    </w:pPr>
    <w:rPr>
      <w:rFonts w:ascii="Times New Roman" w:eastAsia="Times New Roman" w:hAnsi="Times New Roman" w:cs="Times New Roman"/>
      <w:noProof w:val="0"/>
      <w:sz w:val="22"/>
      <w:szCs w:val="24"/>
      <w:lang w:val="en-US"/>
    </w:rPr>
  </w:style>
  <w:style w:type="numbering" w:customStyle="1" w:styleId="ListStyleLevelVF">
    <w:name w:val="List Style Level VF"/>
    <w:semiHidden/>
    <w:rsid w:val="00AB44B9"/>
    <w:pPr>
      <w:numPr>
        <w:numId w:val="5"/>
      </w:numPr>
    </w:pPr>
  </w:style>
  <w:style w:type="character" w:customStyle="1" w:styleId="Level3VFChar">
    <w:name w:val="Level 3 VF Char"/>
    <w:basedOn w:val="Fontdeparagrafimplicit"/>
    <w:link w:val="Level3VF"/>
    <w:rsid w:val="00AB44B9"/>
    <w:rPr>
      <w:rFonts w:ascii="Times New Roman" w:eastAsia="Times New Roman" w:hAnsi="Times New Roman" w:cs="Times New Roman"/>
      <w:szCs w:val="24"/>
    </w:rPr>
  </w:style>
  <w:style w:type="paragraph" w:customStyle="1" w:styleId="Heading2M">
    <w:name w:val="Heading 2 M"/>
    <w:basedOn w:val="Titlu2"/>
    <w:rsid w:val="005E1D74"/>
    <w:pPr>
      <w:suppressAutoHyphens/>
      <w:overflowPunct w:val="0"/>
      <w:autoSpaceDE w:val="0"/>
      <w:textAlignment w:val="baseline"/>
    </w:pPr>
    <w:rPr>
      <w:rFonts w:ascii="Arial" w:hAnsi="Arial"/>
      <w:noProof w:val="0"/>
      <w:color w:val="auto"/>
      <w:sz w:val="24"/>
      <w:szCs w:val="20"/>
      <w:lang w:val="en-US" w:eastAsia="ar-SA"/>
    </w:rPr>
  </w:style>
  <w:style w:type="character" w:customStyle="1" w:styleId="UnresolvedMention3">
    <w:name w:val="Unresolved Mention3"/>
    <w:basedOn w:val="Fontdeparagrafimplicit"/>
    <w:uiPriority w:val="99"/>
    <w:semiHidden/>
    <w:unhideWhenUsed/>
    <w:rsid w:val="005D328F"/>
    <w:rPr>
      <w:color w:val="605E5C"/>
      <w:shd w:val="clear" w:color="auto" w:fill="E1DFDD"/>
    </w:rPr>
  </w:style>
  <w:style w:type="character" w:customStyle="1" w:styleId="CorptextCaracter">
    <w:name w:val="Corp text Caracter"/>
    <w:basedOn w:val="Fontdeparagrafimplicit"/>
    <w:link w:val="Corptext"/>
    <w:rsid w:val="00B24CCB"/>
    <w:rPr>
      <w:rFonts w:ascii="Arial" w:eastAsia="Arial" w:hAnsi="Arial" w:cs="Arial"/>
      <w:shd w:val="clear" w:color="auto" w:fill="FFFFFF"/>
    </w:rPr>
  </w:style>
  <w:style w:type="character" w:customStyle="1" w:styleId="Bodytext2">
    <w:name w:val="Body text (2)_"/>
    <w:basedOn w:val="Fontdeparagrafimplicit"/>
    <w:link w:val="Bodytext20"/>
    <w:rsid w:val="00B24CCB"/>
    <w:rPr>
      <w:rFonts w:ascii="Times New Roman" w:eastAsia="Times New Roman" w:hAnsi="Times New Roman" w:cs="Times New Roman"/>
      <w:shd w:val="clear" w:color="auto" w:fill="FFFFFF"/>
      <w:lang w:bidi="en-US"/>
    </w:rPr>
  </w:style>
  <w:style w:type="character" w:customStyle="1" w:styleId="Other">
    <w:name w:val="Other_"/>
    <w:basedOn w:val="Fontdeparagrafimplicit"/>
    <w:link w:val="Other0"/>
    <w:rsid w:val="00B24CCB"/>
    <w:rPr>
      <w:rFonts w:ascii="Arial" w:eastAsia="Arial" w:hAnsi="Arial" w:cs="Arial"/>
      <w:shd w:val="clear" w:color="auto" w:fill="FFFFFF"/>
      <w:lang w:bidi="en-US"/>
    </w:rPr>
  </w:style>
  <w:style w:type="paragraph" w:styleId="Corptext">
    <w:name w:val="Body Text"/>
    <w:basedOn w:val="Normal"/>
    <w:link w:val="CorptextCaracter"/>
    <w:qFormat/>
    <w:rsid w:val="00B24CCB"/>
    <w:pPr>
      <w:widowControl w:val="0"/>
      <w:shd w:val="clear" w:color="auto" w:fill="FFFFFF"/>
      <w:spacing w:after="120" w:line="264" w:lineRule="auto"/>
      <w:jc w:val="left"/>
    </w:pPr>
    <w:rPr>
      <w:rFonts w:ascii="Arial" w:eastAsia="Arial" w:hAnsi="Arial" w:cs="Arial"/>
      <w:noProof w:val="0"/>
      <w:sz w:val="22"/>
      <w:lang w:val="en-US"/>
    </w:rPr>
  </w:style>
  <w:style w:type="character" w:customStyle="1" w:styleId="BodyTextChar1">
    <w:name w:val="Body Text Char1"/>
    <w:basedOn w:val="Fontdeparagrafimplicit"/>
    <w:uiPriority w:val="99"/>
    <w:semiHidden/>
    <w:rsid w:val="00B24CCB"/>
    <w:rPr>
      <w:rFonts w:ascii="Segoe UI Light" w:hAnsi="Segoe UI Light"/>
      <w:noProof/>
      <w:sz w:val="24"/>
      <w:lang w:val="en-GB"/>
    </w:rPr>
  </w:style>
  <w:style w:type="paragraph" w:customStyle="1" w:styleId="Bodytext20">
    <w:name w:val="Body text (2)"/>
    <w:basedOn w:val="Normal"/>
    <w:link w:val="Bodytext2"/>
    <w:rsid w:val="00B24CCB"/>
    <w:pPr>
      <w:widowControl w:val="0"/>
      <w:shd w:val="clear" w:color="auto" w:fill="FFFFFF"/>
      <w:spacing w:after="140" w:line="264" w:lineRule="auto"/>
      <w:jc w:val="left"/>
    </w:pPr>
    <w:rPr>
      <w:rFonts w:ascii="Times New Roman" w:eastAsia="Times New Roman" w:hAnsi="Times New Roman" w:cs="Times New Roman"/>
      <w:noProof w:val="0"/>
      <w:sz w:val="22"/>
      <w:lang w:val="en-US" w:bidi="en-US"/>
    </w:rPr>
  </w:style>
  <w:style w:type="paragraph" w:customStyle="1" w:styleId="Other0">
    <w:name w:val="Other"/>
    <w:basedOn w:val="Normal"/>
    <w:link w:val="Other"/>
    <w:rsid w:val="00B24CCB"/>
    <w:pPr>
      <w:widowControl w:val="0"/>
      <w:shd w:val="clear" w:color="auto" w:fill="FFFFFF"/>
      <w:spacing w:after="120" w:line="264" w:lineRule="auto"/>
      <w:jc w:val="left"/>
    </w:pPr>
    <w:rPr>
      <w:rFonts w:ascii="Arial" w:eastAsia="Arial" w:hAnsi="Arial" w:cs="Arial"/>
      <w:noProof w:val="0"/>
      <w:sz w:val="22"/>
      <w:lang w:val="en-US" w:bidi="en-US"/>
    </w:rPr>
  </w:style>
  <w:style w:type="character" w:customStyle="1" w:styleId="Tablecaption">
    <w:name w:val="Table caption_"/>
    <w:basedOn w:val="Fontdeparagrafimplicit"/>
    <w:link w:val="Tablecaption0"/>
    <w:rsid w:val="00FE4499"/>
    <w:rPr>
      <w:rFonts w:ascii="Times New Roman" w:eastAsia="Times New Roman" w:hAnsi="Times New Roman" w:cs="Times New Roman"/>
      <w:shd w:val="clear" w:color="auto" w:fill="FFFFFF"/>
      <w:lang w:bidi="en-US"/>
    </w:rPr>
  </w:style>
  <w:style w:type="paragraph" w:customStyle="1" w:styleId="Tablecaption0">
    <w:name w:val="Table caption"/>
    <w:basedOn w:val="Normal"/>
    <w:link w:val="Tablecaption"/>
    <w:rsid w:val="00FE4499"/>
    <w:pPr>
      <w:widowControl w:val="0"/>
      <w:shd w:val="clear" w:color="auto" w:fill="FFFFFF"/>
      <w:spacing w:after="0" w:line="240" w:lineRule="auto"/>
      <w:jc w:val="left"/>
    </w:pPr>
    <w:rPr>
      <w:rFonts w:ascii="Times New Roman" w:eastAsia="Times New Roman" w:hAnsi="Times New Roman" w:cs="Times New Roman"/>
      <w:noProof w:val="0"/>
      <w:sz w:val="22"/>
      <w:lang w:val="en-US" w:bidi="en-US"/>
    </w:rPr>
  </w:style>
  <w:style w:type="character" w:customStyle="1" w:styleId="Bodytext3">
    <w:name w:val="Body text (3)_"/>
    <w:basedOn w:val="Fontdeparagrafimplicit"/>
    <w:link w:val="Bodytext30"/>
    <w:rsid w:val="008E22F0"/>
    <w:rPr>
      <w:rFonts w:ascii="Arial" w:eastAsia="Arial" w:hAnsi="Arial" w:cs="Arial"/>
      <w:sz w:val="16"/>
      <w:szCs w:val="16"/>
      <w:shd w:val="clear" w:color="auto" w:fill="FFFFFF"/>
    </w:rPr>
  </w:style>
  <w:style w:type="paragraph" w:customStyle="1" w:styleId="Bodytext30">
    <w:name w:val="Body text (3)"/>
    <w:basedOn w:val="Normal"/>
    <w:link w:val="Bodytext3"/>
    <w:rsid w:val="008E22F0"/>
    <w:pPr>
      <w:widowControl w:val="0"/>
      <w:shd w:val="clear" w:color="auto" w:fill="FFFFFF"/>
      <w:spacing w:after="820" w:line="240" w:lineRule="auto"/>
      <w:jc w:val="left"/>
    </w:pPr>
    <w:rPr>
      <w:rFonts w:ascii="Arial" w:eastAsia="Arial" w:hAnsi="Arial" w:cs="Arial"/>
      <w:noProof w:val="0"/>
      <w:sz w:val="16"/>
      <w:szCs w:val="16"/>
      <w:lang w:val="en-US"/>
    </w:rPr>
  </w:style>
  <w:style w:type="paragraph" w:customStyle="1" w:styleId="StyleHeader1-ClausesAfter0pt">
    <w:name w:val="Style Header 1 - Clauses + After:  0 pt"/>
    <w:basedOn w:val="Normal"/>
    <w:uiPriority w:val="99"/>
    <w:rsid w:val="00DB596A"/>
    <w:pPr>
      <w:spacing w:after="200" w:line="240" w:lineRule="auto"/>
    </w:pPr>
    <w:rPr>
      <w:rFonts w:ascii="Times New Roman" w:eastAsia="Times New Roman" w:hAnsi="Times New Roman" w:cs="Times New Roman"/>
      <w:noProof w:val="0"/>
      <w:szCs w:val="24"/>
      <w:lang w:val="es-ES_tradnl"/>
    </w:rPr>
  </w:style>
  <w:style w:type="paragraph" w:customStyle="1" w:styleId="styleheader1-clausesafter0pt0">
    <w:name w:val="styleheader1-clausesafter0pt"/>
    <w:basedOn w:val="Normal"/>
    <w:rsid w:val="00222A7F"/>
    <w:pPr>
      <w:spacing w:before="100" w:beforeAutospacing="1" w:after="100" w:afterAutospacing="1" w:line="240" w:lineRule="auto"/>
      <w:jc w:val="left"/>
    </w:pPr>
    <w:rPr>
      <w:rFonts w:ascii="Times New Roman" w:eastAsia="Times New Roman" w:hAnsi="Times New Roman" w:cs="Times New Roman"/>
      <w:noProof w:val="0"/>
      <w:szCs w:val="24"/>
      <w:lang w:val="en-US"/>
    </w:rPr>
  </w:style>
  <w:style w:type="character" w:customStyle="1" w:styleId="Heading5">
    <w:name w:val="Heading #5_"/>
    <w:basedOn w:val="Fontdeparagrafimplicit"/>
    <w:link w:val="Heading50"/>
    <w:rsid w:val="00E60F97"/>
    <w:rPr>
      <w:rFonts w:ascii="Times New Roman" w:eastAsia="Times New Roman" w:hAnsi="Times New Roman" w:cs="Times New Roman"/>
      <w:b/>
      <w:bCs/>
      <w:shd w:val="clear" w:color="auto" w:fill="FFFFFF"/>
    </w:rPr>
  </w:style>
  <w:style w:type="paragraph" w:customStyle="1" w:styleId="Heading50">
    <w:name w:val="Heading #5"/>
    <w:basedOn w:val="Normal"/>
    <w:link w:val="Heading5"/>
    <w:rsid w:val="00E60F97"/>
    <w:pPr>
      <w:widowControl w:val="0"/>
      <w:shd w:val="clear" w:color="auto" w:fill="FFFFFF"/>
      <w:spacing w:after="260" w:line="240" w:lineRule="auto"/>
      <w:jc w:val="left"/>
      <w:outlineLvl w:val="4"/>
    </w:pPr>
    <w:rPr>
      <w:rFonts w:ascii="Times New Roman" w:eastAsia="Times New Roman" w:hAnsi="Times New Roman" w:cs="Times New Roman"/>
      <w:b/>
      <w:bCs/>
      <w:noProof w:val="0"/>
      <w:sz w:val="22"/>
      <w:lang w:val="en-US"/>
    </w:rPr>
  </w:style>
  <w:style w:type="paragraph" w:customStyle="1" w:styleId="table11">
    <w:name w:val="table_11"/>
    <w:basedOn w:val="Normal"/>
    <w:link w:val="table11Char"/>
    <w:qFormat/>
    <w:rsid w:val="00C54369"/>
    <w:pPr>
      <w:suppressAutoHyphens/>
      <w:spacing w:after="60" w:line="240" w:lineRule="auto"/>
    </w:pPr>
    <w:rPr>
      <w:rFonts w:eastAsia="Times New Roman" w:cstheme="minorHAnsi"/>
      <w:noProof w:val="0"/>
      <w:spacing w:val="-2"/>
      <w:sz w:val="22"/>
      <w:szCs w:val="24"/>
      <w:lang w:val="ro-RO" w:eastAsia="zh-TW" w:bidi="en-US"/>
    </w:rPr>
  </w:style>
  <w:style w:type="character" w:customStyle="1" w:styleId="table11Char">
    <w:name w:val="table_11 Char"/>
    <w:basedOn w:val="Fontdeparagrafimplicit"/>
    <w:link w:val="table11"/>
    <w:rsid w:val="00C54369"/>
    <w:rPr>
      <w:rFonts w:ascii="Segoe UI Light" w:eastAsia="Times New Roman" w:hAnsi="Segoe UI Light" w:cstheme="minorHAnsi"/>
      <w:spacing w:val="-2"/>
      <w:szCs w:val="24"/>
      <w:lang w:val="ro-RO" w:eastAsia="zh-TW" w:bidi="en-US"/>
    </w:rPr>
  </w:style>
  <w:style w:type="paragraph" w:customStyle="1" w:styleId="Default">
    <w:name w:val="Default"/>
    <w:rsid w:val="009E47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
    <w:name w:val="Heading #1_"/>
    <w:basedOn w:val="Fontdeparagrafimplicit"/>
    <w:link w:val="Heading10"/>
    <w:rsid w:val="00835F5A"/>
    <w:rPr>
      <w:rFonts w:ascii="Calibri" w:eastAsia="Calibri" w:hAnsi="Calibri" w:cs="Calibri"/>
      <w:b/>
      <w:bCs/>
      <w:shd w:val="clear" w:color="auto" w:fill="FFFFFF"/>
    </w:rPr>
  </w:style>
  <w:style w:type="paragraph" w:customStyle="1" w:styleId="Heading10">
    <w:name w:val="Heading #1"/>
    <w:basedOn w:val="Normal"/>
    <w:link w:val="Heading1"/>
    <w:rsid w:val="00835F5A"/>
    <w:pPr>
      <w:widowControl w:val="0"/>
      <w:shd w:val="clear" w:color="auto" w:fill="FFFFFF"/>
      <w:spacing w:after="280" w:line="240" w:lineRule="auto"/>
      <w:jc w:val="left"/>
      <w:outlineLvl w:val="0"/>
    </w:pPr>
    <w:rPr>
      <w:rFonts w:ascii="Calibri" w:eastAsia="Calibri" w:hAnsi="Calibri" w:cs="Calibri"/>
      <w:b/>
      <w:bCs/>
      <w:noProof w:val="0"/>
      <w:sz w:val="22"/>
      <w:lang w:val="en-US"/>
    </w:rPr>
  </w:style>
  <w:style w:type="character" w:customStyle="1" w:styleId="Picturecaption">
    <w:name w:val="Picture caption_"/>
    <w:basedOn w:val="Fontdeparagrafimplicit"/>
    <w:link w:val="Picturecaption0"/>
    <w:rsid w:val="00835F5A"/>
    <w:rPr>
      <w:rFonts w:ascii="Arial" w:eastAsia="Arial" w:hAnsi="Arial" w:cs="Arial"/>
      <w:b/>
      <w:bCs/>
      <w:color w:val="EBEBEB"/>
      <w:sz w:val="20"/>
      <w:szCs w:val="20"/>
      <w:shd w:val="clear" w:color="auto" w:fill="FFFFFF"/>
      <w:lang w:bidi="en-US"/>
    </w:rPr>
  </w:style>
  <w:style w:type="paragraph" w:customStyle="1" w:styleId="Picturecaption0">
    <w:name w:val="Picture caption"/>
    <w:basedOn w:val="Normal"/>
    <w:link w:val="Picturecaption"/>
    <w:rsid w:val="00835F5A"/>
    <w:pPr>
      <w:widowControl w:val="0"/>
      <w:shd w:val="clear" w:color="auto" w:fill="FFFFFF"/>
      <w:spacing w:after="0" w:line="240" w:lineRule="auto"/>
      <w:jc w:val="center"/>
    </w:pPr>
    <w:rPr>
      <w:rFonts w:ascii="Arial" w:eastAsia="Arial" w:hAnsi="Arial" w:cs="Arial"/>
      <w:b/>
      <w:bCs/>
      <w:noProof w:val="0"/>
      <w:color w:val="EBEBEB"/>
      <w:sz w:val="20"/>
      <w:szCs w:val="20"/>
      <w:lang w:val="en-US" w:bidi="en-US"/>
    </w:rPr>
  </w:style>
  <w:style w:type="character" w:customStyle="1" w:styleId="UnresolvedMention4">
    <w:name w:val="Unresolved Mention4"/>
    <w:basedOn w:val="Fontdeparagrafimplicit"/>
    <w:uiPriority w:val="99"/>
    <w:semiHidden/>
    <w:unhideWhenUsed/>
    <w:rsid w:val="00835F5A"/>
    <w:rPr>
      <w:color w:val="605E5C"/>
      <w:shd w:val="clear" w:color="auto" w:fill="E1DFDD"/>
    </w:rPr>
  </w:style>
  <w:style w:type="paragraph" w:styleId="Textnotdesubsol">
    <w:name w:val="footnote text"/>
    <w:aliases w:val="Podrozdział,Footnote,Footnote Text Char Char,Fußnote,single space,FOOTNOTES,fn,fn Char Char Char,fn Char Char,fn Char,Fußnote Char Char Char,Fußnote Char,Fußnote Char Char Char Char,Footnote text,stile 1"/>
    <w:basedOn w:val="Normal"/>
    <w:link w:val="TextnotdesubsolCaracter"/>
    <w:unhideWhenUsed/>
    <w:rsid w:val="00835F5A"/>
    <w:pPr>
      <w:spacing w:after="0" w:line="240" w:lineRule="auto"/>
    </w:pPr>
    <w:rPr>
      <w:sz w:val="20"/>
      <w:szCs w:val="20"/>
    </w:rPr>
  </w:style>
  <w:style w:type="character" w:customStyle="1" w:styleId="TextnotdesubsolCaracter">
    <w:name w:val="Text notă de subsol Caracter"/>
    <w:aliases w:val="Podrozdział Caracter,Footnote Caracter,Footnote Text Char Char Caracter,Fußnote Caracter,single space Caracter,FOOTNOTES Caracter,fn Caracter,fn Char Char Char Caracter,fn Char Char Caracter,fn Char Caracter,stile 1 Caracter"/>
    <w:basedOn w:val="Fontdeparagrafimplicit"/>
    <w:link w:val="Textnotdesubsol"/>
    <w:uiPriority w:val="99"/>
    <w:rsid w:val="00835F5A"/>
    <w:rPr>
      <w:rFonts w:ascii="Segoe UI Light" w:hAnsi="Segoe UI Light"/>
      <w:noProof/>
      <w:sz w:val="20"/>
      <w:szCs w:val="20"/>
      <w:lang w:val="en-GB"/>
    </w:rPr>
  </w:style>
  <w:style w:type="character" w:styleId="Referinnotdesubsol">
    <w:name w:val="footnote reference"/>
    <w:aliases w:val="Footnote symbol"/>
    <w:basedOn w:val="Fontdeparagrafimplicit"/>
    <w:unhideWhenUsed/>
    <w:rsid w:val="00835F5A"/>
    <w:rPr>
      <w:vertAlign w:val="superscript"/>
    </w:rPr>
  </w:style>
  <w:style w:type="paragraph" w:styleId="Revizuire">
    <w:name w:val="Revision"/>
    <w:hidden/>
    <w:uiPriority w:val="99"/>
    <w:semiHidden/>
    <w:rsid w:val="00835F5A"/>
    <w:pPr>
      <w:spacing w:after="0" w:line="240" w:lineRule="auto"/>
    </w:pPr>
    <w:rPr>
      <w:rFonts w:ascii="Segoe UI Light" w:hAnsi="Segoe UI Light"/>
      <w:noProof/>
      <w:sz w:val="24"/>
      <w:lang w:val="en-GB"/>
    </w:rPr>
  </w:style>
  <w:style w:type="paragraph" w:styleId="Frspaiere">
    <w:name w:val="No Spacing"/>
    <w:link w:val="FrspaiereCaracter"/>
    <w:uiPriority w:val="1"/>
    <w:qFormat/>
    <w:rsid w:val="00835F5A"/>
    <w:pPr>
      <w:spacing w:after="0" w:line="240" w:lineRule="auto"/>
    </w:pPr>
    <w:rPr>
      <w:rFonts w:ascii="Calibri" w:eastAsia="Calibri" w:hAnsi="Calibri" w:cs="Times New Roman"/>
      <w:lang w:val="ro-RO"/>
    </w:rPr>
  </w:style>
  <w:style w:type="character" w:customStyle="1" w:styleId="FrspaiereCaracter">
    <w:name w:val="Fără spațiere Caracter"/>
    <w:link w:val="Frspaiere"/>
    <w:uiPriority w:val="1"/>
    <w:rsid w:val="00835F5A"/>
    <w:rPr>
      <w:rFonts w:ascii="Calibri" w:eastAsia="Calibri" w:hAnsi="Calibri" w:cs="Times New Roman"/>
      <w:lang w:val="ro-RO"/>
    </w:rPr>
  </w:style>
  <w:style w:type="table" w:styleId="TabelgrilLuminos">
    <w:name w:val="Grid Table Light"/>
    <w:basedOn w:val="TabelNormal"/>
    <w:uiPriority w:val="40"/>
    <w:rsid w:val="00835F5A"/>
    <w:pPr>
      <w:spacing w:after="0" w:line="240" w:lineRule="auto"/>
    </w:pPr>
    <w:rPr>
      <w:rFonts w:eastAsiaTheme="minorEastAsia"/>
      <w:lang w:eastAsia="zh-TW"/>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tbl">
    <w:name w:val="bullet tbl"/>
    <w:basedOn w:val="Listparagraf"/>
    <w:link w:val="bullettblChar"/>
    <w:qFormat/>
    <w:rsid w:val="00835F5A"/>
    <w:pPr>
      <w:numPr>
        <w:numId w:val="6"/>
      </w:numPr>
      <w:spacing w:after="0" w:line="240" w:lineRule="auto"/>
      <w:ind w:left="326" w:hanging="282"/>
    </w:pPr>
    <w:rPr>
      <w:rFonts w:eastAsiaTheme="minorEastAsia"/>
      <w:noProof w:val="0"/>
      <w:sz w:val="22"/>
    </w:rPr>
  </w:style>
  <w:style w:type="paragraph" w:customStyle="1" w:styleId="Normtb10">
    <w:name w:val="Norm_tb_10"/>
    <w:basedOn w:val="Normal"/>
    <w:link w:val="Normtb10Char"/>
    <w:qFormat/>
    <w:rsid w:val="00835F5A"/>
    <w:pPr>
      <w:spacing w:after="120" w:line="240" w:lineRule="auto"/>
      <w:jc w:val="left"/>
    </w:pPr>
    <w:rPr>
      <w:rFonts w:eastAsiaTheme="minorEastAsia" w:cs="Segoe UI Light"/>
      <w:noProof w:val="0"/>
      <w:sz w:val="20"/>
      <w:szCs w:val="20"/>
      <w:lang w:val="ro-RO" w:eastAsia="zh-TW"/>
    </w:rPr>
  </w:style>
  <w:style w:type="paragraph" w:customStyle="1" w:styleId="bullettbl10">
    <w:name w:val="bullet tbl10"/>
    <w:basedOn w:val="bullettbl"/>
    <w:link w:val="bullettbl10Char"/>
    <w:qFormat/>
    <w:rsid w:val="00835F5A"/>
    <w:pPr>
      <w:spacing w:before="20" w:after="20"/>
      <w:ind w:left="331" w:hanging="288"/>
      <w:contextualSpacing w:val="0"/>
      <w:jc w:val="left"/>
    </w:pPr>
    <w:rPr>
      <w:sz w:val="20"/>
    </w:rPr>
  </w:style>
  <w:style w:type="character" w:customStyle="1" w:styleId="Normtb10Char">
    <w:name w:val="Norm_tb_10 Char"/>
    <w:basedOn w:val="Fontdeparagrafimplicit"/>
    <w:link w:val="Normtb10"/>
    <w:rsid w:val="00835F5A"/>
    <w:rPr>
      <w:rFonts w:ascii="Segoe UI Light" w:eastAsiaTheme="minorEastAsia" w:hAnsi="Segoe UI Light" w:cs="Segoe UI Light"/>
      <w:sz w:val="20"/>
      <w:szCs w:val="20"/>
      <w:lang w:val="ro-RO" w:eastAsia="zh-TW"/>
    </w:rPr>
  </w:style>
  <w:style w:type="character" w:customStyle="1" w:styleId="bullettbl10Char">
    <w:name w:val="bullet tbl10 Char"/>
    <w:basedOn w:val="Fontdeparagrafimplicit"/>
    <w:link w:val="bullettbl10"/>
    <w:rsid w:val="00835F5A"/>
    <w:rPr>
      <w:rFonts w:ascii="Segoe UI Light" w:eastAsiaTheme="minorEastAsia" w:hAnsi="Segoe UI Light"/>
      <w:sz w:val="20"/>
      <w:lang w:val="ro-RO"/>
    </w:rPr>
  </w:style>
  <w:style w:type="paragraph" w:customStyle="1" w:styleId="Normaltableleft">
    <w:name w:val="Normal_table_left"/>
    <w:basedOn w:val="Normal"/>
    <w:link w:val="NormaltableleftChar"/>
    <w:qFormat/>
    <w:rsid w:val="00835F5A"/>
    <w:pPr>
      <w:spacing w:after="120" w:line="259" w:lineRule="auto"/>
      <w:jc w:val="left"/>
    </w:pPr>
    <w:rPr>
      <w:rFonts w:eastAsiaTheme="minorEastAsia"/>
      <w:noProof w:val="0"/>
      <w:sz w:val="22"/>
      <w:lang w:val="ro-RO" w:eastAsia="zh-TW"/>
    </w:rPr>
  </w:style>
  <w:style w:type="character" w:customStyle="1" w:styleId="NormaltableleftChar">
    <w:name w:val="Normal_table_left Char"/>
    <w:basedOn w:val="Fontdeparagrafimplicit"/>
    <w:link w:val="Normaltableleft"/>
    <w:rsid w:val="00835F5A"/>
    <w:rPr>
      <w:rFonts w:ascii="Segoe UI Light" w:eastAsiaTheme="minorEastAsia" w:hAnsi="Segoe UI Light"/>
      <w:lang w:val="ro-RO" w:eastAsia="zh-TW"/>
    </w:rPr>
  </w:style>
  <w:style w:type="paragraph" w:customStyle="1" w:styleId="tableheader">
    <w:name w:val="table header"/>
    <w:basedOn w:val="Normal"/>
    <w:link w:val="tableheaderChar"/>
    <w:qFormat/>
    <w:rsid w:val="00835F5A"/>
    <w:pPr>
      <w:spacing w:before="40" w:after="40" w:line="240" w:lineRule="auto"/>
      <w:jc w:val="left"/>
    </w:pPr>
    <w:rPr>
      <w:rFonts w:eastAsiaTheme="minorEastAsia"/>
      <w:b/>
      <w:noProof w:val="0"/>
      <w:color w:val="FFFFFF" w:themeColor="background1"/>
      <w:sz w:val="22"/>
      <w:lang w:val="ro-RO" w:eastAsia="zh-TW"/>
    </w:rPr>
  </w:style>
  <w:style w:type="character" w:customStyle="1" w:styleId="tableheaderChar">
    <w:name w:val="table header Char"/>
    <w:basedOn w:val="Fontdeparagrafimplicit"/>
    <w:link w:val="tableheader"/>
    <w:rsid w:val="00835F5A"/>
    <w:rPr>
      <w:rFonts w:ascii="Segoe UI Light" w:eastAsiaTheme="minorEastAsia" w:hAnsi="Segoe UI Light"/>
      <w:b/>
      <w:color w:val="FFFFFF" w:themeColor="background1"/>
      <w:lang w:val="ro-RO" w:eastAsia="zh-TW"/>
    </w:rPr>
  </w:style>
  <w:style w:type="paragraph" w:customStyle="1" w:styleId="bulletround">
    <w:name w:val="bullet round"/>
    <w:basedOn w:val="Listparagraf"/>
    <w:link w:val="bulletroundChar"/>
    <w:qFormat/>
    <w:rsid w:val="00835F5A"/>
    <w:pPr>
      <w:numPr>
        <w:numId w:val="7"/>
      </w:numPr>
      <w:spacing w:after="160"/>
      <w:ind w:left="900"/>
    </w:pPr>
    <w:rPr>
      <w:rFonts w:eastAsiaTheme="minorEastAsia"/>
      <w:noProof w:val="0"/>
      <w:sz w:val="22"/>
    </w:rPr>
  </w:style>
  <w:style w:type="paragraph" w:customStyle="1" w:styleId="tablenormal">
    <w:name w:val="table normal"/>
    <w:basedOn w:val="Normal"/>
    <w:link w:val="tablenormalChar"/>
    <w:qFormat/>
    <w:rsid w:val="00835F5A"/>
    <w:pPr>
      <w:spacing w:before="20" w:after="20" w:line="240" w:lineRule="auto"/>
      <w:jc w:val="left"/>
    </w:pPr>
    <w:rPr>
      <w:rFonts w:eastAsiaTheme="minorEastAsia"/>
      <w:noProof w:val="0"/>
      <w:sz w:val="22"/>
      <w:lang w:val="ro-RO" w:eastAsia="zh-TW"/>
    </w:rPr>
  </w:style>
  <w:style w:type="character" w:customStyle="1" w:styleId="bulletroundChar">
    <w:name w:val="bullet round Char"/>
    <w:basedOn w:val="Fontdeparagrafimplicit"/>
    <w:link w:val="bulletround"/>
    <w:rsid w:val="00835F5A"/>
    <w:rPr>
      <w:rFonts w:ascii="Segoe UI Light" w:eastAsiaTheme="minorEastAsia" w:hAnsi="Segoe UI Light"/>
      <w:lang w:val="ro-RO"/>
    </w:rPr>
  </w:style>
  <w:style w:type="character" w:customStyle="1" w:styleId="bullettblChar">
    <w:name w:val="bullet tbl Char"/>
    <w:basedOn w:val="bulletroundChar"/>
    <w:link w:val="bullettbl"/>
    <w:rsid w:val="00835F5A"/>
    <w:rPr>
      <w:rFonts w:ascii="Segoe UI Light" w:eastAsiaTheme="minorEastAsia" w:hAnsi="Segoe UI Light"/>
      <w:lang w:val="ro-RO"/>
    </w:rPr>
  </w:style>
  <w:style w:type="character" w:customStyle="1" w:styleId="tablenormalChar">
    <w:name w:val="table normal Char"/>
    <w:basedOn w:val="Fontdeparagrafimplicit"/>
    <w:link w:val="tablenormal"/>
    <w:rsid w:val="00835F5A"/>
    <w:rPr>
      <w:rFonts w:ascii="Segoe UI Light" w:eastAsiaTheme="minorEastAsia" w:hAnsi="Segoe UI Light"/>
      <w:lang w:val="ro-RO" w:eastAsia="zh-TW"/>
    </w:rPr>
  </w:style>
  <w:style w:type="paragraph" w:customStyle="1" w:styleId="Normtbleft">
    <w:name w:val="Norm_tb_left"/>
    <w:basedOn w:val="Normal"/>
    <w:link w:val="NormtbleftChar"/>
    <w:qFormat/>
    <w:rsid w:val="00835F5A"/>
    <w:pPr>
      <w:spacing w:after="120" w:line="259" w:lineRule="auto"/>
      <w:jc w:val="left"/>
    </w:pPr>
    <w:rPr>
      <w:rFonts w:eastAsiaTheme="minorEastAsia"/>
      <w:noProof w:val="0"/>
      <w:sz w:val="22"/>
      <w:lang w:val="ro-RO" w:eastAsia="zh-TW"/>
    </w:rPr>
  </w:style>
  <w:style w:type="character" w:customStyle="1" w:styleId="NormtbleftChar">
    <w:name w:val="Norm_tb_left Char"/>
    <w:basedOn w:val="Fontdeparagrafimplicit"/>
    <w:link w:val="Normtbleft"/>
    <w:rsid w:val="00835F5A"/>
    <w:rPr>
      <w:rFonts w:ascii="Segoe UI Light" w:eastAsiaTheme="minorEastAsia" w:hAnsi="Segoe UI Light"/>
      <w:lang w:val="ro-RO" w:eastAsia="zh-TW"/>
    </w:rPr>
  </w:style>
  <w:style w:type="paragraph" w:customStyle="1" w:styleId="TableHeading">
    <w:name w:val="Table Heading"/>
    <w:basedOn w:val="Normal"/>
    <w:rsid w:val="00426174"/>
    <w:pPr>
      <w:keepLines/>
      <w:spacing w:before="120" w:after="120" w:line="240" w:lineRule="auto"/>
      <w:jc w:val="left"/>
    </w:pPr>
    <w:rPr>
      <w:rFonts w:ascii="Times New Roman" w:eastAsia="Times New Roman" w:hAnsi="Times New Roman" w:cs="Times New Roman"/>
      <w:b/>
      <w:noProof w:val="0"/>
      <w:kern w:val="1"/>
      <w:sz w:val="16"/>
      <w:szCs w:val="24"/>
      <w:lang w:val="en-US" w:eastAsia="ar-SA"/>
    </w:rPr>
  </w:style>
  <w:style w:type="paragraph" w:customStyle="1" w:styleId="Aufzhlung2">
    <w:name w:val="Aufzählung2"/>
    <w:basedOn w:val="Normal"/>
    <w:link w:val="Aufzhlung2Zchn"/>
    <w:qFormat/>
    <w:rsid w:val="003B1D3A"/>
    <w:pPr>
      <w:keepLines/>
      <w:numPr>
        <w:numId w:val="9"/>
      </w:numPr>
      <w:spacing w:after="0" w:line="260" w:lineRule="atLeast"/>
    </w:pPr>
    <w:rPr>
      <w:rFonts w:ascii="Calibri" w:eastAsia="Times New Roman" w:hAnsi="Calibri" w:cs="Times New Roman"/>
      <w:sz w:val="20"/>
      <w:szCs w:val="20"/>
      <w:lang w:val="en-US" w:eastAsia="de-DE"/>
    </w:rPr>
  </w:style>
  <w:style w:type="character" w:customStyle="1" w:styleId="Aufzhlung2Zchn">
    <w:name w:val="Aufzählung2 Zchn"/>
    <w:link w:val="Aufzhlung2"/>
    <w:rsid w:val="003B1D3A"/>
    <w:rPr>
      <w:rFonts w:ascii="Calibri" w:eastAsia="Times New Roman" w:hAnsi="Calibri" w:cs="Times New Roman"/>
      <w:noProof/>
      <w:sz w:val="20"/>
      <w:szCs w:val="20"/>
      <w:lang w:eastAsia="de-DE"/>
    </w:rPr>
  </w:style>
  <w:style w:type="paragraph" w:customStyle="1" w:styleId="Bildunterschrift">
    <w:name w:val="Bildunterschrift"/>
    <w:basedOn w:val="Normal"/>
    <w:next w:val="Normal"/>
    <w:qFormat/>
    <w:rsid w:val="00D4438C"/>
    <w:pPr>
      <w:keepLines/>
      <w:spacing w:after="120" w:line="260" w:lineRule="atLeast"/>
      <w:jc w:val="center"/>
    </w:pPr>
    <w:rPr>
      <w:rFonts w:ascii="Calibri" w:eastAsia="Times New Roman" w:hAnsi="Calibri" w:cs="Times New Roman"/>
      <w:i/>
      <w:noProof w:val="0"/>
      <w:sz w:val="16"/>
      <w:szCs w:val="20"/>
      <w:lang w:val="de-DE" w:eastAsia="de-DE"/>
    </w:rPr>
  </w:style>
  <w:style w:type="character" w:customStyle="1" w:styleId="UnresolvedMention5">
    <w:name w:val="Unresolved Mention5"/>
    <w:basedOn w:val="Fontdeparagrafimplicit"/>
    <w:uiPriority w:val="99"/>
    <w:semiHidden/>
    <w:unhideWhenUsed/>
    <w:rsid w:val="00BF5A57"/>
    <w:rPr>
      <w:color w:val="605E5C"/>
      <w:shd w:val="clear" w:color="auto" w:fill="E1DFDD"/>
    </w:rPr>
  </w:style>
  <w:style w:type="table" w:styleId="Tabelgril4-Accentuare1">
    <w:name w:val="Grid Table 4 Accent 1"/>
    <w:basedOn w:val="TabelNormal"/>
    <w:uiPriority w:val="49"/>
    <w:rsid w:val="00347691"/>
    <w:pPr>
      <w:spacing w:after="0" w:line="240" w:lineRule="auto"/>
    </w:pPr>
    <w:rPr>
      <w:rFonts w:ascii="Times New Roman" w:eastAsia="Times New Roman" w:hAnsi="Times New Roman" w:cs="Times New Roman"/>
      <w:sz w:val="20"/>
      <w:szCs w:val="20"/>
      <w:lang w:val="de-DE" w:eastAsia="de-D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6">
    <w:name w:val="Unresolved Mention6"/>
    <w:basedOn w:val="Fontdeparagrafimplicit"/>
    <w:uiPriority w:val="99"/>
    <w:semiHidden/>
    <w:unhideWhenUsed/>
    <w:rsid w:val="00FF3883"/>
    <w:rPr>
      <w:color w:val="605E5C"/>
      <w:shd w:val="clear" w:color="auto" w:fill="E1DFDD"/>
    </w:rPr>
  </w:style>
  <w:style w:type="table" w:customStyle="1" w:styleId="TableGridLight1">
    <w:name w:val="Table Grid Light1"/>
    <w:basedOn w:val="TabelNormal"/>
    <w:next w:val="TabelgrilLuminos"/>
    <w:uiPriority w:val="40"/>
    <w:rsid w:val="00DC765D"/>
    <w:pPr>
      <w:spacing w:after="0" w:line="240" w:lineRule="auto"/>
    </w:pPr>
    <w:rPr>
      <w:rFonts w:eastAsia="PMingLiU"/>
      <w:lang w:eastAsia="zh-TW"/>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bullettable">
    <w:name w:val="bullet table"/>
    <w:basedOn w:val="bulletround"/>
    <w:link w:val="bullettableChar"/>
    <w:qFormat/>
    <w:rsid w:val="00A72B6E"/>
    <w:pPr>
      <w:numPr>
        <w:numId w:val="8"/>
      </w:numPr>
      <w:spacing w:after="60"/>
      <w:ind w:left="305" w:hanging="305"/>
      <w:contextualSpacing w:val="0"/>
    </w:pPr>
    <w:rPr>
      <w:rFonts w:cs="Open Sans"/>
      <w:sz w:val="24"/>
      <w:szCs w:val="18"/>
      <w:lang w:bidi="ro-RO"/>
    </w:rPr>
  </w:style>
  <w:style w:type="character" w:customStyle="1" w:styleId="bullettableChar">
    <w:name w:val="bullet table Char"/>
    <w:basedOn w:val="bulletroundChar"/>
    <w:link w:val="bullettable"/>
    <w:rsid w:val="00A72B6E"/>
    <w:rPr>
      <w:rFonts w:ascii="Segoe UI Light" w:eastAsiaTheme="minorEastAsia" w:hAnsi="Segoe UI Light" w:cs="Open Sans"/>
      <w:sz w:val="24"/>
      <w:szCs w:val="18"/>
      <w:lang w:val="ro-RO" w:bidi="ro-RO"/>
    </w:rPr>
  </w:style>
  <w:style w:type="paragraph" w:customStyle="1" w:styleId="list1">
    <w:name w:val="list 1"/>
    <w:basedOn w:val="Listparagraf"/>
    <w:link w:val="list1Char"/>
    <w:qFormat/>
    <w:rsid w:val="00A72B6E"/>
    <w:pPr>
      <w:numPr>
        <w:numId w:val="10"/>
      </w:numPr>
      <w:spacing w:after="0"/>
      <w:ind w:left="1412" w:right="288" w:hanging="706"/>
    </w:pPr>
    <w:rPr>
      <w:rFonts w:eastAsia="Times New Roman" w:cs="Times New Roman"/>
      <w:szCs w:val="28"/>
      <w:lang w:eastAsia="zh-TW"/>
    </w:rPr>
  </w:style>
  <w:style w:type="character" w:customStyle="1" w:styleId="list1Char">
    <w:name w:val="list 1 Char"/>
    <w:basedOn w:val="ListparagrafCaracter"/>
    <w:link w:val="list1"/>
    <w:rsid w:val="00A72B6E"/>
    <w:rPr>
      <w:rFonts w:ascii="Segoe UI Light" w:eastAsia="Times New Roman" w:hAnsi="Segoe UI Light" w:cs="Times New Roman"/>
      <w:noProof/>
      <w:sz w:val="24"/>
      <w:szCs w:val="28"/>
      <w:lang w:val="ro-RO" w:eastAsia="zh-TW"/>
    </w:rPr>
  </w:style>
  <w:style w:type="character" w:customStyle="1" w:styleId="MediumGrid1-Accent2Char">
    <w:name w:val="Medium Grid 1 - Accent 2 Char"/>
    <w:link w:val="MediumGrid1-Accent21"/>
    <w:uiPriority w:val="99"/>
    <w:locked/>
    <w:rsid w:val="00A72B6E"/>
    <w:rPr>
      <w:rFonts w:eastAsia="Calibri"/>
      <w:sz w:val="24"/>
      <w:lang w:val="ro-RO" w:eastAsia="ro-RO"/>
    </w:rPr>
  </w:style>
  <w:style w:type="paragraph" w:customStyle="1" w:styleId="MediumGrid1-Accent21">
    <w:name w:val="Medium Grid 1 - Accent 21"/>
    <w:basedOn w:val="Normal"/>
    <w:link w:val="MediumGrid1-Accent2Char"/>
    <w:uiPriority w:val="99"/>
    <w:qFormat/>
    <w:rsid w:val="00A72B6E"/>
    <w:pPr>
      <w:pBdr>
        <w:top w:val="none" w:sz="0" w:space="0" w:color="000000"/>
        <w:left w:val="none" w:sz="0" w:space="0" w:color="000000"/>
        <w:bottom w:val="none" w:sz="0" w:space="0" w:color="000000"/>
        <w:right w:val="none" w:sz="0" w:space="0" w:color="000000"/>
      </w:pBdr>
      <w:spacing w:after="0" w:line="360" w:lineRule="auto"/>
      <w:ind w:left="720"/>
      <w:contextualSpacing/>
    </w:pPr>
    <w:rPr>
      <w:rFonts w:asciiTheme="minorHAnsi" w:eastAsia="Calibri" w:hAnsiTheme="minorHAnsi"/>
      <w:noProof w:val="0"/>
      <w:lang w:val="ro-RO" w:eastAsia="ro-RO"/>
    </w:rPr>
  </w:style>
  <w:style w:type="paragraph" w:customStyle="1" w:styleId="table">
    <w:name w:val="table"/>
    <w:basedOn w:val="Normal"/>
    <w:link w:val="tableChar"/>
    <w:qFormat/>
    <w:rsid w:val="005F761A"/>
    <w:pPr>
      <w:spacing w:before="40" w:after="40" w:line="259" w:lineRule="auto"/>
      <w:ind w:left="57" w:right="57"/>
    </w:pPr>
    <w:rPr>
      <w:rFonts w:asciiTheme="minorHAnsi" w:eastAsiaTheme="minorEastAsia" w:hAnsiTheme="minorHAnsi"/>
      <w:noProof w:val="0"/>
      <w:lang w:val="ro-RO" w:eastAsia="zh-TW"/>
    </w:rPr>
  </w:style>
  <w:style w:type="character" w:customStyle="1" w:styleId="tableChar">
    <w:name w:val="table Char"/>
    <w:basedOn w:val="Fontdeparagrafimplicit"/>
    <w:link w:val="table"/>
    <w:rsid w:val="005F761A"/>
    <w:rPr>
      <w:rFonts w:eastAsiaTheme="minorEastAsia"/>
      <w:sz w:val="24"/>
      <w:lang w:val="ro-RO" w:eastAsia="zh-TW"/>
    </w:rPr>
  </w:style>
  <w:style w:type="character" w:customStyle="1" w:styleId="UnresolvedMention7">
    <w:name w:val="Unresolved Mention7"/>
    <w:basedOn w:val="Fontdeparagrafimplicit"/>
    <w:uiPriority w:val="99"/>
    <w:semiHidden/>
    <w:unhideWhenUsed/>
    <w:rsid w:val="00133D3D"/>
    <w:rPr>
      <w:color w:val="605E5C"/>
      <w:shd w:val="clear" w:color="auto" w:fill="E1DFDD"/>
    </w:rPr>
  </w:style>
  <w:style w:type="table" w:styleId="Tabelgril2-Accentuare1">
    <w:name w:val="Grid Table 2 Accent 1"/>
    <w:basedOn w:val="TabelNormal"/>
    <w:uiPriority w:val="47"/>
    <w:rsid w:val="002C718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gril1Luminos-Accentuare5">
    <w:name w:val="Grid Table 1 Light Accent 5"/>
    <w:basedOn w:val="TabelNormal"/>
    <w:uiPriority w:val="46"/>
    <w:rsid w:val="002C7189"/>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bsatz">
    <w:name w:val="Absatz"/>
    <w:basedOn w:val="Normal"/>
    <w:link w:val="AbsatzZchn"/>
    <w:qFormat/>
    <w:rsid w:val="002C7189"/>
    <w:pPr>
      <w:spacing w:before="120" w:after="120" w:line="240" w:lineRule="auto"/>
    </w:pPr>
    <w:rPr>
      <w:rFonts w:ascii="Arial" w:eastAsia="Times New Roman" w:hAnsi="Arial" w:cs="Arial"/>
      <w:noProof w:val="0"/>
      <w:sz w:val="20"/>
      <w:szCs w:val="14"/>
      <w:lang w:val="de-DE" w:eastAsia="de-DE"/>
    </w:rPr>
  </w:style>
  <w:style w:type="character" w:customStyle="1" w:styleId="AbsatzZchn">
    <w:name w:val="Absatz Zchn"/>
    <w:basedOn w:val="Fontdeparagrafimplicit"/>
    <w:link w:val="Absatz"/>
    <w:locked/>
    <w:rsid w:val="002C7189"/>
    <w:rPr>
      <w:rFonts w:ascii="Arial" w:eastAsia="Times New Roman" w:hAnsi="Arial" w:cs="Arial"/>
      <w:sz w:val="20"/>
      <w:szCs w:val="14"/>
      <w:lang w:val="de-DE" w:eastAsia="de-DE"/>
    </w:rPr>
  </w:style>
  <w:style w:type="paragraph" w:styleId="Subtitlu">
    <w:name w:val="Subtitle"/>
    <w:basedOn w:val="Normal"/>
    <w:next w:val="Normal"/>
    <w:link w:val="SubtitluCaracter"/>
    <w:uiPriority w:val="11"/>
    <w:qFormat/>
    <w:rsid w:val="00A15CAC"/>
    <w:pPr>
      <w:numPr>
        <w:ilvl w:val="1"/>
      </w:numPr>
      <w:spacing w:after="120" w:line="259" w:lineRule="auto"/>
    </w:pPr>
    <w:rPr>
      <w:rFonts w:asciiTheme="minorHAnsi" w:eastAsiaTheme="minorEastAsia" w:hAnsiTheme="minorHAnsi"/>
      <w:b/>
      <w:noProof w:val="0"/>
      <w:color w:val="404040" w:themeColor="text1" w:themeTint="BF"/>
      <w:spacing w:val="20"/>
      <w:lang w:val="ro-RO"/>
    </w:rPr>
  </w:style>
  <w:style w:type="character" w:customStyle="1" w:styleId="SubtitluCaracter">
    <w:name w:val="Subtitlu Caracter"/>
    <w:basedOn w:val="Fontdeparagrafimplicit"/>
    <w:link w:val="Subtitlu"/>
    <w:uiPriority w:val="11"/>
    <w:rsid w:val="00A15CAC"/>
    <w:rPr>
      <w:rFonts w:eastAsiaTheme="minorEastAsia"/>
      <w:b/>
      <w:color w:val="404040" w:themeColor="text1" w:themeTint="BF"/>
      <w:spacing w:val="20"/>
      <w:sz w:val="24"/>
      <w:lang w:val="ro-RO"/>
    </w:rPr>
  </w:style>
  <w:style w:type="table" w:styleId="Tabelsimplu2">
    <w:name w:val="Plain Table 2"/>
    <w:basedOn w:val="TabelNormal"/>
    <w:uiPriority w:val="42"/>
    <w:rsid w:val="00D726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elNormal"/>
    <w:next w:val="Tabelgril"/>
    <w:uiPriority w:val="39"/>
    <w:rsid w:val="00BE7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iuneNerezolvat1">
    <w:name w:val="Mențiune Nerezolvat1"/>
    <w:basedOn w:val="Fontdeparagrafimplicit"/>
    <w:uiPriority w:val="99"/>
    <w:semiHidden/>
    <w:unhideWhenUsed/>
    <w:rsid w:val="000F2C35"/>
    <w:rPr>
      <w:color w:val="605E5C"/>
      <w:shd w:val="clear" w:color="auto" w:fill="E1DFDD"/>
    </w:rPr>
  </w:style>
  <w:style w:type="character" w:styleId="Numrdepagin">
    <w:name w:val="page number"/>
    <w:basedOn w:val="Fontdeparagrafimplicit"/>
    <w:rsid w:val="0076026C"/>
  </w:style>
  <w:style w:type="character" w:customStyle="1" w:styleId="FooterChar1">
    <w:name w:val="Footer Char1"/>
    <w:aliases w:val="Fußzeile-2 Char,Fußzeile-2 Caracter Char Char Char,Fußzeile-2 Caracter Char"/>
    <w:locked/>
    <w:rsid w:val="0076026C"/>
    <w:rPr>
      <w:rFonts w:ascii="Tahoma" w:eastAsia="SimSun" w:hAnsi="Tahoma" w:cs="Times New Roman"/>
      <w:szCs w:val="24"/>
    </w:rPr>
  </w:style>
  <w:style w:type="character" w:customStyle="1" w:styleId="HeaderChar1">
    <w:name w:val="Header Char1"/>
    <w:aliases w:val="E.e Char,TussenBladHeader Char"/>
    <w:rsid w:val="0076026C"/>
    <w:rPr>
      <w:rFonts w:ascii="Tahoma" w:eastAsia="SimSun" w:hAnsi="Tahoma" w:cs="Times New Roman"/>
      <w:szCs w:val="24"/>
    </w:rPr>
  </w:style>
  <w:style w:type="table" w:customStyle="1" w:styleId="GridTable1Light-Accent311">
    <w:name w:val="Grid Table 1 Light - Accent 311"/>
    <w:basedOn w:val="TabelNormal"/>
    <w:uiPriority w:val="46"/>
    <w:rsid w:val="00984D9A"/>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Body">
    <w:name w:val="Body"/>
    <w:rsid w:val="00431A12"/>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eastAsia="en-GB"/>
      <w14:textOutline w14:w="0" w14:cap="flat" w14:cmpd="sng" w14:algn="ctr">
        <w14:noFill/>
        <w14:prstDash w14:val="solid"/>
        <w14:bevel/>
      </w14:textOutline>
    </w:rPr>
  </w:style>
  <w:style w:type="numbering" w:customStyle="1" w:styleId="ImportedStyle1">
    <w:name w:val="Imported Style 1"/>
    <w:rsid w:val="00431A12"/>
    <w:pPr>
      <w:numPr>
        <w:numId w:val="11"/>
      </w:numPr>
    </w:pPr>
  </w:style>
  <w:style w:type="paragraph" w:customStyle="1" w:styleId="Heading">
    <w:name w:val="Heading"/>
    <w:next w:val="Body"/>
    <w:rsid w:val="00431A12"/>
    <w:pPr>
      <w:keepNext/>
      <w:keepLines/>
      <w:pBdr>
        <w:top w:val="nil"/>
        <w:left w:val="nil"/>
        <w:bottom w:val="nil"/>
        <w:right w:val="nil"/>
        <w:between w:val="nil"/>
        <w:bar w:val="nil"/>
      </w:pBdr>
      <w:spacing w:before="240" w:after="0" w:line="259" w:lineRule="auto"/>
      <w:outlineLvl w:val="0"/>
    </w:pPr>
    <w:rPr>
      <w:rFonts w:ascii="Times New Roman" w:eastAsia="Times New Roman" w:hAnsi="Times New Roman" w:cs="Times New Roman"/>
      <w:b/>
      <w:bCs/>
      <w:color w:val="000000"/>
      <w:sz w:val="28"/>
      <w:szCs w:val="28"/>
      <w:u w:val="single" w:color="000000"/>
      <w:bdr w:val="nil"/>
      <w:lang w:eastAsia="en-GB"/>
      <w14:textOutline w14:w="0" w14:cap="flat" w14:cmpd="sng" w14:algn="ctr">
        <w14:noFill/>
        <w14:prstDash w14:val="solid"/>
        <w14:bevel/>
      </w14:textOutline>
    </w:rPr>
  </w:style>
  <w:style w:type="numbering" w:customStyle="1" w:styleId="ImportedStyle2">
    <w:name w:val="Imported Style 2"/>
    <w:rsid w:val="00431A12"/>
    <w:pPr>
      <w:numPr>
        <w:numId w:val="13"/>
      </w:numPr>
    </w:pPr>
  </w:style>
  <w:style w:type="numbering" w:customStyle="1" w:styleId="Numbered">
    <w:name w:val="Numbered"/>
    <w:rsid w:val="00431A12"/>
    <w:pPr>
      <w:numPr>
        <w:numId w:val="14"/>
      </w:numPr>
    </w:pPr>
  </w:style>
  <w:style w:type="paragraph" w:customStyle="1" w:styleId="ObjectCaption">
    <w:name w:val="Object Caption"/>
    <w:rsid w:val="00431A12"/>
    <w:pPr>
      <w:pBdr>
        <w:top w:val="nil"/>
        <w:left w:val="nil"/>
        <w:bottom w:val="nil"/>
        <w:right w:val="nil"/>
        <w:between w:val="nil"/>
        <w:bar w:val="nil"/>
      </w:pBdr>
      <w:spacing w:after="0" w:line="240" w:lineRule="auto"/>
      <w:jc w:val="center"/>
    </w:pPr>
    <w:rPr>
      <w:rFonts w:ascii="Helvetica Neue Light" w:eastAsia="Arial Unicode MS" w:hAnsi="Helvetica Neue Light" w:cs="Arial Unicode MS"/>
      <w:color w:val="000000"/>
      <w:sz w:val="24"/>
      <w:szCs w:val="24"/>
      <w:bdr w:val="nil"/>
      <w:lang w:eastAsia="en-GB"/>
      <w14:textOutline w14:w="0" w14:cap="flat" w14:cmpd="sng" w14:algn="ctr">
        <w14:noFill/>
        <w14:prstDash w14:val="solid"/>
        <w14:bevel/>
      </w14:textOutline>
    </w:rPr>
  </w:style>
  <w:style w:type="paragraph" w:customStyle="1" w:styleId="ObjectTitle">
    <w:name w:val="Object Title"/>
    <w:rsid w:val="00431A12"/>
    <w:pPr>
      <w:pBdr>
        <w:top w:val="nil"/>
        <w:left w:val="nil"/>
        <w:bottom w:val="nil"/>
        <w:right w:val="nil"/>
        <w:between w:val="nil"/>
        <w:bar w:val="nil"/>
      </w:pBdr>
      <w:spacing w:after="0" w:line="240" w:lineRule="auto"/>
      <w:jc w:val="center"/>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numbering" w:customStyle="1" w:styleId="ImportedStyle4">
    <w:name w:val="Imported Style 4"/>
    <w:rsid w:val="00431A12"/>
    <w:pPr>
      <w:numPr>
        <w:numId w:val="20"/>
      </w:numPr>
    </w:pPr>
  </w:style>
  <w:style w:type="paragraph" w:customStyle="1" w:styleId="TableStyle2">
    <w:name w:val="Table Style 2"/>
    <w:rsid w:val="00431A12"/>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numbering" w:customStyle="1" w:styleId="ImportedStyle5">
    <w:name w:val="Imported Style 5"/>
    <w:rsid w:val="00431A12"/>
    <w:pPr>
      <w:numPr>
        <w:numId w:val="22"/>
      </w:numPr>
    </w:pPr>
  </w:style>
  <w:style w:type="numbering" w:customStyle="1" w:styleId="ImportedStyle6">
    <w:name w:val="Imported Style 6"/>
    <w:rsid w:val="00431A12"/>
    <w:pPr>
      <w:numPr>
        <w:numId w:val="23"/>
      </w:numPr>
    </w:pPr>
  </w:style>
  <w:style w:type="numbering" w:customStyle="1" w:styleId="ImportedStyle7">
    <w:name w:val="Imported Style 7"/>
    <w:rsid w:val="00431A12"/>
    <w:pPr>
      <w:numPr>
        <w:numId w:val="24"/>
      </w:numPr>
    </w:pPr>
  </w:style>
  <w:style w:type="paragraph" w:customStyle="1" w:styleId="BodyA">
    <w:name w:val="Body A"/>
    <w:rsid w:val="002F51C9"/>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val="ro-RO" w:eastAsia="ro-RO"/>
      <w14:textOutline w14:w="12700" w14:cap="flat" w14:cmpd="sng" w14:algn="ctr">
        <w14:noFill/>
        <w14:prstDash w14:val="solid"/>
        <w14:miter w14:lim="400000"/>
      </w14:textOutline>
    </w:rPr>
  </w:style>
  <w:style w:type="character" w:customStyle="1" w:styleId="Hyperlink0">
    <w:name w:val="Hyperlink.0"/>
    <w:basedOn w:val="Fontdeparagrafimplicit"/>
    <w:rsid w:val="002F51C9"/>
    <w:rPr>
      <w:outline w:val="0"/>
      <w:color w:val="000000"/>
      <w:sz w:val="16"/>
      <w:szCs w:val="16"/>
      <w:u w:val="single" w:color="000000"/>
    </w:rPr>
  </w:style>
  <w:style w:type="paragraph" w:customStyle="1" w:styleId="TableStyle1">
    <w:name w:val="Table Style 1"/>
    <w:rsid w:val="002F51C9"/>
    <w:pPr>
      <w:pBdr>
        <w:top w:val="nil"/>
        <w:left w:val="nil"/>
        <w:bottom w:val="nil"/>
        <w:right w:val="nil"/>
        <w:between w:val="nil"/>
        <w:bar w:val="nil"/>
      </w:pBdr>
      <w:spacing w:after="0" w:line="240" w:lineRule="auto"/>
    </w:pPr>
    <w:rPr>
      <w:rFonts w:ascii="Helvetica Neue" w:eastAsia="Helvetica Neue" w:hAnsi="Helvetica Neue" w:cs="Helvetica Neue"/>
      <w:b/>
      <w:bCs/>
      <w:color w:val="000000"/>
      <w:sz w:val="20"/>
      <w:szCs w:val="20"/>
      <w:bdr w:val="nil"/>
      <w:lang w:val="ro-RO" w:eastAsia="ro-RO"/>
      <w14:textOutline w14:w="0" w14:cap="flat" w14:cmpd="sng" w14:algn="ctr">
        <w14:noFill/>
        <w14:prstDash w14:val="solid"/>
        <w14:bevel/>
      </w14:textOutline>
    </w:rPr>
  </w:style>
  <w:style w:type="numbering" w:customStyle="1" w:styleId="ImportedStyle20">
    <w:name w:val="Imported Style 2.0"/>
    <w:rsid w:val="002F51C9"/>
    <w:pPr>
      <w:numPr>
        <w:numId w:val="32"/>
      </w:numPr>
    </w:pPr>
  </w:style>
  <w:style w:type="table" w:styleId="Tabellist3-Accentuare5">
    <w:name w:val="List Table 3 Accent 5"/>
    <w:basedOn w:val="TabelNormal"/>
    <w:uiPriority w:val="48"/>
    <w:rsid w:val="002F51C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elgril4-Accentuare3">
    <w:name w:val="Grid Table 4 Accent 3"/>
    <w:basedOn w:val="TabelNormal"/>
    <w:uiPriority w:val="49"/>
    <w:rsid w:val="002E76E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gril4-Accentuare5">
    <w:name w:val="Grid Table 4 Accent 5"/>
    <w:basedOn w:val="TabelNormal"/>
    <w:uiPriority w:val="49"/>
    <w:rsid w:val="002E76E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9197">
      <w:bodyDiv w:val="1"/>
      <w:marLeft w:val="0"/>
      <w:marRight w:val="0"/>
      <w:marTop w:val="0"/>
      <w:marBottom w:val="0"/>
      <w:divBdr>
        <w:top w:val="none" w:sz="0" w:space="0" w:color="auto"/>
        <w:left w:val="none" w:sz="0" w:space="0" w:color="auto"/>
        <w:bottom w:val="none" w:sz="0" w:space="0" w:color="auto"/>
        <w:right w:val="none" w:sz="0" w:space="0" w:color="auto"/>
      </w:divBdr>
    </w:div>
    <w:div w:id="27222834">
      <w:bodyDiv w:val="1"/>
      <w:marLeft w:val="0"/>
      <w:marRight w:val="0"/>
      <w:marTop w:val="0"/>
      <w:marBottom w:val="0"/>
      <w:divBdr>
        <w:top w:val="none" w:sz="0" w:space="0" w:color="auto"/>
        <w:left w:val="none" w:sz="0" w:space="0" w:color="auto"/>
        <w:bottom w:val="none" w:sz="0" w:space="0" w:color="auto"/>
        <w:right w:val="none" w:sz="0" w:space="0" w:color="auto"/>
      </w:divBdr>
    </w:div>
    <w:div w:id="29498397">
      <w:bodyDiv w:val="1"/>
      <w:marLeft w:val="0"/>
      <w:marRight w:val="0"/>
      <w:marTop w:val="0"/>
      <w:marBottom w:val="0"/>
      <w:divBdr>
        <w:top w:val="none" w:sz="0" w:space="0" w:color="auto"/>
        <w:left w:val="none" w:sz="0" w:space="0" w:color="auto"/>
        <w:bottom w:val="none" w:sz="0" w:space="0" w:color="auto"/>
        <w:right w:val="none" w:sz="0" w:space="0" w:color="auto"/>
      </w:divBdr>
    </w:div>
    <w:div w:id="53046070">
      <w:bodyDiv w:val="1"/>
      <w:marLeft w:val="0"/>
      <w:marRight w:val="0"/>
      <w:marTop w:val="0"/>
      <w:marBottom w:val="0"/>
      <w:divBdr>
        <w:top w:val="none" w:sz="0" w:space="0" w:color="auto"/>
        <w:left w:val="none" w:sz="0" w:space="0" w:color="auto"/>
        <w:bottom w:val="none" w:sz="0" w:space="0" w:color="auto"/>
        <w:right w:val="none" w:sz="0" w:space="0" w:color="auto"/>
      </w:divBdr>
      <w:divsChild>
        <w:div w:id="48697690">
          <w:marLeft w:val="274"/>
          <w:marRight w:val="0"/>
          <w:marTop w:val="0"/>
          <w:marBottom w:val="0"/>
          <w:divBdr>
            <w:top w:val="none" w:sz="0" w:space="0" w:color="auto"/>
            <w:left w:val="none" w:sz="0" w:space="0" w:color="auto"/>
            <w:bottom w:val="none" w:sz="0" w:space="0" w:color="auto"/>
            <w:right w:val="none" w:sz="0" w:space="0" w:color="auto"/>
          </w:divBdr>
        </w:div>
        <w:div w:id="845756046">
          <w:marLeft w:val="274"/>
          <w:marRight w:val="0"/>
          <w:marTop w:val="0"/>
          <w:marBottom w:val="0"/>
          <w:divBdr>
            <w:top w:val="none" w:sz="0" w:space="0" w:color="auto"/>
            <w:left w:val="none" w:sz="0" w:space="0" w:color="auto"/>
            <w:bottom w:val="none" w:sz="0" w:space="0" w:color="auto"/>
            <w:right w:val="none" w:sz="0" w:space="0" w:color="auto"/>
          </w:divBdr>
        </w:div>
        <w:div w:id="1292055488">
          <w:marLeft w:val="274"/>
          <w:marRight w:val="0"/>
          <w:marTop w:val="0"/>
          <w:marBottom w:val="0"/>
          <w:divBdr>
            <w:top w:val="none" w:sz="0" w:space="0" w:color="auto"/>
            <w:left w:val="none" w:sz="0" w:space="0" w:color="auto"/>
            <w:bottom w:val="none" w:sz="0" w:space="0" w:color="auto"/>
            <w:right w:val="none" w:sz="0" w:space="0" w:color="auto"/>
          </w:divBdr>
        </w:div>
        <w:div w:id="1510753499">
          <w:marLeft w:val="274"/>
          <w:marRight w:val="0"/>
          <w:marTop w:val="0"/>
          <w:marBottom w:val="0"/>
          <w:divBdr>
            <w:top w:val="none" w:sz="0" w:space="0" w:color="auto"/>
            <w:left w:val="none" w:sz="0" w:space="0" w:color="auto"/>
            <w:bottom w:val="none" w:sz="0" w:space="0" w:color="auto"/>
            <w:right w:val="none" w:sz="0" w:space="0" w:color="auto"/>
          </w:divBdr>
        </w:div>
      </w:divsChild>
    </w:div>
    <w:div w:id="69355325">
      <w:bodyDiv w:val="1"/>
      <w:marLeft w:val="0"/>
      <w:marRight w:val="0"/>
      <w:marTop w:val="0"/>
      <w:marBottom w:val="0"/>
      <w:divBdr>
        <w:top w:val="none" w:sz="0" w:space="0" w:color="auto"/>
        <w:left w:val="none" w:sz="0" w:space="0" w:color="auto"/>
        <w:bottom w:val="none" w:sz="0" w:space="0" w:color="auto"/>
        <w:right w:val="none" w:sz="0" w:space="0" w:color="auto"/>
      </w:divBdr>
    </w:div>
    <w:div w:id="81688180">
      <w:bodyDiv w:val="1"/>
      <w:marLeft w:val="0"/>
      <w:marRight w:val="0"/>
      <w:marTop w:val="0"/>
      <w:marBottom w:val="0"/>
      <w:divBdr>
        <w:top w:val="none" w:sz="0" w:space="0" w:color="auto"/>
        <w:left w:val="none" w:sz="0" w:space="0" w:color="auto"/>
        <w:bottom w:val="none" w:sz="0" w:space="0" w:color="auto"/>
        <w:right w:val="none" w:sz="0" w:space="0" w:color="auto"/>
      </w:divBdr>
    </w:div>
    <w:div w:id="90005518">
      <w:bodyDiv w:val="1"/>
      <w:marLeft w:val="0"/>
      <w:marRight w:val="0"/>
      <w:marTop w:val="0"/>
      <w:marBottom w:val="0"/>
      <w:divBdr>
        <w:top w:val="none" w:sz="0" w:space="0" w:color="auto"/>
        <w:left w:val="none" w:sz="0" w:space="0" w:color="auto"/>
        <w:bottom w:val="none" w:sz="0" w:space="0" w:color="auto"/>
        <w:right w:val="none" w:sz="0" w:space="0" w:color="auto"/>
      </w:divBdr>
    </w:div>
    <w:div w:id="93985831">
      <w:bodyDiv w:val="1"/>
      <w:marLeft w:val="0"/>
      <w:marRight w:val="0"/>
      <w:marTop w:val="0"/>
      <w:marBottom w:val="0"/>
      <w:divBdr>
        <w:top w:val="none" w:sz="0" w:space="0" w:color="auto"/>
        <w:left w:val="none" w:sz="0" w:space="0" w:color="auto"/>
        <w:bottom w:val="none" w:sz="0" w:space="0" w:color="auto"/>
        <w:right w:val="none" w:sz="0" w:space="0" w:color="auto"/>
      </w:divBdr>
    </w:div>
    <w:div w:id="118183993">
      <w:bodyDiv w:val="1"/>
      <w:marLeft w:val="0"/>
      <w:marRight w:val="0"/>
      <w:marTop w:val="0"/>
      <w:marBottom w:val="0"/>
      <w:divBdr>
        <w:top w:val="none" w:sz="0" w:space="0" w:color="auto"/>
        <w:left w:val="none" w:sz="0" w:space="0" w:color="auto"/>
        <w:bottom w:val="none" w:sz="0" w:space="0" w:color="auto"/>
        <w:right w:val="none" w:sz="0" w:space="0" w:color="auto"/>
      </w:divBdr>
    </w:div>
    <w:div w:id="130371643">
      <w:bodyDiv w:val="1"/>
      <w:marLeft w:val="0"/>
      <w:marRight w:val="0"/>
      <w:marTop w:val="0"/>
      <w:marBottom w:val="0"/>
      <w:divBdr>
        <w:top w:val="none" w:sz="0" w:space="0" w:color="auto"/>
        <w:left w:val="none" w:sz="0" w:space="0" w:color="auto"/>
        <w:bottom w:val="none" w:sz="0" w:space="0" w:color="auto"/>
        <w:right w:val="none" w:sz="0" w:space="0" w:color="auto"/>
      </w:divBdr>
    </w:div>
    <w:div w:id="139732954">
      <w:bodyDiv w:val="1"/>
      <w:marLeft w:val="0"/>
      <w:marRight w:val="0"/>
      <w:marTop w:val="0"/>
      <w:marBottom w:val="0"/>
      <w:divBdr>
        <w:top w:val="none" w:sz="0" w:space="0" w:color="auto"/>
        <w:left w:val="none" w:sz="0" w:space="0" w:color="auto"/>
        <w:bottom w:val="none" w:sz="0" w:space="0" w:color="auto"/>
        <w:right w:val="none" w:sz="0" w:space="0" w:color="auto"/>
      </w:divBdr>
    </w:div>
    <w:div w:id="181553429">
      <w:bodyDiv w:val="1"/>
      <w:marLeft w:val="0"/>
      <w:marRight w:val="0"/>
      <w:marTop w:val="0"/>
      <w:marBottom w:val="0"/>
      <w:divBdr>
        <w:top w:val="none" w:sz="0" w:space="0" w:color="auto"/>
        <w:left w:val="none" w:sz="0" w:space="0" w:color="auto"/>
        <w:bottom w:val="none" w:sz="0" w:space="0" w:color="auto"/>
        <w:right w:val="none" w:sz="0" w:space="0" w:color="auto"/>
      </w:divBdr>
    </w:div>
    <w:div w:id="207451315">
      <w:bodyDiv w:val="1"/>
      <w:marLeft w:val="0"/>
      <w:marRight w:val="0"/>
      <w:marTop w:val="0"/>
      <w:marBottom w:val="0"/>
      <w:divBdr>
        <w:top w:val="none" w:sz="0" w:space="0" w:color="auto"/>
        <w:left w:val="none" w:sz="0" w:space="0" w:color="auto"/>
        <w:bottom w:val="none" w:sz="0" w:space="0" w:color="auto"/>
        <w:right w:val="none" w:sz="0" w:space="0" w:color="auto"/>
      </w:divBdr>
    </w:div>
    <w:div w:id="221718500">
      <w:bodyDiv w:val="1"/>
      <w:marLeft w:val="0"/>
      <w:marRight w:val="0"/>
      <w:marTop w:val="0"/>
      <w:marBottom w:val="0"/>
      <w:divBdr>
        <w:top w:val="none" w:sz="0" w:space="0" w:color="auto"/>
        <w:left w:val="none" w:sz="0" w:space="0" w:color="auto"/>
        <w:bottom w:val="none" w:sz="0" w:space="0" w:color="auto"/>
        <w:right w:val="none" w:sz="0" w:space="0" w:color="auto"/>
      </w:divBdr>
    </w:div>
    <w:div w:id="223874734">
      <w:bodyDiv w:val="1"/>
      <w:marLeft w:val="0"/>
      <w:marRight w:val="0"/>
      <w:marTop w:val="0"/>
      <w:marBottom w:val="0"/>
      <w:divBdr>
        <w:top w:val="none" w:sz="0" w:space="0" w:color="auto"/>
        <w:left w:val="none" w:sz="0" w:space="0" w:color="auto"/>
        <w:bottom w:val="none" w:sz="0" w:space="0" w:color="auto"/>
        <w:right w:val="none" w:sz="0" w:space="0" w:color="auto"/>
      </w:divBdr>
    </w:div>
    <w:div w:id="232619021">
      <w:bodyDiv w:val="1"/>
      <w:marLeft w:val="0"/>
      <w:marRight w:val="0"/>
      <w:marTop w:val="0"/>
      <w:marBottom w:val="0"/>
      <w:divBdr>
        <w:top w:val="none" w:sz="0" w:space="0" w:color="auto"/>
        <w:left w:val="none" w:sz="0" w:space="0" w:color="auto"/>
        <w:bottom w:val="none" w:sz="0" w:space="0" w:color="auto"/>
        <w:right w:val="none" w:sz="0" w:space="0" w:color="auto"/>
      </w:divBdr>
    </w:div>
    <w:div w:id="255016422">
      <w:bodyDiv w:val="1"/>
      <w:marLeft w:val="0"/>
      <w:marRight w:val="0"/>
      <w:marTop w:val="0"/>
      <w:marBottom w:val="0"/>
      <w:divBdr>
        <w:top w:val="none" w:sz="0" w:space="0" w:color="auto"/>
        <w:left w:val="none" w:sz="0" w:space="0" w:color="auto"/>
        <w:bottom w:val="none" w:sz="0" w:space="0" w:color="auto"/>
        <w:right w:val="none" w:sz="0" w:space="0" w:color="auto"/>
      </w:divBdr>
    </w:div>
    <w:div w:id="267080348">
      <w:bodyDiv w:val="1"/>
      <w:marLeft w:val="0"/>
      <w:marRight w:val="0"/>
      <w:marTop w:val="0"/>
      <w:marBottom w:val="0"/>
      <w:divBdr>
        <w:top w:val="none" w:sz="0" w:space="0" w:color="auto"/>
        <w:left w:val="none" w:sz="0" w:space="0" w:color="auto"/>
        <w:bottom w:val="none" w:sz="0" w:space="0" w:color="auto"/>
        <w:right w:val="none" w:sz="0" w:space="0" w:color="auto"/>
      </w:divBdr>
    </w:div>
    <w:div w:id="292633757">
      <w:bodyDiv w:val="1"/>
      <w:marLeft w:val="0"/>
      <w:marRight w:val="0"/>
      <w:marTop w:val="0"/>
      <w:marBottom w:val="0"/>
      <w:divBdr>
        <w:top w:val="none" w:sz="0" w:space="0" w:color="auto"/>
        <w:left w:val="none" w:sz="0" w:space="0" w:color="auto"/>
        <w:bottom w:val="none" w:sz="0" w:space="0" w:color="auto"/>
        <w:right w:val="none" w:sz="0" w:space="0" w:color="auto"/>
      </w:divBdr>
    </w:div>
    <w:div w:id="307250516">
      <w:bodyDiv w:val="1"/>
      <w:marLeft w:val="0"/>
      <w:marRight w:val="0"/>
      <w:marTop w:val="0"/>
      <w:marBottom w:val="0"/>
      <w:divBdr>
        <w:top w:val="none" w:sz="0" w:space="0" w:color="auto"/>
        <w:left w:val="none" w:sz="0" w:space="0" w:color="auto"/>
        <w:bottom w:val="none" w:sz="0" w:space="0" w:color="auto"/>
        <w:right w:val="none" w:sz="0" w:space="0" w:color="auto"/>
      </w:divBdr>
    </w:div>
    <w:div w:id="325520230">
      <w:bodyDiv w:val="1"/>
      <w:marLeft w:val="0"/>
      <w:marRight w:val="0"/>
      <w:marTop w:val="0"/>
      <w:marBottom w:val="0"/>
      <w:divBdr>
        <w:top w:val="none" w:sz="0" w:space="0" w:color="auto"/>
        <w:left w:val="none" w:sz="0" w:space="0" w:color="auto"/>
        <w:bottom w:val="none" w:sz="0" w:space="0" w:color="auto"/>
        <w:right w:val="none" w:sz="0" w:space="0" w:color="auto"/>
      </w:divBdr>
    </w:div>
    <w:div w:id="346367555">
      <w:bodyDiv w:val="1"/>
      <w:marLeft w:val="0"/>
      <w:marRight w:val="0"/>
      <w:marTop w:val="0"/>
      <w:marBottom w:val="0"/>
      <w:divBdr>
        <w:top w:val="none" w:sz="0" w:space="0" w:color="auto"/>
        <w:left w:val="none" w:sz="0" w:space="0" w:color="auto"/>
        <w:bottom w:val="none" w:sz="0" w:space="0" w:color="auto"/>
        <w:right w:val="none" w:sz="0" w:space="0" w:color="auto"/>
      </w:divBdr>
    </w:div>
    <w:div w:id="352927939">
      <w:bodyDiv w:val="1"/>
      <w:marLeft w:val="0"/>
      <w:marRight w:val="0"/>
      <w:marTop w:val="0"/>
      <w:marBottom w:val="0"/>
      <w:divBdr>
        <w:top w:val="none" w:sz="0" w:space="0" w:color="auto"/>
        <w:left w:val="none" w:sz="0" w:space="0" w:color="auto"/>
        <w:bottom w:val="none" w:sz="0" w:space="0" w:color="auto"/>
        <w:right w:val="none" w:sz="0" w:space="0" w:color="auto"/>
      </w:divBdr>
    </w:div>
    <w:div w:id="353310789">
      <w:bodyDiv w:val="1"/>
      <w:marLeft w:val="0"/>
      <w:marRight w:val="0"/>
      <w:marTop w:val="0"/>
      <w:marBottom w:val="0"/>
      <w:divBdr>
        <w:top w:val="none" w:sz="0" w:space="0" w:color="auto"/>
        <w:left w:val="none" w:sz="0" w:space="0" w:color="auto"/>
        <w:bottom w:val="none" w:sz="0" w:space="0" w:color="auto"/>
        <w:right w:val="none" w:sz="0" w:space="0" w:color="auto"/>
      </w:divBdr>
    </w:div>
    <w:div w:id="379206104">
      <w:bodyDiv w:val="1"/>
      <w:marLeft w:val="0"/>
      <w:marRight w:val="0"/>
      <w:marTop w:val="0"/>
      <w:marBottom w:val="0"/>
      <w:divBdr>
        <w:top w:val="none" w:sz="0" w:space="0" w:color="auto"/>
        <w:left w:val="none" w:sz="0" w:space="0" w:color="auto"/>
        <w:bottom w:val="none" w:sz="0" w:space="0" w:color="auto"/>
        <w:right w:val="none" w:sz="0" w:space="0" w:color="auto"/>
      </w:divBdr>
    </w:div>
    <w:div w:id="381709673">
      <w:bodyDiv w:val="1"/>
      <w:marLeft w:val="0"/>
      <w:marRight w:val="0"/>
      <w:marTop w:val="0"/>
      <w:marBottom w:val="0"/>
      <w:divBdr>
        <w:top w:val="none" w:sz="0" w:space="0" w:color="auto"/>
        <w:left w:val="none" w:sz="0" w:space="0" w:color="auto"/>
        <w:bottom w:val="none" w:sz="0" w:space="0" w:color="auto"/>
        <w:right w:val="none" w:sz="0" w:space="0" w:color="auto"/>
      </w:divBdr>
    </w:div>
    <w:div w:id="408505163">
      <w:bodyDiv w:val="1"/>
      <w:marLeft w:val="0"/>
      <w:marRight w:val="0"/>
      <w:marTop w:val="0"/>
      <w:marBottom w:val="0"/>
      <w:divBdr>
        <w:top w:val="none" w:sz="0" w:space="0" w:color="auto"/>
        <w:left w:val="none" w:sz="0" w:space="0" w:color="auto"/>
        <w:bottom w:val="none" w:sz="0" w:space="0" w:color="auto"/>
        <w:right w:val="none" w:sz="0" w:space="0" w:color="auto"/>
      </w:divBdr>
    </w:div>
    <w:div w:id="417407317">
      <w:bodyDiv w:val="1"/>
      <w:marLeft w:val="0"/>
      <w:marRight w:val="0"/>
      <w:marTop w:val="0"/>
      <w:marBottom w:val="0"/>
      <w:divBdr>
        <w:top w:val="none" w:sz="0" w:space="0" w:color="auto"/>
        <w:left w:val="none" w:sz="0" w:space="0" w:color="auto"/>
        <w:bottom w:val="none" w:sz="0" w:space="0" w:color="auto"/>
        <w:right w:val="none" w:sz="0" w:space="0" w:color="auto"/>
      </w:divBdr>
    </w:div>
    <w:div w:id="426317260">
      <w:bodyDiv w:val="1"/>
      <w:marLeft w:val="0"/>
      <w:marRight w:val="0"/>
      <w:marTop w:val="0"/>
      <w:marBottom w:val="0"/>
      <w:divBdr>
        <w:top w:val="none" w:sz="0" w:space="0" w:color="auto"/>
        <w:left w:val="none" w:sz="0" w:space="0" w:color="auto"/>
        <w:bottom w:val="none" w:sz="0" w:space="0" w:color="auto"/>
        <w:right w:val="none" w:sz="0" w:space="0" w:color="auto"/>
      </w:divBdr>
    </w:div>
    <w:div w:id="428041732">
      <w:bodyDiv w:val="1"/>
      <w:marLeft w:val="0"/>
      <w:marRight w:val="0"/>
      <w:marTop w:val="0"/>
      <w:marBottom w:val="0"/>
      <w:divBdr>
        <w:top w:val="none" w:sz="0" w:space="0" w:color="auto"/>
        <w:left w:val="none" w:sz="0" w:space="0" w:color="auto"/>
        <w:bottom w:val="none" w:sz="0" w:space="0" w:color="auto"/>
        <w:right w:val="none" w:sz="0" w:space="0" w:color="auto"/>
      </w:divBdr>
    </w:div>
    <w:div w:id="432013662">
      <w:bodyDiv w:val="1"/>
      <w:marLeft w:val="0"/>
      <w:marRight w:val="0"/>
      <w:marTop w:val="0"/>
      <w:marBottom w:val="0"/>
      <w:divBdr>
        <w:top w:val="none" w:sz="0" w:space="0" w:color="auto"/>
        <w:left w:val="none" w:sz="0" w:space="0" w:color="auto"/>
        <w:bottom w:val="none" w:sz="0" w:space="0" w:color="auto"/>
        <w:right w:val="none" w:sz="0" w:space="0" w:color="auto"/>
      </w:divBdr>
    </w:div>
    <w:div w:id="437792273">
      <w:bodyDiv w:val="1"/>
      <w:marLeft w:val="0"/>
      <w:marRight w:val="0"/>
      <w:marTop w:val="0"/>
      <w:marBottom w:val="0"/>
      <w:divBdr>
        <w:top w:val="none" w:sz="0" w:space="0" w:color="auto"/>
        <w:left w:val="none" w:sz="0" w:space="0" w:color="auto"/>
        <w:bottom w:val="none" w:sz="0" w:space="0" w:color="auto"/>
        <w:right w:val="none" w:sz="0" w:space="0" w:color="auto"/>
      </w:divBdr>
    </w:div>
    <w:div w:id="482430478">
      <w:bodyDiv w:val="1"/>
      <w:marLeft w:val="0"/>
      <w:marRight w:val="0"/>
      <w:marTop w:val="0"/>
      <w:marBottom w:val="0"/>
      <w:divBdr>
        <w:top w:val="none" w:sz="0" w:space="0" w:color="auto"/>
        <w:left w:val="none" w:sz="0" w:space="0" w:color="auto"/>
        <w:bottom w:val="none" w:sz="0" w:space="0" w:color="auto"/>
        <w:right w:val="none" w:sz="0" w:space="0" w:color="auto"/>
      </w:divBdr>
    </w:div>
    <w:div w:id="488835383">
      <w:bodyDiv w:val="1"/>
      <w:marLeft w:val="0"/>
      <w:marRight w:val="0"/>
      <w:marTop w:val="0"/>
      <w:marBottom w:val="0"/>
      <w:divBdr>
        <w:top w:val="none" w:sz="0" w:space="0" w:color="auto"/>
        <w:left w:val="none" w:sz="0" w:space="0" w:color="auto"/>
        <w:bottom w:val="none" w:sz="0" w:space="0" w:color="auto"/>
        <w:right w:val="none" w:sz="0" w:space="0" w:color="auto"/>
      </w:divBdr>
    </w:div>
    <w:div w:id="492726204">
      <w:bodyDiv w:val="1"/>
      <w:marLeft w:val="0"/>
      <w:marRight w:val="0"/>
      <w:marTop w:val="0"/>
      <w:marBottom w:val="0"/>
      <w:divBdr>
        <w:top w:val="none" w:sz="0" w:space="0" w:color="auto"/>
        <w:left w:val="none" w:sz="0" w:space="0" w:color="auto"/>
        <w:bottom w:val="none" w:sz="0" w:space="0" w:color="auto"/>
        <w:right w:val="none" w:sz="0" w:space="0" w:color="auto"/>
      </w:divBdr>
    </w:div>
    <w:div w:id="497618476">
      <w:bodyDiv w:val="1"/>
      <w:marLeft w:val="0"/>
      <w:marRight w:val="0"/>
      <w:marTop w:val="0"/>
      <w:marBottom w:val="0"/>
      <w:divBdr>
        <w:top w:val="none" w:sz="0" w:space="0" w:color="auto"/>
        <w:left w:val="none" w:sz="0" w:space="0" w:color="auto"/>
        <w:bottom w:val="none" w:sz="0" w:space="0" w:color="auto"/>
        <w:right w:val="none" w:sz="0" w:space="0" w:color="auto"/>
      </w:divBdr>
    </w:div>
    <w:div w:id="502085459">
      <w:bodyDiv w:val="1"/>
      <w:marLeft w:val="0"/>
      <w:marRight w:val="0"/>
      <w:marTop w:val="0"/>
      <w:marBottom w:val="0"/>
      <w:divBdr>
        <w:top w:val="none" w:sz="0" w:space="0" w:color="auto"/>
        <w:left w:val="none" w:sz="0" w:space="0" w:color="auto"/>
        <w:bottom w:val="none" w:sz="0" w:space="0" w:color="auto"/>
        <w:right w:val="none" w:sz="0" w:space="0" w:color="auto"/>
      </w:divBdr>
    </w:div>
    <w:div w:id="512035065">
      <w:bodyDiv w:val="1"/>
      <w:marLeft w:val="0"/>
      <w:marRight w:val="0"/>
      <w:marTop w:val="0"/>
      <w:marBottom w:val="0"/>
      <w:divBdr>
        <w:top w:val="none" w:sz="0" w:space="0" w:color="auto"/>
        <w:left w:val="none" w:sz="0" w:space="0" w:color="auto"/>
        <w:bottom w:val="none" w:sz="0" w:space="0" w:color="auto"/>
        <w:right w:val="none" w:sz="0" w:space="0" w:color="auto"/>
      </w:divBdr>
    </w:div>
    <w:div w:id="549003024">
      <w:bodyDiv w:val="1"/>
      <w:marLeft w:val="0"/>
      <w:marRight w:val="0"/>
      <w:marTop w:val="0"/>
      <w:marBottom w:val="0"/>
      <w:divBdr>
        <w:top w:val="none" w:sz="0" w:space="0" w:color="auto"/>
        <w:left w:val="none" w:sz="0" w:space="0" w:color="auto"/>
        <w:bottom w:val="none" w:sz="0" w:space="0" w:color="auto"/>
        <w:right w:val="none" w:sz="0" w:space="0" w:color="auto"/>
      </w:divBdr>
    </w:div>
    <w:div w:id="561253041">
      <w:bodyDiv w:val="1"/>
      <w:marLeft w:val="0"/>
      <w:marRight w:val="0"/>
      <w:marTop w:val="0"/>
      <w:marBottom w:val="0"/>
      <w:divBdr>
        <w:top w:val="none" w:sz="0" w:space="0" w:color="auto"/>
        <w:left w:val="none" w:sz="0" w:space="0" w:color="auto"/>
        <w:bottom w:val="none" w:sz="0" w:space="0" w:color="auto"/>
        <w:right w:val="none" w:sz="0" w:space="0" w:color="auto"/>
      </w:divBdr>
    </w:div>
    <w:div w:id="566649509">
      <w:bodyDiv w:val="1"/>
      <w:marLeft w:val="0"/>
      <w:marRight w:val="0"/>
      <w:marTop w:val="0"/>
      <w:marBottom w:val="0"/>
      <w:divBdr>
        <w:top w:val="none" w:sz="0" w:space="0" w:color="auto"/>
        <w:left w:val="none" w:sz="0" w:space="0" w:color="auto"/>
        <w:bottom w:val="none" w:sz="0" w:space="0" w:color="auto"/>
        <w:right w:val="none" w:sz="0" w:space="0" w:color="auto"/>
      </w:divBdr>
    </w:div>
    <w:div w:id="577449615">
      <w:bodyDiv w:val="1"/>
      <w:marLeft w:val="0"/>
      <w:marRight w:val="0"/>
      <w:marTop w:val="0"/>
      <w:marBottom w:val="0"/>
      <w:divBdr>
        <w:top w:val="none" w:sz="0" w:space="0" w:color="auto"/>
        <w:left w:val="none" w:sz="0" w:space="0" w:color="auto"/>
        <w:bottom w:val="none" w:sz="0" w:space="0" w:color="auto"/>
        <w:right w:val="none" w:sz="0" w:space="0" w:color="auto"/>
      </w:divBdr>
    </w:div>
    <w:div w:id="594629252">
      <w:bodyDiv w:val="1"/>
      <w:marLeft w:val="0"/>
      <w:marRight w:val="0"/>
      <w:marTop w:val="0"/>
      <w:marBottom w:val="0"/>
      <w:divBdr>
        <w:top w:val="none" w:sz="0" w:space="0" w:color="auto"/>
        <w:left w:val="none" w:sz="0" w:space="0" w:color="auto"/>
        <w:bottom w:val="none" w:sz="0" w:space="0" w:color="auto"/>
        <w:right w:val="none" w:sz="0" w:space="0" w:color="auto"/>
      </w:divBdr>
    </w:div>
    <w:div w:id="604307960">
      <w:bodyDiv w:val="1"/>
      <w:marLeft w:val="0"/>
      <w:marRight w:val="0"/>
      <w:marTop w:val="0"/>
      <w:marBottom w:val="0"/>
      <w:divBdr>
        <w:top w:val="none" w:sz="0" w:space="0" w:color="auto"/>
        <w:left w:val="none" w:sz="0" w:space="0" w:color="auto"/>
        <w:bottom w:val="none" w:sz="0" w:space="0" w:color="auto"/>
        <w:right w:val="none" w:sz="0" w:space="0" w:color="auto"/>
      </w:divBdr>
    </w:div>
    <w:div w:id="627472963">
      <w:bodyDiv w:val="1"/>
      <w:marLeft w:val="0"/>
      <w:marRight w:val="0"/>
      <w:marTop w:val="0"/>
      <w:marBottom w:val="0"/>
      <w:divBdr>
        <w:top w:val="none" w:sz="0" w:space="0" w:color="auto"/>
        <w:left w:val="none" w:sz="0" w:space="0" w:color="auto"/>
        <w:bottom w:val="none" w:sz="0" w:space="0" w:color="auto"/>
        <w:right w:val="none" w:sz="0" w:space="0" w:color="auto"/>
      </w:divBdr>
    </w:div>
    <w:div w:id="629240749">
      <w:bodyDiv w:val="1"/>
      <w:marLeft w:val="0"/>
      <w:marRight w:val="0"/>
      <w:marTop w:val="0"/>
      <w:marBottom w:val="0"/>
      <w:divBdr>
        <w:top w:val="none" w:sz="0" w:space="0" w:color="auto"/>
        <w:left w:val="none" w:sz="0" w:space="0" w:color="auto"/>
        <w:bottom w:val="none" w:sz="0" w:space="0" w:color="auto"/>
        <w:right w:val="none" w:sz="0" w:space="0" w:color="auto"/>
      </w:divBdr>
    </w:div>
    <w:div w:id="682584396">
      <w:bodyDiv w:val="1"/>
      <w:marLeft w:val="0"/>
      <w:marRight w:val="0"/>
      <w:marTop w:val="0"/>
      <w:marBottom w:val="0"/>
      <w:divBdr>
        <w:top w:val="none" w:sz="0" w:space="0" w:color="auto"/>
        <w:left w:val="none" w:sz="0" w:space="0" w:color="auto"/>
        <w:bottom w:val="none" w:sz="0" w:space="0" w:color="auto"/>
        <w:right w:val="none" w:sz="0" w:space="0" w:color="auto"/>
      </w:divBdr>
    </w:div>
    <w:div w:id="683096715">
      <w:bodyDiv w:val="1"/>
      <w:marLeft w:val="0"/>
      <w:marRight w:val="0"/>
      <w:marTop w:val="0"/>
      <w:marBottom w:val="0"/>
      <w:divBdr>
        <w:top w:val="none" w:sz="0" w:space="0" w:color="auto"/>
        <w:left w:val="none" w:sz="0" w:space="0" w:color="auto"/>
        <w:bottom w:val="none" w:sz="0" w:space="0" w:color="auto"/>
        <w:right w:val="none" w:sz="0" w:space="0" w:color="auto"/>
      </w:divBdr>
    </w:div>
    <w:div w:id="725228560">
      <w:bodyDiv w:val="1"/>
      <w:marLeft w:val="0"/>
      <w:marRight w:val="0"/>
      <w:marTop w:val="0"/>
      <w:marBottom w:val="0"/>
      <w:divBdr>
        <w:top w:val="none" w:sz="0" w:space="0" w:color="auto"/>
        <w:left w:val="none" w:sz="0" w:space="0" w:color="auto"/>
        <w:bottom w:val="none" w:sz="0" w:space="0" w:color="auto"/>
        <w:right w:val="none" w:sz="0" w:space="0" w:color="auto"/>
      </w:divBdr>
    </w:div>
    <w:div w:id="727269422">
      <w:bodyDiv w:val="1"/>
      <w:marLeft w:val="0"/>
      <w:marRight w:val="0"/>
      <w:marTop w:val="0"/>
      <w:marBottom w:val="0"/>
      <w:divBdr>
        <w:top w:val="none" w:sz="0" w:space="0" w:color="auto"/>
        <w:left w:val="none" w:sz="0" w:space="0" w:color="auto"/>
        <w:bottom w:val="none" w:sz="0" w:space="0" w:color="auto"/>
        <w:right w:val="none" w:sz="0" w:space="0" w:color="auto"/>
      </w:divBdr>
    </w:div>
    <w:div w:id="749352496">
      <w:bodyDiv w:val="1"/>
      <w:marLeft w:val="0"/>
      <w:marRight w:val="0"/>
      <w:marTop w:val="0"/>
      <w:marBottom w:val="0"/>
      <w:divBdr>
        <w:top w:val="none" w:sz="0" w:space="0" w:color="auto"/>
        <w:left w:val="none" w:sz="0" w:space="0" w:color="auto"/>
        <w:bottom w:val="none" w:sz="0" w:space="0" w:color="auto"/>
        <w:right w:val="none" w:sz="0" w:space="0" w:color="auto"/>
      </w:divBdr>
    </w:div>
    <w:div w:id="757210862">
      <w:bodyDiv w:val="1"/>
      <w:marLeft w:val="0"/>
      <w:marRight w:val="0"/>
      <w:marTop w:val="0"/>
      <w:marBottom w:val="0"/>
      <w:divBdr>
        <w:top w:val="none" w:sz="0" w:space="0" w:color="auto"/>
        <w:left w:val="none" w:sz="0" w:space="0" w:color="auto"/>
        <w:bottom w:val="none" w:sz="0" w:space="0" w:color="auto"/>
        <w:right w:val="none" w:sz="0" w:space="0" w:color="auto"/>
      </w:divBdr>
    </w:div>
    <w:div w:id="757335197">
      <w:bodyDiv w:val="1"/>
      <w:marLeft w:val="0"/>
      <w:marRight w:val="0"/>
      <w:marTop w:val="0"/>
      <w:marBottom w:val="0"/>
      <w:divBdr>
        <w:top w:val="none" w:sz="0" w:space="0" w:color="auto"/>
        <w:left w:val="none" w:sz="0" w:space="0" w:color="auto"/>
        <w:bottom w:val="none" w:sz="0" w:space="0" w:color="auto"/>
        <w:right w:val="none" w:sz="0" w:space="0" w:color="auto"/>
      </w:divBdr>
    </w:div>
    <w:div w:id="769399474">
      <w:bodyDiv w:val="1"/>
      <w:marLeft w:val="0"/>
      <w:marRight w:val="0"/>
      <w:marTop w:val="0"/>
      <w:marBottom w:val="0"/>
      <w:divBdr>
        <w:top w:val="none" w:sz="0" w:space="0" w:color="auto"/>
        <w:left w:val="none" w:sz="0" w:space="0" w:color="auto"/>
        <w:bottom w:val="none" w:sz="0" w:space="0" w:color="auto"/>
        <w:right w:val="none" w:sz="0" w:space="0" w:color="auto"/>
      </w:divBdr>
    </w:div>
    <w:div w:id="781345478">
      <w:bodyDiv w:val="1"/>
      <w:marLeft w:val="0"/>
      <w:marRight w:val="0"/>
      <w:marTop w:val="0"/>
      <w:marBottom w:val="0"/>
      <w:divBdr>
        <w:top w:val="none" w:sz="0" w:space="0" w:color="auto"/>
        <w:left w:val="none" w:sz="0" w:space="0" w:color="auto"/>
        <w:bottom w:val="none" w:sz="0" w:space="0" w:color="auto"/>
        <w:right w:val="none" w:sz="0" w:space="0" w:color="auto"/>
      </w:divBdr>
    </w:div>
    <w:div w:id="800805171">
      <w:bodyDiv w:val="1"/>
      <w:marLeft w:val="0"/>
      <w:marRight w:val="0"/>
      <w:marTop w:val="0"/>
      <w:marBottom w:val="0"/>
      <w:divBdr>
        <w:top w:val="none" w:sz="0" w:space="0" w:color="auto"/>
        <w:left w:val="none" w:sz="0" w:space="0" w:color="auto"/>
        <w:bottom w:val="none" w:sz="0" w:space="0" w:color="auto"/>
        <w:right w:val="none" w:sz="0" w:space="0" w:color="auto"/>
      </w:divBdr>
    </w:div>
    <w:div w:id="821897257">
      <w:bodyDiv w:val="1"/>
      <w:marLeft w:val="0"/>
      <w:marRight w:val="0"/>
      <w:marTop w:val="0"/>
      <w:marBottom w:val="0"/>
      <w:divBdr>
        <w:top w:val="none" w:sz="0" w:space="0" w:color="auto"/>
        <w:left w:val="none" w:sz="0" w:space="0" w:color="auto"/>
        <w:bottom w:val="none" w:sz="0" w:space="0" w:color="auto"/>
        <w:right w:val="none" w:sz="0" w:space="0" w:color="auto"/>
      </w:divBdr>
    </w:div>
    <w:div w:id="865293978">
      <w:bodyDiv w:val="1"/>
      <w:marLeft w:val="0"/>
      <w:marRight w:val="0"/>
      <w:marTop w:val="0"/>
      <w:marBottom w:val="0"/>
      <w:divBdr>
        <w:top w:val="none" w:sz="0" w:space="0" w:color="auto"/>
        <w:left w:val="none" w:sz="0" w:space="0" w:color="auto"/>
        <w:bottom w:val="none" w:sz="0" w:space="0" w:color="auto"/>
        <w:right w:val="none" w:sz="0" w:space="0" w:color="auto"/>
      </w:divBdr>
    </w:div>
    <w:div w:id="881477788">
      <w:bodyDiv w:val="1"/>
      <w:marLeft w:val="0"/>
      <w:marRight w:val="0"/>
      <w:marTop w:val="0"/>
      <w:marBottom w:val="0"/>
      <w:divBdr>
        <w:top w:val="none" w:sz="0" w:space="0" w:color="auto"/>
        <w:left w:val="none" w:sz="0" w:space="0" w:color="auto"/>
        <w:bottom w:val="none" w:sz="0" w:space="0" w:color="auto"/>
        <w:right w:val="none" w:sz="0" w:space="0" w:color="auto"/>
      </w:divBdr>
    </w:div>
    <w:div w:id="885288718">
      <w:bodyDiv w:val="1"/>
      <w:marLeft w:val="0"/>
      <w:marRight w:val="0"/>
      <w:marTop w:val="0"/>
      <w:marBottom w:val="0"/>
      <w:divBdr>
        <w:top w:val="none" w:sz="0" w:space="0" w:color="auto"/>
        <w:left w:val="none" w:sz="0" w:space="0" w:color="auto"/>
        <w:bottom w:val="none" w:sz="0" w:space="0" w:color="auto"/>
        <w:right w:val="none" w:sz="0" w:space="0" w:color="auto"/>
      </w:divBdr>
    </w:div>
    <w:div w:id="940650572">
      <w:bodyDiv w:val="1"/>
      <w:marLeft w:val="0"/>
      <w:marRight w:val="0"/>
      <w:marTop w:val="0"/>
      <w:marBottom w:val="0"/>
      <w:divBdr>
        <w:top w:val="none" w:sz="0" w:space="0" w:color="auto"/>
        <w:left w:val="none" w:sz="0" w:space="0" w:color="auto"/>
        <w:bottom w:val="none" w:sz="0" w:space="0" w:color="auto"/>
        <w:right w:val="none" w:sz="0" w:space="0" w:color="auto"/>
      </w:divBdr>
    </w:div>
    <w:div w:id="953558848">
      <w:bodyDiv w:val="1"/>
      <w:marLeft w:val="0"/>
      <w:marRight w:val="0"/>
      <w:marTop w:val="0"/>
      <w:marBottom w:val="0"/>
      <w:divBdr>
        <w:top w:val="none" w:sz="0" w:space="0" w:color="auto"/>
        <w:left w:val="none" w:sz="0" w:space="0" w:color="auto"/>
        <w:bottom w:val="none" w:sz="0" w:space="0" w:color="auto"/>
        <w:right w:val="none" w:sz="0" w:space="0" w:color="auto"/>
      </w:divBdr>
    </w:div>
    <w:div w:id="963147823">
      <w:bodyDiv w:val="1"/>
      <w:marLeft w:val="0"/>
      <w:marRight w:val="0"/>
      <w:marTop w:val="0"/>
      <w:marBottom w:val="0"/>
      <w:divBdr>
        <w:top w:val="none" w:sz="0" w:space="0" w:color="auto"/>
        <w:left w:val="none" w:sz="0" w:space="0" w:color="auto"/>
        <w:bottom w:val="none" w:sz="0" w:space="0" w:color="auto"/>
        <w:right w:val="none" w:sz="0" w:space="0" w:color="auto"/>
      </w:divBdr>
    </w:div>
    <w:div w:id="963274720">
      <w:bodyDiv w:val="1"/>
      <w:marLeft w:val="0"/>
      <w:marRight w:val="0"/>
      <w:marTop w:val="0"/>
      <w:marBottom w:val="0"/>
      <w:divBdr>
        <w:top w:val="none" w:sz="0" w:space="0" w:color="auto"/>
        <w:left w:val="none" w:sz="0" w:space="0" w:color="auto"/>
        <w:bottom w:val="none" w:sz="0" w:space="0" w:color="auto"/>
        <w:right w:val="none" w:sz="0" w:space="0" w:color="auto"/>
      </w:divBdr>
    </w:div>
    <w:div w:id="970551911">
      <w:bodyDiv w:val="1"/>
      <w:marLeft w:val="0"/>
      <w:marRight w:val="0"/>
      <w:marTop w:val="0"/>
      <w:marBottom w:val="0"/>
      <w:divBdr>
        <w:top w:val="none" w:sz="0" w:space="0" w:color="auto"/>
        <w:left w:val="none" w:sz="0" w:space="0" w:color="auto"/>
        <w:bottom w:val="none" w:sz="0" w:space="0" w:color="auto"/>
        <w:right w:val="none" w:sz="0" w:space="0" w:color="auto"/>
      </w:divBdr>
    </w:div>
    <w:div w:id="976108789">
      <w:bodyDiv w:val="1"/>
      <w:marLeft w:val="0"/>
      <w:marRight w:val="0"/>
      <w:marTop w:val="0"/>
      <w:marBottom w:val="0"/>
      <w:divBdr>
        <w:top w:val="none" w:sz="0" w:space="0" w:color="auto"/>
        <w:left w:val="none" w:sz="0" w:space="0" w:color="auto"/>
        <w:bottom w:val="none" w:sz="0" w:space="0" w:color="auto"/>
        <w:right w:val="none" w:sz="0" w:space="0" w:color="auto"/>
      </w:divBdr>
    </w:div>
    <w:div w:id="988707608">
      <w:bodyDiv w:val="1"/>
      <w:marLeft w:val="0"/>
      <w:marRight w:val="0"/>
      <w:marTop w:val="0"/>
      <w:marBottom w:val="0"/>
      <w:divBdr>
        <w:top w:val="none" w:sz="0" w:space="0" w:color="auto"/>
        <w:left w:val="none" w:sz="0" w:space="0" w:color="auto"/>
        <w:bottom w:val="none" w:sz="0" w:space="0" w:color="auto"/>
        <w:right w:val="none" w:sz="0" w:space="0" w:color="auto"/>
      </w:divBdr>
    </w:div>
    <w:div w:id="1028023808">
      <w:bodyDiv w:val="1"/>
      <w:marLeft w:val="0"/>
      <w:marRight w:val="0"/>
      <w:marTop w:val="0"/>
      <w:marBottom w:val="0"/>
      <w:divBdr>
        <w:top w:val="none" w:sz="0" w:space="0" w:color="auto"/>
        <w:left w:val="none" w:sz="0" w:space="0" w:color="auto"/>
        <w:bottom w:val="none" w:sz="0" w:space="0" w:color="auto"/>
        <w:right w:val="none" w:sz="0" w:space="0" w:color="auto"/>
      </w:divBdr>
    </w:div>
    <w:div w:id="1033965894">
      <w:bodyDiv w:val="1"/>
      <w:marLeft w:val="0"/>
      <w:marRight w:val="0"/>
      <w:marTop w:val="0"/>
      <w:marBottom w:val="0"/>
      <w:divBdr>
        <w:top w:val="none" w:sz="0" w:space="0" w:color="auto"/>
        <w:left w:val="none" w:sz="0" w:space="0" w:color="auto"/>
        <w:bottom w:val="none" w:sz="0" w:space="0" w:color="auto"/>
        <w:right w:val="none" w:sz="0" w:space="0" w:color="auto"/>
      </w:divBdr>
    </w:div>
    <w:div w:id="1056930095">
      <w:bodyDiv w:val="1"/>
      <w:marLeft w:val="0"/>
      <w:marRight w:val="0"/>
      <w:marTop w:val="0"/>
      <w:marBottom w:val="0"/>
      <w:divBdr>
        <w:top w:val="none" w:sz="0" w:space="0" w:color="auto"/>
        <w:left w:val="none" w:sz="0" w:space="0" w:color="auto"/>
        <w:bottom w:val="none" w:sz="0" w:space="0" w:color="auto"/>
        <w:right w:val="none" w:sz="0" w:space="0" w:color="auto"/>
      </w:divBdr>
    </w:div>
    <w:div w:id="1060516675">
      <w:bodyDiv w:val="1"/>
      <w:marLeft w:val="0"/>
      <w:marRight w:val="0"/>
      <w:marTop w:val="0"/>
      <w:marBottom w:val="0"/>
      <w:divBdr>
        <w:top w:val="none" w:sz="0" w:space="0" w:color="auto"/>
        <w:left w:val="none" w:sz="0" w:space="0" w:color="auto"/>
        <w:bottom w:val="none" w:sz="0" w:space="0" w:color="auto"/>
        <w:right w:val="none" w:sz="0" w:space="0" w:color="auto"/>
      </w:divBdr>
    </w:div>
    <w:div w:id="1062288133">
      <w:bodyDiv w:val="1"/>
      <w:marLeft w:val="0"/>
      <w:marRight w:val="0"/>
      <w:marTop w:val="0"/>
      <w:marBottom w:val="0"/>
      <w:divBdr>
        <w:top w:val="none" w:sz="0" w:space="0" w:color="auto"/>
        <w:left w:val="none" w:sz="0" w:space="0" w:color="auto"/>
        <w:bottom w:val="none" w:sz="0" w:space="0" w:color="auto"/>
        <w:right w:val="none" w:sz="0" w:space="0" w:color="auto"/>
      </w:divBdr>
    </w:div>
    <w:div w:id="1091315563">
      <w:bodyDiv w:val="1"/>
      <w:marLeft w:val="0"/>
      <w:marRight w:val="0"/>
      <w:marTop w:val="0"/>
      <w:marBottom w:val="0"/>
      <w:divBdr>
        <w:top w:val="none" w:sz="0" w:space="0" w:color="auto"/>
        <w:left w:val="none" w:sz="0" w:space="0" w:color="auto"/>
        <w:bottom w:val="none" w:sz="0" w:space="0" w:color="auto"/>
        <w:right w:val="none" w:sz="0" w:space="0" w:color="auto"/>
      </w:divBdr>
    </w:div>
    <w:div w:id="1137920828">
      <w:bodyDiv w:val="1"/>
      <w:marLeft w:val="0"/>
      <w:marRight w:val="0"/>
      <w:marTop w:val="0"/>
      <w:marBottom w:val="0"/>
      <w:divBdr>
        <w:top w:val="none" w:sz="0" w:space="0" w:color="auto"/>
        <w:left w:val="none" w:sz="0" w:space="0" w:color="auto"/>
        <w:bottom w:val="none" w:sz="0" w:space="0" w:color="auto"/>
        <w:right w:val="none" w:sz="0" w:space="0" w:color="auto"/>
      </w:divBdr>
    </w:div>
    <w:div w:id="1142308392">
      <w:bodyDiv w:val="1"/>
      <w:marLeft w:val="0"/>
      <w:marRight w:val="0"/>
      <w:marTop w:val="0"/>
      <w:marBottom w:val="0"/>
      <w:divBdr>
        <w:top w:val="none" w:sz="0" w:space="0" w:color="auto"/>
        <w:left w:val="none" w:sz="0" w:space="0" w:color="auto"/>
        <w:bottom w:val="none" w:sz="0" w:space="0" w:color="auto"/>
        <w:right w:val="none" w:sz="0" w:space="0" w:color="auto"/>
      </w:divBdr>
    </w:div>
    <w:div w:id="1164471491">
      <w:bodyDiv w:val="1"/>
      <w:marLeft w:val="0"/>
      <w:marRight w:val="0"/>
      <w:marTop w:val="0"/>
      <w:marBottom w:val="0"/>
      <w:divBdr>
        <w:top w:val="none" w:sz="0" w:space="0" w:color="auto"/>
        <w:left w:val="none" w:sz="0" w:space="0" w:color="auto"/>
        <w:bottom w:val="none" w:sz="0" w:space="0" w:color="auto"/>
        <w:right w:val="none" w:sz="0" w:space="0" w:color="auto"/>
      </w:divBdr>
    </w:div>
    <w:div w:id="1183663677">
      <w:bodyDiv w:val="1"/>
      <w:marLeft w:val="0"/>
      <w:marRight w:val="0"/>
      <w:marTop w:val="0"/>
      <w:marBottom w:val="0"/>
      <w:divBdr>
        <w:top w:val="none" w:sz="0" w:space="0" w:color="auto"/>
        <w:left w:val="none" w:sz="0" w:space="0" w:color="auto"/>
        <w:bottom w:val="none" w:sz="0" w:space="0" w:color="auto"/>
        <w:right w:val="none" w:sz="0" w:space="0" w:color="auto"/>
      </w:divBdr>
    </w:div>
    <w:div w:id="1198739244">
      <w:bodyDiv w:val="1"/>
      <w:marLeft w:val="0"/>
      <w:marRight w:val="0"/>
      <w:marTop w:val="0"/>
      <w:marBottom w:val="0"/>
      <w:divBdr>
        <w:top w:val="none" w:sz="0" w:space="0" w:color="auto"/>
        <w:left w:val="none" w:sz="0" w:space="0" w:color="auto"/>
        <w:bottom w:val="none" w:sz="0" w:space="0" w:color="auto"/>
        <w:right w:val="none" w:sz="0" w:space="0" w:color="auto"/>
      </w:divBdr>
    </w:div>
    <w:div w:id="1202405843">
      <w:bodyDiv w:val="1"/>
      <w:marLeft w:val="0"/>
      <w:marRight w:val="0"/>
      <w:marTop w:val="0"/>
      <w:marBottom w:val="0"/>
      <w:divBdr>
        <w:top w:val="none" w:sz="0" w:space="0" w:color="auto"/>
        <w:left w:val="none" w:sz="0" w:space="0" w:color="auto"/>
        <w:bottom w:val="none" w:sz="0" w:space="0" w:color="auto"/>
        <w:right w:val="none" w:sz="0" w:space="0" w:color="auto"/>
      </w:divBdr>
    </w:div>
    <w:div w:id="1209758927">
      <w:bodyDiv w:val="1"/>
      <w:marLeft w:val="0"/>
      <w:marRight w:val="0"/>
      <w:marTop w:val="0"/>
      <w:marBottom w:val="0"/>
      <w:divBdr>
        <w:top w:val="none" w:sz="0" w:space="0" w:color="auto"/>
        <w:left w:val="none" w:sz="0" w:space="0" w:color="auto"/>
        <w:bottom w:val="none" w:sz="0" w:space="0" w:color="auto"/>
        <w:right w:val="none" w:sz="0" w:space="0" w:color="auto"/>
      </w:divBdr>
    </w:div>
    <w:div w:id="1258640232">
      <w:bodyDiv w:val="1"/>
      <w:marLeft w:val="0"/>
      <w:marRight w:val="0"/>
      <w:marTop w:val="0"/>
      <w:marBottom w:val="0"/>
      <w:divBdr>
        <w:top w:val="none" w:sz="0" w:space="0" w:color="auto"/>
        <w:left w:val="none" w:sz="0" w:space="0" w:color="auto"/>
        <w:bottom w:val="none" w:sz="0" w:space="0" w:color="auto"/>
        <w:right w:val="none" w:sz="0" w:space="0" w:color="auto"/>
      </w:divBdr>
    </w:div>
    <w:div w:id="1288244043">
      <w:bodyDiv w:val="1"/>
      <w:marLeft w:val="0"/>
      <w:marRight w:val="0"/>
      <w:marTop w:val="0"/>
      <w:marBottom w:val="0"/>
      <w:divBdr>
        <w:top w:val="none" w:sz="0" w:space="0" w:color="auto"/>
        <w:left w:val="none" w:sz="0" w:space="0" w:color="auto"/>
        <w:bottom w:val="none" w:sz="0" w:space="0" w:color="auto"/>
        <w:right w:val="none" w:sz="0" w:space="0" w:color="auto"/>
      </w:divBdr>
    </w:div>
    <w:div w:id="1313679125">
      <w:bodyDiv w:val="1"/>
      <w:marLeft w:val="0"/>
      <w:marRight w:val="0"/>
      <w:marTop w:val="0"/>
      <w:marBottom w:val="0"/>
      <w:divBdr>
        <w:top w:val="none" w:sz="0" w:space="0" w:color="auto"/>
        <w:left w:val="none" w:sz="0" w:space="0" w:color="auto"/>
        <w:bottom w:val="none" w:sz="0" w:space="0" w:color="auto"/>
        <w:right w:val="none" w:sz="0" w:space="0" w:color="auto"/>
      </w:divBdr>
    </w:div>
    <w:div w:id="1327633889">
      <w:bodyDiv w:val="1"/>
      <w:marLeft w:val="0"/>
      <w:marRight w:val="0"/>
      <w:marTop w:val="0"/>
      <w:marBottom w:val="0"/>
      <w:divBdr>
        <w:top w:val="none" w:sz="0" w:space="0" w:color="auto"/>
        <w:left w:val="none" w:sz="0" w:space="0" w:color="auto"/>
        <w:bottom w:val="none" w:sz="0" w:space="0" w:color="auto"/>
        <w:right w:val="none" w:sz="0" w:space="0" w:color="auto"/>
      </w:divBdr>
    </w:div>
    <w:div w:id="1334408134">
      <w:bodyDiv w:val="1"/>
      <w:marLeft w:val="0"/>
      <w:marRight w:val="0"/>
      <w:marTop w:val="0"/>
      <w:marBottom w:val="0"/>
      <w:divBdr>
        <w:top w:val="none" w:sz="0" w:space="0" w:color="auto"/>
        <w:left w:val="none" w:sz="0" w:space="0" w:color="auto"/>
        <w:bottom w:val="none" w:sz="0" w:space="0" w:color="auto"/>
        <w:right w:val="none" w:sz="0" w:space="0" w:color="auto"/>
      </w:divBdr>
    </w:div>
    <w:div w:id="1348562415">
      <w:bodyDiv w:val="1"/>
      <w:marLeft w:val="0"/>
      <w:marRight w:val="0"/>
      <w:marTop w:val="0"/>
      <w:marBottom w:val="0"/>
      <w:divBdr>
        <w:top w:val="none" w:sz="0" w:space="0" w:color="auto"/>
        <w:left w:val="none" w:sz="0" w:space="0" w:color="auto"/>
        <w:bottom w:val="none" w:sz="0" w:space="0" w:color="auto"/>
        <w:right w:val="none" w:sz="0" w:space="0" w:color="auto"/>
      </w:divBdr>
    </w:div>
    <w:div w:id="1399010979">
      <w:bodyDiv w:val="1"/>
      <w:marLeft w:val="0"/>
      <w:marRight w:val="0"/>
      <w:marTop w:val="0"/>
      <w:marBottom w:val="0"/>
      <w:divBdr>
        <w:top w:val="none" w:sz="0" w:space="0" w:color="auto"/>
        <w:left w:val="none" w:sz="0" w:space="0" w:color="auto"/>
        <w:bottom w:val="none" w:sz="0" w:space="0" w:color="auto"/>
        <w:right w:val="none" w:sz="0" w:space="0" w:color="auto"/>
      </w:divBdr>
    </w:div>
    <w:div w:id="1449743044">
      <w:bodyDiv w:val="1"/>
      <w:marLeft w:val="0"/>
      <w:marRight w:val="0"/>
      <w:marTop w:val="0"/>
      <w:marBottom w:val="0"/>
      <w:divBdr>
        <w:top w:val="none" w:sz="0" w:space="0" w:color="auto"/>
        <w:left w:val="none" w:sz="0" w:space="0" w:color="auto"/>
        <w:bottom w:val="none" w:sz="0" w:space="0" w:color="auto"/>
        <w:right w:val="none" w:sz="0" w:space="0" w:color="auto"/>
      </w:divBdr>
    </w:div>
    <w:div w:id="1452898530">
      <w:bodyDiv w:val="1"/>
      <w:marLeft w:val="0"/>
      <w:marRight w:val="0"/>
      <w:marTop w:val="0"/>
      <w:marBottom w:val="0"/>
      <w:divBdr>
        <w:top w:val="none" w:sz="0" w:space="0" w:color="auto"/>
        <w:left w:val="none" w:sz="0" w:space="0" w:color="auto"/>
        <w:bottom w:val="none" w:sz="0" w:space="0" w:color="auto"/>
        <w:right w:val="none" w:sz="0" w:space="0" w:color="auto"/>
      </w:divBdr>
    </w:div>
    <w:div w:id="1465661693">
      <w:bodyDiv w:val="1"/>
      <w:marLeft w:val="0"/>
      <w:marRight w:val="0"/>
      <w:marTop w:val="0"/>
      <w:marBottom w:val="0"/>
      <w:divBdr>
        <w:top w:val="none" w:sz="0" w:space="0" w:color="auto"/>
        <w:left w:val="none" w:sz="0" w:space="0" w:color="auto"/>
        <w:bottom w:val="none" w:sz="0" w:space="0" w:color="auto"/>
        <w:right w:val="none" w:sz="0" w:space="0" w:color="auto"/>
      </w:divBdr>
    </w:div>
    <w:div w:id="1473017520">
      <w:bodyDiv w:val="1"/>
      <w:marLeft w:val="0"/>
      <w:marRight w:val="0"/>
      <w:marTop w:val="0"/>
      <w:marBottom w:val="0"/>
      <w:divBdr>
        <w:top w:val="none" w:sz="0" w:space="0" w:color="auto"/>
        <w:left w:val="none" w:sz="0" w:space="0" w:color="auto"/>
        <w:bottom w:val="none" w:sz="0" w:space="0" w:color="auto"/>
        <w:right w:val="none" w:sz="0" w:space="0" w:color="auto"/>
      </w:divBdr>
    </w:div>
    <w:div w:id="1536624828">
      <w:bodyDiv w:val="1"/>
      <w:marLeft w:val="0"/>
      <w:marRight w:val="0"/>
      <w:marTop w:val="0"/>
      <w:marBottom w:val="0"/>
      <w:divBdr>
        <w:top w:val="none" w:sz="0" w:space="0" w:color="auto"/>
        <w:left w:val="none" w:sz="0" w:space="0" w:color="auto"/>
        <w:bottom w:val="none" w:sz="0" w:space="0" w:color="auto"/>
        <w:right w:val="none" w:sz="0" w:space="0" w:color="auto"/>
      </w:divBdr>
    </w:div>
    <w:div w:id="1545096582">
      <w:bodyDiv w:val="1"/>
      <w:marLeft w:val="0"/>
      <w:marRight w:val="0"/>
      <w:marTop w:val="0"/>
      <w:marBottom w:val="0"/>
      <w:divBdr>
        <w:top w:val="none" w:sz="0" w:space="0" w:color="auto"/>
        <w:left w:val="none" w:sz="0" w:space="0" w:color="auto"/>
        <w:bottom w:val="none" w:sz="0" w:space="0" w:color="auto"/>
        <w:right w:val="none" w:sz="0" w:space="0" w:color="auto"/>
      </w:divBdr>
    </w:div>
    <w:div w:id="1554536370">
      <w:bodyDiv w:val="1"/>
      <w:marLeft w:val="0"/>
      <w:marRight w:val="0"/>
      <w:marTop w:val="0"/>
      <w:marBottom w:val="0"/>
      <w:divBdr>
        <w:top w:val="none" w:sz="0" w:space="0" w:color="auto"/>
        <w:left w:val="none" w:sz="0" w:space="0" w:color="auto"/>
        <w:bottom w:val="none" w:sz="0" w:space="0" w:color="auto"/>
        <w:right w:val="none" w:sz="0" w:space="0" w:color="auto"/>
      </w:divBdr>
    </w:div>
    <w:div w:id="1565487540">
      <w:bodyDiv w:val="1"/>
      <w:marLeft w:val="0"/>
      <w:marRight w:val="0"/>
      <w:marTop w:val="0"/>
      <w:marBottom w:val="0"/>
      <w:divBdr>
        <w:top w:val="none" w:sz="0" w:space="0" w:color="auto"/>
        <w:left w:val="none" w:sz="0" w:space="0" w:color="auto"/>
        <w:bottom w:val="none" w:sz="0" w:space="0" w:color="auto"/>
        <w:right w:val="none" w:sz="0" w:space="0" w:color="auto"/>
      </w:divBdr>
    </w:div>
    <w:div w:id="1567835159">
      <w:bodyDiv w:val="1"/>
      <w:marLeft w:val="0"/>
      <w:marRight w:val="0"/>
      <w:marTop w:val="0"/>
      <w:marBottom w:val="0"/>
      <w:divBdr>
        <w:top w:val="none" w:sz="0" w:space="0" w:color="auto"/>
        <w:left w:val="none" w:sz="0" w:space="0" w:color="auto"/>
        <w:bottom w:val="none" w:sz="0" w:space="0" w:color="auto"/>
        <w:right w:val="none" w:sz="0" w:space="0" w:color="auto"/>
      </w:divBdr>
    </w:div>
    <w:div w:id="1611542815">
      <w:bodyDiv w:val="1"/>
      <w:marLeft w:val="0"/>
      <w:marRight w:val="0"/>
      <w:marTop w:val="0"/>
      <w:marBottom w:val="0"/>
      <w:divBdr>
        <w:top w:val="none" w:sz="0" w:space="0" w:color="auto"/>
        <w:left w:val="none" w:sz="0" w:space="0" w:color="auto"/>
        <w:bottom w:val="none" w:sz="0" w:space="0" w:color="auto"/>
        <w:right w:val="none" w:sz="0" w:space="0" w:color="auto"/>
      </w:divBdr>
    </w:div>
    <w:div w:id="1623461223">
      <w:bodyDiv w:val="1"/>
      <w:marLeft w:val="0"/>
      <w:marRight w:val="0"/>
      <w:marTop w:val="0"/>
      <w:marBottom w:val="0"/>
      <w:divBdr>
        <w:top w:val="none" w:sz="0" w:space="0" w:color="auto"/>
        <w:left w:val="none" w:sz="0" w:space="0" w:color="auto"/>
        <w:bottom w:val="none" w:sz="0" w:space="0" w:color="auto"/>
        <w:right w:val="none" w:sz="0" w:space="0" w:color="auto"/>
      </w:divBdr>
    </w:div>
    <w:div w:id="1659730388">
      <w:bodyDiv w:val="1"/>
      <w:marLeft w:val="0"/>
      <w:marRight w:val="0"/>
      <w:marTop w:val="0"/>
      <w:marBottom w:val="0"/>
      <w:divBdr>
        <w:top w:val="none" w:sz="0" w:space="0" w:color="auto"/>
        <w:left w:val="none" w:sz="0" w:space="0" w:color="auto"/>
        <w:bottom w:val="none" w:sz="0" w:space="0" w:color="auto"/>
        <w:right w:val="none" w:sz="0" w:space="0" w:color="auto"/>
      </w:divBdr>
    </w:div>
    <w:div w:id="1667318550">
      <w:bodyDiv w:val="1"/>
      <w:marLeft w:val="0"/>
      <w:marRight w:val="0"/>
      <w:marTop w:val="0"/>
      <w:marBottom w:val="0"/>
      <w:divBdr>
        <w:top w:val="none" w:sz="0" w:space="0" w:color="auto"/>
        <w:left w:val="none" w:sz="0" w:space="0" w:color="auto"/>
        <w:bottom w:val="none" w:sz="0" w:space="0" w:color="auto"/>
        <w:right w:val="none" w:sz="0" w:space="0" w:color="auto"/>
      </w:divBdr>
    </w:div>
    <w:div w:id="1667905136">
      <w:bodyDiv w:val="1"/>
      <w:marLeft w:val="0"/>
      <w:marRight w:val="0"/>
      <w:marTop w:val="0"/>
      <w:marBottom w:val="0"/>
      <w:divBdr>
        <w:top w:val="none" w:sz="0" w:space="0" w:color="auto"/>
        <w:left w:val="none" w:sz="0" w:space="0" w:color="auto"/>
        <w:bottom w:val="none" w:sz="0" w:space="0" w:color="auto"/>
        <w:right w:val="none" w:sz="0" w:space="0" w:color="auto"/>
      </w:divBdr>
    </w:div>
    <w:div w:id="1678844459">
      <w:bodyDiv w:val="1"/>
      <w:marLeft w:val="0"/>
      <w:marRight w:val="0"/>
      <w:marTop w:val="0"/>
      <w:marBottom w:val="0"/>
      <w:divBdr>
        <w:top w:val="none" w:sz="0" w:space="0" w:color="auto"/>
        <w:left w:val="none" w:sz="0" w:space="0" w:color="auto"/>
        <w:bottom w:val="none" w:sz="0" w:space="0" w:color="auto"/>
        <w:right w:val="none" w:sz="0" w:space="0" w:color="auto"/>
      </w:divBdr>
    </w:div>
    <w:div w:id="1689715432">
      <w:bodyDiv w:val="1"/>
      <w:marLeft w:val="0"/>
      <w:marRight w:val="0"/>
      <w:marTop w:val="0"/>
      <w:marBottom w:val="0"/>
      <w:divBdr>
        <w:top w:val="none" w:sz="0" w:space="0" w:color="auto"/>
        <w:left w:val="none" w:sz="0" w:space="0" w:color="auto"/>
        <w:bottom w:val="none" w:sz="0" w:space="0" w:color="auto"/>
        <w:right w:val="none" w:sz="0" w:space="0" w:color="auto"/>
      </w:divBdr>
    </w:div>
    <w:div w:id="1691372789">
      <w:bodyDiv w:val="1"/>
      <w:marLeft w:val="0"/>
      <w:marRight w:val="0"/>
      <w:marTop w:val="0"/>
      <w:marBottom w:val="0"/>
      <w:divBdr>
        <w:top w:val="none" w:sz="0" w:space="0" w:color="auto"/>
        <w:left w:val="none" w:sz="0" w:space="0" w:color="auto"/>
        <w:bottom w:val="none" w:sz="0" w:space="0" w:color="auto"/>
        <w:right w:val="none" w:sz="0" w:space="0" w:color="auto"/>
      </w:divBdr>
    </w:div>
    <w:div w:id="1698310394">
      <w:bodyDiv w:val="1"/>
      <w:marLeft w:val="0"/>
      <w:marRight w:val="0"/>
      <w:marTop w:val="0"/>
      <w:marBottom w:val="0"/>
      <w:divBdr>
        <w:top w:val="none" w:sz="0" w:space="0" w:color="auto"/>
        <w:left w:val="none" w:sz="0" w:space="0" w:color="auto"/>
        <w:bottom w:val="none" w:sz="0" w:space="0" w:color="auto"/>
        <w:right w:val="none" w:sz="0" w:space="0" w:color="auto"/>
      </w:divBdr>
    </w:div>
    <w:div w:id="1706825685">
      <w:bodyDiv w:val="1"/>
      <w:marLeft w:val="0"/>
      <w:marRight w:val="0"/>
      <w:marTop w:val="0"/>
      <w:marBottom w:val="0"/>
      <w:divBdr>
        <w:top w:val="none" w:sz="0" w:space="0" w:color="auto"/>
        <w:left w:val="none" w:sz="0" w:space="0" w:color="auto"/>
        <w:bottom w:val="none" w:sz="0" w:space="0" w:color="auto"/>
        <w:right w:val="none" w:sz="0" w:space="0" w:color="auto"/>
      </w:divBdr>
    </w:div>
    <w:div w:id="1712849073">
      <w:bodyDiv w:val="1"/>
      <w:marLeft w:val="0"/>
      <w:marRight w:val="0"/>
      <w:marTop w:val="0"/>
      <w:marBottom w:val="0"/>
      <w:divBdr>
        <w:top w:val="none" w:sz="0" w:space="0" w:color="auto"/>
        <w:left w:val="none" w:sz="0" w:space="0" w:color="auto"/>
        <w:bottom w:val="none" w:sz="0" w:space="0" w:color="auto"/>
        <w:right w:val="none" w:sz="0" w:space="0" w:color="auto"/>
      </w:divBdr>
    </w:div>
    <w:div w:id="1732845026">
      <w:bodyDiv w:val="1"/>
      <w:marLeft w:val="0"/>
      <w:marRight w:val="0"/>
      <w:marTop w:val="0"/>
      <w:marBottom w:val="0"/>
      <w:divBdr>
        <w:top w:val="none" w:sz="0" w:space="0" w:color="auto"/>
        <w:left w:val="none" w:sz="0" w:space="0" w:color="auto"/>
        <w:bottom w:val="none" w:sz="0" w:space="0" w:color="auto"/>
        <w:right w:val="none" w:sz="0" w:space="0" w:color="auto"/>
      </w:divBdr>
    </w:div>
    <w:div w:id="1764719894">
      <w:bodyDiv w:val="1"/>
      <w:marLeft w:val="0"/>
      <w:marRight w:val="0"/>
      <w:marTop w:val="0"/>
      <w:marBottom w:val="0"/>
      <w:divBdr>
        <w:top w:val="none" w:sz="0" w:space="0" w:color="auto"/>
        <w:left w:val="none" w:sz="0" w:space="0" w:color="auto"/>
        <w:bottom w:val="none" w:sz="0" w:space="0" w:color="auto"/>
        <w:right w:val="none" w:sz="0" w:space="0" w:color="auto"/>
      </w:divBdr>
    </w:div>
    <w:div w:id="1767385708">
      <w:bodyDiv w:val="1"/>
      <w:marLeft w:val="0"/>
      <w:marRight w:val="0"/>
      <w:marTop w:val="0"/>
      <w:marBottom w:val="0"/>
      <w:divBdr>
        <w:top w:val="none" w:sz="0" w:space="0" w:color="auto"/>
        <w:left w:val="none" w:sz="0" w:space="0" w:color="auto"/>
        <w:bottom w:val="none" w:sz="0" w:space="0" w:color="auto"/>
        <w:right w:val="none" w:sz="0" w:space="0" w:color="auto"/>
      </w:divBdr>
    </w:div>
    <w:div w:id="1769495947">
      <w:bodyDiv w:val="1"/>
      <w:marLeft w:val="0"/>
      <w:marRight w:val="0"/>
      <w:marTop w:val="0"/>
      <w:marBottom w:val="0"/>
      <w:divBdr>
        <w:top w:val="none" w:sz="0" w:space="0" w:color="auto"/>
        <w:left w:val="none" w:sz="0" w:space="0" w:color="auto"/>
        <w:bottom w:val="none" w:sz="0" w:space="0" w:color="auto"/>
        <w:right w:val="none" w:sz="0" w:space="0" w:color="auto"/>
      </w:divBdr>
    </w:div>
    <w:div w:id="1772041915">
      <w:bodyDiv w:val="1"/>
      <w:marLeft w:val="0"/>
      <w:marRight w:val="0"/>
      <w:marTop w:val="0"/>
      <w:marBottom w:val="0"/>
      <w:divBdr>
        <w:top w:val="none" w:sz="0" w:space="0" w:color="auto"/>
        <w:left w:val="none" w:sz="0" w:space="0" w:color="auto"/>
        <w:bottom w:val="none" w:sz="0" w:space="0" w:color="auto"/>
        <w:right w:val="none" w:sz="0" w:space="0" w:color="auto"/>
      </w:divBdr>
    </w:div>
    <w:div w:id="1800613958">
      <w:bodyDiv w:val="1"/>
      <w:marLeft w:val="0"/>
      <w:marRight w:val="0"/>
      <w:marTop w:val="0"/>
      <w:marBottom w:val="0"/>
      <w:divBdr>
        <w:top w:val="none" w:sz="0" w:space="0" w:color="auto"/>
        <w:left w:val="none" w:sz="0" w:space="0" w:color="auto"/>
        <w:bottom w:val="none" w:sz="0" w:space="0" w:color="auto"/>
        <w:right w:val="none" w:sz="0" w:space="0" w:color="auto"/>
      </w:divBdr>
    </w:div>
    <w:div w:id="1810710554">
      <w:bodyDiv w:val="1"/>
      <w:marLeft w:val="0"/>
      <w:marRight w:val="0"/>
      <w:marTop w:val="0"/>
      <w:marBottom w:val="0"/>
      <w:divBdr>
        <w:top w:val="none" w:sz="0" w:space="0" w:color="auto"/>
        <w:left w:val="none" w:sz="0" w:space="0" w:color="auto"/>
        <w:bottom w:val="none" w:sz="0" w:space="0" w:color="auto"/>
        <w:right w:val="none" w:sz="0" w:space="0" w:color="auto"/>
      </w:divBdr>
    </w:div>
    <w:div w:id="1813516932">
      <w:bodyDiv w:val="1"/>
      <w:marLeft w:val="0"/>
      <w:marRight w:val="0"/>
      <w:marTop w:val="0"/>
      <w:marBottom w:val="0"/>
      <w:divBdr>
        <w:top w:val="none" w:sz="0" w:space="0" w:color="auto"/>
        <w:left w:val="none" w:sz="0" w:space="0" w:color="auto"/>
        <w:bottom w:val="none" w:sz="0" w:space="0" w:color="auto"/>
        <w:right w:val="none" w:sz="0" w:space="0" w:color="auto"/>
      </w:divBdr>
    </w:div>
    <w:div w:id="1827281915">
      <w:bodyDiv w:val="1"/>
      <w:marLeft w:val="0"/>
      <w:marRight w:val="0"/>
      <w:marTop w:val="0"/>
      <w:marBottom w:val="0"/>
      <w:divBdr>
        <w:top w:val="none" w:sz="0" w:space="0" w:color="auto"/>
        <w:left w:val="none" w:sz="0" w:space="0" w:color="auto"/>
        <w:bottom w:val="none" w:sz="0" w:space="0" w:color="auto"/>
        <w:right w:val="none" w:sz="0" w:space="0" w:color="auto"/>
      </w:divBdr>
    </w:div>
    <w:div w:id="1866558458">
      <w:bodyDiv w:val="1"/>
      <w:marLeft w:val="0"/>
      <w:marRight w:val="0"/>
      <w:marTop w:val="0"/>
      <w:marBottom w:val="0"/>
      <w:divBdr>
        <w:top w:val="none" w:sz="0" w:space="0" w:color="auto"/>
        <w:left w:val="none" w:sz="0" w:space="0" w:color="auto"/>
        <w:bottom w:val="none" w:sz="0" w:space="0" w:color="auto"/>
        <w:right w:val="none" w:sz="0" w:space="0" w:color="auto"/>
      </w:divBdr>
    </w:div>
    <w:div w:id="1879388551">
      <w:bodyDiv w:val="1"/>
      <w:marLeft w:val="0"/>
      <w:marRight w:val="0"/>
      <w:marTop w:val="0"/>
      <w:marBottom w:val="0"/>
      <w:divBdr>
        <w:top w:val="none" w:sz="0" w:space="0" w:color="auto"/>
        <w:left w:val="none" w:sz="0" w:space="0" w:color="auto"/>
        <w:bottom w:val="none" w:sz="0" w:space="0" w:color="auto"/>
        <w:right w:val="none" w:sz="0" w:space="0" w:color="auto"/>
      </w:divBdr>
    </w:div>
    <w:div w:id="1896505780">
      <w:bodyDiv w:val="1"/>
      <w:marLeft w:val="0"/>
      <w:marRight w:val="0"/>
      <w:marTop w:val="0"/>
      <w:marBottom w:val="0"/>
      <w:divBdr>
        <w:top w:val="none" w:sz="0" w:space="0" w:color="auto"/>
        <w:left w:val="none" w:sz="0" w:space="0" w:color="auto"/>
        <w:bottom w:val="none" w:sz="0" w:space="0" w:color="auto"/>
        <w:right w:val="none" w:sz="0" w:space="0" w:color="auto"/>
      </w:divBdr>
    </w:div>
    <w:div w:id="1910840701">
      <w:bodyDiv w:val="1"/>
      <w:marLeft w:val="0"/>
      <w:marRight w:val="0"/>
      <w:marTop w:val="0"/>
      <w:marBottom w:val="0"/>
      <w:divBdr>
        <w:top w:val="none" w:sz="0" w:space="0" w:color="auto"/>
        <w:left w:val="none" w:sz="0" w:space="0" w:color="auto"/>
        <w:bottom w:val="none" w:sz="0" w:space="0" w:color="auto"/>
        <w:right w:val="none" w:sz="0" w:space="0" w:color="auto"/>
      </w:divBdr>
    </w:div>
    <w:div w:id="1926188574">
      <w:bodyDiv w:val="1"/>
      <w:marLeft w:val="0"/>
      <w:marRight w:val="0"/>
      <w:marTop w:val="0"/>
      <w:marBottom w:val="0"/>
      <w:divBdr>
        <w:top w:val="none" w:sz="0" w:space="0" w:color="auto"/>
        <w:left w:val="none" w:sz="0" w:space="0" w:color="auto"/>
        <w:bottom w:val="none" w:sz="0" w:space="0" w:color="auto"/>
        <w:right w:val="none" w:sz="0" w:space="0" w:color="auto"/>
      </w:divBdr>
    </w:div>
    <w:div w:id="1931811338">
      <w:bodyDiv w:val="1"/>
      <w:marLeft w:val="0"/>
      <w:marRight w:val="0"/>
      <w:marTop w:val="0"/>
      <w:marBottom w:val="0"/>
      <w:divBdr>
        <w:top w:val="none" w:sz="0" w:space="0" w:color="auto"/>
        <w:left w:val="none" w:sz="0" w:space="0" w:color="auto"/>
        <w:bottom w:val="none" w:sz="0" w:space="0" w:color="auto"/>
        <w:right w:val="none" w:sz="0" w:space="0" w:color="auto"/>
      </w:divBdr>
    </w:div>
    <w:div w:id="1939831702">
      <w:bodyDiv w:val="1"/>
      <w:marLeft w:val="0"/>
      <w:marRight w:val="0"/>
      <w:marTop w:val="0"/>
      <w:marBottom w:val="0"/>
      <w:divBdr>
        <w:top w:val="none" w:sz="0" w:space="0" w:color="auto"/>
        <w:left w:val="none" w:sz="0" w:space="0" w:color="auto"/>
        <w:bottom w:val="none" w:sz="0" w:space="0" w:color="auto"/>
        <w:right w:val="none" w:sz="0" w:space="0" w:color="auto"/>
      </w:divBdr>
    </w:div>
    <w:div w:id="1956793040">
      <w:bodyDiv w:val="1"/>
      <w:marLeft w:val="0"/>
      <w:marRight w:val="0"/>
      <w:marTop w:val="0"/>
      <w:marBottom w:val="0"/>
      <w:divBdr>
        <w:top w:val="none" w:sz="0" w:space="0" w:color="auto"/>
        <w:left w:val="none" w:sz="0" w:space="0" w:color="auto"/>
        <w:bottom w:val="none" w:sz="0" w:space="0" w:color="auto"/>
        <w:right w:val="none" w:sz="0" w:space="0" w:color="auto"/>
      </w:divBdr>
    </w:div>
    <w:div w:id="1959674252">
      <w:bodyDiv w:val="1"/>
      <w:marLeft w:val="0"/>
      <w:marRight w:val="0"/>
      <w:marTop w:val="0"/>
      <w:marBottom w:val="0"/>
      <w:divBdr>
        <w:top w:val="none" w:sz="0" w:space="0" w:color="auto"/>
        <w:left w:val="none" w:sz="0" w:space="0" w:color="auto"/>
        <w:bottom w:val="none" w:sz="0" w:space="0" w:color="auto"/>
        <w:right w:val="none" w:sz="0" w:space="0" w:color="auto"/>
      </w:divBdr>
    </w:div>
    <w:div w:id="1983928808">
      <w:bodyDiv w:val="1"/>
      <w:marLeft w:val="0"/>
      <w:marRight w:val="0"/>
      <w:marTop w:val="0"/>
      <w:marBottom w:val="0"/>
      <w:divBdr>
        <w:top w:val="none" w:sz="0" w:space="0" w:color="auto"/>
        <w:left w:val="none" w:sz="0" w:space="0" w:color="auto"/>
        <w:bottom w:val="none" w:sz="0" w:space="0" w:color="auto"/>
        <w:right w:val="none" w:sz="0" w:space="0" w:color="auto"/>
      </w:divBdr>
    </w:div>
    <w:div w:id="2000957014">
      <w:bodyDiv w:val="1"/>
      <w:marLeft w:val="0"/>
      <w:marRight w:val="0"/>
      <w:marTop w:val="0"/>
      <w:marBottom w:val="0"/>
      <w:divBdr>
        <w:top w:val="none" w:sz="0" w:space="0" w:color="auto"/>
        <w:left w:val="none" w:sz="0" w:space="0" w:color="auto"/>
        <w:bottom w:val="none" w:sz="0" w:space="0" w:color="auto"/>
        <w:right w:val="none" w:sz="0" w:space="0" w:color="auto"/>
      </w:divBdr>
    </w:div>
    <w:div w:id="2022662737">
      <w:bodyDiv w:val="1"/>
      <w:marLeft w:val="0"/>
      <w:marRight w:val="0"/>
      <w:marTop w:val="0"/>
      <w:marBottom w:val="0"/>
      <w:divBdr>
        <w:top w:val="none" w:sz="0" w:space="0" w:color="auto"/>
        <w:left w:val="none" w:sz="0" w:space="0" w:color="auto"/>
        <w:bottom w:val="none" w:sz="0" w:space="0" w:color="auto"/>
        <w:right w:val="none" w:sz="0" w:space="0" w:color="auto"/>
      </w:divBdr>
    </w:div>
    <w:div w:id="2032103502">
      <w:bodyDiv w:val="1"/>
      <w:marLeft w:val="0"/>
      <w:marRight w:val="0"/>
      <w:marTop w:val="0"/>
      <w:marBottom w:val="0"/>
      <w:divBdr>
        <w:top w:val="none" w:sz="0" w:space="0" w:color="auto"/>
        <w:left w:val="none" w:sz="0" w:space="0" w:color="auto"/>
        <w:bottom w:val="none" w:sz="0" w:space="0" w:color="auto"/>
        <w:right w:val="none" w:sz="0" w:space="0" w:color="auto"/>
      </w:divBdr>
    </w:div>
    <w:div w:id="2046254389">
      <w:bodyDiv w:val="1"/>
      <w:marLeft w:val="0"/>
      <w:marRight w:val="0"/>
      <w:marTop w:val="0"/>
      <w:marBottom w:val="0"/>
      <w:divBdr>
        <w:top w:val="none" w:sz="0" w:space="0" w:color="auto"/>
        <w:left w:val="none" w:sz="0" w:space="0" w:color="auto"/>
        <w:bottom w:val="none" w:sz="0" w:space="0" w:color="auto"/>
        <w:right w:val="none" w:sz="0" w:space="0" w:color="auto"/>
      </w:divBdr>
    </w:div>
    <w:div w:id="2050102010">
      <w:bodyDiv w:val="1"/>
      <w:marLeft w:val="0"/>
      <w:marRight w:val="0"/>
      <w:marTop w:val="0"/>
      <w:marBottom w:val="0"/>
      <w:divBdr>
        <w:top w:val="none" w:sz="0" w:space="0" w:color="auto"/>
        <w:left w:val="none" w:sz="0" w:space="0" w:color="auto"/>
        <w:bottom w:val="none" w:sz="0" w:space="0" w:color="auto"/>
        <w:right w:val="none" w:sz="0" w:space="0" w:color="auto"/>
      </w:divBdr>
    </w:div>
    <w:div w:id="2061322925">
      <w:bodyDiv w:val="1"/>
      <w:marLeft w:val="0"/>
      <w:marRight w:val="0"/>
      <w:marTop w:val="0"/>
      <w:marBottom w:val="0"/>
      <w:divBdr>
        <w:top w:val="none" w:sz="0" w:space="0" w:color="auto"/>
        <w:left w:val="none" w:sz="0" w:space="0" w:color="auto"/>
        <w:bottom w:val="none" w:sz="0" w:space="0" w:color="auto"/>
        <w:right w:val="none" w:sz="0" w:space="0" w:color="auto"/>
      </w:divBdr>
    </w:div>
    <w:div w:id="2065906927">
      <w:bodyDiv w:val="1"/>
      <w:marLeft w:val="0"/>
      <w:marRight w:val="0"/>
      <w:marTop w:val="0"/>
      <w:marBottom w:val="0"/>
      <w:divBdr>
        <w:top w:val="none" w:sz="0" w:space="0" w:color="auto"/>
        <w:left w:val="none" w:sz="0" w:space="0" w:color="auto"/>
        <w:bottom w:val="none" w:sz="0" w:space="0" w:color="auto"/>
        <w:right w:val="none" w:sz="0" w:space="0" w:color="auto"/>
      </w:divBdr>
    </w:div>
    <w:div w:id="2070572404">
      <w:bodyDiv w:val="1"/>
      <w:marLeft w:val="0"/>
      <w:marRight w:val="0"/>
      <w:marTop w:val="0"/>
      <w:marBottom w:val="0"/>
      <w:divBdr>
        <w:top w:val="none" w:sz="0" w:space="0" w:color="auto"/>
        <w:left w:val="none" w:sz="0" w:space="0" w:color="auto"/>
        <w:bottom w:val="none" w:sz="0" w:space="0" w:color="auto"/>
        <w:right w:val="none" w:sz="0" w:space="0" w:color="auto"/>
      </w:divBdr>
    </w:div>
    <w:div w:id="2079285769">
      <w:bodyDiv w:val="1"/>
      <w:marLeft w:val="0"/>
      <w:marRight w:val="0"/>
      <w:marTop w:val="0"/>
      <w:marBottom w:val="0"/>
      <w:divBdr>
        <w:top w:val="none" w:sz="0" w:space="0" w:color="auto"/>
        <w:left w:val="none" w:sz="0" w:space="0" w:color="auto"/>
        <w:bottom w:val="none" w:sz="0" w:space="0" w:color="auto"/>
        <w:right w:val="none" w:sz="0" w:space="0" w:color="auto"/>
      </w:divBdr>
    </w:div>
    <w:div w:id="2093576907">
      <w:bodyDiv w:val="1"/>
      <w:marLeft w:val="0"/>
      <w:marRight w:val="0"/>
      <w:marTop w:val="0"/>
      <w:marBottom w:val="0"/>
      <w:divBdr>
        <w:top w:val="none" w:sz="0" w:space="0" w:color="auto"/>
        <w:left w:val="none" w:sz="0" w:space="0" w:color="auto"/>
        <w:bottom w:val="none" w:sz="0" w:space="0" w:color="auto"/>
        <w:right w:val="none" w:sz="0" w:space="0" w:color="auto"/>
      </w:divBdr>
    </w:div>
    <w:div w:id="2099251094">
      <w:bodyDiv w:val="1"/>
      <w:marLeft w:val="0"/>
      <w:marRight w:val="0"/>
      <w:marTop w:val="0"/>
      <w:marBottom w:val="0"/>
      <w:divBdr>
        <w:top w:val="none" w:sz="0" w:space="0" w:color="auto"/>
        <w:left w:val="none" w:sz="0" w:space="0" w:color="auto"/>
        <w:bottom w:val="none" w:sz="0" w:space="0" w:color="auto"/>
        <w:right w:val="none" w:sz="0" w:space="0" w:color="auto"/>
      </w:divBdr>
    </w:div>
    <w:div w:id="2118791814">
      <w:bodyDiv w:val="1"/>
      <w:marLeft w:val="0"/>
      <w:marRight w:val="0"/>
      <w:marTop w:val="0"/>
      <w:marBottom w:val="0"/>
      <w:divBdr>
        <w:top w:val="none" w:sz="0" w:space="0" w:color="auto"/>
        <w:left w:val="none" w:sz="0" w:space="0" w:color="auto"/>
        <w:bottom w:val="none" w:sz="0" w:space="0" w:color="auto"/>
        <w:right w:val="none" w:sz="0" w:space="0" w:color="auto"/>
      </w:divBdr>
    </w:div>
    <w:div w:id="214296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ualzz.com/doc/38801324/smart-metering-by-mike-simms" TargetMode="External"/><Relationship Id="rId13" Type="http://schemas.openxmlformats.org/officeDocument/2006/relationships/hyperlink" Target="https://www.ofgem.gov.uk/sites/default/files/docs/2009/05/sohn-overview-of-losses-final-internet-version.pdf" TargetMode="External"/><Relationship Id="rId18" Type="http://schemas.openxmlformats.org/officeDocument/2006/relationships/hyperlink" Target="https://ec.europa.eu/energy/sites/ener/files/documents/GRIDEE_4NT_364174_000_01_TOTALDOC%20-%2018-1-2016.pdf" TargetMode="External"/><Relationship Id="rId26" Type="http://schemas.openxmlformats.org/officeDocument/2006/relationships/hyperlink" Target="https://www.euneighbours.eu/sites/default/files/publications/2019-12/Medreg%20regulatory%20practices.pdf" TargetMode="External"/><Relationship Id="rId3" Type="http://schemas.openxmlformats.org/officeDocument/2006/relationships/styles" Target="styles.xml"/><Relationship Id="rId21" Type="http://schemas.openxmlformats.org/officeDocument/2006/relationships/hyperlink" Target="https://www.entsoe.eu/news/2020/12/16/entso-e-publishes-its-annual-overview-of-transmission-tariffs-in-europe-for-2019/" TargetMode="External"/><Relationship Id="rId7" Type="http://schemas.openxmlformats.org/officeDocument/2006/relationships/endnotes" Target="endnotes.xml"/><Relationship Id="rId12" Type="http://schemas.openxmlformats.org/officeDocument/2006/relationships/hyperlink" Target="https://www.usb.ac.ir/FileStaff/7926_2019-4-10-12-27-43.pdf" TargetMode="External"/><Relationship Id="rId17" Type="http://schemas.openxmlformats.org/officeDocument/2006/relationships/hyperlink" Target="https://www.ceer.eu/documents/104400/-/-/09ecee88-e877-3305-6767-e75404637087" TargetMode="External"/><Relationship Id="rId25" Type="http://schemas.openxmlformats.org/officeDocument/2006/relationships/hyperlink" Target="https://www.mdpi.com/1996-1073/13/13/344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eer.eu/documents/104400/-/-/1bdc6307-7f9a-c6de-6950-f19873959413" TargetMode="External"/><Relationship Id="rId20" Type="http://schemas.openxmlformats.org/officeDocument/2006/relationships/hyperlink" Target="http://www.inogate.org/documents/Treatment%20of%20losses%20in%20the%20HV%20networks.pdf" TargetMode="External"/><Relationship Id="rId29" Type="http://schemas.openxmlformats.org/officeDocument/2006/relationships/hyperlink" Target="https://ec.europa.eu/energy/sites/ener/files/documents/EG3%20Final%20-%20January%2020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nnl.gov/sites/default/files/media/file/DSOT%20Vol%201%20Main%20Report-Final.pdf" TargetMode="External"/><Relationship Id="rId24" Type="http://schemas.openxmlformats.org/officeDocument/2006/relationships/hyperlink" Target="https://cdn.eurelectric.org/media/5089/dso-facts-and-figures-11122020-compressed-2020-030-0721-01-e-h-6BF237D8.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eer.eu/documents/104400/-/-/fd4178b4-ed00-6d06-5f4b-8b87d630b060" TargetMode="External"/><Relationship Id="rId23" Type="http://schemas.openxmlformats.org/officeDocument/2006/relationships/hyperlink" Target="https://erranet.org/wp-content/uploads/2020/04/TSO-DSO-Main-Report.pdf" TargetMode="External"/><Relationship Id="rId28" Type="http://schemas.openxmlformats.org/officeDocument/2006/relationships/hyperlink" Target="https://ec.europa.eu/research/participants/documents/downloadPublic?documentIds=080166e5ae9eecc0&amp;appId=PPGMS" TargetMode="External"/><Relationship Id="rId10" Type="http://schemas.openxmlformats.org/officeDocument/2006/relationships/hyperlink" Target="https://www.mdpi.com/1996-1073/14/15/4451" TargetMode="External"/><Relationship Id="rId19" Type="http://schemas.openxmlformats.org/officeDocument/2006/relationships/hyperlink" Target="https://eur-lex.europa.eu/legal-content/RO/TXT/PDF/?uri=CELEX:32009L0072&amp;from=H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rxiv.org/pdf/2102.01269.pdf" TargetMode="External"/><Relationship Id="rId14" Type="http://schemas.openxmlformats.org/officeDocument/2006/relationships/hyperlink" Target="https://www.ofgem.gov.uk/energy-policy-and-regulation/policy-and-regulatory-programmes/distribution-price-control-review-dpcr-4" TargetMode="External"/><Relationship Id="rId22" Type="http://schemas.openxmlformats.org/officeDocument/2006/relationships/hyperlink" Target="https://eepublicdownloads.entsoe.eu/clean-documents/Publications/Position%20papers%20and%20reports/entsoe_TSO-DSO_DMR_web.pdf" TargetMode="External"/><Relationship Id="rId27" Type="http://schemas.openxmlformats.org/officeDocument/2006/relationships/hyperlink" Target="https://eur-lex.europa.eu/legal-content/RO/TXT/PDF/?uri=CELEX:32010R0838&amp;from=EN" TargetMode="External"/><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cired.org" TargetMode="External"/><Relationship Id="rId2" Type="http://schemas.openxmlformats.org/officeDocument/2006/relationships/hyperlink" Target="https://www.acer.europa.eu/the-agency/about-acer" TargetMode="External"/><Relationship Id="rId1" Type="http://schemas.openxmlformats.org/officeDocument/2006/relationships/hyperlink" Target="https://en.wikipedia.org/wiki/Council_of_European_Energy_Regulators" TargetMode="External"/><Relationship Id="rId4" Type="http://schemas.openxmlformats.org/officeDocument/2006/relationships/hyperlink" Target="https://www.cigre.org/userfiles/files/Abou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1A6F6-590D-48CC-A6FE-94369EB4A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4848</Words>
  <Characters>28123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2022-07-19T16:33:00Z</dcterms:created>
  <dcterms:modified xsi:type="dcterms:W3CDTF">2022-07-25T09:56:00Z</dcterms:modified>
</cp:coreProperties>
</file>