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1BC" w:rsidRPr="00304EAE" w:rsidRDefault="007721BC" w:rsidP="001032B4">
      <w:pPr>
        <w:spacing w:before="120"/>
        <w:ind w:right="-180"/>
        <w:jc w:val="center"/>
        <w:rPr>
          <w:b/>
          <w:bCs/>
          <w:lang w:val="ro-RO"/>
        </w:rPr>
      </w:pPr>
      <w:r w:rsidRPr="00304EAE">
        <w:rPr>
          <w:lang w:val="pt-BR"/>
        </w:rPr>
        <w:t>Sinteza observa</w:t>
      </w:r>
      <w:r w:rsidRPr="00304EAE">
        <w:rPr>
          <w:lang w:val="ro-RO"/>
        </w:rPr>
        <w:t xml:space="preserve">ţiilor la Ordinul </w:t>
      </w:r>
      <w:r w:rsidRPr="00304EAE">
        <w:rPr>
          <w:color w:val="000000"/>
          <w:lang w:val="ro-RO"/>
        </w:rPr>
        <w:t xml:space="preserve">privind aprobarea regulilor pentru decontarea într-o lună în </w:t>
      </w:r>
      <w:r w:rsidRPr="00304EAE">
        <w:rPr>
          <w:color w:val="000000"/>
          <w:lang w:val="ro-RO"/>
        </w:rPr>
        <w:br/>
        <w:t>piaţa de echilibrare de energie electrică</w:t>
      </w:r>
    </w:p>
    <w:p w:rsidR="007721BC" w:rsidRPr="00304EAE" w:rsidRDefault="007721BC" w:rsidP="005901EB">
      <w:pPr>
        <w:jc w:val="center"/>
        <w:rPr>
          <w:lang w:val="ro-RO"/>
        </w:rPr>
      </w:pPr>
    </w:p>
    <w:p w:rsidR="007721BC" w:rsidRPr="00304EAE" w:rsidRDefault="007721BC" w:rsidP="005901EB">
      <w:pPr>
        <w:tabs>
          <w:tab w:val="left" w:pos="2160"/>
          <w:tab w:val="left" w:pos="3060"/>
        </w:tabs>
        <w:ind w:left="-180"/>
        <w:jc w:val="center"/>
        <w:rPr>
          <w:b/>
          <w:bCs/>
          <w:lang w:val="ro-RO"/>
        </w:rPr>
      </w:pPr>
    </w:p>
    <w:p w:rsidR="007721BC" w:rsidRPr="00304EAE" w:rsidRDefault="007721BC" w:rsidP="005901EB">
      <w:pPr>
        <w:jc w:val="center"/>
        <w:rPr>
          <w:b/>
          <w:bCs/>
          <w:lang w:val="ro-RO"/>
        </w:rPr>
      </w:pPr>
    </w:p>
    <w:tbl>
      <w:tblPr>
        <w:tblW w:w="146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340"/>
        <w:gridCol w:w="2520"/>
        <w:gridCol w:w="4860"/>
        <w:gridCol w:w="4140"/>
      </w:tblGrid>
      <w:tr w:rsidR="007721BC" w:rsidRPr="00304EAE">
        <w:tc>
          <w:tcPr>
            <w:tcW w:w="828" w:type="dxa"/>
          </w:tcPr>
          <w:p w:rsidR="007721BC" w:rsidRPr="00304EAE" w:rsidRDefault="007721BC" w:rsidP="00786CAA">
            <w:pPr>
              <w:jc w:val="center"/>
              <w:rPr>
                <w:lang w:val="ro-RO"/>
              </w:rPr>
            </w:pPr>
            <w:r w:rsidRPr="00304EAE">
              <w:rPr>
                <w:lang w:val="ro-RO"/>
              </w:rPr>
              <w:t>Nr. crt.</w:t>
            </w:r>
          </w:p>
        </w:tc>
        <w:tc>
          <w:tcPr>
            <w:tcW w:w="2340" w:type="dxa"/>
          </w:tcPr>
          <w:p w:rsidR="007721BC" w:rsidRPr="00304EAE" w:rsidRDefault="007721BC" w:rsidP="00786CAA">
            <w:pPr>
              <w:jc w:val="center"/>
              <w:rPr>
                <w:lang w:val="ro-RO"/>
              </w:rPr>
            </w:pPr>
            <w:r w:rsidRPr="00304EAE">
              <w:rPr>
                <w:lang w:val="ro-RO"/>
              </w:rPr>
              <w:t>Instituţia emitentă</w:t>
            </w:r>
          </w:p>
        </w:tc>
        <w:tc>
          <w:tcPr>
            <w:tcW w:w="2520" w:type="dxa"/>
          </w:tcPr>
          <w:p w:rsidR="007721BC" w:rsidRPr="00304EAE" w:rsidRDefault="007721BC" w:rsidP="00786CAA">
            <w:pPr>
              <w:jc w:val="center"/>
              <w:rPr>
                <w:lang w:val="ro-RO"/>
              </w:rPr>
            </w:pPr>
            <w:r w:rsidRPr="00304EAE">
              <w:rPr>
                <w:lang w:val="ro-RO"/>
              </w:rPr>
              <w:t>Capitol/articol/paragraf</w:t>
            </w:r>
          </w:p>
        </w:tc>
        <w:tc>
          <w:tcPr>
            <w:tcW w:w="4860" w:type="dxa"/>
          </w:tcPr>
          <w:p w:rsidR="007721BC" w:rsidRPr="00304EAE" w:rsidRDefault="007721BC" w:rsidP="00786CAA">
            <w:pPr>
              <w:jc w:val="center"/>
              <w:rPr>
                <w:lang w:val="ro-RO"/>
              </w:rPr>
            </w:pPr>
            <w:r w:rsidRPr="00304EAE">
              <w:rPr>
                <w:lang w:val="ro-RO"/>
              </w:rPr>
              <w:t>Modificarea propusă</w:t>
            </w:r>
          </w:p>
        </w:tc>
        <w:tc>
          <w:tcPr>
            <w:tcW w:w="4140" w:type="dxa"/>
          </w:tcPr>
          <w:p w:rsidR="007721BC" w:rsidRPr="00304EAE" w:rsidRDefault="007721BC" w:rsidP="00786CAA">
            <w:pPr>
              <w:jc w:val="center"/>
              <w:rPr>
                <w:lang w:val="ro-RO"/>
              </w:rPr>
            </w:pPr>
            <w:r w:rsidRPr="00304EAE">
              <w:rPr>
                <w:lang w:val="ro-RO"/>
              </w:rPr>
              <w:t>Concluzia elaboratorului</w:t>
            </w:r>
          </w:p>
        </w:tc>
      </w:tr>
      <w:tr w:rsidR="007721BC" w:rsidRPr="00304EAE">
        <w:tc>
          <w:tcPr>
            <w:tcW w:w="828" w:type="dxa"/>
          </w:tcPr>
          <w:p w:rsidR="007721BC" w:rsidRPr="00304EAE" w:rsidRDefault="007721BC" w:rsidP="00786CAA">
            <w:pPr>
              <w:jc w:val="center"/>
              <w:rPr>
                <w:lang w:val="ro-RO"/>
              </w:rPr>
            </w:pPr>
            <w:r w:rsidRPr="00304EAE">
              <w:rPr>
                <w:lang w:val="ro-RO"/>
              </w:rPr>
              <w:t>0</w:t>
            </w:r>
          </w:p>
        </w:tc>
        <w:tc>
          <w:tcPr>
            <w:tcW w:w="2340" w:type="dxa"/>
          </w:tcPr>
          <w:p w:rsidR="007721BC" w:rsidRPr="00304EAE" w:rsidRDefault="007721BC" w:rsidP="00786CAA">
            <w:pPr>
              <w:jc w:val="center"/>
              <w:rPr>
                <w:lang w:val="ro-RO"/>
              </w:rPr>
            </w:pPr>
            <w:r w:rsidRPr="00304EAE">
              <w:rPr>
                <w:lang w:val="ro-RO"/>
              </w:rPr>
              <w:t>1</w:t>
            </w:r>
          </w:p>
        </w:tc>
        <w:tc>
          <w:tcPr>
            <w:tcW w:w="2520" w:type="dxa"/>
          </w:tcPr>
          <w:p w:rsidR="007721BC" w:rsidRPr="00304EAE" w:rsidRDefault="007721BC" w:rsidP="00786CAA">
            <w:pPr>
              <w:jc w:val="center"/>
              <w:rPr>
                <w:lang w:val="ro-RO"/>
              </w:rPr>
            </w:pPr>
            <w:r w:rsidRPr="00304EAE">
              <w:rPr>
                <w:lang w:val="ro-RO"/>
              </w:rPr>
              <w:t>2</w:t>
            </w:r>
          </w:p>
        </w:tc>
        <w:tc>
          <w:tcPr>
            <w:tcW w:w="4860" w:type="dxa"/>
          </w:tcPr>
          <w:p w:rsidR="007721BC" w:rsidRPr="00304EAE" w:rsidRDefault="007721BC" w:rsidP="00786CAA">
            <w:pPr>
              <w:jc w:val="center"/>
              <w:rPr>
                <w:lang w:val="ro-RO"/>
              </w:rPr>
            </w:pPr>
            <w:r w:rsidRPr="00304EAE">
              <w:rPr>
                <w:lang w:val="ro-RO"/>
              </w:rPr>
              <w:t>3</w:t>
            </w:r>
          </w:p>
        </w:tc>
        <w:tc>
          <w:tcPr>
            <w:tcW w:w="4140" w:type="dxa"/>
          </w:tcPr>
          <w:p w:rsidR="007721BC" w:rsidRPr="00304EAE" w:rsidRDefault="007721BC" w:rsidP="00786CAA">
            <w:pPr>
              <w:jc w:val="center"/>
              <w:rPr>
                <w:lang w:val="ro-RO"/>
              </w:rPr>
            </w:pPr>
            <w:r w:rsidRPr="00304EAE">
              <w:rPr>
                <w:lang w:val="ro-RO"/>
              </w:rPr>
              <w:t>4</w:t>
            </w:r>
          </w:p>
        </w:tc>
      </w:tr>
      <w:tr w:rsidR="007721BC" w:rsidRPr="00A9047F">
        <w:tc>
          <w:tcPr>
            <w:tcW w:w="828" w:type="dxa"/>
          </w:tcPr>
          <w:p w:rsidR="007721BC" w:rsidRPr="00304EAE" w:rsidRDefault="007721BC" w:rsidP="00786CAA">
            <w:pPr>
              <w:jc w:val="both"/>
              <w:rPr>
                <w:lang w:val="ro-RO"/>
              </w:rPr>
            </w:pPr>
            <w:r w:rsidRPr="00304EAE">
              <w:rPr>
                <w:lang w:val="ro-RO"/>
              </w:rPr>
              <w:t>1</w:t>
            </w:r>
          </w:p>
        </w:tc>
        <w:tc>
          <w:tcPr>
            <w:tcW w:w="2340" w:type="dxa"/>
          </w:tcPr>
          <w:p w:rsidR="007721BC" w:rsidRPr="00304EAE" w:rsidRDefault="007721BC" w:rsidP="00786CAA">
            <w:pPr>
              <w:jc w:val="both"/>
              <w:rPr>
                <w:lang w:val="ro-RO"/>
              </w:rPr>
            </w:pPr>
            <w:r w:rsidRPr="00304EAE">
              <w:rPr>
                <w:lang w:val="ro-RO"/>
              </w:rPr>
              <w:t>Transelectrica</w:t>
            </w:r>
          </w:p>
        </w:tc>
        <w:tc>
          <w:tcPr>
            <w:tcW w:w="2520" w:type="dxa"/>
          </w:tcPr>
          <w:p w:rsidR="007721BC" w:rsidRPr="00304EAE" w:rsidRDefault="007721BC" w:rsidP="00786CAA">
            <w:pPr>
              <w:jc w:val="both"/>
              <w:rPr>
                <w:lang w:val="ro-RO"/>
              </w:rPr>
            </w:pPr>
            <w:r w:rsidRPr="00304EAE">
              <w:rPr>
                <w:lang w:val="ro-RO"/>
              </w:rPr>
              <w:t>general</w:t>
            </w:r>
          </w:p>
        </w:tc>
        <w:tc>
          <w:tcPr>
            <w:tcW w:w="4860" w:type="dxa"/>
          </w:tcPr>
          <w:p w:rsidR="007721BC" w:rsidRPr="00304EAE" w:rsidRDefault="007721BC" w:rsidP="00786CAA">
            <w:pPr>
              <w:jc w:val="both"/>
              <w:rPr>
                <w:lang w:val="ro-RO"/>
              </w:rPr>
            </w:pPr>
            <w:r w:rsidRPr="00304EAE">
              <w:rPr>
                <w:lang w:val="ro-RO"/>
              </w:rPr>
              <w:t>Pentru a putea plăti celor cca. 100 de PRE-uri (sunt inregistrate peste una suta de PRE, respectiv active peste cincizeci), OTS ar trebui sa aiba in cont intreaga suma colectata.</w:t>
            </w:r>
          </w:p>
          <w:p w:rsidR="007721BC" w:rsidRPr="00304EAE" w:rsidRDefault="007721BC" w:rsidP="00786CAA">
            <w:pPr>
              <w:jc w:val="both"/>
              <w:rPr>
                <w:lang w:val="ro-RO"/>
              </w:rPr>
            </w:pPr>
            <w:r w:rsidRPr="00304EAE">
              <w:rPr>
                <w:lang w:val="ro-RO"/>
              </w:rPr>
              <w:t>Argumentele sunt de natura financiara si de natura activitate, respectiv:</w:t>
            </w:r>
          </w:p>
          <w:p w:rsidR="007721BC" w:rsidRPr="00304EAE" w:rsidRDefault="007721BC" w:rsidP="00786CAA">
            <w:pPr>
              <w:numPr>
                <w:ilvl w:val="0"/>
                <w:numId w:val="1"/>
              </w:numPr>
              <w:jc w:val="both"/>
              <w:rPr>
                <w:lang w:val="ro-RO"/>
              </w:rPr>
            </w:pPr>
            <w:r w:rsidRPr="00304EAE">
              <w:rPr>
                <w:lang w:val="ro-RO"/>
              </w:rPr>
              <w:t>suma colectata real – respectiv aflata in contul OTS va fi la doua-trei zile de la termenul scadent, deoarece practica este de a se plati cat mai aproape de termenul scadent.</w:t>
            </w:r>
            <w:r w:rsidRPr="00304EAE">
              <w:rPr>
                <w:color w:val="00B050"/>
                <w:lang w:val="ro-RO"/>
              </w:rPr>
              <w:t xml:space="preserve"> </w:t>
            </w:r>
            <w:r w:rsidRPr="00304EAE">
              <w:rPr>
                <w:lang w:val="ro-RO"/>
              </w:rPr>
              <w:t>Avand in vedere faptul ca PRE-urile fac plati la banci diferite si transferul interbancar dureaza 2-3 zile lucratoare, consideram termenul de 8 zile lucratoare pentru achitarea facturilor de catre OTS, justificat</w:t>
            </w:r>
            <w:r w:rsidRPr="00304EAE">
              <w:rPr>
                <w:i/>
                <w:iCs/>
                <w:lang w:val="ro-RO"/>
              </w:rPr>
              <w:t xml:space="preserve">. </w:t>
            </w:r>
            <w:r w:rsidRPr="00304EAE">
              <w:rPr>
                <w:lang w:val="ro-RO"/>
              </w:rPr>
              <w:t xml:space="preserve"> </w:t>
            </w:r>
          </w:p>
          <w:p w:rsidR="007721BC" w:rsidRPr="00304EAE" w:rsidRDefault="007721BC" w:rsidP="00786CAA">
            <w:pPr>
              <w:numPr>
                <w:ilvl w:val="0"/>
                <w:numId w:val="1"/>
              </w:numPr>
              <w:jc w:val="both"/>
              <w:rPr>
                <w:lang w:val="ro-RO"/>
              </w:rPr>
            </w:pPr>
            <w:r w:rsidRPr="00304EAE">
              <w:rPr>
                <w:lang w:val="ro-RO"/>
              </w:rPr>
              <w:t>OTS are de intocmit si livrat peste 100 de facturi – care se transmit prin posta rapida, in timp ce un PRE, PPE are de intocmit si livrat una, doua facturi catre OTS (unele PRE-uri trimit direct prin reprezentant inca din prima zi facturile la OTS).</w:t>
            </w:r>
          </w:p>
          <w:p w:rsidR="007721BC" w:rsidRPr="00304EAE" w:rsidRDefault="007721BC" w:rsidP="00786CAA">
            <w:pPr>
              <w:ind w:left="720"/>
              <w:jc w:val="both"/>
              <w:rPr>
                <w:lang w:val="ro-RO"/>
              </w:rPr>
            </w:pPr>
          </w:p>
          <w:p w:rsidR="007721BC" w:rsidRPr="00304EAE" w:rsidRDefault="007721BC" w:rsidP="00786CAA">
            <w:pPr>
              <w:jc w:val="both"/>
              <w:rPr>
                <w:lang w:val="ro-RO"/>
              </w:rPr>
            </w:pPr>
            <w:r w:rsidRPr="00304EAE">
              <w:rPr>
                <w:lang w:val="ro-RO"/>
              </w:rPr>
              <w:t xml:space="preserve">Daca se pastreaza egalitatea termenelor de plata </w:t>
            </w:r>
            <w:r w:rsidRPr="00304EAE">
              <w:rPr>
                <w:lang w:val="ro-RO"/>
              </w:rPr>
              <w:lastRenderedPageBreak/>
              <w:t>OTS va fi „obligat” in continuare, pentru a nu plati penalitati aferente intarzierilor la plata, sa utilizeze fonduri aferente celorlalte piete, respectiv piata serviciului de transport.</w:t>
            </w:r>
          </w:p>
          <w:p w:rsidR="007721BC" w:rsidRPr="00304EAE" w:rsidRDefault="007721BC" w:rsidP="00786CAA">
            <w:pPr>
              <w:jc w:val="both"/>
              <w:rPr>
                <w:lang w:val="ro-RO"/>
              </w:rPr>
            </w:pPr>
          </w:p>
        </w:tc>
        <w:tc>
          <w:tcPr>
            <w:tcW w:w="4140" w:type="dxa"/>
          </w:tcPr>
          <w:p w:rsidR="007721BC" w:rsidRPr="00304EAE" w:rsidRDefault="007721BC" w:rsidP="00786CAA">
            <w:pPr>
              <w:spacing w:before="120" w:after="120"/>
              <w:jc w:val="both"/>
              <w:rPr>
                <w:i/>
                <w:iCs/>
                <w:lang w:val="ro-RO"/>
              </w:rPr>
            </w:pPr>
            <w:r w:rsidRPr="00304EAE">
              <w:rPr>
                <w:lang w:val="ro-RO"/>
              </w:rPr>
              <w:lastRenderedPageBreak/>
              <w:t>Conform prevederii art. 2 alin (1), lit j) „</w:t>
            </w:r>
            <w:r w:rsidRPr="00304EAE">
              <w:rPr>
                <w:i/>
                <w:iCs/>
                <w:lang w:val="ro-RO"/>
              </w:rPr>
              <w:t xml:space="preserve">În ziua în care a finalizat toate activităţile precizate la art. 2, alin. 1 lit. i), ODPE transmite la OTS, fiecărei PPE şi PRE notele lunare de informare pentru decontarea obligaţiilor de plată/drepturilor de încasare. Începând cu următoarea zi lucrătoare PPE, PRE şi OTS emit facturile aferente decontării.” </w:t>
            </w:r>
          </w:p>
          <w:p w:rsidR="007721BC" w:rsidRPr="00304EAE" w:rsidRDefault="007721BC" w:rsidP="00786CAA">
            <w:pPr>
              <w:jc w:val="both"/>
              <w:rPr>
                <w:lang w:val="ro-RO"/>
              </w:rPr>
            </w:pPr>
            <w:r w:rsidRPr="00304EAE">
              <w:rPr>
                <w:lang w:val="ro-RO"/>
              </w:rPr>
              <w:t>De altfel, OTS poate face uz d prevederea pct. 14.17.2 din Codul comercial, care prevede:</w:t>
            </w:r>
          </w:p>
          <w:p w:rsidR="007721BC" w:rsidRPr="00304EAE" w:rsidRDefault="007721BC" w:rsidP="00786CAA">
            <w:pPr>
              <w:pStyle w:val="Heading4"/>
              <w:numPr>
                <w:ilvl w:val="0"/>
                <w:numId w:val="0"/>
              </w:numPr>
              <w:tabs>
                <w:tab w:val="num" w:pos="1260"/>
              </w:tabs>
              <w:rPr>
                <w:rFonts w:ascii="Times New Roman" w:hAnsi="Times New Roman" w:cs="Times New Roman"/>
                <w:color w:val="000000"/>
                <w:sz w:val="24"/>
                <w:szCs w:val="24"/>
                <w:lang w:val="ro-RO"/>
              </w:rPr>
            </w:pPr>
            <w:r w:rsidRPr="00304EAE">
              <w:rPr>
                <w:rFonts w:ascii="Times New Roman" w:hAnsi="Times New Roman" w:cs="Times New Roman"/>
                <w:color w:val="000000"/>
                <w:sz w:val="24"/>
                <w:szCs w:val="24"/>
                <w:lang w:val="ro-RO"/>
              </w:rPr>
              <w:t>„</w:t>
            </w:r>
            <w:r w:rsidRPr="00304EAE">
              <w:rPr>
                <w:rFonts w:ascii="Times New Roman" w:hAnsi="Times New Roman" w:cs="Times New Roman"/>
                <w:i/>
                <w:iCs/>
                <w:color w:val="000000"/>
                <w:sz w:val="24"/>
                <w:szCs w:val="24"/>
                <w:lang w:val="ro-RO"/>
              </w:rPr>
              <w:t xml:space="preserve">Pentru protejarea OTS faţǎ de riscul de insolvabilitate datorat plaţilor întârziate ale Participanţilor la PE, PRE şi/sau Producători, şi pentru o alocare echitabilă a riscurilor şi pierderilor asociate, OTS va plǎti orice sumǎ datoratǎ către Participanţii la PE şi/sau PRE  numai dupǎ încasarea plǎţilor de la Participanţii la PE, PRE şi/sau Producătorii care au obligaţii de </w:t>
            </w:r>
            <w:r w:rsidRPr="00304EAE">
              <w:rPr>
                <w:rFonts w:ascii="Times New Roman" w:hAnsi="Times New Roman" w:cs="Times New Roman"/>
                <w:i/>
                <w:iCs/>
                <w:color w:val="000000"/>
                <w:sz w:val="24"/>
                <w:szCs w:val="24"/>
                <w:lang w:val="ro-RO"/>
              </w:rPr>
              <w:lastRenderedPageBreak/>
              <w:t>plată către OTS, şi numai proporţional cu participaţia dreptului de încasare al fiecărui Participant la PE şi/sau PRE în obligaţia totală de plată a OTS</w:t>
            </w:r>
            <w:r w:rsidRPr="00304EAE">
              <w:rPr>
                <w:rFonts w:ascii="Times New Roman" w:hAnsi="Times New Roman" w:cs="Times New Roman"/>
                <w:color w:val="000000"/>
                <w:sz w:val="24"/>
                <w:szCs w:val="24"/>
                <w:lang w:val="ro-RO"/>
              </w:rPr>
              <w:t>.”</w:t>
            </w:r>
          </w:p>
          <w:p w:rsidR="007721BC" w:rsidRPr="00304EAE" w:rsidRDefault="007721BC" w:rsidP="00786CAA">
            <w:pPr>
              <w:jc w:val="both"/>
              <w:rPr>
                <w:lang w:val="ro-RO"/>
              </w:rPr>
            </w:pPr>
          </w:p>
        </w:tc>
      </w:tr>
      <w:tr w:rsidR="007721BC" w:rsidRPr="00A9047F">
        <w:tc>
          <w:tcPr>
            <w:tcW w:w="828" w:type="dxa"/>
          </w:tcPr>
          <w:p w:rsidR="007721BC" w:rsidRPr="00304EAE" w:rsidRDefault="007721BC" w:rsidP="00786CAA">
            <w:pPr>
              <w:jc w:val="center"/>
              <w:rPr>
                <w:lang w:val="ro-RO"/>
              </w:rPr>
            </w:pPr>
            <w:r w:rsidRPr="00304EAE">
              <w:rPr>
                <w:lang w:val="ro-RO"/>
              </w:rPr>
              <w:lastRenderedPageBreak/>
              <w:t>2</w:t>
            </w:r>
          </w:p>
        </w:tc>
        <w:tc>
          <w:tcPr>
            <w:tcW w:w="2340" w:type="dxa"/>
          </w:tcPr>
          <w:p w:rsidR="007721BC" w:rsidRPr="00304EAE" w:rsidRDefault="007721BC" w:rsidP="00786CAA">
            <w:pPr>
              <w:jc w:val="both"/>
              <w:rPr>
                <w:lang w:val="ro-RO"/>
              </w:rPr>
            </w:pPr>
            <w:r w:rsidRPr="00304EAE">
              <w:rPr>
                <w:lang w:val="ro-RO"/>
              </w:rPr>
              <w:t>Electrica</w:t>
            </w:r>
          </w:p>
        </w:tc>
        <w:tc>
          <w:tcPr>
            <w:tcW w:w="2520" w:type="dxa"/>
          </w:tcPr>
          <w:p w:rsidR="007721BC" w:rsidRPr="00304EAE" w:rsidRDefault="007721BC" w:rsidP="00786CAA">
            <w:pPr>
              <w:jc w:val="both"/>
              <w:rPr>
                <w:lang w:val="ro-RO"/>
              </w:rPr>
            </w:pPr>
            <w:r w:rsidRPr="00304EAE">
              <w:rPr>
                <w:lang w:val="ro-RO"/>
              </w:rPr>
              <w:t>general</w:t>
            </w:r>
          </w:p>
        </w:tc>
        <w:tc>
          <w:tcPr>
            <w:tcW w:w="4860" w:type="dxa"/>
          </w:tcPr>
          <w:p w:rsidR="007721BC" w:rsidRPr="00304EAE" w:rsidRDefault="007721BC" w:rsidP="00786CAA">
            <w:pPr>
              <w:ind w:firstLine="720"/>
              <w:jc w:val="both"/>
              <w:rPr>
                <w:lang w:val="ro-RO"/>
              </w:rPr>
            </w:pPr>
            <w:r w:rsidRPr="00304EAE">
              <w:rPr>
                <w:lang w:val="ro-RO"/>
              </w:rPr>
              <w:t>1. In ceea ce priveste termenele prevazute in Codul Comercial referitoare la decontarea finala, respectiv transmiterea la operatorul de masurare al pietei angro (OMEPA) de către operatorii de măsurare a valorilor masurate/agregate (OD), prelucrarea, validarea si transmiterea la operatorul de decontare al pietei de echilibrare (OPCOM) sau la operatorul pietei de echilibrare (OPE) si decontarea in cadrul partii responsabile cu echilibrarea (PRE), consideram ca trebuie mentinute pentru a reduce riscul aparitiei erorilor in realizarea operatiunilor prezentate.</w:t>
            </w:r>
          </w:p>
          <w:p w:rsidR="007721BC" w:rsidRPr="00304EAE" w:rsidRDefault="007721BC" w:rsidP="00786CAA">
            <w:pPr>
              <w:ind w:firstLine="720"/>
              <w:jc w:val="both"/>
              <w:rPr>
                <w:lang w:val="ro-RO"/>
              </w:rPr>
            </w:pPr>
            <w:r w:rsidRPr="00304EAE">
              <w:rPr>
                <w:lang w:val="ro-RO"/>
              </w:rPr>
              <w:t>2. Scurtarea termenului de masurare si transmitere a valorilor masurate/agregate de catre operatorii de masurare (OM) la OMEPA de la 12 zile la 9 zile ar conduce la erori deoarece operatorii de masurare sunt responsabili si de agregarea, verificarea si ulterior de transmiterea valorilor masurate.</w:t>
            </w:r>
          </w:p>
          <w:p w:rsidR="007721BC" w:rsidRPr="00304EAE" w:rsidRDefault="007721BC" w:rsidP="00786CAA">
            <w:pPr>
              <w:ind w:firstLine="720"/>
              <w:jc w:val="both"/>
              <w:rPr>
                <w:lang w:val="ro-RO"/>
              </w:rPr>
            </w:pPr>
            <w:r w:rsidRPr="00304EAE">
              <w:rPr>
                <w:lang w:val="ro-RO"/>
              </w:rPr>
              <w:t xml:space="preserve">3. Deoarece procesele si termenele actuale permit realizarea tuturor operatiunilor in conditii normale, propunem mentinerea acestora, luand in considerare si faptul ca orice eroare in proces determinata de unul din participantii de mai sus (OD, OMEPA, OPCOM, OPE, PRE) are efecte negative in piata de echilibrare, situatii greu de solutionat </w:t>
            </w:r>
            <w:r w:rsidRPr="00304EAE">
              <w:rPr>
                <w:lang w:val="ro-RO"/>
              </w:rPr>
              <w:lastRenderedPageBreak/>
              <w:t>datorita faptului ca nu exista contracte intre toate partile implicate, fiind necesara interventia ANRE pentru solutionarea fiecarui caz in parte.</w:t>
            </w:r>
          </w:p>
          <w:p w:rsidR="007721BC" w:rsidRPr="00304EAE" w:rsidRDefault="007721BC" w:rsidP="00786CAA">
            <w:pPr>
              <w:ind w:firstLine="720"/>
              <w:jc w:val="both"/>
              <w:rPr>
                <w:lang w:val="ro-RO"/>
              </w:rPr>
            </w:pPr>
            <w:r w:rsidRPr="00304EAE">
              <w:rPr>
                <w:lang w:val="ro-RO"/>
              </w:rPr>
              <w:t>4. Scurtarea termenelor de plata a facturilor de dezechilibre si cresterea valorii decontarii preliminare de la 70% la 100% conduce la impovararea excesiva a participantilor la piata si implicit a consumatorilor finali.</w:t>
            </w:r>
          </w:p>
          <w:p w:rsidR="007721BC" w:rsidRPr="00304EAE" w:rsidRDefault="007721BC" w:rsidP="00786CAA">
            <w:pPr>
              <w:jc w:val="both"/>
              <w:rPr>
                <w:lang w:val="ro-RO"/>
              </w:rPr>
            </w:pPr>
            <w:r w:rsidRPr="00304EAE">
              <w:rPr>
                <w:lang w:val="ro-RO"/>
              </w:rPr>
              <w:t>5. Efectuarea accelerata a platilor in  Piata de echilibrare se suprapune cu modificarile din ultima perioada de timp provocate de introducerea noilor tarife percepute de catre OPCOM SA pentru participarea la pietele centralizate.</w:t>
            </w:r>
          </w:p>
          <w:p w:rsidR="007721BC" w:rsidRPr="00304EAE" w:rsidRDefault="007721BC" w:rsidP="00786CAA">
            <w:pPr>
              <w:jc w:val="both"/>
              <w:rPr>
                <w:lang w:val="ro-RO"/>
              </w:rPr>
            </w:pPr>
            <w:r w:rsidRPr="00304EAE">
              <w:rPr>
                <w:lang w:val="ro-RO"/>
              </w:rPr>
              <w:t xml:space="preserve">Avand in vedere cele prezentate consideram ca pentru o buna functionare a pietei de echilibrare este absolut necesar ca prevederile actuale (prevederile Ordinului ANRE 7/2011) sa fie mentinute si de asemenea se poate considera ca acestea se incadreaza in termenul prevazut la art. 21(3) din Lege. </w:t>
            </w:r>
          </w:p>
        </w:tc>
        <w:tc>
          <w:tcPr>
            <w:tcW w:w="4140" w:type="dxa"/>
          </w:tcPr>
          <w:p w:rsidR="007721BC" w:rsidRPr="00304EAE" w:rsidRDefault="007721BC" w:rsidP="00786CAA">
            <w:pPr>
              <w:jc w:val="both"/>
              <w:rPr>
                <w:lang w:val="ro-RO"/>
              </w:rPr>
            </w:pPr>
            <w:r w:rsidRPr="00304EAE">
              <w:rPr>
                <w:lang w:val="ro-RO"/>
              </w:rPr>
              <w:lastRenderedPageBreak/>
              <w:t>1.Termenele prevăzute în Codul Comercial se vor menţine, având rolul confirmării valorilor măsurate.</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2. Se consideră că în modelul de funcţionare a pieţei angro de energie electrică, operatorii de măsură au căpătat suficientă experienţă în procesul de măsurare astfel încât să măsurarea să se poată face în 9 zile lucrătoare.</w:t>
            </w: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 xml:space="preserve">3. Experienţa acumulată permite participanţilor şi operatorilor implicaţi să realizeze operaţiunile cu cât mai puţine erori. </w:t>
            </w:r>
          </w:p>
          <w:p w:rsidR="007721BC" w:rsidRPr="00304EAE" w:rsidRDefault="007721BC" w:rsidP="00786CAA">
            <w:pPr>
              <w:jc w:val="both"/>
              <w:rPr>
                <w:lang w:val="ro-RO"/>
              </w:rPr>
            </w:pPr>
            <w:r w:rsidRPr="00304EAE">
              <w:rPr>
                <w:lang w:val="ro-RO"/>
              </w:rPr>
              <w:t xml:space="preserve">De altfel, în versiunea nouă a documentului de discuţie au fost incluse şi prevederi privind posibilitatea corectării unei decontări, dacă este </w:t>
            </w:r>
            <w:r w:rsidRPr="00304EAE">
              <w:rPr>
                <w:lang w:val="ro-RO"/>
              </w:rPr>
              <w:lastRenderedPageBreak/>
              <w:t xml:space="preserve">cazul. </w:t>
            </w:r>
          </w:p>
          <w:p w:rsidR="007721BC" w:rsidRPr="00304EAE" w:rsidRDefault="007721BC" w:rsidP="00786CAA">
            <w:pPr>
              <w:jc w:val="both"/>
              <w:rPr>
                <w:lang w:val="ro-RO"/>
              </w:rPr>
            </w:pPr>
            <w:r w:rsidRPr="00304EAE">
              <w:rPr>
                <w:lang w:val="ro-RO"/>
              </w:rPr>
              <w:t xml:space="preserve">S- a solicitat </w:t>
            </w:r>
            <w:r w:rsidRPr="00304EAE">
              <w:rPr>
                <w:rFonts w:ascii="Tahoma" w:hAnsi="Tahoma" w:cs="Tahoma"/>
                <w:lang w:val="ro-RO"/>
              </w:rPr>
              <w:t>ș</w:t>
            </w:r>
            <w:r w:rsidRPr="00304EAE">
              <w:rPr>
                <w:lang w:val="ro-RO"/>
              </w:rPr>
              <w:t>i existen</w:t>
            </w:r>
            <w:r w:rsidRPr="00304EAE">
              <w:rPr>
                <w:rFonts w:ascii="Tahoma" w:hAnsi="Tahoma" w:cs="Tahoma"/>
                <w:lang w:val="ro-RO"/>
              </w:rPr>
              <w:t>ț</w:t>
            </w:r>
            <w:r w:rsidRPr="00304EAE">
              <w:rPr>
                <w:lang w:val="ro-RO"/>
              </w:rPr>
              <w:t>a acestor contracte</w:t>
            </w:r>
          </w:p>
          <w:p w:rsidR="007721BC" w:rsidRPr="00304EAE" w:rsidRDefault="007721BC" w:rsidP="00786CAA">
            <w:pPr>
              <w:jc w:val="both"/>
              <w:rPr>
                <w:lang w:val="ro-RO"/>
              </w:rPr>
            </w:pPr>
            <w:r w:rsidRPr="00304EAE">
              <w:rPr>
                <w:lang w:val="ro-RO"/>
              </w:rPr>
              <w:t>4. Termenul de plată a facturilor la o lună după încheierea lunii de tranzacţionare este cel prevăzut în Legea nr. 123/2012.</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 xml:space="preserve">5. Conform prevederilor Legii nr. 123/2012, obligaţiile de plată sunt aferente cantităţilor de energie electrică tranzacţionate măsurate. Valoarea obligaţiilor de plată este considerată întreagă, nu fracţionată, în sensul prevederilor legii. </w:t>
            </w:r>
          </w:p>
        </w:tc>
      </w:tr>
      <w:tr w:rsidR="007721BC" w:rsidRPr="00A9047F">
        <w:tc>
          <w:tcPr>
            <w:tcW w:w="828" w:type="dxa"/>
          </w:tcPr>
          <w:p w:rsidR="007721BC" w:rsidRPr="00304EAE" w:rsidRDefault="007721BC" w:rsidP="00786CAA">
            <w:pPr>
              <w:jc w:val="center"/>
              <w:rPr>
                <w:lang w:val="ro-RO"/>
              </w:rPr>
            </w:pPr>
            <w:r w:rsidRPr="00304EAE">
              <w:rPr>
                <w:lang w:val="ro-RO"/>
              </w:rPr>
              <w:lastRenderedPageBreak/>
              <w:t>3</w:t>
            </w:r>
          </w:p>
        </w:tc>
        <w:tc>
          <w:tcPr>
            <w:tcW w:w="2340" w:type="dxa"/>
          </w:tcPr>
          <w:p w:rsidR="007721BC" w:rsidRPr="00304EAE" w:rsidRDefault="007721BC" w:rsidP="00786CAA">
            <w:pPr>
              <w:jc w:val="both"/>
              <w:rPr>
                <w:lang w:val="ro-RO"/>
              </w:rPr>
            </w:pPr>
            <w:r w:rsidRPr="00304EAE">
              <w:rPr>
                <w:lang w:val="ro-RO"/>
              </w:rPr>
              <w:t>Ciga Energy</w:t>
            </w:r>
          </w:p>
        </w:tc>
        <w:tc>
          <w:tcPr>
            <w:tcW w:w="2520" w:type="dxa"/>
          </w:tcPr>
          <w:p w:rsidR="007721BC" w:rsidRPr="00304EAE" w:rsidRDefault="007721BC" w:rsidP="00786CAA">
            <w:pPr>
              <w:jc w:val="both"/>
              <w:rPr>
                <w:lang w:val="ro-RO"/>
              </w:rPr>
            </w:pPr>
            <w:r w:rsidRPr="00304EAE">
              <w:rPr>
                <w:lang w:val="ro-RO"/>
              </w:rPr>
              <w:t>general</w:t>
            </w:r>
          </w:p>
        </w:tc>
        <w:tc>
          <w:tcPr>
            <w:tcW w:w="4860" w:type="dxa"/>
          </w:tcPr>
          <w:p w:rsidR="007721BC" w:rsidRPr="00304EAE" w:rsidRDefault="007721BC" w:rsidP="00786CAA">
            <w:pPr>
              <w:jc w:val="both"/>
              <w:rPr>
                <w:lang w:val="ro-RO"/>
              </w:rPr>
            </w:pPr>
            <w:r w:rsidRPr="00304EAE">
              <w:rPr>
                <w:lang w:val="ro-RO"/>
              </w:rPr>
              <w:t>Solicităm precizări asupra modului de decontare finală în piaţa de echilibrare, având în vedere că decontarea preliminară va fi făcută pentru 100% din obligaţii, dar ulterior acesteia pot apărea unele diferenţe şi corecţii, în special în zona de măsurare. Este necesar a se preciza dacă decontarea finală va exista şi dacă va respecta termenele prevăzute în acest moment în Codul Comercial.</w:t>
            </w:r>
          </w:p>
        </w:tc>
        <w:tc>
          <w:tcPr>
            <w:tcW w:w="4140" w:type="dxa"/>
          </w:tcPr>
          <w:p w:rsidR="007721BC" w:rsidRPr="00304EAE" w:rsidRDefault="007721BC" w:rsidP="00786CAA">
            <w:pPr>
              <w:jc w:val="both"/>
              <w:rPr>
                <w:lang w:val="ro-RO"/>
              </w:rPr>
            </w:pPr>
            <w:r w:rsidRPr="00304EAE">
              <w:rPr>
                <w:lang w:val="ro-RO"/>
              </w:rPr>
              <w:t>Termenul</w:t>
            </w:r>
            <w:r w:rsidRPr="00304EAE">
              <w:rPr>
                <w:i/>
                <w:iCs/>
                <w:lang w:val="ro-RO"/>
              </w:rPr>
              <w:t xml:space="preserve"> decontare preliminară </w:t>
            </w:r>
            <w:r w:rsidRPr="00304EAE">
              <w:rPr>
                <w:lang w:val="ro-RO"/>
              </w:rPr>
              <w:t xml:space="preserve">a fost eliminat ulterior primirii observaţiilor. </w:t>
            </w:r>
          </w:p>
          <w:p w:rsidR="007721BC" w:rsidRPr="00304EAE" w:rsidRDefault="007721BC" w:rsidP="00786CAA">
            <w:pPr>
              <w:jc w:val="both"/>
              <w:rPr>
                <w:lang w:val="ro-RO"/>
              </w:rPr>
            </w:pPr>
            <w:r w:rsidRPr="00304EAE">
              <w:rPr>
                <w:lang w:val="ro-RO"/>
              </w:rPr>
              <w:t xml:space="preserve">Termenele prevăzute în Cod vor fi menţinute pentru confirmare ulterioară a valorilor măsurate. Decontarea se fa face în termen de o lună de la sfârşitul lunii de tranzacţionare. Eventuale diferenţe rezultate în urma colectării valorilor măsurate aprobate vor fi achitate la următoarea factură. </w:t>
            </w:r>
          </w:p>
        </w:tc>
      </w:tr>
      <w:tr w:rsidR="007721BC" w:rsidRPr="00304EAE">
        <w:tc>
          <w:tcPr>
            <w:tcW w:w="828" w:type="dxa"/>
          </w:tcPr>
          <w:p w:rsidR="007721BC" w:rsidRPr="00304EAE" w:rsidRDefault="007721BC" w:rsidP="00786CAA">
            <w:pPr>
              <w:jc w:val="center"/>
              <w:rPr>
                <w:lang w:val="ro-RO"/>
              </w:rPr>
            </w:pPr>
            <w:r w:rsidRPr="00304EAE">
              <w:rPr>
                <w:lang w:val="ro-RO"/>
              </w:rPr>
              <w:t>4</w:t>
            </w:r>
          </w:p>
        </w:tc>
        <w:tc>
          <w:tcPr>
            <w:tcW w:w="2340" w:type="dxa"/>
          </w:tcPr>
          <w:p w:rsidR="007721BC" w:rsidRPr="00304EAE" w:rsidRDefault="007721BC" w:rsidP="00786CAA">
            <w:pPr>
              <w:jc w:val="both"/>
              <w:rPr>
                <w:lang w:val="ro-RO"/>
              </w:rPr>
            </w:pPr>
            <w:r w:rsidRPr="00304EAE">
              <w:rPr>
                <w:lang w:val="ro-RO"/>
              </w:rPr>
              <w:t>Enel Distribuţie</w:t>
            </w:r>
          </w:p>
        </w:tc>
        <w:tc>
          <w:tcPr>
            <w:tcW w:w="2520" w:type="dxa"/>
          </w:tcPr>
          <w:p w:rsidR="007721BC" w:rsidRPr="00304EAE" w:rsidRDefault="007721BC" w:rsidP="00786CAA">
            <w:pPr>
              <w:jc w:val="both"/>
              <w:rPr>
                <w:lang w:val="ro-RO"/>
              </w:rPr>
            </w:pPr>
            <w:r w:rsidRPr="00304EAE">
              <w:rPr>
                <w:lang w:val="ro-RO"/>
              </w:rPr>
              <w:t xml:space="preserve">Art.2 (1) </w:t>
            </w:r>
          </w:p>
        </w:tc>
        <w:tc>
          <w:tcPr>
            <w:tcW w:w="4860" w:type="dxa"/>
          </w:tcPr>
          <w:p w:rsidR="007721BC" w:rsidRPr="00304EAE" w:rsidRDefault="007721BC" w:rsidP="00786CAA">
            <w:pPr>
              <w:jc w:val="both"/>
              <w:rPr>
                <w:lang w:val="ro-RO"/>
              </w:rPr>
            </w:pPr>
            <w:r w:rsidRPr="00304EAE">
              <w:rPr>
                <w:lang w:val="ro-RO"/>
              </w:rPr>
              <w:t xml:space="preserve">Propunere: “a’) Operatorii de măsurare (OM) transmit valorile măsurate/agregate aferente </w:t>
            </w:r>
            <w:r w:rsidRPr="00304EAE">
              <w:rPr>
                <w:lang w:val="ro-RO"/>
              </w:rPr>
              <w:lastRenderedPageBreak/>
              <w:t xml:space="preserve">PRE la operatorul de măsurare al pieţei angro (OMEPA), în termen de </w:t>
            </w:r>
            <w:r w:rsidRPr="00304EAE">
              <w:rPr>
                <w:strike/>
                <w:lang w:val="ro-RO"/>
              </w:rPr>
              <w:t>9</w:t>
            </w:r>
            <w:r w:rsidRPr="00304EAE">
              <w:rPr>
                <w:lang w:val="ro-RO"/>
              </w:rPr>
              <w:t xml:space="preserve"> </w:t>
            </w:r>
            <w:r w:rsidRPr="00304EAE">
              <w:rPr>
                <w:color w:val="FF0000"/>
                <w:lang w:val="ro-RO"/>
              </w:rPr>
              <w:t xml:space="preserve">12 </w:t>
            </w:r>
            <w:r w:rsidRPr="00304EAE">
              <w:rPr>
                <w:lang w:val="ro-RO"/>
              </w:rPr>
              <w:t>zile lucrătoare de la începutul primei luni care urmează lunii de livrare;”</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Societatea considera ca pentru operatorii de măsurare termenul minim de transmitere a Valorilor Măsurate Aprobate către OMEPA este de 12 zile lucratoare, nefiind posibila reducerea acestuia.</w:t>
            </w:r>
          </w:p>
        </w:tc>
        <w:tc>
          <w:tcPr>
            <w:tcW w:w="4140" w:type="dxa"/>
          </w:tcPr>
          <w:p w:rsidR="007721BC" w:rsidRPr="00304EAE" w:rsidRDefault="007721BC" w:rsidP="00786CAA">
            <w:pPr>
              <w:jc w:val="both"/>
              <w:rPr>
                <w:lang w:val="ro-RO"/>
              </w:rPr>
            </w:pPr>
            <w:r w:rsidRPr="00304EAE">
              <w:rPr>
                <w:lang w:val="ro-RO"/>
              </w:rPr>
              <w:lastRenderedPageBreak/>
              <w:t xml:space="preserve">Intervalele de timp au fost micşorate pentru a se încadra în termenul de o lună </w:t>
            </w:r>
            <w:r w:rsidRPr="00304EAE">
              <w:rPr>
                <w:lang w:val="ro-RO"/>
              </w:rPr>
              <w:lastRenderedPageBreak/>
              <w:t>după încheierea lunii de tranzacţionare.</w:t>
            </w:r>
          </w:p>
          <w:p w:rsidR="007721BC" w:rsidRPr="00304EAE" w:rsidRDefault="007721BC" w:rsidP="00786CAA">
            <w:pPr>
              <w:jc w:val="both"/>
              <w:rPr>
                <w:lang w:val="ro-RO"/>
              </w:rPr>
            </w:pPr>
            <w:r w:rsidRPr="00304EAE">
              <w:rPr>
                <w:lang w:val="ro-RO"/>
              </w:rPr>
              <w:t>Din experienţa operatorilor începând de la implementarea pieţei de echilibrare şi până în prezent, se consideră că intervalul de timp este suficient pentru desfăşurarea operaţiunilor de măsurare.</w:t>
            </w:r>
          </w:p>
          <w:p w:rsidR="007721BC" w:rsidRPr="00304EAE" w:rsidRDefault="007721BC" w:rsidP="00786CAA">
            <w:pPr>
              <w:jc w:val="both"/>
              <w:rPr>
                <w:lang w:val="ro-RO"/>
              </w:rPr>
            </w:pPr>
            <w:r w:rsidRPr="00304EAE">
              <w:rPr>
                <w:lang w:val="ro-RO"/>
              </w:rPr>
              <w:t>Operaţiunile privind colectarea valorilor măsurate aprobate se vor desfăşura conform prevederilor Codului comercial.</w:t>
            </w:r>
          </w:p>
        </w:tc>
      </w:tr>
      <w:tr w:rsidR="007721BC" w:rsidRPr="00304EAE">
        <w:tc>
          <w:tcPr>
            <w:tcW w:w="828" w:type="dxa"/>
          </w:tcPr>
          <w:p w:rsidR="007721BC" w:rsidRPr="00304EAE" w:rsidRDefault="007721BC" w:rsidP="00786CAA">
            <w:pPr>
              <w:jc w:val="center"/>
              <w:rPr>
                <w:lang w:val="ro-RO"/>
              </w:rPr>
            </w:pPr>
            <w:r w:rsidRPr="00304EAE">
              <w:rPr>
                <w:lang w:val="ro-RO"/>
              </w:rPr>
              <w:lastRenderedPageBreak/>
              <w:t>5</w:t>
            </w:r>
          </w:p>
        </w:tc>
        <w:tc>
          <w:tcPr>
            <w:tcW w:w="2340" w:type="dxa"/>
          </w:tcPr>
          <w:p w:rsidR="007721BC" w:rsidRPr="00304EAE" w:rsidRDefault="007721BC" w:rsidP="00786CAA">
            <w:pPr>
              <w:jc w:val="both"/>
              <w:rPr>
                <w:lang w:val="ro-RO"/>
              </w:rPr>
            </w:pPr>
            <w:r w:rsidRPr="00304EAE">
              <w:rPr>
                <w:lang w:val="ro-RO"/>
              </w:rPr>
              <w:t>E-ON Moldova distribuţie</w:t>
            </w:r>
          </w:p>
        </w:tc>
        <w:tc>
          <w:tcPr>
            <w:tcW w:w="2520" w:type="dxa"/>
          </w:tcPr>
          <w:p w:rsidR="007721BC" w:rsidRPr="00304EAE" w:rsidRDefault="007721BC" w:rsidP="00786CAA">
            <w:pPr>
              <w:jc w:val="both"/>
              <w:rPr>
                <w:lang w:val="ro-RO"/>
              </w:rPr>
            </w:pPr>
            <w:r w:rsidRPr="00304EAE">
              <w:rPr>
                <w:lang w:val="ro-RO"/>
              </w:rPr>
              <w:t>Art. 2 (1)</w:t>
            </w:r>
          </w:p>
        </w:tc>
        <w:tc>
          <w:tcPr>
            <w:tcW w:w="4860" w:type="dxa"/>
          </w:tcPr>
          <w:p w:rsidR="007721BC" w:rsidRPr="00304EAE" w:rsidRDefault="007721BC" w:rsidP="00786CAA">
            <w:pPr>
              <w:jc w:val="both"/>
              <w:rPr>
                <w:lang w:val="ro-RO"/>
              </w:rPr>
            </w:pPr>
            <w:r w:rsidRPr="00304EAE">
              <w:rPr>
                <w:lang w:val="ro-RO"/>
              </w:rPr>
              <w:t xml:space="preserve">Propunere: “a’) Operatorii de măsurare (OM) transmit valorile măsurate/agregate aferente PRE la operatorul de măsurare al pieţei angro (OMEPA), în termen de </w:t>
            </w:r>
          </w:p>
          <w:p w:rsidR="007721BC" w:rsidRPr="00304EAE" w:rsidRDefault="007721BC" w:rsidP="00786CAA">
            <w:pPr>
              <w:jc w:val="both"/>
              <w:rPr>
                <w:lang w:val="ro-RO"/>
              </w:rPr>
            </w:pPr>
            <w:r w:rsidRPr="00304EAE">
              <w:rPr>
                <w:b/>
                <w:bCs/>
                <w:u w:val="single"/>
                <w:lang w:val="ro-RO"/>
              </w:rPr>
              <w:t xml:space="preserve">12 </w:t>
            </w:r>
            <w:r w:rsidRPr="00304EAE">
              <w:rPr>
                <w:strike/>
                <w:lang w:val="ro-RO"/>
              </w:rPr>
              <w:t xml:space="preserve">9 </w:t>
            </w:r>
            <w:r w:rsidRPr="00304EAE">
              <w:rPr>
                <w:b/>
                <w:bCs/>
                <w:lang w:val="ro-RO"/>
              </w:rPr>
              <w:t>zile lucrătoare</w:t>
            </w:r>
            <w:r w:rsidRPr="00304EAE">
              <w:rPr>
                <w:lang w:val="ro-RO"/>
              </w:rPr>
              <w:t xml:space="preserve"> de la începutul primei luni care urmează lunii de livrare;”</w:t>
            </w:r>
          </w:p>
          <w:p w:rsidR="007721BC" w:rsidRPr="00304EAE" w:rsidRDefault="007721BC" w:rsidP="00786CAA">
            <w:pPr>
              <w:jc w:val="both"/>
              <w:rPr>
                <w:lang w:val="ro-RO"/>
              </w:rPr>
            </w:pPr>
          </w:p>
          <w:p w:rsidR="007721BC" w:rsidRPr="00304EAE" w:rsidRDefault="007721BC" w:rsidP="00786CAA">
            <w:pPr>
              <w:jc w:val="both"/>
              <w:rPr>
                <w:b/>
                <w:bCs/>
                <w:u w:val="single"/>
                <w:lang w:val="ro-RO"/>
              </w:rPr>
            </w:pPr>
            <w:r w:rsidRPr="00304EAE">
              <w:rPr>
                <w:b/>
                <w:bCs/>
                <w:u w:val="single"/>
                <w:lang w:val="ro-RO"/>
              </w:rPr>
              <w:t>Solicităm ca termenul de transmitere a valorilor măsurate/agregate aferente PRE sa fie de</w:t>
            </w:r>
            <w:r w:rsidRPr="00304EAE">
              <w:rPr>
                <w:lang w:val="ro-RO"/>
              </w:rPr>
              <w:t xml:space="preserve"> </w:t>
            </w:r>
            <w:r w:rsidRPr="00304EAE">
              <w:rPr>
                <w:b/>
                <w:bCs/>
                <w:u w:val="single"/>
                <w:lang w:val="ro-RO"/>
              </w:rPr>
              <w:t>12 zile lucrătoare</w:t>
            </w:r>
            <w:r w:rsidRPr="00304EAE">
              <w:rPr>
                <w:lang w:val="ro-RO"/>
              </w:rPr>
              <w:t xml:space="preserve"> de la începutul primei luni care urmează lunii de livrare, </w:t>
            </w:r>
            <w:r w:rsidRPr="00304EAE">
              <w:rPr>
                <w:b/>
                <w:bCs/>
                <w:u w:val="single"/>
                <w:lang w:val="ro-RO"/>
              </w:rPr>
              <w:t>motivat de:</w:t>
            </w:r>
          </w:p>
          <w:p w:rsidR="007721BC" w:rsidRPr="00304EAE" w:rsidRDefault="007721BC" w:rsidP="00786CAA">
            <w:pPr>
              <w:jc w:val="both"/>
              <w:rPr>
                <w:b/>
                <w:bCs/>
                <w:u w:val="single"/>
                <w:lang w:val="ro-RO"/>
              </w:rPr>
            </w:pPr>
          </w:p>
          <w:p w:rsidR="007721BC" w:rsidRPr="00304EAE" w:rsidRDefault="007721BC" w:rsidP="00786CAA">
            <w:pPr>
              <w:jc w:val="both"/>
              <w:rPr>
                <w:lang w:val="ro-RO"/>
              </w:rPr>
            </w:pPr>
            <w:r w:rsidRPr="00304EAE">
              <w:rPr>
                <w:lang w:val="ro-RO"/>
              </w:rPr>
              <w:t xml:space="preserve">Activităţile care trebuie desfăşurate în cadrul termenului din Ordin de către Operatorul de măsurare (OM) care transmite valorile măsurate/agregate aferente PRE, la operatorul de măsurare al pieţei angro (OMEPA) şi care se realizează în paralel cu alte activităţi cu termene la fel de restrânse cum ar fi: </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 xml:space="preserve">colectarea valorilor măsurate/ telecitiri/ citiri locale/ operare date </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 xml:space="preserve">validarea citirilor/ transfer date pentru facturare până cel mai tarziu în cea de a 5a </w:t>
            </w:r>
            <w:r w:rsidRPr="00304EAE">
              <w:rPr>
                <w:lang w:val="ro-RO"/>
              </w:rPr>
              <w:lastRenderedPageBreak/>
              <w:t>zi financiară a fiecarei luni calendaristice, sunt necesare colectarea şi verificarea valorilor măsurate şi transmiterea datelor de facturare pentru piaţa cu amănuntul.</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transmiterea către Operatorul de transport si sistem, a datelor orare privind cantităţile de energie electrică produse de unităţile dispecerizabile pe zona de licenţă,  în condiţiile creşterii volumului de date proporţional cu apariţia noilor unităţi de producere.</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Transmiterea valorilor măsurate fiecǎrui participant la piaţa angro de energie electricǎ, pentru toate punctele de mǎsurare, inclusiv profilarea valorilor măsurate pe profilurile specifice de consum</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Agregare date măsurate, validare şi rezolvare contestaţii</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 xml:space="preserve">Ulterior rezolvării contestaţiilor datele validate sunt agregate pe titulari de licenţă, pe fiecare PRE, pe total zonă de licenţă a operatorului de distribuţie şi pe proprietari de contoare. </w:t>
            </w:r>
          </w:p>
          <w:p w:rsidR="007721BC" w:rsidRPr="00304EAE" w:rsidRDefault="007721BC" w:rsidP="00786CAA">
            <w:pPr>
              <w:numPr>
                <w:ilvl w:val="0"/>
                <w:numId w:val="9"/>
              </w:numPr>
              <w:tabs>
                <w:tab w:val="left" w:pos="540"/>
              </w:tabs>
              <w:spacing w:line="280" w:lineRule="atLeast"/>
              <w:ind w:left="540"/>
              <w:jc w:val="both"/>
              <w:rPr>
                <w:lang w:val="ro-RO"/>
              </w:rPr>
            </w:pPr>
            <w:r w:rsidRPr="00304EAE">
              <w:rPr>
                <w:lang w:val="ro-RO"/>
              </w:rPr>
              <w:t>Transmiterea către operatorul de măsurare al pieţei angro, OMEPA,   a Valorilor Măsurate Aprobate şi a valorilor agregate pe titulari de licenţă, pe fiecare PRE, pe total zonă de licenţă a operatorului de distribuţie şi pe proprietari de contoare.</w:t>
            </w:r>
          </w:p>
          <w:p w:rsidR="007721BC" w:rsidRPr="00304EAE" w:rsidRDefault="007721BC" w:rsidP="00786CAA">
            <w:pPr>
              <w:jc w:val="both"/>
              <w:rPr>
                <w:u w:val="single"/>
                <w:lang w:val="ro-RO"/>
              </w:rPr>
            </w:pPr>
            <w:r w:rsidRPr="00304EAE">
              <w:rPr>
                <w:lang w:val="ro-RO"/>
              </w:rPr>
              <w:t xml:space="preserve">La paşii procesului efectiv, pentru care operatorul de distribuţie în calitate de operator de măsurare trebuie să transmită Valorile </w:t>
            </w:r>
            <w:r w:rsidRPr="00304EAE">
              <w:rPr>
                <w:lang w:val="ro-RO"/>
              </w:rPr>
              <w:lastRenderedPageBreak/>
              <w:t xml:space="preserve">Măsurate Aprobate către OMEPA,  </w:t>
            </w:r>
            <w:r w:rsidRPr="00304EAE">
              <w:rPr>
                <w:u w:val="single"/>
                <w:lang w:val="ro-RO"/>
              </w:rPr>
              <w:t>se vor adăuga şi datele măsurate ce trebuie profilate orar pe baza profilurilor reziduale de consum.</w:t>
            </w:r>
          </w:p>
          <w:p w:rsidR="007721BC" w:rsidRPr="00304EAE" w:rsidRDefault="007721BC" w:rsidP="00786CAA">
            <w:pPr>
              <w:jc w:val="both"/>
              <w:rPr>
                <w:lang w:val="ro-RO"/>
              </w:rPr>
            </w:pPr>
          </w:p>
          <w:p w:rsidR="007721BC" w:rsidRPr="00304EAE" w:rsidRDefault="007721BC" w:rsidP="00786CAA">
            <w:pPr>
              <w:jc w:val="both"/>
              <w:rPr>
                <w:b/>
                <w:bCs/>
                <w:lang w:val="ro-RO"/>
              </w:rPr>
            </w:pPr>
            <w:r w:rsidRPr="00304EAE">
              <w:rPr>
                <w:lang w:val="ro-RO"/>
              </w:rPr>
              <w:t xml:space="preserve">În considerarea celor de mai sus şi în condiţiile în care termenele actuale stabilite de regulile pentru decontarea pe piaţa cu amănuntul şi pe piaţa angro sunt deja foarte restrictive, cumulat cu creşterea volumului de date urmare a noilor modificări legislative privind piaţa de energie electrică, </w:t>
            </w:r>
            <w:r w:rsidRPr="00304EAE">
              <w:rPr>
                <w:b/>
                <w:bCs/>
                <w:lang w:val="ro-RO"/>
              </w:rPr>
              <w:t xml:space="preserve">solicităm în mod expres să aveţi în vedere termenul minim propus de </w:t>
            </w:r>
            <w:r w:rsidRPr="00304EAE">
              <w:rPr>
                <w:b/>
                <w:bCs/>
                <w:u w:val="single"/>
                <w:lang w:val="ro-RO"/>
              </w:rPr>
              <w:t>12 zile lucrătoare</w:t>
            </w:r>
            <w:r w:rsidRPr="00304EAE">
              <w:rPr>
                <w:b/>
                <w:bCs/>
                <w:lang w:val="ro-RO"/>
              </w:rPr>
              <w:t>, pentru transmiterea valorile măsurate/agregate aferente PRE la operatorul de măsurare al pieţei angro OMEPA.</w:t>
            </w:r>
          </w:p>
          <w:p w:rsidR="007721BC" w:rsidRPr="00304EAE" w:rsidRDefault="007721BC" w:rsidP="00786CAA">
            <w:pPr>
              <w:pStyle w:val="ListParagraph"/>
              <w:spacing w:line="280" w:lineRule="atLeast"/>
              <w:ind w:left="0"/>
              <w:jc w:val="both"/>
              <w:rPr>
                <w:lang w:val="ro-RO"/>
              </w:rPr>
            </w:pPr>
          </w:p>
        </w:tc>
        <w:tc>
          <w:tcPr>
            <w:tcW w:w="4140" w:type="dxa"/>
          </w:tcPr>
          <w:p w:rsidR="007721BC" w:rsidRPr="00304EAE" w:rsidRDefault="007721BC" w:rsidP="00786CAA">
            <w:pPr>
              <w:jc w:val="both"/>
              <w:rPr>
                <w:lang w:val="ro-RO"/>
              </w:rPr>
            </w:pPr>
            <w:r w:rsidRPr="00304EAE">
              <w:rPr>
                <w:lang w:val="ro-RO"/>
              </w:rPr>
              <w:lastRenderedPageBreak/>
              <w:t>Idem poz. 4</w:t>
            </w:r>
          </w:p>
        </w:tc>
      </w:tr>
      <w:tr w:rsidR="007721BC" w:rsidRPr="00A9047F">
        <w:tc>
          <w:tcPr>
            <w:tcW w:w="828" w:type="dxa"/>
          </w:tcPr>
          <w:p w:rsidR="007721BC" w:rsidRPr="00304EAE" w:rsidRDefault="007721BC" w:rsidP="00786CAA">
            <w:pPr>
              <w:jc w:val="center"/>
              <w:rPr>
                <w:lang w:val="ro-RO"/>
              </w:rPr>
            </w:pPr>
            <w:r w:rsidRPr="00304EAE">
              <w:rPr>
                <w:lang w:val="ro-RO"/>
              </w:rPr>
              <w:lastRenderedPageBreak/>
              <w:t>6</w:t>
            </w:r>
          </w:p>
        </w:tc>
        <w:tc>
          <w:tcPr>
            <w:tcW w:w="2340" w:type="dxa"/>
          </w:tcPr>
          <w:p w:rsidR="007721BC" w:rsidRPr="00304EAE" w:rsidRDefault="007721BC" w:rsidP="00786CAA">
            <w:pPr>
              <w:jc w:val="both"/>
              <w:rPr>
                <w:lang w:val="ro-RO"/>
              </w:rPr>
            </w:pPr>
            <w:r w:rsidRPr="00304EAE">
              <w:rPr>
                <w:lang w:val="ro-RO"/>
              </w:rPr>
              <w:t>E-ON Energie</w:t>
            </w:r>
          </w:p>
        </w:tc>
        <w:tc>
          <w:tcPr>
            <w:tcW w:w="2520" w:type="dxa"/>
          </w:tcPr>
          <w:p w:rsidR="007721BC" w:rsidRPr="00304EAE" w:rsidRDefault="007721BC" w:rsidP="00786CAA">
            <w:pPr>
              <w:jc w:val="both"/>
              <w:rPr>
                <w:lang w:val="ro-RO"/>
              </w:rPr>
            </w:pPr>
            <w:r w:rsidRPr="00304EAE">
              <w:rPr>
                <w:lang w:val="ro-RO"/>
              </w:rPr>
              <w:t>Art. 2 (2)</w:t>
            </w:r>
          </w:p>
        </w:tc>
        <w:tc>
          <w:tcPr>
            <w:tcW w:w="4860" w:type="dxa"/>
          </w:tcPr>
          <w:p w:rsidR="007721BC" w:rsidRPr="00304EAE" w:rsidRDefault="007721BC" w:rsidP="00786CAA">
            <w:pPr>
              <w:pStyle w:val="ListParagraph"/>
              <w:spacing w:line="280" w:lineRule="atLeast"/>
              <w:ind w:left="0"/>
              <w:jc w:val="both"/>
              <w:rPr>
                <w:lang w:val="ro-RO"/>
              </w:rPr>
            </w:pPr>
            <w:r w:rsidRPr="00304EAE">
              <w:rPr>
                <w:lang w:val="ro-RO"/>
              </w:rPr>
              <w:t>Dacă obligaţiile de plată preliminare/drepturile de încasare preliminare reprezintă 100% din valoare şi nu 70% din valoare ca până acum, considerăm că este necesară clarificarea şi definirea  a ceea ce presupune decontarea finală.</w:t>
            </w:r>
          </w:p>
          <w:p w:rsidR="007721BC" w:rsidRPr="00304EAE" w:rsidRDefault="007721BC" w:rsidP="00786CAA">
            <w:pPr>
              <w:jc w:val="both"/>
              <w:rPr>
                <w:lang w:val="ro-RO"/>
              </w:rPr>
            </w:pPr>
          </w:p>
        </w:tc>
        <w:tc>
          <w:tcPr>
            <w:tcW w:w="4140" w:type="dxa"/>
          </w:tcPr>
          <w:p w:rsidR="007721BC" w:rsidRPr="00304EAE" w:rsidRDefault="007721BC" w:rsidP="00786CAA">
            <w:pPr>
              <w:jc w:val="both"/>
              <w:rPr>
                <w:lang w:val="ro-RO"/>
              </w:rPr>
            </w:pPr>
            <w:r w:rsidRPr="00304EAE">
              <w:rPr>
                <w:lang w:val="ro-RO"/>
              </w:rPr>
              <w:t>Termenul</w:t>
            </w:r>
            <w:r w:rsidRPr="00304EAE">
              <w:rPr>
                <w:i/>
                <w:iCs/>
                <w:lang w:val="ro-RO"/>
              </w:rPr>
              <w:t xml:space="preserve"> decontare preliminară </w:t>
            </w:r>
            <w:r w:rsidRPr="00304EAE">
              <w:rPr>
                <w:lang w:val="ro-RO"/>
              </w:rPr>
              <w:t>a fost eliminat ulterior primirii observaţiilor. Termenele prevăzute în Cod vor fi menţinute pentru confirmarea ulterioară a valorilor măsurate. Decontarea obligaţiilor se va face la 100% din valoarea lor, conform prevederilor Legii nr. 123/2012; eventuale diferenţe rezultate în urma colectării valorilor măsurate aprobate vor fi achitate la factura de regularizare</w:t>
            </w:r>
          </w:p>
        </w:tc>
      </w:tr>
      <w:tr w:rsidR="007721BC" w:rsidRPr="00A9047F">
        <w:tc>
          <w:tcPr>
            <w:tcW w:w="828" w:type="dxa"/>
          </w:tcPr>
          <w:p w:rsidR="007721BC" w:rsidRPr="00304EAE" w:rsidRDefault="007721BC" w:rsidP="00786CAA">
            <w:pPr>
              <w:jc w:val="center"/>
              <w:rPr>
                <w:lang w:val="ro-RO"/>
              </w:rPr>
            </w:pPr>
            <w:r w:rsidRPr="00304EAE">
              <w:rPr>
                <w:lang w:val="ro-RO"/>
              </w:rPr>
              <w:t>7</w:t>
            </w:r>
          </w:p>
        </w:tc>
        <w:tc>
          <w:tcPr>
            <w:tcW w:w="2340" w:type="dxa"/>
          </w:tcPr>
          <w:p w:rsidR="007721BC" w:rsidRPr="00304EAE" w:rsidRDefault="007721BC" w:rsidP="00786CAA">
            <w:pPr>
              <w:jc w:val="both"/>
              <w:rPr>
                <w:lang w:val="ro-RO"/>
              </w:rPr>
            </w:pPr>
            <w:r w:rsidRPr="00304EAE">
              <w:rPr>
                <w:lang w:val="ro-RO"/>
              </w:rPr>
              <w:t>Enel Distribuţie</w:t>
            </w:r>
          </w:p>
        </w:tc>
        <w:tc>
          <w:tcPr>
            <w:tcW w:w="2520" w:type="dxa"/>
          </w:tcPr>
          <w:p w:rsidR="007721BC" w:rsidRPr="00304EAE" w:rsidRDefault="007721BC" w:rsidP="00786CAA">
            <w:pPr>
              <w:jc w:val="both"/>
              <w:rPr>
                <w:lang w:val="ro-RO"/>
              </w:rPr>
            </w:pPr>
            <w:r w:rsidRPr="00304EAE">
              <w:rPr>
                <w:lang w:val="ro-RO"/>
              </w:rPr>
              <w:t>Art. 2 (2)</w:t>
            </w:r>
          </w:p>
        </w:tc>
        <w:tc>
          <w:tcPr>
            <w:tcW w:w="4860" w:type="dxa"/>
          </w:tcPr>
          <w:p w:rsidR="007721BC" w:rsidRPr="00304EAE" w:rsidRDefault="007721BC" w:rsidP="00786CAA">
            <w:pPr>
              <w:jc w:val="both"/>
              <w:rPr>
                <w:lang w:val="ro-RO"/>
              </w:rPr>
            </w:pPr>
            <w:r w:rsidRPr="00304EAE">
              <w:rPr>
                <w:lang w:val="ro-RO"/>
              </w:rPr>
              <w:t xml:space="preserve">“(2) Obligaţiile de plată preliminare/drepturile de încasare preliminare menţionate la art. 1 alin. (2) sunt egale </w:t>
            </w:r>
            <w:r w:rsidRPr="00A9047F">
              <w:rPr>
                <w:lang w:val="ro-RO"/>
              </w:rPr>
              <w:t>cu 0.7 va</w:t>
            </w:r>
            <w:r w:rsidRPr="00304EAE">
              <w:rPr>
                <w:lang w:val="ro-RO"/>
              </w:rPr>
              <w:t>lorile obligaţiilor de plată/drepturilor de încasare rezultate în urma calculelor de decontare efectuate conform alin. (1).”</w:t>
            </w: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Plata integrala a obligatiilor preliminare care oricum se modifica dupa si trebuie asteptata recuperarea banilor nu este corespunzatoare</w:t>
            </w:r>
          </w:p>
        </w:tc>
        <w:tc>
          <w:tcPr>
            <w:tcW w:w="4140" w:type="dxa"/>
          </w:tcPr>
          <w:p w:rsidR="007721BC" w:rsidRPr="00304EAE" w:rsidRDefault="007721BC" w:rsidP="00786CAA">
            <w:pPr>
              <w:jc w:val="both"/>
              <w:rPr>
                <w:lang w:val="ro-RO"/>
              </w:rPr>
            </w:pPr>
            <w:r w:rsidRPr="00304EAE">
              <w:rPr>
                <w:lang w:val="ro-RO"/>
              </w:rPr>
              <w:lastRenderedPageBreak/>
              <w:t>Conform prevederilor legii, obligaţiile se achită integral în termenul prevăzut.</w:t>
            </w:r>
          </w:p>
          <w:p w:rsidR="007721BC" w:rsidRPr="00304EAE" w:rsidRDefault="007721BC" w:rsidP="00786CAA">
            <w:pPr>
              <w:jc w:val="both"/>
              <w:rPr>
                <w:lang w:val="ro-RO"/>
              </w:rPr>
            </w:pPr>
            <w:r w:rsidRPr="00304EAE">
              <w:rPr>
                <w:lang w:val="ro-RO"/>
              </w:rPr>
              <w:t xml:space="preserve">Din experienţa de piaţă acumulată a participanţilor şi precum şi a operatorilor, între obligaţiile de plată preliminare, efectuate la 70% din </w:t>
            </w:r>
            <w:r w:rsidRPr="00304EAE">
              <w:rPr>
                <w:lang w:val="ro-RO"/>
              </w:rPr>
              <w:lastRenderedPageBreak/>
              <w:t>valoare şi decontarea finală conform prevederii Codului comercial există foarte mici diferenţe, diferenţe care pot fi corectate la factura de regularizare.</w:t>
            </w:r>
          </w:p>
        </w:tc>
      </w:tr>
      <w:tr w:rsidR="007721BC" w:rsidRPr="00A9047F">
        <w:tc>
          <w:tcPr>
            <w:tcW w:w="828" w:type="dxa"/>
          </w:tcPr>
          <w:p w:rsidR="007721BC" w:rsidRPr="00304EAE" w:rsidRDefault="007721BC" w:rsidP="00786CAA">
            <w:pPr>
              <w:jc w:val="center"/>
              <w:rPr>
                <w:lang w:val="ro-RO"/>
              </w:rPr>
            </w:pPr>
            <w:r w:rsidRPr="00304EAE">
              <w:rPr>
                <w:lang w:val="ro-RO"/>
              </w:rPr>
              <w:lastRenderedPageBreak/>
              <w:t>8</w:t>
            </w:r>
          </w:p>
        </w:tc>
        <w:tc>
          <w:tcPr>
            <w:tcW w:w="2340" w:type="dxa"/>
          </w:tcPr>
          <w:p w:rsidR="007721BC" w:rsidRPr="00304EAE" w:rsidRDefault="007721BC" w:rsidP="00786CAA">
            <w:pPr>
              <w:jc w:val="both"/>
              <w:rPr>
                <w:lang w:val="ro-RO"/>
              </w:rPr>
            </w:pPr>
            <w:r w:rsidRPr="00304EAE">
              <w:rPr>
                <w:lang w:val="ro-RO"/>
              </w:rPr>
              <w:t>Ciga Energy</w:t>
            </w:r>
          </w:p>
        </w:tc>
        <w:tc>
          <w:tcPr>
            <w:tcW w:w="2520" w:type="dxa"/>
          </w:tcPr>
          <w:p w:rsidR="007721BC" w:rsidRPr="00304EAE" w:rsidRDefault="007721BC" w:rsidP="00786CAA">
            <w:pPr>
              <w:jc w:val="both"/>
              <w:rPr>
                <w:lang w:val="ro-RO"/>
              </w:rPr>
            </w:pPr>
            <w:r w:rsidRPr="00304EAE">
              <w:rPr>
                <w:lang w:val="ro-RO"/>
              </w:rPr>
              <w:t>Art.3</w:t>
            </w:r>
          </w:p>
        </w:tc>
        <w:tc>
          <w:tcPr>
            <w:tcW w:w="4860" w:type="dxa"/>
          </w:tcPr>
          <w:p w:rsidR="007721BC" w:rsidRPr="00304EAE" w:rsidRDefault="007721BC" w:rsidP="00786CAA">
            <w:pPr>
              <w:jc w:val="both"/>
              <w:rPr>
                <w:lang w:val="ro-RO"/>
              </w:rPr>
            </w:pPr>
            <w:r w:rsidRPr="00304EAE">
              <w:rPr>
                <w:lang w:val="ro-RO"/>
              </w:rPr>
              <w:t xml:space="preserve">Având în vedere valorile mari ale facturilor, procedurile interne specifice ale unor companii multinaţionale (care acceptă ca termene de plată minim 5 zile), cât şi derularea dificilă a circuitelor bancare, solicităm creşterea termenului de plată a facturilor de la 5 la 6 zile lucrătoare </w:t>
            </w:r>
          </w:p>
        </w:tc>
        <w:tc>
          <w:tcPr>
            <w:tcW w:w="4140" w:type="dxa"/>
          </w:tcPr>
          <w:p w:rsidR="007721BC" w:rsidRPr="00304EAE" w:rsidRDefault="007721BC" w:rsidP="00786CAA">
            <w:pPr>
              <w:spacing w:before="120" w:after="120"/>
              <w:jc w:val="both"/>
              <w:rPr>
                <w:lang w:val="ro-RO"/>
              </w:rPr>
            </w:pPr>
            <w:r w:rsidRPr="00304EAE">
              <w:rPr>
                <w:lang w:val="ro-RO"/>
              </w:rPr>
              <w:t>Nu se acceptă.</w:t>
            </w:r>
          </w:p>
          <w:p w:rsidR="007721BC" w:rsidRPr="00304EAE" w:rsidRDefault="007721BC" w:rsidP="00786CAA">
            <w:pPr>
              <w:spacing w:before="120" w:after="120"/>
              <w:jc w:val="both"/>
              <w:rPr>
                <w:lang w:val="ro-RO"/>
              </w:rPr>
            </w:pPr>
            <w:r w:rsidRPr="00304EAE">
              <w:rPr>
                <w:lang w:val="ro-RO"/>
              </w:rPr>
              <w:t>Conform prevederii art. 2 alin (1), lit j) „</w:t>
            </w:r>
            <w:r w:rsidRPr="00304EAE">
              <w:rPr>
                <w:i/>
                <w:iCs/>
                <w:lang w:val="ro-RO"/>
              </w:rPr>
              <w:t xml:space="preserve">În ziua în care a finalizat toate activităţile precizate la art. 2, alin. 1 lit. i), ODPE transmite la OTS, fiecărei PPE şi PRE notele lunare de informare pentru decontarea obligaţiilor de plată/drepturilor de încasare. </w:t>
            </w:r>
            <w:r w:rsidRPr="00304EAE">
              <w:rPr>
                <w:lang w:val="ro-RO"/>
              </w:rPr>
              <w:t xml:space="preserve">Începând cu următoarea zi lucrătoare PPE, PRE şi OTS emit facturile aferente decontării.” </w:t>
            </w:r>
          </w:p>
          <w:p w:rsidR="007721BC" w:rsidRPr="00304EAE" w:rsidRDefault="007721BC" w:rsidP="00786CAA">
            <w:pPr>
              <w:jc w:val="both"/>
              <w:rPr>
                <w:lang w:val="ro-RO"/>
              </w:rPr>
            </w:pPr>
            <w:r w:rsidRPr="00304EAE">
              <w:rPr>
                <w:lang w:val="ro-RO"/>
              </w:rPr>
              <w:t>Aşadar, toate facturile vor fi emise în aceeaşi zi.</w:t>
            </w:r>
          </w:p>
        </w:tc>
      </w:tr>
      <w:tr w:rsidR="007721BC" w:rsidRPr="00304EAE">
        <w:tc>
          <w:tcPr>
            <w:tcW w:w="828" w:type="dxa"/>
          </w:tcPr>
          <w:p w:rsidR="007721BC" w:rsidRPr="00304EAE" w:rsidRDefault="007721BC" w:rsidP="00786CAA">
            <w:pPr>
              <w:jc w:val="center"/>
              <w:rPr>
                <w:lang w:val="ro-RO"/>
              </w:rPr>
            </w:pPr>
            <w:r w:rsidRPr="00304EAE">
              <w:rPr>
                <w:lang w:val="ro-RO"/>
              </w:rPr>
              <w:t>9</w:t>
            </w:r>
          </w:p>
        </w:tc>
        <w:tc>
          <w:tcPr>
            <w:tcW w:w="2340" w:type="dxa"/>
          </w:tcPr>
          <w:p w:rsidR="007721BC" w:rsidRPr="00304EAE" w:rsidRDefault="007721BC" w:rsidP="00786CAA">
            <w:pPr>
              <w:jc w:val="both"/>
              <w:rPr>
                <w:lang w:val="ro-RO"/>
              </w:rPr>
            </w:pPr>
            <w:r w:rsidRPr="00304EAE">
              <w:rPr>
                <w:lang w:val="ro-RO"/>
              </w:rPr>
              <w:t>Transelectrica</w:t>
            </w:r>
          </w:p>
        </w:tc>
        <w:tc>
          <w:tcPr>
            <w:tcW w:w="2520" w:type="dxa"/>
          </w:tcPr>
          <w:p w:rsidR="007721BC" w:rsidRPr="00304EAE" w:rsidRDefault="007721BC" w:rsidP="00786CAA">
            <w:pPr>
              <w:jc w:val="both"/>
              <w:rPr>
                <w:lang w:val="ro-RO"/>
              </w:rPr>
            </w:pPr>
            <w:r w:rsidRPr="00304EAE">
              <w:rPr>
                <w:lang w:val="ro-RO"/>
              </w:rPr>
              <w:t>Art.3</w:t>
            </w:r>
          </w:p>
        </w:tc>
        <w:tc>
          <w:tcPr>
            <w:tcW w:w="4860" w:type="dxa"/>
          </w:tcPr>
          <w:p w:rsidR="007721BC" w:rsidRPr="00304EAE" w:rsidRDefault="007721BC" w:rsidP="00786CAA">
            <w:pPr>
              <w:ind w:left="-108"/>
              <w:jc w:val="both"/>
              <w:rPr>
                <w:lang w:val="ro-RO"/>
              </w:rPr>
            </w:pPr>
            <w:r w:rsidRPr="00304EAE">
              <w:rPr>
                <w:lang w:val="ro-RO"/>
              </w:rPr>
              <w:t xml:space="preserve"> “Facturile se achită de către PRE si PPE în termen de 5 zile lucrătoare de la data primirii lor.</w:t>
            </w:r>
          </w:p>
          <w:p w:rsidR="007721BC" w:rsidRPr="00304EAE" w:rsidRDefault="007721BC" w:rsidP="00786CAA">
            <w:pPr>
              <w:pStyle w:val="NormalIndent"/>
              <w:tabs>
                <w:tab w:val="left" w:pos="1620"/>
              </w:tabs>
              <w:ind w:left="0" w:hanging="18"/>
              <w:jc w:val="both"/>
              <w:rPr>
                <w:rFonts w:ascii="Times New Roman" w:hAnsi="Times New Roman" w:cs="Times New Roman"/>
                <w:color w:val="000000"/>
                <w:sz w:val="24"/>
                <w:szCs w:val="24"/>
                <w:lang w:val="ro-RO"/>
              </w:rPr>
            </w:pPr>
            <w:r w:rsidRPr="00304EAE">
              <w:rPr>
                <w:rFonts w:ascii="Times New Roman" w:hAnsi="Times New Roman" w:cs="Times New Roman"/>
                <w:color w:val="000000"/>
                <w:sz w:val="24"/>
                <w:szCs w:val="24"/>
                <w:lang w:val="ro-RO"/>
              </w:rPr>
              <w:t xml:space="preserve">Factura se consideră achitată la data înregistrării plăţii în extrasul bancar al </w:t>
            </w:r>
            <w:r w:rsidRPr="00304EAE">
              <w:rPr>
                <w:rFonts w:ascii="Times New Roman" w:hAnsi="Times New Roman" w:cs="Times New Roman"/>
                <w:i/>
                <w:iCs/>
                <w:color w:val="000000"/>
                <w:sz w:val="24"/>
                <w:szCs w:val="24"/>
                <w:lang w:val="ro-RO"/>
              </w:rPr>
              <w:t>OTS</w:t>
            </w:r>
            <w:r w:rsidRPr="00304EAE">
              <w:rPr>
                <w:rFonts w:ascii="Times New Roman" w:hAnsi="Times New Roman" w:cs="Times New Roman"/>
                <w:color w:val="000000"/>
                <w:sz w:val="24"/>
                <w:szCs w:val="24"/>
                <w:lang w:val="ro-RO"/>
              </w:rPr>
              <w:t xml:space="preserve">, la data preluării cecului de către </w:t>
            </w:r>
            <w:r w:rsidRPr="00304EAE">
              <w:rPr>
                <w:rFonts w:ascii="Times New Roman" w:hAnsi="Times New Roman" w:cs="Times New Roman"/>
                <w:i/>
                <w:iCs/>
                <w:color w:val="000000"/>
                <w:sz w:val="24"/>
                <w:szCs w:val="24"/>
                <w:lang w:val="ro-RO"/>
              </w:rPr>
              <w:t>OTS</w:t>
            </w:r>
            <w:r w:rsidRPr="00304EAE">
              <w:rPr>
                <w:rFonts w:ascii="Times New Roman" w:hAnsi="Times New Roman" w:cs="Times New Roman"/>
                <w:color w:val="000000"/>
                <w:sz w:val="24"/>
                <w:szCs w:val="24"/>
                <w:lang w:val="ro-RO"/>
              </w:rPr>
              <w:t>, la data semnării ordinului de compensare sau la data considerată de reglementările în vigoare pentru celelalte mijloace legale de plată.</w:t>
            </w:r>
          </w:p>
          <w:p w:rsidR="007721BC" w:rsidRPr="00304EAE" w:rsidRDefault="007721BC" w:rsidP="00786CAA">
            <w:pPr>
              <w:jc w:val="both"/>
              <w:rPr>
                <w:lang w:val="ro-RO"/>
              </w:rPr>
            </w:pPr>
            <w:r w:rsidRPr="00304EAE">
              <w:rPr>
                <w:lang w:val="ro-RO"/>
              </w:rPr>
              <w:t>Facturile se achita de către OTS in termen de 8 zile lucr</w:t>
            </w:r>
            <w:r w:rsidRPr="00304EAE">
              <w:rPr>
                <w:color w:val="000000"/>
                <w:lang w:val="ro-RO"/>
              </w:rPr>
              <w:t>ă</w:t>
            </w:r>
            <w:r w:rsidRPr="00304EAE">
              <w:rPr>
                <w:lang w:val="ro-RO"/>
              </w:rPr>
              <w:t>toare de la data primirii lor.</w:t>
            </w:r>
          </w:p>
        </w:tc>
        <w:tc>
          <w:tcPr>
            <w:tcW w:w="4140" w:type="dxa"/>
          </w:tcPr>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Nu se acceptă. Se depăşeşte termenul prevăzut în Lege.</w:t>
            </w:r>
          </w:p>
        </w:tc>
      </w:tr>
      <w:tr w:rsidR="007721BC" w:rsidRPr="00304EAE">
        <w:tc>
          <w:tcPr>
            <w:tcW w:w="828" w:type="dxa"/>
          </w:tcPr>
          <w:p w:rsidR="007721BC" w:rsidRPr="00304EAE" w:rsidRDefault="007721BC" w:rsidP="00786CAA">
            <w:pPr>
              <w:jc w:val="center"/>
              <w:rPr>
                <w:lang w:val="ro-RO"/>
              </w:rPr>
            </w:pPr>
            <w:r w:rsidRPr="00304EAE">
              <w:rPr>
                <w:lang w:val="ro-RO"/>
              </w:rPr>
              <w:t>10</w:t>
            </w:r>
          </w:p>
        </w:tc>
        <w:tc>
          <w:tcPr>
            <w:tcW w:w="2340" w:type="dxa"/>
          </w:tcPr>
          <w:p w:rsidR="007721BC" w:rsidRPr="00304EAE" w:rsidRDefault="007721BC" w:rsidP="00786CAA">
            <w:pPr>
              <w:jc w:val="both"/>
              <w:rPr>
                <w:lang w:val="ro-RO"/>
              </w:rPr>
            </w:pPr>
            <w:r w:rsidRPr="00304EAE">
              <w:rPr>
                <w:lang w:val="ro-RO"/>
              </w:rPr>
              <w:t>E-ON Energie</w:t>
            </w:r>
          </w:p>
        </w:tc>
        <w:tc>
          <w:tcPr>
            <w:tcW w:w="2520" w:type="dxa"/>
          </w:tcPr>
          <w:p w:rsidR="007721BC" w:rsidRPr="00304EAE" w:rsidRDefault="007721BC" w:rsidP="00786CAA">
            <w:pPr>
              <w:jc w:val="both"/>
              <w:rPr>
                <w:lang w:val="ro-RO"/>
              </w:rPr>
            </w:pPr>
            <w:r w:rsidRPr="00304EAE">
              <w:rPr>
                <w:lang w:val="ro-RO"/>
              </w:rPr>
              <w:t>Art. 3</w:t>
            </w:r>
          </w:p>
        </w:tc>
        <w:tc>
          <w:tcPr>
            <w:tcW w:w="4860" w:type="dxa"/>
          </w:tcPr>
          <w:p w:rsidR="007721BC" w:rsidRPr="00304EAE" w:rsidRDefault="007721BC" w:rsidP="00A84FB7">
            <w:pPr>
              <w:rPr>
                <w:lang w:val="ro-RO"/>
              </w:rPr>
            </w:pPr>
            <w:r w:rsidRPr="00304EAE">
              <w:rPr>
                <w:lang w:val="ro-RO"/>
              </w:rPr>
              <w:t xml:space="preserve">„Facturile se achită de către PRE, PPE sau OTS, după caz, în termen de </w:t>
            </w:r>
            <w:r w:rsidRPr="00304EAE">
              <w:rPr>
                <w:b/>
                <w:bCs/>
                <w:lang w:val="ro-RO"/>
              </w:rPr>
              <w:t>6 zile lucrătoare</w:t>
            </w:r>
            <w:r w:rsidRPr="00304EAE">
              <w:rPr>
                <w:lang w:val="ro-RO"/>
              </w:rPr>
              <w:t xml:space="preserve"> de la data primirii lor „</w:t>
            </w:r>
          </w:p>
          <w:p w:rsidR="007721BC" w:rsidRPr="00304EAE" w:rsidRDefault="007721BC" w:rsidP="00A84FB7">
            <w:pPr>
              <w:rPr>
                <w:lang w:val="ro-RO"/>
              </w:rPr>
            </w:pPr>
            <w:r w:rsidRPr="00304EAE">
              <w:rPr>
                <w:lang w:val="ro-RO"/>
              </w:rPr>
              <w:t xml:space="preserve">Propunem mărirea termenului de plată pentru a exista timpul necesar efectuării plăţilor şi în </w:t>
            </w:r>
            <w:r w:rsidRPr="00304EAE">
              <w:rPr>
                <w:lang w:val="ro-RO"/>
              </w:rPr>
              <w:lastRenderedPageBreak/>
              <w:t>interiorul PRE .</w:t>
            </w:r>
          </w:p>
        </w:tc>
        <w:tc>
          <w:tcPr>
            <w:tcW w:w="4140" w:type="dxa"/>
          </w:tcPr>
          <w:p w:rsidR="007721BC" w:rsidRPr="00304EAE" w:rsidRDefault="007721BC" w:rsidP="00786CAA">
            <w:pPr>
              <w:jc w:val="both"/>
              <w:rPr>
                <w:lang w:val="ro-RO"/>
              </w:rPr>
            </w:pPr>
            <w:r w:rsidRPr="00304EAE">
              <w:rPr>
                <w:lang w:val="ro-RO"/>
              </w:rPr>
              <w:lastRenderedPageBreak/>
              <w:t>Nu se acceptă. Se depăşeşte termenul prevăzut în Lege.</w:t>
            </w:r>
          </w:p>
        </w:tc>
      </w:tr>
      <w:tr w:rsidR="007721BC" w:rsidRPr="00A9047F">
        <w:tc>
          <w:tcPr>
            <w:tcW w:w="828" w:type="dxa"/>
          </w:tcPr>
          <w:p w:rsidR="007721BC" w:rsidRPr="00304EAE" w:rsidRDefault="007721BC" w:rsidP="00786CAA">
            <w:pPr>
              <w:jc w:val="center"/>
              <w:rPr>
                <w:lang w:val="ro-RO"/>
              </w:rPr>
            </w:pPr>
            <w:r w:rsidRPr="00304EAE">
              <w:rPr>
                <w:lang w:val="ro-RO"/>
              </w:rPr>
              <w:lastRenderedPageBreak/>
              <w:t>11</w:t>
            </w:r>
          </w:p>
        </w:tc>
        <w:tc>
          <w:tcPr>
            <w:tcW w:w="2340" w:type="dxa"/>
          </w:tcPr>
          <w:p w:rsidR="007721BC" w:rsidRPr="00304EAE" w:rsidRDefault="007721BC" w:rsidP="00786CAA">
            <w:pPr>
              <w:jc w:val="both"/>
              <w:rPr>
                <w:lang w:val="ro-RO"/>
              </w:rPr>
            </w:pPr>
            <w:r w:rsidRPr="00304EAE">
              <w:rPr>
                <w:lang w:val="ro-RO"/>
              </w:rPr>
              <w:t>Omepa</w:t>
            </w:r>
          </w:p>
        </w:tc>
        <w:tc>
          <w:tcPr>
            <w:tcW w:w="2520" w:type="dxa"/>
          </w:tcPr>
          <w:p w:rsidR="007721BC" w:rsidRPr="00A26DCE" w:rsidRDefault="007721BC" w:rsidP="00786CAA">
            <w:pPr>
              <w:jc w:val="both"/>
              <w:rPr>
                <w:lang w:val="ro-RO"/>
              </w:rPr>
            </w:pPr>
            <w:r w:rsidRPr="00A26DCE">
              <w:rPr>
                <w:lang w:val="ro-RO"/>
              </w:rPr>
              <w:t>Art.5</w:t>
            </w:r>
          </w:p>
          <w:p w:rsidR="007721BC" w:rsidRPr="00304EAE" w:rsidRDefault="007721BC" w:rsidP="00786CAA">
            <w:pPr>
              <w:jc w:val="both"/>
              <w:rPr>
                <w:lang w:val="ro-RO"/>
              </w:rPr>
            </w:pPr>
            <w:r>
              <w:rPr>
                <w:lang w:val="ro-RO"/>
              </w:rPr>
              <w:t>(</w:t>
            </w:r>
            <w:r w:rsidRPr="00304EAE">
              <w:rPr>
                <w:lang w:val="ro-RO"/>
              </w:rPr>
              <w:t xml:space="preserve">Art. </w:t>
            </w:r>
            <w:r>
              <w:rPr>
                <w:lang w:val="ro-RO"/>
              </w:rPr>
              <w:t>8)</w:t>
            </w:r>
          </w:p>
        </w:tc>
        <w:tc>
          <w:tcPr>
            <w:tcW w:w="4860" w:type="dxa"/>
          </w:tcPr>
          <w:p w:rsidR="007721BC" w:rsidRPr="00304EAE" w:rsidRDefault="007721BC" w:rsidP="00786CAA">
            <w:pPr>
              <w:jc w:val="both"/>
              <w:rPr>
                <w:lang w:val="ro-RO"/>
              </w:rPr>
            </w:pPr>
            <w:r w:rsidRPr="00304EAE">
              <w:rPr>
                <w:lang w:val="ro-RO"/>
              </w:rPr>
              <w:t>Completare</w:t>
            </w:r>
          </w:p>
          <w:p w:rsidR="007721BC" w:rsidRPr="00304EAE" w:rsidRDefault="007721BC" w:rsidP="00786CAA">
            <w:pPr>
              <w:pStyle w:val="ListParagraph"/>
              <w:ind w:left="33"/>
              <w:jc w:val="both"/>
              <w:rPr>
                <w:lang w:val="ro-RO"/>
              </w:rPr>
            </w:pPr>
            <w:r w:rsidRPr="00304EAE">
              <w:rPr>
                <w:lang w:val="ro-RO"/>
              </w:rPr>
              <w:t>- prin stabilirea datei la care ODPE transmite informatii catre OMEPA;</w:t>
            </w:r>
          </w:p>
          <w:p w:rsidR="007721BC" w:rsidRPr="00304EAE" w:rsidRDefault="007721BC" w:rsidP="00786CAA">
            <w:pPr>
              <w:pStyle w:val="ListParagraph"/>
              <w:ind w:left="33"/>
              <w:jc w:val="both"/>
              <w:rPr>
                <w:lang w:val="ro-RO"/>
              </w:rPr>
            </w:pPr>
            <w:r w:rsidRPr="00304EAE">
              <w:rPr>
                <w:lang w:val="ro-RO"/>
              </w:rPr>
              <w:t xml:space="preserve">- prin stabilirea formei si continutul datelor trasmise de catre ODPE catre OMEPA. </w:t>
            </w:r>
          </w:p>
          <w:p w:rsidR="007721BC" w:rsidRPr="00304EAE" w:rsidRDefault="007721BC" w:rsidP="00786CAA">
            <w:pPr>
              <w:jc w:val="both"/>
              <w:rPr>
                <w:lang w:val="ro-RO"/>
              </w:rPr>
            </w:pPr>
            <w:r w:rsidRPr="00304EAE">
              <w:rPr>
                <w:lang w:val="ro-RO"/>
              </w:rPr>
              <w:t>ODPE (OPCOM) are responsabilitatea transmiterii  catre OMEPA a rezultatelor verificarii bilantului energiei electrice pe Piata de Echilibrare (PE).</w:t>
            </w:r>
          </w:p>
          <w:p w:rsidR="007721BC" w:rsidRPr="00304EAE" w:rsidRDefault="007721BC" w:rsidP="00786CAA">
            <w:pPr>
              <w:jc w:val="both"/>
              <w:rPr>
                <w:lang w:val="ro-RO"/>
              </w:rPr>
            </w:pPr>
            <w:r w:rsidRPr="00304EAE">
              <w:rPr>
                <w:lang w:val="ro-RO"/>
              </w:rPr>
              <w:t>Pana la ce data ODPE are obligatia finalizarii transmiterii informatiilor catre OMEPA?</w:t>
            </w:r>
          </w:p>
          <w:p w:rsidR="007721BC" w:rsidRPr="00304EAE" w:rsidRDefault="007721BC" w:rsidP="00786CAA">
            <w:pPr>
              <w:pStyle w:val="ListParagraph"/>
              <w:ind w:left="33"/>
              <w:jc w:val="both"/>
              <w:rPr>
                <w:lang w:val="ro-RO"/>
              </w:rPr>
            </w:pPr>
            <w:r w:rsidRPr="00304EAE">
              <w:rPr>
                <w:lang w:val="ro-RO"/>
              </w:rPr>
              <w:t>Care este forma si continutul datelor pe care le va transmite ODPE catre OMEPA?</w:t>
            </w:r>
          </w:p>
        </w:tc>
        <w:tc>
          <w:tcPr>
            <w:tcW w:w="4140" w:type="dxa"/>
          </w:tcPr>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Forma şi conţinutul datelor se vor agrea în conven</w:t>
            </w:r>
            <w:r w:rsidRPr="00304EAE">
              <w:rPr>
                <w:rFonts w:ascii="Tahoma" w:hAnsi="Tahoma" w:cs="Tahoma"/>
                <w:lang w:val="ro-RO"/>
              </w:rPr>
              <w:t>ț</w:t>
            </w:r>
            <w:r w:rsidRPr="00304EAE">
              <w:rPr>
                <w:lang w:val="ro-RO"/>
              </w:rPr>
              <w:t xml:space="preserve">iile </w:t>
            </w:r>
            <w:r w:rsidRPr="00304EAE">
              <w:rPr>
                <w:rFonts w:ascii="Tahoma" w:hAnsi="Tahoma" w:cs="Tahoma"/>
                <w:lang w:val="ro-RO"/>
              </w:rPr>
              <w:t>ș</w:t>
            </w:r>
            <w:r w:rsidRPr="00304EAE">
              <w:rPr>
                <w:lang w:val="ro-RO"/>
              </w:rPr>
              <w:t>i procedurile interne dintre operatori.</w:t>
            </w:r>
          </w:p>
        </w:tc>
      </w:tr>
      <w:tr w:rsidR="007721BC" w:rsidRPr="00A9047F">
        <w:tc>
          <w:tcPr>
            <w:tcW w:w="828" w:type="dxa"/>
          </w:tcPr>
          <w:p w:rsidR="007721BC" w:rsidRPr="00304EAE" w:rsidRDefault="007721BC" w:rsidP="00786CAA">
            <w:pPr>
              <w:jc w:val="center"/>
              <w:rPr>
                <w:lang w:val="ro-RO"/>
              </w:rPr>
            </w:pPr>
            <w:r w:rsidRPr="00304EAE">
              <w:rPr>
                <w:lang w:val="ro-RO"/>
              </w:rPr>
              <w:t>12</w:t>
            </w:r>
          </w:p>
        </w:tc>
        <w:tc>
          <w:tcPr>
            <w:tcW w:w="2340" w:type="dxa"/>
          </w:tcPr>
          <w:p w:rsidR="007721BC" w:rsidRPr="00304EAE" w:rsidRDefault="007721BC" w:rsidP="00786CAA">
            <w:pPr>
              <w:jc w:val="both"/>
              <w:rPr>
                <w:lang w:val="ro-RO"/>
              </w:rPr>
            </w:pPr>
            <w:r w:rsidRPr="00304EAE">
              <w:rPr>
                <w:lang w:val="ro-RO"/>
              </w:rPr>
              <w:t>Omepa</w:t>
            </w:r>
          </w:p>
        </w:tc>
        <w:tc>
          <w:tcPr>
            <w:tcW w:w="2520" w:type="dxa"/>
          </w:tcPr>
          <w:p w:rsidR="007721BC" w:rsidRPr="00A26DCE" w:rsidRDefault="007721BC" w:rsidP="00786CAA">
            <w:pPr>
              <w:jc w:val="both"/>
              <w:rPr>
                <w:lang w:val="ro-RO"/>
              </w:rPr>
            </w:pPr>
            <w:r w:rsidRPr="00A26DCE">
              <w:rPr>
                <w:lang w:val="ro-RO"/>
              </w:rPr>
              <w:t>Art.5 (3)</w:t>
            </w:r>
          </w:p>
          <w:p w:rsidR="007721BC" w:rsidRPr="00304EAE" w:rsidRDefault="007721BC" w:rsidP="00786CAA">
            <w:pPr>
              <w:jc w:val="both"/>
              <w:rPr>
                <w:lang w:val="ro-RO"/>
              </w:rPr>
            </w:pPr>
            <w:r>
              <w:rPr>
                <w:lang w:val="ro-RO"/>
              </w:rPr>
              <w:t>Art. 2 alin (1) lit. d</w:t>
            </w:r>
            <w:r w:rsidRPr="00304EAE">
              <w:rPr>
                <w:lang w:val="ro-RO"/>
              </w:rPr>
              <w:t>)</w:t>
            </w:r>
          </w:p>
        </w:tc>
        <w:tc>
          <w:tcPr>
            <w:tcW w:w="4860" w:type="dxa"/>
          </w:tcPr>
          <w:p w:rsidR="007721BC" w:rsidRPr="00304EAE" w:rsidRDefault="007721BC" w:rsidP="00786CAA">
            <w:pPr>
              <w:ind w:left="68"/>
              <w:jc w:val="both"/>
              <w:rPr>
                <w:lang w:val="ro-RO"/>
              </w:rPr>
            </w:pPr>
            <w:r w:rsidRPr="00304EAE">
              <w:rPr>
                <w:lang w:val="ro-RO"/>
              </w:rPr>
              <w:t xml:space="preserve">OTS-OMEPA trebuie sa primeasca datele referitoare la inchiderea bilantului fizic de la Operatorii de distributie (OD) pentru a putea face verificarea. </w:t>
            </w:r>
          </w:p>
          <w:p w:rsidR="007721BC" w:rsidRPr="00304EAE" w:rsidRDefault="007721BC" w:rsidP="00786CAA">
            <w:pPr>
              <w:ind w:left="68"/>
              <w:jc w:val="both"/>
              <w:rPr>
                <w:lang w:val="ro-RO"/>
              </w:rPr>
            </w:pPr>
            <w:r w:rsidRPr="00304EAE">
              <w:rPr>
                <w:lang w:val="ro-RO"/>
              </w:rPr>
              <w:t>OTS-OMEPA dispune de toate datele necesare inchiderii bilantului fizic doar la nivel RET.</w:t>
            </w:r>
          </w:p>
          <w:p w:rsidR="007721BC" w:rsidRPr="00304EAE" w:rsidRDefault="007721BC" w:rsidP="00786CAA">
            <w:pPr>
              <w:ind w:left="68"/>
              <w:jc w:val="both"/>
              <w:rPr>
                <w:lang w:val="ro-RO"/>
              </w:rPr>
            </w:pPr>
            <w:r w:rsidRPr="00304EAE">
              <w:rPr>
                <w:lang w:val="ro-RO"/>
              </w:rPr>
              <w:t xml:space="preserve">In acest moment, OTS-OMEPA nu detine echipamente de masurare, nu colecteaza date  de la alti OD, nu are dimensionat Sistemul de Telecontorizare al Pietii Angro si personal pentru verificarea bilantului pe celelelte zone de licenta si la nivelul SEN. </w:t>
            </w:r>
          </w:p>
          <w:p w:rsidR="007721BC" w:rsidRPr="00304EAE" w:rsidRDefault="007721BC" w:rsidP="00786CAA">
            <w:pPr>
              <w:jc w:val="both"/>
              <w:rPr>
                <w:lang w:val="ro-RO"/>
              </w:rPr>
            </w:pPr>
            <w:r w:rsidRPr="00304EAE">
              <w:rPr>
                <w:lang w:val="ro-RO"/>
              </w:rPr>
              <w:t>OTS–OMEPA  nu are relatii directe cu participantii la piata de energie, conform prevederilor Codului Comercial si a Conventiilor de masurare si agregare.</w:t>
            </w:r>
          </w:p>
          <w:p w:rsidR="007721BC" w:rsidRPr="00304EAE" w:rsidRDefault="007721BC" w:rsidP="00786CAA">
            <w:pPr>
              <w:jc w:val="both"/>
              <w:rPr>
                <w:lang w:val="ro-RO"/>
              </w:rPr>
            </w:pPr>
            <w:r w:rsidRPr="00304EAE">
              <w:rPr>
                <w:lang w:val="ro-RO"/>
              </w:rPr>
              <w:t xml:space="preserve">A.N.R.E. trebuie sa analizeze completarea art.5: </w:t>
            </w:r>
          </w:p>
          <w:p w:rsidR="007721BC" w:rsidRPr="00304EAE" w:rsidRDefault="007721BC" w:rsidP="00786CAA">
            <w:pPr>
              <w:pStyle w:val="ListParagraph"/>
              <w:numPr>
                <w:ilvl w:val="0"/>
                <w:numId w:val="4"/>
              </w:numPr>
              <w:ind w:left="68" w:firstLine="0"/>
              <w:jc w:val="both"/>
              <w:rPr>
                <w:lang w:val="ro-RO"/>
              </w:rPr>
            </w:pPr>
            <w:r w:rsidRPr="00304EAE">
              <w:rPr>
                <w:lang w:val="ro-RO"/>
              </w:rPr>
              <w:t xml:space="preserve">prin definirea mecanismul si formula de verificare a bilantului la nivelul zonelor de licenta, RET si SEN . Aceste elemente sunt </w:t>
            </w:r>
            <w:r w:rsidRPr="00304EAE">
              <w:rPr>
                <w:lang w:val="ro-RO"/>
              </w:rPr>
              <w:lastRenderedPageBreak/>
              <w:t xml:space="preserve">necesare pentru definirea datelor (forma si continut) ce vor trebui transmise de OD la OTS – OMEPA. </w:t>
            </w:r>
          </w:p>
          <w:p w:rsidR="007721BC" w:rsidRPr="00304EAE" w:rsidRDefault="007721BC" w:rsidP="00786CAA">
            <w:pPr>
              <w:pStyle w:val="ListParagraph"/>
              <w:numPr>
                <w:ilvl w:val="0"/>
                <w:numId w:val="4"/>
              </w:numPr>
              <w:ind w:left="68" w:firstLine="0"/>
              <w:jc w:val="both"/>
              <w:rPr>
                <w:lang w:val="ro-RO"/>
              </w:rPr>
            </w:pPr>
            <w:r w:rsidRPr="00304EAE">
              <w:rPr>
                <w:lang w:val="ro-RO"/>
              </w:rPr>
              <w:t xml:space="preserve"> OTS-OMEPA trebuie sa anunte doar OD-urile pentru care in urma verificarilor efectuate de OTS – OMEPA s-au constatat neinchideri ale bilantului fizic, urmand ca acestea sa anunte participantii la piata care sunt racordati  la respectiva retea electrica in vederea corectarii neinchiderii depistate.</w:t>
            </w:r>
          </w:p>
          <w:p w:rsidR="007721BC" w:rsidRPr="00304EAE" w:rsidRDefault="007721BC" w:rsidP="00786CAA">
            <w:pPr>
              <w:pStyle w:val="ListParagraph"/>
              <w:numPr>
                <w:ilvl w:val="0"/>
                <w:numId w:val="4"/>
              </w:numPr>
              <w:ind w:left="68" w:firstLine="0"/>
              <w:jc w:val="both"/>
              <w:rPr>
                <w:lang w:val="ro-RO"/>
              </w:rPr>
            </w:pPr>
            <w:r w:rsidRPr="00304EAE">
              <w:rPr>
                <w:lang w:val="ro-RO"/>
              </w:rPr>
              <w:t>OTS-OM trebuie sa evalueze necesarul de resurse suplimentare ( umane, tehnice) aplicarii prevederilor prezentului ordin si impactul asupra Sistemului de Telecontorizare al pietii angro si sa solicite ANRE aprobarea unor masuri corective necesare implementarii dispozitiilor ANRE.</w:t>
            </w:r>
          </w:p>
          <w:p w:rsidR="007721BC" w:rsidRPr="00304EAE" w:rsidRDefault="007721BC" w:rsidP="00786CAA">
            <w:pPr>
              <w:jc w:val="both"/>
              <w:rPr>
                <w:lang w:val="ro-RO"/>
              </w:rPr>
            </w:pPr>
            <w:r w:rsidRPr="00304EAE">
              <w:rPr>
                <w:lang w:val="ro-RO"/>
              </w:rPr>
              <w:t>ANRE trebuie sa completeze cadrul de reglementare existent deoarece termenul de  Operatorul de Masurare Central sa fie inteles ca OTS-OMEPA, si totodata sa stabileasca competente de monitorizare si control al activitatilor OD si OM.</w:t>
            </w:r>
          </w:p>
        </w:tc>
        <w:tc>
          <w:tcPr>
            <w:tcW w:w="4140" w:type="dxa"/>
          </w:tcPr>
          <w:p w:rsidR="007721BC" w:rsidRPr="00304EAE" w:rsidRDefault="007721BC" w:rsidP="00786CAA">
            <w:pPr>
              <w:jc w:val="both"/>
              <w:rPr>
                <w:lang w:val="ro-RO"/>
              </w:rPr>
            </w:pPr>
            <w:r w:rsidRPr="00304EAE">
              <w:rPr>
                <w:lang w:val="ro-RO"/>
              </w:rPr>
              <w:lastRenderedPageBreak/>
              <w:t>Conform prevederilor din documentul nou, Omepa primeşte datele de la operatorii de reţea.</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F20F5">
            <w:pPr>
              <w:jc w:val="both"/>
              <w:rPr>
                <w:lang w:val="ro-RO"/>
              </w:rPr>
            </w:pPr>
            <w:r w:rsidRPr="00304EAE">
              <w:rPr>
                <w:lang w:val="ro-RO"/>
              </w:rPr>
              <w:t>În vederea încadrării în prevederile Legii nr. 123/2013, respectiv achitarea obligaţiilor de plată în termen de o lună de la încheierea lunii de tranzacţionare, a fost necesară diminuarea termenelor aferente tuturor activităţilor.</w:t>
            </w:r>
          </w:p>
          <w:p w:rsidR="007721BC" w:rsidRPr="00304EAE" w:rsidRDefault="007721BC" w:rsidP="007F20F5">
            <w:pPr>
              <w:jc w:val="both"/>
              <w:rPr>
                <w:lang w:val="ro-RO"/>
              </w:rPr>
            </w:pPr>
            <w:r w:rsidRPr="00304EAE">
              <w:rPr>
                <w:lang w:val="ro-RO"/>
              </w:rPr>
              <w:t>Considerăm că toţi operatorii trebuie să depună eforturi în vederea eficientizării activităţii în procesul decontării.</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În documentul nou se utilizează prescurtarea OMEPA pentru operatorul de măsurare a energiei pe piaţa angro de energie electrică.</w:t>
            </w:r>
          </w:p>
          <w:p w:rsidR="007721BC" w:rsidRPr="00304EAE" w:rsidRDefault="007721BC" w:rsidP="00786CAA">
            <w:pPr>
              <w:jc w:val="both"/>
              <w:rPr>
                <w:lang w:val="ro-RO"/>
              </w:rPr>
            </w:pPr>
            <w:r w:rsidRPr="00304EAE">
              <w:rPr>
                <w:lang w:val="ro-RO"/>
              </w:rPr>
              <w:t>Ordinul conţine prevederi privind modalitatea de decontare pe piaţa de echilibrare şi a dezechilibrelor PRE.</w:t>
            </w:r>
          </w:p>
        </w:tc>
      </w:tr>
      <w:tr w:rsidR="007721BC" w:rsidRPr="00A9047F">
        <w:tc>
          <w:tcPr>
            <w:tcW w:w="828" w:type="dxa"/>
          </w:tcPr>
          <w:p w:rsidR="007721BC" w:rsidRPr="00304EAE" w:rsidRDefault="007721BC" w:rsidP="00786CAA">
            <w:pPr>
              <w:jc w:val="center"/>
              <w:rPr>
                <w:lang w:val="ro-RO"/>
              </w:rPr>
            </w:pPr>
            <w:r w:rsidRPr="00304EAE">
              <w:rPr>
                <w:lang w:val="ro-RO"/>
              </w:rPr>
              <w:lastRenderedPageBreak/>
              <w:t>13</w:t>
            </w:r>
          </w:p>
        </w:tc>
        <w:tc>
          <w:tcPr>
            <w:tcW w:w="2340" w:type="dxa"/>
          </w:tcPr>
          <w:p w:rsidR="007721BC" w:rsidRPr="00304EAE" w:rsidRDefault="007721BC" w:rsidP="00786CAA">
            <w:pPr>
              <w:jc w:val="both"/>
              <w:rPr>
                <w:lang w:val="ro-RO"/>
              </w:rPr>
            </w:pPr>
            <w:r w:rsidRPr="00304EAE">
              <w:rPr>
                <w:lang w:val="ro-RO"/>
              </w:rPr>
              <w:t>Opcom</w:t>
            </w:r>
          </w:p>
        </w:tc>
        <w:tc>
          <w:tcPr>
            <w:tcW w:w="2520" w:type="dxa"/>
          </w:tcPr>
          <w:p w:rsidR="007721BC" w:rsidRPr="00304EAE" w:rsidRDefault="007721BC" w:rsidP="00786CAA">
            <w:pPr>
              <w:jc w:val="both"/>
              <w:rPr>
                <w:lang w:val="ro-RO"/>
              </w:rPr>
            </w:pPr>
            <w:r w:rsidRPr="00304EAE">
              <w:rPr>
                <w:lang w:val="ro-RO"/>
              </w:rPr>
              <w:t xml:space="preserve">Introducere prevederi noi </w:t>
            </w:r>
          </w:p>
        </w:tc>
        <w:tc>
          <w:tcPr>
            <w:tcW w:w="4860" w:type="dxa"/>
          </w:tcPr>
          <w:p w:rsidR="007721BC" w:rsidRPr="00304EAE" w:rsidRDefault="007721BC" w:rsidP="00786CAA">
            <w:pPr>
              <w:pStyle w:val="ListParagraph"/>
              <w:tabs>
                <w:tab w:val="left" w:pos="360"/>
                <w:tab w:val="left" w:pos="450"/>
              </w:tabs>
              <w:spacing w:after="200"/>
              <w:ind w:left="0" w:right="72"/>
              <w:jc w:val="both"/>
              <w:rPr>
                <w:lang w:val="ro-RO"/>
              </w:rPr>
            </w:pPr>
            <w:r w:rsidRPr="00304EAE">
              <w:rPr>
                <w:lang w:val="ro-RO"/>
              </w:rPr>
              <w:t>- privind termenul la care OTS  transmite la OPCOM S.A. „</w:t>
            </w:r>
            <w:r w:rsidRPr="00304EAE">
              <w:rPr>
                <w:i/>
                <w:iCs/>
                <w:lang w:val="ro-RO"/>
              </w:rPr>
              <w:t xml:space="preserve">notificarile privind toate schimburile fizice nete intre Partile Responsabile cu Echilibrarea”, </w:t>
            </w:r>
            <w:r w:rsidRPr="00304EAE">
              <w:rPr>
                <w:lang w:val="ro-RO"/>
              </w:rPr>
              <w:t xml:space="preserve"> având în vedere că intocmirea notelor lunare de informare pentru decontarea obligaţiilor de plată preliminară/ drepturilor de încasare preliminară menţionate la art. 1 alin. (2) se realizeaza si pe baza  acestor date, nu numai pe baza datelor precizate la lit. c), respectiv lit. g).</w:t>
            </w:r>
          </w:p>
          <w:p w:rsidR="007721BC" w:rsidRPr="00304EAE" w:rsidRDefault="007721BC" w:rsidP="00786CAA">
            <w:pPr>
              <w:pStyle w:val="ListParagraph"/>
              <w:tabs>
                <w:tab w:val="left" w:pos="450"/>
              </w:tabs>
              <w:spacing w:after="200"/>
              <w:ind w:left="0" w:right="72"/>
              <w:jc w:val="both"/>
              <w:rPr>
                <w:lang w:val="ro-RO"/>
              </w:rPr>
            </w:pPr>
            <w:r w:rsidRPr="00304EAE">
              <w:rPr>
                <w:lang w:val="ro-RO"/>
              </w:rPr>
              <w:lastRenderedPageBreak/>
              <w:t xml:space="preserve">- privind documentele pe care  S.C. Opcom S.A. le intocmeste si le transmite (de la punerea in functiune a Pietei de Echilibare, in anul 2005) suplimentar fata de prevederile Codului Comercial, in vederea intocmirii corecte a facturilor, deoarece pe baza </w:t>
            </w:r>
            <w:r w:rsidRPr="00304EAE">
              <w:rPr>
                <w:i/>
                <w:iCs/>
                <w:lang w:val="ro-RO"/>
              </w:rPr>
              <w:t>Notelor lunare de informare</w:t>
            </w:r>
            <w:r w:rsidRPr="00304EAE">
              <w:rPr>
                <w:lang w:val="ro-RO"/>
              </w:rPr>
              <w:t xml:space="preserve"> pentru decontarea obilgatiilor de plata/drepturilor de incasare, care cuprind doar valoarea neta (sold) a obligatilor de plata /drepturilor de incasare (conform prevederilor sect. 14.6.2., 14.6.3, 14.7.1 si 14.7.2 din Codul Comercial)  nu se pot emite facturi (ar fi incalcate prevederile Legii contabilitatii):</w:t>
            </w:r>
          </w:p>
          <w:p w:rsidR="007721BC" w:rsidRPr="00304EAE" w:rsidRDefault="007721BC" w:rsidP="00786CAA">
            <w:pPr>
              <w:pStyle w:val="ListParagraph"/>
              <w:tabs>
                <w:tab w:val="left" w:pos="720"/>
              </w:tabs>
              <w:ind w:left="0" w:right="72"/>
              <w:jc w:val="both"/>
              <w:rPr>
                <w:lang w:val="ro-RO"/>
              </w:rPr>
            </w:pPr>
            <w:r w:rsidRPr="00304EAE">
              <w:rPr>
                <w:i/>
                <w:iCs/>
                <w:lang w:val="ro-RO"/>
              </w:rPr>
              <w:t xml:space="preserve">- Situatia privind tranzactiile pe Piata de Echilibrare in luna.... </w:t>
            </w:r>
            <w:r w:rsidRPr="00304EAE">
              <w:rPr>
                <w:lang w:val="ro-RO"/>
              </w:rPr>
              <w:t>fiecarui</w:t>
            </w:r>
            <w:r w:rsidRPr="00304EAE">
              <w:rPr>
                <w:i/>
                <w:iCs/>
                <w:lang w:val="ro-RO"/>
              </w:rPr>
              <w:t xml:space="preserve"> </w:t>
            </w:r>
            <w:r w:rsidRPr="00304EAE">
              <w:rPr>
                <w:lang w:val="ro-RO"/>
              </w:rPr>
              <w:t xml:space="preserve">Participant la PE, </w:t>
            </w:r>
          </w:p>
          <w:p w:rsidR="007721BC" w:rsidRPr="00304EAE" w:rsidRDefault="007721BC" w:rsidP="00786CAA">
            <w:pPr>
              <w:pStyle w:val="ListParagraph"/>
              <w:tabs>
                <w:tab w:val="left" w:pos="720"/>
              </w:tabs>
              <w:ind w:left="0" w:right="72"/>
              <w:jc w:val="both"/>
              <w:rPr>
                <w:lang w:val="ro-RO"/>
              </w:rPr>
            </w:pPr>
            <w:r w:rsidRPr="00304EAE">
              <w:rPr>
                <w:i/>
                <w:iCs/>
                <w:lang w:val="ro-RO"/>
              </w:rPr>
              <w:t>- Situatia lunara a dezechilibrelor cantitative si valorice ale PRE</w:t>
            </w:r>
            <w:r w:rsidRPr="00304EAE">
              <w:rPr>
                <w:lang w:val="ro-RO"/>
              </w:rPr>
              <w:t>.</w:t>
            </w:r>
          </w:p>
          <w:p w:rsidR="007721BC" w:rsidRPr="00304EAE" w:rsidRDefault="007721BC" w:rsidP="00786CAA">
            <w:pPr>
              <w:tabs>
                <w:tab w:val="left" w:pos="450"/>
              </w:tabs>
              <w:ind w:right="72"/>
              <w:jc w:val="both"/>
              <w:rPr>
                <w:lang w:val="ro-RO"/>
              </w:rPr>
            </w:pPr>
            <w:r w:rsidRPr="00304EAE">
              <w:rPr>
                <w:lang w:val="ro-RO"/>
              </w:rPr>
              <w:t xml:space="preserve">Avand in vedere necesitatea intocmirii acestor </w:t>
            </w:r>
            <w:r w:rsidRPr="00304EAE">
              <w:rPr>
                <w:i/>
                <w:iCs/>
                <w:lang w:val="ro-RO"/>
              </w:rPr>
              <w:t>Situatii...,</w:t>
            </w:r>
            <w:r w:rsidRPr="00304EAE">
              <w:rPr>
                <w:lang w:val="ro-RO"/>
              </w:rPr>
              <w:t xml:space="preserve"> (care se transmit inca de la punerea in functiune a Pietei de Echilibare) in vederea elaborarii si transmiterii facturilor, va rugam sa fiti de acord cu pastrarea termenului de trei zile lucratoare de la primirea tuturor datelor, ca termen de transmitere a </w:t>
            </w:r>
            <w:r w:rsidRPr="00304EAE">
              <w:rPr>
                <w:i/>
                <w:iCs/>
                <w:lang w:val="ro-RO"/>
              </w:rPr>
              <w:t>Notelor lunare de informare</w:t>
            </w:r>
            <w:r w:rsidRPr="00304EAE">
              <w:rPr>
                <w:lang w:val="ro-RO"/>
              </w:rPr>
              <w:t xml:space="preserve"> si a </w:t>
            </w:r>
            <w:r w:rsidRPr="00304EAE">
              <w:rPr>
                <w:i/>
                <w:iCs/>
                <w:lang w:val="ro-RO"/>
              </w:rPr>
              <w:t>Situatiilor</w:t>
            </w:r>
            <w:r w:rsidRPr="00304EAE">
              <w:rPr>
                <w:lang w:val="ro-RO"/>
              </w:rPr>
              <w:t>....</w:t>
            </w:r>
          </w:p>
          <w:p w:rsidR="007721BC" w:rsidRPr="00304EAE" w:rsidRDefault="007721BC" w:rsidP="00786CAA">
            <w:pPr>
              <w:ind w:right="72"/>
              <w:jc w:val="both"/>
              <w:rPr>
                <w:lang w:val="ro-RO"/>
              </w:rPr>
            </w:pPr>
          </w:p>
        </w:tc>
        <w:tc>
          <w:tcPr>
            <w:tcW w:w="4140" w:type="dxa"/>
          </w:tcPr>
          <w:p w:rsidR="007721BC" w:rsidRPr="00304EAE" w:rsidRDefault="007721BC" w:rsidP="00786CAA">
            <w:pPr>
              <w:jc w:val="both"/>
              <w:rPr>
                <w:lang w:val="ro-RO"/>
              </w:rPr>
            </w:pPr>
            <w:r w:rsidRPr="00304EAE">
              <w:rPr>
                <w:lang w:val="ro-RO"/>
              </w:rPr>
              <w:lastRenderedPageBreak/>
              <w:t>Termenul este conform prevederilor Ordinului 32/2013, Art. 3 din Anexă.</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 xml:space="preserve">Ordinul stabileşte modalitatea de </w:t>
            </w:r>
            <w:r w:rsidRPr="00304EAE">
              <w:rPr>
                <w:lang w:val="ro-RO"/>
              </w:rPr>
              <w:lastRenderedPageBreak/>
              <w:t>decontare. Documentele suplimentare întocmite de Opcom se vor stabili în proceduri interne.</w:t>
            </w: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 xml:space="preserve">Din discuţii anterioare purtate cu Opcom a rezultat faptul că notele lunare de informare pentru decontare pot fi întocmite în termen de 2 zile. </w:t>
            </w:r>
          </w:p>
          <w:p w:rsidR="007721BC" w:rsidRPr="00304EAE" w:rsidRDefault="007721BC" w:rsidP="00786CAA">
            <w:pPr>
              <w:jc w:val="both"/>
              <w:rPr>
                <w:lang w:val="ro-RO"/>
              </w:rPr>
            </w:pPr>
            <w:r w:rsidRPr="00304EAE">
              <w:rPr>
                <w:lang w:val="ro-RO"/>
              </w:rPr>
              <w:t>În vederea încadrării în prevederile Legii nr. 123/2013, respectiv achitarea obligaţiilor de plată în termen de o lună de la încheierea lunii de tranzacţionare, a fost necesară diminuarea termenelor aferente tuturor activităţilor.</w:t>
            </w:r>
          </w:p>
          <w:p w:rsidR="007721BC" w:rsidRPr="00304EAE" w:rsidRDefault="007721BC" w:rsidP="00786CAA">
            <w:pPr>
              <w:jc w:val="both"/>
              <w:rPr>
                <w:lang w:val="ro-RO"/>
              </w:rPr>
            </w:pPr>
            <w:r w:rsidRPr="00304EAE">
              <w:rPr>
                <w:lang w:val="ro-RO"/>
              </w:rPr>
              <w:t>Considerăm că toţi operatorii trebuie să depună eforturi în vederea eficientizării activităţii în procesul decontării.</w:t>
            </w:r>
          </w:p>
          <w:p w:rsidR="007721BC" w:rsidRPr="00304EAE" w:rsidRDefault="007721BC" w:rsidP="00786CAA">
            <w:pPr>
              <w:jc w:val="both"/>
              <w:rPr>
                <w:lang w:val="ro-RO"/>
              </w:rPr>
            </w:pPr>
          </w:p>
        </w:tc>
      </w:tr>
      <w:tr w:rsidR="007721BC" w:rsidRPr="00304EAE">
        <w:tc>
          <w:tcPr>
            <w:tcW w:w="828" w:type="dxa"/>
          </w:tcPr>
          <w:p w:rsidR="007721BC" w:rsidRPr="00304EAE" w:rsidRDefault="007721BC" w:rsidP="00786CAA">
            <w:pPr>
              <w:jc w:val="center"/>
              <w:rPr>
                <w:lang w:val="ro-RO"/>
              </w:rPr>
            </w:pPr>
            <w:r w:rsidRPr="00304EAE">
              <w:rPr>
                <w:lang w:val="ro-RO"/>
              </w:rPr>
              <w:lastRenderedPageBreak/>
              <w:t>14</w:t>
            </w:r>
          </w:p>
        </w:tc>
        <w:tc>
          <w:tcPr>
            <w:tcW w:w="2340" w:type="dxa"/>
          </w:tcPr>
          <w:p w:rsidR="007721BC" w:rsidRPr="00304EAE" w:rsidRDefault="007721BC" w:rsidP="00786CAA">
            <w:pPr>
              <w:jc w:val="both"/>
              <w:rPr>
                <w:lang w:val="ro-RO"/>
              </w:rPr>
            </w:pPr>
            <w:r w:rsidRPr="00304EAE">
              <w:rPr>
                <w:lang w:val="ro-RO"/>
              </w:rPr>
              <w:t>Opcom</w:t>
            </w:r>
          </w:p>
        </w:tc>
        <w:tc>
          <w:tcPr>
            <w:tcW w:w="2520" w:type="dxa"/>
          </w:tcPr>
          <w:p w:rsidR="007721BC" w:rsidRPr="00304EAE" w:rsidRDefault="007721BC" w:rsidP="00786CAA">
            <w:pPr>
              <w:jc w:val="both"/>
              <w:rPr>
                <w:lang w:val="ro-RO"/>
              </w:rPr>
            </w:pPr>
            <w:r w:rsidRPr="00304EAE">
              <w:rPr>
                <w:lang w:val="ro-RO"/>
              </w:rPr>
              <w:t xml:space="preserve">Introducere prevedere nouă </w:t>
            </w:r>
          </w:p>
        </w:tc>
        <w:tc>
          <w:tcPr>
            <w:tcW w:w="4860" w:type="dxa"/>
          </w:tcPr>
          <w:p w:rsidR="007721BC" w:rsidRPr="00304EAE" w:rsidRDefault="007721BC" w:rsidP="00786CAA">
            <w:pPr>
              <w:pStyle w:val="ListParagraph"/>
              <w:spacing w:before="240" w:after="200"/>
              <w:ind w:left="0"/>
              <w:jc w:val="both"/>
              <w:rPr>
                <w:lang w:val="ro-RO"/>
              </w:rPr>
            </w:pPr>
            <w:r w:rsidRPr="00304EAE">
              <w:rPr>
                <w:lang w:val="ro-RO"/>
              </w:rPr>
              <w:t xml:space="preserve">privind formula pe care OPCOM S.A. o va utiliza pentru verificarea </w:t>
            </w:r>
            <w:r w:rsidRPr="00304EAE">
              <w:rPr>
                <w:i/>
                <w:iCs/>
                <w:lang w:val="ro-RO"/>
              </w:rPr>
              <w:t xml:space="preserve">„corectitudinii datelor </w:t>
            </w:r>
            <w:r w:rsidRPr="00304EAE">
              <w:rPr>
                <w:i/>
                <w:iCs/>
                <w:lang w:val="ro-RO"/>
              </w:rPr>
              <w:lastRenderedPageBreak/>
              <w:t xml:space="preserve">de decontare prin verificarea inchiderii bilantului energiei electrice”,  </w:t>
            </w:r>
            <w:r w:rsidRPr="00304EAE">
              <w:rPr>
                <w:lang w:val="ro-RO"/>
              </w:rPr>
              <w:t>termenul la care OPCOM S.A. efectueaza calculele privind inchiderea bilantului energiei electrice, precum si frecventa efectuarii acestor calcule (decontare preliminara/finala), precum si termenul de comunicare a rezultatelor la OMEPA.</w:t>
            </w:r>
          </w:p>
        </w:tc>
        <w:tc>
          <w:tcPr>
            <w:tcW w:w="4140" w:type="dxa"/>
          </w:tcPr>
          <w:p w:rsidR="007721BC" w:rsidRPr="00304EAE" w:rsidRDefault="007721BC" w:rsidP="00786CAA">
            <w:pPr>
              <w:jc w:val="both"/>
              <w:rPr>
                <w:lang w:val="ro-RO"/>
              </w:rPr>
            </w:pPr>
          </w:p>
          <w:p w:rsidR="007721BC" w:rsidRPr="00304EAE" w:rsidRDefault="007721BC" w:rsidP="00786CAA">
            <w:pPr>
              <w:jc w:val="both"/>
              <w:rPr>
                <w:lang w:val="ro-RO"/>
              </w:rPr>
            </w:pPr>
            <w:r w:rsidRPr="00304EAE">
              <w:rPr>
                <w:lang w:val="ro-RO"/>
              </w:rPr>
              <w:t xml:space="preserve">Formulele de calcul vor fi stabilite prin proceduri interne. Verificarea se va </w:t>
            </w:r>
            <w:r w:rsidRPr="00304EAE">
              <w:rPr>
                <w:lang w:val="ro-RO"/>
              </w:rPr>
              <w:lastRenderedPageBreak/>
              <w:t>realiza lunar.</w:t>
            </w:r>
          </w:p>
          <w:p w:rsidR="007721BC" w:rsidRPr="00304EAE" w:rsidRDefault="007721BC" w:rsidP="00786CAA">
            <w:pPr>
              <w:jc w:val="both"/>
              <w:rPr>
                <w:lang w:val="ro-RO"/>
              </w:rPr>
            </w:pPr>
          </w:p>
        </w:tc>
      </w:tr>
    </w:tbl>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bookmarkStart w:id="0" w:name="_GoBack"/>
      <w:bookmarkEnd w:id="0"/>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Default="007721BC" w:rsidP="00E83424">
      <w:pPr>
        <w:tabs>
          <w:tab w:val="left" w:pos="8640"/>
          <w:tab w:val="left" w:pos="9000"/>
        </w:tabs>
        <w:rPr>
          <w:lang w:val="ro-RO"/>
        </w:rPr>
      </w:pPr>
    </w:p>
    <w:p w:rsidR="007721BC" w:rsidRPr="00A9047F" w:rsidRDefault="007721BC" w:rsidP="00E83424">
      <w:pPr>
        <w:tabs>
          <w:tab w:val="left" w:pos="8640"/>
          <w:tab w:val="left" w:pos="9000"/>
        </w:tabs>
        <w:rPr>
          <w:sz w:val="20"/>
          <w:szCs w:val="20"/>
          <w:lang w:val="ro-RO"/>
        </w:rPr>
      </w:pPr>
      <w:r w:rsidRPr="00A9047F">
        <w:rPr>
          <w:sz w:val="20"/>
          <w:szCs w:val="20"/>
          <w:lang w:val="ro-RO"/>
        </w:rPr>
        <w:t>Notă</w:t>
      </w:r>
      <w:r w:rsidRPr="00A9047F">
        <w:rPr>
          <w:sz w:val="20"/>
          <w:szCs w:val="20"/>
          <w:lang w:val="nl-NL"/>
        </w:rPr>
        <w:t>: concluzia elaboratorului priveşte observaţiile transmise pentru varianta Document de discuţie a Ordinului şi poate suferi ulterior modificări.</w:t>
      </w:r>
    </w:p>
    <w:sectPr w:rsidR="007721BC" w:rsidRPr="00A9047F" w:rsidSect="00FD569F">
      <w:footerReference w:type="default" r:id="rId7"/>
      <w:pgSz w:w="15840" w:h="12240" w:orient="landscape"/>
      <w:pgMar w:top="1800" w:right="1440" w:bottom="90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B70" w:rsidRDefault="00341B70">
      <w:r>
        <w:separator/>
      </w:r>
    </w:p>
  </w:endnote>
  <w:endnote w:type="continuationSeparator" w:id="0">
    <w:p w:rsidR="00341B70" w:rsidRDefault="0034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1BC" w:rsidRDefault="007721BC" w:rsidP="001D64E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440D">
      <w:rPr>
        <w:rStyle w:val="PageNumber"/>
        <w:noProof/>
      </w:rPr>
      <w:t>11</w:t>
    </w:r>
    <w:r>
      <w:rPr>
        <w:rStyle w:val="PageNumber"/>
      </w:rPr>
      <w:fldChar w:fldCharType="end"/>
    </w:r>
  </w:p>
  <w:p w:rsidR="007721BC" w:rsidRDefault="007721BC" w:rsidP="00304EA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B70" w:rsidRDefault="00341B70">
      <w:r>
        <w:separator/>
      </w:r>
    </w:p>
  </w:footnote>
  <w:footnote w:type="continuationSeparator" w:id="0">
    <w:p w:rsidR="00341B70" w:rsidRDefault="00341B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00B06"/>
    <w:multiLevelType w:val="hybridMultilevel"/>
    <w:tmpl w:val="17044320"/>
    <w:lvl w:ilvl="0" w:tplc="3F32B45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DEB2152"/>
    <w:multiLevelType w:val="hybridMultilevel"/>
    <w:tmpl w:val="CEAE7B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968708F"/>
    <w:multiLevelType w:val="hybridMultilevel"/>
    <w:tmpl w:val="AE0223B2"/>
    <w:lvl w:ilvl="0" w:tplc="C12C415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3617D8E"/>
    <w:multiLevelType w:val="hybridMultilevel"/>
    <w:tmpl w:val="EDFA4128"/>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272B5FE5"/>
    <w:multiLevelType w:val="hybridMultilevel"/>
    <w:tmpl w:val="206E8D18"/>
    <w:lvl w:ilvl="0" w:tplc="41C6D74C">
      <w:start w:val="1"/>
      <w:numFmt w:val="decimal"/>
      <w:lvlText w:val="%1."/>
      <w:lvlJc w:val="left"/>
      <w:pPr>
        <w:tabs>
          <w:tab w:val="num" w:pos="795"/>
        </w:tabs>
        <w:ind w:left="795" w:hanging="43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FEC3AE1"/>
    <w:multiLevelType w:val="hybridMultilevel"/>
    <w:tmpl w:val="882A25FA"/>
    <w:lvl w:ilvl="0" w:tplc="F6246A2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310C571A"/>
    <w:multiLevelType w:val="hybridMultilevel"/>
    <w:tmpl w:val="7A048490"/>
    <w:lvl w:ilvl="0" w:tplc="04180001">
      <w:start w:val="1"/>
      <w:numFmt w:val="bullet"/>
      <w:lvlText w:val=""/>
      <w:lvlJc w:val="left"/>
      <w:pPr>
        <w:ind w:left="795" w:hanging="360"/>
      </w:pPr>
      <w:rPr>
        <w:rFonts w:ascii="Symbol" w:hAnsi="Symbol" w:cs="Symbol" w:hint="default"/>
      </w:rPr>
    </w:lvl>
    <w:lvl w:ilvl="1" w:tplc="04180003">
      <w:start w:val="1"/>
      <w:numFmt w:val="bullet"/>
      <w:lvlText w:val="o"/>
      <w:lvlJc w:val="left"/>
      <w:pPr>
        <w:ind w:left="1515" w:hanging="360"/>
      </w:pPr>
      <w:rPr>
        <w:rFonts w:ascii="Courier New" w:hAnsi="Courier New" w:cs="Courier New" w:hint="default"/>
      </w:rPr>
    </w:lvl>
    <w:lvl w:ilvl="2" w:tplc="04180005">
      <w:start w:val="1"/>
      <w:numFmt w:val="bullet"/>
      <w:lvlText w:val=""/>
      <w:lvlJc w:val="left"/>
      <w:pPr>
        <w:ind w:left="2235" w:hanging="360"/>
      </w:pPr>
      <w:rPr>
        <w:rFonts w:ascii="Wingdings" w:hAnsi="Wingdings" w:cs="Wingdings" w:hint="default"/>
      </w:rPr>
    </w:lvl>
    <w:lvl w:ilvl="3" w:tplc="04180001">
      <w:start w:val="1"/>
      <w:numFmt w:val="bullet"/>
      <w:lvlText w:val=""/>
      <w:lvlJc w:val="left"/>
      <w:pPr>
        <w:ind w:left="2955" w:hanging="360"/>
      </w:pPr>
      <w:rPr>
        <w:rFonts w:ascii="Symbol" w:hAnsi="Symbol" w:cs="Symbol" w:hint="default"/>
      </w:rPr>
    </w:lvl>
    <w:lvl w:ilvl="4" w:tplc="04180003">
      <w:start w:val="1"/>
      <w:numFmt w:val="bullet"/>
      <w:lvlText w:val="o"/>
      <w:lvlJc w:val="left"/>
      <w:pPr>
        <w:ind w:left="3675" w:hanging="360"/>
      </w:pPr>
      <w:rPr>
        <w:rFonts w:ascii="Courier New" w:hAnsi="Courier New" w:cs="Courier New" w:hint="default"/>
      </w:rPr>
    </w:lvl>
    <w:lvl w:ilvl="5" w:tplc="04180005">
      <w:start w:val="1"/>
      <w:numFmt w:val="bullet"/>
      <w:lvlText w:val=""/>
      <w:lvlJc w:val="left"/>
      <w:pPr>
        <w:ind w:left="4395" w:hanging="360"/>
      </w:pPr>
      <w:rPr>
        <w:rFonts w:ascii="Wingdings" w:hAnsi="Wingdings" w:cs="Wingdings" w:hint="default"/>
      </w:rPr>
    </w:lvl>
    <w:lvl w:ilvl="6" w:tplc="04180001">
      <w:start w:val="1"/>
      <w:numFmt w:val="bullet"/>
      <w:lvlText w:val=""/>
      <w:lvlJc w:val="left"/>
      <w:pPr>
        <w:ind w:left="5115" w:hanging="360"/>
      </w:pPr>
      <w:rPr>
        <w:rFonts w:ascii="Symbol" w:hAnsi="Symbol" w:cs="Symbol" w:hint="default"/>
      </w:rPr>
    </w:lvl>
    <w:lvl w:ilvl="7" w:tplc="04180003">
      <w:start w:val="1"/>
      <w:numFmt w:val="bullet"/>
      <w:lvlText w:val="o"/>
      <w:lvlJc w:val="left"/>
      <w:pPr>
        <w:ind w:left="5835" w:hanging="360"/>
      </w:pPr>
      <w:rPr>
        <w:rFonts w:ascii="Courier New" w:hAnsi="Courier New" w:cs="Courier New" w:hint="default"/>
      </w:rPr>
    </w:lvl>
    <w:lvl w:ilvl="8" w:tplc="04180005">
      <w:start w:val="1"/>
      <w:numFmt w:val="bullet"/>
      <w:lvlText w:val=""/>
      <w:lvlJc w:val="left"/>
      <w:pPr>
        <w:ind w:left="6555" w:hanging="360"/>
      </w:pPr>
      <w:rPr>
        <w:rFonts w:ascii="Wingdings" w:hAnsi="Wingdings" w:cs="Wingdings" w:hint="default"/>
      </w:rPr>
    </w:lvl>
  </w:abstractNum>
  <w:abstractNum w:abstractNumId="9">
    <w:nsid w:val="344E61D2"/>
    <w:multiLevelType w:val="hybridMultilevel"/>
    <w:tmpl w:val="92B80A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AC7482"/>
    <w:multiLevelType w:val="multilevel"/>
    <w:tmpl w:val="7FCC3018"/>
    <w:lvl w:ilvl="0">
      <w:start w:val="1"/>
      <w:numFmt w:val="decimal"/>
      <w:pStyle w:val="Heading1"/>
      <w:lvlText w:val="%1"/>
      <w:lvlJc w:val="left"/>
      <w:pPr>
        <w:tabs>
          <w:tab w:val="num" w:pos="1854"/>
        </w:tabs>
        <w:ind w:left="1854" w:hanging="1134"/>
      </w:pPr>
      <w:rPr>
        <w:rFonts w:hint="default"/>
      </w:rPr>
    </w:lvl>
    <w:lvl w:ilvl="1">
      <w:start w:val="1"/>
      <w:numFmt w:val="decimal"/>
      <w:pStyle w:val="Heading2"/>
      <w:lvlText w:val="7.2"/>
      <w:lvlJc w:val="left"/>
      <w:pPr>
        <w:tabs>
          <w:tab w:val="num" w:pos="1854"/>
        </w:tabs>
        <w:ind w:left="1854" w:hanging="1134"/>
      </w:pPr>
      <w:rPr>
        <w:rFonts w:hint="default"/>
      </w:rPr>
    </w:lvl>
    <w:lvl w:ilvl="2">
      <w:start w:val="1"/>
      <w:numFmt w:val="decimal"/>
      <w:pStyle w:val="Heading3"/>
      <w:lvlText w:val="%1.%2.%3"/>
      <w:lvlJc w:val="left"/>
      <w:pPr>
        <w:tabs>
          <w:tab w:val="num" w:pos="1854"/>
        </w:tabs>
        <w:ind w:left="1854" w:hanging="1134"/>
      </w:pPr>
      <w:rPr>
        <w:rFonts w:hint="default"/>
      </w:rPr>
    </w:lvl>
    <w:lvl w:ilvl="3">
      <w:start w:val="1"/>
      <w:numFmt w:val="decimal"/>
      <w:pStyle w:val="Heading4"/>
      <w:lvlText w:val="7.3.2.%4"/>
      <w:lvlJc w:val="left"/>
      <w:pPr>
        <w:tabs>
          <w:tab w:val="num" w:pos="1854"/>
        </w:tabs>
        <w:ind w:left="1854" w:hanging="1134"/>
      </w:pPr>
      <w:rPr>
        <w:rFonts w:ascii="Times New Roman" w:hAnsi="Times New Roman" w:cs="Times New Roman" w:hint="default"/>
        <w:sz w:val="24"/>
        <w:szCs w:val="24"/>
      </w:rPr>
    </w:lvl>
    <w:lvl w:ilvl="4">
      <w:start w:val="1"/>
      <w:numFmt w:val="decimal"/>
      <w:pStyle w:val="Heading5"/>
      <w:lvlText w:val="%1.%2.%3.%4.%5"/>
      <w:lvlJc w:val="left"/>
      <w:pPr>
        <w:tabs>
          <w:tab w:val="num" w:pos="2160"/>
        </w:tabs>
        <w:ind w:left="1854" w:hanging="1134"/>
      </w:pPr>
      <w:rPr>
        <w:rFonts w:hint="default"/>
      </w:rPr>
    </w:lvl>
    <w:lvl w:ilvl="5">
      <w:start w:val="1"/>
      <w:numFmt w:val="lowerLetter"/>
      <w:pStyle w:val="Heading6"/>
      <w:lvlText w:val="(%6)"/>
      <w:lvlJc w:val="right"/>
      <w:pPr>
        <w:tabs>
          <w:tab w:val="num" w:pos="2421"/>
        </w:tabs>
        <w:ind w:left="2421" w:hanging="283"/>
      </w:pPr>
      <w:rPr>
        <w:rFonts w:hint="default"/>
      </w:rPr>
    </w:lvl>
    <w:lvl w:ilvl="6">
      <w:start w:val="1"/>
      <w:numFmt w:val="lowerRoman"/>
      <w:pStyle w:val="Heading7"/>
      <w:lvlText w:val="(%7)"/>
      <w:lvlJc w:val="right"/>
      <w:pPr>
        <w:tabs>
          <w:tab w:val="num" w:pos="2705"/>
        </w:tabs>
        <w:ind w:left="2705" w:hanging="284"/>
      </w:pPr>
      <w:rPr>
        <w:rFonts w:hint="default"/>
      </w:rPr>
    </w:lvl>
    <w:lvl w:ilvl="7">
      <w:start w:val="1"/>
      <w:numFmt w:val="upperRoman"/>
      <w:pStyle w:val="Heading8"/>
      <w:lvlText w:val="%8"/>
      <w:lvlJc w:val="right"/>
      <w:pPr>
        <w:tabs>
          <w:tab w:val="num" w:pos="2988"/>
        </w:tabs>
        <w:ind w:left="2988" w:hanging="283"/>
      </w:pPr>
      <w:rPr>
        <w:rFonts w:hint="default"/>
      </w:rPr>
    </w:lvl>
    <w:lvl w:ilvl="8">
      <w:start w:val="1"/>
      <w:numFmt w:val="decimal"/>
      <w:lvlRestart w:val="0"/>
      <w:pStyle w:val="Heading9"/>
      <w:lvlText w:val="Annex %9"/>
      <w:lvlJc w:val="left"/>
      <w:pPr>
        <w:tabs>
          <w:tab w:val="num" w:pos="2705"/>
        </w:tabs>
        <w:ind w:left="2705" w:hanging="1985"/>
      </w:pPr>
      <w:rPr>
        <w:rFonts w:hint="default"/>
      </w:rPr>
    </w:lvl>
  </w:abstractNum>
  <w:abstractNum w:abstractNumId="11">
    <w:nsid w:val="599C71DF"/>
    <w:multiLevelType w:val="hybridMultilevel"/>
    <w:tmpl w:val="7D9C673A"/>
    <w:lvl w:ilvl="0" w:tplc="04090001">
      <w:start w:val="1"/>
      <w:numFmt w:val="bullet"/>
      <w:lvlText w:val=""/>
      <w:lvlJc w:val="left"/>
      <w:pPr>
        <w:ind w:left="788" w:hanging="360"/>
      </w:pPr>
      <w:rPr>
        <w:rFonts w:ascii="Symbol" w:hAnsi="Symbol" w:cs="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cs="Wingdings" w:hint="default"/>
      </w:rPr>
    </w:lvl>
    <w:lvl w:ilvl="3" w:tplc="04090001">
      <w:start w:val="1"/>
      <w:numFmt w:val="bullet"/>
      <w:lvlText w:val=""/>
      <w:lvlJc w:val="left"/>
      <w:pPr>
        <w:ind w:left="2948" w:hanging="360"/>
      </w:pPr>
      <w:rPr>
        <w:rFonts w:ascii="Symbol" w:hAnsi="Symbol" w:cs="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cs="Wingdings" w:hint="default"/>
      </w:rPr>
    </w:lvl>
    <w:lvl w:ilvl="6" w:tplc="04090001">
      <w:start w:val="1"/>
      <w:numFmt w:val="bullet"/>
      <w:lvlText w:val=""/>
      <w:lvlJc w:val="left"/>
      <w:pPr>
        <w:ind w:left="5108" w:hanging="360"/>
      </w:pPr>
      <w:rPr>
        <w:rFonts w:ascii="Symbol" w:hAnsi="Symbol" w:cs="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cs="Wingdings" w:hint="default"/>
      </w:rPr>
    </w:lvl>
  </w:abstractNum>
  <w:abstractNum w:abstractNumId="12">
    <w:nsid w:val="6A20110C"/>
    <w:multiLevelType w:val="multilevel"/>
    <w:tmpl w:val="D6028E86"/>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nsid w:val="6B351EF6"/>
    <w:multiLevelType w:val="hybridMultilevel"/>
    <w:tmpl w:val="D482336E"/>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7"/>
  </w:num>
  <w:num w:numId="2">
    <w:abstractNumId w:val="6"/>
  </w:num>
  <w:num w:numId="3">
    <w:abstractNumId w:val="1"/>
  </w:num>
  <w:num w:numId="4">
    <w:abstractNumId w:val="11"/>
  </w:num>
  <w:num w:numId="5">
    <w:abstractNumId w:val="0"/>
  </w:num>
  <w:num w:numId="6">
    <w:abstractNumId w:val="8"/>
  </w:num>
  <w:num w:numId="7">
    <w:abstractNumId w:val="4"/>
  </w:num>
  <w:num w:numId="8">
    <w:abstractNumId w:val="2"/>
  </w:num>
  <w:num w:numId="9">
    <w:abstractNumId w:val="13"/>
  </w:num>
  <w:num w:numId="10">
    <w:abstractNumId w:val="5"/>
  </w:num>
  <w:num w:numId="11">
    <w:abstractNumId w:val="9"/>
  </w:num>
  <w:num w:numId="12">
    <w:abstractNumId w:val="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1EB"/>
    <w:rsid w:val="000243DB"/>
    <w:rsid w:val="000254DA"/>
    <w:rsid w:val="000558E3"/>
    <w:rsid w:val="000628C1"/>
    <w:rsid w:val="000B44E6"/>
    <w:rsid w:val="000C54B7"/>
    <w:rsid w:val="000D208A"/>
    <w:rsid w:val="000E738C"/>
    <w:rsid w:val="001032B4"/>
    <w:rsid w:val="001C18A6"/>
    <w:rsid w:val="001D5B96"/>
    <w:rsid w:val="001D64E6"/>
    <w:rsid w:val="001E7F94"/>
    <w:rsid w:val="002167D2"/>
    <w:rsid w:val="002233F9"/>
    <w:rsid w:val="00250784"/>
    <w:rsid w:val="002C6B2C"/>
    <w:rsid w:val="00304EAE"/>
    <w:rsid w:val="00324512"/>
    <w:rsid w:val="00324D59"/>
    <w:rsid w:val="003415D6"/>
    <w:rsid w:val="00341B70"/>
    <w:rsid w:val="0035677F"/>
    <w:rsid w:val="003B27BF"/>
    <w:rsid w:val="003C2CD0"/>
    <w:rsid w:val="003E7374"/>
    <w:rsid w:val="00406A62"/>
    <w:rsid w:val="004301DA"/>
    <w:rsid w:val="004360C4"/>
    <w:rsid w:val="00483B3F"/>
    <w:rsid w:val="00491878"/>
    <w:rsid w:val="004B2FC1"/>
    <w:rsid w:val="004C1F48"/>
    <w:rsid w:val="004E7A76"/>
    <w:rsid w:val="00513861"/>
    <w:rsid w:val="005536BE"/>
    <w:rsid w:val="005901EB"/>
    <w:rsid w:val="00595473"/>
    <w:rsid w:val="0060609B"/>
    <w:rsid w:val="00664AF2"/>
    <w:rsid w:val="006D7C79"/>
    <w:rsid w:val="0070333B"/>
    <w:rsid w:val="0072054A"/>
    <w:rsid w:val="007234AA"/>
    <w:rsid w:val="007576D9"/>
    <w:rsid w:val="00771806"/>
    <w:rsid w:val="007721BC"/>
    <w:rsid w:val="00774492"/>
    <w:rsid w:val="007847C1"/>
    <w:rsid w:val="00786CAA"/>
    <w:rsid w:val="007F20F5"/>
    <w:rsid w:val="00801BC8"/>
    <w:rsid w:val="009A1BB1"/>
    <w:rsid w:val="009D5E97"/>
    <w:rsid w:val="009F361B"/>
    <w:rsid w:val="00A26DCE"/>
    <w:rsid w:val="00A6405A"/>
    <w:rsid w:val="00A81941"/>
    <w:rsid w:val="00A84FB7"/>
    <w:rsid w:val="00A9047F"/>
    <w:rsid w:val="00B16B7F"/>
    <w:rsid w:val="00B26805"/>
    <w:rsid w:val="00B30C20"/>
    <w:rsid w:val="00B54AC0"/>
    <w:rsid w:val="00BC68CA"/>
    <w:rsid w:val="00BE0146"/>
    <w:rsid w:val="00BF66BF"/>
    <w:rsid w:val="00C1290C"/>
    <w:rsid w:val="00C17848"/>
    <w:rsid w:val="00C268A1"/>
    <w:rsid w:val="00C40976"/>
    <w:rsid w:val="00C66052"/>
    <w:rsid w:val="00C76F30"/>
    <w:rsid w:val="00CA715E"/>
    <w:rsid w:val="00CE4E71"/>
    <w:rsid w:val="00D15481"/>
    <w:rsid w:val="00D17681"/>
    <w:rsid w:val="00D33C5D"/>
    <w:rsid w:val="00D81A49"/>
    <w:rsid w:val="00D82083"/>
    <w:rsid w:val="00D851AB"/>
    <w:rsid w:val="00D94847"/>
    <w:rsid w:val="00DF3AF8"/>
    <w:rsid w:val="00DF6877"/>
    <w:rsid w:val="00E7440D"/>
    <w:rsid w:val="00E80F52"/>
    <w:rsid w:val="00E83424"/>
    <w:rsid w:val="00E87166"/>
    <w:rsid w:val="00EF7BAA"/>
    <w:rsid w:val="00F013A7"/>
    <w:rsid w:val="00F06242"/>
    <w:rsid w:val="00F1630C"/>
    <w:rsid w:val="00F37B66"/>
    <w:rsid w:val="00F717C2"/>
    <w:rsid w:val="00FA3684"/>
    <w:rsid w:val="00FC7EE7"/>
    <w:rsid w:val="00FD569F"/>
    <w:rsid w:val="00FF1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52BBAC3-7B92-424D-9620-65EA88CD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374"/>
    <w:rPr>
      <w:sz w:val="24"/>
      <w:szCs w:val="24"/>
      <w:lang w:val="en-US" w:eastAsia="en-US"/>
    </w:rPr>
  </w:style>
  <w:style w:type="paragraph" w:styleId="Heading1">
    <w:name w:val="heading 1"/>
    <w:aliases w:val="Section,(cntl 1),DVG,HEADING 1,H1"/>
    <w:basedOn w:val="Normal"/>
    <w:link w:val="Heading1Char"/>
    <w:uiPriority w:val="99"/>
    <w:qFormat/>
    <w:rsid w:val="00C268A1"/>
    <w:pPr>
      <w:keepNext/>
      <w:keepLines/>
      <w:numPr>
        <w:numId w:val="13"/>
      </w:numPr>
      <w:suppressLineNumbers/>
      <w:suppressAutoHyphens/>
      <w:spacing w:before="240" w:after="240"/>
      <w:jc w:val="both"/>
      <w:outlineLvl w:val="0"/>
    </w:pPr>
    <w:rPr>
      <w:rFonts w:ascii="Arial" w:eastAsia="SimSun" w:hAnsi="Arial" w:cs="Arial"/>
      <w:b/>
      <w:bCs/>
      <w:kern w:val="32"/>
      <w:sz w:val="32"/>
      <w:szCs w:val="32"/>
      <w:lang w:val="en-GB"/>
    </w:rPr>
  </w:style>
  <w:style w:type="paragraph" w:styleId="Heading2">
    <w:name w:val="heading 2"/>
    <w:aliases w:val="Major,2,(cntl 2),Ü2-DVG,h2,level 2,Subhead A,H2,Titre m"/>
    <w:basedOn w:val="Normal"/>
    <w:link w:val="Heading2Char"/>
    <w:uiPriority w:val="99"/>
    <w:qFormat/>
    <w:rsid w:val="00C268A1"/>
    <w:pPr>
      <w:keepNext/>
      <w:keepLines/>
      <w:numPr>
        <w:ilvl w:val="1"/>
        <w:numId w:val="13"/>
      </w:numPr>
      <w:suppressLineNumbers/>
      <w:suppressAutoHyphens/>
      <w:spacing w:before="360" w:after="240" w:line="264" w:lineRule="auto"/>
      <w:jc w:val="both"/>
      <w:outlineLvl w:val="1"/>
    </w:pPr>
    <w:rPr>
      <w:rFonts w:ascii="Arial" w:eastAsia="SimSun" w:hAnsi="Arial" w:cs="Arial"/>
      <w:b/>
      <w:bCs/>
      <w:sz w:val="28"/>
      <w:szCs w:val="28"/>
      <w:lang w:val="en-GB"/>
    </w:rPr>
  </w:style>
  <w:style w:type="paragraph" w:styleId="Heading3">
    <w:name w:val="heading 3"/>
    <w:aliases w:val="Minor,level 3,Subhead B"/>
    <w:basedOn w:val="Normal"/>
    <w:link w:val="Heading3Char"/>
    <w:uiPriority w:val="99"/>
    <w:qFormat/>
    <w:rsid w:val="00C268A1"/>
    <w:pPr>
      <w:keepNext/>
      <w:keepLines/>
      <w:numPr>
        <w:ilvl w:val="2"/>
        <w:numId w:val="13"/>
      </w:numPr>
      <w:suppressLineNumbers/>
      <w:suppressAutoHyphens/>
      <w:spacing w:before="240" w:after="180" w:line="264" w:lineRule="auto"/>
      <w:jc w:val="both"/>
      <w:outlineLvl w:val="2"/>
    </w:pPr>
    <w:rPr>
      <w:rFonts w:ascii="Arial" w:eastAsia="SimSun" w:hAnsi="Arial" w:cs="Arial"/>
      <w:b/>
      <w:bCs/>
      <w:i/>
      <w:iCs/>
      <w:sz w:val="28"/>
      <w:szCs w:val="28"/>
      <w:lang w:val="en-GB"/>
    </w:rPr>
  </w:style>
  <w:style w:type="paragraph" w:styleId="Heading4">
    <w:name w:val="heading 4"/>
    <w:aliases w:val="Sub-Minor,4,Subhead C,H4"/>
    <w:basedOn w:val="Normal"/>
    <w:link w:val="Heading4Char"/>
    <w:uiPriority w:val="99"/>
    <w:qFormat/>
    <w:rsid w:val="00C268A1"/>
    <w:pPr>
      <w:numPr>
        <w:ilvl w:val="3"/>
        <w:numId w:val="13"/>
      </w:numPr>
      <w:suppressLineNumbers/>
      <w:suppressAutoHyphens/>
      <w:spacing w:before="120" w:after="120" w:line="264" w:lineRule="auto"/>
      <w:jc w:val="both"/>
      <w:outlineLvl w:val="3"/>
    </w:pPr>
    <w:rPr>
      <w:rFonts w:ascii="Arial" w:eastAsia="SimSun" w:hAnsi="Arial" w:cs="Arial"/>
      <w:sz w:val="22"/>
      <w:szCs w:val="22"/>
      <w:lang w:val="en-GB"/>
    </w:rPr>
  </w:style>
  <w:style w:type="paragraph" w:styleId="Heading5">
    <w:name w:val="heading 5"/>
    <w:basedOn w:val="Normal"/>
    <w:link w:val="Heading5Char"/>
    <w:uiPriority w:val="99"/>
    <w:qFormat/>
    <w:rsid w:val="00C268A1"/>
    <w:pPr>
      <w:numPr>
        <w:ilvl w:val="4"/>
        <w:numId w:val="13"/>
      </w:numPr>
      <w:suppressLineNumbers/>
      <w:suppressAutoHyphens/>
      <w:spacing w:after="120" w:line="264" w:lineRule="auto"/>
      <w:jc w:val="both"/>
      <w:outlineLvl w:val="4"/>
    </w:pPr>
    <w:rPr>
      <w:rFonts w:ascii="Arial" w:eastAsia="SimSun" w:hAnsi="Arial" w:cs="Arial"/>
      <w:sz w:val="22"/>
      <w:szCs w:val="22"/>
      <w:lang w:val="en-GB"/>
    </w:rPr>
  </w:style>
  <w:style w:type="paragraph" w:styleId="Heading6">
    <w:name w:val="heading 6"/>
    <w:basedOn w:val="Normal"/>
    <w:link w:val="Heading6Char"/>
    <w:uiPriority w:val="99"/>
    <w:qFormat/>
    <w:rsid w:val="00C268A1"/>
    <w:pPr>
      <w:keepLines/>
      <w:numPr>
        <w:ilvl w:val="5"/>
        <w:numId w:val="13"/>
      </w:numPr>
      <w:suppressLineNumbers/>
      <w:suppressAutoHyphens/>
      <w:spacing w:after="120" w:line="264" w:lineRule="auto"/>
      <w:jc w:val="both"/>
      <w:outlineLvl w:val="5"/>
    </w:pPr>
    <w:rPr>
      <w:rFonts w:ascii="Arial" w:eastAsia="SimSun" w:hAnsi="Arial" w:cs="Arial"/>
      <w:sz w:val="22"/>
      <w:szCs w:val="22"/>
      <w:lang w:val="en-GB"/>
    </w:rPr>
  </w:style>
  <w:style w:type="paragraph" w:styleId="Heading7">
    <w:name w:val="heading 7"/>
    <w:basedOn w:val="Normal"/>
    <w:link w:val="Heading7Char"/>
    <w:uiPriority w:val="99"/>
    <w:qFormat/>
    <w:rsid w:val="00C268A1"/>
    <w:pPr>
      <w:numPr>
        <w:ilvl w:val="6"/>
        <w:numId w:val="13"/>
      </w:numPr>
      <w:suppressLineNumbers/>
      <w:suppressAutoHyphens/>
      <w:spacing w:after="120" w:line="264" w:lineRule="auto"/>
      <w:jc w:val="both"/>
      <w:outlineLvl w:val="6"/>
    </w:pPr>
    <w:rPr>
      <w:rFonts w:ascii="Arial" w:eastAsia="SimSun" w:hAnsi="Arial" w:cs="Arial"/>
      <w:sz w:val="22"/>
      <w:szCs w:val="22"/>
      <w:lang w:val="en-GB"/>
    </w:rPr>
  </w:style>
  <w:style w:type="paragraph" w:styleId="Heading8">
    <w:name w:val="heading 8"/>
    <w:basedOn w:val="Normal"/>
    <w:link w:val="Heading8Char"/>
    <w:uiPriority w:val="99"/>
    <w:qFormat/>
    <w:rsid w:val="00C268A1"/>
    <w:pPr>
      <w:numPr>
        <w:ilvl w:val="7"/>
        <w:numId w:val="13"/>
      </w:numPr>
      <w:spacing w:after="120" w:line="264" w:lineRule="auto"/>
      <w:jc w:val="both"/>
      <w:outlineLvl w:val="7"/>
    </w:pPr>
    <w:rPr>
      <w:rFonts w:ascii="Arial" w:eastAsia="SimSun" w:hAnsi="Arial" w:cs="Arial"/>
      <w:sz w:val="22"/>
      <w:szCs w:val="22"/>
      <w:lang w:val="en-GB"/>
    </w:rPr>
  </w:style>
  <w:style w:type="paragraph" w:styleId="Heading9">
    <w:name w:val="heading 9"/>
    <w:basedOn w:val="Normal"/>
    <w:next w:val="Normal"/>
    <w:link w:val="Heading9Char"/>
    <w:uiPriority w:val="99"/>
    <w:qFormat/>
    <w:rsid w:val="00C268A1"/>
    <w:pPr>
      <w:keepNext/>
      <w:keepLines/>
      <w:numPr>
        <w:ilvl w:val="8"/>
        <w:numId w:val="13"/>
      </w:numPr>
      <w:spacing w:before="120" w:after="120" w:line="264" w:lineRule="auto"/>
      <w:jc w:val="both"/>
      <w:outlineLvl w:val="8"/>
    </w:pPr>
    <w:rPr>
      <w:rFonts w:ascii="Arial" w:eastAsia="SimSun" w:hAnsi="Arial" w:cs="Arial"/>
      <w:b/>
      <w:bCs/>
      <w:sz w:val="30"/>
      <w:szCs w:val="3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
    <w:link w:val="Heading1"/>
    <w:uiPriority w:val="99"/>
    <w:locked/>
    <w:rsid w:val="00F06242"/>
    <w:rPr>
      <w:rFonts w:ascii="Cambria" w:hAnsi="Cambria" w:cs="Cambria"/>
      <w:b/>
      <w:bCs/>
      <w:kern w:val="32"/>
      <w:sz w:val="32"/>
      <w:szCs w:val="32"/>
    </w:rPr>
  </w:style>
  <w:style w:type="character" w:customStyle="1" w:styleId="Heading2Char">
    <w:name w:val="Heading 2 Char"/>
    <w:aliases w:val="Major Char,2 Char,(cntl 2) Char,Ü2-DVG Char,h2 Char,level 2 Char,Subhead A Char,H2 Char,Titre m Char"/>
    <w:link w:val="Heading2"/>
    <w:uiPriority w:val="99"/>
    <w:semiHidden/>
    <w:locked/>
    <w:rsid w:val="00F06242"/>
    <w:rPr>
      <w:rFonts w:ascii="Cambria" w:hAnsi="Cambria" w:cs="Cambria"/>
      <w:b/>
      <w:bCs/>
      <w:i/>
      <w:iCs/>
      <w:sz w:val="28"/>
      <w:szCs w:val="28"/>
    </w:rPr>
  </w:style>
  <w:style w:type="character" w:customStyle="1" w:styleId="Heading3Char">
    <w:name w:val="Heading 3 Char"/>
    <w:aliases w:val="Minor Char,level 3 Char,Subhead B Char"/>
    <w:link w:val="Heading3"/>
    <w:uiPriority w:val="99"/>
    <w:semiHidden/>
    <w:locked/>
    <w:rsid w:val="00F06242"/>
    <w:rPr>
      <w:rFonts w:ascii="Cambria" w:hAnsi="Cambria" w:cs="Cambria"/>
      <w:b/>
      <w:bCs/>
      <w:sz w:val="26"/>
      <w:szCs w:val="26"/>
    </w:rPr>
  </w:style>
  <w:style w:type="character" w:customStyle="1" w:styleId="Heading4Char">
    <w:name w:val="Heading 4 Char"/>
    <w:aliases w:val="Sub-Minor Char,4 Char,Subhead C Char,H4 Char"/>
    <w:link w:val="Heading4"/>
    <w:uiPriority w:val="99"/>
    <w:semiHidden/>
    <w:locked/>
    <w:rsid w:val="00F06242"/>
    <w:rPr>
      <w:rFonts w:ascii="Calibri" w:hAnsi="Calibri" w:cs="Calibri"/>
      <w:b/>
      <w:bCs/>
      <w:sz w:val="28"/>
      <w:szCs w:val="28"/>
    </w:rPr>
  </w:style>
  <w:style w:type="character" w:customStyle="1" w:styleId="Heading5Char">
    <w:name w:val="Heading 5 Char"/>
    <w:link w:val="Heading5"/>
    <w:uiPriority w:val="99"/>
    <w:semiHidden/>
    <w:locked/>
    <w:rsid w:val="00F06242"/>
    <w:rPr>
      <w:rFonts w:ascii="Calibri" w:hAnsi="Calibri" w:cs="Calibri"/>
      <w:b/>
      <w:bCs/>
      <w:i/>
      <w:iCs/>
      <w:sz w:val="26"/>
      <w:szCs w:val="26"/>
    </w:rPr>
  </w:style>
  <w:style w:type="character" w:customStyle="1" w:styleId="Heading6Char">
    <w:name w:val="Heading 6 Char"/>
    <w:link w:val="Heading6"/>
    <w:uiPriority w:val="99"/>
    <w:semiHidden/>
    <w:locked/>
    <w:rsid w:val="00F06242"/>
    <w:rPr>
      <w:rFonts w:ascii="Calibri" w:hAnsi="Calibri" w:cs="Calibri"/>
      <w:b/>
      <w:bCs/>
    </w:rPr>
  </w:style>
  <w:style w:type="character" w:customStyle="1" w:styleId="Heading7Char">
    <w:name w:val="Heading 7 Char"/>
    <w:link w:val="Heading7"/>
    <w:uiPriority w:val="99"/>
    <w:semiHidden/>
    <w:locked/>
    <w:rsid w:val="00F06242"/>
    <w:rPr>
      <w:rFonts w:ascii="Calibri" w:hAnsi="Calibri" w:cs="Calibri"/>
      <w:sz w:val="24"/>
      <w:szCs w:val="24"/>
    </w:rPr>
  </w:style>
  <w:style w:type="character" w:customStyle="1" w:styleId="Heading8Char">
    <w:name w:val="Heading 8 Char"/>
    <w:link w:val="Heading8"/>
    <w:uiPriority w:val="99"/>
    <w:semiHidden/>
    <w:locked/>
    <w:rsid w:val="00F06242"/>
    <w:rPr>
      <w:rFonts w:ascii="Calibri" w:hAnsi="Calibri" w:cs="Calibri"/>
      <w:i/>
      <w:iCs/>
      <w:sz w:val="24"/>
      <w:szCs w:val="24"/>
    </w:rPr>
  </w:style>
  <w:style w:type="character" w:customStyle="1" w:styleId="Heading9Char">
    <w:name w:val="Heading 9 Char"/>
    <w:link w:val="Heading9"/>
    <w:uiPriority w:val="99"/>
    <w:semiHidden/>
    <w:locked/>
    <w:rsid w:val="00F06242"/>
    <w:rPr>
      <w:rFonts w:ascii="Cambria" w:hAnsi="Cambria" w:cs="Cambria"/>
    </w:rPr>
  </w:style>
  <w:style w:type="table" w:styleId="TableGrid">
    <w:name w:val="Table Grid"/>
    <w:basedOn w:val="TableNormal"/>
    <w:uiPriority w:val="99"/>
    <w:rsid w:val="005901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uiPriority w:val="99"/>
    <w:rsid w:val="005901EB"/>
    <w:rPr>
      <w:noProof/>
      <w:lang w:val="pl-PL" w:eastAsia="pl-PL"/>
    </w:rPr>
  </w:style>
  <w:style w:type="paragraph" w:styleId="NormalIndent">
    <w:name w:val="Normal Indent"/>
    <w:aliases w:val="Char"/>
    <w:basedOn w:val="Normal"/>
    <w:link w:val="NormalIndentChar"/>
    <w:uiPriority w:val="99"/>
    <w:rsid w:val="00DF3AF8"/>
    <w:pPr>
      <w:spacing w:after="220"/>
      <w:ind w:left="1304"/>
    </w:pPr>
    <w:rPr>
      <w:rFonts w:ascii="Arial" w:eastAsia="SimSun" w:hAnsi="Arial" w:cs="Arial"/>
      <w:sz w:val="20"/>
      <w:szCs w:val="20"/>
      <w:lang w:val="fi-FI" w:eastAsia="fi-FI"/>
    </w:rPr>
  </w:style>
  <w:style w:type="character" w:customStyle="1" w:styleId="NormalIndentChar">
    <w:name w:val="Normal Indent Char"/>
    <w:aliases w:val="Char Char"/>
    <w:link w:val="NormalIndent"/>
    <w:uiPriority w:val="99"/>
    <w:locked/>
    <w:rsid w:val="00DF3AF8"/>
    <w:rPr>
      <w:rFonts w:ascii="Arial" w:eastAsia="SimSun" w:hAnsi="Arial" w:cs="Arial"/>
      <w:lang w:val="fi-FI" w:eastAsia="fi-FI"/>
    </w:rPr>
  </w:style>
  <w:style w:type="paragraph" w:styleId="ListParagraph">
    <w:name w:val="List Paragraph"/>
    <w:basedOn w:val="Normal"/>
    <w:uiPriority w:val="99"/>
    <w:qFormat/>
    <w:rsid w:val="000558E3"/>
    <w:pPr>
      <w:ind w:left="720"/>
    </w:pPr>
  </w:style>
  <w:style w:type="paragraph" w:styleId="Footer">
    <w:name w:val="footer"/>
    <w:basedOn w:val="Normal"/>
    <w:link w:val="FooterChar"/>
    <w:uiPriority w:val="99"/>
    <w:rsid w:val="00CE4E71"/>
    <w:pPr>
      <w:tabs>
        <w:tab w:val="center" w:pos="4680"/>
        <w:tab w:val="right" w:pos="9360"/>
      </w:tabs>
    </w:pPr>
  </w:style>
  <w:style w:type="character" w:customStyle="1" w:styleId="FooterChar">
    <w:name w:val="Footer Char"/>
    <w:link w:val="Footer"/>
    <w:uiPriority w:val="99"/>
    <w:locked/>
    <w:rsid w:val="00CE4E71"/>
    <w:rPr>
      <w:rFonts w:eastAsia="Times New Roman"/>
      <w:sz w:val="24"/>
      <w:szCs w:val="24"/>
      <w:lang w:val="en-US" w:eastAsia="en-US"/>
    </w:rPr>
  </w:style>
  <w:style w:type="character" w:styleId="CommentReference">
    <w:name w:val="annotation reference"/>
    <w:uiPriority w:val="99"/>
    <w:semiHidden/>
    <w:rsid w:val="00C1290C"/>
    <w:rPr>
      <w:sz w:val="16"/>
      <w:szCs w:val="16"/>
    </w:rPr>
  </w:style>
  <w:style w:type="paragraph" w:styleId="CommentText">
    <w:name w:val="annotation text"/>
    <w:basedOn w:val="Normal"/>
    <w:link w:val="CommentTextChar"/>
    <w:uiPriority w:val="99"/>
    <w:semiHidden/>
    <w:rsid w:val="00C1290C"/>
    <w:rPr>
      <w:sz w:val="20"/>
      <w:szCs w:val="20"/>
    </w:rPr>
  </w:style>
  <w:style w:type="character" w:customStyle="1" w:styleId="CommentTextChar">
    <w:name w:val="Comment Text Char"/>
    <w:basedOn w:val="DefaultParagraphFont"/>
    <w:link w:val="CommentText"/>
    <w:uiPriority w:val="99"/>
    <w:semiHidden/>
    <w:locked/>
    <w:rsid w:val="00C1290C"/>
  </w:style>
  <w:style w:type="paragraph" w:styleId="CommentSubject">
    <w:name w:val="annotation subject"/>
    <w:basedOn w:val="CommentText"/>
    <w:next w:val="CommentText"/>
    <w:link w:val="CommentSubjectChar"/>
    <w:uiPriority w:val="99"/>
    <w:semiHidden/>
    <w:rsid w:val="00C1290C"/>
    <w:rPr>
      <w:b/>
      <w:bCs/>
    </w:rPr>
  </w:style>
  <w:style w:type="character" w:customStyle="1" w:styleId="CommentSubjectChar">
    <w:name w:val="Comment Subject Char"/>
    <w:link w:val="CommentSubject"/>
    <w:uiPriority w:val="99"/>
    <w:semiHidden/>
    <w:locked/>
    <w:rsid w:val="00C1290C"/>
    <w:rPr>
      <w:b/>
      <w:bCs/>
    </w:rPr>
  </w:style>
  <w:style w:type="paragraph" w:styleId="BalloonText">
    <w:name w:val="Balloon Text"/>
    <w:basedOn w:val="Normal"/>
    <w:link w:val="BalloonTextChar"/>
    <w:uiPriority w:val="99"/>
    <w:semiHidden/>
    <w:rsid w:val="00C1290C"/>
    <w:rPr>
      <w:rFonts w:ascii="Segoe UI" w:hAnsi="Segoe UI" w:cs="Segoe UI"/>
      <w:sz w:val="18"/>
      <w:szCs w:val="18"/>
    </w:rPr>
  </w:style>
  <w:style w:type="character" w:customStyle="1" w:styleId="BalloonTextChar">
    <w:name w:val="Balloon Text Char"/>
    <w:link w:val="BalloonText"/>
    <w:uiPriority w:val="99"/>
    <w:semiHidden/>
    <w:locked/>
    <w:rsid w:val="00C1290C"/>
    <w:rPr>
      <w:rFonts w:ascii="Segoe UI" w:hAnsi="Segoe UI" w:cs="Segoe UI"/>
      <w:sz w:val="18"/>
      <w:szCs w:val="18"/>
    </w:rPr>
  </w:style>
  <w:style w:type="character" w:styleId="PageNumber">
    <w:name w:val="page number"/>
    <w:basedOn w:val="DefaultParagraphFont"/>
    <w:uiPriority w:val="99"/>
    <w:rsid w:val="00304EAE"/>
  </w:style>
  <w:style w:type="paragraph" w:customStyle="1" w:styleId="CharCharCharCaracter">
    <w:name w:val="Char Char Char Caracter"/>
    <w:basedOn w:val="Normal"/>
    <w:uiPriority w:val="99"/>
    <w:rsid w:val="00E87166"/>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1417</TotalTime>
  <Pages>12</Pages>
  <Words>2828</Words>
  <Characters>16404</Characters>
  <Application>Microsoft Office Word</Application>
  <DocSecurity>0</DocSecurity>
  <Lines>136</Lines>
  <Paragraphs>38</Paragraphs>
  <ScaleCrop>false</ScaleCrop>
  <Company>ANRE</Company>
  <LinksUpToDate>false</LinksUpToDate>
  <CharactersWithSpaces>19194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sorina.mocanu</dc:creator>
  <cp:keywords/>
  <dc:description/>
  <cp:lastModifiedBy>Alexandra OLTENCEANU</cp:lastModifiedBy>
  <cp:revision>18</cp:revision>
  <dcterms:created xsi:type="dcterms:W3CDTF">2014-07-16T12:18:00Z</dcterms:created>
  <dcterms:modified xsi:type="dcterms:W3CDTF">2014-07-28T05:51:00Z</dcterms:modified>
</cp:coreProperties>
</file>