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E83" w:rsidRPr="009D117A" w:rsidRDefault="006E4E83" w:rsidP="00F24E4F">
      <w:pPr>
        <w:spacing w:after="0" w:line="240" w:lineRule="auto"/>
        <w:jc w:val="right"/>
        <w:rPr>
          <w:rFonts w:ascii="Times New Roman" w:eastAsia="Times New Roman" w:hAnsi="Times New Roman" w:cs="Times New Roman"/>
          <w:i/>
          <w:iCs/>
          <w:sz w:val="24"/>
          <w:szCs w:val="24"/>
        </w:rPr>
      </w:pPr>
      <w:bookmarkStart w:id="0" w:name="_GoBack"/>
      <w:bookmarkEnd w:id="0"/>
      <w:r w:rsidRPr="009D117A">
        <w:rPr>
          <w:rFonts w:ascii="Times New Roman" w:eastAsia="Times New Roman" w:hAnsi="Times New Roman" w:cs="Times New Roman"/>
          <w:b/>
          <w:i/>
          <w:iCs/>
          <w:sz w:val="24"/>
          <w:szCs w:val="24"/>
        </w:rPr>
        <w:t>ANEXA</w:t>
      </w:r>
    </w:p>
    <w:p w:rsidR="006E4E83" w:rsidRPr="009D117A" w:rsidRDefault="006E4E83" w:rsidP="006E4E83">
      <w:pPr>
        <w:spacing w:after="120" w:line="360" w:lineRule="auto"/>
        <w:jc w:val="center"/>
        <w:rPr>
          <w:rFonts w:ascii="Times New Roman" w:eastAsia="Times New Roman" w:hAnsi="Times New Roman" w:cs="Times New Roman"/>
          <w:b/>
          <w:bCs/>
          <w:sz w:val="24"/>
          <w:szCs w:val="24"/>
        </w:rPr>
      </w:pPr>
    </w:p>
    <w:p w:rsidR="006E4E83" w:rsidRPr="009D117A" w:rsidRDefault="006E4E83" w:rsidP="006E4E83">
      <w:pPr>
        <w:spacing w:after="120" w:line="360" w:lineRule="auto"/>
        <w:jc w:val="center"/>
        <w:rPr>
          <w:rFonts w:ascii="Times New Roman" w:eastAsia="Times New Roman" w:hAnsi="Times New Roman" w:cs="Times New Roman"/>
          <w:b/>
          <w:bCs/>
          <w:sz w:val="24"/>
          <w:szCs w:val="24"/>
        </w:rPr>
      </w:pPr>
    </w:p>
    <w:p w:rsidR="006E4E83" w:rsidRPr="009D117A" w:rsidRDefault="006E4E83" w:rsidP="006E4E83">
      <w:pPr>
        <w:spacing w:after="120" w:line="360" w:lineRule="auto"/>
        <w:jc w:val="center"/>
        <w:rPr>
          <w:rFonts w:ascii="Times New Roman" w:eastAsia="Times New Roman" w:hAnsi="Times New Roman" w:cs="Times New Roman"/>
          <w:b/>
          <w:bCs/>
          <w:sz w:val="28"/>
          <w:szCs w:val="28"/>
        </w:rPr>
      </w:pPr>
      <w:r w:rsidRPr="009D117A">
        <w:rPr>
          <w:rFonts w:ascii="Times New Roman" w:eastAsia="Times New Roman" w:hAnsi="Times New Roman" w:cs="Times New Roman"/>
          <w:b/>
          <w:bCs/>
          <w:sz w:val="28"/>
          <w:szCs w:val="28"/>
        </w:rPr>
        <w:t>Metodologie de stabilire a tarifelor aplicate de furnizorii de ultimă instanță clienților finali</w:t>
      </w:r>
    </w:p>
    <w:p w:rsidR="006E4E83" w:rsidRPr="009D117A" w:rsidRDefault="006E4E83" w:rsidP="006E4E83">
      <w:pPr>
        <w:spacing w:after="120" w:line="360" w:lineRule="auto"/>
        <w:rPr>
          <w:rFonts w:ascii="Times New Roman" w:eastAsia="Times New Roman" w:hAnsi="Times New Roman" w:cs="Times New Roman"/>
          <w:sz w:val="24"/>
          <w:szCs w:val="24"/>
        </w:rPr>
      </w:pPr>
    </w:p>
    <w:p w:rsidR="00FD2110" w:rsidRPr="009D117A" w:rsidRDefault="00FD2110" w:rsidP="00FD2110">
      <w:pPr>
        <w:pStyle w:val="Heading1"/>
        <w:rPr>
          <w:lang w:val="ro-RO"/>
        </w:rPr>
      </w:pPr>
      <w:bookmarkStart w:id="1" w:name="_Toc80152107"/>
      <w:bookmarkStart w:id="2" w:name="_Toc82406617"/>
      <w:bookmarkStart w:id="3" w:name="_Toc82406687"/>
      <w:bookmarkStart w:id="4" w:name="_Toc83381309"/>
      <w:bookmarkStart w:id="5" w:name="_Toc16486633"/>
      <w:bookmarkStart w:id="6" w:name="_Toc86629943"/>
      <w:bookmarkStart w:id="7" w:name="_Toc87290362"/>
      <w:r w:rsidRPr="009D117A">
        <w:rPr>
          <w:lang w:val="ro-RO"/>
        </w:rPr>
        <w:t>DISPOZIŢII GENERALE</w:t>
      </w:r>
    </w:p>
    <w:p w:rsidR="00FD2110" w:rsidRPr="00515A29" w:rsidRDefault="00FD2110" w:rsidP="00655FDA">
      <w:pPr>
        <w:pStyle w:val="Heading2"/>
      </w:pPr>
      <w:r w:rsidRPr="00515A29">
        <w:t>Scop</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 xml:space="preserve">- </w:t>
      </w:r>
      <w:r w:rsidRPr="009D117A">
        <w:rPr>
          <w:rFonts w:ascii="Times New Roman" w:eastAsia="Times New Roman" w:hAnsi="Times New Roman" w:cs="Times New Roman"/>
          <w:bCs/>
          <w:sz w:val="24"/>
          <w:szCs w:val="24"/>
        </w:rPr>
        <w:t xml:space="preserve">Prezenta Metodologie stabilește </w:t>
      </w:r>
      <w:r w:rsidR="00F54140">
        <w:rPr>
          <w:rFonts w:ascii="Times New Roman" w:eastAsia="Times New Roman" w:hAnsi="Times New Roman" w:cs="Times New Roman"/>
          <w:bCs/>
          <w:sz w:val="24"/>
          <w:szCs w:val="24"/>
        </w:rPr>
        <w:t>etapele</w:t>
      </w:r>
      <w:r w:rsidRPr="009D117A">
        <w:rPr>
          <w:rFonts w:ascii="Times New Roman" w:eastAsia="Times New Roman" w:hAnsi="Times New Roman" w:cs="Times New Roman"/>
          <w:bCs/>
          <w:sz w:val="24"/>
          <w:szCs w:val="24"/>
        </w:rPr>
        <w:t xml:space="preserve"> și modul de determinare a tarifelor aplicate de FUI</w:t>
      </w:r>
      <w:r w:rsidRPr="009D117A">
        <w:rPr>
          <w:rFonts w:ascii="Times New Roman" w:eastAsia="Times New Roman" w:hAnsi="Times New Roman" w:cs="Times New Roman"/>
          <w:color w:val="000000"/>
          <w:sz w:val="24"/>
          <w:szCs w:val="24"/>
        </w:rPr>
        <w:t xml:space="preserve"> </w:t>
      </w:r>
      <w:r w:rsidRPr="009D117A">
        <w:rPr>
          <w:rFonts w:ascii="Times New Roman" w:eastAsia="Times New Roman" w:hAnsi="Times New Roman" w:cs="Times New Roman"/>
          <w:sz w:val="24"/>
          <w:szCs w:val="24"/>
        </w:rPr>
        <w:t>clienților finali care se află în una dintre următoarele situații:</w:t>
      </w:r>
    </w:p>
    <w:p w:rsidR="006E4E83" w:rsidRPr="009D117A" w:rsidRDefault="006E4E83" w:rsidP="006E4E83">
      <w:pPr>
        <w:numPr>
          <w:ilvl w:val="0"/>
          <w:numId w:val="16"/>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nu au uzat de eligibilitate până la data aplicării prevederilor prezentei Metodologii;</w:t>
      </w:r>
    </w:p>
    <w:p w:rsidR="006E4E83" w:rsidRPr="009D117A" w:rsidRDefault="006E4E83" w:rsidP="006E4E83">
      <w:pPr>
        <w:numPr>
          <w:ilvl w:val="0"/>
          <w:numId w:val="16"/>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îndeplinesc condițiile impuse de legislație pentru serviciul universal și, după ce au uzat de eligibilitate, solicită să beneficieze de serviciul universal;</w:t>
      </w:r>
    </w:p>
    <w:p w:rsidR="006E4E83" w:rsidRPr="009D117A" w:rsidRDefault="006E4E83" w:rsidP="006E4E83">
      <w:pPr>
        <w:numPr>
          <w:ilvl w:val="0"/>
          <w:numId w:val="16"/>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nu au asigurată furnizarea de energie electrică din nici o altă sursă,</w:t>
      </w:r>
    </w:p>
    <w:p w:rsidR="009D117A" w:rsidRPr="009D117A" w:rsidRDefault="006E4E83" w:rsidP="006E4E83">
      <w:pPr>
        <w:tabs>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cu excepția clienților deconectați pentru sustragere de energie electrică ori neplată, potrivit dispozițiilor legale în vigoare.</w:t>
      </w:r>
    </w:p>
    <w:p w:rsidR="00FD2110" w:rsidRPr="00655FDA" w:rsidRDefault="00FD2110" w:rsidP="00655FDA">
      <w:pPr>
        <w:pStyle w:val="Heading2"/>
      </w:pPr>
      <w:r w:rsidRPr="00655FDA">
        <w:t>Domeniu de aplicare</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 xml:space="preserve">Metodologia este utilizată de: </w:t>
      </w:r>
    </w:p>
    <w:p w:rsidR="006E4E83" w:rsidRPr="009D117A" w:rsidRDefault="006E4E83" w:rsidP="006E4E83">
      <w:pPr>
        <w:numPr>
          <w:ilvl w:val="0"/>
          <w:numId w:val="3"/>
        </w:numPr>
        <w:tabs>
          <w:tab w:val="num" w:pos="993"/>
        </w:tabs>
        <w:spacing w:after="120" w:line="360" w:lineRule="auto"/>
        <w:ind w:left="993"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ANRE, pentru aprobarea tarifelor reglementate precum și pentru avizarea tarifelor CPC aplicate de FUI clienților finali;</w:t>
      </w:r>
    </w:p>
    <w:p w:rsidR="006E4E83" w:rsidRPr="009D117A" w:rsidRDefault="006E4E83" w:rsidP="006E4E83">
      <w:pPr>
        <w:numPr>
          <w:ilvl w:val="0"/>
          <w:numId w:val="3"/>
        </w:numPr>
        <w:tabs>
          <w:tab w:val="num" w:pos="993"/>
        </w:tabs>
        <w:spacing w:after="120" w:line="360" w:lineRule="auto"/>
        <w:ind w:left="993"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FUI, pentru fundamentarea și aplicarea tarifelor de energie electrică ȋn facturile emise clienților finali.</w:t>
      </w:r>
    </w:p>
    <w:p w:rsidR="00FD2110" w:rsidRPr="009D117A" w:rsidRDefault="00FD2110" w:rsidP="00655FDA">
      <w:pPr>
        <w:pStyle w:val="Heading2"/>
      </w:pPr>
      <w:bookmarkStart w:id="8" w:name="_Toc80152105"/>
      <w:bookmarkStart w:id="9" w:name="_Toc82406615"/>
      <w:bookmarkStart w:id="10" w:name="_Toc82406685"/>
      <w:bookmarkStart w:id="11" w:name="_Toc83381307"/>
      <w:bookmarkStart w:id="12" w:name="_Toc532704684"/>
      <w:bookmarkStart w:id="13" w:name="_Toc533216633"/>
      <w:bookmarkStart w:id="14" w:name="_Toc86629941"/>
      <w:bookmarkStart w:id="15" w:name="_Toc87290360"/>
      <w:bookmarkStart w:id="16" w:name="_Toc83381308"/>
      <w:bookmarkStart w:id="17" w:name="_Toc532704685"/>
      <w:bookmarkStart w:id="18" w:name="_Toc533216634"/>
      <w:bookmarkStart w:id="19" w:name="_Toc86629942"/>
      <w:bookmarkStart w:id="20" w:name="_Toc87290361"/>
      <w:r w:rsidRPr="009D117A">
        <w:t>Abrevieri și definiții</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b/>
          <w:bCs/>
          <w:sz w:val="24"/>
          <w:szCs w:val="24"/>
        </w:rPr>
      </w:pPr>
      <w:r w:rsidRPr="009D117A">
        <w:rPr>
          <w:rFonts w:ascii="Times New Roman" w:eastAsia="Times New Roman" w:hAnsi="Times New Roman" w:cs="Times New Roman"/>
          <w:sz w:val="24"/>
          <w:szCs w:val="24"/>
        </w:rPr>
        <w:t>- Abrevierile utilizate în cadrul prezentei Metodologii au următoarele semnificații:</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ANRE - Autoritatea </w:t>
      </w:r>
      <w:r w:rsidR="009D117A" w:rsidRPr="009D117A">
        <w:rPr>
          <w:rFonts w:ascii="Times New Roman" w:eastAsia="Times New Roman" w:hAnsi="Times New Roman" w:cs="Times New Roman"/>
          <w:sz w:val="24"/>
          <w:szCs w:val="24"/>
        </w:rPr>
        <w:t>Națională</w:t>
      </w:r>
      <w:r w:rsidRPr="009D117A">
        <w:rPr>
          <w:rFonts w:ascii="Times New Roman" w:eastAsia="Times New Roman" w:hAnsi="Times New Roman" w:cs="Times New Roman"/>
          <w:sz w:val="24"/>
          <w:szCs w:val="24"/>
        </w:rPr>
        <w:t xml:space="preserve"> de Reglementare în Domeniul Energiei;</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CPC – Componenta de </w:t>
      </w:r>
      <w:r w:rsidR="009D117A" w:rsidRPr="009D117A">
        <w:rPr>
          <w:rFonts w:ascii="Times New Roman" w:eastAsia="Times New Roman" w:hAnsi="Times New Roman" w:cs="Times New Roman"/>
          <w:sz w:val="24"/>
          <w:szCs w:val="24"/>
        </w:rPr>
        <w:t>piață</w:t>
      </w:r>
      <w:r w:rsidRPr="009D117A">
        <w:rPr>
          <w:rFonts w:ascii="Times New Roman" w:eastAsia="Times New Roman" w:hAnsi="Times New Roman" w:cs="Times New Roman"/>
          <w:sz w:val="24"/>
          <w:szCs w:val="24"/>
        </w:rPr>
        <w:t xml:space="preserve"> </w:t>
      </w:r>
      <w:r w:rsidR="009D117A" w:rsidRPr="009D117A">
        <w:rPr>
          <w:rFonts w:ascii="Times New Roman" w:eastAsia="Times New Roman" w:hAnsi="Times New Roman" w:cs="Times New Roman"/>
          <w:sz w:val="24"/>
          <w:szCs w:val="24"/>
        </w:rPr>
        <w:t>concurențială</w:t>
      </w:r>
      <w:r w:rsidRPr="009D117A">
        <w:rPr>
          <w:rFonts w:ascii="Times New Roman" w:eastAsia="Times New Roman" w:hAnsi="Times New Roman" w:cs="Times New Roman"/>
          <w:sz w:val="24"/>
          <w:szCs w:val="24"/>
        </w:rPr>
        <w:t>;</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FUI – furnizor/furnizori de ultimă </w:t>
      </w:r>
      <w:r w:rsidR="009D117A" w:rsidRPr="009D117A">
        <w:rPr>
          <w:rFonts w:ascii="Times New Roman" w:eastAsia="Times New Roman" w:hAnsi="Times New Roman" w:cs="Times New Roman"/>
          <w:sz w:val="24"/>
          <w:szCs w:val="24"/>
        </w:rPr>
        <w:t>instanță</w:t>
      </w:r>
      <w:r w:rsidRPr="009D117A">
        <w:rPr>
          <w:rFonts w:ascii="Times New Roman" w:eastAsia="Times New Roman" w:hAnsi="Times New Roman" w:cs="Times New Roman"/>
          <w:sz w:val="24"/>
          <w:szCs w:val="24"/>
        </w:rPr>
        <w:t>;</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IT - </w:t>
      </w:r>
      <w:r w:rsidR="009D117A" w:rsidRPr="009D117A">
        <w:rPr>
          <w:rFonts w:ascii="Times New Roman" w:eastAsia="Times New Roman" w:hAnsi="Times New Roman" w:cs="Times New Roman"/>
          <w:sz w:val="24"/>
          <w:szCs w:val="24"/>
        </w:rPr>
        <w:t>înaltă</w:t>
      </w:r>
      <w:r w:rsidRPr="009D117A">
        <w:rPr>
          <w:rFonts w:ascii="Times New Roman" w:eastAsia="Times New Roman" w:hAnsi="Times New Roman" w:cs="Times New Roman"/>
          <w:sz w:val="24"/>
          <w:szCs w:val="24"/>
        </w:rPr>
        <w:t xml:space="preserve"> tensiune (tensiune mai mare sau egală cu 110 kV);</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JT – joasă tensiune (tensiune mai mică sau egală cu  1 kV);</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lastRenderedPageBreak/>
        <w:t>MT – medie tensiune (tensiune cuprinsă în intervalul 1-110 kV, exclusiv);</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PCCB – Piața centralizată a contractelor bilaterale;</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PCSU – Piața centralizată pentru serviciul universal;</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PZU – Piața pentru ziua următoare;</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PI – Piața intra-zilnică;</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PRE – parte responsabilă cu echilibrarea;</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SU – serviciu universal;</w:t>
      </w:r>
    </w:p>
    <w:p w:rsidR="006E4E83" w:rsidRPr="009D117A" w:rsidRDefault="006E4E83" w:rsidP="006E4E83">
      <w:pPr>
        <w:numPr>
          <w:ilvl w:val="0"/>
          <w:numId w:val="15"/>
        </w:numPr>
        <w:spacing w:after="120" w:line="360" w:lineRule="auto"/>
        <w:ind w:left="1077" w:hanging="357"/>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UI – ultimă instanță.</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kern w:val="32"/>
          <w:sz w:val="24"/>
          <w:szCs w:val="24"/>
        </w:rPr>
        <w:t xml:space="preserve">– (1) Termenii utilizați in prezenta Metodologie </w:t>
      </w:r>
      <w:r w:rsidRPr="009D117A">
        <w:rPr>
          <w:rFonts w:ascii="Times New Roman" w:eastAsia="Times New Roman" w:hAnsi="Times New Roman" w:cs="Times New Roman"/>
          <w:sz w:val="24"/>
          <w:szCs w:val="24"/>
        </w:rPr>
        <w:t>au înțelesul din Legea energiei electrice și a gazelor naturale nr. 123/2012, Titlul I</w:t>
      </w:r>
      <w:r w:rsidR="00531509">
        <w:rPr>
          <w:rFonts w:ascii="Times New Roman" w:eastAsia="Times New Roman" w:hAnsi="Times New Roman" w:cs="Times New Roman"/>
          <w:sz w:val="24"/>
          <w:szCs w:val="24"/>
        </w:rPr>
        <w:t>, cu modificarile si completarile ulterioare</w:t>
      </w:r>
      <w:r w:rsidRPr="009D117A">
        <w:rPr>
          <w:rFonts w:ascii="Times New Roman" w:eastAsia="Times New Roman" w:hAnsi="Times New Roman" w:cs="Times New Roman"/>
          <w:sz w:val="24"/>
          <w:szCs w:val="24"/>
        </w:rPr>
        <w:t>.</w:t>
      </w:r>
    </w:p>
    <w:p w:rsidR="006E4E83" w:rsidRPr="009D117A" w:rsidRDefault="006E4E83" w:rsidP="006E4E83">
      <w:p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În înțelesul prezentei Metodologii, termenii de mai jos au următoarele semnificații:</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Calendar de eliminare a tarifelor reglementate -</w:t>
      </w:r>
      <w:r w:rsidRPr="009D117A">
        <w:rPr>
          <w:rFonts w:ascii="Times New Roman" w:eastAsia="Times New Roman" w:hAnsi="Times New Roman" w:cs="Times New Roman"/>
          <w:sz w:val="24"/>
          <w:szCs w:val="24"/>
        </w:rPr>
        <w:t xml:space="preserve"> document cuprins în Memorandumul de Înțelegere semnat de Guvernul României cu Comisia Europeană în data de 13 martie 2012, care cuprinde etapele de eliminare a tarifelor reglementate la clienții finali și procentele de achiziție din piața concurențială corespunzătoare fiecărei etape;</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Clienți din piața reglementată</w:t>
      </w:r>
      <w:r w:rsidRPr="009D117A">
        <w:rPr>
          <w:rFonts w:ascii="Times New Roman" w:eastAsia="Times New Roman" w:hAnsi="Times New Roman" w:cs="Times New Roman"/>
          <w:sz w:val="24"/>
          <w:szCs w:val="24"/>
        </w:rPr>
        <w:t xml:space="preserve"> – clienți finali care, până </w:t>
      </w:r>
      <w:r w:rsidRPr="009D117A">
        <w:rPr>
          <w:rFonts w:ascii="Times New Roman" w:eastAsia="Times New Roman" w:hAnsi="Times New Roman" w:cs="Times New Roman"/>
          <w:color w:val="000000"/>
          <w:sz w:val="24"/>
          <w:szCs w:val="24"/>
        </w:rPr>
        <w:t xml:space="preserve">la data aplicării prevederilor prezentei Metodologii, </w:t>
      </w:r>
      <w:r w:rsidRPr="009D117A">
        <w:rPr>
          <w:rFonts w:ascii="Times New Roman" w:eastAsia="Times New Roman" w:hAnsi="Times New Roman" w:cs="Times New Roman"/>
          <w:sz w:val="24"/>
          <w:szCs w:val="24"/>
        </w:rPr>
        <w:t xml:space="preserve">nu au uzat de eligibilitate </w:t>
      </w:r>
      <w:r w:rsidRPr="009D117A">
        <w:rPr>
          <w:rFonts w:ascii="Times New Roman" w:eastAsia="Times New Roman" w:hAnsi="Times New Roman" w:cs="Times New Roman"/>
          <w:color w:val="000000"/>
          <w:sz w:val="24"/>
          <w:szCs w:val="24"/>
        </w:rPr>
        <w:t>și nu au dreptul sau nu au solicitat să beneficieze de serviciul universal</w:t>
      </w:r>
      <w:r w:rsidRPr="009D117A">
        <w:rPr>
          <w:rFonts w:ascii="Times New Roman" w:eastAsia="Times New Roman" w:hAnsi="Times New Roman" w:cs="Times New Roman"/>
          <w:sz w:val="24"/>
          <w:szCs w:val="24"/>
        </w:rPr>
        <w:t xml:space="preserve"> sau clienți finali pentru care FUI asigură furnizarea în regim de serviciu universal;</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Corecții de tarif -</w:t>
      </w:r>
      <w:r w:rsidRPr="009D117A">
        <w:rPr>
          <w:rFonts w:ascii="Times New Roman" w:eastAsia="Times New Roman" w:hAnsi="Times New Roman" w:cs="Times New Roman"/>
          <w:sz w:val="24"/>
          <w:szCs w:val="24"/>
        </w:rPr>
        <w:t xml:space="preserve"> pierderi (diferență negativă) sau, după caz, extra-profituri (diferență pozitivă) înregistrate de FUI în perioadele anterioare (până în luna a patra, inclusiv din semestrul curent), calculate ca diferență între veniturile realizate și costurile plus profitul considerate justificate din activitatea de furnizare a energiei electrice la </w:t>
      </w:r>
      <w:r w:rsidRPr="009D117A">
        <w:rPr>
          <w:rFonts w:ascii="Times New Roman" w:eastAsia="Times New Roman" w:hAnsi="Times New Roman" w:cs="Times New Roman"/>
          <w:noProof/>
          <w:sz w:val="24"/>
          <w:szCs w:val="24"/>
        </w:rPr>
        <w:t>tarife reglementate, tarife CPC și respectiv tarife UI, pentru clienții din piața reglementată, ȋn perioadele respective;</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Contract reglementat –</w:t>
      </w:r>
      <w:r w:rsidRPr="009D117A">
        <w:rPr>
          <w:rFonts w:ascii="Times New Roman" w:eastAsia="Times New Roman" w:hAnsi="Times New Roman" w:cs="Times New Roman"/>
          <w:sz w:val="24"/>
          <w:szCs w:val="24"/>
        </w:rPr>
        <w:t xml:space="preserve"> contract de vânzare – cumpărare energie electrică între un producător și un FUI, cu cantități și prețuri stabilite prin decizie ANRE; </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 xml:space="preserve">Furnizare </w:t>
      </w:r>
      <w:r w:rsidR="009D117A" w:rsidRPr="009D117A">
        <w:rPr>
          <w:rFonts w:ascii="Times New Roman" w:eastAsia="Times New Roman" w:hAnsi="Times New Roman" w:cs="Times New Roman"/>
          <w:b/>
          <w:iCs/>
          <w:sz w:val="24"/>
          <w:szCs w:val="24"/>
        </w:rPr>
        <w:t>în</w:t>
      </w:r>
      <w:r w:rsidRPr="009D117A">
        <w:rPr>
          <w:rFonts w:ascii="Times New Roman" w:eastAsia="Times New Roman" w:hAnsi="Times New Roman" w:cs="Times New Roman"/>
          <w:b/>
          <w:iCs/>
          <w:sz w:val="24"/>
          <w:szCs w:val="24"/>
        </w:rPr>
        <w:t xml:space="preserve"> regim de serviciu universal -</w:t>
      </w:r>
      <w:r w:rsidRPr="009D117A">
        <w:rPr>
          <w:rFonts w:ascii="Times New Roman" w:eastAsia="Times New Roman" w:hAnsi="Times New Roman" w:cs="Times New Roman"/>
          <w:iCs/>
          <w:sz w:val="24"/>
          <w:szCs w:val="24"/>
        </w:rPr>
        <w:t xml:space="preserve"> f</w:t>
      </w:r>
      <w:r w:rsidRPr="009D117A">
        <w:rPr>
          <w:rFonts w:ascii="Times New Roman" w:eastAsia="Times New Roman" w:hAnsi="Times New Roman" w:cs="Times New Roman"/>
          <w:sz w:val="24"/>
          <w:szCs w:val="24"/>
        </w:rPr>
        <w:t>urnizarea</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energiei electrice</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asigurată de FUI</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 xml:space="preserve">clienților casnici și clienților finali non-casnici care au dreptul și solicită să beneficieze de serviciul universal, conform reglementărilor </w:t>
      </w:r>
      <w:r w:rsidR="009D117A"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vigoare;</w:t>
      </w:r>
    </w:p>
    <w:p w:rsidR="006E4E83"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lastRenderedPageBreak/>
        <w:t>Furnizare în regim de ultimă instanță -</w:t>
      </w:r>
      <w:r w:rsidRPr="009D117A">
        <w:rPr>
          <w:rFonts w:ascii="Times New Roman" w:eastAsia="Times New Roman" w:hAnsi="Times New Roman" w:cs="Times New Roman"/>
          <w:iCs/>
          <w:sz w:val="24"/>
          <w:szCs w:val="24"/>
        </w:rPr>
        <w:t xml:space="preserve"> f</w:t>
      </w:r>
      <w:r w:rsidRPr="009D117A">
        <w:rPr>
          <w:rFonts w:ascii="Times New Roman" w:eastAsia="Times New Roman" w:hAnsi="Times New Roman" w:cs="Times New Roman"/>
          <w:sz w:val="24"/>
          <w:szCs w:val="24"/>
        </w:rPr>
        <w:t>urnizarea</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energiei electrice</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asigurată de FUI</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 xml:space="preserve">clienților finali non-casnici care nu au dreptul sau nu au solicitat să beneficieze de serviciul universal și se află în una dintre următoarele situații: nu au uzat de eligibilitate, sau </w:t>
      </w:r>
      <w:r w:rsidRPr="009D117A">
        <w:rPr>
          <w:rFonts w:ascii="Times New Roman" w:eastAsia="Times New Roman" w:hAnsi="Times New Roman" w:cs="Times New Roman"/>
          <w:color w:val="000000"/>
          <w:sz w:val="24"/>
          <w:szCs w:val="24"/>
        </w:rPr>
        <w:t>nu au asigurată furnizarea de energie electrică din nici o altă sursă,</w:t>
      </w:r>
      <w:r w:rsidRPr="009D117A">
        <w:rPr>
          <w:rFonts w:ascii="Times New Roman" w:eastAsia="Times New Roman" w:hAnsi="Times New Roman" w:cs="Times New Roman"/>
          <w:sz w:val="24"/>
          <w:szCs w:val="24"/>
        </w:rPr>
        <w:t xml:space="preserve"> </w:t>
      </w:r>
      <w:r w:rsidRPr="009D117A">
        <w:rPr>
          <w:rFonts w:ascii="Times New Roman" w:eastAsia="Times New Roman" w:hAnsi="Times New Roman" w:cs="Times New Roman"/>
          <w:color w:val="000000"/>
          <w:sz w:val="24"/>
          <w:szCs w:val="24"/>
        </w:rPr>
        <w:t>sau au uzat de eligibilitate și au rămas fără furnizor de energie electrică din motive neimputabile lor</w:t>
      </w:r>
      <w:r w:rsidRPr="009D117A">
        <w:rPr>
          <w:rFonts w:ascii="Times New Roman" w:eastAsia="Times New Roman" w:hAnsi="Times New Roman" w:cs="Times New Roman"/>
          <w:sz w:val="24"/>
          <w:szCs w:val="24"/>
        </w:rPr>
        <w:t>;</w:t>
      </w:r>
    </w:p>
    <w:p w:rsidR="00EF0630" w:rsidRPr="00EF0630" w:rsidRDefault="00EF0630" w:rsidP="00EF0630">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EF0630">
        <w:rPr>
          <w:rFonts w:ascii="Times New Roman" w:hAnsi="Times New Roman" w:cs="Times New Roman"/>
          <w:b/>
          <w:sz w:val="24"/>
          <w:szCs w:val="24"/>
        </w:rPr>
        <w:t>Grila tarifara reglementata</w:t>
      </w:r>
      <w:r w:rsidRPr="00EF0630">
        <w:rPr>
          <w:rFonts w:ascii="Times New Roman" w:hAnsi="Times New Roman" w:cs="Times New Roman"/>
          <w:sz w:val="24"/>
          <w:szCs w:val="24"/>
        </w:rPr>
        <w:t xml:space="preserve"> - cuprinde tipurile de tarife reglementate aplicabile unei/unor categorii de clienți</w:t>
      </w:r>
      <w:r>
        <w:rPr>
          <w:rFonts w:ascii="Times New Roman" w:hAnsi="Times New Roman" w:cs="Times New Roman"/>
          <w:sz w:val="24"/>
          <w:szCs w:val="24"/>
          <w:lang w:val="en-US"/>
        </w:rPr>
        <w:t>;</w:t>
      </w:r>
    </w:p>
    <w:p w:rsidR="006E4E83"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6C54E8">
        <w:rPr>
          <w:rFonts w:ascii="Times New Roman" w:eastAsia="Times New Roman" w:hAnsi="Times New Roman" w:cs="Times New Roman"/>
          <w:b/>
          <w:iCs/>
          <w:sz w:val="24"/>
          <w:szCs w:val="24"/>
        </w:rPr>
        <w:t xml:space="preserve">Grilă tarifară </w:t>
      </w:r>
      <w:r w:rsidR="00EF0630">
        <w:rPr>
          <w:rFonts w:ascii="Times New Roman" w:eastAsia="Times New Roman" w:hAnsi="Times New Roman" w:cs="Times New Roman"/>
          <w:b/>
          <w:iCs/>
          <w:sz w:val="24"/>
          <w:szCs w:val="24"/>
        </w:rPr>
        <w:t xml:space="preserve">reglementata </w:t>
      </w:r>
      <w:r w:rsidR="006C54E8">
        <w:rPr>
          <w:rFonts w:ascii="Times New Roman" w:eastAsia="Times New Roman" w:hAnsi="Times New Roman" w:cs="Times New Roman"/>
          <w:b/>
          <w:iCs/>
          <w:sz w:val="24"/>
          <w:szCs w:val="24"/>
        </w:rPr>
        <w:t xml:space="preserve">de </w:t>
      </w:r>
      <w:r w:rsidR="00EF0630">
        <w:rPr>
          <w:rFonts w:ascii="Times New Roman" w:eastAsia="Times New Roman" w:hAnsi="Times New Roman" w:cs="Times New Roman"/>
          <w:b/>
          <w:iCs/>
          <w:sz w:val="24"/>
          <w:szCs w:val="24"/>
        </w:rPr>
        <w:t>referință</w:t>
      </w:r>
      <w:r w:rsidR="006C54E8">
        <w:rPr>
          <w:rFonts w:ascii="Times New Roman" w:eastAsia="Times New Roman" w:hAnsi="Times New Roman" w:cs="Times New Roman"/>
          <w:b/>
          <w:iCs/>
          <w:sz w:val="24"/>
          <w:szCs w:val="24"/>
        </w:rPr>
        <w:t xml:space="preserve"> </w:t>
      </w:r>
      <w:r w:rsidRPr="006C54E8">
        <w:rPr>
          <w:rFonts w:ascii="Times New Roman" w:eastAsia="Times New Roman" w:hAnsi="Times New Roman" w:cs="Times New Roman"/>
          <w:b/>
          <w:iCs/>
          <w:sz w:val="24"/>
          <w:szCs w:val="24"/>
        </w:rPr>
        <w:t xml:space="preserve"> -</w:t>
      </w:r>
      <w:r w:rsidRPr="009D117A">
        <w:rPr>
          <w:rFonts w:ascii="Times New Roman" w:eastAsia="Times New Roman" w:hAnsi="Times New Roman" w:cs="Times New Roman"/>
          <w:sz w:val="24"/>
          <w:szCs w:val="24"/>
        </w:rPr>
        <w:t xml:space="preserve"> cuprinde structura de tarife reglementate prevăzută în Anexele la Ordinul președintelui ANRE nr. 157 din 15 decembrie 2014 pentru aprobarea tarifelor reglementate de energie electrică aplicate de furnizorii de ultimă instanță clienților casnici și asimilați clienților casnici, care nu și-au exercitat dreptul de eligibilitate, publicate in Monitorul Oficial al României, Partea I, nr. 927 din 19 decembrie 2014;</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 xml:space="preserve">Metodologia de stabilire </w:t>
      </w:r>
      <w:r w:rsidR="00CD29D5">
        <w:rPr>
          <w:rFonts w:ascii="Times New Roman" w:eastAsia="Times New Roman" w:hAnsi="Times New Roman" w:cs="Times New Roman"/>
          <w:b/>
          <w:sz w:val="24"/>
          <w:szCs w:val="24"/>
        </w:rPr>
        <w:t xml:space="preserve">a </w:t>
      </w:r>
      <w:r w:rsidRPr="009D117A">
        <w:rPr>
          <w:rFonts w:ascii="Times New Roman" w:eastAsia="Times New Roman" w:hAnsi="Times New Roman" w:cs="Times New Roman"/>
          <w:b/>
          <w:sz w:val="24"/>
          <w:szCs w:val="24"/>
        </w:rPr>
        <w:t>contracte</w:t>
      </w:r>
      <w:r w:rsidR="00CD29D5">
        <w:rPr>
          <w:rFonts w:ascii="Times New Roman" w:eastAsia="Times New Roman" w:hAnsi="Times New Roman" w:cs="Times New Roman"/>
          <w:b/>
          <w:sz w:val="24"/>
          <w:szCs w:val="24"/>
        </w:rPr>
        <w:t xml:space="preserve">lor </w:t>
      </w:r>
      <w:r w:rsidRPr="009D117A">
        <w:rPr>
          <w:rFonts w:ascii="Times New Roman" w:eastAsia="Times New Roman" w:hAnsi="Times New Roman" w:cs="Times New Roman"/>
          <w:b/>
          <w:sz w:val="24"/>
          <w:szCs w:val="24"/>
        </w:rPr>
        <w:t xml:space="preserve"> reglementate - </w:t>
      </w:r>
      <w:r w:rsidRPr="009D117A">
        <w:rPr>
          <w:rFonts w:ascii="Times New Roman" w:eastAsia="Times New Roman" w:hAnsi="Times New Roman" w:cs="Times New Roman"/>
          <w:sz w:val="24"/>
          <w:szCs w:val="24"/>
        </w:rPr>
        <w:t>Metodologia de stabilire a prețurilor pentru energia electrică vândută de producători pe bază de contracte reglementate și a cantităților de energie electrică din contractele reglementate încheiate de producători cu furnizorii de ultimă instanță, aprobată prin Ordinul președintelui ANRE nr. 83/2013, cu modificările și completările ulterioare;</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 xml:space="preserve">Ofertă de cumpărare, </w:t>
      </w:r>
      <w:r w:rsidRPr="009D117A">
        <w:rPr>
          <w:rFonts w:ascii="Times New Roman" w:eastAsia="Times New Roman" w:hAnsi="Times New Roman" w:cs="Times New Roman"/>
          <w:b/>
          <w:iCs/>
          <w:sz w:val="24"/>
          <w:szCs w:val="24"/>
        </w:rPr>
        <w:t xml:space="preserve">Produs de tranzacționare </w:t>
      </w:r>
      <w:r w:rsidRPr="009D117A">
        <w:rPr>
          <w:rFonts w:ascii="Times New Roman" w:eastAsia="Times New Roman" w:hAnsi="Times New Roman" w:cs="Times New Roman"/>
          <w:b/>
          <w:sz w:val="24"/>
          <w:szCs w:val="24"/>
        </w:rPr>
        <w:t>–</w:t>
      </w:r>
      <w:r w:rsidRPr="009D117A">
        <w:rPr>
          <w:rFonts w:ascii="Times New Roman" w:eastAsia="Times New Roman" w:hAnsi="Times New Roman" w:cs="Times New Roman"/>
          <w:sz w:val="24"/>
          <w:szCs w:val="24"/>
        </w:rPr>
        <w:t xml:space="preserve"> termeni specifici licitațiilor organizate pe PCSU, având înțelesul din Regulamentul PCSU;</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Preț de dezechilibru –</w:t>
      </w:r>
      <w:r w:rsidRPr="009D117A">
        <w:rPr>
          <w:rFonts w:ascii="Times New Roman" w:eastAsia="Times New Roman" w:hAnsi="Times New Roman" w:cs="Times New Roman"/>
          <w:sz w:val="24"/>
          <w:szCs w:val="24"/>
        </w:rPr>
        <w:t xml:space="preserve"> preț plătit de sau către o PRE pentru dezechilibrele pozitive, respectiv negative ale acesteia; este prețul pentru deficit de energie, respectiv prețul pentru excedent de energie, definite conform Codului comercial al pieței angro de energie electrică;</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sz w:val="24"/>
          <w:szCs w:val="24"/>
        </w:rPr>
        <w:t>Preț mediu de achiziție</w:t>
      </w:r>
      <w:r w:rsidRPr="009D117A">
        <w:rPr>
          <w:rFonts w:ascii="Times New Roman" w:eastAsia="Times New Roman" w:hAnsi="Times New Roman" w:cs="Times New Roman"/>
          <w:sz w:val="24"/>
          <w:szCs w:val="24"/>
        </w:rPr>
        <w:t xml:space="preserve"> – raportul dintre valoarea netă a tranzacțiilor de cumpărare</w:t>
      </w:r>
      <w:r w:rsidR="006E3604" w:rsidRPr="009D117A">
        <w:rPr>
          <w:rFonts w:ascii="Times New Roman" w:eastAsia="Times New Roman" w:hAnsi="Times New Roman" w:cs="Times New Roman"/>
          <w:sz w:val="24"/>
          <w:szCs w:val="24"/>
        </w:rPr>
        <w:t>/vânzare</w:t>
      </w:r>
      <w:r w:rsidRPr="009D117A">
        <w:rPr>
          <w:rFonts w:ascii="Times New Roman" w:eastAsia="Times New Roman" w:hAnsi="Times New Roman" w:cs="Times New Roman"/>
          <w:sz w:val="24"/>
          <w:szCs w:val="24"/>
        </w:rPr>
        <w:t xml:space="preserve"> energie electrică pe piața angro, realizate de FUI în vederea asigurării consumului de energie electrică al clienților finali și consumul respectiv de energie electrică activă;</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Preț mediu de revenire -</w:t>
      </w:r>
      <w:r w:rsidRPr="009D117A">
        <w:rPr>
          <w:rFonts w:ascii="Times New Roman" w:eastAsia="Times New Roman" w:hAnsi="Times New Roman" w:cs="Times New Roman"/>
          <w:iCs/>
          <w:sz w:val="24"/>
          <w:szCs w:val="24"/>
        </w:rPr>
        <w:t xml:space="preserve"> r</w:t>
      </w:r>
      <w:r w:rsidRPr="009D117A">
        <w:rPr>
          <w:rFonts w:ascii="Times New Roman" w:eastAsia="Times New Roman" w:hAnsi="Times New Roman" w:cs="Times New Roman"/>
          <w:sz w:val="24"/>
          <w:szCs w:val="24"/>
        </w:rPr>
        <w:t>aportul dintre venitul obținut de FUI din vânzarea la clienții finali a unei cantități de energie electrică activă, prin aplicarea unui tarif sau pachet de tarife și cantitatea respectivă de energie electrică activă;</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Regulamentul PCSU –</w:t>
      </w:r>
      <w:r w:rsidRPr="009D117A">
        <w:rPr>
          <w:rFonts w:ascii="Times New Roman" w:eastAsia="Times New Roman" w:hAnsi="Times New Roman" w:cs="Times New Roman"/>
          <w:sz w:val="24"/>
          <w:szCs w:val="24"/>
        </w:rPr>
        <w:t xml:space="preserve"> Regulamentul de organizare și desfășurare a licitațiilor simultane cu preț descrescător pe piața centralizată pentru serviciul universal</w:t>
      </w:r>
      <w:r w:rsidRPr="009D117A">
        <w:rPr>
          <w:rFonts w:ascii="Times New Roman" w:eastAsia="Times New Roman" w:hAnsi="Times New Roman" w:cs="Times New Roman"/>
          <w:color w:val="000000"/>
          <w:sz w:val="24"/>
          <w:szCs w:val="24"/>
        </w:rPr>
        <w:t xml:space="preserve">, </w:t>
      </w:r>
      <w:r w:rsidRPr="009D117A">
        <w:rPr>
          <w:rFonts w:ascii="Times New Roman" w:eastAsia="Times New Roman" w:hAnsi="Times New Roman" w:cs="Times New Roman"/>
          <w:sz w:val="24"/>
          <w:szCs w:val="24"/>
        </w:rPr>
        <w:t>aprobat prin Ordinul președintelui ANRE nr. 65/2014;</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lastRenderedPageBreak/>
        <w:t>Tarif reglementat -</w:t>
      </w:r>
      <w:r w:rsidRPr="009D117A">
        <w:rPr>
          <w:rFonts w:ascii="Times New Roman" w:eastAsia="Times New Roman" w:hAnsi="Times New Roman" w:cs="Times New Roman"/>
          <w:iCs/>
          <w:sz w:val="24"/>
          <w:szCs w:val="24"/>
        </w:rPr>
        <w:t xml:space="preserve"> a</w:t>
      </w:r>
      <w:r w:rsidRPr="009D117A">
        <w:rPr>
          <w:rFonts w:ascii="Times New Roman" w:eastAsia="Times New Roman" w:hAnsi="Times New Roman" w:cs="Times New Roman"/>
          <w:sz w:val="24"/>
          <w:szCs w:val="24"/>
        </w:rPr>
        <w:t>nsamblu de prețuri (denumite componente ale tarifului) pentru energia electrică activă și, după caz, pentru rezervare sau abonament, aplicat pe perioada calendarului de eliminare a tarifelor reglementate, respectiv până la data de 31 decembrie 2017 de furnizorii de ultimă instanță clienților casnici care nu au uzat de eligibilitate;</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Tarif CPC -</w:t>
      </w:r>
      <w:r w:rsidRPr="009D117A">
        <w:rPr>
          <w:rFonts w:ascii="Times New Roman" w:eastAsia="Times New Roman" w:hAnsi="Times New Roman" w:cs="Times New Roman"/>
          <w:iCs/>
          <w:sz w:val="24"/>
          <w:szCs w:val="24"/>
        </w:rPr>
        <w:t xml:space="preserve"> </w:t>
      </w:r>
      <w:r w:rsidRPr="009D117A">
        <w:rPr>
          <w:rFonts w:ascii="Times New Roman" w:eastAsia="Times New Roman" w:hAnsi="Times New Roman" w:cs="Times New Roman"/>
          <w:sz w:val="24"/>
          <w:szCs w:val="24"/>
        </w:rPr>
        <w:t>preț pentru energia electrică activă, aplicat de furnizorii de ultimă instanță clienților finali care beneficiază de serviciul universal;</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 xml:space="preserve">Tarif UI - </w:t>
      </w:r>
      <w:r w:rsidRPr="009D117A">
        <w:rPr>
          <w:rFonts w:ascii="Times New Roman" w:eastAsia="Times New Roman" w:hAnsi="Times New Roman" w:cs="Times New Roman"/>
          <w:sz w:val="24"/>
          <w:szCs w:val="24"/>
        </w:rPr>
        <w:t xml:space="preserve">preț pentru energia electrică activă, aplicat de furnizorii de ultimă instanță </w:t>
      </w:r>
      <w:r w:rsidRPr="009D117A">
        <w:rPr>
          <w:rFonts w:ascii="Times New Roman" w:eastAsia="Times New Roman" w:hAnsi="Times New Roman" w:cs="Times New Roman"/>
          <w:color w:val="000000"/>
          <w:sz w:val="24"/>
          <w:szCs w:val="24"/>
        </w:rPr>
        <w:t>clienților finali non-casnici deserviți în regim de ultimă instanță;</w:t>
      </w:r>
    </w:p>
    <w:p w:rsidR="006E4E83" w:rsidRPr="009D117A" w:rsidRDefault="006E4E83" w:rsidP="006E4E83">
      <w:pPr>
        <w:numPr>
          <w:ilvl w:val="0"/>
          <w:numId w:val="23"/>
        </w:num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iCs/>
          <w:sz w:val="24"/>
          <w:szCs w:val="24"/>
        </w:rPr>
        <w:t>Zonă de activitate –</w:t>
      </w:r>
      <w:r w:rsidRPr="009D117A">
        <w:rPr>
          <w:rFonts w:ascii="Times New Roman" w:eastAsia="Times New Roman" w:hAnsi="Times New Roman" w:cs="Times New Roman"/>
          <w:iCs/>
          <w:sz w:val="24"/>
          <w:szCs w:val="24"/>
        </w:rPr>
        <w:t xml:space="preserve"> zonă geografică</w:t>
      </w:r>
      <w:r w:rsidRPr="009D117A">
        <w:rPr>
          <w:rFonts w:ascii="Times New Roman" w:eastAsia="Times New Roman" w:hAnsi="Times New Roman" w:cs="Times New Roman"/>
          <w:b/>
          <w:iCs/>
          <w:sz w:val="24"/>
          <w:szCs w:val="24"/>
        </w:rPr>
        <w:t xml:space="preserve"> </w:t>
      </w:r>
      <w:r w:rsidRPr="009D117A">
        <w:rPr>
          <w:rFonts w:ascii="Times New Roman" w:eastAsia="Times New Roman" w:hAnsi="Times New Roman" w:cs="Times New Roman"/>
          <w:iCs/>
          <w:sz w:val="24"/>
          <w:szCs w:val="24"/>
        </w:rPr>
        <w:t>pentru care un furnizor a fost desemnat de ANRE drept FUI</w:t>
      </w:r>
      <w:r w:rsidRPr="009D117A">
        <w:rPr>
          <w:rFonts w:ascii="Times New Roman" w:eastAsia="Times New Roman" w:hAnsi="Times New Roman" w:cs="Times New Roman"/>
          <w:sz w:val="24"/>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rsidR="006E4E83" w:rsidRPr="009D117A" w:rsidRDefault="006E4E83" w:rsidP="006E4E83">
      <w:pPr>
        <w:spacing w:after="120" w:line="360" w:lineRule="auto"/>
        <w:jc w:val="both"/>
        <w:rPr>
          <w:rFonts w:ascii="Times New Roman" w:eastAsia="Times New Roman" w:hAnsi="Times New Roman" w:cs="Times New Roman"/>
          <w:b/>
          <w:bCs/>
          <w:sz w:val="24"/>
          <w:szCs w:val="24"/>
        </w:rPr>
      </w:pPr>
    </w:p>
    <w:p w:rsidR="00FD2110" w:rsidRPr="009D117A" w:rsidRDefault="00FD2110" w:rsidP="00FD2110">
      <w:pPr>
        <w:pStyle w:val="Heading1"/>
        <w:rPr>
          <w:lang w:val="ro-RO"/>
        </w:rPr>
      </w:pPr>
      <w:r w:rsidRPr="009D117A">
        <w:rPr>
          <w:lang w:val="ro-RO"/>
        </w:rPr>
        <w:t>PRINCIPII DE CALCUL PENTRU STABILIREA TARIFELOR</w:t>
      </w:r>
    </w:p>
    <w:p w:rsidR="00FD2110" w:rsidRPr="00655FDA" w:rsidRDefault="00FD2110" w:rsidP="00FD2110">
      <w:pPr>
        <w:pStyle w:val="ListParagraph"/>
        <w:numPr>
          <w:ilvl w:val="0"/>
          <w:numId w:val="12"/>
        </w:numPr>
        <w:spacing w:after="120" w:line="360" w:lineRule="auto"/>
        <w:ind w:left="0" w:firstLine="0"/>
        <w:rPr>
          <w:b/>
        </w:rPr>
      </w:pPr>
      <w:r w:rsidRPr="00655FDA">
        <w:rPr>
          <w:b/>
        </w:rPr>
        <w:t>Categorii de tarife</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kern w:val="32"/>
          <w:sz w:val="24"/>
          <w:szCs w:val="24"/>
        </w:rPr>
        <w:t>– Principiile de calcul din prezenta Metodologie se referă la următoarele categorii de tarife:</w:t>
      </w:r>
    </w:p>
    <w:p w:rsidR="006E4E83" w:rsidRPr="009D117A" w:rsidRDefault="006E4E83" w:rsidP="006E4E83">
      <w:pPr>
        <w:numPr>
          <w:ilvl w:val="1"/>
          <w:numId w:val="17"/>
        </w:numPr>
        <w:spacing w:after="120" w:line="360" w:lineRule="auto"/>
        <w:ind w:left="993"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tarife reglementate de energie electrică, aplicate de FUI clienților casnici care, până la data aplicării prevederilor prezentei Metodologii, nu au uzat de eligibilitate, pentru diferența între consumul total și componenta de consum aferentă procentului de achiziție din piața concurențială prevăzut în calendarul de eliminare a tarifelor reglementate;</w:t>
      </w:r>
    </w:p>
    <w:p w:rsidR="006E4E83" w:rsidRPr="009D117A" w:rsidRDefault="006E4E83" w:rsidP="006E4E83">
      <w:pPr>
        <w:numPr>
          <w:ilvl w:val="1"/>
          <w:numId w:val="17"/>
        </w:numPr>
        <w:spacing w:after="120" w:line="360" w:lineRule="auto"/>
        <w:ind w:left="993"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tarife CPC de energie electrică, aplicate de FUI următoarelor categorii de clienți pentru care asigură furnizarea în regim de serviciu universal:</w:t>
      </w:r>
    </w:p>
    <w:p w:rsidR="006E4E83" w:rsidRPr="009D117A" w:rsidRDefault="006E4E83" w:rsidP="006E4E83">
      <w:pPr>
        <w:numPr>
          <w:ilvl w:val="2"/>
          <w:numId w:val="18"/>
        </w:numPr>
        <w:spacing w:after="120" w:line="360" w:lineRule="auto"/>
        <w:ind w:left="2552"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clienți casnici care, până la data aplicării prevederilor prezentei Metodologii,  nu au uzat de eligibilitate, pentru componenta de consum aferentă procentului de achiziție din piața concurențială prevăzut în calendarul de eliminare a tarifelor reglementate;</w:t>
      </w:r>
    </w:p>
    <w:p w:rsidR="006E4E83" w:rsidRPr="009D117A" w:rsidRDefault="006E4E83" w:rsidP="006E4E83">
      <w:pPr>
        <w:numPr>
          <w:ilvl w:val="2"/>
          <w:numId w:val="18"/>
        </w:numPr>
        <w:spacing w:after="120" w:line="360" w:lineRule="auto"/>
        <w:ind w:left="2552"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clienți casnici care, după ce au uzat de eligibilitate, solicită revenirea la FUI;</w:t>
      </w:r>
    </w:p>
    <w:p w:rsidR="006E4E83" w:rsidRPr="009D117A" w:rsidRDefault="006E4E83" w:rsidP="006E4E83">
      <w:pPr>
        <w:numPr>
          <w:ilvl w:val="2"/>
          <w:numId w:val="18"/>
        </w:numPr>
        <w:spacing w:after="120" w:line="360" w:lineRule="auto"/>
        <w:ind w:left="2552"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clienți finali non-casnici cu drept de serviciu universal, care solicită să beneficieze de acest drept;</w:t>
      </w:r>
    </w:p>
    <w:p w:rsidR="006E4E83" w:rsidRPr="009D117A" w:rsidRDefault="006E4E83" w:rsidP="006E4E83">
      <w:pPr>
        <w:numPr>
          <w:ilvl w:val="1"/>
          <w:numId w:val="17"/>
        </w:numPr>
        <w:spacing w:after="120" w:line="360" w:lineRule="auto"/>
        <w:ind w:left="993"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tarife UI de energie electrică, aplicate de FUI următoarelor categorii de clienți pentru care asigură furnizarea în regim de ultimă instanță:</w:t>
      </w:r>
    </w:p>
    <w:p w:rsidR="006E4E83" w:rsidRPr="009D117A" w:rsidRDefault="006E4E83" w:rsidP="006E4E83">
      <w:pPr>
        <w:numPr>
          <w:ilvl w:val="2"/>
          <w:numId w:val="17"/>
        </w:numPr>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lastRenderedPageBreak/>
        <w:t>clienți finali non-casnici care, până la data aplicării prevederilor prezentei Metodologii, nu au uzat de eligibilitate și nu au dreptul sau nu au solicitat să beneficieze de serviciul universal;</w:t>
      </w:r>
    </w:p>
    <w:p w:rsidR="006E4E83" w:rsidRPr="009D117A" w:rsidRDefault="006E4E83" w:rsidP="006E4E83">
      <w:pPr>
        <w:numPr>
          <w:ilvl w:val="2"/>
          <w:numId w:val="17"/>
        </w:numPr>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sz w:val="24"/>
          <w:szCs w:val="24"/>
        </w:rPr>
        <w:t>clienți finali non-casnici care nu au dreptul sau nu solicită să beneficieze de serviciul universal</w:t>
      </w:r>
      <w:r w:rsidRPr="009D117A">
        <w:rPr>
          <w:rFonts w:ascii="Times New Roman" w:eastAsia="Times New Roman" w:hAnsi="Times New Roman" w:cs="Times New Roman"/>
          <w:color w:val="000000"/>
          <w:sz w:val="24"/>
          <w:szCs w:val="24"/>
        </w:rPr>
        <w:t xml:space="preserve"> și care, după intrarea în vigoare a prezentei Metodologii, se află în situația de a nu avea asigurată furnizarea de energie electrică din nici o altă sursă, inclusiv clienți care au uzat de eligibilitate și au rămas fără furnizor de energie electrică din motive neimputabile lor.</w:t>
      </w:r>
    </w:p>
    <w:p w:rsidR="00FD2110" w:rsidRPr="00655FDA" w:rsidRDefault="00FD2110" w:rsidP="00FD2110">
      <w:pPr>
        <w:pStyle w:val="ListParagraph"/>
        <w:numPr>
          <w:ilvl w:val="0"/>
          <w:numId w:val="12"/>
        </w:numPr>
        <w:spacing w:after="120" w:line="360" w:lineRule="auto"/>
        <w:ind w:left="0" w:firstLine="0"/>
        <w:rPr>
          <w:b/>
        </w:rPr>
      </w:pPr>
      <w:r w:rsidRPr="00655FDA">
        <w:rPr>
          <w:b/>
        </w:rPr>
        <w:t>Tarife reglementate</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color w:val="000000"/>
          <w:sz w:val="24"/>
          <w:szCs w:val="24"/>
        </w:rPr>
        <w:t xml:space="preserve"> </w:t>
      </w:r>
      <w:r w:rsidRPr="009D117A">
        <w:rPr>
          <w:rFonts w:ascii="Times New Roman" w:eastAsia="Times New Roman" w:hAnsi="Times New Roman" w:cs="Times New Roman"/>
          <w:bCs/>
          <w:sz w:val="24"/>
          <w:szCs w:val="24"/>
        </w:rPr>
        <w:t xml:space="preserve">– Achiziția de către FUI a energiei electrice prognozate a fi furnizate la tarife reglementate se face prin contracte reglementate, încheiate </w:t>
      </w:r>
      <w:r w:rsidRPr="009D117A">
        <w:rPr>
          <w:rFonts w:ascii="Times New Roman" w:eastAsia="Times New Roman" w:hAnsi="Times New Roman" w:cs="Times New Roman"/>
          <w:noProof/>
          <w:sz w:val="24"/>
          <w:szCs w:val="24"/>
        </w:rPr>
        <w:t xml:space="preserve">pe baza deciziilor emise de ANRE </w:t>
      </w:r>
      <w:r w:rsidRPr="009D117A">
        <w:rPr>
          <w:rFonts w:ascii="Times New Roman" w:eastAsia="Times New Roman" w:hAnsi="Times New Roman" w:cs="Times New Roman"/>
          <w:sz w:val="24"/>
          <w:szCs w:val="24"/>
        </w:rPr>
        <w:t xml:space="preserve">conform prevederilor Metodologiei de stabilire </w:t>
      </w:r>
      <w:r w:rsidR="00CD29D5">
        <w:rPr>
          <w:rFonts w:ascii="Times New Roman" w:eastAsia="Times New Roman" w:hAnsi="Times New Roman" w:cs="Times New Roman"/>
          <w:sz w:val="24"/>
          <w:szCs w:val="24"/>
        </w:rPr>
        <w:t xml:space="preserve">a </w:t>
      </w:r>
      <w:r w:rsidRPr="009D117A">
        <w:rPr>
          <w:rFonts w:ascii="Times New Roman" w:eastAsia="Times New Roman" w:hAnsi="Times New Roman" w:cs="Times New Roman"/>
          <w:sz w:val="24"/>
          <w:szCs w:val="24"/>
        </w:rPr>
        <w:t>contracte</w:t>
      </w:r>
      <w:r w:rsidR="00CD29D5">
        <w:rPr>
          <w:rFonts w:ascii="Times New Roman" w:eastAsia="Times New Roman" w:hAnsi="Times New Roman" w:cs="Times New Roman"/>
          <w:sz w:val="24"/>
          <w:szCs w:val="24"/>
        </w:rPr>
        <w:t>lor</w:t>
      </w:r>
      <w:r w:rsidRPr="009D117A">
        <w:rPr>
          <w:rFonts w:ascii="Times New Roman" w:eastAsia="Times New Roman" w:hAnsi="Times New Roman" w:cs="Times New Roman"/>
          <w:sz w:val="24"/>
          <w:szCs w:val="24"/>
        </w:rPr>
        <w:t xml:space="preserve"> reglementate.</w:t>
      </w:r>
      <w:r w:rsidRPr="009D117A">
        <w:rPr>
          <w:rFonts w:ascii="Times New Roman" w:eastAsia="Times New Roman" w:hAnsi="Times New Roman" w:cs="Times New Roman"/>
          <w:bCs/>
          <w:sz w:val="24"/>
          <w:szCs w:val="24"/>
        </w:rPr>
        <w:t xml:space="preserve"> </w:t>
      </w:r>
      <w:r w:rsidRPr="00EF0630">
        <w:rPr>
          <w:rFonts w:ascii="Times New Roman" w:eastAsia="Times New Roman" w:hAnsi="Times New Roman" w:cs="Times New Roman"/>
          <w:bCs/>
          <w:sz w:val="24"/>
          <w:szCs w:val="24"/>
        </w:rPr>
        <w:t>Diferențele î</w:t>
      </w:r>
      <w:r w:rsidRPr="009D117A">
        <w:rPr>
          <w:rFonts w:ascii="Times New Roman" w:eastAsia="Times New Roman" w:hAnsi="Times New Roman" w:cs="Times New Roman"/>
          <w:bCs/>
          <w:sz w:val="24"/>
          <w:szCs w:val="24"/>
        </w:rPr>
        <w:t xml:space="preserve">ntre consumul realizat și cel asigurat prin contracte reglementate se pot tranzacționa, după caz, pe PZU, PI și/sau la preț de dezechilibru. </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color w:val="000000"/>
          <w:sz w:val="24"/>
          <w:szCs w:val="24"/>
        </w:rPr>
        <w:t>- Venitul previzionat necesar fiecărui FUI în activitatea de furnizare a energiei electrice la tarife reglementate se stabilește pe fiecare zonă de activitate, astfel încât să acopere costurile previzionate considerate justificate, profitul reglementat, reducerile previzionate de venit datorită diminuării componentelo</w:t>
      </w:r>
      <w:r w:rsidR="007E6B51">
        <w:rPr>
          <w:rFonts w:ascii="Times New Roman" w:eastAsia="Times New Roman" w:hAnsi="Times New Roman" w:cs="Times New Roman"/>
          <w:color w:val="000000"/>
          <w:sz w:val="24"/>
          <w:szCs w:val="24"/>
        </w:rPr>
        <w:t>r fixe ale tarifelor (rezervare/</w:t>
      </w:r>
      <w:r w:rsidRPr="009D117A">
        <w:rPr>
          <w:rFonts w:ascii="Times New Roman" w:eastAsia="Times New Roman" w:hAnsi="Times New Roman" w:cs="Times New Roman"/>
          <w:color w:val="000000"/>
          <w:sz w:val="24"/>
          <w:szCs w:val="24"/>
        </w:rPr>
        <w:t xml:space="preserve">abonament) ca urmare a creșterii procentului de achiziție din piața concurențială și soldul corecțiilor de tarif aferente acestei activități: </w:t>
      </w:r>
    </w:p>
    <w:p w:rsidR="006E4E83" w:rsidRPr="009D117A" w:rsidRDefault="007028DF" w:rsidP="006E4E83">
      <w:pPr>
        <w:spacing w:after="120" w:line="360" w:lineRule="auto"/>
        <w:ind w:firstLine="600"/>
        <w:jc w:val="center"/>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pT</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pSS</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pPC</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pD</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viitor</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w:t>
      </w:r>
    </w:p>
    <w:p w:rsidR="006E4E83" w:rsidRPr="009D117A" w:rsidRDefault="006E4E83" w:rsidP="006E4E83">
      <w:pPr>
        <w:spacing w:after="120" w:line="360" w:lineRule="auto"/>
        <w:ind w:firstLine="600"/>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unde:</w:t>
      </w:r>
    </w:p>
    <w:p w:rsidR="006E4E83" w:rsidRPr="009D117A" w:rsidRDefault="007028DF" w:rsidP="006E4E83">
      <w:pPr>
        <w:spacing w:after="120" w:line="360" w:lineRule="auto"/>
        <w:ind w:left="1418" w:hanging="98"/>
        <w:jc w:val="both"/>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v</w:t>
      </w:r>
      <w:r w:rsidR="006E4E83" w:rsidRPr="009D117A">
        <w:rPr>
          <w:rFonts w:ascii="Times New Roman" w:eastAsia="Times New Roman" w:hAnsi="Times New Roman" w:cs="Times New Roman"/>
          <w:color w:val="000000"/>
          <w:sz w:val="24"/>
          <w:szCs w:val="24"/>
        </w:rPr>
        <w:t>enitul previzionat, necesar FUI în activitatea de furnizare a energiei electrice la tarife reglementate,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costurile previzionate cu achiziția energiei electrice furnizate la tarife reglementate, care sunt egale cu costurile de achiziție a energiei electrice pe contractele reglementate ale FUI în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consumul previzionat de energie electrică facturat la tarife reglementate, care este egal cu cantitatea totală de energie electrică din contractele reglementate ale FUI în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[MWh];</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w:t>
      </w:r>
      <w:r w:rsidR="006E4E83" w:rsidRPr="009D117A">
        <w:rPr>
          <w:rFonts w:ascii="Times New Roman" w:eastAsia="Times New Roman" w:hAnsi="Times New Roman" w:cs="Times New Roman"/>
          <w:sz w:val="24"/>
          <w:szCs w:val="24"/>
          <w:lang w:eastAsia="ro-RO"/>
        </w:rPr>
        <w:t xml:space="preserve">prețul mediu de achiziție a energiei electrice furnizate </w:t>
      </w:r>
      <w:r w:rsidR="006E4E83" w:rsidRPr="009D117A">
        <w:rPr>
          <w:rFonts w:ascii="Times New Roman" w:eastAsia="Times New Roman" w:hAnsi="Times New Roman" w:cs="Times New Roman"/>
          <w:noProof/>
          <w:sz w:val="24"/>
          <w:szCs w:val="24"/>
        </w:rPr>
        <w:t xml:space="preserve">la tarife reglementate, previzionat, </w:t>
      </w:r>
      <w:r w:rsidR="006E4E83" w:rsidRPr="009D117A">
        <w:rPr>
          <w:rFonts w:ascii="Times New Roman" w:eastAsia="Times New Roman" w:hAnsi="Times New Roman" w:cs="Times New Roman"/>
          <w:sz w:val="24"/>
          <w:szCs w:val="24"/>
        </w:rPr>
        <w:t>care este egal cu prețul mediu de achiziție a energiei electrice pe contractele reglementate ale FUI</w:t>
      </w:r>
      <w:r w:rsidR="006E4E83" w:rsidRPr="009D117A">
        <w:rPr>
          <w:rFonts w:ascii="Times New Roman" w:eastAsia="Times New Roman" w:hAnsi="Times New Roman" w:cs="Times New Roman"/>
          <w:noProof/>
          <w:sz w:val="24"/>
          <w:szCs w:val="24"/>
        </w:rPr>
        <w:t xml:space="preserve"> </w:t>
      </w:r>
      <w:r w:rsidR="006E4E83" w:rsidRPr="009D117A">
        <w:rPr>
          <w:rFonts w:ascii="Times New Roman" w:eastAsia="Times New Roman" w:hAnsi="Times New Roman" w:cs="Times New Roman"/>
          <w:sz w:val="24"/>
          <w:szCs w:val="24"/>
        </w:rPr>
        <w:t xml:space="preserve">în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noProof/>
          <w:sz w:val="24"/>
          <w:szCs w:val="24"/>
        </w:rPr>
        <w:t xml:space="preserve"> [lei/MWh]</w:t>
      </w:r>
      <w:r w:rsidR="006E4E83" w:rsidRPr="009D117A">
        <w:rPr>
          <w:rFonts w:ascii="Times New Roman" w:eastAsia="Times New Roman" w:hAnsi="Times New Roman" w:cs="Times New Roman"/>
          <w:sz w:val="24"/>
          <w:szCs w:val="24"/>
        </w:rPr>
        <w:t>;</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pT</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pSS</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pPC</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pD</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costurile previzionate cu serviciile de transport, distribuție, servicii de sistem și operare piață aferente energiei electrice furnizate la tarife reglementate </w:t>
      </w:r>
      <w:r w:rsidR="007E6B51" w:rsidRPr="009D117A">
        <w:rPr>
          <w:rFonts w:ascii="Times New Roman" w:eastAsia="Times New Roman" w:hAnsi="Times New Roman" w:cs="Times New Roman"/>
          <w:sz w:val="24"/>
          <w:szCs w:val="24"/>
        </w:rPr>
        <w:t>în</w:t>
      </w:r>
      <w:r w:rsidR="006E4E83" w:rsidRPr="009D117A">
        <w:rPr>
          <w:rFonts w:ascii="Times New Roman" w:eastAsia="Times New Roman" w:hAnsi="Times New Roman" w:cs="Times New Roman"/>
          <w:sz w:val="24"/>
          <w:szCs w:val="24"/>
        </w:rPr>
        <w:t xml:space="preserve">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sunt determinate pe baza valorilor justificate ale tarifelor prevăzute la art. 25 alin. (1) lit. a)   și a consumului previzionat de energie electrică facturat la tarife reglementate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costul previzionat al activității de furnizare a energiei electrice la tarife reglementate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C,TR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C,TR</m:t>
              </m:r>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oMath>
      <w:r w:rsidR="006E4E83" w:rsidRPr="009D117A">
        <w:rPr>
          <w:rFonts w:ascii="Times New Roman" w:eastAsia="Times New Roman" w:hAnsi="Times New Roman" w:cs="Times New Roman"/>
          <w:sz w:val="24"/>
          <w:szCs w:val="24"/>
        </w:rPr>
        <w:t xml:space="preserve">- numărul de luni din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C,TR</m:t>
            </m:r>
          </m:sup>
        </m:sSubSup>
      </m:oMath>
      <w:r w:rsidR="006E4E83" w:rsidRPr="009D117A">
        <w:rPr>
          <w:rFonts w:ascii="Times New Roman" w:eastAsia="Times New Roman" w:hAnsi="Times New Roman" w:cs="Times New Roman"/>
          <w:sz w:val="24"/>
          <w:szCs w:val="24"/>
        </w:rPr>
        <w:t>- numărul de clienți casnici pentru care FUI asigură furnizarea energiei electrice la tarife reglementate;</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C,TR</m:t>
            </m:r>
          </m:sup>
        </m:sSubSup>
      </m:oMath>
      <w:r w:rsidR="006E4E83" w:rsidRPr="009D117A">
        <w:rPr>
          <w:rFonts w:ascii="Times New Roman" w:eastAsia="Times New Roman" w:hAnsi="Times New Roman" w:cs="Times New Roman"/>
          <w:sz w:val="24"/>
          <w:szCs w:val="24"/>
        </w:rPr>
        <w:t xml:space="preserve">- </w:t>
      </w:r>
      <w:r w:rsidR="006E4E83" w:rsidRPr="009D117A">
        <w:rPr>
          <w:rFonts w:ascii="Times New Roman" w:eastAsia="Times New Roman" w:hAnsi="Times New Roman" w:cs="Times New Roman"/>
          <w:sz w:val="24"/>
          <w:szCs w:val="24"/>
          <w:lang w:eastAsia="ro-RO"/>
        </w:rPr>
        <w:t>costul unitar al activității de furnizare a energiei electrice</w:t>
      </w:r>
      <w:r w:rsidR="00903A67" w:rsidRPr="009D117A">
        <w:rPr>
          <w:rFonts w:ascii="Times New Roman" w:eastAsia="Times New Roman" w:hAnsi="Times New Roman" w:cs="Times New Roman"/>
          <w:sz w:val="24"/>
          <w:szCs w:val="24"/>
          <w:lang w:eastAsia="ro-RO"/>
        </w:rPr>
        <w:t xml:space="preserve"> către clienții casnici, la tarife reglementate</w:t>
      </w:r>
      <w:r w:rsidR="006E4E83" w:rsidRPr="009D117A">
        <w:rPr>
          <w:rFonts w:ascii="Times New Roman" w:eastAsia="Times New Roman" w:hAnsi="Times New Roman" w:cs="Times New Roman"/>
          <w:sz w:val="24"/>
          <w:szCs w:val="24"/>
          <w:lang w:eastAsia="ro-RO"/>
        </w:rPr>
        <w:t xml:space="preserve">, stabilit </w:t>
      </w:r>
      <w:r w:rsidR="006E4E83" w:rsidRPr="009D117A">
        <w:rPr>
          <w:rFonts w:ascii="Times New Roman" w:eastAsia="Times New Roman" w:hAnsi="Times New Roman" w:cs="Times New Roman"/>
          <w:sz w:val="24"/>
          <w:szCs w:val="24"/>
        </w:rPr>
        <w:t>conform prevederilor art. 25 alin. (2) lit. b) [lei/client/lună];</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valoarea profitului reglementat aferent activității de furnizare a energiei electrice la tarife reglementate [lei];</w:t>
      </w:r>
    </w:p>
    <w:p w:rsidR="006E4E83" w:rsidRPr="009D117A" w:rsidRDefault="007028DF" w:rsidP="006E4E83">
      <w:pPr>
        <w:spacing w:after="120" w:line="360" w:lineRule="auto"/>
        <w:ind w:left="1418" w:hanging="98"/>
        <w:jc w:val="center"/>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p</m:t>
              </m:r>
            </m:e>
            <m:sup>
              <m:r>
                <w:rPr>
                  <w:rFonts w:ascii="Cambria Math" w:eastAsia="Times New Roman" w:hAnsi="Cambria Math" w:cs="Times New Roman"/>
                  <w:sz w:val="24"/>
                  <w:szCs w:val="24"/>
                </w:rPr>
                <m:t>TR</m:t>
              </m:r>
            </m:sup>
          </m:s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TR</m:t>
              </m:r>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p</m:t>
            </m:r>
          </m:e>
          <m:sup>
            <m:r>
              <w:rPr>
                <w:rFonts w:ascii="Cambria Math" w:eastAsia="Times New Roman" w:hAnsi="Cambria Math" w:cs="Times New Roman"/>
                <w:sz w:val="24"/>
                <w:szCs w:val="24"/>
              </w:rPr>
              <m:t>TR</m:t>
            </m:r>
          </m:sup>
        </m:sSup>
      </m:oMath>
      <w:r w:rsidR="006E4E83" w:rsidRPr="009D117A">
        <w:rPr>
          <w:rFonts w:ascii="Times New Roman" w:eastAsia="Times New Roman" w:hAnsi="Times New Roman" w:cs="Times New Roman"/>
          <w:sz w:val="24"/>
          <w:szCs w:val="24"/>
        </w:rPr>
        <w:t xml:space="preserve">- profitul unitar aferent activității de furnizare a energiei electrice la tarife reglementate, stabilit conform prevederilor art. 25 alin. (1) lit. f) [lei/MWh]; </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viitor</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valoarea </w:t>
      </w:r>
      <w:r w:rsidR="006E4E83" w:rsidRPr="009D117A">
        <w:rPr>
          <w:rFonts w:ascii="Times New Roman" w:eastAsia="Times New Roman" w:hAnsi="Times New Roman" w:cs="Times New Roman"/>
          <w:color w:val="000000"/>
          <w:sz w:val="24"/>
          <w:szCs w:val="24"/>
        </w:rPr>
        <w:t>reducerii previzionate de venit datorită diminuării componentelor fixe ale tarifelor reglementate (rezervare / abonament) ca urmare a creșterii procentului de achiziție din piața concurențială</w:t>
      </w:r>
      <w:r w:rsidR="006E4E83" w:rsidRPr="009D117A">
        <w:rPr>
          <w:rFonts w:ascii="Times New Roman" w:eastAsia="Times New Roman" w:hAnsi="Times New Roman" w:cs="Times New Roman"/>
          <w:sz w:val="24"/>
          <w:szCs w:val="24"/>
        </w:rPr>
        <w:t>, stabilită conform prevederilor art. 25 alin. (1) lit. g) [lei];</w:t>
      </w:r>
    </w:p>
    <w:p w:rsidR="006E4E83" w:rsidRPr="009D117A" w:rsidRDefault="007028DF" w:rsidP="006E4E83">
      <w:pPr>
        <w:spacing w:after="120" w:line="360" w:lineRule="auto"/>
        <w:ind w:left="1418" w:hanging="98"/>
        <w:jc w:val="both"/>
        <w:rPr>
          <w:rFonts w:ascii="Times New Roman" w:eastAsia="Times New Roman" w:hAnsi="Times New Roman" w:cs="Times New Roman"/>
          <w:b/>
          <w:bCs/>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valoarea soldului corecțiilor de tarif aferente activității de furnizare a energiei electrice la tarife reglementate, stabilită conform prevederilor art. 25 alin. (1) lit. b) și ale art. 8 [lei].</w:t>
      </w:r>
    </w:p>
    <w:p w:rsidR="006E4E83" w:rsidRPr="009D117A" w:rsidRDefault="006E4E83" w:rsidP="006E4E83">
      <w:pPr>
        <w:numPr>
          <w:ilvl w:val="0"/>
          <w:numId w:val="14"/>
        </w:numPr>
        <w:tabs>
          <w:tab w:val="num" w:pos="0"/>
          <w:tab w:val="num" w:pos="72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 xml:space="preserve">Prețul mediu de achiziție a energiei electrice furnizate la tarife reglementate, considerat justificat pentru o perioadă anterioară nu poate depăși cu mai mult de 8 % valoarea previzionată a </w:t>
      </w:r>
      <w:r w:rsidRPr="009D117A">
        <w:rPr>
          <w:rFonts w:ascii="Times New Roman" w:eastAsia="Times New Roman" w:hAnsi="Times New Roman" w:cs="Times New Roman"/>
          <w:sz w:val="24"/>
          <w:szCs w:val="24"/>
          <w:lang w:eastAsia="ro-RO"/>
        </w:rPr>
        <w:t xml:space="preserve">prețului mediu de achiziție a energiei electrice furnizate </w:t>
      </w:r>
      <w:r w:rsidRPr="009D117A">
        <w:rPr>
          <w:rFonts w:ascii="Times New Roman" w:eastAsia="Times New Roman" w:hAnsi="Times New Roman" w:cs="Times New Roman"/>
          <w:noProof/>
          <w:sz w:val="24"/>
          <w:szCs w:val="24"/>
        </w:rPr>
        <w:t>la tarife reglementate</w:t>
      </w:r>
      <w:r w:rsidRPr="009D117A">
        <w:rPr>
          <w:rFonts w:ascii="Times New Roman" w:eastAsia="Times New Roman" w:hAnsi="Times New Roman" w:cs="Times New Roman"/>
          <w:sz w:val="24"/>
          <w:szCs w:val="24"/>
        </w:rPr>
        <w:t xml:space="preserve"> pentru perioada respectivă, cu excepția situațiilor în care depășirea se datorează:</w:t>
      </w:r>
    </w:p>
    <w:p w:rsidR="006E4E83" w:rsidRPr="009D117A" w:rsidRDefault="006E4E83" w:rsidP="006E4E83">
      <w:pPr>
        <w:numPr>
          <w:ilvl w:val="0"/>
          <w:numId w:val="39"/>
        </w:numPr>
        <w:tabs>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faptului că nu a putut fi soluționată favorabil solicitarea de modificare a cantităților din contractele reglementate în perioada respectivă, transmisă de FUI conform prevederilor Metodologiei de stabilire contracte reglementate;</w:t>
      </w:r>
    </w:p>
    <w:p w:rsidR="006E4E83" w:rsidRPr="009D117A" w:rsidRDefault="006E4E83" w:rsidP="006E4E83">
      <w:pPr>
        <w:numPr>
          <w:ilvl w:val="0"/>
          <w:numId w:val="39"/>
        </w:numPr>
        <w:tabs>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efectelor activării clauzelor de forță majoră din contractele reglementate în perioada respectivă.</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bCs/>
          <w:kern w:val="32"/>
          <w:sz w:val="24"/>
          <w:szCs w:val="24"/>
        </w:rPr>
        <w:t xml:space="preserve">- </w:t>
      </w:r>
      <w:r w:rsidRPr="009D117A">
        <w:rPr>
          <w:rFonts w:ascii="Times New Roman" w:eastAsia="Times New Roman" w:hAnsi="Times New Roman" w:cs="Times New Roman"/>
          <w:sz w:val="24"/>
          <w:szCs w:val="24"/>
        </w:rPr>
        <w:t>Prețul mediu de revenire previzionat, respectiv realizat, pentru energia electrică furnizată la tarife reglementate se calculează la nivel național cu formula generală:</w:t>
      </w:r>
    </w:p>
    <w:p w:rsidR="006E4E83" w:rsidRPr="009D117A" w:rsidRDefault="007028DF" w:rsidP="006E4E83">
      <w:pPr>
        <w:widowControl w:val="0"/>
        <w:spacing w:after="120" w:line="360" w:lineRule="auto"/>
        <w:jc w:val="both"/>
        <w:outlineLvl w:val="0"/>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e>
              </m:nary>
            </m:num>
            <m:den>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TR</m:t>
                      </m:r>
                    </m:sup>
                  </m:sSubSup>
                  <m:r>
                    <w:rPr>
                      <w:rFonts w:ascii="Cambria Math" w:eastAsia="Times New Roman" w:hAnsi="Cambria Math" w:cs="Times New Roman"/>
                      <w:sz w:val="24"/>
                      <w:szCs w:val="24"/>
                    </w:rPr>
                    <m:t>)</m:t>
                  </m:r>
                </m:e>
              </m:nary>
            </m:den>
          </m:f>
        </m:oMath>
      </m:oMathPara>
    </w:p>
    <w:p w:rsidR="006E4E83" w:rsidRPr="009D117A" w:rsidRDefault="006E4E83" w:rsidP="006E4E83">
      <w:pPr>
        <w:widowControl w:val="0"/>
        <w:spacing w:after="120" w:line="360" w:lineRule="auto"/>
        <w:jc w:val="both"/>
        <w:outlineLvl w:val="0"/>
        <w:rPr>
          <w:rFonts w:ascii="Times New Roman" w:eastAsia="Times New Roman" w:hAnsi="Times New Roman" w:cs="Times New Roman"/>
          <w:bCs/>
          <w:kern w:val="32"/>
          <w:sz w:val="24"/>
          <w:szCs w:val="24"/>
          <w:lang w:eastAsia="ro-RO"/>
        </w:rPr>
      </w:pPr>
      <w:r w:rsidRPr="009D117A">
        <w:rPr>
          <w:rFonts w:ascii="Times New Roman" w:eastAsia="Times New Roman" w:hAnsi="Times New Roman" w:cs="Times New Roman"/>
          <w:bCs/>
          <w:kern w:val="32"/>
          <w:sz w:val="24"/>
          <w:szCs w:val="24"/>
          <w:lang w:eastAsia="ro-RO"/>
        </w:rPr>
        <w:t>unde:</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prețul mediu de revenire la nivel național pentru energia electrică furnizată la tarife reglementate, previzionat, respectiv realizat [lei/MWh];</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v</w:t>
      </w:r>
      <w:r w:rsidR="006E4E83" w:rsidRPr="009D117A">
        <w:rPr>
          <w:rFonts w:ascii="Times New Roman" w:eastAsia="Times New Roman" w:hAnsi="Times New Roman" w:cs="Times New Roman"/>
          <w:color w:val="000000"/>
          <w:sz w:val="24"/>
          <w:szCs w:val="24"/>
        </w:rPr>
        <w:t>enitul din activitatea de furnizare a energiei electrice la tarife reglementate, calculat pe baza costurilor previzionate cu formula prevăzută la art. 7, respectiv realizat, corespunzător FUI i [lei];</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 consumul de energie electrică facturat la tarife reglementate, corespunzător FUI i, previzionat, respectiv realizat ȋn perioada (an/semestru)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TR</m:t>
            </m:r>
          </m:sup>
        </m:sSubSup>
      </m:oMath>
      <w:r w:rsidR="006E4E83" w:rsidRPr="009D117A">
        <w:rPr>
          <w:rFonts w:ascii="Times New Roman" w:eastAsia="Times New Roman" w:hAnsi="Times New Roman" w:cs="Times New Roman"/>
          <w:sz w:val="24"/>
          <w:szCs w:val="24"/>
        </w:rPr>
        <w:t xml:space="preserve"> [MWh];</w:t>
      </w:r>
    </w:p>
    <w:p w:rsidR="006E4E83" w:rsidRPr="009D117A" w:rsidRDefault="006E4E83" w:rsidP="006E4E83">
      <w:pPr>
        <w:widowControl w:val="0"/>
        <w:spacing w:after="120" w:line="360" w:lineRule="auto"/>
        <w:ind w:left="720"/>
        <w:jc w:val="both"/>
        <w:outlineLvl w:val="0"/>
        <w:rPr>
          <w:rFonts w:ascii="Times New Roman" w:eastAsia="Times New Roman" w:hAnsi="Times New Roman" w:cs="Times New Roman"/>
          <w:bCs/>
          <w:kern w:val="32"/>
          <w:sz w:val="24"/>
          <w:szCs w:val="24"/>
          <w:lang w:eastAsia="ro-RO"/>
        </w:rPr>
      </w:pPr>
      <m:oMath>
        <m:r>
          <w:rPr>
            <w:rFonts w:ascii="Cambria Math" w:eastAsia="Times New Roman" w:hAnsi="Cambria Math" w:cs="Times New Roman"/>
            <w:sz w:val="24"/>
            <w:szCs w:val="24"/>
          </w:rPr>
          <m:t>i</m:t>
        </m:r>
      </m:oMath>
      <w:r w:rsidRPr="009D117A">
        <w:rPr>
          <w:rFonts w:ascii="Times New Roman" w:eastAsia="Times New Roman" w:hAnsi="Times New Roman" w:cs="Times New Roman"/>
          <w:sz w:val="24"/>
          <w:szCs w:val="24"/>
        </w:rPr>
        <w:t xml:space="preserve"> </w:t>
      </w:r>
      <w:r w:rsidRPr="009D117A">
        <w:rPr>
          <w:rFonts w:ascii="Times New Roman" w:eastAsia="Times New Roman" w:hAnsi="Times New Roman" w:cs="Times New Roman"/>
          <w:bCs/>
          <w:kern w:val="32"/>
          <w:sz w:val="24"/>
          <w:szCs w:val="24"/>
          <w:lang w:eastAsia="ro-RO"/>
        </w:rPr>
        <w:t>− indice corespunzător unui FUI.</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bCs/>
          <w:kern w:val="32"/>
          <w:sz w:val="24"/>
          <w:szCs w:val="24"/>
          <w:lang w:eastAsia="ro-RO"/>
        </w:rPr>
      </w:pPr>
      <w:r w:rsidRPr="009D117A">
        <w:rPr>
          <w:rFonts w:ascii="Times New Roman" w:eastAsia="Times New Roman" w:hAnsi="Times New Roman" w:cs="Times New Roman"/>
          <w:b/>
          <w:bCs/>
          <w:kern w:val="32"/>
          <w:sz w:val="24"/>
          <w:szCs w:val="24"/>
          <w:lang w:eastAsia="ro-RO"/>
        </w:rPr>
        <w:t xml:space="preserve">– </w:t>
      </w:r>
      <w:r w:rsidRPr="009D117A">
        <w:rPr>
          <w:rFonts w:ascii="Times New Roman" w:eastAsia="Times New Roman" w:hAnsi="Times New Roman" w:cs="Times New Roman"/>
          <w:bCs/>
          <w:kern w:val="32"/>
          <w:sz w:val="24"/>
          <w:szCs w:val="24"/>
          <w:lang w:eastAsia="ro-RO"/>
        </w:rPr>
        <w:t>(1)</w:t>
      </w:r>
      <w:r w:rsidRPr="009D117A">
        <w:rPr>
          <w:rFonts w:ascii="Times New Roman" w:eastAsia="Times New Roman" w:hAnsi="Times New Roman" w:cs="Times New Roman"/>
          <w:b/>
          <w:bCs/>
          <w:kern w:val="32"/>
          <w:sz w:val="24"/>
          <w:szCs w:val="24"/>
          <w:lang w:eastAsia="ro-RO"/>
        </w:rPr>
        <w:t xml:space="preserve"> </w:t>
      </w:r>
      <w:r w:rsidRPr="009D117A">
        <w:rPr>
          <w:rFonts w:ascii="Times New Roman" w:eastAsia="Times New Roman" w:hAnsi="Times New Roman" w:cs="Times New Roman"/>
          <w:bCs/>
          <w:kern w:val="32"/>
          <w:sz w:val="24"/>
          <w:szCs w:val="24"/>
          <w:lang w:eastAsia="ro-RO"/>
        </w:rPr>
        <w:t xml:space="preserve">Pentru stabilirea unor noi tarife reglementate aplicabile ȋn perioada următoare, se calculează un </w:t>
      </w:r>
      <w:r w:rsidR="005E057C">
        <w:rPr>
          <w:rFonts w:ascii="Times New Roman" w:eastAsia="Times New Roman" w:hAnsi="Times New Roman" w:cs="Times New Roman"/>
          <w:bCs/>
          <w:kern w:val="32"/>
          <w:sz w:val="24"/>
          <w:szCs w:val="24"/>
          <w:lang w:eastAsia="ro-RO"/>
        </w:rPr>
        <w:t>coeficient</w:t>
      </w:r>
      <w:r w:rsidR="005E057C" w:rsidRPr="009D117A">
        <w:rPr>
          <w:rFonts w:ascii="Times New Roman" w:eastAsia="Times New Roman" w:hAnsi="Times New Roman" w:cs="Times New Roman"/>
          <w:bCs/>
          <w:kern w:val="32"/>
          <w:sz w:val="24"/>
          <w:szCs w:val="24"/>
          <w:lang w:eastAsia="ro-RO"/>
        </w:rPr>
        <w:t xml:space="preserve"> </w:t>
      </w:r>
      <w:r w:rsidRPr="009D117A">
        <w:rPr>
          <w:rFonts w:ascii="Times New Roman" w:eastAsia="Times New Roman" w:hAnsi="Times New Roman" w:cs="Times New Roman"/>
          <w:bCs/>
          <w:kern w:val="32"/>
          <w:sz w:val="24"/>
          <w:szCs w:val="24"/>
          <w:lang w:eastAsia="ro-RO"/>
        </w:rPr>
        <w:t>de indexare a grilei tarifare reglementate, ca raport între prețul mediu de revenire previzionat pentru perioada următoare și prețul mediu de revenire realizat în perioada anterioară.</w:t>
      </w:r>
    </w:p>
    <w:p w:rsidR="009D117A" w:rsidRPr="00EF0630"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Cs/>
          <w:kern w:val="32"/>
          <w:sz w:val="24"/>
          <w:szCs w:val="24"/>
          <w:lang w:eastAsia="ro-RO"/>
        </w:rPr>
        <w:lastRenderedPageBreak/>
        <w:t>(2)</w:t>
      </w:r>
      <w:r w:rsidRPr="009D117A">
        <w:rPr>
          <w:rFonts w:ascii="Times New Roman" w:eastAsia="Times New Roman" w:hAnsi="Times New Roman" w:cs="Times New Roman"/>
          <w:b/>
          <w:bCs/>
          <w:kern w:val="32"/>
          <w:sz w:val="24"/>
          <w:szCs w:val="24"/>
          <w:lang w:eastAsia="ro-RO"/>
        </w:rPr>
        <w:t xml:space="preserve"> </w:t>
      </w:r>
      <w:r w:rsidRPr="009D117A">
        <w:rPr>
          <w:rFonts w:ascii="Times New Roman" w:eastAsia="Times New Roman" w:hAnsi="Times New Roman" w:cs="Times New Roman"/>
          <w:sz w:val="24"/>
          <w:szCs w:val="24"/>
        </w:rPr>
        <w:t>Prețurile medii de revenire prevăzute la alin. (1) sunt determinate la nivel național pentru activitatea de furnizare a energiei el</w:t>
      </w:r>
      <w:r w:rsidR="00EF0630">
        <w:rPr>
          <w:rFonts w:ascii="Times New Roman" w:eastAsia="Times New Roman" w:hAnsi="Times New Roman" w:cs="Times New Roman"/>
          <w:sz w:val="24"/>
          <w:szCs w:val="24"/>
        </w:rPr>
        <w:t>ectrice la tarife reglementate.</w:t>
      </w:r>
    </w:p>
    <w:p w:rsidR="00FD2110" w:rsidRPr="00655FDA" w:rsidRDefault="00FD2110" w:rsidP="00FD2110">
      <w:pPr>
        <w:pStyle w:val="ListParagraph"/>
        <w:numPr>
          <w:ilvl w:val="0"/>
          <w:numId w:val="12"/>
        </w:numPr>
        <w:spacing w:after="120" w:line="360" w:lineRule="auto"/>
        <w:ind w:left="0" w:firstLine="0"/>
        <w:rPr>
          <w:b/>
        </w:rPr>
      </w:pPr>
      <w:r w:rsidRPr="00655FDA">
        <w:rPr>
          <w:b/>
        </w:rPr>
        <w:t xml:space="preserve">Tarife CPC </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t xml:space="preserve">– (1) Începând cu organizarea primei sesiuni de licitație pe PCSU, achiziția de către FUI a energiei electrice prognozate a fi furnizate la tarife CPC se face prin contracte bilaterale, încheiate </w:t>
      </w:r>
      <w:r w:rsidRPr="009D117A">
        <w:rPr>
          <w:rFonts w:ascii="Times New Roman" w:eastAsia="Times New Roman" w:hAnsi="Times New Roman" w:cs="Times New Roman"/>
          <w:noProof/>
          <w:sz w:val="24"/>
          <w:szCs w:val="24"/>
        </w:rPr>
        <w:t xml:space="preserve">ȋn urma licitațiilor desfășurate pe PCSU. </w:t>
      </w:r>
      <w:r w:rsidRPr="009D117A">
        <w:rPr>
          <w:rFonts w:ascii="Times New Roman" w:eastAsia="Times New Roman" w:hAnsi="Times New Roman" w:cs="Times New Roman"/>
          <w:bCs/>
          <w:sz w:val="24"/>
          <w:szCs w:val="24"/>
        </w:rPr>
        <w:t xml:space="preserve">Diferențele între consumul realizat și cel asigurat prin contracte bilaterale încheiate </w:t>
      </w:r>
      <w:r w:rsidRPr="009D117A">
        <w:rPr>
          <w:rFonts w:ascii="Times New Roman" w:eastAsia="Times New Roman" w:hAnsi="Times New Roman" w:cs="Times New Roman"/>
          <w:noProof/>
          <w:sz w:val="24"/>
          <w:szCs w:val="24"/>
        </w:rPr>
        <w:t>ȋn urma licitațiilor desfășurate pe PCSU</w:t>
      </w:r>
      <w:r w:rsidRPr="009D117A">
        <w:rPr>
          <w:rFonts w:ascii="Times New Roman" w:eastAsia="Times New Roman" w:hAnsi="Times New Roman" w:cs="Times New Roman"/>
          <w:bCs/>
          <w:sz w:val="24"/>
          <w:szCs w:val="24"/>
        </w:rPr>
        <w:t xml:space="preserve"> se pot tranzacționa, după caz, pe PZU, PI și/sau la preț de dezechilibru.</w:t>
      </w:r>
    </w:p>
    <w:p w:rsidR="006E4E83" w:rsidRPr="009D117A" w:rsidRDefault="006E4E83" w:rsidP="00FF43BD">
      <w:pPr>
        <w:tabs>
          <w:tab w:val="num" w:pos="851"/>
          <w:tab w:val="num" w:pos="1296"/>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(2) În cazul reducerii</w:t>
      </w:r>
      <w:r w:rsidR="005E057C">
        <w:rPr>
          <w:rFonts w:ascii="Times New Roman" w:eastAsia="Times New Roman" w:hAnsi="Times New Roman" w:cs="Times New Roman"/>
          <w:noProof/>
          <w:sz w:val="24"/>
          <w:szCs w:val="24"/>
        </w:rPr>
        <w:t>, in procesul de licitatie PCSU, a</w:t>
      </w:r>
      <w:r w:rsidRPr="009D117A">
        <w:rPr>
          <w:rFonts w:ascii="Times New Roman" w:eastAsia="Times New Roman" w:hAnsi="Times New Roman" w:cs="Times New Roman"/>
          <w:noProof/>
          <w:sz w:val="24"/>
          <w:szCs w:val="24"/>
        </w:rPr>
        <w:t xml:space="preserve"> cererii aferente produselor de tranzacționare sau ȋn cazul anulării unei sesiuni de licitație conform prevederilor Regulamentului PCSU, </w:t>
      </w:r>
      <w:r w:rsidRPr="009D117A">
        <w:rPr>
          <w:rFonts w:ascii="Times New Roman" w:eastAsia="Times New Roman" w:hAnsi="Times New Roman" w:cs="Times New Roman"/>
          <w:bCs/>
          <w:sz w:val="24"/>
          <w:szCs w:val="24"/>
        </w:rPr>
        <w:t xml:space="preserve">energia electrică prognozată a fi furnizată la tarife CPC, care nu este achiziționată prin contractele bilaterale încheiate </w:t>
      </w:r>
      <w:r w:rsidRPr="009D117A">
        <w:rPr>
          <w:rFonts w:ascii="Times New Roman" w:eastAsia="Times New Roman" w:hAnsi="Times New Roman" w:cs="Times New Roman"/>
          <w:noProof/>
          <w:sz w:val="24"/>
          <w:szCs w:val="24"/>
        </w:rPr>
        <w:t>ȋn urma licitației desfășurate pe PCSU va fi tranzacționată zilnic pe PZU.</w:t>
      </w:r>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noProof/>
          <w:sz w:val="24"/>
          <w:szCs w:val="24"/>
        </w:rPr>
        <w:t>(3) P</w:t>
      </w:r>
      <w:r w:rsidRPr="009D117A">
        <w:rPr>
          <w:rFonts w:ascii="Times New Roman" w:eastAsia="Times New Roman" w:hAnsi="Times New Roman" w:cs="Times New Roman"/>
          <w:bCs/>
          <w:sz w:val="24"/>
          <w:szCs w:val="24"/>
        </w:rPr>
        <w:t>ȋnă la organizarea primei sesiuni de licitație pe PCSU precum și ȋn situațiile prevăzute la art. 36,</w:t>
      </w:r>
      <w:r w:rsidRPr="009D117A">
        <w:rPr>
          <w:rFonts w:ascii="Times New Roman" w:eastAsia="Times New Roman" w:hAnsi="Times New Roman" w:cs="Times New Roman"/>
          <w:noProof/>
          <w:sz w:val="24"/>
          <w:szCs w:val="24"/>
        </w:rPr>
        <w:t xml:space="preserve"> achiziția de către FUI </w:t>
      </w:r>
      <w:r w:rsidRPr="009D117A">
        <w:rPr>
          <w:rFonts w:ascii="Times New Roman" w:eastAsia="Times New Roman" w:hAnsi="Times New Roman" w:cs="Times New Roman"/>
          <w:bCs/>
          <w:sz w:val="24"/>
          <w:szCs w:val="24"/>
        </w:rPr>
        <w:t xml:space="preserve">a energiei electrice furnizate la tarife CPC se face ȋn aceleași condiții ca și achiziția </w:t>
      </w:r>
      <w:r w:rsidRPr="009D117A">
        <w:rPr>
          <w:rFonts w:ascii="Times New Roman" w:eastAsia="Times New Roman" w:hAnsi="Times New Roman" w:cs="Times New Roman"/>
          <w:noProof/>
          <w:sz w:val="24"/>
          <w:szCs w:val="24"/>
        </w:rPr>
        <w:t>energiei electrice furnizate clienților eligibili ai operatorului economic care prestează serviciul de FUI.</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color w:val="000000"/>
          <w:sz w:val="24"/>
          <w:szCs w:val="24"/>
        </w:rPr>
        <w:t xml:space="preserve">- Venitul previzionat necesar fiecărui FUI ȋn activitatea de furnizare a energiei electrice la tarife CPC se stabilește pe fiecare nivel de tensiune / zonă de activitate, astfel încât să acopere costurile previzionate considerate justificate, profitul și soldul corecțiilor de tarif aferente acestei activități: </w:t>
      </w:r>
    </w:p>
    <w:p w:rsidR="006E4E83" w:rsidRPr="009D117A" w:rsidRDefault="007028DF" w:rsidP="006E4E83">
      <w:pPr>
        <w:spacing w:after="120" w:line="360" w:lineRule="auto"/>
        <w:ind w:firstLine="600"/>
        <w:jc w:val="center"/>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pT</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pSS</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pPC</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pD</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w:t>
      </w:r>
    </w:p>
    <w:p w:rsidR="006E4E83" w:rsidRPr="009D117A" w:rsidRDefault="006E4E83" w:rsidP="006E4E83">
      <w:pPr>
        <w:spacing w:after="120" w:line="360" w:lineRule="auto"/>
        <w:ind w:firstLine="600"/>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unde:</w:t>
      </w:r>
    </w:p>
    <w:p w:rsidR="006E4E83" w:rsidRPr="009D117A" w:rsidRDefault="007028DF" w:rsidP="006E4E83">
      <w:pPr>
        <w:spacing w:after="120" w:line="360" w:lineRule="auto"/>
        <w:ind w:left="1418" w:hanging="98"/>
        <w:jc w:val="both"/>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v</w:t>
      </w:r>
      <w:r w:rsidR="006E4E83" w:rsidRPr="009D117A">
        <w:rPr>
          <w:rFonts w:ascii="Times New Roman" w:eastAsia="Times New Roman" w:hAnsi="Times New Roman" w:cs="Times New Roman"/>
          <w:color w:val="000000"/>
          <w:sz w:val="24"/>
          <w:szCs w:val="24"/>
        </w:rPr>
        <w:t>enitul previzionat, necesar FUI ȋn activitatea de furnizare a energiei electrice la tarife CPC,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costurile previzionate cu achiziția energiei electrice furnizate la tarife CPC ȋn perioada (semestrul)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pA</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consumul previzionat de energie electrică facturat la tarife CPC ȋn perioada (semestrul)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[MWh];</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w:t>
      </w:r>
      <w:r w:rsidR="006E4E83" w:rsidRPr="009D117A">
        <w:rPr>
          <w:rFonts w:ascii="Times New Roman" w:eastAsia="Times New Roman" w:hAnsi="Times New Roman" w:cs="Times New Roman"/>
          <w:sz w:val="24"/>
          <w:szCs w:val="24"/>
          <w:lang w:eastAsia="ro-RO"/>
        </w:rPr>
        <w:t xml:space="preserve">prețul mediu de achiziție a energiei electrice furnizate </w:t>
      </w:r>
      <w:r w:rsidR="006E4E83" w:rsidRPr="009D117A">
        <w:rPr>
          <w:rFonts w:ascii="Times New Roman" w:eastAsia="Times New Roman" w:hAnsi="Times New Roman" w:cs="Times New Roman"/>
          <w:noProof/>
          <w:sz w:val="24"/>
          <w:szCs w:val="24"/>
        </w:rPr>
        <w:t>la tarife CPC, previzionat, stabilit conform prevederilor art. 13 [lei/MWh]</w:t>
      </w:r>
      <w:r w:rsidR="006E4E83" w:rsidRPr="009D117A">
        <w:rPr>
          <w:rFonts w:ascii="Times New Roman" w:eastAsia="Times New Roman" w:hAnsi="Times New Roman" w:cs="Times New Roman"/>
          <w:sz w:val="24"/>
          <w:szCs w:val="24"/>
        </w:rPr>
        <w:t>;</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pT</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pSS</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pPC</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pD</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costurile previzionate cu serviciile de transport, distribuție, servicii de sistem și operare piață aferente energiei electrice furnizate la tarife CPC ȋn perioada (semestrul)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sȋnt determinate pe baza valorilor justificate ale tarifelor prevăzute la art. 25 alin. (1) lit. a) și a consumului previzionat de energie electrică facturat la tarife CPC  [lei];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costul previzionat al activității de furnizare a energiei electrice la tarife CPC [lei];</w:t>
      </w:r>
    </w:p>
    <w:p w:rsidR="006E4E83" w:rsidRPr="009D117A" w:rsidRDefault="007028DF" w:rsidP="006E4E83">
      <w:pPr>
        <w:spacing w:after="120" w:line="360" w:lineRule="auto"/>
        <w:ind w:left="1418" w:hanging="98"/>
        <w:jc w:val="center"/>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pF</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C,TR</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C,CPC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NC,CPC</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Sub>
            </m:e>
          </m:d>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oMath>
      <w:r w:rsidR="006E4E83" w:rsidRPr="009D117A">
        <w:rPr>
          <w:rFonts w:ascii="Times New Roman" w:eastAsia="Times New Roman" w:hAnsi="Times New Roman" w:cs="Times New Roman"/>
          <w:sz w:val="24"/>
          <w:szCs w:val="24"/>
        </w:rPr>
        <w:t xml:space="preserve">- numărul de luni din perioada (semestrul)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C,CPC</m:t>
            </m:r>
          </m:sup>
        </m:sSubSup>
      </m:oMath>
      <w:r w:rsidR="006E4E83" w:rsidRPr="009D117A">
        <w:rPr>
          <w:rFonts w:ascii="Times New Roman" w:eastAsia="Times New Roman" w:hAnsi="Times New Roman" w:cs="Times New Roman"/>
          <w:sz w:val="24"/>
          <w:szCs w:val="24"/>
        </w:rPr>
        <w:t xml:space="preserve">- </w:t>
      </w:r>
      <w:r w:rsidR="006E4E83" w:rsidRPr="009D117A">
        <w:rPr>
          <w:rFonts w:ascii="Times New Roman" w:eastAsia="Times New Roman" w:hAnsi="Times New Roman" w:cs="Times New Roman"/>
          <w:sz w:val="24"/>
          <w:szCs w:val="24"/>
          <w:lang w:eastAsia="ro-RO"/>
        </w:rPr>
        <w:t>costul unitar al activității de</w:t>
      </w:r>
      <w:r w:rsidR="00897DF5" w:rsidRPr="009D117A">
        <w:rPr>
          <w:rFonts w:ascii="Times New Roman" w:eastAsia="Times New Roman" w:hAnsi="Times New Roman" w:cs="Times New Roman"/>
          <w:sz w:val="24"/>
          <w:szCs w:val="24"/>
          <w:lang w:eastAsia="ro-RO"/>
        </w:rPr>
        <w:t xml:space="preserve"> furnizare a energiei electrice</w:t>
      </w:r>
      <w:r w:rsidR="0019747C" w:rsidRPr="009D117A">
        <w:rPr>
          <w:rFonts w:ascii="Times New Roman" w:hAnsi="Times New Roman" w:cs="Times New Roman"/>
          <w:lang w:eastAsia="ro-RO"/>
        </w:rPr>
        <w:t xml:space="preserve"> către clienții casnici, la </w:t>
      </w:r>
      <w:r w:rsidR="0019747C" w:rsidRPr="009D117A">
        <w:rPr>
          <w:rFonts w:ascii="Times New Roman" w:hAnsi="Times New Roman" w:cs="Times New Roman"/>
          <w:noProof/>
        </w:rPr>
        <w:t>tarife CPC</w:t>
      </w:r>
      <w:r w:rsidR="006E4E83" w:rsidRPr="009D117A">
        <w:rPr>
          <w:rFonts w:ascii="Times New Roman" w:eastAsia="Times New Roman" w:hAnsi="Times New Roman" w:cs="Times New Roman"/>
          <w:sz w:val="24"/>
          <w:szCs w:val="24"/>
          <w:lang w:eastAsia="ro-RO"/>
        </w:rPr>
        <w:t xml:space="preserve">, stabilit </w:t>
      </w:r>
      <w:r w:rsidR="006E4E83" w:rsidRPr="009D117A">
        <w:rPr>
          <w:rFonts w:ascii="Times New Roman" w:eastAsia="Times New Roman" w:hAnsi="Times New Roman" w:cs="Times New Roman"/>
          <w:sz w:val="24"/>
          <w:szCs w:val="24"/>
        </w:rPr>
        <w:t>conform prevederilor art. 25 alin. (2) lit. a) [lei/client/ lună];</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NC,CPC</m:t>
            </m:r>
          </m:sup>
        </m:sSubSup>
      </m:oMath>
      <w:r w:rsidR="006E4E83" w:rsidRPr="009D117A">
        <w:rPr>
          <w:rFonts w:ascii="Times New Roman" w:eastAsia="Times New Roman" w:hAnsi="Times New Roman" w:cs="Times New Roman"/>
          <w:sz w:val="24"/>
          <w:szCs w:val="24"/>
        </w:rPr>
        <w:t xml:space="preserve">- </w:t>
      </w:r>
      <w:r w:rsidR="005E4FBA" w:rsidRPr="009D117A">
        <w:rPr>
          <w:rFonts w:ascii="Times New Roman" w:eastAsia="Times New Roman" w:hAnsi="Times New Roman" w:cs="Times New Roman"/>
          <w:sz w:val="24"/>
          <w:szCs w:val="24"/>
        </w:rPr>
        <w:t>numărul</w:t>
      </w:r>
      <w:r w:rsidR="006E4E83" w:rsidRPr="009D117A">
        <w:rPr>
          <w:rFonts w:ascii="Times New Roman" w:eastAsia="Times New Roman" w:hAnsi="Times New Roman" w:cs="Times New Roman"/>
          <w:sz w:val="24"/>
          <w:szCs w:val="24"/>
        </w:rPr>
        <w:t xml:space="preserve"> de </w:t>
      </w:r>
      <w:r w:rsidR="005E4FBA" w:rsidRPr="009D117A">
        <w:rPr>
          <w:rFonts w:ascii="Times New Roman" w:eastAsia="Times New Roman" w:hAnsi="Times New Roman" w:cs="Times New Roman"/>
          <w:sz w:val="24"/>
          <w:szCs w:val="24"/>
        </w:rPr>
        <w:t>clienți</w:t>
      </w:r>
      <w:r w:rsidR="006E4E83" w:rsidRPr="009D117A">
        <w:rPr>
          <w:rFonts w:ascii="Times New Roman" w:eastAsia="Times New Roman" w:hAnsi="Times New Roman" w:cs="Times New Roman"/>
          <w:sz w:val="24"/>
          <w:szCs w:val="24"/>
        </w:rPr>
        <w:t xml:space="preserve"> non</w:t>
      </w:r>
      <w:r w:rsidR="0019747C" w:rsidRPr="009D117A">
        <w:rPr>
          <w:rFonts w:ascii="Times New Roman" w:eastAsia="Times New Roman" w:hAnsi="Times New Roman" w:cs="Times New Roman"/>
          <w:sz w:val="24"/>
          <w:szCs w:val="24"/>
        </w:rPr>
        <w:t>-</w:t>
      </w:r>
      <w:r w:rsidR="006E4E83" w:rsidRPr="009D117A">
        <w:rPr>
          <w:rFonts w:ascii="Times New Roman" w:eastAsia="Times New Roman" w:hAnsi="Times New Roman" w:cs="Times New Roman"/>
          <w:sz w:val="24"/>
          <w:szCs w:val="24"/>
        </w:rPr>
        <w:t>casnici pentru care FUI asigura furnizarea energiei electrice la tarife CPC;</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Sub>
      </m:oMath>
      <w:r w:rsidR="00FF43BD" w:rsidRPr="009D117A">
        <w:rPr>
          <w:rFonts w:ascii="Times New Roman" w:eastAsia="Times New Roman" w:hAnsi="Times New Roman" w:cs="Times New Roman"/>
          <w:sz w:val="24"/>
          <w:szCs w:val="24"/>
          <w:vertAlign w:val="subscript"/>
        </w:rPr>
        <w:t xml:space="preserve"> </w:t>
      </w:r>
      <w:r w:rsidR="006E4E83" w:rsidRPr="009D117A">
        <w:rPr>
          <w:rFonts w:ascii="Times New Roman" w:eastAsia="Times New Roman" w:hAnsi="Times New Roman" w:cs="Times New Roman"/>
          <w:sz w:val="24"/>
          <w:szCs w:val="24"/>
        </w:rPr>
        <w:t xml:space="preserve">− costul unitar al </w:t>
      </w:r>
      <w:r w:rsidR="005E4FBA" w:rsidRPr="009D117A">
        <w:rPr>
          <w:rFonts w:ascii="Times New Roman" w:eastAsia="Times New Roman" w:hAnsi="Times New Roman" w:cs="Times New Roman"/>
          <w:sz w:val="24"/>
          <w:szCs w:val="24"/>
        </w:rPr>
        <w:t>activității</w:t>
      </w:r>
      <w:r w:rsidR="006E4E83" w:rsidRPr="009D117A">
        <w:rPr>
          <w:rFonts w:ascii="Times New Roman" w:eastAsia="Times New Roman" w:hAnsi="Times New Roman" w:cs="Times New Roman"/>
          <w:sz w:val="24"/>
          <w:szCs w:val="24"/>
        </w:rPr>
        <w:t xml:space="preserve"> de furnizare a energiei electrice, stabilit conform prevederilor </w:t>
      </w:r>
      <w:r w:rsidR="00966C7F" w:rsidRPr="009D117A">
        <w:rPr>
          <w:rFonts w:ascii="Times New Roman" w:eastAsia="Times New Roman" w:hAnsi="Times New Roman" w:cs="Times New Roman"/>
          <w:sz w:val="24"/>
          <w:szCs w:val="24"/>
        </w:rPr>
        <w:t>art. 25</w:t>
      </w:r>
      <w:r w:rsidR="006E4E83" w:rsidRPr="009D117A">
        <w:rPr>
          <w:rFonts w:ascii="Times New Roman" w:eastAsia="Times New Roman" w:hAnsi="Times New Roman" w:cs="Times New Roman"/>
          <w:sz w:val="24"/>
          <w:szCs w:val="24"/>
        </w:rPr>
        <w:t xml:space="preserve"> alin. (1) lit. e</w:t>
      </w:r>
      <w:r w:rsidR="00966C7F" w:rsidRPr="009D117A">
        <w:rPr>
          <w:rFonts w:ascii="Times New Roman" w:eastAsia="Times New Roman" w:hAnsi="Times New Roman" w:cs="Times New Roman"/>
          <w:sz w:val="24"/>
          <w:szCs w:val="24"/>
        </w:rPr>
        <w:t>)</w:t>
      </w:r>
      <w:r w:rsidR="006E4E83" w:rsidRPr="009D117A">
        <w:rPr>
          <w:rFonts w:ascii="Times New Roman" w:eastAsia="Times New Roman" w:hAnsi="Times New Roman" w:cs="Times New Roman"/>
          <w:sz w:val="24"/>
          <w:szCs w:val="24"/>
        </w:rPr>
        <w:t>;</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valoarea profitului aferent activității de furnizare a energiei electrice la tarife CPC [lei];</w:t>
      </w:r>
    </w:p>
    <w:p w:rsidR="006E4E83" w:rsidRPr="009D117A" w:rsidRDefault="007028DF" w:rsidP="006E4E83">
      <w:pPr>
        <w:spacing w:after="120" w:line="360" w:lineRule="auto"/>
        <w:ind w:left="1418" w:hanging="98"/>
        <w:jc w:val="center"/>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p</m:t>
              </m:r>
            </m:e>
            <m:sup>
              <m:r>
                <w:rPr>
                  <w:rFonts w:ascii="Cambria Math" w:eastAsia="Times New Roman" w:hAnsi="Cambria Math" w:cs="Times New Roman"/>
                  <w:sz w:val="24"/>
                  <w:szCs w:val="24"/>
                </w:rPr>
                <m:t>CPC</m:t>
              </m:r>
            </m:sup>
          </m:s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p</m:t>
            </m:r>
          </m:e>
          <m:sup>
            <m:r>
              <w:rPr>
                <w:rFonts w:ascii="Cambria Math" w:eastAsia="Times New Roman" w:hAnsi="Cambria Math" w:cs="Times New Roman"/>
                <w:sz w:val="24"/>
                <w:szCs w:val="24"/>
              </w:rPr>
              <m:t>CPC</m:t>
            </m:r>
          </m:sup>
        </m:sSup>
      </m:oMath>
      <w:r w:rsidR="006E4E83" w:rsidRPr="009D117A">
        <w:rPr>
          <w:rFonts w:ascii="Times New Roman" w:eastAsia="Times New Roman" w:hAnsi="Times New Roman" w:cs="Times New Roman"/>
          <w:sz w:val="24"/>
          <w:szCs w:val="24"/>
        </w:rPr>
        <w:t>- profitul unitar aferent activității de furnizare a energiei electrice la tarife CPC, stabilit conform prevederilor art. 25 alin. (1) lit. f) [lei/MWh];</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valoarea soldului corecțiilor de tarif aferente activității de furnizare a energiei electrice la tarife CPC, stabilită conform prevederilor art. 25 alin. (1) lit. b) și ale art. 14 [lei]</w:t>
      </w:r>
      <w:r w:rsidR="00895963" w:rsidRPr="009D117A">
        <w:rPr>
          <w:rFonts w:ascii="Times New Roman" w:eastAsia="Times New Roman" w:hAnsi="Times New Roman" w:cs="Times New Roman"/>
          <w:sz w:val="24"/>
          <w:szCs w:val="24"/>
        </w:rPr>
        <w:t>.</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bookmarkStart w:id="21" w:name="_Ref411928328"/>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bCs/>
          <w:sz w:val="24"/>
          <w:szCs w:val="24"/>
        </w:rPr>
        <w:t>(1)</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bCs/>
          <w:sz w:val="24"/>
          <w:szCs w:val="24"/>
        </w:rPr>
        <w:t>Începând cu organizarea primei sesiuni de licitație pe PCSU, v</w:t>
      </w:r>
      <w:r w:rsidRPr="009D117A">
        <w:rPr>
          <w:rFonts w:ascii="Times New Roman" w:eastAsia="Times New Roman" w:hAnsi="Times New Roman" w:cs="Times New Roman"/>
          <w:sz w:val="24"/>
          <w:szCs w:val="24"/>
        </w:rPr>
        <w:t xml:space="preserve">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CPC</m:t>
            </m:r>
          </m:sup>
        </m:sSubSup>
      </m:oMath>
      <w:r w:rsidRPr="009D117A">
        <w:rPr>
          <w:rFonts w:ascii="Times New Roman" w:eastAsia="Times New Roman" w:hAnsi="Times New Roman" w:cs="Times New Roman"/>
          <w:sz w:val="24"/>
          <w:szCs w:val="24"/>
        </w:rPr>
        <w:t xml:space="preserve"> considerată justificată ȋn calculul costurilor previzionate cu achiziția energiei electrice furnizate la tarife CPC este egală cu:</w:t>
      </w:r>
      <w:bookmarkEnd w:id="21"/>
    </w:p>
    <w:p w:rsidR="006E4E83" w:rsidRPr="009D117A" w:rsidRDefault="006E4E83" w:rsidP="006E4E83">
      <w:pPr>
        <w:numPr>
          <w:ilvl w:val="2"/>
          <w:numId w:val="36"/>
        </w:numPr>
        <w:tabs>
          <w:tab w:val="num" w:pos="851"/>
          <w:tab w:val="num" w:pos="1296"/>
        </w:tabs>
        <w:spacing w:after="120" w:line="360" w:lineRule="auto"/>
        <w:ind w:left="993" w:hanging="284"/>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rPr>
        <w:t xml:space="preserve">media, ponderată cu cantitățile achiziționate din fiecare produs de tranzacționare, a </w:t>
      </w:r>
      <w:r w:rsidRPr="009D117A">
        <w:rPr>
          <w:rFonts w:ascii="Times New Roman" w:eastAsia="Times New Roman" w:hAnsi="Times New Roman" w:cs="Times New Roman"/>
          <w:noProof/>
          <w:sz w:val="24"/>
          <w:szCs w:val="24"/>
        </w:rPr>
        <w:t>prețurilor de ȋnchidere din sesiunea de licitație organizată pe PCSU pentru trimestrul următor, dacă aceasta nu a fost anulată, majorata cu maxim 5%. Procentul de majorare va fi stabilit de ANRE in functie de gradul de acoperire a necesarului de consum prin tranzactiile efectuate pe PCSU;</w:t>
      </w:r>
    </w:p>
    <w:p w:rsidR="006E4E83" w:rsidRPr="009D117A" w:rsidRDefault="006E4E83" w:rsidP="006E4E83">
      <w:pPr>
        <w:numPr>
          <w:ilvl w:val="2"/>
          <w:numId w:val="36"/>
        </w:numPr>
        <w:tabs>
          <w:tab w:val="num" w:pos="851"/>
          <w:tab w:val="num" w:pos="1296"/>
        </w:tabs>
        <w:spacing w:after="120" w:line="360" w:lineRule="auto"/>
        <w:ind w:left="993"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noProof/>
          <w:sz w:val="24"/>
          <w:szCs w:val="24"/>
        </w:rPr>
        <w:lastRenderedPageBreak/>
        <w:t xml:space="preserve">media aritmetica a prețurilor pe PZU </w:t>
      </w:r>
      <w:r w:rsidR="004021C4" w:rsidRPr="009D117A">
        <w:rPr>
          <w:rFonts w:ascii="Times New Roman" w:eastAsia="Times New Roman" w:hAnsi="Times New Roman" w:cs="Times New Roman"/>
          <w:noProof/>
          <w:sz w:val="24"/>
          <w:szCs w:val="24"/>
        </w:rPr>
        <w:t xml:space="preserve">ȋn </w:t>
      </w:r>
      <w:r w:rsidRPr="009D117A">
        <w:rPr>
          <w:rFonts w:ascii="Times New Roman" w:eastAsia="Times New Roman" w:hAnsi="Times New Roman" w:cs="Times New Roman"/>
          <w:noProof/>
          <w:sz w:val="24"/>
          <w:szCs w:val="24"/>
        </w:rPr>
        <w:t>primele două luni din trimestrul curent (ȋn proporție de 70 %) și a prețurilor pentru deficit de energie din ultimele două luni pentru care exista date (ȋn proporție de 30 %), dacă sesiunea de licitație organizată pe PCSU pentru trimestrul următor a fost anulată.</w:t>
      </w:r>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(2) Pȋnă </w:t>
      </w:r>
      <w:r w:rsidRPr="009D117A">
        <w:rPr>
          <w:rFonts w:ascii="Times New Roman" w:eastAsia="Times New Roman" w:hAnsi="Times New Roman" w:cs="Times New Roman"/>
          <w:noProof/>
          <w:sz w:val="24"/>
          <w:szCs w:val="24"/>
        </w:rPr>
        <w:t xml:space="preserve">la organizarea primei sesiuni de licitație pe PCSU precum și ȋn situațiile prevăzute la art. 36, </w:t>
      </w:r>
      <w:r w:rsidRPr="009D117A">
        <w:rPr>
          <w:rFonts w:ascii="Times New Roman" w:eastAsia="Times New Roman" w:hAnsi="Times New Roman" w:cs="Times New Roman"/>
          <w:bCs/>
          <w:sz w:val="24"/>
          <w:szCs w:val="24"/>
        </w:rPr>
        <w:t>v</w:t>
      </w:r>
      <w:r w:rsidRPr="009D117A">
        <w:rPr>
          <w:rFonts w:ascii="Times New Roman" w:eastAsia="Times New Roman" w:hAnsi="Times New Roman" w:cs="Times New Roman"/>
          <w:sz w:val="24"/>
          <w:szCs w:val="24"/>
        </w:rPr>
        <w:t xml:space="preserve">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CPC</m:t>
            </m:r>
          </m:sup>
        </m:sSubSup>
      </m:oMath>
      <w:r w:rsidRPr="009D117A">
        <w:rPr>
          <w:rFonts w:ascii="Times New Roman" w:eastAsia="Times New Roman" w:hAnsi="Times New Roman" w:cs="Times New Roman"/>
          <w:sz w:val="24"/>
          <w:szCs w:val="24"/>
        </w:rPr>
        <w:t xml:space="preserve"> considerată justificată ȋn calculul costurilor previzionate cu achiziția energiei electrice furnizate la tarife CPC nu poate depăși cu mai mult de 8 %</w:t>
      </w:r>
      <w:r w:rsidRPr="009D117A">
        <w:rPr>
          <w:rFonts w:ascii="Times New Roman" w:eastAsia="Times New Roman" w:hAnsi="Times New Roman" w:cs="Times New Roman"/>
          <w:noProof/>
          <w:sz w:val="24"/>
          <w:szCs w:val="24"/>
        </w:rPr>
        <w:t xml:space="preserve"> </w:t>
      </w:r>
      <w:r w:rsidRPr="009D117A">
        <w:rPr>
          <w:rFonts w:ascii="Times New Roman" w:eastAsia="Times New Roman" w:hAnsi="Times New Roman" w:cs="Times New Roman"/>
          <w:sz w:val="24"/>
          <w:szCs w:val="24"/>
        </w:rPr>
        <w:t xml:space="preserve">valoarea previzionată a </w:t>
      </w:r>
      <w:r w:rsidRPr="009D117A">
        <w:rPr>
          <w:rFonts w:ascii="Times New Roman" w:eastAsia="Times New Roman" w:hAnsi="Times New Roman" w:cs="Times New Roman"/>
          <w:noProof/>
          <w:sz w:val="24"/>
          <w:szCs w:val="24"/>
        </w:rPr>
        <w:t xml:space="preserve">prețului mediu de achiziție a energiei electrice furnizate clienților eligibili ai operatorului economic care prestează serviciul de FUI ȋn perioada </w:t>
      </w:r>
      <w:r w:rsidRPr="009D117A">
        <w:rPr>
          <w:rFonts w:ascii="Times New Roman" w:eastAsia="Times New Roman" w:hAnsi="Times New Roman" w:cs="Times New Roman"/>
          <w:sz w:val="24"/>
          <w:szCs w:val="24"/>
        </w:rPr>
        <w:t xml:space="preserve">(semestrul)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oMath>
      <w:r w:rsidRPr="009D117A">
        <w:rPr>
          <w:rFonts w:ascii="Times New Roman" w:eastAsia="Times New Roman" w:hAnsi="Times New Roman" w:cs="Times New Roman"/>
          <w:noProof/>
          <w:sz w:val="24"/>
          <w:szCs w:val="24"/>
        </w:rPr>
        <w:t xml:space="preserve">. </w:t>
      </w:r>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noProof/>
          <w:sz w:val="24"/>
          <w:szCs w:val="24"/>
        </w:rPr>
        <w:t xml:space="preserve">(3) </w:t>
      </w:r>
      <w:r w:rsidRPr="009D117A">
        <w:rPr>
          <w:rFonts w:ascii="Times New Roman" w:eastAsia="Times New Roman" w:hAnsi="Times New Roman" w:cs="Times New Roman"/>
          <w:bCs/>
          <w:sz w:val="24"/>
          <w:szCs w:val="24"/>
        </w:rPr>
        <w:t xml:space="preserve">Începând cu organizarea primei sesiuni de licitație pe PCSU, </w:t>
      </w:r>
      <w:r w:rsidRPr="009D117A">
        <w:rPr>
          <w:rFonts w:ascii="Times New Roman" w:eastAsia="Times New Roman" w:hAnsi="Times New Roman" w:cs="Times New Roman"/>
          <w:sz w:val="24"/>
          <w:szCs w:val="24"/>
        </w:rPr>
        <w:t>consumul previzionat de energie electrică facturat la tarife CPC al fiecărui FUI se stabilește pe baza cantității totale corespunzătoare ofertelor de cumpărare transmise de FUI la ANRE conform prevederilor Regulamentului PCSU.</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Cs/>
          <w:sz w:val="24"/>
          <w:szCs w:val="24"/>
        </w:rPr>
        <w:t xml:space="preserve"> (1) Începând cu organizarea primei sesiuni de licitație pe PCSU, </w:t>
      </w:r>
      <w:r w:rsidRPr="009D117A">
        <w:rPr>
          <w:rFonts w:ascii="Times New Roman" w:eastAsia="Times New Roman" w:hAnsi="Times New Roman" w:cs="Times New Roman"/>
          <w:sz w:val="24"/>
          <w:szCs w:val="24"/>
          <w:lang w:eastAsia="ro-RO"/>
        </w:rPr>
        <w:t xml:space="preserve">prețul mediu de achiziție a energiei electrice furnizate </w:t>
      </w:r>
      <w:r w:rsidRPr="009D117A">
        <w:rPr>
          <w:rFonts w:ascii="Times New Roman" w:eastAsia="Times New Roman" w:hAnsi="Times New Roman" w:cs="Times New Roman"/>
          <w:noProof/>
          <w:sz w:val="24"/>
          <w:szCs w:val="24"/>
        </w:rPr>
        <w:t>la tarife CPC</w:t>
      </w:r>
      <w:r w:rsidRPr="009D117A">
        <w:rPr>
          <w:rFonts w:ascii="Times New Roman" w:eastAsia="Times New Roman" w:hAnsi="Times New Roman" w:cs="Times New Roman"/>
          <w:sz w:val="24"/>
          <w:szCs w:val="24"/>
        </w:rPr>
        <w:t>, considerat justificat pentru o perioadă anterioară nu poate depăși media prețurilor pe piețele centralizate PCSU și PZU și a prețurilor pentru deficit de energie ȋn perioada respectivă, calculată cu următoarea formulă:</w:t>
      </w:r>
    </w:p>
    <w:p w:rsidR="006E4E83" w:rsidRPr="009D117A" w:rsidRDefault="007028DF" w:rsidP="006E4E83">
      <w:pPr>
        <w:tabs>
          <w:tab w:val="num" w:pos="851"/>
          <w:tab w:val="num" w:pos="1296"/>
        </w:tabs>
        <w:spacing w:after="120" w:line="360" w:lineRule="auto"/>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m:t>
                  </m:r>
                </m:sub>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PCSU</m:t>
                      </m:r>
                    </m:sub>
                    <m:sup>
                      <m:r>
                        <w:rPr>
                          <w:rFonts w:ascii="Cambria Math" w:eastAsia="Times New Roman" w:hAnsi="Cambria Math" w:cs="Times New Roman"/>
                          <w:sz w:val="24"/>
                          <w:szCs w:val="24"/>
                        </w:rPr>
                        <m:t>j</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PCSU</m:t>
                      </m:r>
                    </m:sub>
                    <m:sup>
                      <m:r>
                        <w:rPr>
                          <w:rFonts w:ascii="Cambria Math" w:eastAsia="Times New Roman" w:hAnsi="Cambria Math" w:cs="Times New Roman"/>
                          <w:sz w:val="24"/>
                          <w:szCs w:val="24"/>
                        </w:rPr>
                        <m:t>j</m:t>
                      </m:r>
                    </m:sup>
                  </m:sSubSup>
                  <m:r>
                    <w:rPr>
                      <w:rFonts w:ascii="Cambria Math" w:eastAsia="Times New Roman" w:hAnsi="Cambria Math" w:cs="Times New Roman"/>
                      <w:sz w:val="24"/>
                      <w:szCs w:val="24"/>
                    </w:rPr>
                    <m:t>)</m:t>
                  </m:r>
                </m:e>
              </m:nary>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PCSU</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PZU,PE</m:t>
                  </m:r>
                </m:sup>
              </m:sSubSup>
            </m:num>
            <m:den>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m:t>
                  </m:r>
                </m:sub>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PCSU</m:t>
                      </m:r>
                    </m:sub>
                    <m:sup>
                      <m:r>
                        <w:rPr>
                          <w:rFonts w:ascii="Cambria Math" w:eastAsia="Times New Roman" w:hAnsi="Cambria Math" w:cs="Times New Roman"/>
                          <w:sz w:val="24"/>
                          <w:szCs w:val="24"/>
                        </w:rPr>
                        <m:t>j</m:t>
                      </m:r>
                    </m:sup>
                  </m:sSubSup>
                  <m:r>
                    <w:rPr>
                      <w:rFonts w:ascii="Cambria Math" w:eastAsia="Times New Roman" w:hAnsi="Cambria Math" w:cs="Times New Roman"/>
                      <w:sz w:val="24"/>
                      <w:szCs w:val="24"/>
                    </w:rPr>
                    <m:t>)</m:t>
                  </m:r>
                </m:e>
              </m:nary>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PCSU</m:t>
                  </m:r>
                </m:sub>
              </m:sSub>
              <m:r>
                <w:rPr>
                  <w:rFonts w:ascii="Cambria Math" w:eastAsia="Times New Roman" w:hAnsi="Cambria Math" w:cs="Times New Roman"/>
                  <w:sz w:val="24"/>
                  <w:szCs w:val="24"/>
                </w:rPr>
                <m:t>)</m:t>
              </m:r>
            </m:den>
          </m:f>
        </m:oMath>
      </m:oMathPara>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unde: </w:t>
      </w:r>
    </w:p>
    <w:p w:rsidR="006E4E83" w:rsidRPr="009D117A" w:rsidRDefault="007028DF" w:rsidP="006E4E83">
      <w:pPr>
        <w:tabs>
          <w:tab w:val="num" w:pos="851"/>
          <w:tab w:val="num" w:pos="1296"/>
        </w:tabs>
        <w:spacing w:after="120" w:line="360" w:lineRule="auto"/>
        <w:ind w:left="70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PCSU</m:t>
            </m:r>
          </m:sub>
          <m:sup>
            <m:r>
              <w:rPr>
                <w:rFonts w:ascii="Cambria Math" w:eastAsia="Times New Roman" w:hAnsi="Cambria Math" w:cs="Times New Roman"/>
                <w:sz w:val="24"/>
                <w:szCs w:val="24"/>
              </w:rPr>
              <m:t>j</m:t>
            </m:r>
          </m:sup>
        </m:sSubSup>
      </m:oMath>
      <w:r w:rsidR="006E4E83" w:rsidRPr="009D117A">
        <w:rPr>
          <w:rFonts w:ascii="Times New Roman" w:eastAsia="Times New Roman" w:hAnsi="Times New Roman" w:cs="Times New Roman"/>
          <w:sz w:val="24"/>
          <w:szCs w:val="24"/>
        </w:rPr>
        <w:t>- cantitatea de energie electrică corespunzătoare produsului de tranzacționare j, achiziționată de FUI ȋn sesiunea/sesiunile de licitație organizate pe PCSU pentru respectiva perioadă [MWh];</w:t>
      </w:r>
    </w:p>
    <w:p w:rsidR="006E4E83" w:rsidRPr="009D117A" w:rsidRDefault="007028DF" w:rsidP="006E4E83">
      <w:pPr>
        <w:tabs>
          <w:tab w:val="num" w:pos="851"/>
          <w:tab w:val="num" w:pos="1296"/>
        </w:tabs>
        <w:spacing w:after="120" w:line="360" w:lineRule="auto"/>
        <w:ind w:left="70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PCSU</m:t>
            </m:r>
          </m:sub>
          <m:sup>
            <m:r>
              <w:rPr>
                <w:rFonts w:ascii="Cambria Math" w:eastAsia="Times New Roman" w:hAnsi="Cambria Math" w:cs="Times New Roman"/>
                <w:sz w:val="24"/>
                <w:szCs w:val="24"/>
              </w:rPr>
              <m:t>j</m:t>
            </m:r>
          </m:sup>
        </m:sSubSup>
      </m:oMath>
      <w:r w:rsidR="006E4E83" w:rsidRPr="009D117A">
        <w:rPr>
          <w:rFonts w:ascii="Times New Roman" w:eastAsia="Times New Roman" w:hAnsi="Times New Roman" w:cs="Times New Roman"/>
          <w:sz w:val="24"/>
          <w:szCs w:val="24"/>
        </w:rPr>
        <w:t xml:space="preserve">- prețul de </w:t>
      </w:r>
      <w:r w:rsidR="005E4FBA" w:rsidRPr="009D117A">
        <w:rPr>
          <w:rFonts w:ascii="Times New Roman" w:eastAsia="Times New Roman" w:hAnsi="Times New Roman" w:cs="Times New Roman"/>
          <w:sz w:val="24"/>
          <w:szCs w:val="24"/>
        </w:rPr>
        <w:t>închidere</w:t>
      </w:r>
      <w:r w:rsidR="006E4E83" w:rsidRPr="009D117A">
        <w:rPr>
          <w:rFonts w:ascii="Times New Roman" w:eastAsia="Times New Roman" w:hAnsi="Times New Roman" w:cs="Times New Roman"/>
          <w:sz w:val="24"/>
          <w:szCs w:val="24"/>
        </w:rPr>
        <w:t xml:space="preserve"> a licitației corespunzător produsului de tranzacționare j [lei/MWh];</w:t>
      </w:r>
    </w:p>
    <w:p w:rsidR="006E4E83" w:rsidRPr="009D117A" w:rsidRDefault="006E4E83" w:rsidP="006E4E83">
      <w:pPr>
        <w:tabs>
          <w:tab w:val="num" w:pos="851"/>
          <w:tab w:val="num" w:pos="1296"/>
        </w:tabs>
        <w:spacing w:after="120" w:line="360" w:lineRule="auto"/>
        <w:ind w:left="708"/>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 xml:space="preserve">j </m:t>
        </m:r>
      </m:oMath>
      <w:r w:rsidRPr="009D117A">
        <w:rPr>
          <w:rFonts w:ascii="Times New Roman" w:eastAsia="Times New Roman" w:hAnsi="Times New Roman" w:cs="Times New Roman"/>
          <w:sz w:val="24"/>
          <w:szCs w:val="24"/>
        </w:rPr>
        <w:t>– indice corespunzător unui produs de tranzacționare;</w:t>
      </w:r>
    </w:p>
    <w:p w:rsidR="006E4E83" w:rsidRPr="009D117A" w:rsidRDefault="007028DF" w:rsidP="006E4E83">
      <w:pPr>
        <w:tabs>
          <w:tab w:val="num" w:pos="851"/>
          <w:tab w:val="num" w:pos="1296"/>
        </w:tabs>
        <w:spacing w:after="120" w:line="360" w:lineRule="auto"/>
        <w:ind w:left="70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m:t>
            </m:r>
          </m:sub>
          <m:sup>
            <m:r>
              <w:rPr>
                <w:rFonts w:ascii="Cambria Math" w:eastAsia="Times New Roman" w:hAnsi="Cambria Math" w:cs="Times New Roman"/>
                <w:sz w:val="24"/>
                <w:szCs w:val="24"/>
              </w:rPr>
              <m:t>PZU,PE</m:t>
            </m:r>
          </m:sup>
        </m:sSubSup>
      </m:oMath>
      <w:r w:rsidR="006E4E83" w:rsidRPr="009D117A">
        <w:rPr>
          <w:rFonts w:ascii="Times New Roman" w:eastAsia="Times New Roman" w:hAnsi="Times New Roman" w:cs="Times New Roman"/>
          <w:sz w:val="24"/>
          <w:szCs w:val="24"/>
        </w:rPr>
        <w:t xml:space="preserve"> - media aritmetica a prețurilor pe PZU (ȋn proporție de 90 %) și a prețurilor pentru deficit de energie (ȋn proporție de 10 %) ȋn perioada pentru care se calculează corecția de tarif [lei/MWh].</w:t>
      </w:r>
    </w:p>
    <w:p w:rsidR="006E4E83" w:rsidRPr="009D117A" w:rsidRDefault="006E4E83" w:rsidP="006E4E83">
      <w:pPr>
        <w:tabs>
          <w:tab w:val="num" w:pos="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Cs/>
          <w:sz w:val="24"/>
          <w:szCs w:val="24"/>
        </w:rPr>
        <w:t xml:space="preserve">(2) Pȋnă la organizarea primei sesiuni de licitație pe PCSU precum și ȋn situațiile prevăzute la art. 36, </w:t>
      </w:r>
      <w:r w:rsidRPr="009D117A">
        <w:rPr>
          <w:rFonts w:ascii="Times New Roman" w:eastAsia="Times New Roman" w:hAnsi="Times New Roman" w:cs="Times New Roman"/>
          <w:sz w:val="24"/>
          <w:szCs w:val="24"/>
          <w:lang w:eastAsia="ro-RO"/>
        </w:rPr>
        <w:t xml:space="preserve">prețul mediu de achiziție a energiei electrice furnizate </w:t>
      </w:r>
      <w:r w:rsidRPr="009D117A">
        <w:rPr>
          <w:rFonts w:ascii="Times New Roman" w:eastAsia="Times New Roman" w:hAnsi="Times New Roman" w:cs="Times New Roman"/>
          <w:noProof/>
          <w:sz w:val="24"/>
          <w:szCs w:val="24"/>
        </w:rPr>
        <w:t>la tarife CPC</w:t>
      </w:r>
      <w:r w:rsidRPr="009D117A">
        <w:rPr>
          <w:rFonts w:ascii="Times New Roman" w:eastAsia="Times New Roman" w:hAnsi="Times New Roman" w:cs="Times New Roman"/>
          <w:sz w:val="24"/>
          <w:szCs w:val="24"/>
        </w:rPr>
        <w:t xml:space="preserve">, considerat justificat pentru o perioadă anterioară nu poate depăși cu mai mult de 8 % valoarea realizată a </w:t>
      </w:r>
      <w:r w:rsidRPr="009D117A">
        <w:rPr>
          <w:rFonts w:ascii="Times New Roman" w:eastAsia="Times New Roman" w:hAnsi="Times New Roman" w:cs="Times New Roman"/>
          <w:noProof/>
          <w:sz w:val="24"/>
          <w:szCs w:val="24"/>
        </w:rPr>
        <w:t xml:space="preserve">prețului mediu de achiziție </w:t>
      </w:r>
      <w:r w:rsidRPr="009D117A">
        <w:rPr>
          <w:rFonts w:ascii="Times New Roman" w:eastAsia="Times New Roman" w:hAnsi="Times New Roman" w:cs="Times New Roman"/>
          <w:noProof/>
          <w:sz w:val="24"/>
          <w:szCs w:val="24"/>
        </w:rPr>
        <w:lastRenderedPageBreak/>
        <w:t>a energiei electrice furnizate clienților eligibili ai operatorului economic care prestează serviciul de FUI ȋn perioada respectivă.</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sidDel="00461F23">
        <w:rPr>
          <w:rFonts w:ascii="Times New Roman" w:eastAsia="Times New Roman" w:hAnsi="Times New Roman" w:cs="Times New Roman"/>
          <w:sz w:val="24"/>
          <w:szCs w:val="24"/>
        </w:rPr>
        <w:t xml:space="preserve"> </w:t>
      </w:r>
      <w:r w:rsidRPr="009D117A">
        <w:rPr>
          <w:rFonts w:ascii="Times New Roman" w:eastAsia="Times New Roman" w:hAnsi="Times New Roman" w:cs="Times New Roman"/>
          <w:b/>
          <w:bCs/>
          <w:kern w:val="32"/>
          <w:sz w:val="24"/>
          <w:szCs w:val="24"/>
        </w:rPr>
        <w:t xml:space="preserve">– </w:t>
      </w:r>
      <w:r w:rsidRPr="009D117A">
        <w:rPr>
          <w:rFonts w:ascii="Times New Roman" w:eastAsia="Times New Roman" w:hAnsi="Times New Roman" w:cs="Times New Roman"/>
          <w:bCs/>
          <w:kern w:val="32"/>
          <w:sz w:val="24"/>
          <w:szCs w:val="24"/>
        </w:rPr>
        <w:t>Pentru fiecare FUI,</w:t>
      </w:r>
      <w:r w:rsidRPr="009D117A">
        <w:rPr>
          <w:rFonts w:ascii="Times New Roman" w:eastAsia="Times New Roman" w:hAnsi="Times New Roman" w:cs="Times New Roman"/>
          <w:b/>
          <w:bCs/>
          <w:kern w:val="32"/>
          <w:sz w:val="24"/>
          <w:szCs w:val="24"/>
        </w:rPr>
        <w:t xml:space="preserve"> </w:t>
      </w:r>
      <w:r w:rsidRPr="009D117A">
        <w:rPr>
          <w:rFonts w:ascii="Times New Roman" w:eastAsia="Times New Roman" w:hAnsi="Times New Roman" w:cs="Times New Roman"/>
          <w:bCs/>
          <w:kern w:val="32"/>
          <w:sz w:val="24"/>
          <w:szCs w:val="24"/>
        </w:rPr>
        <w:t>valorile medii ale</w:t>
      </w:r>
      <w:r w:rsidRPr="009D117A">
        <w:rPr>
          <w:rFonts w:ascii="Times New Roman" w:eastAsia="Times New Roman" w:hAnsi="Times New Roman" w:cs="Times New Roman"/>
          <w:b/>
          <w:bCs/>
          <w:kern w:val="32"/>
          <w:sz w:val="24"/>
          <w:szCs w:val="24"/>
        </w:rPr>
        <w:t xml:space="preserve"> </w:t>
      </w:r>
      <w:r w:rsidRPr="009D117A">
        <w:rPr>
          <w:rFonts w:ascii="Times New Roman" w:eastAsia="Times New Roman" w:hAnsi="Times New Roman" w:cs="Times New Roman"/>
          <w:bCs/>
          <w:kern w:val="32"/>
          <w:sz w:val="24"/>
          <w:szCs w:val="24"/>
        </w:rPr>
        <w:t>t</w:t>
      </w:r>
      <w:r w:rsidRPr="009D117A">
        <w:rPr>
          <w:rFonts w:ascii="Times New Roman" w:eastAsia="Times New Roman" w:hAnsi="Times New Roman" w:cs="Times New Roman"/>
          <w:sz w:val="24"/>
          <w:szCs w:val="24"/>
        </w:rPr>
        <w:t xml:space="preserve">arifelor CPC aplicabile </w:t>
      </w:r>
      <w:r w:rsidR="009D117A"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perioada următoare se calculează separat pe fiecare nivel de tensiune / zonă de activitate, </w:t>
      </w:r>
      <w:r w:rsidR="009D117A" w:rsidRPr="009D117A">
        <w:rPr>
          <w:rFonts w:ascii="Times New Roman" w:eastAsia="Times New Roman" w:hAnsi="Times New Roman" w:cs="Times New Roman"/>
          <w:color w:val="000000"/>
          <w:sz w:val="24"/>
          <w:szCs w:val="24"/>
        </w:rPr>
        <w:t>ținând</w:t>
      </w:r>
      <w:r w:rsidR="00006705" w:rsidRPr="009D117A">
        <w:rPr>
          <w:rFonts w:ascii="Times New Roman" w:eastAsia="Times New Roman" w:hAnsi="Times New Roman" w:cs="Times New Roman"/>
          <w:color w:val="000000"/>
          <w:sz w:val="24"/>
          <w:szCs w:val="24"/>
        </w:rPr>
        <w:t xml:space="preserve"> cont și de soldul corecțiilor de tarif aferente activității de furnizare a energiei electrice la tarife UI pentru clienții prevăzuți la art. 5 lit. c) pct. i,</w:t>
      </w:r>
      <w:r w:rsidR="00006705" w:rsidRPr="009D117A">
        <w:rPr>
          <w:rFonts w:ascii="Times New Roman" w:eastAsia="Times New Roman" w:hAnsi="Times New Roman" w:cs="Times New Roman"/>
          <w:sz w:val="24"/>
          <w:szCs w:val="24"/>
        </w:rPr>
        <w:t xml:space="preserve"> </w:t>
      </w:r>
      <w:r w:rsidRPr="009D117A">
        <w:rPr>
          <w:rFonts w:ascii="Times New Roman" w:eastAsia="Times New Roman" w:hAnsi="Times New Roman" w:cs="Times New Roman"/>
          <w:sz w:val="24"/>
          <w:szCs w:val="24"/>
        </w:rPr>
        <w:t>cu formula generală:</w:t>
      </w:r>
    </w:p>
    <w:p w:rsidR="006E4E83" w:rsidRPr="009D117A" w:rsidRDefault="007028DF" w:rsidP="006E4E83">
      <w:pPr>
        <w:widowControl w:val="0"/>
        <w:spacing w:after="120" w:line="360" w:lineRule="auto"/>
        <w:jc w:val="both"/>
        <w:outlineLvl w:val="0"/>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UI</m:t>
                  </m:r>
                </m:sup>
              </m:sSubSup>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ne,UI</m:t>
                  </m:r>
                </m:sup>
              </m:sSubSup>
            </m:den>
          </m:f>
        </m:oMath>
      </m:oMathPara>
    </w:p>
    <w:p w:rsidR="006E4E83" w:rsidRPr="009D117A" w:rsidRDefault="006E4E83" w:rsidP="006E4E83">
      <w:pPr>
        <w:widowControl w:val="0"/>
        <w:spacing w:after="120" w:line="360" w:lineRule="auto"/>
        <w:jc w:val="both"/>
        <w:outlineLvl w:val="0"/>
        <w:rPr>
          <w:rFonts w:ascii="Times New Roman" w:eastAsia="Times New Roman" w:hAnsi="Times New Roman" w:cs="Times New Roman"/>
          <w:bCs/>
          <w:kern w:val="32"/>
          <w:sz w:val="24"/>
          <w:szCs w:val="24"/>
          <w:lang w:eastAsia="ro-RO"/>
        </w:rPr>
      </w:pPr>
      <w:r w:rsidRPr="009D117A">
        <w:rPr>
          <w:rFonts w:ascii="Times New Roman" w:eastAsia="Times New Roman" w:hAnsi="Times New Roman" w:cs="Times New Roman"/>
          <w:bCs/>
          <w:kern w:val="32"/>
          <w:sz w:val="24"/>
          <w:szCs w:val="24"/>
          <w:lang w:eastAsia="ro-RO"/>
        </w:rPr>
        <w:t>unde:</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valoarea tarifului CPC corespunzător FUI i [lei/MWh];</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v</w:t>
      </w:r>
      <w:r w:rsidR="006E4E83" w:rsidRPr="009D117A">
        <w:rPr>
          <w:rFonts w:ascii="Times New Roman" w:eastAsia="Times New Roman" w:hAnsi="Times New Roman" w:cs="Times New Roman"/>
          <w:color w:val="000000"/>
          <w:sz w:val="24"/>
          <w:szCs w:val="24"/>
        </w:rPr>
        <w:t>enitul din activitatea de furnizare a energiei electrice la tarife CPC, calculat, pe baza costurilor previzionate, cu formula prevăzută la art. 12, corespunzător FUI i [lei];</w:t>
      </w:r>
    </w:p>
    <w:p w:rsidR="0089596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–consumul de energie electrică facturat la </w:t>
      </w:r>
      <w:r w:rsidR="006E4E83" w:rsidRPr="009D117A">
        <w:rPr>
          <w:rFonts w:ascii="Times New Roman" w:eastAsia="Times New Roman" w:hAnsi="Times New Roman" w:cs="Times New Roman"/>
          <w:color w:val="000000"/>
          <w:sz w:val="24"/>
          <w:szCs w:val="24"/>
        </w:rPr>
        <w:t>tarife CPC</w:t>
      </w:r>
      <w:r w:rsidR="006E4E83" w:rsidRPr="009D117A">
        <w:rPr>
          <w:rFonts w:ascii="Times New Roman" w:eastAsia="Times New Roman" w:hAnsi="Times New Roman" w:cs="Times New Roman"/>
          <w:sz w:val="24"/>
          <w:szCs w:val="24"/>
        </w:rPr>
        <w:t xml:space="preserve"> corespunzător FUI i, previzionat ȋn perioada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[MWh]</w:t>
      </w:r>
      <w:r w:rsidR="00895963" w:rsidRPr="009D117A">
        <w:rPr>
          <w:rFonts w:ascii="Times New Roman" w:eastAsia="Times New Roman" w:hAnsi="Times New Roman" w:cs="Times New Roman"/>
          <w:sz w:val="24"/>
          <w:szCs w:val="24"/>
        </w:rPr>
        <w:t>;</w:t>
      </w:r>
    </w:p>
    <w:p w:rsidR="00895963" w:rsidRPr="009D117A" w:rsidRDefault="007028DF" w:rsidP="00895963">
      <w:pPr>
        <w:spacing w:after="120" w:line="360" w:lineRule="auto"/>
        <w:ind w:left="567"/>
        <w:jc w:val="both"/>
        <w:rPr>
          <w:rFonts w:ascii="Times New Roman" w:eastAsia="Times New Roman" w:hAnsi="Times New Roman" w:cs="Times New Roman"/>
          <w:b/>
          <w:bCs/>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∆P</m:t>
            </m:r>
          </m:e>
          <m:sub>
            <m:r>
              <w:rPr>
                <w:rFonts w:ascii="Cambria Math" w:eastAsia="Times New Roman" w:hAnsi="Cambria Math" w:cs="Times New Roman"/>
                <w:sz w:val="24"/>
                <w:szCs w:val="24"/>
              </w:rPr>
              <m:t>trecut</m:t>
            </m:r>
          </m:sub>
          <m:sup>
            <m:r>
              <w:rPr>
                <w:rFonts w:ascii="Cambria Math" w:eastAsia="Times New Roman" w:hAnsi="Cambria Math" w:cs="Times New Roman"/>
                <w:sz w:val="24"/>
                <w:szCs w:val="24"/>
              </w:rPr>
              <m:t>UI</m:t>
            </m:r>
          </m:sup>
        </m:sSubSup>
      </m:oMath>
      <w:r w:rsidR="00895963" w:rsidRPr="009D117A">
        <w:rPr>
          <w:rFonts w:ascii="Times New Roman" w:eastAsia="Times New Roman" w:hAnsi="Times New Roman" w:cs="Times New Roman"/>
          <w:sz w:val="24"/>
          <w:szCs w:val="24"/>
        </w:rPr>
        <w:t>- valoarea soldului corecțiilor de tarif aferente activității de furnizare a energiei electrice la tarife UI pentru clienții prevăzuți la art. 5 lit. c) pct. i, stabilită conform prevederilor art. 25 alin. (1) lit. b) și ale art. 19 - 20 [lei].</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ne,UI</m:t>
            </m:r>
          </m:sup>
        </m:sSubSup>
      </m:oMath>
      <w:r w:rsidR="00895963" w:rsidRPr="009D117A">
        <w:rPr>
          <w:rFonts w:ascii="Times New Roman" w:eastAsia="Times New Roman" w:hAnsi="Times New Roman" w:cs="Times New Roman"/>
          <w:sz w:val="24"/>
          <w:szCs w:val="24"/>
        </w:rPr>
        <w:t xml:space="preserve"> – consumul de energie electrică facturat la </w:t>
      </w:r>
      <w:r w:rsidR="00895963" w:rsidRPr="009D117A">
        <w:rPr>
          <w:rFonts w:ascii="Times New Roman" w:eastAsia="Times New Roman" w:hAnsi="Times New Roman" w:cs="Times New Roman"/>
          <w:color w:val="000000"/>
          <w:sz w:val="24"/>
          <w:szCs w:val="24"/>
        </w:rPr>
        <w:t>tarife UI</w:t>
      </w:r>
      <w:r w:rsidR="00895963" w:rsidRPr="009D117A">
        <w:rPr>
          <w:rFonts w:ascii="Times New Roman" w:eastAsia="Times New Roman" w:hAnsi="Times New Roman" w:cs="Times New Roman"/>
          <w:sz w:val="24"/>
          <w:szCs w:val="24"/>
        </w:rPr>
        <w:t xml:space="preserve"> corespunzător FUI i, previzionat pentru clienții prevăzuți la art. 5 lit. c) pct. i ȋn perioada pentru care se determină valoarea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CPC</m:t>
            </m:r>
          </m:sup>
        </m:sSubSup>
      </m:oMath>
      <w:r w:rsidR="00895963" w:rsidRPr="009D117A">
        <w:rPr>
          <w:rFonts w:ascii="Times New Roman" w:eastAsia="Times New Roman" w:hAnsi="Times New Roman" w:cs="Times New Roman"/>
          <w:sz w:val="24"/>
          <w:szCs w:val="24"/>
        </w:rPr>
        <w:t xml:space="preserve"> [MWh]</w:t>
      </w:r>
      <w:r w:rsidR="006E4E83" w:rsidRPr="009D117A">
        <w:rPr>
          <w:rFonts w:ascii="Times New Roman" w:eastAsia="Times New Roman" w:hAnsi="Times New Roman" w:cs="Times New Roman"/>
          <w:sz w:val="24"/>
          <w:szCs w:val="24"/>
        </w:rPr>
        <w:t>.</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 Pe baza valorilor medii ale tarifelor CPC, determinate în conformitate cu prevederile art. 15, se stabilesc valori ale tarifelor CPC diferențiate pentru energia electrică furnizată în orele de zi, respectiv în orele de noapte, astfel:</w:t>
      </w:r>
    </w:p>
    <w:p w:rsidR="006E4E83" w:rsidRPr="009D117A" w:rsidRDefault="006E4E83" w:rsidP="006E4E83">
      <w:pPr>
        <w:widowControl w:val="0"/>
        <w:spacing w:after="120" w:line="360" w:lineRule="auto"/>
        <w:jc w:val="both"/>
        <w:outlineLvl w:val="0"/>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 </w:t>
      </w:r>
      <m:oMath>
        <m:r>
          <m:rPr>
            <m:sty m:val="p"/>
          </m:rPr>
          <w:rPr>
            <w:rFonts w:ascii="Cambria Math" w:eastAsia="Times New Roman" w:hAnsi="Cambria Math" w:cs="Times New Roman"/>
            <w:sz w:val="24"/>
            <w:szCs w:val="24"/>
          </w:rPr>
          <w:br/>
        </m:r>
      </m:oMath>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noapte</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sup>
                  <m:r>
                    <w:rPr>
                      <w:rFonts w:ascii="Cambria Math" w:eastAsia="Times New Roman" w:hAnsi="Cambria Math" w:cs="Times New Roman"/>
                      <w:sz w:val="24"/>
                      <w:szCs w:val="24"/>
                    </w:rPr>
                    <m:t>CPC</m:t>
                  </m:r>
                </m:sup>
              </m:sSubSup>
            </m:num>
            <m:den>
              <m:r>
                <w:rPr>
                  <w:rFonts w:ascii="Cambria Math" w:eastAsia="Times New Roman" w:hAnsi="Cambria Math" w:cs="Times New Roman"/>
                  <w:sz w:val="24"/>
                  <w:szCs w:val="24"/>
                </w:rPr>
                <m:t>a×</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r</m:t>
                  </m:r>
                </m:e>
                <m:sub>
                  <m:r>
                    <w:rPr>
                      <w:rFonts w:ascii="Cambria Math" w:eastAsia="Times New Roman" w:hAnsi="Cambria Math" w:cs="Times New Roman"/>
                      <w:sz w:val="24"/>
                      <w:szCs w:val="24"/>
                    </w:rPr>
                    <m:t>virf/gol</m:t>
                  </m:r>
                </m:sub>
                <m:sup>
                  <m:r>
                    <w:rPr>
                      <w:rFonts w:ascii="Cambria Math" w:eastAsia="Times New Roman" w:hAnsi="Cambria Math" w:cs="Times New Roman"/>
                      <w:sz w:val="24"/>
                      <w:szCs w:val="24"/>
                    </w:rPr>
                    <m:t>PZU</m:t>
                  </m:r>
                </m:sup>
              </m:sSubSup>
              <m:r>
                <w:rPr>
                  <w:rFonts w:ascii="Cambria Math" w:eastAsia="Times New Roman" w:hAnsi="Cambria Math" w:cs="Times New Roman"/>
                  <w:sz w:val="24"/>
                  <w:szCs w:val="24"/>
                </w:rPr>
                <m:t>+b</m:t>
              </m:r>
            </m:den>
          </m:f>
        </m:oMath>
      </m:oMathPara>
    </w:p>
    <w:p w:rsidR="006E4E83" w:rsidRPr="009D117A" w:rsidRDefault="007028DF" w:rsidP="006E4E83">
      <w:pPr>
        <w:widowControl w:val="0"/>
        <w:spacing w:after="120" w:line="360" w:lineRule="auto"/>
        <w:jc w:val="both"/>
        <w:outlineLvl w:val="0"/>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zi</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noapte</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r</m:t>
              </m:r>
            </m:e>
            <m:sub>
              <m:r>
                <w:rPr>
                  <w:rFonts w:ascii="Cambria Math" w:eastAsia="Times New Roman" w:hAnsi="Cambria Math" w:cs="Times New Roman"/>
                  <w:sz w:val="24"/>
                  <w:szCs w:val="24"/>
                </w:rPr>
                <m:t>virf/gol</m:t>
              </m:r>
            </m:sub>
            <m:sup>
              <m:r>
                <w:rPr>
                  <w:rFonts w:ascii="Cambria Math" w:eastAsia="Times New Roman" w:hAnsi="Cambria Math" w:cs="Times New Roman"/>
                  <w:sz w:val="24"/>
                  <w:szCs w:val="24"/>
                </w:rPr>
                <m:t>PZU</m:t>
              </m:r>
            </m:sup>
          </m:sSubSup>
        </m:oMath>
      </m:oMathPara>
    </w:p>
    <w:p w:rsidR="006E4E83" w:rsidRPr="009D117A" w:rsidRDefault="006E4E83" w:rsidP="006E4E83">
      <w:pPr>
        <w:widowControl w:val="0"/>
        <w:spacing w:after="120" w:line="360" w:lineRule="auto"/>
        <w:jc w:val="both"/>
        <w:outlineLvl w:val="0"/>
        <w:rPr>
          <w:rFonts w:ascii="Times New Roman" w:eastAsia="Times New Roman" w:hAnsi="Times New Roman" w:cs="Times New Roman"/>
          <w:bCs/>
          <w:kern w:val="32"/>
          <w:sz w:val="24"/>
          <w:szCs w:val="24"/>
          <w:lang w:eastAsia="ro-RO"/>
        </w:rPr>
      </w:pPr>
      <w:r w:rsidRPr="009D117A">
        <w:rPr>
          <w:rFonts w:ascii="Times New Roman" w:eastAsia="Times New Roman" w:hAnsi="Times New Roman" w:cs="Times New Roman"/>
          <w:bCs/>
          <w:kern w:val="32"/>
          <w:sz w:val="24"/>
          <w:szCs w:val="24"/>
          <w:lang w:eastAsia="ro-RO"/>
        </w:rPr>
        <w:t>unde:</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valoarea medie a tarifului CPC [lei/MWh];</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zi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valoarea tarifului CPC pentru energia electrică furnizată în orele de zi [lei/MWh];</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noapte</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valoarea tarifului CPC pentru energia electrică furnizată în orele de noapte [lei/MWh];</w:t>
      </w:r>
    </w:p>
    <w:p w:rsidR="006E4E83" w:rsidRPr="009D117A" w:rsidRDefault="007028DF" w:rsidP="006E4E83">
      <w:pPr>
        <w:widowControl w:val="0"/>
        <w:spacing w:after="120" w:line="360" w:lineRule="auto"/>
        <w:ind w:left="720"/>
        <w:jc w:val="both"/>
        <w:outlineLvl w:val="0"/>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r</m:t>
            </m:r>
          </m:e>
          <m:sub>
            <m:r>
              <w:rPr>
                <w:rFonts w:ascii="Cambria Math" w:eastAsia="Times New Roman" w:hAnsi="Cambria Math" w:cs="Times New Roman"/>
                <w:sz w:val="24"/>
                <w:szCs w:val="24"/>
              </w:rPr>
              <m:t>virf/gol</m:t>
            </m:r>
          </m:sub>
          <m:sup>
            <m:r>
              <w:rPr>
                <w:rFonts w:ascii="Cambria Math" w:eastAsia="Times New Roman" w:hAnsi="Cambria Math" w:cs="Times New Roman"/>
                <w:sz w:val="24"/>
                <w:szCs w:val="24"/>
              </w:rPr>
              <m:t>PZU</m:t>
            </m:r>
          </m:sup>
        </m:sSubSup>
      </m:oMath>
      <w:r w:rsidR="006E4E83" w:rsidRPr="009D117A">
        <w:rPr>
          <w:rFonts w:ascii="Times New Roman" w:eastAsia="Times New Roman" w:hAnsi="Times New Roman" w:cs="Times New Roman"/>
          <w:sz w:val="24"/>
          <w:szCs w:val="24"/>
        </w:rPr>
        <w:t xml:space="preserve"> - valoarea medie a raportului dintre prețurile energiei electrice în orele de vȋrf și în orele de gol, înregistrate pe PZU în ultimele 12 luni calendaristice </w:t>
      </w:r>
      <w:r w:rsidR="006E4E83" w:rsidRPr="009D117A">
        <w:rPr>
          <w:rFonts w:ascii="Times New Roman" w:eastAsia="Times New Roman" w:hAnsi="Times New Roman" w:cs="Times New Roman"/>
          <w:color w:val="000000"/>
          <w:sz w:val="24"/>
          <w:szCs w:val="24"/>
        </w:rPr>
        <w:t>[-];</w:t>
      </w:r>
    </w:p>
    <w:p w:rsidR="006E4E83" w:rsidRPr="00515A29" w:rsidRDefault="006E4E83" w:rsidP="006E4E83">
      <w:pPr>
        <w:widowControl w:val="0"/>
        <w:spacing w:after="120" w:line="360" w:lineRule="auto"/>
        <w:ind w:left="720"/>
        <w:jc w:val="both"/>
        <w:outlineLvl w:val="0"/>
        <w:rPr>
          <w:rFonts w:ascii="Times New Roman" w:eastAsia="Times New Roman" w:hAnsi="Times New Roman" w:cs="Times New Roman"/>
          <w:color w:val="000000"/>
          <w:sz w:val="24"/>
          <w:szCs w:val="24"/>
        </w:rPr>
      </w:pPr>
      <w:r w:rsidRPr="00515A29">
        <w:rPr>
          <w:rFonts w:ascii="Times New Roman" w:eastAsia="Times New Roman" w:hAnsi="Times New Roman" w:cs="Times New Roman"/>
          <w:color w:val="000000"/>
          <w:sz w:val="24"/>
          <w:szCs w:val="24"/>
        </w:rPr>
        <w:t>a</w:t>
      </w:r>
      <w:r w:rsidR="00A2723E" w:rsidRPr="00515A29">
        <w:rPr>
          <w:rFonts w:ascii="Times New Roman" w:eastAsia="Times New Roman" w:hAnsi="Times New Roman" w:cs="Times New Roman"/>
          <w:color w:val="000000"/>
          <w:sz w:val="24"/>
          <w:szCs w:val="24"/>
        </w:rPr>
        <w:t>, b</w:t>
      </w:r>
      <w:r w:rsidRPr="00515A29">
        <w:rPr>
          <w:rFonts w:ascii="Times New Roman" w:eastAsia="Times New Roman" w:hAnsi="Times New Roman" w:cs="Times New Roman"/>
          <w:color w:val="000000"/>
          <w:sz w:val="24"/>
          <w:szCs w:val="24"/>
        </w:rPr>
        <w:t xml:space="preserve"> – </w:t>
      </w:r>
      <w:r w:rsidR="00515A29" w:rsidRPr="00515A29">
        <w:rPr>
          <w:rFonts w:ascii="Times New Roman" w:eastAsia="Times New Roman" w:hAnsi="Times New Roman" w:cs="Times New Roman"/>
          <w:color w:val="000000"/>
          <w:sz w:val="24"/>
          <w:szCs w:val="24"/>
        </w:rPr>
        <w:t>coeficienți</w:t>
      </w:r>
      <w:r w:rsidRPr="00515A29">
        <w:rPr>
          <w:rFonts w:ascii="Times New Roman" w:eastAsia="Times New Roman" w:hAnsi="Times New Roman" w:cs="Times New Roman"/>
          <w:color w:val="000000"/>
          <w:sz w:val="24"/>
          <w:szCs w:val="24"/>
        </w:rPr>
        <w:t xml:space="preserve"> subunitar</w:t>
      </w:r>
      <w:r w:rsidR="00A2723E" w:rsidRPr="00515A29">
        <w:rPr>
          <w:rFonts w:ascii="Times New Roman" w:eastAsia="Times New Roman" w:hAnsi="Times New Roman" w:cs="Times New Roman"/>
          <w:color w:val="000000"/>
          <w:sz w:val="24"/>
          <w:szCs w:val="24"/>
        </w:rPr>
        <w:t>i</w:t>
      </w:r>
      <w:r w:rsidRPr="00515A29">
        <w:rPr>
          <w:rFonts w:ascii="Times New Roman" w:eastAsia="Times New Roman" w:hAnsi="Times New Roman" w:cs="Times New Roman"/>
          <w:color w:val="000000"/>
          <w:sz w:val="24"/>
          <w:szCs w:val="24"/>
        </w:rPr>
        <w:t xml:space="preserve"> ce </w:t>
      </w:r>
      <w:r w:rsidR="00515A29" w:rsidRPr="00515A29">
        <w:rPr>
          <w:rFonts w:ascii="Times New Roman" w:eastAsia="Times New Roman" w:hAnsi="Times New Roman" w:cs="Times New Roman"/>
          <w:color w:val="000000"/>
          <w:sz w:val="24"/>
          <w:szCs w:val="24"/>
        </w:rPr>
        <w:t>reprezintă</w:t>
      </w:r>
      <w:r w:rsidRPr="00515A29">
        <w:rPr>
          <w:rFonts w:ascii="Times New Roman" w:eastAsia="Times New Roman" w:hAnsi="Times New Roman" w:cs="Times New Roman"/>
          <w:color w:val="000000"/>
          <w:sz w:val="24"/>
          <w:szCs w:val="24"/>
        </w:rPr>
        <w:t xml:space="preserve"> ponderea </w:t>
      </w:r>
      <w:r w:rsidR="00536BA0" w:rsidRPr="00515A29">
        <w:rPr>
          <w:rFonts w:ascii="Times New Roman" w:eastAsia="Times New Roman" w:hAnsi="Times New Roman" w:cs="Times New Roman"/>
          <w:color w:val="000000"/>
          <w:sz w:val="24"/>
          <w:szCs w:val="24"/>
        </w:rPr>
        <w:t xml:space="preserve">estimată a </w:t>
      </w:r>
      <w:r w:rsidRPr="00515A29">
        <w:rPr>
          <w:rFonts w:ascii="Times New Roman" w:eastAsia="Times New Roman" w:hAnsi="Times New Roman" w:cs="Times New Roman"/>
          <w:color w:val="000000"/>
          <w:sz w:val="24"/>
          <w:szCs w:val="24"/>
        </w:rPr>
        <w:t xml:space="preserve">consumului </w:t>
      </w:r>
      <w:r w:rsidR="00536BA0" w:rsidRPr="00515A29">
        <w:rPr>
          <w:rFonts w:ascii="Times New Roman" w:eastAsia="Times New Roman" w:hAnsi="Times New Roman" w:cs="Times New Roman"/>
          <w:color w:val="000000"/>
          <w:sz w:val="24"/>
          <w:szCs w:val="24"/>
        </w:rPr>
        <w:t xml:space="preserve">de energie electrică </w:t>
      </w:r>
      <w:r w:rsidRPr="00515A29">
        <w:rPr>
          <w:rFonts w:ascii="Times New Roman" w:eastAsia="Times New Roman" w:hAnsi="Times New Roman" w:cs="Times New Roman"/>
          <w:color w:val="000000"/>
          <w:sz w:val="24"/>
          <w:szCs w:val="24"/>
        </w:rPr>
        <w:t>in orele de zi</w:t>
      </w:r>
      <w:r w:rsidR="00A2723E" w:rsidRPr="00515A29">
        <w:rPr>
          <w:rFonts w:ascii="Times New Roman" w:eastAsia="Times New Roman" w:hAnsi="Times New Roman" w:cs="Times New Roman"/>
          <w:color w:val="000000"/>
          <w:sz w:val="24"/>
          <w:szCs w:val="24"/>
        </w:rPr>
        <w:t xml:space="preserve">, respectiv </w:t>
      </w:r>
      <w:r w:rsidR="00515A29" w:rsidRPr="00515A29">
        <w:rPr>
          <w:rFonts w:ascii="Times New Roman" w:eastAsia="Times New Roman" w:hAnsi="Times New Roman" w:cs="Times New Roman"/>
          <w:color w:val="000000"/>
          <w:sz w:val="24"/>
          <w:szCs w:val="24"/>
        </w:rPr>
        <w:t>în</w:t>
      </w:r>
      <w:r w:rsidR="00A2723E" w:rsidRPr="00515A29">
        <w:rPr>
          <w:rFonts w:ascii="Times New Roman" w:eastAsia="Times New Roman" w:hAnsi="Times New Roman" w:cs="Times New Roman"/>
          <w:color w:val="000000"/>
          <w:sz w:val="24"/>
          <w:szCs w:val="24"/>
        </w:rPr>
        <w:t xml:space="preserve"> orele de noapte,</w:t>
      </w:r>
      <w:r w:rsidRPr="00515A29">
        <w:rPr>
          <w:rFonts w:ascii="Times New Roman" w:eastAsia="Times New Roman" w:hAnsi="Times New Roman" w:cs="Times New Roman"/>
          <w:color w:val="000000"/>
          <w:sz w:val="24"/>
          <w:szCs w:val="24"/>
        </w:rPr>
        <w:t xml:space="preserve"> din </w:t>
      </w:r>
      <w:r w:rsidR="00515A29" w:rsidRPr="00515A29">
        <w:rPr>
          <w:rFonts w:ascii="Times New Roman" w:eastAsia="Times New Roman" w:hAnsi="Times New Roman" w:cs="Times New Roman"/>
          <w:color w:val="000000"/>
          <w:sz w:val="24"/>
          <w:szCs w:val="24"/>
        </w:rPr>
        <w:t>c</w:t>
      </w:r>
      <w:r w:rsidRPr="00515A29">
        <w:rPr>
          <w:rFonts w:ascii="Times New Roman" w:eastAsia="Times New Roman" w:hAnsi="Times New Roman" w:cs="Times New Roman"/>
          <w:color w:val="000000"/>
          <w:sz w:val="24"/>
          <w:szCs w:val="24"/>
        </w:rPr>
        <w:t>onsum</w:t>
      </w:r>
      <w:r w:rsidR="00515A29" w:rsidRPr="00515A29">
        <w:rPr>
          <w:rFonts w:ascii="Times New Roman" w:eastAsia="Times New Roman" w:hAnsi="Times New Roman" w:cs="Times New Roman"/>
          <w:color w:val="000000"/>
          <w:sz w:val="24"/>
          <w:szCs w:val="24"/>
        </w:rPr>
        <w:t>ul total al clienților facturați  la tarif CR2 si/sau tarif CPC diferențiat</w:t>
      </w:r>
      <w:r w:rsidR="00536BA0" w:rsidRPr="00515A29">
        <w:rPr>
          <w:rFonts w:ascii="Times New Roman" w:eastAsia="Times New Roman" w:hAnsi="Times New Roman" w:cs="Times New Roman"/>
          <w:color w:val="000000"/>
          <w:sz w:val="24"/>
          <w:szCs w:val="24"/>
        </w:rPr>
        <w:t xml:space="preserve">, </w:t>
      </w:r>
      <w:r w:rsidR="00515A29" w:rsidRPr="00515A29">
        <w:rPr>
          <w:rFonts w:ascii="Times New Roman" w:eastAsia="Times New Roman" w:hAnsi="Times New Roman" w:cs="Times New Roman"/>
          <w:color w:val="000000"/>
          <w:sz w:val="24"/>
          <w:szCs w:val="24"/>
        </w:rPr>
        <w:t>di</w:t>
      </w:r>
      <w:r w:rsidR="00536BA0" w:rsidRPr="00515A29">
        <w:rPr>
          <w:rFonts w:ascii="Times New Roman" w:eastAsia="Times New Roman" w:hAnsi="Times New Roman" w:cs="Times New Roman"/>
          <w:color w:val="000000"/>
          <w:sz w:val="24"/>
          <w:szCs w:val="24"/>
        </w:rPr>
        <w:t xml:space="preserve">n </w:t>
      </w:r>
      <w:r w:rsidR="00515A29" w:rsidRPr="00515A29">
        <w:rPr>
          <w:rFonts w:ascii="Times New Roman" w:eastAsia="Times New Roman" w:hAnsi="Times New Roman" w:cs="Times New Roman"/>
          <w:color w:val="000000"/>
          <w:sz w:val="24"/>
          <w:szCs w:val="24"/>
        </w:rPr>
        <w:t>ultimele 12 luni</w:t>
      </w:r>
      <w:r w:rsidR="00536BA0" w:rsidRPr="00515A29">
        <w:rPr>
          <w:rFonts w:ascii="Times New Roman" w:eastAsia="Times New Roman" w:hAnsi="Times New Roman" w:cs="Times New Roman"/>
          <w:color w:val="000000"/>
          <w:sz w:val="24"/>
          <w:szCs w:val="24"/>
        </w:rPr>
        <w:t xml:space="preserve">; se determină de către ANRE pe baza </w:t>
      </w:r>
      <w:r w:rsidR="00536BA0" w:rsidRPr="00515A29">
        <w:rPr>
          <w:rFonts w:ascii="Times New Roman" w:eastAsia="Times New Roman" w:hAnsi="Times New Roman" w:cs="Times New Roman"/>
          <w:bCs/>
          <w:sz w:val="24"/>
          <w:szCs w:val="24"/>
        </w:rPr>
        <w:t>datelor din raportările lunare transmise de FUI conform prevederilor din Capitolul 4</w:t>
      </w:r>
      <w:r w:rsidR="00515A29" w:rsidRPr="00515A29">
        <w:rPr>
          <w:rFonts w:ascii="Times New Roman" w:eastAsia="Times New Roman" w:hAnsi="Times New Roman" w:cs="Times New Roman"/>
          <w:bCs/>
          <w:sz w:val="24"/>
          <w:szCs w:val="24"/>
        </w:rPr>
        <w:t>.</w:t>
      </w:r>
    </w:p>
    <w:p w:rsidR="006E4E83" w:rsidRPr="009D117A" w:rsidRDefault="006E4E83" w:rsidP="006E4E83">
      <w:pPr>
        <w:widowControl w:val="0"/>
        <w:spacing w:after="120" w:line="360" w:lineRule="auto"/>
        <w:jc w:val="both"/>
        <w:outlineLvl w:val="0"/>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(2) Valoarea medie a raportului dintre prețurile energiei electrice în orele de vârf și în orele de gol, înregistrate pe PZU în ultimele 12 luni calendaristice, se stabilește de către</w:t>
      </w:r>
      <w:r w:rsidRPr="009D117A">
        <w:rPr>
          <w:rFonts w:ascii="Times New Roman" w:eastAsia="Times New Roman" w:hAnsi="Times New Roman" w:cs="Times New Roman"/>
          <w:sz w:val="24"/>
          <w:szCs w:val="24"/>
        </w:rPr>
        <w:t xml:space="preserve"> </w:t>
      </w:r>
      <w:r w:rsidRPr="009D117A">
        <w:rPr>
          <w:rFonts w:ascii="Times New Roman" w:eastAsia="Times New Roman" w:hAnsi="Times New Roman" w:cs="Times New Roman"/>
          <w:color w:val="000000"/>
          <w:sz w:val="24"/>
          <w:szCs w:val="24"/>
        </w:rPr>
        <w:t xml:space="preserve">ANRE pe baza datelor publicate de </w:t>
      </w:r>
      <w:r w:rsidR="00515A29" w:rsidRPr="009D117A">
        <w:rPr>
          <w:rFonts w:ascii="Times New Roman" w:eastAsia="Times New Roman" w:hAnsi="Times New Roman" w:cs="Times New Roman"/>
          <w:color w:val="000000"/>
          <w:sz w:val="24"/>
          <w:szCs w:val="24"/>
        </w:rPr>
        <w:t>către</w:t>
      </w:r>
      <w:r w:rsidRPr="009D117A">
        <w:rPr>
          <w:rFonts w:ascii="Times New Roman" w:eastAsia="Times New Roman" w:hAnsi="Times New Roman" w:cs="Times New Roman"/>
          <w:color w:val="000000"/>
          <w:sz w:val="24"/>
          <w:szCs w:val="24"/>
        </w:rPr>
        <w:t xml:space="preserve"> OPCOM..</w:t>
      </w:r>
    </w:p>
    <w:p w:rsidR="00FD2110" w:rsidRPr="00655FDA" w:rsidRDefault="00FD2110" w:rsidP="00FD2110">
      <w:pPr>
        <w:pStyle w:val="ListParagraph"/>
        <w:numPr>
          <w:ilvl w:val="0"/>
          <w:numId w:val="12"/>
        </w:numPr>
        <w:spacing w:after="120" w:line="360" w:lineRule="auto"/>
        <w:ind w:left="0" w:firstLine="0"/>
        <w:rPr>
          <w:b/>
        </w:rPr>
      </w:pPr>
      <w:r w:rsidRPr="00655FDA">
        <w:rPr>
          <w:b/>
        </w:rPr>
        <w:t xml:space="preserve">Tarife UI </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 Tarifele UI se determină pe baza valorilor medii ale tarifelor CPC stabilite conform prevederilor din Secțiunea 2.3, prin aplicarea unor procente de majorare a acestora, astfel:</w:t>
      </w:r>
    </w:p>
    <w:p w:rsidR="006E4E83" w:rsidRPr="009D117A" w:rsidRDefault="006E4E83" w:rsidP="006E4E83">
      <w:pPr>
        <w:numPr>
          <w:ilvl w:val="0"/>
          <w:numId w:val="30"/>
        </w:numPr>
        <w:spacing w:after="0" w:line="360" w:lineRule="auto"/>
        <w:ind w:left="1560"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maximum 105 %, în cazul locurilor de consum alimentate la JT;</w:t>
      </w:r>
    </w:p>
    <w:p w:rsidR="006E4E83" w:rsidRPr="009D117A" w:rsidRDefault="006E4E83" w:rsidP="006E4E83">
      <w:pPr>
        <w:numPr>
          <w:ilvl w:val="0"/>
          <w:numId w:val="30"/>
        </w:numPr>
        <w:spacing w:after="0" w:line="360" w:lineRule="auto"/>
        <w:ind w:left="1560"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maximum 107,5 %, în cazul locurilor de consum alimentate la MT;</w:t>
      </w:r>
    </w:p>
    <w:p w:rsidR="006E4E83" w:rsidRPr="009D117A" w:rsidRDefault="006E4E83" w:rsidP="006E4E83">
      <w:pPr>
        <w:numPr>
          <w:ilvl w:val="0"/>
          <w:numId w:val="30"/>
        </w:numPr>
        <w:spacing w:after="120" w:line="360" w:lineRule="auto"/>
        <w:ind w:left="1560" w:hanging="284"/>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maximum 110 %, în cazul locurilor de consum alimentate la IT.</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–Fiecare FUI ȋși calculează tarifele UI separat pe fiecare nivel de tensiune / zonă de activitate, cu următoarea formulă generală:</w:t>
      </w:r>
    </w:p>
    <w:p w:rsidR="006E4E83" w:rsidRPr="009D117A" w:rsidRDefault="007028DF" w:rsidP="006E4E83">
      <w:pPr>
        <w:tabs>
          <w:tab w:val="num" w:pos="720"/>
          <w:tab w:val="num" w:pos="851"/>
        </w:tabs>
        <w:spacing w:after="120" w:line="360" w:lineRule="auto"/>
        <w:jc w:val="both"/>
        <w:rPr>
          <w:rFonts w:ascii="Times New Roman" w:eastAsia="Times New Roman" w:hAnsi="Times New Roman" w:cs="Times New Roman"/>
          <w:color w:val="000000"/>
          <w:sz w:val="24"/>
          <w:szCs w:val="24"/>
        </w:rPr>
      </w:pPr>
      <m:oMathPara>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t</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UI</m:t>
              </m:r>
            </m:sup>
          </m:sSubSup>
          <m:r>
            <w:rPr>
              <w:rFonts w:ascii="Cambria Math" w:eastAsia="Times New Roman" w:hAnsi="Cambria Math" w:cs="Times New Roman"/>
              <w:color w:val="000000"/>
              <w:sz w:val="24"/>
              <w:szCs w:val="24"/>
            </w:rPr>
            <m:t>=</m:t>
          </m:r>
          <m:f>
            <m:fPr>
              <m:ctrlPr>
                <w:rPr>
                  <w:rFonts w:ascii="Cambria Math" w:eastAsia="Times New Roman" w:hAnsi="Cambria Math" w:cs="Times New Roman"/>
                  <w:i/>
                  <w:color w:val="000000"/>
                  <w:sz w:val="24"/>
                  <w:szCs w:val="24"/>
                </w:rPr>
              </m:ctrlPr>
            </m:fPr>
            <m:num>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p</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maj</m:t>
                  </m:r>
                </m:sup>
              </m:sSubSup>
            </m:num>
            <m:den>
              <m:r>
                <w:rPr>
                  <w:rFonts w:ascii="Cambria Math" w:eastAsia="Times New Roman" w:hAnsi="Cambria Math" w:cs="Times New Roman"/>
                  <w:color w:val="000000"/>
                  <w:sz w:val="24"/>
                  <w:szCs w:val="24"/>
                </w:rPr>
                <m:t>100</m:t>
              </m:r>
            </m:den>
          </m:f>
          <m:r>
            <w:rPr>
              <w:rFonts w:ascii="Cambria Math" w:eastAsia="Times New Roman" w:hAnsi="Cambria Math" w:cs="Times New Roman"/>
              <w:color w:val="000000"/>
              <w:sz w:val="24"/>
              <w:szCs w:val="24"/>
            </w:rPr>
            <m:t>×</m:t>
          </m:r>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t</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CPC</m:t>
              </m:r>
            </m:sup>
          </m:sSubSup>
        </m:oMath>
      </m:oMathPara>
    </w:p>
    <w:p w:rsidR="006E4E83" w:rsidRPr="009D117A" w:rsidRDefault="006E4E83" w:rsidP="006E4E83">
      <w:pPr>
        <w:tabs>
          <w:tab w:val="num" w:pos="720"/>
          <w:tab w:val="num" w:pos="851"/>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unde:</w:t>
      </w:r>
    </w:p>
    <w:p w:rsidR="006E4E83" w:rsidRPr="009D117A" w:rsidRDefault="007028DF" w:rsidP="006E4E83">
      <w:pPr>
        <w:tabs>
          <w:tab w:val="num" w:pos="720"/>
          <w:tab w:val="num" w:pos="851"/>
        </w:tabs>
        <w:spacing w:after="120" w:line="360" w:lineRule="auto"/>
        <w:ind w:left="720"/>
        <w:jc w:val="both"/>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t</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UI</m:t>
            </m:r>
          </m:sup>
        </m:sSubSup>
      </m:oMath>
      <w:r w:rsidR="006E4E83" w:rsidRPr="009D117A">
        <w:rPr>
          <w:rFonts w:ascii="Times New Roman" w:eastAsia="Times New Roman" w:hAnsi="Times New Roman" w:cs="Times New Roman"/>
          <w:color w:val="000000"/>
          <w:sz w:val="24"/>
          <w:szCs w:val="24"/>
        </w:rPr>
        <w:t>- valoarea tarifului UI</w:t>
      </w:r>
      <w:r w:rsidR="006E4E83" w:rsidRPr="009D117A">
        <w:rPr>
          <w:rFonts w:ascii="Times New Roman" w:eastAsia="Times New Roman" w:hAnsi="Times New Roman" w:cs="Times New Roman"/>
          <w:sz w:val="24"/>
          <w:szCs w:val="24"/>
        </w:rPr>
        <w:t xml:space="preserve"> corespunzătoare unui nivel de tensiune și unei zone de activitate</w:t>
      </w:r>
      <w:r w:rsidR="006E4E83" w:rsidRPr="009D117A">
        <w:rPr>
          <w:rFonts w:ascii="Times New Roman" w:eastAsia="Times New Roman" w:hAnsi="Times New Roman" w:cs="Times New Roman"/>
          <w:color w:val="000000"/>
          <w:sz w:val="24"/>
          <w:szCs w:val="24"/>
        </w:rPr>
        <w:t>, pentru FUI i [lei/kWh];</w:t>
      </w:r>
    </w:p>
    <w:p w:rsidR="006E4E83" w:rsidRPr="009D117A" w:rsidRDefault="007028DF" w:rsidP="006E4E83">
      <w:pPr>
        <w:tabs>
          <w:tab w:val="num" w:pos="720"/>
          <w:tab w:val="num" w:pos="851"/>
        </w:tabs>
        <w:spacing w:after="120" w:line="360" w:lineRule="auto"/>
        <w:ind w:left="720"/>
        <w:jc w:val="both"/>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p</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maj</m:t>
            </m:r>
          </m:sup>
        </m:sSubSup>
      </m:oMath>
      <w:r w:rsidR="006E4E83" w:rsidRPr="009D117A">
        <w:rPr>
          <w:rFonts w:ascii="Times New Roman" w:eastAsia="Times New Roman" w:hAnsi="Times New Roman" w:cs="Times New Roman"/>
          <w:color w:val="000000"/>
          <w:sz w:val="24"/>
          <w:szCs w:val="24"/>
        </w:rPr>
        <w:t xml:space="preserve"> - valoarea procentului de majorare stabilită de FUI i ȋn limitele prevăzute la art. 17, pentru nivelul de tensiune / zona de activitate respectivă [%];</w:t>
      </w:r>
    </w:p>
    <w:p w:rsidR="006E4E83" w:rsidRPr="009D117A" w:rsidRDefault="007028DF" w:rsidP="006E4E83">
      <w:pPr>
        <w:tabs>
          <w:tab w:val="num" w:pos="709"/>
        </w:tabs>
        <w:spacing w:after="120" w:line="360" w:lineRule="auto"/>
        <w:ind w:left="709"/>
        <w:jc w:val="both"/>
        <w:rPr>
          <w:rFonts w:ascii="Times New Roman" w:eastAsia="Times New Roman" w:hAnsi="Times New Roman" w:cs="Times New Roman"/>
          <w:color w:val="000000"/>
          <w:sz w:val="24"/>
          <w:szCs w:val="24"/>
        </w:rPr>
      </w:pP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rPr>
              <m:t>t</m:t>
            </m:r>
          </m:e>
          <m:sub>
            <m:r>
              <w:rPr>
                <w:rFonts w:ascii="Cambria Math" w:eastAsia="Times New Roman" w:hAnsi="Cambria Math" w:cs="Times New Roman"/>
                <w:color w:val="000000"/>
                <w:sz w:val="24"/>
                <w:szCs w:val="24"/>
              </w:rPr>
              <m:t>i</m:t>
            </m:r>
          </m:sub>
          <m:sup>
            <m:r>
              <w:rPr>
                <w:rFonts w:ascii="Cambria Math" w:eastAsia="Times New Roman" w:hAnsi="Cambria Math" w:cs="Times New Roman"/>
                <w:color w:val="000000"/>
                <w:sz w:val="24"/>
                <w:szCs w:val="24"/>
              </w:rPr>
              <m:t>CPC</m:t>
            </m:r>
          </m:sup>
        </m:sSubSup>
      </m:oMath>
      <w:r w:rsidR="006E4E83" w:rsidRPr="009D117A">
        <w:rPr>
          <w:rFonts w:ascii="Times New Roman" w:eastAsia="Times New Roman" w:hAnsi="Times New Roman" w:cs="Times New Roman"/>
          <w:color w:val="000000"/>
          <w:sz w:val="24"/>
          <w:szCs w:val="24"/>
        </w:rPr>
        <w:t xml:space="preserve">- valoarea medie a tarifului CPC </w:t>
      </w:r>
      <w:r w:rsidR="006E4E83" w:rsidRPr="009D117A">
        <w:rPr>
          <w:rFonts w:ascii="Times New Roman" w:eastAsia="Times New Roman" w:hAnsi="Times New Roman" w:cs="Times New Roman"/>
          <w:sz w:val="24"/>
          <w:szCs w:val="24"/>
        </w:rPr>
        <w:t>corespunzătoare aceluiași nivel de tensiune și aceleiași zone de activitate</w:t>
      </w:r>
      <w:r w:rsidR="006E4E83" w:rsidRPr="009D117A">
        <w:rPr>
          <w:rFonts w:ascii="Times New Roman" w:eastAsia="Times New Roman" w:hAnsi="Times New Roman" w:cs="Times New Roman"/>
          <w:color w:val="000000"/>
          <w:sz w:val="24"/>
          <w:szCs w:val="24"/>
        </w:rPr>
        <w:t>, stabilită conform prevederilor din Secțiunea 2.3 pentru FUI i [lei/kWh].</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Cs/>
          <w:sz w:val="24"/>
          <w:szCs w:val="24"/>
        </w:rPr>
        <w:t xml:space="preserve">(1) </w:t>
      </w:r>
      <w:r w:rsidRPr="009D117A">
        <w:rPr>
          <w:rFonts w:ascii="Times New Roman" w:eastAsia="Times New Roman" w:hAnsi="Times New Roman" w:cs="Times New Roman"/>
          <w:color w:val="000000"/>
          <w:sz w:val="24"/>
          <w:szCs w:val="24"/>
        </w:rPr>
        <w:t xml:space="preserve">La sfârșitul </w:t>
      </w:r>
      <w:r w:rsidR="00716DC9" w:rsidRPr="009D117A">
        <w:rPr>
          <w:rFonts w:ascii="Times New Roman" w:eastAsia="Times New Roman" w:hAnsi="Times New Roman" w:cs="Times New Roman"/>
          <w:color w:val="000000"/>
          <w:sz w:val="24"/>
          <w:szCs w:val="24"/>
        </w:rPr>
        <w:t>fiecărei</w:t>
      </w:r>
      <w:r w:rsidRPr="009D117A">
        <w:rPr>
          <w:rFonts w:ascii="Times New Roman" w:eastAsia="Times New Roman" w:hAnsi="Times New Roman" w:cs="Times New Roman"/>
          <w:color w:val="000000"/>
          <w:sz w:val="24"/>
          <w:szCs w:val="24"/>
        </w:rPr>
        <w:t xml:space="preserve"> perioade de dereglementare se calculează soldul corecțiilor de tarif aferente activității de furnizare a energiei electrice la tarife UI pentru clienții prevăzuți la art. 5 </w:t>
      </w:r>
      <w:r w:rsidRPr="009D117A">
        <w:rPr>
          <w:rFonts w:ascii="Times New Roman" w:eastAsia="Times New Roman" w:hAnsi="Times New Roman" w:cs="Times New Roman"/>
          <w:color w:val="000000"/>
          <w:sz w:val="24"/>
          <w:szCs w:val="24"/>
        </w:rPr>
        <w:lastRenderedPageBreak/>
        <w:t xml:space="preserve">lit. c) pct. i, care se ia în considerare </w:t>
      </w:r>
      <w:r w:rsidRPr="009D117A">
        <w:rPr>
          <w:rFonts w:ascii="Times New Roman" w:eastAsia="Times New Roman" w:hAnsi="Times New Roman" w:cs="Times New Roman"/>
          <w:noProof/>
          <w:sz w:val="24"/>
          <w:szCs w:val="24"/>
        </w:rPr>
        <w:t>la calculul tarifelor CPC</w:t>
      </w:r>
      <w:r w:rsidRPr="009D117A">
        <w:rPr>
          <w:rFonts w:ascii="Times New Roman" w:eastAsia="Times New Roman" w:hAnsi="Times New Roman" w:cs="Times New Roman"/>
          <w:color w:val="000000"/>
          <w:sz w:val="24"/>
          <w:szCs w:val="24"/>
        </w:rPr>
        <w:t xml:space="preserve"> pentru semestrul următor, conform prevederilor art. 1</w:t>
      </w:r>
      <w:r w:rsidR="00B95AAF" w:rsidRPr="009D117A">
        <w:rPr>
          <w:rFonts w:ascii="Times New Roman" w:eastAsia="Times New Roman" w:hAnsi="Times New Roman" w:cs="Times New Roman"/>
          <w:color w:val="000000"/>
          <w:sz w:val="24"/>
          <w:szCs w:val="24"/>
        </w:rPr>
        <w:t>5</w:t>
      </w:r>
      <w:r w:rsidRPr="009D117A">
        <w:rPr>
          <w:rFonts w:ascii="Times New Roman" w:eastAsia="Times New Roman" w:hAnsi="Times New Roman" w:cs="Times New Roman"/>
          <w:color w:val="000000"/>
          <w:sz w:val="24"/>
          <w:szCs w:val="24"/>
        </w:rPr>
        <w:t>.</w:t>
      </w:r>
      <w:r w:rsidR="00F57798" w:rsidRPr="009D117A">
        <w:rPr>
          <w:rFonts w:ascii="Times New Roman" w:eastAsia="Times New Roman" w:hAnsi="Times New Roman" w:cs="Times New Roman"/>
          <w:color w:val="000000"/>
          <w:sz w:val="24"/>
          <w:szCs w:val="24"/>
        </w:rPr>
        <w:t xml:space="preserve"> </w:t>
      </w:r>
    </w:p>
    <w:p w:rsidR="006E4E83" w:rsidRPr="009D117A" w:rsidRDefault="006E4E83" w:rsidP="006E4E83">
      <w:pPr>
        <w:tabs>
          <w:tab w:val="num" w:pos="720"/>
          <w:tab w:val="num" w:pos="851"/>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rPr>
        <w:t>(2) Prețul mediu de achiziție a energiei electrice furnizate la tarife UI</w:t>
      </w:r>
      <w:r w:rsidRPr="009D117A">
        <w:rPr>
          <w:rFonts w:ascii="Times New Roman" w:eastAsia="Times New Roman" w:hAnsi="Times New Roman" w:cs="Times New Roman"/>
          <w:color w:val="000000"/>
          <w:sz w:val="24"/>
          <w:szCs w:val="24"/>
        </w:rPr>
        <w:t xml:space="preserve"> pentru clienții prevăzuți la art. 5 lit. c) pct. i</w:t>
      </w:r>
      <w:r w:rsidRPr="009D117A">
        <w:rPr>
          <w:rFonts w:ascii="Times New Roman" w:eastAsia="Times New Roman" w:hAnsi="Times New Roman" w:cs="Times New Roman"/>
          <w:sz w:val="24"/>
          <w:szCs w:val="24"/>
        </w:rPr>
        <w:t xml:space="preserve">, considerat justificat pentru o perioadă anterioară nu poate depăși cu mai mult de 5 % valoarea considerata justificata a </w:t>
      </w:r>
      <w:r w:rsidRPr="009D117A">
        <w:rPr>
          <w:rFonts w:ascii="Times New Roman" w:eastAsia="Times New Roman" w:hAnsi="Times New Roman" w:cs="Times New Roman"/>
          <w:noProof/>
          <w:sz w:val="24"/>
          <w:szCs w:val="24"/>
        </w:rPr>
        <w:t>prețului mediu de achiziție a energiei electrice furnizate la tarif CPC in aceeasi perioada.</w:t>
      </w:r>
      <w:r w:rsidRPr="009D117A" w:rsidDel="003E4E06">
        <w:rPr>
          <w:rFonts w:ascii="Times New Roman" w:eastAsia="Times New Roman" w:hAnsi="Times New Roman" w:cs="Times New Roman"/>
          <w:noProof/>
          <w:sz w:val="24"/>
          <w:szCs w:val="24"/>
        </w:rPr>
        <w:t xml:space="preserve"> </w:t>
      </w:r>
    </w:p>
    <w:p w:rsidR="006E4E83" w:rsidRPr="009D117A" w:rsidRDefault="006E4E83" w:rsidP="006E4E83">
      <w:p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noProof/>
          <w:sz w:val="24"/>
          <w:szCs w:val="24"/>
        </w:rPr>
        <w:t xml:space="preserve">(3) Costul </w:t>
      </w:r>
      <w:r w:rsidR="00F57798" w:rsidRPr="009D117A">
        <w:rPr>
          <w:rFonts w:ascii="Times New Roman" w:eastAsia="Times New Roman" w:hAnsi="Times New Roman" w:cs="Times New Roman"/>
          <w:noProof/>
          <w:sz w:val="24"/>
          <w:szCs w:val="24"/>
        </w:rPr>
        <w:t xml:space="preserve">activității </w:t>
      </w:r>
      <w:r w:rsidRPr="009D117A">
        <w:rPr>
          <w:rFonts w:ascii="Times New Roman" w:eastAsia="Times New Roman" w:hAnsi="Times New Roman" w:cs="Times New Roman"/>
          <w:noProof/>
          <w:sz w:val="24"/>
          <w:szCs w:val="24"/>
        </w:rPr>
        <w:t>de furnizare</w:t>
      </w:r>
      <w:r w:rsidR="00B3348B" w:rsidRPr="009D117A">
        <w:rPr>
          <w:rFonts w:ascii="Times New Roman" w:eastAsia="Times New Roman" w:hAnsi="Times New Roman" w:cs="Times New Roman"/>
          <w:noProof/>
          <w:sz w:val="24"/>
          <w:szCs w:val="24"/>
        </w:rPr>
        <w:t xml:space="preserve"> </w:t>
      </w:r>
      <w:r w:rsidR="00F57798" w:rsidRPr="009D117A">
        <w:rPr>
          <w:rFonts w:ascii="Times New Roman" w:eastAsia="Times New Roman" w:hAnsi="Times New Roman" w:cs="Times New Roman"/>
          <w:noProof/>
          <w:sz w:val="24"/>
          <w:szCs w:val="24"/>
        </w:rPr>
        <w:t>a energiei electrice la tarife UI,</w:t>
      </w:r>
      <w:r w:rsidRPr="009D117A">
        <w:rPr>
          <w:rFonts w:ascii="Times New Roman" w:eastAsia="Times New Roman" w:hAnsi="Times New Roman" w:cs="Times New Roman"/>
          <w:noProof/>
          <w:sz w:val="24"/>
          <w:szCs w:val="24"/>
        </w:rPr>
        <w:t xml:space="preserve"> considerat justificat pentru o perioada anterioara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UI</m:t>
            </m:r>
          </m:sup>
        </m:sSubSup>
      </m:oMath>
      <w:r w:rsidRPr="009D117A">
        <w:rPr>
          <w:rFonts w:ascii="Times New Roman" w:eastAsia="Times New Roman" w:hAnsi="Times New Roman" w:cs="Times New Roman"/>
          <w:sz w:val="24"/>
          <w:szCs w:val="24"/>
        </w:rPr>
        <w:t>se determina astfel:</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Para>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r>
                <w:rPr>
                  <w:rFonts w:ascii="Cambria Math" w:eastAsia="Times New Roman" w:hAnsi="Cambria Math" w:cs="Times New Roman"/>
                  <w:sz w:val="24"/>
                  <w:szCs w:val="24"/>
                </w:rPr>
                <m:t>UI</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ne,UI</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sSubSup>
        </m:oMath>
      </m:oMathPara>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L</m:t>
            </m:r>
          </m:sub>
        </m:sSub>
      </m:oMath>
      <w:r w:rsidR="006E4E83" w:rsidRPr="009D117A">
        <w:rPr>
          <w:rFonts w:ascii="Times New Roman" w:eastAsia="Times New Roman" w:hAnsi="Times New Roman" w:cs="Times New Roman"/>
          <w:sz w:val="24"/>
          <w:szCs w:val="24"/>
        </w:rPr>
        <w:t>- numărul de luni din perioada (an/semestru) analizata;</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m:t>
            </m:r>
          </m:sub>
          <m:sup>
            <m:r>
              <w:rPr>
                <w:rFonts w:ascii="Cambria Math" w:eastAsia="Times New Roman" w:hAnsi="Cambria Math" w:cs="Times New Roman"/>
                <w:sz w:val="24"/>
                <w:szCs w:val="24"/>
              </w:rPr>
              <m:t>ne,UI</m:t>
            </m:r>
          </m:sup>
        </m:sSubSup>
      </m:oMath>
      <w:r w:rsidR="006E4E83" w:rsidRPr="009D117A">
        <w:rPr>
          <w:rFonts w:ascii="Times New Roman" w:eastAsia="Times New Roman" w:hAnsi="Times New Roman" w:cs="Times New Roman"/>
          <w:sz w:val="24"/>
          <w:szCs w:val="24"/>
        </w:rPr>
        <w:t>- numărul de clienți finali din categoria celor prevăzuți la art. 5 lit. c) pct. i;</w:t>
      </w:r>
    </w:p>
    <w:p w:rsidR="006E4E83" w:rsidRPr="009D117A" w:rsidRDefault="007028DF" w:rsidP="006E4E83">
      <w:pPr>
        <w:spacing w:after="120" w:line="360" w:lineRule="auto"/>
        <w:ind w:left="1418" w:hanging="98"/>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F</m:t>
            </m:r>
          </m:sub>
          <m:sup/>
        </m:sSubSup>
      </m:oMath>
      <w:r w:rsidR="006E4E83" w:rsidRPr="009D117A">
        <w:rPr>
          <w:rFonts w:ascii="Times New Roman" w:eastAsia="Times New Roman" w:hAnsi="Times New Roman" w:cs="Times New Roman"/>
          <w:sz w:val="24"/>
          <w:szCs w:val="24"/>
        </w:rPr>
        <w:t xml:space="preserve">- </w:t>
      </w:r>
      <w:r w:rsidR="006E4E83" w:rsidRPr="009D117A">
        <w:rPr>
          <w:rFonts w:ascii="Times New Roman" w:eastAsia="Times New Roman" w:hAnsi="Times New Roman" w:cs="Times New Roman"/>
          <w:sz w:val="24"/>
          <w:szCs w:val="24"/>
          <w:lang w:eastAsia="ro-RO"/>
        </w:rPr>
        <w:t xml:space="preserve">costul unitar al activității de furnizare a energiei electrice, stabilit </w:t>
      </w:r>
      <w:r w:rsidR="006E4E83" w:rsidRPr="009D117A">
        <w:rPr>
          <w:rFonts w:ascii="Times New Roman" w:eastAsia="Times New Roman" w:hAnsi="Times New Roman" w:cs="Times New Roman"/>
          <w:sz w:val="24"/>
          <w:szCs w:val="24"/>
        </w:rPr>
        <w:t>conform prevederilor art. 25 alin. (1) lit. e) [lei/client/lună];</w:t>
      </w:r>
    </w:p>
    <w:p w:rsidR="006E4E83" w:rsidRPr="009D117A" w:rsidRDefault="006E4E83" w:rsidP="006E4E83">
      <w:p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(4) Valoarea profitului considerata justificata pentru o perioada anterioara se determina c</w:t>
      </w:r>
      <w:r w:rsidR="00716DC9" w:rsidRPr="009D117A">
        <w:rPr>
          <w:rFonts w:ascii="Times New Roman" w:eastAsia="Times New Roman" w:hAnsi="Times New Roman" w:cs="Times New Roman"/>
          <w:sz w:val="24"/>
          <w:szCs w:val="24"/>
        </w:rPr>
        <w:t xml:space="preserve">a produs intre profitul unitar </w:t>
      </w:r>
      <w:r w:rsidRPr="009D117A">
        <w:rPr>
          <w:rFonts w:ascii="Times New Roman" w:eastAsia="Times New Roman" w:hAnsi="Times New Roman" w:cs="Times New Roman"/>
          <w:sz w:val="24"/>
          <w:szCs w:val="24"/>
        </w:rPr>
        <w:t>stabilit conform prevederilor art. 25 alin. (1) lit. f)  si consumul</w:t>
      </w:r>
      <w:r w:rsidR="00716DC9" w:rsidRPr="009D117A">
        <w:rPr>
          <w:rFonts w:ascii="Times New Roman" w:eastAsia="Times New Roman" w:hAnsi="Times New Roman" w:cs="Times New Roman"/>
          <w:sz w:val="24"/>
          <w:szCs w:val="24"/>
        </w:rPr>
        <w:t xml:space="preserve"> de energie electrica aferent</w:t>
      </w:r>
      <w:r w:rsidRPr="009D117A">
        <w:rPr>
          <w:rFonts w:ascii="Times New Roman" w:eastAsia="Times New Roman" w:hAnsi="Times New Roman" w:cs="Times New Roman"/>
          <w:sz w:val="24"/>
          <w:szCs w:val="24"/>
        </w:rPr>
        <w:t xml:space="preserve"> </w:t>
      </w:r>
      <w:r w:rsidR="00716DC9" w:rsidRPr="009D117A">
        <w:rPr>
          <w:rFonts w:ascii="Times New Roman" w:eastAsia="Times New Roman" w:hAnsi="Times New Roman" w:cs="Times New Roman"/>
          <w:sz w:val="24"/>
          <w:szCs w:val="24"/>
        </w:rPr>
        <w:t>clienților</w:t>
      </w:r>
      <w:r w:rsidRPr="009D117A">
        <w:rPr>
          <w:rFonts w:ascii="Times New Roman" w:eastAsia="Times New Roman" w:hAnsi="Times New Roman" w:cs="Times New Roman"/>
          <w:sz w:val="24"/>
          <w:szCs w:val="24"/>
        </w:rPr>
        <w:t xml:space="preserve"> finali din categoria celor prevăzuți la art. 5 lit. c) pct. i ;</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 xml:space="preserve">(1) </w:t>
      </w:r>
      <w:r w:rsidRPr="009D117A">
        <w:rPr>
          <w:rFonts w:ascii="Times New Roman" w:eastAsia="Times New Roman" w:hAnsi="Times New Roman" w:cs="Times New Roman"/>
          <w:sz w:val="24"/>
          <w:szCs w:val="24"/>
        </w:rPr>
        <w:t>Diferența dintre veniturile și costurile realizate aferente</w:t>
      </w:r>
      <w:r w:rsidRPr="009D117A">
        <w:rPr>
          <w:rFonts w:ascii="Times New Roman" w:eastAsia="Times New Roman" w:hAnsi="Times New Roman" w:cs="Times New Roman"/>
          <w:noProof/>
          <w:sz w:val="24"/>
          <w:szCs w:val="24"/>
        </w:rPr>
        <w:t xml:space="preserve"> activității de furnizare a energiei electrice la tarife UI pentru clienții prevăzuți la art. 5 lit. c) pct. ii se determină anual pentru fiecare FUI, pe baza </w:t>
      </w:r>
      <w:r w:rsidRPr="009D117A">
        <w:rPr>
          <w:rFonts w:ascii="Times New Roman" w:eastAsia="Times New Roman" w:hAnsi="Times New Roman" w:cs="Times New Roman"/>
          <w:bCs/>
          <w:sz w:val="24"/>
          <w:szCs w:val="24"/>
        </w:rPr>
        <w:t>datelor din raportările lunare transmise conform prevederilor din Capitolul 4. În cazul înregistrării unor diferențe negative, ANRE poate solicita FUI justificarea acestora.</w:t>
      </w:r>
    </w:p>
    <w:p w:rsidR="006E4E83" w:rsidRPr="009D117A" w:rsidRDefault="006E4E83" w:rsidP="006E4E83">
      <w:pPr>
        <w:tabs>
          <w:tab w:val="num" w:pos="720"/>
          <w:tab w:val="num" w:pos="851"/>
        </w:tabs>
        <w:autoSpaceDE w:val="0"/>
        <w:autoSpaceDN w:val="0"/>
        <w:adjustRightInd w:val="0"/>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rPr>
        <w:t>(2) Î</w:t>
      </w:r>
      <w:r w:rsidRPr="009D117A">
        <w:rPr>
          <w:rFonts w:ascii="Times New Roman" w:eastAsia="Times New Roman" w:hAnsi="Times New Roman" w:cs="Times New Roman"/>
          <w:noProof/>
          <w:sz w:val="24"/>
          <w:szCs w:val="24"/>
        </w:rPr>
        <w:t xml:space="preserve">n cazul FUI care au ȋnregistrat ȋn perioadele anterioare pierderi justificate din activitatea de furnizare a energiei electrice la tarife UI pentru clienții prevăzuți la art. 5 lit. c) pct. ii, ANRE poate suplimenta, cu valoarea acestor pierderi, </w:t>
      </w:r>
      <w:r w:rsidRPr="009D117A">
        <w:rPr>
          <w:rFonts w:ascii="Times New Roman" w:eastAsia="Times New Roman" w:hAnsi="Times New Roman" w:cs="Times New Roman"/>
          <w:color w:val="000000"/>
          <w:sz w:val="24"/>
          <w:szCs w:val="24"/>
        </w:rPr>
        <w:t>soldul corecțiilor de tarif calculate conform prevederilor art. 19</w:t>
      </w:r>
      <w:r w:rsidRPr="009D117A">
        <w:rPr>
          <w:rFonts w:ascii="Times New Roman" w:eastAsia="Times New Roman" w:hAnsi="Times New Roman" w:cs="Times New Roman"/>
          <w:sz w:val="24"/>
          <w:szCs w:val="24"/>
        </w:rPr>
        <w:t>.</w:t>
      </w:r>
    </w:p>
    <w:p w:rsidR="006E4E83" w:rsidRPr="009D117A" w:rsidRDefault="006E4E83" w:rsidP="006E4E83">
      <w:pPr>
        <w:spacing w:after="120" w:line="360" w:lineRule="auto"/>
        <w:jc w:val="both"/>
        <w:rPr>
          <w:rFonts w:ascii="Times New Roman" w:eastAsia="Times New Roman" w:hAnsi="Times New Roman" w:cs="Times New Roman"/>
          <w:bCs/>
          <w:sz w:val="24"/>
          <w:szCs w:val="24"/>
        </w:rPr>
      </w:pPr>
    </w:p>
    <w:p w:rsidR="00FD2110" w:rsidRPr="009D117A" w:rsidRDefault="00655FDA" w:rsidP="00FD2110">
      <w:pPr>
        <w:pStyle w:val="Heading1"/>
        <w:rPr>
          <w:lang w:val="ro-RO"/>
        </w:rPr>
      </w:pPr>
      <w:r>
        <w:rPr>
          <w:lang w:val="ro-RO"/>
        </w:rPr>
        <w:t>ETAPE</w:t>
      </w:r>
      <w:r w:rsidR="002104C3" w:rsidRPr="009D117A">
        <w:rPr>
          <w:lang w:val="ro-RO"/>
        </w:rPr>
        <w:t xml:space="preserve"> </w:t>
      </w:r>
      <w:r w:rsidR="00FD2110" w:rsidRPr="009D117A">
        <w:rPr>
          <w:lang w:val="ro-RO"/>
        </w:rPr>
        <w:t>DE STABILIRE A TARIFELOR</w:t>
      </w:r>
    </w:p>
    <w:p w:rsidR="00FD2110" w:rsidRPr="00655FDA" w:rsidRDefault="00FD2110" w:rsidP="00FD2110">
      <w:pPr>
        <w:pStyle w:val="ListParagraph"/>
        <w:numPr>
          <w:ilvl w:val="0"/>
          <w:numId w:val="11"/>
        </w:numPr>
        <w:spacing w:after="120" w:line="360" w:lineRule="auto"/>
        <w:ind w:left="0" w:firstLine="0"/>
        <w:jc w:val="both"/>
        <w:rPr>
          <w:b/>
          <w:bCs/>
        </w:rPr>
      </w:pPr>
      <w:r w:rsidRPr="00655FDA">
        <w:rPr>
          <w:b/>
          <w:bCs/>
        </w:rPr>
        <w:t>Transmiterea datelor de către FUI</w:t>
      </w:r>
    </w:p>
    <w:p w:rsidR="006E4E83" w:rsidRPr="009D117A" w:rsidRDefault="006E4E83" w:rsidP="006E4E83">
      <w:pPr>
        <w:numPr>
          <w:ilvl w:val="0"/>
          <w:numId w:val="14"/>
        </w:numPr>
        <w:tabs>
          <w:tab w:val="num" w:pos="0"/>
          <w:tab w:val="num" w:pos="720"/>
          <w:tab w:val="num" w:pos="851"/>
          <w:tab w:val="num" w:pos="108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(1) Până la data de 1 octombrie a fiecărui an, fiecare FUI trebuie să transmită la ANRE prognoza orară de consum pentru anul calendaristic următor corespunzătoare următoarelor categorii de clienți finali proprii:</w:t>
      </w:r>
    </w:p>
    <w:p w:rsidR="006E4E83" w:rsidRPr="009D117A" w:rsidRDefault="006E4E83" w:rsidP="006E4E83">
      <w:pPr>
        <w:numPr>
          <w:ilvl w:val="1"/>
          <w:numId w:val="11"/>
        </w:numPr>
        <w:spacing w:before="120" w:after="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color w:val="000000"/>
          <w:sz w:val="24"/>
          <w:szCs w:val="24"/>
        </w:rPr>
        <w:t>clienți casnici</w:t>
      </w:r>
      <w:r w:rsidRPr="009D117A">
        <w:rPr>
          <w:rFonts w:ascii="Times New Roman" w:eastAsia="Times New Roman" w:hAnsi="Times New Roman" w:cs="Times New Roman"/>
          <w:sz w:val="24"/>
          <w:szCs w:val="24"/>
        </w:rPr>
        <w:t>;</w:t>
      </w:r>
    </w:p>
    <w:p w:rsidR="006E4E83" w:rsidRPr="009D117A" w:rsidRDefault="006E4E83" w:rsidP="006E4E83">
      <w:pPr>
        <w:numPr>
          <w:ilvl w:val="1"/>
          <w:numId w:val="11"/>
        </w:numPr>
        <w:spacing w:before="120" w:after="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lastRenderedPageBreak/>
        <w:t>clienți non-casnici care beneficiază de SU;</w:t>
      </w:r>
    </w:p>
    <w:p w:rsidR="006E4E83" w:rsidRPr="009D117A" w:rsidRDefault="006E4E83" w:rsidP="006E4E83">
      <w:pPr>
        <w:numPr>
          <w:ilvl w:val="1"/>
          <w:numId w:val="11"/>
        </w:numPr>
        <w:spacing w:before="120" w:after="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clienți non-casnici care </w:t>
      </w:r>
      <w:r w:rsidRPr="009D117A">
        <w:rPr>
          <w:rFonts w:ascii="Times New Roman" w:eastAsia="Times New Roman" w:hAnsi="Times New Roman" w:cs="Times New Roman"/>
          <w:color w:val="000000"/>
          <w:sz w:val="24"/>
          <w:szCs w:val="24"/>
        </w:rPr>
        <w:t>nu au uzat de eligibilitate și nu au dreptul sau nu au solicitat să beneficieze de SU.</w:t>
      </w:r>
    </w:p>
    <w:p w:rsidR="006E4E83" w:rsidRPr="009D117A" w:rsidRDefault="006E4E83" w:rsidP="006E4E83">
      <w:p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Datele prevăzute la alin. (1) se transmit separat pentru fiecare zonă de activitate și fiecare categorie de clienți finali.</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color w:val="000000"/>
          <w:sz w:val="24"/>
          <w:szCs w:val="24"/>
        </w:rPr>
        <w:t xml:space="preserve">- (1) Cu cel puțin 30 de zile înainte de sfârșitul fiecărui an/semestru, fiecare FUI trebuie să </w:t>
      </w:r>
      <w:r w:rsidRPr="009D117A">
        <w:rPr>
          <w:rFonts w:ascii="Times New Roman" w:eastAsia="Times New Roman" w:hAnsi="Times New Roman" w:cs="Times New Roman"/>
          <w:sz w:val="24"/>
          <w:szCs w:val="24"/>
        </w:rPr>
        <w:t>transmită la ANRE documentația privind veniturile, costurile, consumurile de energie și prețurile medii de revenire:</w:t>
      </w:r>
    </w:p>
    <w:p w:rsidR="006E4E83" w:rsidRPr="009D117A" w:rsidRDefault="006E4E83" w:rsidP="006E4E83">
      <w:pPr>
        <w:numPr>
          <w:ilvl w:val="0"/>
          <w:numId w:val="27"/>
        </w:numPr>
        <w:tabs>
          <w:tab w:val="num" w:pos="851"/>
          <w:tab w:val="num" w:pos="1276"/>
        </w:tabs>
        <w:spacing w:after="12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realizate ȋn semestrul anterior;</w:t>
      </w:r>
    </w:p>
    <w:p w:rsidR="006E4E83" w:rsidRPr="009D117A" w:rsidRDefault="006E4E83" w:rsidP="006E4E83">
      <w:pPr>
        <w:numPr>
          <w:ilvl w:val="0"/>
          <w:numId w:val="27"/>
        </w:numPr>
        <w:tabs>
          <w:tab w:val="num" w:pos="851"/>
          <w:tab w:val="num" w:pos="1276"/>
        </w:tabs>
        <w:spacing w:after="12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realizate în primele 4 luni din semestrul curent;</w:t>
      </w:r>
    </w:p>
    <w:p w:rsidR="006E4E83" w:rsidRPr="009D117A" w:rsidRDefault="006E4E83" w:rsidP="006E4E83">
      <w:pPr>
        <w:numPr>
          <w:ilvl w:val="0"/>
          <w:numId w:val="27"/>
        </w:numPr>
        <w:tabs>
          <w:tab w:val="num" w:pos="851"/>
          <w:tab w:val="num" w:pos="1276"/>
        </w:tabs>
        <w:spacing w:after="12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previzionate pentru anul/semestrul următor, </w:t>
      </w:r>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aferente furnizării energiei electrice la tarife reglementate, la tarife CPC şi respectiv la tarife UI, pentru clienții din piața reglementată. </w:t>
      </w:r>
    </w:p>
    <w:p w:rsidR="006E4E83" w:rsidRPr="009D117A" w:rsidRDefault="006E4E83" w:rsidP="006E4E83">
      <w:pPr>
        <w:tabs>
          <w:tab w:val="num" w:pos="851"/>
          <w:tab w:val="num" w:pos="1296"/>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Datele vor fi completate conform machetelor prezentate în Anexa 2 care face parte integrantă din prezenta Metodologie, separat pentru fiecare zonă de activitate, fiecare tip de tarif și, unde este cazul, fiecare nivel de tensiune / categorie de clienți și vor fi însoțite de un memoriu justificativ referitor la:</w:t>
      </w:r>
    </w:p>
    <w:p w:rsidR="006E4E83" w:rsidRPr="009D117A" w:rsidRDefault="006E4E83" w:rsidP="006E4E83">
      <w:pPr>
        <w:numPr>
          <w:ilvl w:val="1"/>
          <w:numId w:val="40"/>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procedura/algoritmul de alocare a achiziției de energie electrică din piețele centralizate pe fiecare categorie de clienți;</w:t>
      </w:r>
    </w:p>
    <w:p w:rsidR="006E4E83" w:rsidRPr="009D117A" w:rsidRDefault="006E4E83" w:rsidP="006E4E83">
      <w:pPr>
        <w:numPr>
          <w:ilvl w:val="1"/>
          <w:numId w:val="40"/>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calculația prețului mediu de achiziție a energiei electrice furnizate;</w:t>
      </w:r>
    </w:p>
    <w:p w:rsidR="006E4E83" w:rsidRPr="009D117A" w:rsidRDefault="006E4E83" w:rsidP="006E4E83">
      <w:pPr>
        <w:numPr>
          <w:ilvl w:val="1"/>
          <w:numId w:val="40"/>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eventuala depășire a limitei prevăzute la art. 8 alin. (1) ȋn cele două perioade anterioare;</w:t>
      </w:r>
    </w:p>
    <w:p w:rsidR="006E4E83" w:rsidRPr="009D117A" w:rsidRDefault="006E4E83" w:rsidP="006E4E83">
      <w:pPr>
        <w:numPr>
          <w:ilvl w:val="1"/>
          <w:numId w:val="40"/>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costurile activității de furnizare și, dacă este cazul, alte elemente de cost;</w:t>
      </w:r>
    </w:p>
    <w:p w:rsidR="006E4E83" w:rsidRPr="009D117A" w:rsidRDefault="006E4E83" w:rsidP="006E4E83">
      <w:pPr>
        <w:numPr>
          <w:ilvl w:val="1"/>
          <w:numId w:val="40"/>
        </w:num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eventualele diferențe de consum ȋn cele trei perioade analizate.</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Transmiterea la ANRE a datelor prevăzute la art. 21 - 22 se face atât prin fax cât și prin e-mail, într-un format electronic prelucrabil (fișiere Excel).</w:t>
      </w:r>
    </w:p>
    <w:p w:rsidR="006E4E83" w:rsidRPr="009D117A" w:rsidRDefault="006E4E83" w:rsidP="006E4E83">
      <w:pPr>
        <w:numPr>
          <w:ilvl w:val="0"/>
          <w:numId w:val="14"/>
        </w:numPr>
        <w:tabs>
          <w:tab w:val="num" w:pos="0"/>
          <w:tab w:val="num" w:pos="720"/>
          <w:tab w:val="num" w:pos="851"/>
          <w:tab w:val="num" w:pos="108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 (1) ANRE poate solicita FUI completarea datelor transmise conform prevederilor art. 21 - 22 cu orice informații suplimentare sau care lipsesc, necesare pentru analiza veniturilor/costurilor/consumurilor estimate, sau corectarea datelor inconsistente. </w:t>
      </w:r>
    </w:p>
    <w:p w:rsidR="006E4E83" w:rsidRPr="009D117A" w:rsidRDefault="006E4E83" w:rsidP="006E4E83">
      <w:pPr>
        <w:spacing w:before="120"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FUI trebuie să transmită la ANRE datele și informațiile solicitate conform prevederilor alin. (1) în termen de 5 z</w:t>
      </w:r>
      <w:r w:rsidR="00716DC9" w:rsidRPr="009D117A">
        <w:rPr>
          <w:rFonts w:ascii="Times New Roman" w:eastAsia="Times New Roman" w:hAnsi="Times New Roman" w:cs="Times New Roman"/>
          <w:sz w:val="24"/>
          <w:szCs w:val="24"/>
        </w:rPr>
        <w:t>ile de la primirea solicitării.</w:t>
      </w:r>
    </w:p>
    <w:p w:rsidR="00716DC9" w:rsidRPr="009D117A" w:rsidRDefault="00716DC9" w:rsidP="006E4E83">
      <w:pPr>
        <w:spacing w:before="120" w:after="120" w:line="360" w:lineRule="auto"/>
        <w:jc w:val="both"/>
        <w:rPr>
          <w:rFonts w:ascii="Times New Roman" w:eastAsia="Times New Roman" w:hAnsi="Times New Roman" w:cs="Times New Roman"/>
          <w:sz w:val="24"/>
          <w:szCs w:val="24"/>
        </w:rPr>
      </w:pPr>
    </w:p>
    <w:p w:rsidR="00FD2110" w:rsidRPr="009D117A" w:rsidRDefault="00655FDA" w:rsidP="00FD2110">
      <w:pPr>
        <w:pStyle w:val="ListParagraph"/>
        <w:numPr>
          <w:ilvl w:val="0"/>
          <w:numId w:val="11"/>
        </w:numPr>
        <w:spacing w:after="120" w:line="360" w:lineRule="auto"/>
        <w:ind w:left="0" w:firstLine="0"/>
        <w:jc w:val="both"/>
        <w:rPr>
          <w:b/>
          <w:bCs/>
        </w:rPr>
      </w:pPr>
      <w:bookmarkStart w:id="22" w:name="_Ref411931892"/>
      <w:r>
        <w:rPr>
          <w:b/>
          <w:bCs/>
        </w:rPr>
        <w:t>Stabilirea d</w:t>
      </w:r>
      <w:r w:rsidR="00FD2110" w:rsidRPr="009D117A">
        <w:rPr>
          <w:b/>
          <w:bCs/>
        </w:rPr>
        <w:t>ate</w:t>
      </w:r>
      <w:r>
        <w:rPr>
          <w:b/>
          <w:bCs/>
        </w:rPr>
        <w:t>lor</w:t>
      </w:r>
      <w:r w:rsidR="00FD2110" w:rsidRPr="009D117A">
        <w:rPr>
          <w:b/>
          <w:bCs/>
        </w:rPr>
        <w:t xml:space="preserve"> de calcul</w:t>
      </w:r>
      <w:r w:rsidR="001259E4">
        <w:rPr>
          <w:b/>
          <w:bCs/>
        </w:rPr>
        <w:t xml:space="preserve"> considerate justificate</w:t>
      </w:r>
      <w:r w:rsidR="0030567D">
        <w:rPr>
          <w:b/>
          <w:bCs/>
        </w:rPr>
        <w:t xml:space="preserve"> </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 (1) ANRE stabilește, după caz, pentru fiecare FUI / zonă de activitate / nivel de tensiune / tip tarif / categorie de clienți, valorile justificate ale următoarelor elemente de cost pentru anul/semestrul următor:</w:t>
      </w:r>
      <w:bookmarkEnd w:id="22"/>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 xml:space="preserve"> </w:t>
      </w:r>
      <w:r w:rsidRPr="009D117A">
        <w:rPr>
          <w:rFonts w:ascii="Times New Roman" w:eastAsia="Times New Roman" w:hAnsi="Times New Roman" w:cs="Times New Roman"/>
          <w:sz w:val="24"/>
          <w:szCs w:val="24"/>
        </w:rPr>
        <w:t xml:space="preserve">tarifele de transport, distribuție, servicii de sistem și operare piață care vor fi luate </w:t>
      </w:r>
      <w:r w:rsidR="00716DC9"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considerare la determinarea veniturilor necesare FUI </w:t>
      </w:r>
      <w:r w:rsidR="00716DC9"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noProof/>
          <w:sz w:val="24"/>
          <w:szCs w:val="24"/>
        </w:rPr>
        <w:t xml:space="preserve"> anul/semestrul următor;</w:t>
      </w:r>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noProof/>
          <w:sz w:val="24"/>
          <w:szCs w:val="24"/>
        </w:rPr>
        <w:t xml:space="preserve">soldul corecțiilor de tarif, determinat pe baza </w:t>
      </w:r>
      <w:r w:rsidRPr="009D117A">
        <w:rPr>
          <w:rFonts w:ascii="Times New Roman" w:eastAsia="Times New Roman" w:hAnsi="Times New Roman" w:cs="Times New Roman"/>
          <w:bCs/>
          <w:sz w:val="24"/>
          <w:szCs w:val="24"/>
        </w:rPr>
        <w:t xml:space="preserve">datelor din raportările lunare transmise de FUI conform prevederilor din Capitolul 4 precum </w:t>
      </w:r>
      <w:r w:rsidR="00716DC9" w:rsidRPr="009D117A">
        <w:rPr>
          <w:rFonts w:ascii="Times New Roman" w:eastAsia="Times New Roman" w:hAnsi="Times New Roman" w:cs="Times New Roman"/>
          <w:bCs/>
          <w:sz w:val="24"/>
          <w:szCs w:val="24"/>
        </w:rPr>
        <w:t>și</w:t>
      </w:r>
      <w:r w:rsidRPr="009D117A">
        <w:rPr>
          <w:rFonts w:ascii="Times New Roman" w:eastAsia="Times New Roman" w:hAnsi="Times New Roman" w:cs="Times New Roman"/>
          <w:bCs/>
          <w:sz w:val="24"/>
          <w:szCs w:val="24"/>
        </w:rPr>
        <w:t xml:space="preserve"> a </w:t>
      </w:r>
      <w:r w:rsidRPr="009D117A">
        <w:rPr>
          <w:rFonts w:ascii="Times New Roman" w:eastAsia="Times New Roman" w:hAnsi="Times New Roman" w:cs="Times New Roman"/>
          <w:sz w:val="24"/>
          <w:szCs w:val="24"/>
        </w:rPr>
        <w:t xml:space="preserve">documentației privind veniturile, costurile, consumurile de energie și prețurile medii de revenire realizate </w:t>
      </w:r>
      <w:r w:rsidR="00716DC9"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semestrul anterior </w:t>
      </w:r>
      <w:r w:rsidR="00716DC9"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respectiv în primele 4 luni din semestrul curent, transmise de FUI conform prevederilor art. 22; </w:t>
      </w:r>
      <w:r w:rsidR="00716DC9"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calculul </w:t>
      </w:r>
      <w:r w:rsidR="00716DC9" w:rsidRPr="009D117A">
        <w:rPr>
          <w:rFonts w:ascii="Times New Roman" w:eastAsia="Times New Roman" w:hAnsi="Times New Roman" w:cs="Times New Roman"/>
          <w:sz w:val="24"/>
          <w:szCs w:val="24"/>
        </w:rPr>
        <w:t>corecțiilor</w:t>
      </w:r>
      <w:r w:rsidRPr="009D117A">
        <w:rPr>
          <w:rFonts w:ascii="Times New Roman" w:eastAsia="Times New Roman" w:hAnsi="Times New Roman" w:cs="Times New Roman"/>
          <w:sz w:val="24"/>
          <w:szCs w:val="24"/>
        </w:rPr>
        <w:t xml:space="preserve"> </w:t>
      </w:r>
      <w:r w:rsidR="001E680E" w:rsidRPr="009D117A">
        <w:rPr>
          <w:rFonts w:ascii="Times New Roman" w:eastAsia="Times New Roman" w:hAnsi="Times New Roman" w:cs="Times New Roman"/>
          <w:sz w:val="24"/>
          <w:szCs w:val="24"/>
        </w:rPr>
        <w:t xml:space="preserve">de tarif </w:t>
      </w:r>
      <w:r w:rsidRPr="009D117A">
        <w:rPr>
          <w:rFonts w:ascii="Times New Roman" w:eastAsia="Times New Roman" w:hAnsi="Times New Roman" w:cs="Times New Roman"/>
          <w:sz w:val="24"/>
          <w:szCs w:val="24"/>
        </w:rPr>
        <w:t xml:space="preserve">se iau in considerare costurile </w:t>
      </w:r>
      <w:r w:rsidR="001E680E" w:rsidRPr="009D117A">
        <w:rPr>
          <w:rFonts w:ascii="Times New Roman" w:eastAsia="Times New Roman" w:hAnsi="Times New Roman" w:cs="Times New Roman"/>
          <w:sz w:val="24"/>
          <w:szCs w:val="24"/>
        </w:rPr>
        <w:t xml:space="preserve">unitare ale activității </w:t>
      </w:r>
      <w:r w:rsidRPr="009D117A">
        <w:rPr>
          <w:rFonts w:ascii="Times New Roman" w:eastAsia="Times New Roman" w:hAnsi="Times New Roman" w:cs="Times New Roman"/>
          <w:sz w:val="24"/>
          <w:szCs w:val="24"/>
        </w:rPr>
        <w:t>de furnizare stabilit</w:t>
      </w:r>
      <w:r w:rsidR="00AB70F1" w:rsidRPr="009D117A">
        <w:rPr>
          <w:rFonts w:ascii="Times New Roman" w:eastAsia="Times New Roman" w:hAnsi="Times New Roman" w:cs="Times New Roman"/>
          <w:sz w:val="24"/>
          <w:szCs w:val="24"/>
        </w:rPr>
        <w:t>e</w:t>
      </w:r>
      <w:r w:rsidRPr="009D117A">
        <w:rPr>
          <w:rFonts w:ascii="Times New Roman" w:eastAsia="Times New Roman" w:hAnsi="Times New Roman" w:cs="Times New Roman"/>
          <w:sz w:val="24"/>
          <w:szCs w:val="24"/>
        </w:rPr>
        <w:t xml:space="preserve"> conform prevederilor de la lit. e) si de la alin. (2).</w:t>
      </w:r>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rPr>
        <w:t>cantitatea totală de energie electrică</w:t>
      </w:r>
      <w:r w:rsidRPr="009D117A">
        <w:rPr>
          <w:rFonts w:ascii="Times New Roman" w:eastAsia="Times New Roman" w:hAnsi="Times New Roman" w:cs="Times New Roman"/>
          <w:sz w:val="24"/>
          <w:szCs w:val="24"/>
          <w:lang w:eastAsia="ro-RO"/>
        </w:rPr>
        <w:t xml:space="preserve">, prețul mediu de achiziție a energiei electrice </w:t>
      </w:r>
      <w:r w:rsidRPr="009D117A">
        <w:rPr>
          <w:rFonts w:ascii="Times New Roman" w:eastAsia="Times New Roman" w:hAnsi="Times New Roman" w:cs="Times New Roman"/>
          <w:noProof/>
          <w:sz w:val="24"/>
          <w:szCs w:val="24"/>
        </w:rPr>
        <w:t xml:space="preserve">și costurile cu achiziția energiei electrice </w:t>
      </w:r>
      <w:r w:rsidRPr="009D117A">
        <w:rPr>
          <w:rFonts w:ascii="Times New Roman" w:eastAsia="Times New Roman" w:hAnsi="Times New Roman" w:cs="Times New Roman"/>
          <w:sz w:val="24"/>
          <w:szCs w:val="24"/>
        </w:rPr>
        <w:t xml:space="preserve">din contractele reglementate ale FUI </w:t>
      </w:r>
      <w:r w:rsidR="00716DC9"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anul/semestrul următor</w:t>
      </w:r>
      <w:r w:rsidRPr="009D117A">
        <w:rPr>
          <w:rFonts w:ascii="Times New Roman" w:eastAsia="Times New Roman" w:hAnsi="Times New Roman" w:cs="Times New Roman"/>
          <w:noProof/>
          <w:sz w:val="24"/>
          <w:szCs w:val="24"/>
        </w:rPr>
        <w:t xml:space="preserve">, determinate pe baza deciziilor emise de ANRE </w:t>
      </w:r>
      <w:r w:rsidRPr="009D117A">
        <w:rPr>
          <w:rFonts w:ascii="Times New Roman" w:eastAsia="Times New Roman" w:hAnsi="Times New Roman" w:cs="Times New Roman"/>
          <w:sz w:val="24"/>
          <w:szCs w:val="24"/>
        </w:rPr>
        <w:t>conform prevederilor Metodologiei de stabilire contracte reglementate;</w:t>
      </w:r>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lang w:eastAsia="ro-RO"/>
        </w:rPr>
        <w:t xml:space="preserve">prețul mediu de achiziție a energiei electrice furnizate la tarife CPC, care va fi luat ȋn considerare </w:t>
      </w:r>
      <w:r w:rsidRPr="009D117A">
        <w:rPr>
          <w:rFonts w:ascii="Times New Roman" w:eastAsia="Times New Roman" w:hAnsi="Times New Roman" w:cs="Times New Roman"/>
          <w:noProof/>
          <w:sz w:val="24"/>
          <w:szCs w:val="24"/>
        </w:rPr>
        <w:t xml:space="preserve">la </w:t>
      </w:r>
      <w:r w:rsidRPr="009D117A">
        <w:rPr>
          <w:rFonts w:ascii="Times New Roman" w:eastAsia="Times New Roman" w:hAnsi="Times New Roman" w:cs="Times New Roman"/>
          <w:sz w:val="24"/>
          <w:szCs w:val="24"/>
        </w:rPr>
        <w:t>determinarea veniturilor necesare FUI în</w:t>
      </w:r>
      <w:r w:rsidRPr="009D117A">
        <w:rPr>
          <w:rFonts w:ascii="Times New Roman" w:eastAsia="Times New Roman" w:hAnsi="Times New Roman" w:cs="Times New Roman"/>
          <w:noProof/>
          <w:sz w:val="24"/>
          <w:szCs w:val="24"/>
        </w:rPr>
        <w:t xml:space="preserve"> anul/semestrul următor, determinat conform prevederilor din Secțiunea 2.3;</w:t>
      </w:r>
    </w:p>
    <w:p w:rsidR="006E4E83" w:rsidRPr="009D117A" w:rsidRDefault="006E4E83" w:rsidP="006E4E83">
      <w:pPr>
        <w:numPr>
          <w:ilvl w:val="0"/>
          <w:numId w:val="28"/>
        </w:numPr>
        <w:spacing w:after="120" w:line="360" w:lineRule="auto"/>
        <w:jc w:val="both"/>
        <w:rPr>
          <w:rFonts w:ascii="Times New Roman" w:eastAsia="Times New Roman" w:hAnsi="Times New Roman" w:cs="Times New Roman"/>
          <w:sz w:val="24"/>
          <w:szCs w:val="24"/>
          <w:lang w:eastAsia="ro-RO"/>
        </w:rPr>
      </w:pPr>
      <w:r w:rsidRPr="009D117A">
        <w:rPr>
          <w:rFonts w:ascii="Times New Roman" w:eastAsia="Times New Roman" w:hAnsi="Times New Roman" w:cs="Times New Roman"/>
          <w:sz w:val="24"/>
          <w:szCs w:val="24"/>
          <w:lang w:eastAsia="ro-RO"/>
        </w:rPr>
        <w:t>costul unitar al activității de furnizare a energiei electrice (</w:t>
      </w:r>
      <m:oMath>
        <m:sSub>
          <m:sSubPr>
            <m:ctrlPr>
              <w:rPr>
                <w:rFonts w:ascii="Cambria Math" w:eastAsia="Times New Roman" w:hAnsi="Cambria Math" w:cs="Times New Roman"/>
                <w:i/>
                <w:sz w:val="24"/>
                <w:szCs w:val="24"/>
                <w:lang w:eastAsia="ro-RO"/>
              </w:rPr>
            </m:ctrlPr>
          </m:sSubPr>
          <m:e>
            <m:r>
              <w:rPr>
                <w:rFonts w:ascii="Cambria Math" w:eastAsia="Times New Roman" w:hAnsi="Cambria Math" w:cs="Times New Roman"/>
                <w:sz w:val="24"/>
                <w:szCs w:val="24"/>
                <w:lang w:eastAsia="ro-RO"/>
              </w:rPr>
              <m:t>c</m:t>
            </m:r>
          </m:e>
          <m:sub>
            <m:r>
              <w:rPr>
                <w:rFonts w:ascii="Cambria Math" w:eastAsia="Times New Roman" w:hAnsi="Cambria Math" w:cs="Times New Roman"/>
                <w:sz w:val="24"/>
                <w:szCs w:val="24"/>
                <w:lang w:eastAsia="ro-RO"/>
              </w:rPr>
              <m:t>F</m:t>
            </m:r>
          </m:sub>
        </m:sSub>
      </m:oMath>
      <w:r w:rsidRPr="009D117A">
        <w:rPr>
          <w:rFonts w:ascii="Times New Roman" w:eastAsia="Times New Roman" w:hAnsi="Times New Roman" w:cs="Times New Roman"/>
          <w:sz w:val="24"/>
          <w:szCs w:val="24"/>
          <w:lang w:eastAsia="ro-RO"/>
        </w:rPr>
        <w:t xml:space="preserve">), în [lei/client/lună], determinat de ANRE pe baza datelor </w:t>
      </w:r>
      <w:r w:rsidRPr="009D117A">
        <w:rPr>
          <w:rFonts w:ascii="Times New Roman" w:eastAsia="Times New Roman" w:hAnsi="Times New Roman" w:cs="Times New Roman"/>
          <w:bCs/>
          <w:sz w:val="24"/>
          <w:szCs w:val="24"/>
        </w:rPr>
        <w:t xml:space="preserve">din raportările lunare transmise de FUI conform prevederilor din Capitolul 4 precum și a datelor și informațiilor din </w:t>
      </w:r>
      <w:r w:rsidRPr="009D117A">
        <w:rPr>
          <w:rFonts w:ascii="Times New Roman" w:eastAsia="Times New Roman" w:hAnsi="Times New Roman" w:cs="Times New Roman"/>
          <w:sz w:val="24"/>
          <w:szCs w:val="24"/>
        </w:rPr>
        <w:t>documentația transmisă de FUI conform prevederilor art. 22, cu luarea ȋn considerare a ratei inflației estimată pentru anul/semestrul următor</w:t>
      </w:r>
      <w:r w:rsidRPr="009D117A">
        <w:rPr>
          <w:rFonts w:ascii="Times New Roman" w:eastAsia="Times New Roman" w:hAnsi="Times New Roman" w:cs="Times New Roman"/>
          <w:sz w:val="24"/>
          <w:szCs w:val="24"/>
          <w:lang w:eastAsia="ro-RO"/>
        </w:rPr>
        <w:t>;</w:t>
      </w:r>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sz w:val="24"/>
          <w:szCs w:val="24"/>
          <w:lang w:eastAsia="ro-RO"/>
        </w:rPr>
        <w:t>profitul unitar al activității de</w:t>
      </w:r>
      <w:r w:rsidR="0030567D">
        <w:rPr>
          <w:rFonts w:ascii="Times New Roman" w:eastAsia="Times New Roman" w:hAnsi="Times New Roman" w:cs="Times New Roman"/>
          <w:sz w:val="24"/>
          <w:szCs w:val="24"/>
          <w:lang w:eastAsia="ro-RO"/>
        </w:rPr>
        <w:t xml:space="preserve"> furnizare a energiei electrice in valoare de 4 lei/MWh</w:t>
      </w:r>
      <w:r w:rsidRPr="009D117A">
        <w:rPr>
          <w:rFonts w:ascii="Times New Roman" w:eastAsia="Times New Roman" w:hAnsi="Times New Roman" w:cs="Times New Roman"/>
          <w:sz w:val="24"/>
          <w:szCs w:val="24"/>
          <w:lang w:eastAsia="ro-RO"/>
        </w:rPr>
        <w:t>;</w:t>
      </w:r>
    </w:p>
    <w:p w:rsidR="006E4E83" w:rsidRPr="009D117A" w:rsidRDefault="006E4E83" w:rsidP="006E4E83">
      <w:pPr>
        <w:numPr>
          <w:ilvl w:val="0"/>
          <w:numId w:val="28"/>
        </w:numPr>
        <w:tabs>
          <w:tab w:val="num" w:pos="720"/>
          <w:tab w:val="num" w:pos="1080"/>
        </w:tabs>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color w:val="000000"/>
          <w:sz w:val="24"/>
          <w:szCs w:val="24"/>
        </w:rPr>
        <w:t>sumele aferente reducerii previzionate de venit datorită diminuării componentelor fixe ale tarifelor reglementate ca urmare a creșterii procentului de achiziție din piața concurențială</w:t>
      </w:r>
      <w:r w:rsidRPr="009D117A">
        <w:rPr>
          <w:rFonts w:ascii="Times New Roman" w:eastAsia="Times New Roman" w:hAnsi="Times New Roman" w:cs="Times New Roman"/>
          <w:sz w:val="24"/>
          <w:szCs w:val="24"/>
          <w:lang w:eastAsia="ro-RO"/>
        </w:rPr>
        <w:t>.</w:t>
      </w:r>
    </w:p>
    <w:p w:rsidR="006E4E83" w:rsidRPr="009D117A" w:rsidRDefault="006E4E83" w:rsidP="006E4E83">
      <w:pPr>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(2) In cazul clienților casnici</w:t>
      </w:r>
      <w:r w:rsidR="00EB20CC" w:rsidRPr="009D117A">
        <w:rPr>
          <w:rFonts w:ascii="Times New Roman" w:eastAsia="Times New Roman" w:hAnsi="Times New Roman" w:cs="Times New Roman"/>
          <w:noProof/>
          <w:sz w:val="24"/>
          <w:szCs w:val="24"/>
        </w:rPr>
        <w:t>, pe baza</w:t>
      </w:r>
      <w:r w:rsidRPr="009D117A">
        <w:rPr>
          <w:rFonts w:ascii="Times New Roman" w:eastAsia="Times New Roman" w:hAnsi="Times New Roman" w:cs="Times New Roman"/>
          <w:noProof/>
          <w:sz w:val="24"/>
          <w:szCs w:val="24"/>
        </w:rPr>
        <w:t xml:space="preserve"> costul</w:t>
      </w:r>
      <w:r w:rsidR="00EB20CC" w:rsidRPr="009D117A">
        <w:rPr>
          <w:rFonts w:ascii="Times New Roman" w:eastAsia="Times New Roman" w:hAnsi="Times New Roman" w:cs="Times New Roman"/>
          <w:noProof/>
          <w:sz w:val="24"/>
          <w:szCs w:val="24"/>
        </w:rPr>
        <w:t>ui unitar</w:t>
      </w:r>
      <w:r w:rsidRPr="009D117A">
        <w:rPr>
          <w:rFonts w:ascii="Times New Roman" w:eastAsia="Times New Roman" w:hAnsi="Times New Roman" w:cs="Times New Roman"/>
          <w:noProof/>
          <w:sz w:val="24"/>
          <w:szCs w:val="24"/>
        </w:rPr>
        <w:t xml:space="preserve"> prevazut la alin. (1) lit. e)  se </w:t>
      </w:r>
      <w:r w:rsidR="00EB20CC" w:rsidRPr="009D117A">
        <w:rPr>
          <w:rFonts w:ascii="Times New Roman" w:eastAsia="Times New Roman" w:hAnsi="Times New Roman" w:cs="Times New Roman"/>
          <w:noProof/>
          <w:sz w:val="24"/>
          <w:szCs w:val="24"/>
        </w:rPr>
        <w:t>determină</w:t>
      </w:r>
      <w:r w:rsidRPr="009D117A">
        <w:rPr>
          <w:rFonts w:ascii="Times New Roman" w:eastAsia="Times New Roman" w:hAnsi="Times New Roman" w:cs="Times New Roman"/>
          <w:noProof/>
          <w:sz w:val="24"/>
          <w:szCs w:val="24"/>
        </w:rPr>
        <w:t xml:space="preserve"> doua componente</w:t>
      </w:r>
      <w:r w:rsidR="00EB20CC" w:rsidRPr="009D117A">
        <w:rPr>
          <w:rFonts w:ascii="Times New Roman" w:eastAsia="Times New Roman" w:hAnsi="Times New Roman" w:cs="Times New Roman"/>
          <w:noProof/>
          <w:sz w:val="24"/>
          <w:szCs w:val="24"/>
        </w:rPr>
        <w:t xml:space="preserve"> de cost </w:t>
      </w:r>
      <w:r w:rsidR="00AB70F1" w:rsidRPr="009D117A">
        <w:rPr>
          <w:rFonts w:ascii="Times New Roman" w:eastAsia="Times New Roman" w:hAnsi="Times New Roman" w:cs="Times New Roman"/>
          <w:noProof/>
          <w:sz w:val="24"/>
          <w:szCs w:val="24"/>
        </w:rPr>
        <w:t>unitar al activității de furnizare</w:t>
      </w:r>
      <w:r w:rsidRPr="009D117A">
        <w:rPr>
          <w:rFonts w:ascii="Times New Roman" w:eastAsia="Times New Roman" w:hAnsi="Times New Roman" w:cs="Times New Roman"/>
          <w:noProof/>
          <w:sz w:val="24"/>
          <w:szCs w:val="24"/>
        </w:rPr>
        <w:t xml:space="preserve">: </w:t>
      </w:r>
    </w:p>
    <w:p w:rsidR="006E4E83" w:rsidRPr="009D117A" w:rsidRDefault="006E4E83" w:rsidP="00716DC9">
      <w:pPr>
        <w:pStyle w:val="ListParagraph"/>
        <w:numPr>
          <w:ilvl w:val="1"/>
          <w:numId w:val="11"/>
        </w:numPr>
        <w:spacing w:after="120" w:line="360" w:lineRule="auto"/>
        <w:jc w:val="both"/>
        <w:rPr>
          <w:noProof/>
        </w:rPr>
      </w:pPr>
      <w:r w:rsidRPr="009D117A">
        <w:rPr>
          <w:noProof/>
        </w:rPr>
        <w:lastRenderedPageBreak/>
        <w:t xml:space="preserve">costul unitar al activitatii de furnizare </w:t>
      </w:r>
      <w:r w:rsidR="00EB20CC" w:rsidRPr="009D117A">
        <w:rPr>
          <w:lang w:eastAsia="ro-RO"/>
        </w:rPr>
        <w:t xml:space="preserve">a energiei electrice către clienții casnici, la </w:t>
      </w:r>
      <w:r w:rsidRPr="009D117A">
        <w:rPr>
          <w:noProof/>
        </w:rPr>
        <w:t>tarif</w:t>
      </w:r>
      <w:r w:rsidR="00417D66" w:rsidRPr="009D117A">
        <w:rPr>
          <w:noProof/>
        </w:rPr>
        <w:t>e</w:t>
      </w:r>
      <w:r w:rsidRPr="009D117A">
        <w:rPr>
          <w:noProof/>
        </w:rPr>
        <w:t xml:space="preserve"> CPC (</w:t>
      </w:r>
      <m:oMath>
        <m:sSubSup>
          <m:sSubSupPr>
            <m:ctrlPr>
              <w:rPr>
                <w:rFonts w:ascii="Cambria Math" w:hAnsi="Cambria Math"/>
                <w:i/>
                <w:noProof/>
              </w:rPr>
            </m:ctrlPr>
          </m:sSubSupPr>
          <m:e>
            <m:r>
              <w:rPr>
                <w:rFonts w:ascii="Cambria Math" w:hAnsi="Cambria Math"/>
                <w:noProof/>
              </w:rPr>
              <m:t>c</m:t>
            </m:r>
          </m:e>
          <m:sub>
            <m:r>
              <w:rPr>
                <w:rFonts w:ascii="Cambria Math" w:hAnsi="Cambria Math"/>
                <w:noProof/>
              </w:rPr>
              <m:t>F</m:t>
            </m:r>
          </m:sub>
          <m:sup>
            <m:r>
              <w:rPr>
                <w:rFonts w:ascii="Cambria Math" w:hAnsi="Cambria Math"/>
                <w:noProof/>
              </w:rPr>
              <m:t>C,CPC</m:t>
            </m:r>
          </m:sup>
        </m:sSubSup>
      </m:oMath>
      <w:r w:rsidRPr="009D117A">
        <w:rPr>
          <w:noProof/>
        </w:rPr>
        <w:t xml:space="preserve">), </w:t>
      </w:r>
      <w:r w:rsidR="00417D66" w:rsidRPr="009D117A">
        <w:rPr>
          <w:noProof/>
        </w:rPr>
        <w:t>reprezentȋnd cota parte din</w:t>
      </w:r>
      <w:r w:rsidRPr="009D117A">
        <w:rPr>
          <w:noProof/>
        </w:rPr>
        <w:t xml:space="preserve"> </w:t>
      </w:r>
      <w:r w:rsidR="00C01FFF" w:rsidRPr="009D117A">
        <w:rPr>
          <w:noProof/>
        </w:rPr>
        <w:t xml:space="preserve">valoarea </w:t>
      </w:r>
      <m:oMath>
        <m:sSub>
          <m:sSubPr>
            <m:ctrlPr>
              <w:rPr>
                <w:rFonts w:ascii="Cambria Math" w:hAnsi="Cambria Math"/>
                <w:i/>
                <w:lang w:eastAsia="ro-RO"/>
              </w:rPr>
            </m:ctrlPr>
          </m:sSubPr>
          <m:e>
            <m:r>
              <w:rPr>
                <w:rFonts w:ascii="Cambria Math" w:hAnsi="Cambria Math"/>
                <w:lang w:eastAsia="ro-RO"/>
              </w:rPr>
              <m:t>c</m:t>
            </m:r>
          </m:e>
          <m:sub>
            <m:r>
              <w:rPr>
                <w:rFonts w:ascii="Cambria Math" w:hAnsi="Cambria Math"/>
                <w:lang w:eastAsia="ro-RO"/>
              </w:rPr>
              <m:t>F</m:t>
            </m:r>
          </m:sub>
        </m:sSub>
      </m:oMath>
      <w:r w:rsidRPr="009D117A">
        <w:rPr>
          <w:noProof/>
        </w:rPr>
        <w:t xml:space="preserve"> </w:t>
      </w:r>
      <w:r w:rsidR="00417D66" w:rsidRPr="009D117A">
        <w:rPr>
          <w:noProof/>
        </w:rPr>
        <w:t xml:space="preserve">corespunzătoare </w:t>
      </w:r>
      <w:r w:rsidRPr="009D117A">
        <w:rPr>
          <w:noProof/>
        </w:rPr>
        <w:t>procentul</w:t>
      </w:r>
      <w:r w:rsidR="00417D66" w:rsidRPr="009D117A">
        <w:rPr>
          <w:noProof/>
        </w:rPr>
        <w:t>ui</w:t>
      </w:r>
      <w:r w:rsidRPr="009D117A">
        <w:rPr>
          <w:noProof/>
        </w:rPr>
        <w:t xml:space="preserve"> de achiziție din piața concurențială </w:t>
      </w:r>
      <w:r w:rsidR="00417D66" w:rsidRPr="009D117A">
        <w:rPr>
          <w:noProof/>
        </w:rPr>
        <w:t>aplicabil din</w:t>
      </w:r>
      <w:r w:rsidRPr="009D117A">
        <w:rPr>
          <w:noProof/>
        </w:rPr>
        <w:t xml:space="preserve"> </w:t>
      </w:r>
      <w:r w:rsidR="001E680E" w:rsidRPr="009D117A">
        <w:rPr>
          <w:noProof/>
        </w:rPr>
        <w:t xml:space="preserve">Calendarul de eliminare a tarifelor reglementate </w:t>
      </w:r>
      <w:r w:rsidR="00417D66" w:rsidRPr="009D117A">
        <w:rPr>
          <w:noProof/>
        </w:rPr>
        <w:t>prevăzut</w:t>
      </w:r>
      <w:r w:rsidR="001E680E" w:rsidRPr="009D117A">
        <w:rPr>
          <w:noProof/>
        </w:rPr>
        <w:t xml:space="preserve"> </w:t>
      </w:r>
      <w:r w:rsidR="00716DC9" w:rsidRPr="009D117A">
        <w:rPr>
          <w:noProof/>
        </w:rPr>
        <w:t xml:space="preserve">ȋn </w:t>
      </w:r>
      <w:r w:rsidRPr="009D117A">
        <w:rPr>
          <w:noProof/>
        </w:rPr>
        <w:t>anexa 1</w:t>
      </w:r>
      <w:r w:rsidR="00AB70F1" w:rsidRPr="009D117A">
        <w:rPr>
          <w:noProof/>
        </w:rPr>
        <w:t xml:space="preserve"> la prezenta Metodologie</w:t>
      </w:r>
      <w:r w:rsidRPr="009D117A">
        <w:rPr>
          <w:noProof/>
        </w:rPr>
        <w:t>.</w:t>
      </w:r>
    </w:p>
    <w:p w:rsidR="006E4E83" w:rsidRPr="009D117A" w:rsidRDefault="006E4E83" w:rsidP="00716DC9">
      <w:pPr>
        <w:pStyle w:val="ListParagraph"/>
        <w:numPr>
          <w:ilvl w:val="1"/>
          <w:numId w:val="11"/>
        </w:numPr>
        <w:spacing w:after="120" w:line="360" w:lineRule="auto"/>
        <w:jc w:val="both"/>
        <w:rPr>
          <w:noProof/>
        </w:rPr>
      </w:pPr>
      <w:r w:rsidRPr="009D117A">
        <w:rPr>
          <w:noProof/>
        </w:rPr>
        <w:t xml:space="preserve">costul unitar al activitatii de furnizare </w:t>
      </w:r>
      <w:r w:rsidR="00EB20CC" w:rsidRPr="009D117A">
        <w:rPr>
          <w:lang w:eastAsia="ro-RO"/>
        </w:rPr>
        <w:t xml:space="preserve">a energiei electrice către clienții casnici, la </w:t>
      </w:r>
      <w:r w:rsidRPr="009D117A">
        <w:rPr>
          <w:noProof/>
        </w:rPr>
        <w:t xml:space="preserve">tarife reglementate </w:t>
      </w:r>
      <m:oMath>
        <m:sSubSup>
          <m:sSubSupPr>
            <m:ctrlPr>
              <w:rPr>
                <w:rFonts w:ascii="Cambria Math" w:hAnsi="Cambria Math"/>
                <w:i/>
                <w:noProof/>
              </w:rPr>
            </m:ctrlPr>
          </m:sSubSupPr>
          <m:e>
            <m:r>
              <w:rPr>
                <w:rFonts w:ascii="Cambria Math" w:hAnsi="Cambria Math"/>
                <w:noProof/>
              </w:rPr>
              <m:t>(c</m:t>
            </m:r>
          </m:e>
          <m:sub>
            <m:r>
              <w:rPr>
                <w:rFonts w:ascii="Cambria Math" w:hAnsi="Cambria Math"/>
                <w:noProof/>
              </w:rPr>
              <m:t>F</m:t>
            </m:r>
          </m:sub>
          <m:sup>
            <m:r>
              <w:rPr>
                <w:rFonts w:ascii="Cambria Math" w:hAnsi="Cambria Math"/>
                <w:noProof/>
              </w:rPr>
              <m:t>C,TR</m:t>
            </m:r>
          </m:sup>
        </m:sSubSup>
      </m:oMath>
      <w:r w:rsidRPr="009D117A">
        <w:rPr>
          <w:noProof/>
        </w:rPr>
        <w:t xml:space="preserve">), determinat ca diferenta intre </w:t>
      </w:r>
      <m:oMath>
        <m:sSub>
          <m:sSubPr>
            <m:ctrlPr>
              <w:rPr>
                <w:rFonts w:ascii="Cambria Math" w:hAnsi="Cambria Math"/>
                <w:i/>
                <w:lang w:eastAsia="ro-RO"/>
              </w:rPr>
            </m:ctrlPr>
          </m:sSubPr>
          <m:e>
            <m:r>
              <w:rPr>
                <w:rFonts w:ascii="Cambria Math" w:hAnsi="Cambria Math"/>
                <w:lang w:eastAsia="ro-RO"/>
              </w:rPr>
              <m:t>c</m:t>
            </m:r>
          </m:e>
          <m:sub>
            <m:r>
              <w:rPr>
                <w:rFonts w:ascii="Cambria Math" w:hAnsi="Cambria Math"/>
                <w:lang w:eastAsia="ro-RO"/>
              </w:rPr>
              <m:t>F</m:t>
            </m:r>
          </m:sub>
        </m:sSub>
      </m:oMath>
      <w:r w:rsidRPr="009D117A">
        <w:rPr>
          <w:noProof/>
        </w:rPr>
        <w:t xml:space="preserve">  si </w:t>
      </w:r>
      <m:oMath>
        <m:sSubSup>
          <m:sSubSupPr>
            <m:ctrlPr>
              <w:rPr>
                <w:rFonts w:ascii="Cambria Math" w:hAnsi="Cambria Math"/>
                <w:i/>
                <w:noProof/>
              </w:rPr>
            </m:ctrlPr>
          </m:sSubSupPr>
          <m:e>
            <m:r>
              <w:rPr>
                <w:rFonts w:ascii="Cambria Math" w:hAnsi="Cambria Math"/>
                <w:noProof/>
              </w:rPr>
              <m:t>c</m:t>
            </m:r>
          </m:e>
          <m:sub>
            <m:r>
              <w:rPr>
                <w:rFonts w:ascii="Cambria Math" w:hAnsi="Cambria Math"/>
                <w:noProof/>
              </w:rPr>
              <m:t>F</m:t>
            </m:r>
          </m:sub>
          <m:sup>
            <m:r>
              <w:rPr>
                <w:rFonts w:ascii="Cambria Math" w:hAnsi="Cambria Math"/>
                <w:noProof/>
              </w:rPr>
              <m:t>C,CPC</m:t>
            </m:r>
          </m:sup>
        </m:sSubSup>
      </m:oMath>
      <w:r w:rsidRPr="009D117A">
        <w:rPr>
          <w:noProof/>
        </w:rPr>
        <w:t>;</w:t>
      </w:r>
    </w:p>
    <w:p w:rsidR="006E4E83" w:rsidRPr="009D117A" w:rsidRDefault="006E4E83" w:rsidP="006E4E83">
      <w:pPr>
        <w:spacing w:after="120" w:line="360" w:lineRule="auto"/>
        <w:jc w:val="both"/>
        <w:rPr>
          <w:rFonts w:ascii="Times New Roman" w:eastAsia="Times New Roman" w:hAnsi="Times New Roman" w:cs="Times New Roman"/>
          <w:noProof/>
          <w:sz w:val="24"/>
          <w:szCs w:val="24"/>
        </w:rPr>
      </w:pPr>
      <w:r w:rsidRPr="009D117A">
        <w:rPr>
          <w:rFonts w:ascii="Times New Roman" w:eastAsia="Times New Roman" w:hAnsi="Times New Roman" w:cs="Times New Roman"/>
          <w:noProof/>
          <w:sz w:val="24"/>
          <w:szCs w:val="24"/>
        </w:rPr>
        <w:t>(3) Valorile justificate ale elementelor de cost prevăzute la alin. (1) lit. e)  și f) sunt aceleași pentru toți FUI.</w:t>
      </w:r>
    </w:p>
    <w:p w:rsidR="00FD2110" w:rsidRPr="009D117A" w:rsidRDefault="00FD2110" w:rsidP="00FD2110">
      <w:pPr>
        <w:pStyle w:val="ListParagraph"/>
        <w:numPr>
          <w:ilvl w:val="0"/>
          <w:numId w:val="11"/>
        </w:numPr>
        <w:spacing w:after="120" w:line="360" w:lineRule="auto"/>
        <w:ind w:left="0" w:firstLine="0"/>
        <w:jc w:val="both"/>
        <w:rPr>
          <w:b/>
          <w:bCs/>
        </w:rPr>
      </w:pPr>
      <w:r w:rsidRPr="009D117A">
        <w:rPr>
          <w:b/>
          <w:bCs/>
        </w:rPr>
        <w:t>Tarife reglementate</w:t>
      </w:r>
    </w:p>
    <w:p w:rsidR="006E4E83" w:rsidRPr="009D117A" w:rsidRDefault="006E4E83" w:rsidP="006E4E83">
      <w:pPr>
        <w:numPr>
          <w:ilvl w:val="0"/>
          <w:numId w:val="14"/>
        </w:numPr>
        <w:tabs>
          <w:tab w:val="num" w:pos="0"/>
          <w:tab w:val="num" w:pos="709"/>
          <w:tab w:val="num" w:pos="851"/>
        </w:tabs>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
          <w:bCs/>
          <w:sz w:val="24"/>
          <w:szCs w:val="24"/>
        </w:rPr>
        <w:t>–</w:t>
      </w:r>
      <w:r w:rsidRPr="009D117A">
        <w:rPr>
          <w:rFonts w:ascii="Times New Roman" w:eastAsia="Times New Roman" w:hAnsi="Times New Roman" w:cs="Times New Roman"/>
          <w:bCs/>
          <w:sz w:val="24"/>
          <w:szCs w:val="24"/>
        </w:rPr>
        <w:t xml:space="preserve"> (1) P</w:t>
      </w:r>
      <w:r w:rsidRPr="009D117A">
        <w:rPr>
          <w:rFonts w:ascii="Times New Roman" w:eastAsia="Times New Roman" w:hAnsi="Times New Roman" w:cs="Times New Roman"/>
          <w:sz w:val="24"/>
          <w:szCs w:val="24"/>
        </w:rPr>
        <w:t xml:space="preserve">e perioada calendarului de eliminare a tarifelor reglementate, </w:t>
      </w:r>
      <w:r w:rsidRPr="009D117A">
        <w:rPr>
          <w:rFonts w:ascii="Times New Roman" w:eastAsia="Times New Roman" w:hAnsi="Times New Roman" w:cs="Times New Roman"/>
          <w:bCs/>
          <w:sz w:val="24"/>
          <w:szCs w:val="24"/>
        </w:rPr>
        <w:t xml:space="preserve">ANRE poate ajusta anual/semestrial </w:t>
      </w:r>
      <w:r w:rsidRPr="009D117A">
        <w:rPr>
          <w:rFonts w:ascii="Times New Roman" w:eastAsia="Times New Roman" w:hAnsi="Times New Roman" w:cs="Times New Roman"/>
          <w:iCs/>
          <w:sz w:val="24"/>
          <w:szCs w:val="24"/>
        </w:rPr>
        <w:t>tarifele reglementate de energie electrică, din proprie inițiativă sau la solicitarea FUI, pe baza</w:t>
      </w:r>
      <w:r w:rsidRPr="009D117A">
        <w:rPr>
          <w:rFonts w:ascii="Times New Roman" w:eastAsia="Times New Roman" w:hAnsi="Times New Roman" w:cs="Times New Roman"/>
          <w:color w:val="000000"/>
          <w:sz w:val="24"/>
          <w:szCs w:val="24"/>
        </w:rPr>
        <w:t>:</w:t>
      </w:r>
    </w:p>
    <w:p w:rsidR="006E4E83" w:rsidRPr="009D117A" w:rsidRDefault="006E4E83" w:rsidP="006E4E83">
      <w:pPr>
        <w:numPr>
          <w:ilvl w:val="0"/>
          <w:numId w:val="22"/>
        </w:numPr>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color w:val="000000"/>
          <w:sz w:val="24"/>
          <w:szCs w:val="24"/>
        </w:rPr>
        <w:t xml:space="preserve">documentației aferente furnizării energiei electrice la tarife reglementate, transmisă de fiecare FUI </w:t>
      </w:r>
      <w:r w:rsidRPr="009D117A">
        <w:rPr>
          <w:rFonts w:ascii="Times New Roman" w:eastAsia="Times New Roman" w:hAnsi="Times New Roman" w:cs="Times New Roman"/>
          <w:bCs/>
          <w:sz w:val="24"/>
          <w:szCs w:val="24"/>
        </w:rPr>
        <w:t>conform prevederilor art. 22;</w:t>
      </w:r>
    </w:p>
    <w:p w:rsidR="006E4E83" w:rsidRPr="009D117A" w:rsidRDefault="006E4E83" w:rsidP="006E4E83">
      <w:pPr>
        <w:numPr>
          <w:ilvl w:val="0"/>
          <w:numId w:val="22"/>
        </w:numPr>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t>datelor privind prognoza orară de consum pentru anul următor aferentă clienților casnici care nu au uzat de eligibilitate, transmise de FUI conform prevederilor art. 21 lit. a);</w:t>
      </w:r>
    </w:p>
    <w:p w:rsidR="006E4E83" w:rsidRPr="009D117A" w:rsidRDefault="006E4E83" w:rsidP="006E4E83">
      <w:pPr>
        <w:numPr>
          <w:ilvl w:val="0"/>
          <w:numId w:val="22"/>
        </w:numPr>
        <w:tabs>
          <w:tab w:val="num" w:pos="1080"/>
        </w:tabs>
        <w:spacing w:before="120" w:after="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datelor justificate de calcul, stabilite de ANRE conform prevederilor art. 25, </w:t>
      </w:r>
    </w:p>
    <w:p w:rsidR="006E4E83" w:rsidRPr="009D117A" w:rsidRDefault="006E4E83" w:rsidP="006E4E83">
      <w:pPr>
        <w:spacing w:before="120" w:after="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conform principiilor de calcul prevăzute ȋn Secțiunea 2.2.</w:t>
      </w:r>
    </w:p>
    <w:p w:rsidR="006E4E83" w:rsidRPr="009D117A" w:rsidRDefault="006E4E83" w:rsidP="006E4E83">
      <w:pPr>
        <w:tabs>
          <w:tab w:val="num" w:pos="1080"/>
        </w:tabs>
        <w:spacing w:before="120" w:after="0" w:line="360" w:lineRule="auto"/>
        <w:jc w:val="both"/>
        <w:rPr>
          <w:rFonts w:ascii="Times New Roman" w:eastAsia="Times New Roman" w:hAnsi="Times New Roman" w:cs="Times New Roman"/>
          <w:iCs/>
          <w:sz w:val="24"/>
          <w:szCs w:val="24"/>
        </w:rPr>
      </w:pPr>
      <w:r w:rsidRPr="009D117A">
        <w:rPr>
          <w:rFonts w:ascii="Times New Roman" w:eastAsia="Times New Roman" w:hAnsi="Times New Roman" w:cs="Times New Roman"/>
          <w:sz w:val="24"/>
          <w:szCs w:val="24"/>
        </w:rPr>
        <w:t xml:space="preserve">(2) Solicitările privind ajustarea </w:t>
      </w:r>
      <w:r w:rsidRPr="009D117A">
        <w:rPr>
          <w:rFonts w:ascii="Times New Roman" w:eastAsia="Times New Roman" w:hAnsi="Times New Roman" w:cs="Times New Roman"/>
          <w:iCs/>
          <w:sz w:val="24"/>
          <w:szCs w:val="24"/>
        </w:rPr>
        <w:t xml:space="preserve">tarifelor reglementate de energie electrică pot fi transmise de FUI la ANRE cu cel puțin 30 de zile înainte de începutul unui an/semestru. </w:t>
      </w:r>
    </w:p>
    <w:p w:rsidR="006E4E83" w:rsidRPr="009D117A" w:rsidRDefault="006E4E83" w:rsidP="006E4E83">
      <w:pPr>
        <w:numPr>
          <w:ilvl w:val="0"/>
          <w:numId w:val="14"/>
        </w:numPr>
        <w:tabs>
          <w:tab w:val="num" w:pos="0"/>
          <w:tab w:val="num" w:pos="709"/>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iCs/>
          <w:sz w:val="24"/>
          <w:szCs w:val="24"/>
        </w:rPr>
        <w:t xml:space="preserve">- (1) În cazul în care valoarea indicelui de indexare a grilei tarifare reglementate, calculată conform prevederilor art. 10, este diferită de 1, se stabilesc noi tarife reglementate pentru anul/semestrul următor, prin aplicarea indicelui de indexare a grilei tarifare reglementate la tarifele reglementate în vigoare. Diferențele înregistrate între veniturile realizate și costurile considerate justificate sunt luate în considerare la următorul termen de ajustare a tarifelor reglementate, prin soldul corecțiilor de tarif. </w:t>
      </w:r>
    </w:p>
    <w:p w:rsidR="006E4E83" w:rsidRPr="009D117A" w:rsidRDefault="006E4E83" w:rsidP="006E4E83">
      <w:pPr>
        <w:tabs>
          <w:tab w:val="num" w:pos="709"/>
          <w:tab w:val="num" w:pos="851"/>
        </w:tabs>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iCs/>
          <w:sz w:val="24"/>
          <w:szCs w:val="24"/>
        </w:rPr>
        <w:t>(2) Noile tarife reglementate de energie electrică aplicabile la nivel național de la începutul  unui an/semestru sunt aprobate prin ordin al președintelui ANRE și sunt publicate în Monitorul Oficial al României.</w:t>
      </w:r>
    </w:p>
    <w:p w:rsidR="00FD2110" w:rsidRPr="009D117A" w:rsidRDefault="00FD2110" w:rsidP="00FD2110">
      <w:pPr>
        <w:pStyle w:val="ListParagraph"/>
        <w:numPr>
          <w:ilvl w:val="0"/>
          <w:numId w:val="11"/>
        </w:numPr>
        <w:spacing w:after="120" w:line="360" w:lineRule="auto"/>
        <w:ind w:left="0" w:firstLine="0"/>
        <w:jc w:val="both"/>
        <w:rPr>
          <w:b/>
          <w:bCs/>
        </w:rPr>
      </w:pPr>
      <w:r w:rsidRPr="009D117A">
        <w:rPr>
          <w:b/>
          <w:bCs/>
        </w:rPr>
        <w:t xml:space="preserve">Tarife CPC </w:t>
      </w:r>
    </w:p>
    <w:p w:rsidR="006E4E83" w:rsidRPr="009D117A" w:rsidRDefault="006E4E83" w:rsidP="006E4E83">
      <w:pPr>
        <w:numPr>
          <w:ilvl w:val="0"/>
          <w:numId w:val="14"/>
        </w:numPr>
        <w:tabs>
          <w:tab w:val="num" w:pos="0"/>
          <w:tab w:val="num" w:pos="720"/>
          <w:tab w:val="num" w:pos="851"/>
        </w:tabs>
        <w:spacing w:after="120" w:line="360" w:lineRule="auto"/>
        <w:jc w:val="both"/>
        <w:rPr>
          <w:rFonts w:ascii="Times New Roman" w:eastAsia="Times New Roman" w:hAnsi="Times New Roman" w:cs="Times New Roman"/>
          <w:b/>
          <w:bCs/>
          <w:sz w:val="24"/>
          <w:szCs w:val="24"/>
        </w:rPr>
      </w:pPr>
      <w:r w:rsidRPr="009D117A">
        <w:rPr>
          <w:rFonts w:ascii="Times New Roman" w:eastAsia="Times New Roman" w:hAnsi="Times New Roman" w:cs="Times New Roman"/>
          <w:b/>
          <w:color w:val="000000"/>
          <w:sz w:val="24"/>
          <w:szCs w:val="24"/>
        </w:rPr>
        <w:t>-</w:t>
      </w:r>
      <w:r w:rsidRPr="009D117A">
        <w:rPr>
          <w:rFonts w:ascii="Times New Roman" w:eastAsia="Times New Roman" w:hAnsi="Times New Roman" w:cs="Times New Roman"/>
          <w:color w:val="000000"/>
          <w:sz w:val="24"/>
          <w:szCs w:val="24"/>
        </w:rPr>
        <w:t xml:space="preserve"> (1) ANRE avizează tarifele CPC, de regulă semestrial, pe baza:</w:t>
      </w:r>
    </w:p>
    <w:p w:rsidR="006E4E83" w:rsidRPr="009D117A" w:rsidRDefault="006E4E83" w:rsidP="006E4E83">
      <w:pPr>
        <w:numPr>
          <w:ilvl w:val="1"/>
          <w:numId w:val="11"/>
        </w:numPr>
        <w:spacing w:after="120" w:line="360" w:lineRule="auto"/>
        <w:ind w:left="1134" w:hanging="283"/>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lastRenderedPageBreak/>
        <w:t xml:space="preserve">documentației aferente furnizării energiei electrice la tarife CPC, transmisă de fiecare FUI </w:t>
      </w:r>
      <w:r w:rsidRPr="009D117A">
        <w:rPr>
          <w:rFonts w:ascii="Times New Roman" w:eastAsia="Times New Roman" w:hAnsi="Times New Roman" w:cs="Times New Roman"/>
          <w:bCs/>
          <w:sz w:val="24"/>
          <w:szCs w:val="24"/>
        </w:rPr>
        <w:t>conform prevederilor art. 22</w:t>
      </w:r>
      <w:r w:rsidRPr="009D117A">
        <w:rPr>
          <w:rFonts w:ascii="Times New Roman" w:eastAsia="Times New Roman" w:hAnsi="Times New Roman" w:cs="Times New Roman"/>
          <w:color w:val="000000"/>
          <w:sz w:val="24"/>
          <w:szCs w:val="24"/>
        </w:rPr>
        <w:t>;</w:t>
      </w:r>
    </w:p>
    <w:p w:rsidR="006E4E83" w:rsidRPr="009D117A" w:rsidRDefault="006E4E83" w:rsidP="006E4E83">
      <w:pPr>
        <w:numPr>
          <w:ilvl w:val="1"/>
          <w:numId w:val="11"/>
        </w:numPr>
        <w:spacing w:after="120" w:line="360" w:lineRule="auto"/>
        <w:ind w:left="1134" w:hanging="283"/>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t>datelor privind prognoza orară de consum pentru anul următor, transmise de FUI conform prevederilor art. 21;</w:t>
      </w:r>
    </w:p>
    <w:p w:rsidR="006E4E83" w:rsidRPr="009D117A" w:rsidRDefault="006E4E83" w:rsidP="006E4E83">
      <w:pPr>
        <w:numPr>
          <w:ilvl w:val="1"/>
          <w:numId w:val="11"/>
        </w:numPr>
        <w:spacing w:before="120" w:after="0" w:line="360" w:lineRule="auto"/>
        <w:ind w:left="1134" w:hanging="283"/>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datelor justificate de calcul, stabilite de ANRE conform prevederilor art. 25, </w:t>
      </w:r>
    </w:p>
    <w:p w:rsidR="006E4E83" w:rsidRPr="009D117A" w:rsidRDefault="006E4E83" w:rsidP="006E4E83">
      <w:pPr>
        <w:spacing w:before="120" w:after="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conform principiilor de calcul prevăzute în Secțiunea 2.3.</w:t>
      </w:r>
    </w:p>
    <w:p w:rsidR="006E4E83" w:rsidRPr="009D117A" w:rsidRDefault="006E4E83" w:rsidP="006E4E83">
      <w:pPr>
        <w:tabs>
          <w:tab w:val="num" w:pos="1296"/>
        </w:tabs>
        <w:spacing w:after="120" w:line="360" w:lineRule="auto"/>
        <w:jc w:val="both"/>
        <w:rPr>
          <w:rFonts w:ascii="Times New Roman" w:eastAsia="Times New Roman" w:hAnsi="Times New Roman" w:cs="Times New Roman"/>
          <w:color w:val="000000"/>
          <w:sz w:val="24"/>
          <w:szCs w:val="24"/>
        </w:rPr>
      </w:pPr>
      <w:r w:rsidRPr="009D117A">
        <w:rPr>
          <w:rFonts w:ascii="Times New Roman" w:eastAsia="Times New Roman" w:hAnsi="Times New Roman" w:cs="Times New Roman"/>
          <w:color w:val="000000"/>
          <w:sz w:val="24"/>
          <w:szCs w:val="24"/>
        </w:rPr>
        <w:t>(2) Cu cel puțin 30 de zile înainte de sfârșitul fiecărui semestru, fiecare FUI transmite la ANRE s</w:t>
      </w:r>
      <w:r w:rsidRPr="009D117A">
        <w:rPr>
          <w:rFonts w:ascii="Times New Roman" w:eastAsia="Times New Roman" w:hAnsi="Times New Roman" w:cs="Times New Roman"/>
          <w:sz w:val="24"/>
          <w:szCs w:val="24"/>
        </w:rPr>
        <w:t>olicitarea de avizare a tarifelor CPC proprii pentru semestrul următor, pe baza documentației prevăzute la art. 22</w:t>
      </w:r>
      <w:r w:rsidRPr="009D117A">
        <w:rPr>
          <w:rFonts w:ascii="Times New Roman" w:eastAsia="Times New Roman" w:hAnsi="Times New Roman" w:cs="Times New Roman"/>
          <w:color w:val="000000"/>
          <w:sz w:val="24"/>
          <w:szCs w:val="24"/>
        </w:rPr>
        <w:t>.</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color w:val="000000"/>
          <w:sz w:val="24"/>
          <w:szCs w:val="24"/>
        </w:rPr>
        <w:t xml:space="preserve">- (1) Valorile tarifelor CPC aferente fiecărui FUI se stabilesc și se avizează separat pe fiecare nivel de tensiune și pentru fiecare zonă de activitate, </w:t>
      </w:r>
      <w:r w:rsidRPr="009D117A">
        <w:rPr>
          <w:rFonts w:ascii="Times New Roman" w:eastAsia="Times New Roman" w:hAnsi="Times New Roman" w:cs="Times New Roman"/>
          <w:sz w:val="24"/>
          <w:szCs w:val="24"/>
        </w:rPr>
        <w:t xml:space="preserve">cu respectarea prevederilor din prezenta Metodologie. </w:t>
      </w:r>
    </w:p>
    <w:p w:rsidR="00897DF5" w:rsidRPr="009D117A" w:rsidRDefault="006E4E83" w:rsidP="006E4E83">
      <w:p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(2) Cu cel puțin </w:t>
      </w:r>
      <w:r w:rsidR="00230F5A">
        <w:rPr>
          <w:rFonts w:ascii="Times New Roman" w:eastAsia="Times New Roman" w:hAnsi="Times New Roman" w:cs="Times New Roman"/>
          <w:sz w:val="24"/>
          <w:szCs w:val="24"/>
        </w:rPr>
        <w:t>8</w:t>
      </w:r>
      <w:r w:rsidR="00230F5A" w:rsidRPr="009D117A">
        <w:rPr>
          <w:rFonts w:ascii="Times New Roman" w:eastAsia="Times New Roman" w:hAnsi="Times New Roman" w:cs="Times New Roman"/>
          <w:sz w:val="24"/>
          <w:szCs w:val="24"/>
        </w:rPr>
        <w:t xml:space="preserve"> </w:t>
      </w:r>
      <w:r w:rsidRPr="009D117A">
        <w:rPr>
          <w:rFonts w:ascii="Times New Roman" w:eastAsia="Times New Roman" w:hAnsi="Times New Roman" w:cs="Times New Roman"/>
          <w:sz w:val="24"/>
          <w:szCs w:val="24"/>
        </w:rPr>
        <w:t>zile înainte de sfârșitul fiecărui semestru, ANRE comunică fiecărui FUI tarifele CPC proprii, av</w:t>
      </w:r>
      <w:r w:rsidR="00897DF5" w:rsidRPr="009D117A">
        <w:rPr>
          <w:rFonts w:ascii="Times New Roman" w:eastAsia="Times New Roman" w:hAnsi="Times New Roman" w:cs="Times New Roman"/>
          <w:sz w:val="24"/>
          <w:szCs w:val="24"/>
        </w:rPr>
        <w:t>izate pentru semestrul următor.</w:t>
      </w:r>
    </w:p>
    <w:p w:rsidR="00FD2110" w:rsidRPr="00655FDA" w:rsidRDefault="00FD2110" w:rsidP="00FD2110">
      <w:pPr>
        <w:pStyle w:val="ListParagraph"/>
        <w:numPr>
          <w:ilvl w:val="0"/>
          <w:numId w:val="11"/>
        </w:numPr>
        <w:spacing w:after="120" w:line="360" w:lineRule="auto"/>
        <w:ind w:left="0" w:firstLine="0"/>
        <w:jc w:val="both"/>
        <w:rPr>
          <w:b/>
          <w:bCs/>
        </w:rPr>
      </w:pPr>
      <w:r w:rsidRPr="00655FDA">
        <w:rPr>
          <w:b/>
          <w:bCs/>
        </w:rPr>
        <w:t>Tarife UI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t xml:space="preserve">- (1) În termen de 3 zile lucrătoare de la comunicarea de către ANRE a tarifelor CPC avizate conform prevederilor din Secțiunea 3.4. sau, după caz, ale art. 35, fiecare FUI stabilește și comunică la ANRE tarifele UI proprii, determinate conform prevederilor din Secțiunea 2.4. </w:t>
      </w:r>
    </w:p>
    <w:p w:rsidR="006E4E83" w:rsidRPr="009D117A" w:rsidRDefault="006E4E83" w:rsidP="006E4E83">
      <w:pPr>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(2) Valorile procentelor de majorare aplicabile tarifelor CPC, utilizate de FUI pentru stabilirea tarifelor UI trebuie sa asigure riscurile de sub/supra-contractare datorate obligației de preluare ȋn regim de ultimă instanță, conform reglementărilor ȋn vigoare, a clienților </w:t>
      </w:r>
      <w:r w:rsidRPr="009D117A">
        <w:rPr>
          <w:rFonts w:ascii="Times New Roman" w:eastAsia="Times New Roman" w:hAnsi="Times New Roman" w:cs="Times New Roman"/>
          <w:color w:val="000000"/>
          <w:sz w:val="24"/>
          <w:szCs w:val="24"/>
        </w:rPr>
        <w:t>non-casnici fără drept de serviciu universal, care nu au asigurată furnizarea de energie electrică din nici o altă sursă sau care au uzat de eligibilitate și au rămas fără furnizor de energie electrică din motive neimputabile lor</w:t>
      </w:r>
      <w:r w:rsidRPr="009D117A">
        <w:rPr>
          <w:rFonts w:ascii="Times New Roman" w:eastAsia="Times New Roman" w:hAnsi="Times New Roman" w:cs="Times New Roman"/>
          <w:sz w:val="24"/>
          <w:szCs w:val="24"/>
        </w:rPr>
        <w:t xml:space="preserve">. </w:t>
      </w:r>
    </w:p>
    <w:p w:rsidR="00FD2110" w:rsidRPr="009D117A" w:rsidRDefault="006E4E83" w:rsidP="00FD2110">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Valorile procentelor de majorare aplicabile tarifelor CPC, utilizate pentru stabilirea tarifelor UI pot fi</w:t>
      </w:r>
      <w:r w:rsidRPr="009D117A">
        <w:rPr>
          <w:rFonts w:ascii="Times New Roman" w:eastAsia="Times New Roman" w:hAnsi="Times New Roman" w:cs="Times New Roman"/>
          <w:bCs/>
          <w:sz w:val="24"/>
          <w:szCs w:val="24"/>
        </w:rPr>
        <w:t xml:space="preserve"> reanalizate și modificate de către FUI oricând pe parcursul unui semestru. În aceste condiții, fiecare FUI poate stabili noi tarife UI, cu respectarea prevederilor din Secțiunea 2.4. și ale art. 39.</w:t>
      </w:r>
    </w:p>
    <w:p w:rsidR="009D117A" w:rsidRPr="009D117A" w:rsidRDefault="009D117A" w:rsidP="009D117A">
      <w:pPr>
        <w:tabs>
          <w:tab w:val="num" w:pos="720"/>
          <w:tab w:val="num" w:pos="851"/>
        </w:tabs>
        <w:autoSpaceDE w:val="0"/>
        <w:autoSpaceDN w:val="0"/>
        <w:adjustRightInd w:val="0"/>
        <w:spacing w:after="120" w:line="360" w:lineRule="auto"/>
        <w:ind w:left="567"/>
        <w:jc w:val="both"/>
        <w:rPr>
          <w:rFonts w:ascii="Times New Roman" w:eastAsia="Times New Roman" w:hAnsi="Times New Roman" w:cs="Times New Roman"/>
          <w:bCs/>
          <w:sz w:val="24"/>
          <w:szCs w:val="24"/>
        </w:rPr>
      </w:pPr>
    </w:p>
    <w:p w:rsidR="006E4E83" w:rsidRPr="009D117A" w:rsidRDefault="00FD2110" w:rsidP="00897DF5">
      <w:pPr>
        <w:pStyle w:val="Heading1"/>
        <w:rPr>
          <w:lang w:val="ro-RO"/>
        </w:rPr>
      </w:pPr>
      <w:r w:rsidRPr="009D117A">
        <w:rPr>
          <w:lang w:val="ro-RO"/>
        </w:rPr>
        <w:t>RAPORTĂRI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bCs/>
          <w:sz w:val="24"/>
          <w:szCs w:val="24"/>
        </w:rPr>
        <w:t>(1)</w:t>
      </w:r>
      <w:r w:rsidRPr="009D117A">
        <w:rPr>
          <w:rFonts w:ascii="Times New Roman" w:eastAsia="Times New Roman" w:hAnsi="Times New Roman" w:cs="Times New Roman"/>
          <w:b/>
          <w:bCs/>
          <w:sz w:val="24"/>
          <w:szCs w:val="24"/>
        </w:rPr>
        <w:t xml:space="preserve"> </w:t>
      </w:r>
      <w:r w:rsidRPr="009D117A">
        <w:rPr>
          <w:rFonts w:ascii="Times New Roman" w:eastAsia="Times New Roman" w:hAnsi="Times New Roman" w:cs="Times New Roman"/>
          <w:sz w:val="24"/>
          <w:szCs w:val="24"/>
        </w:rPr>
        <w:t xml:space="preserve">Fiecare FUI are obligația de a transmite la ANRE, în format material și în format electronic prelucrabil, datele lunare de monitorizare referitoare la costurile, veniturile, consumurile de energie și prețurile medii de revenire realizate, aferente furnizării energiei </w:t>
      </w:r>
      <w:r w:rsidRPr="009D117A">
        <w:rPr>
          <w:rFonts w:ascii="Times New Roman" w:eastAsia="Times New Roman" w:hAnsi="Times New Roman" w:cs="Times New Roman"/>
          <w:sz w:val="24"/>
          <w:szCs w:val="24"/>
        </w:rPr>
        <w:lastRenderedPageBreak/>
        <w:t xml:space="preserve">electrice la clienții finali proprii, separat pe tipuri de tarife/clienți, zone de activitate și, unde este cazul, niveluri de tensiune. </w:t>
      </w:r>
    </w:p>
    <w:p w:rsidR="006E4E83" w:rsidRPr="009D117A" w:rsidRDefault="006E4E83" w:rsidP="006E4E83">
      <w:pPr>
        <w:spacing w:before="120"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Pînă la sfârșitul fiecărei luni, fiecare FUI transmite la ANRE raportările prevăzute la alin. (1) pentru luna anterioară, completate conform machetelor publicate pe site-ul ANRE.</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bCs/>
          <w:sz w:val="24"/>
          <w:szCs w:val="24"/>
        </w:rPr>
        <w:t>U</w:t>
      </w:r>
      <w:r w:rsidRPr="009D117A">
        <w:rPr>
          <w:rFonts w:ascii="Times New Roman" w:eastAsia="Times New Roman" w:hAnsi="Times New Roman" w:cs="Times New Roman"/>
          <w:sz w:val="24"/>
          <w:szCs w:val="24"/>
        </w:rPr>
        <w:t>lterior termenului limită prevăzut la art. 32 alin. (2), corectarea/completarea raportărilor transmise de FUI poate fi acceptată:</w:t>
      </w:r>
    </w:p>
    <w:p w:rsidR="006E4E83" w:rsidRPr="009D117A" w:rsidRDefault="006E4E83" w:rsidP="006E4E83">
      <w:pPr>
        <w:numPr>
          <w:ilvl w:val="1"/>
          <w:numId w:val="12"/>
        </w:numPr>
        <w:spacing w:after="120" w:line="360" w:lineRule="auto"/>
        <w:ind w:left="960" w:hanging="360"/>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în maxim 60 de zile de la termenul limită prevăzut la art. 32 alin. (2), în cazul în care unele dintre datele raportate aferente tranzacțiilor pe piețele centralizate nu au avut la bază o decontare finală; </w:t>
      </w:r>
    </w:p>
    <w:p w:rsidR="006E4E83" w:rsidRPr="009D117A" w:rsidRDefault="006E4E83" w:rsidP="006E4E83">
      <w:pPr>
        <w:numPr>
          <w:ilvl w:val="1"/>
          <w:numId w:val="12"/>
        </w:numPr>
        <w:spacing w:after="120" w:line="360" w:lineRule="auto"/>
        <w:ind w:left="960" w:hanging="360"/>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la inițiativa FUI, pe baza unei note justificative;</w:t>
      </w:r>
    </w:p>
    <w:p w:rsidR="006E4E83" w:rsidRPr="009D117A" w:rsidRDefault="006E4E83" w:rsidP="006E4E83">
      <w:pPr>
        <w:numPr>
          <w:ilvl w:val="1"/>
          <w:numId w:val="12"/>
        </w:numPr>
        <w:spacing w:after="120" w:line="360" w:lineRule="auto"/>
        <w:ind w:left="960" w:hanging="360"/>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la solicitarea ANRE.</w:t>
      </w:r>
    </w:p>
    <w:p w:rsidR="006E4E83" w:rsidRPr="009D117A" w:rsidRDefault="006E4E83" w:rsidP="006E4E83">
      <w:pPr>
        <w:spacing w:after="120" w:line="360" w:lineRule="auto"/>
        <w:rPr>
          <w:rFonts w:ascii="Times New Roman" w:eastAsia="Times New Roman" w:hAnsi="Times New Roman" w:cs="Times New Roman"/>
          <w:b/>
          <w:bCs/>
          <w:sz w:val="24"/>
          <w:szCs w:val="24"/>
        </w:rPr>
      </w:pPr>
    </w:p>
    <w:p w:rsidR="00FD2110" w:rsidRPr="009D117A" w:rsidRDefault="00FD2110" w:rsidP="00FD2110">
      <w:pPr>
        <w:pStyle w:val="Heading1"/>
        <w:rPr>
          <w:lang w:val="ro-RO"/>
        </w:rPr>
      </w:pPr>
      <w:r w:rsidRPr="009D117A">
        <w:rPr>
          <w:lang w:val="ro-RO"/>
        </w:rPr>
        <w:t>DISPOZIŢII FINALE</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(1) Fiecare FUI trebuie să desemneze o persoană responsabilă cu schimbul de date și informații conform prevederilor prezentei Metodologii.</w:t>
      </w:r>
    </w:p>
    <w:p w:rsidR="006E4E83" w:rsidRPr="009D117A" w:rsidRDefault="006E4E83" w:rsidP="006E4E83">
      <w:pPr>
        <w:spacing w:before="120"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Datele de contact (nume, funcție, telefon, fax, e-mail) ale persoanelor responsabile desemnate conform prevederilor de la alin. (1) trebuie să fie transmise la ANRE și actualizate ori de câte ori apar schimbări.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(1) ANRE poate decide avizarea tarifelor CPC separat pe perioada fiecărui trimestru din cadrul unui semestru, în următoarele cazuri:</w:t>
      </w:r>
    </w:p>
    <w:p w:rsidR="006E4E83" w:rsidRPr="009D117A" w:rsidRDefault="006E4E83" w:rsidP="006E4E83">
      <w:pPr>
        <w:numPr>
          <w:ilvl w:val="2"/>
          <w:numId w:val="32"/>
        </w:numPr>
        <w:spacing w:after="0" w:line="360" w:lineRule="auto"/>
        <w:ind w:left="851"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media prețurilor de închidere a sesiunii de licitație organizată pe PCSU pentru trimestrul II al unui semestru diferă cu mai mult de 10 % de media prețurilor de închidere a sesiunii de licitație organizată pe PCSU pentru trimestrul I al respectivului semestru;</w:t>
      </w:r>
    </w:p>
    <w:p w:rsidR="006E4E83" w:rsidRPr="009D117A" w:rsidRDefault="006E4E83" w:rsidP="006E4E83">
      <w:pPr>
        <w:numPr>
          <w:ilvl w:val="2"/>
          <w:numId w:val="32"/>
        </w:numPr>
        <w:spacing w:after="0" w:line="360" w:lineRule="auto"/>
        <w:ind w:left="851"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prețurile de achiziție a energiei electrice reflectă situații conjuncturale din piețele centralizate, caracterizate de deficit sau de excedent de ofertă;</w:t>
      </w:r>
    </w:p>
    <w:p w:rsidR="006E4E83" w:rsidRPr="009D117A" w:rsidRDefault="006E4E83" w:rsidP="006E4E83">
      <w:pPr>
        <w:numPr>
          <w:ilvl w:val="2"/>
          <w:numId w:val="32"/>
        </w:numPr>
        <w:spacing w:after="0" w:line="360" w:lineRule="auto"/>
        <w:ind w:left="851" w:hanging="284"/>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unul sau mai mulți participanți la piața de energie electrică au declarat forța majoră și aceasta are efect semnificativ asupra nivelului prețurilor din piețele centralizate.</w:t>
      </w:r>
    </w:p>
    <w:p w:rsidR="006E4E83" w:rsidRPr="009D117A" w:rsidRDefault="006E4E83" w:rsidP="006E4E83">
      <w:pPr>
        <w:spacing w:after="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În situațiile prevăzute la alin. (1), termenele de transmitere a datelor și de stabilire a tarifelor se comunică de către ANRE la FUI prin fax sau e-mail.</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 (1) ANRE poate decide suspendarea organizării sesiunilor de licitație pe PCSU, în cazul ȋn care constată disfuncționalități majore ale PCSU, pentru a căror clarificare/remediere este necesară o perioadă mai lungă de 45 de zile. </w:t>
      </w:r>
    </w:p>
    <w:p w:rsidR="006E4E83" w:rsidRPr="009D117A" w:rsidRDefault="006E4E83" w:rsidP="006E4E83">
      <w:pPr>
        <w:tabs>
          <w:tab w:val="num" w:pos="0"/>
        </w:tabs>
        <w:autoSpaceDE w:val="0"/>
        <w:autoSpaceDN w:val="0"/>
        <w:adjustRightInd w:val="0"/>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lastRenderedPageBreak/>
        <w:t>(2) P</w:t>
      </w:r>
      <w:r w:rsidRPr="009D117A">
        <w:rPr>
          <w:rFonts w:ascii="Times New Roman" w:eastAsia="Times New Roman" w:hAnsi="Times New Roman" w:cs="Times New Roman"/>
          <w:sz w:val="24"/>
          <w:szCs w:val="24"/>
        </w:rPr>
        <w:t>revederile prezentei Metodologii valabile p</w:t>
      </w:r>
      <w:r w:rsidRPr="009D117A">
        <w:rPr>
          <w:rFonts w:ascii="Times New Roman" w:eastAsia="Times New Roman" w:hAnsi="Times New Roman" w:cs="Times New Roman"/>
          <w:bCs/>
          <w:sz w:val="24"/>
          <w:szCs w:val="24"/>
        </w:rPr>
        <w:t>ȋnă la organizarea primei sesiuni de licitație pe PCSU se aplică:</w:t>
      </w:r>
    </w:p>
    <w:p w:rsidR="006E4E83" w:rsidRPr="009D117A" w:rsidRDefault="006E4E83" w:rsidP="006E4E83">
      <w:pPr>
        <w:numPr>
          <w:ilvl w:val="0"/>
          <w:numId w:val="44"/>
        </w:numPr>
        <w:autoSpaceDE w:val="0"/>
        <w:autoSpaceDN w:val="0"/>
        <w:adjustRightInd w:val="0"/>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sz w:val="24"/>
          <w:szCs w:val="24"/>
        </w:rPr>
        <w:t>ȋn situațiile prevăzute la alin. (1), pentru perioada de suspendare a organizării sesiunilor de licitație pe PCSU;</w:t>
      </w:r>
    </w:p>
    <w:p w:rsidR="006E4E83" w:rsidRPr="009D117A" w:rsidRDefault="007E6B51" w:rsidP="006E4E83">
      <w:pPr>
        <w:numPr>
          <w:ilvl w:val="0"/>
          <w:numId w:val="44"/>
        </w:numPr>
        <w:autoSpaceDE w:val="0"/>
        <w:autoSpaceDN w:val="0"/>
        <w:adjustRightInd w:val="0"/>
        <w:spacing w:after="120" w:line="360" w:lineRule="auto"/>
        <w:jc w:val="both"/>
        <w:rPr>
          <w:rFonts w:ascii="Times New Roman" w:eastAsia="Times New Roman" w:hAnsi="Times New Roman" w:cs="Times New Roman"/>
          <w:bCs/>
          <w:sz w:val="24"/>
          <w:szCs w:val="24"/>
        </w:rPr>
      </w:pPr>
      <w:r w:rsidRPr="009D117A">
        <w:rPr>
          <w:rFonts w:ascii="Times New Roman" w:eastAsia="Times New Roman" w:hAnsi="Times New Roman" w:cs="Times New Roman"/>
          <w:bCs/>
          <w:sz w:val="24"/>
          <w:szCs w:val="24"/>
        </w:rPr>
        <w:t>începând</w:t>
      </w:r>
      <w:r w:rsidR="006E4E83" w:rsidRPr="009D117A">
        <w:rPr>
          <w:rFonts w:ascii="Times New Roman" w:eastAsia="Times New Roman" w:hAnsi="Times New Roman" w:cs="Times New Roman"/>
          <w:bCs/>
          <w:sz w:val="24"/>
          <w:szCs w:val="24"/>
        </w:rPr>
        <w:t xml:space="preserve"> cu data de la care ANRE decide revocarea cadrului de reglementare aferent PCSU.</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V</w:t>
      </w:r>
      <w:r w:rsidRPr="009D117A">
        <w:rPr>
          <w:rFonts w:ascii="Times New Roman" w:eastAsia="Times New Roman" w:hAnsi="Times New Roman" w:cs="Times New Roman"/>
          <w:noProof/>
          <w:sz w:val="24"/>
          <w:szCs w:val="24"/>
        </w:rPr>
        <w:t>aloarea justificată a soldului corecțiilor de tarif, aferente furnizării energiei electrice la tarife reglementate, stabilită pentru fiecare FUI conform prevederilor prezentei Metodologii la sfȋrșitul semestrului II 2017, va fi luată ȋn considerare suplimentar la calculul tarifelor CPC pentru semestrul I 2018.</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 ANRE publică pe site-ul propriu tarifele reglementate aprobate la nivel </w:t>
      </w:r>
      <w:r w:rsidR="007E6B51" w:rsidRPr="009D117A">
        <w:rPr>
          <w:rFonts w:ascii="Times New Roman" w:eastAsia="Times New Roman" w:hAnsi="Times New Roman" w:cs="Times New Roman"/>
          <w:sz w:val="24"/>
          <w:szCs w:val="24"/>
        </w:rPr>
        <w:t>național</w:t>
      </w:r>
      <w:r w:rsidRPr="009D117A">
        <w:rPr>
          <w:rFonts w:ascii="Times New Roman" w:eastAsia="Times New Roman" w:hAnsi="Times New Roman" w:cs="Times New Roman"/>
          <w:sz w:val="24"/>
          <w:szCs w:val="24"/>
        </w:rPr>
        <w:t xml:space="preserve"> precum </w:t>
      </w:r>
      <w:r w:rsidR="007E6B51"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tarifele CPC avizate pentru fiecare FUI.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 Fiecare FUI publică pe site-ul propriu, </w:t>
      </w:r>
      <w:r w:rsidRPr="009D117A">
        <w:rPr>
          <w:rFonts w:ascii="Times New Roman" w:eastAsia="Times New Roman" w:hAnsi="Times New Roman" w:cs="Times New Roman"/>
          <w:bCs/>
          <w:sz w:val="24"/>
          <w:szCs w:val="24"/>
        </w:rPr>
        <w:t xml:space="preserve">cu cel puțin </w:t>
      </w:r>
      <w:r w:rsidR="00213598">
        <w:rPr>
          <w:rFonts w:ascii="Times New Roman" w:eastAsia="Times New Roman" w:hAnsi="Times New Roman" w:cs="Times New Roman"/>
          <w:bCs/>
          <w:sz w:val="24"/>
          <w:szCs w:val="24"/>
        </w:rPr>
        <w:t>3</w:t>
      </w:r>
      <w:r w:rsidR="00213598" w:rsidRPr="009D117A">
        <w:rPr>
          <w:rFonts w:ascii="Times New Roman" w:eastAsia="Times New Roman" w:hAnsi="Times New Roman" w:cs="Times New Roman"/>
          <w:bCs/>
          <w:sz w:val="24"/>
          <w:szCs w:val="24"/>
        </w:rPr>
        <w:t xml:space="preserve"> </w:t>
      </w:r>
      <w:r w:rsidRPr="009D117A">
        <w:rPr>
          <w:rFonts w:ascii="Times New Roman" w:eastAsia="Times New Roman" w:hAnsi="Times New Roman" w:cs="Times New Roman"/>
          <w:bCs/>
          <w:sz w:val="24"/>
          <w:szCs w:val="24"/>
        </w:rPr>
        <w:t xml:space="preserve">zile </w:t>
      </w:r>
      <w:r w:rsidR="007E6B51" w:rsidRPr="009D117A">
        <w:rPr>
          <w:rFonts w:ascii="Times New Roman" w:eastAsia="Times New Roman" w:hAnsi="Times New Roman" w:cs="Times New Roman"/>
          <w:bCs/>
          <w:sz w:val="24"/>
          <w:szCs w:val="24"/>
        </w:rPr>
        <w:t>înainte</w:t>
      </w:r>
      <w:r w:rsidRPr="009D117A">
        <w:rPr>
          <w:rFonts w:ascii="Times New Roman" w:eastAsia="Times New Roman" w:hAnsi="Times New Roman" w:cs="Times New Roman"/>
          <w:bCs/>
          <w:sz w:val="24"/>
          <w:szCs w:val="24"/>
        </w:rPr>
        <w:t xml:space="preserve"> de intrarea lor </w:t>
      </w:r>
      <w:r w:rsidR="007E6B51" w:rsidRPr="009D117A">
        <w:rPr>
          <w:rFonts w:ascii="Times New Roman" w:eastAsia="Times New Roman" w:hAnsi="Times New Roman" w:cs="Times New Roman"/>
          <w:bCs/>
          <w:sz w:val="24"/>
          <w:szCs w:val="24"/>
        </w:rPr>
        <w:t>în</w:t>
      </w:r>
      <w:r w:rsidRPr="009D117A">
        <w:rPr>
          <w:rFonts w:ascii="Times New Roman" w:eastAsia="Times New Roman" w:hAnsi="Times New Roman" w:cs="Times New Roman"/>
          <w:bCs/>
          <w:sz w:val="24"/>
          <w:szCs w:val="24"/>
        </w:rPr>
        <w:t xml:space="preserve"> vigoare,</w:t>
      </w:r>
      <w:r w:rsidRPr="009D117A">
        <w:rPr>
          <w:rFonts w:ascii="Times New Roman" w:eastAsia="Times New Roman" w:hAnsi="Times New Roman" w:cs="Times New Roman"/>
          <w:sz w:val="24"/>
          <w:szCs w:val="24"/>
        </w:rPr>
        <w:t xml:space="preserve"> tarifele CPC </w:t>
      </w:r>
      <w:r w:rsidR="007E6B51"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tarifele UI stabilite conform prevederilor prezentei Metodologii, pe care le aplică în facturile emise </w:t>
      </w:r>
      <w:r w:rsidR="007E6B51" w:rsidRPr="009D117A">
        <w:rPr>
          <w:rFonts w:ascii="Times New Roman" w:eastAsia="Times New Roman" w:hAnsi="Times New Roman" w:cs="Times New Roman"/>
          <w:sz w:val="24"/>
          <w:szCs w:val="24"/>
        </w:rPr>
        <w:t>clienților</w:t>
      </w:r>
      <w:r w:rsidRPr="009D117A">
        <w:rPr>
          <w:rFonts w:ascii="Times New Roman" w:eastAsia="Times New Roman" w:hAnsi="Times New Roman" w:cs="Times New Roman"/>
          <w:sz w:val="24"/>
          <w:szCs w:val="24"/>
        </w:rPr>
        <w:t xml:space="preserve"> finali proprii.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 Costurile activității de f</w:t>
      </w:r>
      <w:r w:rsidR="009D117A" w:rsidRPr="009D117A">
        <w:rPr>
          <w:rFonts w:ascii="Times New Roman" w:eastAsia="Times New Roman" w:hAnsi="Times New Roman" w:cs="Times New Roman"/>
          <w:sz w:val="24"/>
          <w:szCs w:val="24"/>
        </w:rPr>
        <w:t>urnizare a energiei electrice su</w:t>
      </w:r>
      <w:r w:rsidRPr="009D117A">
        <w:rPr>
          <w:rFonts w:ascii="Times New Roman" w:eastAsia="Times New Roman" w:hAnsi="Times New Roman" w:cs="Times New Roman"/>
          <w:sz w:val="24"/>
          <w:szCs w:val="24"/>
        </w:rPr>
        <w:t xml:space="preserve">nt generate </w:t>
      </w:r>
      <w:r w:rsidR="009D117A"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principal de:</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facturarea consumului de energie electrică;</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contractarea/recontractarea;</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informarea </w:t>
      </w:r>
      <w:r w:rsidR="007E6B51" w:rsidRPr="009D117A">
        <w:rPr>
          <w:rFonts w:ascii="Times New Roman" w:eastAsia="Times New Roman" w:hAnsi="Times New Roman" w:cs="Times New Roman"/>
          <w:sz w:val="24"/>
          <w:szCs w:val="24"/>
        </w:rPr>
        <w:t>clienților</w:t>
      </w:r>
      <w:r w:rsidRPr="009D117A">
        <w:rPr>
          <w:rFonts w:ascii="Times New Roman" w:eastAsia="Times New Roman" w:hAnsi="Times New Roman" w:cs="Times New Roman"/>
          <w:sz w:val="24"/>
          <w:szCs w:val="24"/>
        </w:rPr>
        <w:t xml:space="preserve">; </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dezvoltarea, adaptarea </w:t>
      </w:r>
      <w:r w:rsidR="007E6B51"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w:t>
      </w:r>
      <w:r w:rsidR="007E6B51" w:rsidRPr="009D117A">
        <w:rPr>
          <w:rFonts w:ascii="Times New Roman" w:eastAsia="Times New Roman" w:hAnsi="Times New Roman" w:cs="Times New Roman"/>
          <w:sz w:val="24"/>
          <w:szCs w:val="24"/>
        </w:rPr>
        <w:t>întreținerea</w:t>
      </w:r>
      <w:r w:rsidRPr="009D117A">
        <w:rPr>
          <w:rFonts w:ascii="Times New Roman" w:eastAsia="Times New Roman" w:hAnsi="Times New Roman" w:cs="Times New Roman"/>
          <w:sz w:val="24"/>
          <w:szCs w:val="24"/>
        </w:rPr>
        <w:t xml:space="preserve"> sistemelor informatice de gestiune a </w:t>
      </w:r>
      <w:r w:rsidR="007E6B51" w:rsidRPr="009D117A">
        <w:rPr>
          <w:rFonts w:ascii="Times New Roman" w:eastAsia="Times New Roman" w:hAnsi="Times New Roman" w:cs="Times New Roman"/>
          <w:sz w:val="24"/>
          <w:szCs w:val="24"/>
        </w:rPr>
        <w:t>clienților</w:t>
      </w:r>
      <w:r w:rsidRPr="009D117A">
        <w:rPr>
          <w:rFonts w:ascii="Times New Roman" w:eastAsia="Times New Roman" w:hAnsi="Times New Roman" w:cs="Times New Roman"/>
          <w:sz w:val="24"/>
          <w:szCs w:val="24"/>
        </w:rPr>
        <w:t xml:space="preserve">;  </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salarii </w:t>
      </w:r>
      <w:r w:rsidR="007E6B51"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alte cheltuieli cu personalul, chirii, impozite, credite, dobânzi;</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pierderi din </w:t>
      </w:r>
      <w:r w:rsidR="007E6B51" w:rsidRPr="009D117A">
        <w:rPr>
          <w:rFonts w:ascii="Times New Roman" w:eastAsia="Times New Roman" w:hAnsi="Times New Roman" w:cs="Times New Roman"/>
          <w:sz w:val="24"/>
          <w:szCs w:val="24"/>
        </w:rPr>
        <w:t>creanțe</w:t>
      </w:r>
      <w:r w:rsidRPr="009D117A">
        <w:rPr>
          <w:rFonts w:ascii="Times New Roman" w:eastAsia="Times New Roman" w:hAnsi="Times New Roman" w:cs="Times New Roman"/>
          <w:sz w:val="24"/>
          <w:szCs w:val="24"/>
        </w:rPr>
        <w:t xml:space="preserve"> </w:t>
      </w:r>
      <w:r w:rsidR="007E6B51" w:rsidRPr="009D117A">
        <w:rPr>
          <w:rFonts w:ascii="Times New Roman" w:eastAsia="Times New Roman" w:hAnsi="Times New Roman" w:cs="Times New Roman"/>
          <w:sz w:val="24"/>
          <w:szCs w:val="24"/>
        </w:rPr>
        <w:t>și</w:t>
      </w:r>
      <w:r w:rsidRPr="009D117A">
        <w:rPr>
          <w:rFonts w:ascii="Times New Roman" w:eastAsia="Times New Roman" w:hAnsi="Times New Roman" w:cs="Times New Roman"/>
          <w:sz w:val="24"/>
          <w:szCs w:val="24"/>
        </w:rPr>
        <w:t xml:space="preserve"> debitori </w:t>
      </w:r>
      <w:r w:rsidR="007E6B51" w:rsidRPr="009D117A">
        <w:rPr>
          <w:rFonts w:ascii="Times New Roman" w:eastAsia="Times New Roman" w:hAnsi="Times New Roman" w:cs="Times New Roman"/>
          <w:sz w:val="24"/>
          <w:szCs w:val="24"/>
        </w:rPr>
        <w:t>diverși</w:t>
      </w:r>
      <w:r w:rsidRPr="009D117A">
        <w:rPr>
          <w:rFonts w:ascii="Times New Roman" w:eastAsia="Times New Roman" w:hAnsi="Times New Roman" w:cs="Times New Roman"/>
          <w:sz w:val="24"/>
          <w:szCs w:val="24"/>
        </w:rPr>
        <w:t>;</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recuperări </w:t>
      </w:r>
      <w:r w:rsidR="007E6B51" w:rsidRPr="009D117A">
        <w:rPr>
          <w:rFonts w:ascii="Times New Roman" w:eastAsia="Times New Roman" w:hAnsi="Times New Roman" w:cs="Times New Roman"/>
          <w:sz w:val="24"/>
          <w:szCs w:val="24"/>
        </w:rPr>
        <w:t>creanțe</w:t>
      </w:r>
      <w:r w:rsidRPr="009D117A">
        <w:rPr>
          <w:rFonts w:ascii="Times New Roman" w:eastAsia="Times New Roman" w:hAnsi="Times New Roman" w:cs="Times New Roman"/>
          <w:sz w:val="24"/>
          <w:szCs w:val="24"/>
        </w:rPr>
        <w:t>, cheltuieli de judecată;</w:t>
      </w:r>
    </w:p>
    <w:p w:rsidR="006E4E83" w:rsidRPr="009D117A" w:rsidRDefault="006E4E83" w:rsidP="006E4E83">
      <w:pPr>
        <w:numPr>
          <w:ilvl w:val="0"/>
          <w:numId w:val="45"/>
        </w:numPr>
        <w:spacing w:after="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implementarea modificărilor legislative.</w:t>
      </w:r>
    </w:p>
    <w:p w:rsidR="006E4E83" w:rsidRPr="009D117A" w:rsidRDefault="006E4E83" w:rsidP="006E4E83">
      <w:pPr>
        <w:tabs>
          <w:tab w:val="num" w:pos="851"/>
          <w:tab w:val="num" w:pos="1296"/>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(2) Costurile suplimentare determinate de </w:t>
      </w:r>
      <w:r w:rsidR="009D117A" w:rsidRPr="009D117A">
        <w:rPr>
          <w:rFonts w:ascii="Times New Roman" w:eastAsia="Times New Roman" w:hAnsi="Times New Roman" w:cs="Times New Roman"/>
          <w:sz w:val="24"/>
          <w:szCs w:val="24"/>
        </w:rPr>
        <w:t>sancțiuni</w:t>
      </w:r>
      <w:r w:rsidRPr="009D117A">
        <w:rPr>
          <w:rFonts w:ascii="Times New Roman" w:eastAsia="Times New Roman" w:hAnsi="Times New Roman" w:cs="Times New Roman"/>
          <w:sz w:val="24"/>
          <w:szCs w:val="24"/>
        </w:rPr>
        <w:t xml:space="preserve"> nu sunt recunoscute de ANRE la stabilirea tarifelor de energie electrică aplicate de FUI clienților finali.</w:t>
      </w:r>
    </w:p>
    <w:p w:rsidR="006E4E83" w:rsidRPr="009D117A" w:rsidRDefault="006E4E83" w:rsidP="006E4E83">
      <w:pPr>
        <w:numPr>
          <w:ilvl w:val="0"/>
          <w:numId w:val="14"/>
        </w:numPr>
        <w:tabs>
          <w:tab w:val="num" w:pos="0"/>
          <w:tab w:val="num" w:pos="720"/>
          <w:tab w:val="num" w:pos="851"/>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(1) La facturarea consumului de energie electrică al clienților care beneficiază de </w:t>
      </w:r>
      <w:r w:rsidRPr="009D117A">
        <w:rPr>
          <w:rFonts w:ascii="Times New Roman" w:eastAsia="Times New Roman" w:hAnsi="Times New Roman" w:cs="Times New Roman"/>
          <w:color w:val="000000"/>
          <w:sz w:val="24"/>
          <w:szCs w:val="24"/>
        </w:rPr>
        <w:t xml:space="preserve">serviciul universal, FUI utilizează valoarea medie a tarifului CPC aplicabil,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 xml:space="preserve"> , </m:t>
        </m:r>
      </m:oMath>
      <w:r w:rsidRPr="009D117A">
        <w:rPr>
          <w:rFonts w:ascii="Times New Roman" w:eastAsia="Times New Roman" w:hAnsi="Times New Roman" w:cs="Times New Roman"/>
          <w:color w:val="000000"/>
          <w:sz w:val="24"/>
          <w:szCs w:val="24"/>
        </w:rPr>
        <w:t>stabilită conform prevederilor art. 15.</w:t>
      </w:r>
    </w:p>
    <w:p w:rsidR="006E4E83" w:rsidRPr="009D117A" w:rsidRDefault="006E4E83" w:rsidP="006E4E83">
      <w:pPr>
        <w:tabs>
          <w:tab w:val="num" w:pos="0"/>
        </w:tabs>
        <w:autoSpaceDE w:val="0"/>
        <w:autoSpaceDN w:val="0"/>
        <w:adjustRightInd w:val="0"/>
        <w:spacing w:after="120" w:line="360" w:lineRule="auto"/>
        <w:jc w:val="both"/>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 Un c</w:t>
      </w:r>
      <w:r w:rsidRPr="009D117A">
        <w:rPr>
          <w:rFonts w:ascii="Times New Roman" w:eastAsia="Times New Roman" w:hAnsi="Times New Roman" w:cs="Times New Roman"/>
          <w:color w:val="000000"/>
          <w:sz w:val="24"/>
          <w:szCs w:val="24"/>
        </w:rPr>
        <w:t xml:space="preserve">lient care </w:t>
      </w:r>
      <w:r w:rsidRPr="009D117A">
        <w:rPr>
          <w:rFonts w:ascii="Times New Roman" w:eastAsia="Times New Roman" w:hAnsi="Times New Roman" w:cs="Times New Roman"/>
          <w:sz w:val="24"/>
          <w:szCs w:val="24"/>
        </w:rPr>
        <w:t xml:space="preserve">beneficiază de </w:t>
      </w:r>
      <w:r w:rsidRPr="009D117A">
        <w:rPr>
          <w:rFonts w:ascii="Times New Roman" w:eastAsia="Times New Roman" w:hAnsi="Times New Roman" w:cs="Times New Roman"/>
          <w:color w:val="000000"/>
          <w:sz w:val="24"/>
          <w:szCs w:val="24"/>
        </w:rPr>
        <w:t>serviciul universal poate solicita aplicarea unui tarif CPC diferențiat</w:t>
      </w:r>
      <w:r w:rsidRPr="009D117A">
        <w:rPr>
          <w:rFonts w:ascii="Times New Roman" w:eastAsia="Times New Roman" w:hAnsi="Times New Roman" w:cs="Times New Roman"/>
          <w:sz w:val="24"/>
          <w:szCs w:val="24"/>
        </w:rPr>
        <w:t xml:space="preserve">, </w:t>
      </w:r>
      <w:r w:rsidR="007E6B51"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cazul </w:t>
      </w:r>
      <w:r w:rsidR="007E6B51" w:rsidRPr="009D117A">
        <w:rPr>
          <w:rFonts w:ascii="Times New Roman" w:eastAsia="Times New Roman" w:hAnsi="Times New Roman" w:cs="Times New Roman"/>
          <w:sz w:val="24"/>
          <w:szCs w:val="24"/>
        </w:rPr>
        <w:t>în</w:t>
      </w:r>
      <w:r w:rsidRPr="009D117A">
        <w:rPr>
          <w:rFonts w:ascii="Times New Roman" w:eastAsia="Times New Roman" w:hAnsi="Times New Roman" w:cs="Times New Roman"/>
          <w:sz w:val="24"/>
          <w:szCs w:val="24"/>
        </w:rPr>
        <w:t xml:space="preserve"> care deține un sistem de măsurare cu </w:t>
      </w:r>
      <w:r w:rsidR="009D117A" w:rsidRPr="009D117A">
        <w:rPr>
          <w:rFonts w:ascii="Times New Roman" w:eastAsia="Times New Roman" w:hAnsi="Times New Roman" w:cs="Times New Roman"/>
          <w:sz w:val="24"/>
          <w:szCs w:val="24"/>
        </w:rPr>
        <w:t>înregistrarea</w:t>
      </w:r>
      <w:r w:rsidRPr="009D117A">
        <w:rPr>
          <w:rFonts w:ascii="Times New Roman" w:eastAsia="Times New Roman" w:hAnsi="Times New Roman" w:cs="Times New Roman"/>
          <w:sz w:val="24"/>
          <w:szCs w:val="24"/>
        </w:rPr>
        <w:t xml:space="preserve"> separată a consumului de energie electrică din orele de zi, respectiv a celui din orele de noapte. În această situație, prin</w:t>
      </w:r>
      <w:r w:rsidRPr="009D117A">
        <w:rPr>
          <w:rFonts w:ascii="Times New Roman" w:eastAsia="Times New Roman" w:hAnsi="Times New Roman" w:cs="Times New Roman"/>
          <w:color w:val="000000"/>
          <w:sz w:val="24"/>
          <w:szCs w:val="24"/>
        </w:rPr>
        <w:t xml:space="preserve"> excepție de la </w:t>
      </w:r>
      <w:r w:rsidRPr="009D117A">
        <w:rPr>
          <w:rFonts w:ascii="Times New Roman" w:eastAsia="Times New Roman" w:hAnsi="Times New Roman" w:cs="Times New Roman"/>
          <w:color w:val="000000"/>
          <w:sz w:val="24"/>
          <w:szCs w:val="24"/>
        </w:rPr>
        <w:lastRenderedPageBreak/>
        <w:t xml:space="preserve">prevederile alin. (1), </w:t>
      </w:r>
      <w:r w:rsidRPr="009D117A">
        <w:rPr>
          <w:rFonts w:ascii="Times New Roman" w:eastAsia="Times New Roman" w:hAnsi="Times New Roman" w:cs="Times New Roman"/>
          <w:sz w:val="24"/>
          <w:szCs w:val="24"/>
        </w:rPr>
        <w:t>la facturarea consumului de energie electrică al respectivului client FUI va utiliza valorile tarifului CPC aplicabile, stabilite conform prevederilor art. 16, astfel:</w:t>
      </w:r>
    </w:p>
    <w:p w:rsidR="006E4E83" w:rsidRPr="009D117A" w:rsidRDefault="007028DF" w:rsidP="006E4E83">
      <w:pPr>
        <w:numPr>
          <w:ilvl w:val="1"/>
          <w:numId w:val="43"/>
        </w:numPr>
        <w:autoSpaceDE w:val="0"/>
        <w:autoSpaceDN w:val="0"/>
        <w:adjustRightInd w:val="0"/>
        <w:spacing w:after="120" w:line="360" w:lineRule="auto"/>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zi</m:t>
            </m:r>
          </m:sub>
          <m:sup>
            <m:r>
              <w:rPr>
                <w:rFonts w:ascii="Cambria Math" w:eastAsia="Times New Roman" w:hAnsi="Cambria Math" w:cs="Times New Roman"/>
                <w:sz w:val="24"/>
                <w:szCs w:val="24"/>
              </w:rPr>
              <m:t>CPC</m:t>
            </m:r>
          </m:sup>
        </m:sSubSup>
      </m:oMath>
      <w:r w:rsidR="006E4E83" w:rsidRPr="009D117A">
        <w:rPr>
          <w:rFonts w:ascii="Times New Roman" w:eastAsia="Times New Roman" w:hAnsi="Times New Roman" w:cs="Times New Roman"/>
          <w:sz w:val="24"/>
          <w:szCs w:val="24"/>
        </w:rPr>
        <w:t xml:space="preserve"> , pentru consumul ȋnregistrat zilnic ȋntre orele 7 – 22, exclusiv;</w:t>
      </w:r>
    </w:p>
    <w:p w:rsidR="006E4E83" w:rsidRPr="009D117A" w:rsidRDefault="007028DF" w:rsidP="006E4E83">
      <w:pPr>
        <w:numPr>
          <w:ilvl w:val="1"/>
          <w:numId w:val="43"/>
        </w:numPr>
        <w:autoSpaceDE w:val="0"/>
        <w:autoSpaceDN w:val="0"/>
        <w:adjustRightInd w:val="0"/>
        <w:spacing w:after="120" w:line="360" w:lineRule="auto"/>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t</m:t>
            </m:r>
          </m:e>
          <m:sub>
            <m:r>
              <w:rPr>
                <w:rFonts w:ascii="Cambria Math" w:eastAsia="Times New Roman" w:hAnsi="Cambria Math" w:cs="Times New Roman"/>
                <w:sz w:val="24"/>
                <w:szCs w:val="24"/>
              </w:rPr>
              <m:t>noapte</m:t>
            </m:r>
          </m:sub>
          <m:sup>
            <m:r>
              <w:rPr>
                <w:rFonts w:ascii="Cambria Math" w:eastAsia="Times New Roman" w:hAnsi="Cambria Math" w:cs="Times New Roman"/>
                <w:sz w:val="24"/>
                <w:szCs w:val="24"/>
              </w:rPr>
              <m:t>CPC</m:t>
            </m:r>
          </m:sup>
        </m:sSubSup>
        <m:r>
          <w:rPr>
            <w:rFonts w:ascii="Cambria Math" w:eastAsia="Times New Roman" w:hAnsi="Cambria Math" w:cs="Times New Roman"/>
            <w:sz w:val="24"/>
            <w:szCs w:val="24"/>
          </w:rPr>
          <m:t xml:space="preserve"> </m:t>
        </m:r>
      </m:oMath>
      <w:r w:rsidR="006E4E83" w:rsidRPr="009D117A">
        <w:rPr>
          <w:rFonts w:ascii="Times New Roman" w:eastAsia="Times New Roman" w:hAnsi="Times New Roman" w:cs="Times New Roman"/>
          <w:sz w:val="24"/>
          <w:szCs w:val="24"/>
        </w:rPr>
        <w:t>, pentru consumul ȋnregistrat zilnic ȋntre orele 22 - 7, inclusiv.</w:t>
      </w:r>
    </w:p>
    <w:p w:rsidR="006E4E83" w:rsidRPr="009D117A" w:rsidRDefault="006E4E83" w:rsidP="006E4E83">
      <w:pPr>
        <w:spacing w:after="120" w:line="360" w:lineRule="auto"/>
        <w:jc w:val="both"/>
        <w:rPr>
          <w:rFonts w:ascii="Times New Roman" w:eastAsia="Times New Roman" w:hAnsi="Times New Roman" w:cs="Times New Roman"/>
          <w:color w:val="FF0000"/>
          <w:sz w:val="24"/>
          <w:szCs w:val="24"/>
        </w:rPr>
        <w:sectPr w:rsidR="006E4E83" w:rsidRPr="009D117A" w:rsidSect="00FF43BD">
          <w:headerReference w:type="default" r:id="rId7"/>
          <w:footerReference w:type="default" r:id="rId8"/>
          <w:pgSz w:w="11907" w:h="16840" w:code="9"/>
          <w:pgMar w:top="1134" w:right="851" w:bottom="1134" w:left="1418" w:header="567" w:footer="567" w:gutter="0"/>
          <w:cols w:space="708"/>
          <w:docGrid w:linePitch="326"/>
        </w:sectPr>
      </w:pPr>
    </w:p>
    <w:p w:rsidR="006E4E83" w:rsidRPr="009D117A" w:rsidRDefault="006E4E83" w:rsidP="006E4E83">
      <w:pPr>
        <w:spacing w:after="120" w:line="360" w:lineRule="auto"/>
        <w:rPr>
          <w:rFonts w:ascii="Times New Roman" w:eastAsia="Times New Roman" w:hAnsi="Times New Roman" w:cs="Times New Roman"/>
          <w:sz w:val="24"/>
          <w:szCs w:val="24"/>
        </w:rPr>
      </w:pPr>
    </w:p>
    <w:p w:rsidR="006E4E83" w:rsidRPr="009D117A" w:rsidRDefault="006E4E83" w:rsidP="006E4E83">
      <w:pPr>
        <w:spacing w:after="120" w:line="360" w:lineRule="auto"/>
        <w:jc w:val="right"/>
        <w:rPr>
          <w:rFonts w:ascii="Times New Roman" w:eastAsia="Times New Roman" w:hAnsi="Times New Roman" w:cs="Times New Roman"/>
          <w:b/>
          <w:i/>
          <w:sz w:val="24"/>
          <w:szCs w:val="24"/>
        </w:rPr>
      </w:pPr>
      <w:r w:rsidRPr="009D117A">
        <w:rPr>
          <w:rFonts w:ascii="Times New Roman" w:eastAsia="Times New Roman" w:hAnsi="Times New Roman" w:cs="Times New Roman"/>
          <w:b/>
          <w:i/>
          <w:sz w:val="24"/>
          <w:szCs w:val="24"/>
        </w:rPr>
        <w:t xml:space="preserve">Anexa nr. 1 </w:t>
      </w:r>
    </w:p>
    <w:p w:rsidR="006E4E83" w:rsidRPr="009D117A" w:rsidRDefault="006E4E83" w:rsidP="006E4E83">
      <w:pPr>
        <w:spacing w:after="120" w:line="360" w:lineRule="auto"/>
        <w:jc w:val="right"/>
        <w:rPr>
          <w:rFonts w:ascii="Times New Roman" w:eastAsia="Times New Roman" w:hAnsi="Times New Roman" w:cs="Times New Roman"/>
          <w:color w:val="000000"/>
          <w:sz w:val="24"/>
          <w:szCs w:val="24"/>
        </w:rPr>
      </w:pPr>
      <w:r w:rsidRPr="009D117A">
        <w:rPr>
          <w:rFonts w:ascii="Times New Roman" w:eastAsia="Times New Roman" w:hAnsi="Times New Roman" w:cs="Times New Roman"/>
          <w:b/>
          <w:i/>
          <w:color w:val="000000"/>
          <w:sz w:val="24"/>
          <w:szCs w:val="24"/>
        </w:rPr>
        <w:t>la Metodologia de stabilire a preţurilor şi tarifelor la consumatorii finali care nu uzează de dreptul de eligibilitate</w:t>
      </w:r>
    </w:p>
    <w:p w:rsidR="006E4E83" w:rsidRPr="009D117A" w:rsidRDefault="006E4E83" w:rsidP="006E4E83">
      <w:pPr>
        <w:spacing w:after="120" w:line="360" w:lineRule="auto"/>
        <w:jc w:val="right"/>
        <w:rPr>
          <w:rFonts w:ascii="Times New Roman" w:eastAsia="Times New Roman" w:hAnsi="Times New Roman" w:cs="Times New Roman"/>
          <w:sz w:val="24"/>
          <w:szCs w:val="24"/>
        </w:rPr>
      </w:pPr>
    </w:p>
    <w:p w:rsidR="006E4E83" w:rsidRPr="009D117A" w:rsidRDefault="006E4E83" w:rsidP="006E4E83">
      <w:pPr>
        <w:spacing w:after="120" w:line="36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CALENDARUL DE ELIMINARE A TARIFELOR REGLEMENTATE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1"/>
        <w:gridCol w:w="5109"/>
        <w:gridCol w:w="4131"/>
      </w:tblGrid>
      <w:tr w:rsidR="006E4E83" w:rsidRPr="009D117A" w:rsidTr="00FF43BD">
        <w:trPr>
          <w:jc w:val="center"/>
        </w:trPr>
        <w:tc>
          <w:tcPr>
            <w:tcW w:w="3141" w:type="dxa"/>
            <w:vAlign w:val="center"/>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Data de implementare</w:t>
            </w:r>
          </w:p>
        </w:tc>
        <w:tc>
          <w:tcPr>
            <w:tcW w:w="5109" w:type="dxa"/>
            <w:vAlign w:val="center"/>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Procentul de achiziţie din piaţa concurenţială (clienți non-casnici) </w:t>
            </w:r>
          </w:p>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w:t>
            </w:r>
          </w:p>
        </w:tc>
        <w:tc>
          <w:tcPr>
            <w:tcW w:w="4131" w:type="dxa"/>
            <w:vAlign w:val="center"/>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Procentul de achiziţie din piaţa concurenţială (clienți casnici) </w:t>
            </w:r>
          </w:p>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w:t>
            </w:r>
          </w:p>
        </w:tc>
      </w:tr>
      <w:tr w:rsidR="006E4E83" w:rsidRPr="009D117A" w:rsidTr="00FF43BD">
        <w:trPr>
          <w:trHeight w:val="244"/>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01.09.2012</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15</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01.01.2013</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30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01.04.2013</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45</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01.07.2013</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65</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01.09.2013</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85</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01.01.2014</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20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01.07.2014</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30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01.01.2015</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40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01.07.2015</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50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01.01.2016</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60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01.07.2016</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70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01.01.2017</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80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01.07.2017</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90</w:t>
            </w:r>
          </w:p>
        </w:tc>
      </w:tr>
      <w:tr w:rsidR="006E4E83" w:rsidRPr="009D117A" w:rsidTr="00FF43BD">
        <w:trPr>
          <w:jc w:val="center"/>
        </w:trPr>
        <w:tc>
          <w:tcPr>
            <w:tcW w:w="314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31.12.2017</w:t>
            </w:r>
          </w:p>
        </w:tc>
        <w:tc>
          <w:tcPr>
            <w:tcW w:w="5109"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p>
        </w:tc>
        <w:tc>
          <w:tcPr>
            <w:tcW w:w="4131" w:type="dxa"/>
          </w:tcPr>
          <w:p w:rsidR="006E4E83" w:rsidRPr="009D117A" w:rsidRDefault="006E4E83" w:rsidP="006E4E83">
            <w:pPr>
              <w:spacing w:after="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100</w:t>
            </w:r>
          </w:p>
        </w:tc>
      </w:tr>
    </w:tbl>
    <w:p w:rsidR="006E4E83" w:rsidRPr="009D117A" w:rsidRDefault="006E4E83" w:rsidP="006E4E83">
      <w:pPr>
        <w:spacing w:after="120" w:line="360" w:lineRule="auto"/>
        <w:jc w:val="center"/>
        <w:rPr>
          <w:rFonts w:ascii="Times New Roman" w:eastAsia="Times New Roman" w:hAnsi="Times New Roman" w:cs="Times New Roman"/>
          <w:sz w:val="24"/>
          <w:szCs w:val="24"/>
        </w:rPr>
      </w:pPr>
    </w:p>
    <w:p w:rsidR="006E4E83" w:rsidRPr="009D117A" w:rsidRDefault="006E4E83" w:rsidP="006E4E83">
      <w:pPr>
        <w:spacing w:after="120" w:line="360" w:lineRule="auto"/>
        <w:rPr>
          <w:rFonts w:ascii="Times New Roman" w:eastAsia="Times New Roman" w:hAnsi="Times New Roman" w:cs="Times New Roman"/>
          <w:sz w:val="24"/>
          <w:szCs w:val="24"/>
        </w:rPr>
      </w:pPr>
    </w:p>
    <w:p w:rsidR="006E4E83" w:rsidRPr="009D117A" w:rsidRDefault="006E4E83" w:rsidP="006E4E83">
      <w:pPr>
        <w:spacing w:after="120" w:line="360" w:lineRule="auto"/>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br w:type="page"/>
      </w:r>
    </w:p>
    <w:p w:rsidR="006E4E83" w:rsidRPr="009D117A" w:rsidRDefault="006E4E83" w:rsidP="006E4E83">
      <w:pPr>
        <w:spacing w:after="120" w:line="360" w:lineRule="auto"/>
        <w:jc w:val="right"/>
        <w:rPr>
          <w:rFonts w:ascii="Times New Roman" w:eastAsia="Times New Roman" w:hAnsi="Times New Roman" w:cs="Times New Roman"/>
          <w:b/>
          <w:i/>
          <w:sz w:val="24"/>
          <w:szCs w:val="24"/>
        </w:rPr>
      </w:pPr>
      <w:r w:rsidRPr="009D117A">
        <w:rPr>
          <w:rFonts w:ascii="Times New Roman" w:eastAsia="Times New Roman" w:hAnsi="Times New Roman" w:cs="Times New Roman"/>
          <w:b/>
          <w:i/>
          <w:sz w:val="24"/>
          <w:szCs w:val="24"/>
        </w:rPr>
        <w:lastRenderedPageBreak/>
        <w:t xml:space="preserve">Anexa nr. 2 </w:t>
      </w:r>
    </w:p>
    <w:p w:rsidR="006E4E83" w:rsidRPr="009D117A" w:rsidRDefault="006E4E83" w:rsidP="006E4E83">
      <w:pPr>
        <w:spacing w:after="120" w:line="360" w:lineRule="auto"/>
        <w:jc w:val="right"/>
        <w:rPr>
          <w:rFonts w:ascii="Times New Roman" w:eastAsia="Times New Roman" w:hAnsi="Times New Roman" w:cs="Times New Roman"/>
          <w:b/>
          <w:i/>
          <w:color w:val="000000"/>
          <w:sz w:val="24"/>
          <w:szCs w:val="24"/>
        </w:rPr>
      </w:pPr>
      <w:r w:rsidRPr="009D117A">
        <w:rPr>
          <w:rFonts w:ascii="Times New Roman" w:eastAsia="Times New Roman" w:hAnsi="Times New Roman" w:cs="Times New Roman"/>
          <w:b/>
          <w:i/>
          <w:color w:val="000000"/>
          <w:sz w:val="24"/>
          <w:szCs w:val="24"/>
        </w:rPr>
        <w:t>la Metodologia de stabilire a preţurilor şi tarifelor la consumatorii finali care nu uzează de dreptul de eligibilitate</w:t>
      </w:r>
    </w:p>
    <w:p w:rsidR="006E4E83" w:rsidRPr="009D117A" w:rsidRDefault="006E4E83" w:rsidP="006E4E83">
      <w:pPr>
        <w:spacing w:after="120" w:line="360" w:lineRule="auto"/>
        <w:jc w:val="right"/>
        <w:rPr>
          <w:rFonts w:ascii="Times New Roman" w:eastAsia="Times New Roman" w:hAnsi="Times New Roman" w:cs="Times New Roman"/>
          <w:color w:val="000000"/>
          <w:sz w:val="24"/>
          <w:szCs w:val="24"/>
        </w:rPr>
      </w:pPr>
    </w:p>
    <w:p w:rsidR="006E4E83" w:rsidRPr="009D117A" w:rsidRDefault="006E4E83" w:rsidP="006E4E83">
      <w:pPr>
        <w:spacing w:after="120" w:line="240" w:lineRule="auto"/>
        <w:jc w:val="center"/>
        <w:rPr>
          <w:rFonts w:ascii="Times New Roman" w:eastAsia="Times New Roman" w:hAnsi="Times New Roman" w:cs="Times New Roman"/>
          <w:sz w:val="24"/>
          <w:szCs w:val="24"/>
        </w:rPr>
      </w:pPr>
      <w:r w:rsidRPr="009D117A">
        <w:rPr>
          <w:rFonts w:ascii="Times New Roman" w:eastAsia="Times New Roman" w:hAnsi="Times New Roman" w:cs="Times New Roman"/>
          <w:sz w:val="24"/>
          <w:szCs w:val="24"/>
        </w:rPr>
        <w:t xml:space="preserve">MACHETE DE FUNDAMENTARE A </w:t>
      </w:r>
      <w:r w:rsidRPr="009D117A">
        <w:rPr>
          <w:rFonts w:ascii="Times New Roman" w:eastAsia="Times New Roman" w:hAnsi="Times New Roman" w:cs="Times New Roman"/>
          <w:caps/>
          <w:sz w:val="24"/>
          <w:szCs w:val="24"/>
        </w:rPr>
        <w:t>Veniturilor, costurilor, consumurilor de energie şi preţurilor Medii de revenire aferente furnizării energiei electrice la clienŢii din piaŢa reglementatĂ</w:t>
      </w:r>
    </w:p>
    <w:p w:rsidR="006E4E83" w:rsidRPr="009D117A" w:rsidRDefault="006E4E83" w:rsidP="006E4E83">
      <w:pPr>
        <w:spacing w:after="120" w:line="240" w:lineRule="auto"/>
        <w:ind w:left="992" w:hanging="992"/>
        <w:rPr>
          <w:rFonts w:ascii="Times New Roman" w:eastAsia="Times New Roman" w:hAnsi="Times New Roman" w:cs="Times New Roman"/>
          <w:sz w:val="24"/>
          <w:szCs w:val="24"/>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r w:rsidRPr="009D117A">
        <w:rPr>
          <w:rFonts w:ascii="Times New Roman" w:eastAsia="Times New Roman" w:hAnsi="Times New Roman" w:cs="Times New Roman"/>
          <w:b/>
          <w:sz w:val="28"/>
          <w:szCs w:val="28"/>
        </w:rPr>
        <w:t>Tabelul 1. Date previzionate</w:t>
      </w:r>
    </w:p>
    <w:tbl>
      <w:tblPr>
        <w:tblW w:w="5893" w:type="dxa"/>
        <w:tblInd w:w="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491"/>
        <w:gridCol w:w="3402"/>
      </w:tblGrid>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Titular licență:</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w:t>
            </w:r>
          </w:p>
        </w:tc>
      </w:tr>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An:</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p>
        </w:tc>
      </w:tr>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Perioada/semestrul:</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p>
        </w:tc>
      </w:tr>
    </w:tbl>
    <w:p w:rsidR="006E4E83" w:rsidRPr="009D117A" w:rsidRDefault="006E4E83" w:rsidP="006E4E83">
      <w:pPr>
        <w:spacing w:after="0" w:line="240" w:lineRule="auto"/>
        <w:rPr>
          <w:rFonts w:ascii="Times New Roman" w:eastAsia="Times New Roman" w:hAnsi="Times New Roman" w:cs="Times New Roman"/>
          <w:vanish/>
          <w:sz w:val="18"/>
          <w:szCs w:val="18"/>
        </w:rPr>
      </w:pPr>
    </w:p>
    <w:p w:rsidR="006E4E83" w:rsidRPr="009D117A" w:rsidRDefault="006E4E83" w:rsidP="006E4E83">
      <w:pPr>
        <w:spacing w:after="0" w:line="240" w:lineRule="auto"/>
        <w:rPr>
          <w:rFonts w:ascii="Times New Roman" w:eastAsia="Times New Roman" w:hAnsi="Times New Roman" w:cs="Times New Roman"/>
          <w:sz w:val="24"/>
          <w:szCs w:val="24"/>
        </w:rPr>
      </w:pPr>
    </w:p>
    <w:tbl>
      <w:tblPr>
        <w:tblW w:w="12806"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600" w:firstRow="0" w:lastRow="0" w:firstColumn="0" w:lastColumn="0" w:noHBand="1" w:noVBand="1"/>
      </w:tblPr>
      <w:tblGrid>
        <w:gridCol w:w="647"/>
        <w:gridCol w:w="2758"/>
        <w:gridCol w:w="928"/>
        <w:gridCol w:w="941"/>
        <w:gridCol w:w="891"/>
        <w:gridCol w:w="971"/>
        <w:gridCol w:w="941"/>
        <w:gridCol w:w="838"/>
        <w:gridCol w:w="1297"/>
        <w:gridCol w:w="1297"/>
        <w:gridCol w:w="1297"/>
      </w:tblGrid>
      <w:tr w:rsidR="006E4E83" w:rsidRPr="009D117A" w:rsidTr="00FF43BD">
        <w:trPr>
          <w:trHeight w:val="179"/>
        </w:trPr>
        <w:tc>
          <w:tcPr>
            <w:tcW w:w="647" w:type="dxa"/>
            <w:vMerge w:val="restart"/>
            <w:tcBorders>
              <w:top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Nr. crt.</w:t>
            </w:r>
          </w:p>
        </w:tc>
        <w:tc>
          <w:tcPr>
            <w:tcW w:w="2758" w:type="dxa"/>
            <w:vMerge w:val="restart"/>
            <w:tcBorders>
              <w:top w:val="single" w:sz="18" w:space="0" w:color="auto"/>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Elemente de cost / venit</w:t>
            </w:r>
          </w:p>
        </w:tc>
        <w:tc>
          <w:tcPr>
            <w:tcW w:w="2760" w:type="dxa"/>
            <w:gridSpan w:val="3"/>
            <w:tcBorders>
              <w:top w:val="single" w:sz="18" w:space="0" w:color="auto"/>
              <w:left w:val="single" w:sz="18" w:space="0" w:color="auto"/>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reglementate</w:t>
            </w:r>
          </w:p>
        </w:tc>
        <w:tc>
          <w:tcPr>
            <w:tcW w:w="2750" w:type="dxa"/>
            <w:gridSpan w:val="3"/>
            <w:tcBorders>
              <w:top w:val="single" w:sz="18" w:space="0" w:color="auto"/>
              <w:left w:val="single" w:sz="18" w:space="0" w:color="auto"/>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CPC</w:t>
            </w:r>
          </w:p>
        </w:tc>
        <w:tc>
          <w:tcPr>
            <w:tcW w:w="3891" w:type="dxa"/>
            <w:gridSpan w:val="3"/>
            <w:tcBorders>
              <w:top w:val="single" w:sz="18" w:space="0" w:color="auto"/>
              <w:left w:val="single" w:sz="18" w:space="0" w:color="auto"/>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UI – clienți din piața reglementată</w:t>
            </w:r>
          </w:p>
        </w:tc>
      </w:tr>
      <w:tr w:rsidR="006E4E83" w:rsidRPr="009D117A" w:rsidTr="00FF43BD">
        <w:trPr>
          <w:trHeight w:val="179"/>
        </w:trPr>
        <w:tc>
          <w:tcPr>
            <w:tcW w:w="647" w:type="dxa"/>
            <w:vMerge/>
            <w:tcBorders>
              <w:top w:val="single" w:sz="6" w:space="0" w:color="000000"/>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p>
        </w:tc>
        <w:tc>
          <w:tcPr>
            <w:tcW w:w="2758" w:type="dxa"/>
            <w:vMerge/>
            <w:tcBorders>
              <w:top w:val="single" w:sz="6" w:space="0" w:color="000000"/>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p>
        </w:tc>
        <w:tc>
          <w:tcPr>
            <w:tcW w:w="928" w:type="dxa"/>
            <w:tcBorders>
              <w:top w:val="single" w:sz="6" w:space="0" w:color="000000"/>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Energie </w:t>
            </w:r>
          </w:p>
        </w:tc>
        <w:tc>
          <w:tcPr>
            <w:tcW w:w="941" w:type="dxa"/>
            <w:tcBorders>
              <w:top w:val="single" w:sz="6" w:space="0" w:color="000000"/>
              <w:bottom w:val="single" w:sz="6" w:space="0" w:color="000000"/>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Preț </w:t>
            </w:r>
          </w:p>
        </w:tc>
        <w:tc>
          <w:tcPr>
            <w:tcW w:w="891" w:type="dxa"/>
            <w:tcBorders>
              <w:top w:val="single" w:sz="6" w:space="0" w:color="000000"/>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c>
          <w:tcPr>
            <w:tcW w:w="971" w:type="dxa"/>
            <w:tcBorders>
              <w:top w:val="single" w:sz="6" w:space="0" w:color="000000"/>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Energie </w:t>
            </w:r>
          </w:p>
        </w:tc>
        <w:tc>
          <w:tcPr>
            <w:tcW w:w="941" w:type="dxa"/>
            <w:tcBorders>
              <w:top w:val="single" w:sz="6" w:space="0" w:color="000000"/>
              <w:bottom w:val="single" w:sz="6" w:space="0" w:color="000000"/>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Preț </w:t>
            </w:r>
          </w:p>
        </w:tc>
        <w:tc>
          <w:tcPr>
            <w:tcW w:w="838" w:type="dxa"/>
            <w:tcBorders>
              <w:top w:val="single" w:sz="6" w:space="0" w:color="000000"/>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c>
          <w:tcPr>
            <w:tcW w:w="1297" w:type="dxa"/>
            <w:tcBorders>
              <w:top w:val="single" w:sz="6" w:space="0" w:color="000000"/>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Energie</w:t>
            </w:r>
          </w:p>
        </w:tc>
        <w:tc>
          <w:tcPr>
            <w:tcW w:w="1297" w:type="dxa"/>
            <w:tcBorders>
              <w:top w:val="single" w:sz="6" w:space="0" w:color="000000"/>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Preț</w:t>
            </w:r>
          </w:p>
        </w:tc>
        <w:tc>
          <w:tcPr>
            <w:tcW w:w="1297" w:type="dxa"/>
            <w:tcBorders>
              <w:top w:val="single" w:sz="6" w:space="0" w:color="000000"/>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r>
      <w:tr w:rsidR="006E4E83" w:rsidRPr="009D117A" w:rsidTr="00FF43BD">
        <w:trPr>
          <w:trHeight w:val="179"/>
        </w:trPr>
        <w:tc>
          <w:tcPr>
            <w:tcW w:w="3405" w:type="dxa"/>
            <w:gridSpan w:val="2"/>
            <w:tcBorders>
              <w:top w:val="single" w:sz="6" w:space="0" w:color="000000"/>
              <w:bottom w:val="single" w:sz="18" w:space="0" w:color="auto"/>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UM</w:t>
            </w:r>
          </w:p>
        </w:tc>
        <w:tc>
          <w:tcPr>
            <w:tcW w:w="928" w:type="dxa"/>
            <w:tcBorders>
              <w:top w:val="single" w:sz="6" w:space="0" w:color="000000"/>
              <w:left w:val="single" w:sz="18" w:space="0" w:color="auto"/>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941" w:type="dxa"/>
            <w:tcBorders>
              <w:top w:val="single" w:sz="6" w:space="0" w:color="000000"/>
              <w:bottom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891" w:type="dxa"/>
            <w:tcBorders>
              <w:top w:val="single" w:sz="6" w:space="0" w:color="000000"/>
              <w:bottom w:val="single" w:sz="18" w:space="0" w:color="auto"/>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c>
          <w:tcPr>
            <w:tcW w:w="971" w:type="dxa"/>
            <w:tcBorders>
              <w:top w:val="single" w:sz="6" w:space="0" w:color="000000"/>
              <w:left w:val="single" w:sz="18" w:space="0" w:color="auto"/>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941" w:type="dxa"/>
            <w:tcBorders>
              <w:top w:val="single" w:sz="6" w:space="0" w:color="000000"/>
              <w:bottom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838" w:type="dxa"/>
            <w:tcBorders>
              <w:top w:val="single" w:sz="6" w:space="0" w:color="000000"/>
              <w:bottom w:val="single" w:sz="18" w:space="0" w:color="auto"/>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c>
          <w:tcPr>
            <w:tcW w:w="1297" w:type="dxa"/>
            <w:tcBorders>
              <w:top w:val="single" w:sz="6" w:space="0" w:color="000000"/>
              <w:bottom w:val="single" w:sz="18" w:space="0" w:color="auto"/>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1297" w:type="dxa"/>
            <w:tcBorders>
              <w:top w:val="single" w:sz="6" w:space="0" w:color="000000"/>
              <w:bottom w:val="single" w:sz="18" w:space="0" w:color="auto"/>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1297" w:type="dxa"/>
            <w:tcBorders>
              <w:top w:val="single" w:sz="6" w:space="0" w:color="000000"/>
              <w:bottom w:val="single" w:sz="18" w:space="0" w:color="auto"/>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r>
      <w:tr w:rsidR="006E4E83" w:rsidRPr="009D117A" w:rsidTr="00FF43BD">
        <w:trPr>
          <w:trHeight w:val="101"/>
        </w:trPr>
        <w:tc>
          <w:tcPr>
            <w:tcW w:w="647" w:type="dxa"/>
            <w:tcBorders>
              <w:top w:val="single" w:sz="18" w:space="0" w:color="auto"/>
            </w:tcBorders>
            <w:shd w:val="clear" w:color="auto" w:fill="auto"/>
          </w:tcPr>
          <w:p w:rsidR="006E4E83" w:rsidRPr="009D117A" w:rsidRDefault="006E4E83" w:rsidP="006E4E83">
            <w:pPr>
              <w:spacing w:after="0" w:line="240" w:lineRule="auto"/>
              <w:ind w:left="720" w:hanging="709"/>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w:t>
            </w:r>
          </w:p>
        </w:tc>
        <w:tc>
          <w:tcPr>
            <w:tcW w:w="2758" w:type="dxa"/>
            <w:tcBorders>
              <w:top w:val="single" w:sz="18" w:space="0" w:color="auto"/>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TOTAL COSTURI – PREVIZIONAT (1=2+3+4+5+6+10+11+12-13)</w:t>
            </w:r>
          </w:p>
        </w:tc>
        <w:tc>
          <w:tcPr>
            <w:tcW w:w="928" w:type="dxa"/>
            <w:tcBorders>
              <w:top w:val="single" w:sz="18" w:space="0" w:color="auto"/>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Borders>
              <w:top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91" w:type="dxa"/>
            <w:tcBorders>
              <w:top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71" w:type="dxa"/>
            <w:tcBorders>
              <w:top w:val="single" w:sz="18" w:space="0" w:color="auto"/>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Borders>
              <w:top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38" w:type="dxa"/>
            <w:tcBorders>
              <w:top w:val="single" w:sz="18" w:space="0" w:color="auto"/>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top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top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top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01"/>
        </w:trPr>
        <w:tc>
          <w:tcPr>
            <w:tcW w:w="647" w:type="dxa"/>
            <w:shd w:val="clear" w:color="auto" w:fill="auto"/>
          </w:tcPr>
          <w:p w:rsidR="006E4E83" w:rsidRPr="009D117A" w:rsidRDefault="006E4E83" w:rsidP="006E4E83">
            <w:pPr>
              <w:spacing w:after="0" w:line="240" w:lineRule="auto"/>
              <w:ind w:left="11" w:hanging="11"/>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 xml:space="preserve">Total achiziție netă </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99"/>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3.</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Transport – componenta de extracție din rețea  - Tl</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0"/>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4.</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Servicii sistem</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76"/>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5.</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Operare piață</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76"/>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6.</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color w:val="000000"/>
                <w:sz w:val="18"/>
                <w:szCs w:val="18"/>
              </w:rPr>
            </w:pPr>
            <w:r w:rsidRPr="009D117A">
              <w:rPr>
                <w:rFonts w:ascii="Times New Roman" w:eastAsia="Times New Roman" w:hAnsi="Times New Roman" w:cs="Times New Roman"/>
                <w:b/>
                <w:bCs/>
                <w:color w:val="000000"/>
                <w:sz w:val="18"/>
                <w:szCs w:val="18"/>
              </w:rPr>
              <w:t>Distribuție total (6=7+8+9)</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11"/>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7.</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din care – pe IT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9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8.</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pe MT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1"/>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9.</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pe JT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10.</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 xml:space="preserve">Furnizare </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11.</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 xml:space="preserve">Profit </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12.</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color w:val="000000"/>
                <w:sz w:val="18"/>
                <w:szCs w:val="18"/>
                <w:vertAlign w:val="subscript"/>
              </w:rPr>
            </w:pPr>
            <w:r w:rsidRPr="009D117A">
              <w:rPr>
                <w:rFonts w:ascii="Times New Roman" w:eastAsia="Times New Roman" w:hAnsi="Times New Roman" w:cs="Times New Roman"/>
                <w:b/>
                <w:bCs/>
                <w:color w:val="000000"/>
                <w:sz w:val="18"/>
                <w:szCs w:val="18"/>
              </w:rPr>
              <w:t>Reduceri previzionate de venit - ∆V</w:t>
            </w:r>
            <w:r w:rsidRPr="009D117A">
              <w:rPr>
                <w:rFonts w:ascii="Times New Roman" w:eastAsia="Times New Roman" w:hAnsi="Times New Roman" w:cs="Times New Roman"/>
                <w:b/>
                <w:bCs/>
                <w:color w:val="000000"/>
                <w:sz w:val="18"/>
                <w:szCs w:val="18"/>
                <w:vertAlign w:val="subscript"/>
              </w:rPr>
              <w:t>viitor</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13.</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color w:val="000000"/>
                <w:sz w:val="18"/>
                <w:szCs w:val="18"/>
                <w:vertAlign w:val="subscript"/>
              </w:rPr>
            </w:pPr>
            <w:r w:rsidRPr="009D117A">
              <w:rPr>
                <w:rFonts w:ascii="Times New Roman" w:eastAsia="Times New Roman" w:hAnsi="Times New Roman" w:cs="Times New Roman"/>
                <w:b/>
                <w:bCs/>
                <w:color w:val="000000"/>
                <w:sz w:val="18"/>
                <w:szCs w:val="18"/>
              </w:rPr>
              <w:t>Sold corecții de tarif - ∆P</w:t>
            </w:r>
            <w:r w:rsidRPr="009D117A">
              <w:rPr>
                <w:rFonts w:ascii="Times New Roman" w:eastAsia="Times New Roman" w:hAnsi="Times New Roman" w:cs="Times New Roman"/>
                <w:b/>
                <w:bCs/>
                <w:color w:val="000000"/>
                <w:sz w:val="18"/>
                <w:szCs w:val="18"/>
                <w:vertAlign w:val="subscript"/>
              </w:rPr>
              <w:t>trecut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481"/>
        </w:trPr>
        <w:tc>
          <w:tcPr>
            <w:tcW w:w="12806" w:type="dxa"/>
            <w:gridSpan w:val="11"/>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26"/>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14.</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VENITURI DIN VÂNZARE LA CLIENŢI FINALI – PREVIZIONAT (14=15+19)</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22"/>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lastRenderedPageBreak/>
              <w:t>15.</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clienți non-casnici (15=16+17+18)</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211"/>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16.</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din care – pe IT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28"/>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17.</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pe MT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6"/>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18.</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pe JT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5"/>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19.</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clienți casnici (19=20+21)</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222"/>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20.</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xml:space="preserve">                           din care – pe MT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40"/>
        </w:trPr>
        <w:tc>
          <w:tcPr>
            <w:tcW w:w="64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21.</w:t>
            </w:r>
          </w:p>
        </w:tc>
        <w:tc>
          <w:tcPr>
            <w:tcW w:w="27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xml:space="preserve">                                           pe JT</w:t>
            </w:r>
          </w:p>
        </w:tc>
        <w:tc>
          <w:tcPr>
            <w:tcW w:w="928"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9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71"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941"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3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97"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bl>
    <w:p w:rsidR="006E4E83" w:rsidRPr="009D117A" w:rsidRDefault="006E4E83" w:rsidP="006E4E83">
      <w:pPr>
        <w:shd w:val="clear" w:color="auto" w:fill="FFFFFF" w:themeFill="background1"/>
        <w:spacing w:after="120" w:line="360" w:lineRule="auto"/>
        <w:rPr>
          <w:rFonts w:ascii="Times New Roman" w:eastAsia="Times New Roman" w:hAnsi="Times New Roman" w:cs="Times New Roman"/>
          <w:sz w:val="16"/>
          <w:szCs w:val="16"/>
        </w:rPr>
      </w:pPr>
    </w:p>
    <w:tbl>
      <w:tblPr>
        <w:tblW w:w="1114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540"/>
        <w:gridCol w:w="8214"/>
        <w:gridCol w:w="1326"/>
        <w:gridCol w:w="1060"/>
      </w:tblGrid>
      <w:tr w:rsidR="006E4E83" w:rsidRPr="009D117A" w:rsidTr="00FF43BD">
        <w:trPr>
          <w:trHeight w:val="420"/>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Nr. crt.</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Parametrii de calcul</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UM</w:t>
            </w:r>
          </w:p>
        </w:tc>
        <w:tc>
          <w:tcPr>
            <w:tcW w:w="106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6"/>
                <w:szCs w:val="16"/>
                <w:lang w:eastAsia="ro-RO"/>
              </w:rPr>
            </w:pPr>
            <w:r w:rsidRPr="009D117A">
              <w:rPr>
                <w:rFonts w:ascii="Times New Roman" w:eastAsia="Times New Roman" w:hAnsi="Times New Roman" w:cs="Times New Roman"/>
                <w:b/>
                <w:sz w:val="16"/>
                <w:szCs w:val="16"/>
                <w:lang w:eastAsia="ro-RO"/>
              </w:rPr>
              <w:t>Valoare</w:t>
            </w:r>
          </w:p>
        </w:tc>
      </w:tr>
      <w:tr w:rsidR="006E4E83" w:rsidRPr="009D117A" w:rsidTr="00FF43BD">
        <w:trPr>
          <w:trHeight w:val="99"/>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PCSU (pt. fiecare produs de tranzacționare) – trimestrul următor</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86"/>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32"/>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79"/>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2.</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rPr>
              <w:t>Cantitate achiziționată PCSU</w:t>
            </w:r>
            <w:r w:rsidRPr="009D117A">
              <w:rPr>
                <w:rFonts w:ascii="Times New Roman" w:eastAsia="Times New Roman" w:hAnsi="Times New Roman" w:cs="Times New Roman"/>
                <w:sz w:val="18"/>
                <w:szCs w:val="18"/>
                <w:lang w:eastAsia="ro-RO"/>
              </w:rPr>
              <w:t xml:space="preserve"> (pt. fiecare produs de tranzacționare) – trimestrul următor</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66"/>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13"/>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01"/>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3.</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rPr>
              <w:t>Cantitate oferte cumpărare PCSU</w:t>
            </w:r>
            <w:r w:rsidRPr="009D117A">
              <w:rPr>
                <w:rFonts w:ascii="Times New Roman" w:eastAsia="Times New Roman" w:hAnsi="Times New Roman" w:cs="Times New Roman"/>
                <w:sz w:val="18"/>
                <w:szCs w:val="18"/>
                <w:lang w:eastAsia="ro-RO"/>
              </w:rPr>
              <w:t xml:space="preserve"> (pt. fiecare produs de tranzacționare) – trimestrul următor</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32"/>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21"/>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06"/>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4.</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PZU – două luni din trimestrul curent</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198"/>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5.</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pentru deficit de energie – două luni din trimestrul curent</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3"/>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6.</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 xml:space="preserve">Preț mediu de achiziție a energiei electrice pe contracte reglementate </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6"/>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7.</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 xml:space="preserve">Preț mediu de achiziție a energiei electrice furnizate clienților eligibili - previzionat </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r w:rsidRPr="009D117A">
              <w:rPr>
                <w:rFonts w:ascii="Times New Roman" w:eastAsia="Times New Roman" w:hAnsi="Times New Roman" w:cs="Times New Roman"/>
                <w:sz w:val="16"/>
                <w:szCs w:val="16"/>
                <w:lang w:eastAsia="ro-RO"/>
              </w:rPr>
              <w:t> </w:t>
            </w:r>
          </w:p>
        </w:tc>
      </w:tr>
      <w:tr w:rsidR="006E4E83" w:rsidRPr="009D117A" w:rsidTr="00FF43BD">
        <w:trPr>
          <w:trHeight w:val="266"/>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8.</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 xml:space="preserve">Cost unitar furnizare - tarife reglementate casnici </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0"/>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9.</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Cost unitar furnizare – tarife CPC casnici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9"/>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 xml:space="preserve">Cost unitar furnizare </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64"/>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10.</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Număr clienți casnici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69"/>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11.</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Număr clienți non-casnici la tarife CPC</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w:t>
            </w:r>
          </w:p>
        </w:tc>
        <w:tc>
          <w:tcPr>
            <w:tcW w:w="1060"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bl>
    <w:p w:rsidR="006E4E83" w:rsidRPr="009D117A" w:rsidRDefault="006E4E83" w:rsidP="006E4E83">
      <w:pPr>
        <w:spacing w:after="0" w:line="240" w:lineRule="auto"/>
        <w:rPr>
          <w:rFonts w:ascii="Times New Roman" w:eastAsia="Times New Roman" w:hAnsi="Times New Roman" w:cs="Times New Roman"/>
          <w:sz w:val="24"/>
          <w:szCs w:val="24"/>
        </w:rPr>
      </w:pPr>
    </w:p>
    <w:p w:rsidR="006E4E83" w:rsidRPr="009D117A" w:rsidRDefault="006E4E83" w:rsidP="006E4E83">
      <w:pPr>
        <w:spacing w:after="120" w:line="360" w:lineRule="auto"/>
        <w:jc w:val="both"/>
        <w:rPr>
          <w:rFonts w:ascii="Times New Roman" w:eastAsia="Times New Roman" w:hAnsi="Times New Roman" w:cs="Times New Roman"/>
          <w:sz w:val="24"/>
          <w:szCs w:val="24"/>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p>
    <w:p w:rsidR="006E4E83" w:rsidRPr="009D117A" w:rsidRDefault="006E4E83" w:rsidP="006E4E83">
      <w:pPr>
        <w:spacing w:after="120" w:line="240" w:lineRule="auto"/>
        <w:ind w:left="992" w:hanging="992"/>
        <w:rPr>
          <w:rFonts w:ascii="Times New Roman" w:eastAsia="Times New Roman" w:hAnsi="Times New Roman" w:cs="Times New Roman"/>
          <w:b/>
          <w:sz w:val="28"/>
          <w:szCs w:val="28"/>
        </w:rPr>
      </w:pPr>
      <w:r w:rsidRPr="009D117A">
        <w:rPr>
          <w:rFonts w:ascii="Times New Roman" w:eastAsia="Times New Roman" w:hAnsi="Times New Roman" w:cs="Times New Roman"/>
          <w:b/>
          <w:sz w:val="28"/>
          <w:szCs w:val="28"/>
        </w:rPr>
        <w:lastRenderedPageBreak/>
        <w:t>Tabelul 2. Date realizate</w:t>
      </w:r>
    </w:p>
    <w:tbl>
      <w:tblPr>
        <w:tblW w:w="5893" w:type="dxa"/>
        <w:tblInd w:w="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491"/>
        <w:gridCol w:w="3402"/>
      </w:tblGrid>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Titular licență:</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w:t>
            </w:r>
          </w:p>
        </w:tc>
      </w:tr>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An:</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p>
        </w:tc>
      </w:tr>
      <w:tr w:rsidR="006E4E83" w:rsidRPr="009D117A" w:rsidTr="00FF43BD">
        <w:trPr>
          <w:trHeight w:val="104"/>
        </w:trPr>
        <w:tc>
          <w:tcPr>
            <w:tcW w:w="2491"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Perioada/Semestrul:</w:t>
            </w:r>
          </w:p>
        </w:tc>
        <w:tc>
          <w:tcPr>
            <w:tcW w:w="3402" w:type="dxa"/>
            <w:shd w:val="clear" w:color="auto" w:fill="auto"/>
            <w:vAlign w:val="center"/>
          </w:tcPr>
          <w:p w:rsidR="006E4E83" w:rsidRPr="009D117A" w:rsidRDefault="006E4E83" w:rsidP="006E4E83">
            <w:pPr>
              <w:spacing w:after="0" w:line="240" w:lineRule="auto"/>
              <w:rPr>
                <w:rFonts w:ascii="Times New Roman" w:eastAsia="Times New Roman" w:hAnsi="Times New Roman" w:cs="Times New Roman"/>
                <w:sz w:val="18"/>
                <w:szCs w:val="18"/>
              </w:rPr>
            </w:pPr>
          </w:p>
        </w:tc>
      </w:tr>
    </w:tbl>
    <w:p w:rsidR="006E4E83" w:rsidRPr="009D117A" w:rsidRDefault="006E4E83" w:rsidP="006E4E83">
      <w:pPr>
        <w:spacing w:after="0" w:line="240" w:lineRule="auto"/>
        <w:rPr>
          <w:rFonts w:ascii="Times New Roman" w:eastAsia="Times New Roman" w:hAnsi="Times New Roman" w:cs="Times New Roman"/>
          <w:vanish/>
          <w:sz w:val="18"/>
          <w:szCs w:val="18"/>
        </w:rPr>
      </w:pPr>
    </w:p>
    <w:p w:rsidR="006E4E83" w:rsidRPr="009D117A" w:rsidRDefault="006E4E83" w:rsidP="006E4E83">
      <w:pPr>
        <w:spacing w:after="0" w:line="240" w:lineRule="auto"/>
        <w:rPr>
          <w:rFonts w:ascii="Times New Roman" w:eastAsia="Times New Roman" w:hAnsi="Times New Roman" w:cs="Times New Roman"/>
          <w:sz w:val="24"/>
          <w:szCs w:val="24"/>
        </w:rPr>
      </w:pPr>
    </w:p>
    <w:tbl>
      <w:tblPr>
        <w:tblW w:w="14217"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ook w:val="0600" w:firstRow="0" w:lastRow="0" w:firstColumn="0" w:lastColumn="0" w:noHBand="1" w:noVBand="1"/>
      </w:tblPr>
      <w:tblGrid>
        <w:gridCol w:w="925"/>
        <w:gridCol w:w="3635"/>
        <w:gridCol w:w="1115"/>
        <w:gridCol w:w="1016"/>
        <w:gridCol w:w="1001"/>
        <w:gridCol w:w="1233"/>
        <w:gridCol w:w="1016"/>
        <w:gridCol w:w="858"/>
        <w:gridCol w:w="1104"/>
        <w:gridCol w:w="1207"/>
        <w:gridCol w:w="1107"/>
      </w:tblGrid>
      <w:tr w:rsidR="006E4E83" w:rsidRPr="009D117A" w:rsidTr="00FF43BD">
        <w:trPr>
          <w:trHeight w:val="179"/>
        </w:trPr>
        <w:tc>
          <w:tcPr>
            <w:tcW w:w="925" w:type="dxa"/>
            <w:vMerge w:val="restart"/>
            <w:tcBorders>
              <w:top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Nr. crt.</w:t>
            </w:r>
          </w:p>
        </w:tc>
        <w:tc>
          <w:tcPr>
            <w:tcW w:w="3635" w:type="dxa"/>
            <w:vMerge w:val="restart"/>
            <w:tcBorders>
              <w:top w:val="single" w:sz="18" w:space="0" w:color="auto"/>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Elemente de cost / venit</w:t>
            </w:r>
          </w:p>
        </w:tc>
        <w:tc>
          <w:tcPr>
            <w:tcW w:w="3132" w:type="dxa"/>
            <w:gridSpan w:val="3"/>
            <w:tcBorders>
              <w:top w:val="single" w:sz="18" w:space="0" w:color="auto"/>
              <w:left w:val="single" w:sz="18" w:space="0" w:color="auto"/>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reglementate</w:t>
            </w:r>
          </w:p>
        </w:tc>
        <w:tc>
          <w:tcPr>
            <w:tcW w:w="3107" w:type="dxa"/>
            <w:gridSpan w:val="3"/>
            <w:tcBorders>
              <w:top w:val="single" w:sz="18" w:space="0" w:color="auto"/>
              <w:left w:val="single" w:sz="18" w:space="0" w:color="auto"/>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CPC</w:t>
            </w:r>
          </w:p>
        </w:tc>
        <w:tc>
          <w:tcPr>
            <w:tcW w:w="3418" w:type="dxa"/>
            <w:gridSpan w:val="3"/>
            <w:tcBorders>
              <w:top w:val="single" w:sz="18" w:space="0" w:color="auto"/>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Tarife UI – clienți din piața reglementată</w:t>
            </w:r>
          </w:p>
        </w:tc>
      </w:tr>
      <w:tr w:rsidR="006E4E83" w:rsidRPr="009D117A" w:rsidTr="00FF43BD">
        <w:trPr>
          <w:trHeight w:val="179"/>
        </w:trPr>
        <w:tc>
          <w:tcPr>
            <w:tcW w:w="925" w:type="dxa"/>
            <w:vMerge/>
            <w:tcBorders>
              <w:top w:val="single" w:sz="6" w:space="0" w:color="000000"/>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p>
        </w:tc>
        <w:tc>
          <w:tcPr>
            <w:tcW w:w="3635" w:type="dxa"/>
            <w:vMerge/>
            <w:tcBorders>
              <w:top w:val="single" w:sz="6" w:space="0" w:color="000000"/>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p>
        </w:tc>
        <w:tc>
          <w:tcPr>
            <w:tcW w:w="1115" w:type="dxa"/>
            <w:tcBorders>
              <w:top w:val="single" w:sz="6" w:space="0" w:color="000000"/>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Energie </w:t>
            </w:r>
          </w:p>
        </w:tc>
        <w:tc>
          <w:tcPr>
            <w:tcW w:w="1016" w:type="dxa"/>
            <w:tcBorders>
              <w:top w:val="single" w:sz="6" w:space="0" w:color="000000"/>
              <w:bottom w:val="single" w:sz="6" w:space="0" w:color="000000"/>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Preț  </w:t>
            </w:r>
          </w:p>
        </w:tc>
        <w:tc>
          <w:tcPr>
            <w:tcW w:w="1001" w:type="dxa"/>
            <w:tcBorders>
              <w:top w:val="single" w:sz="6" w:space="0" w:color="000000"/>
              <w:bottom w:val="single" w:sz="6" w:space="0" w:color="000000"/>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c>
          <w:tcPr>
            <w:tcW w:w="1233" w:type="dxa"/>
            <w:tcBorders>
              <w:top w:val="single" w:sz="6" w:space="0" w:color="000000"/>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Energie </w:t>
            </w:r>
          </w:p>
        </w:tc>
        <w:tc>
          <w:tcPr>
            <w:tcW w:w="1016" w:type="dxa"/>
            <w:tcBorders>
              <w:top w:val="single" w:sz="6" w:space="0" w:color="000000"/>
              <w:bottom w:val="single" w:sz="6" w:space="0" w:color="000000"/>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Preț  </w:t>
            </w:r>
          </w:p>
        </w:tc>
        <w:tc>
          <w:tcPr>
            <w:tcW w:w="858" w:type="dxa"/>
            <w:tcBorders>
              <w:top w:val="single" w:sz="6" w:space="0" w:color="000000"/>
              <w:bottom w:val="single" w:sz="6" w:space="0" w:color="000000"/>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c>
          <w:tcPr>
            <w:tcW w:w="1104" w:type="dxa"/>
            <w:tcBorders>
              <w:top w:val="single" w:sz="6" w:space="0" w:color="000000"/>
              <w:left w:val="single" w:sz="18" w:space="0" w:color="auto"/>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Energie </w:t>
            </w:r>
          </w:p>
        </w:tc>
        <w:tc>
          <w:tcPr>
            <w:tcW w:w="1207" w:type="dxa"/>
            <w:tcBorders>
              <w:top w:val="single" w:sz="6" w:space="0" w:color="000000"/>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Preț  </w:t>
            </w:r>
          </w:p>
        </w:tc>
        <w:tc>
          <w:tcPr>
            <w:tcW w:w="1107" w:type="dxa"/>
            <w:tcBorders>
              <w:top w:val="single" w:sz="6" w:space="0" w:color="000000"/>
              <w:bottom w:val="single" w:sz="6" w:space="0" w:color="000000"/>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 xml:space="preserve">Valoare  </w:t>
            </w:r>
          </w:p>
        </w:tc>
      </w:tr>
      <w:tr w:rsidR="006E4E83" w:rsidRPr="009D117A" w:rsidTr="00FF43BD">
        <w:trPr>
          <w:trHeight w:val="179"/>
        </w:trPr>
        <w:tc>
          <w:tcPr>
            <w:tcW w:w="4560" w:type="dxa"/>
            <w:gridSpan w:val="2"/>
            <w:tcBorders>
              <w:top w:val="single" w:sz="6" w:space="0" w:color="000000"/>
              <w:bottom w:val="single" w:sz="18" w:space="0" w:color="auto"/>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UM</w:t>
            </w:r>
          </w:p>
        </w:tc>
        <w:tc>
          <w:tcPr>
            <w:tcW w:w="1115" w:type="dxa"/>
            <w:tcBorders>
              <w:top w:val="single" w:sz="6" w:space="0" w:color="000000"/>
              <w:left w:val="single" w:sz="18" w:space="0" w:color="auto"/>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1016" w:type="dxa"/>
            <w:tcBorders>
              <w:top w:val="single" w:sz="6" w:space="0" w:color="000000"/>
              <w:bottom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1001" w:type="dxa"/>
            <w:tcBorders>
              <w:top w:val="single" w:sz="6" w:space="0" w:color="000000"/>
              <w:bottom w:val="single" w:sz="18" w:space="0" w:color="auto"/>
              <w:right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c>
          <w:tcPr>
            <w:tcW w:w="1233" w:type="dxa"/>
            <w:tcBorders>
              <w:top w:val="single" w:sz="6" w:space="0" w:color="000000"/>
              <w:left w:val="single" w:sz="18" w:space="0" w:color="auto"/>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1016" w:type="dxa"/>
            <w:tcBorders>
              <w:top w:val="single" w:sz="6" w:space="0" w:color="000000"/>
              <w:bottom w:val="single" w:sz="18" w:space="0" w:color="auto"/>
            </w:tcBorders>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858" w:type="dxa"/>
            <w:tcBorders>
              <w:top w:val="single" w:sz="6" w:space="0" w:color="000000"/>
              <w:bottom w:val="single" w:sz="18" w:space="0" w:color="auto"/>
              <w:right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c>
          <w:tcPr>
            <w:tcW w:w="1104" w:type="dxa"/>
            <w:tcBorders>
              <w:top w:val="single" w:sz="6" w:space="0" w:color="000000"/>
              <w:left w:val="single" w:sz="18" w:space="0" w:color="auto"/>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MWh</w:t>
            </w:r>
          </w:p>
        </w:tc>
        <w:tc>
          <w:tcPr>
            <w:tcW w:w="1207" w:type="dxa"/>
            <w:tcBorders>
              <w:top w:val="single" w:sz="6" w:space="0" w:color="000000"/>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lei/MWh</w:t>
            </w:r>
          </w:p>
        </w:tc>
        <w:tc>
          <w:tcPr>
            <w:tcW w:w="1107" w:type="dxa"/>
            <w:tcBorders>
              <w:top w:val="single" w:sz="6" w:space="0" w:color="000000"/>
              <w:bottom w:val="single" w:sz="18" w:space="0" w:color="auto"/>
            </w:tcBorders>
            <w:shd w:val="clear" w:color="auto" w:fill="auto"/>
          </w:tcPr>
          <w:p w:rsidR="006E4E83" w:rsidRPr="009D117A" w:rsidRDefault="006E4E83" w:rsidP="006E4E83">
            <w:pPr>
              <w:spacing w:after="0" w:line="240" w:lineRule="auto"/>
              <w:jc w:val="center"/>
              <w:rPr>
                <w:rFonts w:ascii="Times New Roman" w:eastAsia="Times New Roman" w:hAnsi="Times New Roman" w:cs="Times New Roman"/>
                <w:b/>
                <w:sz w:val="18"/>
                <w:szCs w:val="18"/>
              </w:rPr>
            </w:pPr>
            <w:r w:rsidRPr="009D117A">
              <w:rPr>
                <w:rFonts w:ascii="Times New Roman" w:eastAsia="Times New Roman" w:hAnsi="Times New Roman" w:cs="Times New Roman"/>
                <w:b/>
                <w:sz w:val="18"/>
                <w:szCs w:val="18"/>
              </w:rPr>
              <w:t>lei</w:t>
            </w:r>
          </w:p>
        </w:tc>
      </w:tr>
      <w:tr w:rsidR="006E4E83" w:rsidRPr="009D117A" w:rsidTr="00FF43BD">
        <w:trPr>
          <w:trHeight w:val="101"/>
        </w:trPr>
        <w:tc>
          <w:tcPr>
            <w:tcW w:w="925" w:type="dxa"/>
            <w:tcBorders>
              <w:top w:val="single" w:sz="18" w:space="0" w:color="auto"/>
            </w:tcBorders>
            <w:shd w:val="clear" w:color="auto" w:fill="auto"/>
          </w:tcPr>
          <w:p w:rsidR="006E4E83" w:rsidRPr="009D117A" w:rsidRDefault="006E4E83" w:rsidP="006E4E83">
            <w:pPr>
              <w:spacing w:after="0" w:line="240" w:lineRule="auto"/>
              <w:ind w:left="720" w:hanging="709"/>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w:t>
            </w:r>
          </w:p>
        </w:tc>
        <w:tc>
          <w:tcPr>
            <w:tcW w:w="3635" w:type="dxa"/>
            <w:tcBorders>
              <w:top w:val="single" w:sz="18" w:space="0" w:color="auto"/>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TOTAL COSTURI JUSTIFICATE (1=2+13+14+15+16+20)</w:t>
            </w:r>
          </w:p>
        </w:tc>
        <w:tc>
          <w:tcPr>
            <w:tcW w:w="1115" w:type="dxa"/>
            <w:tcBorders>
              <w:top w:val="single" w:sz="18" w:space="0" w:color="auto"/>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Borders>
              <w:top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top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top w:val="single" w:sz="18" w:space="0" w:color="auto"/>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Borders>
              <w:top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top w:val="single" w:sz="18" w:space="0" w:color="auto"/>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top w:val="single" w:sz="18" w:space="0" w:color="auto"/>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tcBorders>
              <w:top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tcBorders>
              <w:top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01"/>
        </w:trPr>
        <w:tc>
          <w:tcPr>
            <w:tcW w:w="925" w:type="dxa"/>
            <w:shd w:val="clear" w:color="auto" w:fill="auto"/>
          </w:tcPr>
          <w:p w:rsidR="006E4E83" w:rsidRPr="009D117A" w:rsidRDefault="006E4E83" w:rsidP="006E4E83">
            <w:pPr>
              <w:spacing w:after="0" w:line="240" w:lineRule="auto"/>
              <w:ind w:left="11" w:hanging="11"/>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Achiziție justificat cf. Metodologie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01"/>
        </w:trPr>
        <w:tc>
          <w:tcPr>
            <w:tcW w:w="925" w:type="dxa"/>
            <w:shd w:val="clear" w:color="auto" w:fill="auto"/>
          </w:tcPr>
          <w:p w:rsidR="006E4E83" w:rsidRPr="009D117A" w:rsidRDefault="006E4E83" w:rsidP="006E4E83">
            <w:pPr>
              <w:spacing w:after="0" w:line="240" w:lineRule="auto"/>
              <w:ind w:left="11" w:hanging="11"/>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3.</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Total achiziție netă – realizat (3=4+6+7+8+9+10-11-12)</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75"/>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Cs/>
                <w:sz w:val="18"/>
                <w:szCs w:val="18"/>
              </w:rPr>
            </w:pPr>
            <w:r w:rsidRPr="009D117A">
              <w:rPr>
                <w:rFonts w:ascii="Times New Roman" w:eastAsia="Times New Roman" w:hAnsi="Times New Roman" w:cs="Times New Roman"/>
                <w:bCs/>
                <w:sz w:val="18"/>
                <w:szCs w:val="18"/>
              </w:rPr>
              <w:t>4.</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sz w:val="18"/>
                <w:szCs w:val="18"/>
                <w:lang w:eastAsia="ro-RO"/>
              </w:rPr>
              <w:t>Cumpărare pe contracte reglementate (inclusiv componenta de injecție ȋn rețea - Tg)</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16"/>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5.</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 xml:space="preserve">                                        din care valoare Tg</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77"/>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6.</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 xml:space="preserve">Cumpărare pe PCCB </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65"/>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7.</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Cumpărare pe PCSU</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10"/>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8.</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Cumpărare pe PZU si PI</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10"/>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9.</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Cumpărare pe alte piete si contracte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10"/>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10.</w:t>
            </w:r>
          </w:p>
        </w:tc>
        <w:tc>
          <w:tcPr>
            <w:tcW w:w="3635" w:type="dxa"/>
            <w:tcBorders>
              <w:right w:val="single" w:sz="18" w:space="0" w:color="auto"/>
            </w:tcBorders>
            <w:shd w:val="clear" w:color="auto" w:fill="auto"/>
            <w:vAlign w:val="center"/>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lang w:eastAsia="ro-RO"/>
              </w:rPr>
              <w:t>Cumpărare la preț de dezechilibru (inclusiv costuri suplimentare din PE)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29"/>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11.</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xml:space="preserve">Vânzare pe PZU și PI </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21"/>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12.</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Vânzare la preț de dezechilibru (inclusiv venituri suplimentare din PE)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459"/>
        </w:trPr>
        <w:tc>
          <w:tcPr>
            <w:tcW w:w="14217" w:type="dxa"/>
            <w:gridSpan w:val="11"/>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99"/>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13.</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Transport – componenta de extracție din rețea  - Tl</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0"/>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14.</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Servicii sistem</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76"/>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15.</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Operare piață</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76"/>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16.</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color w:val="000000"/>
                <w:sz w:val="18"/>
                <w:szCs w:val="18"/>
              </w:rPr>
            </w:pPr>
            <w:r w:rsidRPr="009D117A">
              <w:rPr>
                <w:rFonts w:ascii="Times New Roman" w:eastAsia="Times New Roman" w:hAnsi="Times New Roman" w:cs="Times New Roman"/>
                <w:b/>
                <w:bCs/>
                <w:color w:val="000000"/>
                <w:sz w:val="18"/>
                <w:szCs w:val="18"/>
              </w:rPr>
              <w:t>Distribuție total (16=17+18+19)</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11"/>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17.</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din care – pe IT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98"/>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18.</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pe MT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1"/>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19.</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color w:val="000000"/>
                <w:sz w:val="18"/>
                <w:szCs w:val="18"/>
              </w:rPr>
            </w:pPr>
            <w:r w:rsidRPr="009D117A">
              <w:rPr>
                <w:rFonts w:ascii="Times New Roman" w:eastAsia="Times New Roman" w:hAnsi="Times New Roman" w:cs="Times New Roman"/>
                <w:color w:val="000000"/>
                <w:sz w:val="18"/>
                <w:szCs w:val="18"/>
              </w:rPr>
              <w:t xml:space="preserve">                                           pe JT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20.</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Furnizare justificat cf. Metodologie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21.</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color w:val="000000"/>
                <w:sz w:val="18"/>
                <w:szCs w:val="18"/>
              </w:rPr>
            </w:pPr>
            <w:r w:rsidRPr="009D117A">
              <w:rPr>
                <w:rFonts w:ascii="Times New Roman" w:eastAsia="Times New Roman" w:hAnsi="Times New Roman" w:cs="Times New Roman"/>
                <w:b/>
                <w:bCs/>
                <w:color w:val="000000"/>
                <w:sz w:val="18"/>
                <w:szCs w:val="18"/>
              </w:rPr>
              <w:t>Furnizare realizat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8"/>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22.</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bCs/>
                <w:color w:val="000000"/>
                <w:sz w:val="18"/>
                <w:szCs w:val="18"/>
              </w:rPr>
              <w:t>Profit justificat cf. Metodologie</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481"/>
        </w:trPr>
        <w:tc>
          <w:tcPr>
            <w:tcW w:w="14217" w:type="dxa"/>
            <w:gridSpan w:val="11"/>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26"/>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23.</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VENITURI REALIZATE DIN VÂNZAREA LA CLIENŢI FINALI (23=24+28)</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122"/>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lastRenderedPageBreak/>
              <w:t>24.</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clienți non-casnici (24=25+26+27)</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211"/>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25.</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din care – pe IT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28"/>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26.</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pe MT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16"/>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27.</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color w:val="000000"/>
                <w:sz w:val="18"/>
                <w:szCs w:val="18"/>
              </w:rPr>
              <w:t xml:space="preserve">                                           pe JT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35"/>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sz w:val="18"/>
                <w:szCs w:val="18"/>
              </w:rPr>
              <w:t>28.</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r w:rsidRPr="009D117A">
              <w:rPr>
                <w:rFonts w:ascii="Times New Roman" w:eastAsia="Times New Roman" w:hAnsi="Times New Roman" w:cs="Times New Roman"/>
                <w:b/>
                <w:bCs/>
                <w:color w:val="000000"/>
                <w:sz w:val="18"/>
                <w:szCs w:val="18"/>
              </w:rPr>
              <w:t>Total clienți casnici (28=29+30)</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b/>
                <w:bCs/>
                <w:sz w:val="18"/>
                <w:szCs w:val="18"/>
              </w:rPr>
            </w:pPr>
          </w:p>
        </w:tc>
      </w:tr>
      <w:tr w:rsidR="006E4E83" w:rsidRPr="009D117A" w:rsidTr="00FF43BD">
        <w:trPr>
          <w:trHeight w:val="222"/>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29.</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xml:space="preserve">                           din care – pe MT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140"/>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30.</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 xml:space="preserve">                                           pe JT</w:t>
            </w:r>
          </w:p>
        </w:tc>
        <w:tc>
          <w:tcPr>
            <w:tcW w:w="1115"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473"/>
        </w:trPr>
        <w:tc>
          <w:tcPr>
            <w:tcW w:w="14217" w:type="dxa"/>
            <w:gridSpan w:val="11"/>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r w:rsidR="006E4E83" w:rsidRPr="009D117A" w:rsidTr="00FF43BD">
        <w:trPr>
          <w:trHeight w:val="221"/>
        </w:trPr>
        <w:tc>
          <w:tcPr>
            <w:tcW w:w="925"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sz w:val="18"/>
                <w:szCs w:val="18"/>
              </w:rPr>
              <w:t>31.</w:t>
            </w:r>
          </w:p>
        </w:tc>
        <w:tc>
          <w:tcPr>
            <w:tcW w:w="3635" w:type="dxa"/>
            <w:tcBorders>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r w:rsidRPr="009D117A">
              <w:rPr>
                <w:rFonts w:ascii="Times New Roman" w:eastAsia="Times New Roman" w:hAnsi="Times New Roman" w:cs="Times New Roman"/>
                <w:b/>
                <w:sz w:val="18"/>
                <w:szCs w:val="18"/>
              </w:rPr>
              <w:t>EXTRA-PROFIT (+) / PIERDERE (-) (31=23–1–22)</w:t>
            </w:r>
          </w:p>
        </w:tc>
        <w:tc>
          <w:tcPr>
            <w:tcW w:w="1115" w:type="dxa"/>
            <w:tcBorders>
              <w:left w:val="single" w:sz="18" w:space="0" w:color="auto"/>
              <w:bottom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Borders>
              <w:bottom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01" w:type="dxa"/>
            <w:tcBorders>
              <w:bottom w:val="single" w:sz="18" w:space="0" w:color="auto"/>
              <w:right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33" w:type="dxa"/>
            <w:tcBorders>
              <w:left w:val="single" w:sz="18" w:space="0" w:color="auto"/>
              <w:bottom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016" w:type="dxa"/>
            <w:tcBorders>
              <w:bottom w:val="single" w:sz="18" w:space="0" w:color="auto"/>
            </w:tcBorders>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858" w:type="dxa"/>
            <w:tcBorders>
              <w:bottom w:val="single" w:sz="18" w:space="0" w:color="auto"/>
              <w:righ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4" w:type="dxa"/>
            <w:tcBorders>
              <w:left w:val="single" w:sz="18" w:space="0" w:color="auto"/>
            </w:tcBorders>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2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c>
          <w:tcPr>
            <w:tcW w:w="1107" w:type="dxa"/>
            <w:shd w:val="clear" w:color="auto" w:fill="auto"/>
          </w:tcPr>
          <w:p w:rsidR="006E4E83" w:rsidRPr="009D117A" w:rsidRDefault="006E4E83" w:rsidP="006E4E83">
            <w:pPr>
              <w:spacing w:after="0" w:line="240" w:lineRule="auto"/>
              <w:jc w:val="both"/>
              <w:rPr>
                <w:rFonts w:ascii="Times New Roman" w:eastAsia="Times New Roman" w:hAnsi="Times New Roman" w:cs="Times New Roman"/>
                <w:sz w:val="18"/>
                <w:szCs w:val="18"/>
              </w:rPr>
            </w:pPr>
          </w:p>
        </w:tc>
      </w:tr>
    </w:tbl>
    <w:p w:rsidR="006E4E83" w:rsidRPr="009D117A" w:rsidRDefault="006E4E83" w:rsidP="006E4E83">
      <w:pPr>
        <w:shd w:val="clear" w:color="auto" w:fill="FFFFFF" w:themeFill="background1"/>
        <w:spacing w:after="120" w:line="360" w:lineRule="auto"/>
        <w:rPr>
          <w:rFonts w:ascii="Times New Roman" w:eastAsia="Times New Roman" w:hAnsi="Times New Roman" w:cs="Times New Roman"/>
          <w:sz w:val="16"/>
          <w:szCs w:val="16"/>
        </w:rPr>
      </w:pPr>
    </w:p>
    <w:tbl>
      <w:tblPr>
        <w:tblW w:w="12039"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540"/>
        <w:gridCol w:w="8214"/>
        <w:gridCol w:w="1326"/>
        <w:gridCol w:w="1959"/>
      </w:tblGrid>
      <w:tr w:rsidR="006E4E83" w:rsidRPr="009D117A" w:rsidTr="00FF43BD">
        <w:trPr>
          <w:trHeight w:val="420"/>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Nr. crt.</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Parametrii de calcul</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8"/>
                <w:szCs w:val="18"/>
                <w:lang w:eastAsia="ro-RO"/>
              </w:rPr>
            </w:pPr>
            <w:r w:rsidRPr="009D117A">
              <w:rPr>
                <w:rFonts w:ascii="Times New Roman" w:eastAsia="Times New Roman" w:hAnsi="Times New Roman" w:cs="Times New Roman"/>
                <w:b/>
                <w:sz w:val="18"/>
                <w:szCs w:val="18"/>
                <w:lang w:eastAsia="ro-RO"/>
              </w:rPr>
              <w:t>UM</w:t>
            </w:r>
          </w:p>
        </w:tc>
        <w:tc>
          <w:tcPr>
            <w:tcW w:w="1959"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b/>
                <w:sz w:val="16"/>
                <w:szCs w:val="16"/>
                <w:lang w:eastAsia="ro-RO"/>
              </w:rPr>
            </w:pPr>
            <w:r w:rsidRPr="009D117A">
              <w:rPr>
                <w:rFonts w:ascii="Times New Roman" w:eastAsia="Times New Roman" w:hAnsi="Times New Roman" w:cs="Times New Roman"/>
                <w:b/>
                <w:sz w:val="16"/>
                <w:szCs w:val="16"/>
                <w:lang w:eastAsia="ro-RO"/>
              </w:rPr>
              <w:t>Valoare</w:t>
            </w:r>
          </w:p>
        </w:tc>
      </w:tr>
      <w:tr w:rsidR="006E4E83" w:rsidRPr="009D117A" w:rsidTr="00FF43BD">
        <w:trPr>
          <w:trHeight w:val="236"/>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PCSU (pt. fiecare produs de tranzacționare / sesiune de licitație)</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55"/>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6"/>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6"/>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2.</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rPr>
              <w:t>Cantitate achiziționată PCSU</w:t>
            </w:r>
            <w:r w:rsidRPr="009D117A">
              <w:rPr>
                <w:rFonts w:ascii="Times New Roman" w:eastAsia="Times New Roman" w:hAnsi="Times New Roman" w:cs="Times New Roman"/>
                <w:sz w:val="18"/>
                <w:szCs w:val="18"/>
                <w:lang w:eastAsia="ro-RO"/>
              </w:rPr>
              <w:t xml:space="preserve"> (pt. fiecare produs de tranzacționare / sesiune de licitație)</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66"/>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0"/>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8"/>
        </w:trPr>
        <w:tc>
          <w:tcPr>
            <w:tcW w:w="540"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3.</w:t>
            </w:r>
          </w:p>
        </w:tc>
        <w:tc>
          <w:tcPr>
            <w:tcW w:w="8214"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rPr>
              <w:t>Cantitate oferte cumpărare PCSU</w:t>
            </w:r>
            <w:r w:rsidRPr="009D117A">
              <w:rPr>
                <w:rFonts w:ascii="Times New Roman" w:eastAsia="Times New Roman" w:hAnsi="Times New Roman" w:cs="Times New Roman"/>
                <w:sz w:val="18"/>
                <w:szCs w:val="18"/>
                <w:lang w:eastAsia="ro-RO"/>
              </w:rPr>
              <w:t xml:space="preserve"> (pt. fiecare produs de tranzacționare / sesiune de licitație)</w:t>
            </w:r>
          </w:p>
        </w:tc>
        <w:tc>
          <w:tcPr>
            <w:tcW w:w="1326" w:type="dxa"/>
            <w:vMerge w:val="restart"/>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64"/>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2"/>
        </w:trPr>
        <w:tc>
          <w:tcPr>
            <w:tcW w:w="540"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8214"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rPr>
            </w:pPr>
          </w:p>
        </w:tc>
        <w:tc>
          <w:tcPr>
            <w:tcW w:w="1326" w:type="dxa"/>
            <w:vMerge/>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59"/>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4.</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PZU</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6"/>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5.</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pentru deficit de energie</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0"/>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6.</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de achiziție a energiei electrice pe contracte reglementate</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0"/>
        </w:trPr>
        <w:tc>
          <w:tcPr>
            <w:tcW w:w="540"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7.</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Preț mediu de achiziție a energiei electrice furnizate clienților eligibili - realizat</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lei/MWh</w:t>
            </w:r>
          </w:p>
        </w:tc>
        <w:tc>
          <w:tcPr>
            <w:tcW w:w="1959" w:type="dxa"/>
            <w:shd w:val="clear" w:color="auto" w:fill="auto"/>
            <w:vAlign w:val="center"/>
            <w:hideMark/>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r w:rsidRPr="009D117A">
              <w:rPr>
                <w:rFonts w:ascii="Times New Roman" w:eastAsia="Times New Roman" w:hAnsi="Times New Roman" w:cs="Times New Roman"/>
                <w:sz w:val="16"/>
                <w:szCs w:val="16"/>
                <w:lang w:eastAsia="ro-RO"/>
              </w:rPr>
              <w:t> </w:t>
            </w:r>
          </w:p>
        </w:tc>
      </w:tr>
      <w:tr w:rsidR="006E4E83" w:rsidRPr="009D117A" w:rsidTr="00FF43BD">
        <w:trPr>
          <w:trHeight w:val="274"/>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8.</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Cost unitar furnizare - tarife reglementate  casnici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64"/>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9.</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Cost unitar furnizare – tarife CPC casnici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2"/>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10.</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 xml:space="preserve">Cost unitar furnizare tarife CPC noncasnici, tarife UI pentru clienți din piața reglementată </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lei/client/luna</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2"/>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11.</w:t>
            </w:r>
          </w:p>
        </w:tc>
        <w:tc>
          <w:tcPr>
            <w:tcW w:w="8214"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Număr clienți casnici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76"/>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12.</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Număr clienți non-casnici la tarife CPC</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r w:rsidR="006E4E83" w:rsidRPr="009D117A" w:rsidTr="00FF43BD">
        <w:trPr>
          <w:trHeight w:val="280"/>
        </w:trPr>
        <w:tc>
          <w:tcPr>
            <w:tcW w:w="540"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13.</w:t>
            </w:r>
          </w:p>
        </w:tc>
        <w:tc>
          <w:tcPr>
            <w:tcW w:w="8214" w:type="dxa"/>
            <w:shd w:val="clear" w:color="auto" w:fill="auto"/>
            <w:vAlign w:val="center"/>
            <w:hideMark/>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Număr clienți din piața reglementată la tarife UI</w:t>
            </w:r>
          </w:p>
        </w:tc>
        <w:tc>
          <w:tcPr>
            <w:tcW w:w="1326" w:type="dxa"/>
            <w:shd w:val="clear" w:color="auto" w:fill="auto"/>
            <w:vAlign w:val="center"/>
          </w:tcPr>
          <w:p w:rsidR="006E4E83" w:rsidRPr="009D117A" w:rsidRDefault="006E4E83" w:rsidP="006E4E83">
            <w:pPr>
              <w:spacing w:after="0" w:line="240" w:lineRule="auto"/>
              <w:jc w:val="center"/>
              <w:rPr>
                <w:rFonts w:ascii="Times New Roman" w:eastAsia="Times New Roman" w:hAnsi="Times New Roman" w:cs="Times New Roman"/>
                <w:sz w:val="18"/>
                <w:szCs w:val="18"/>
                <w:lang w:eastAsia="ro-RO"/>
              </w:rPr>
            </w:pPr>
            <w:r w:rsidRPr="009D117A">
              <w:rPr>
                <w:rFonts w:ascii="Times New Roman" w:eastAsia="Times New Roman" w:hAnsi="Times New Roman" w:cs="Times New Roman"/>
                <w:sz w:val="18"/>
                <w:szCs w:val="18"/>
                <w:lang w:eastAsia="ro-RO"/>
              </w:rPr>
              <w:t>-</w:t>
            </w:r>
          </w:p>
        </w:tc>
        <w:tc>
          <w:tcPr>
            <w:tcW w:w="1959" w:type="dxa"/>
            <w:shd w:val="clear" w:color="auto" w:fill="auto"/>
            <w:vAlign w:val="center"/>
          </w:tcPr>
          <w:p w:rsidR="006E4E83" w:rsidRPr="009D117A" w:rsidRDefault="006E4E83" w:rsidP="006E4E83">
            <w:pPr>
              <w:spacing w:after="0" w:line="240" w:lineRule="auto"/>
              <w:jc w:val="right"/>
              <w:rPr>
                <w:rFonts w:ascii="Times New Roman" w:eastAsia="Times New Roman" w:hAnsi="Times New Roman" w:cs="Times New Roman"/>
                <w:sz w:val="16"/>
                <w:szCs w:val="16"/>
                <w:lang w:eastAsia="ro-RO"/>
              </w:rPr>
            </w:pPr>
          </w:p>
        </w:tc>
      </w:tr>
    </w:tbl>
    <w:p w:rsidR="006E4E83" w:rsidRPr="009D117A" w:rsidRDefault="006E4E83" w:rsidP="006E4E83">
      <w:pPr>
        <w:spacing w:after="0" w:line="240" w:lineRule="auto"/>
        <w:rPr>
          <w:rFonts w:ascii="Times New Roman" w:eastAsia="Times New Roman" w:hAnsi="Times New Roman" w:cs="Times New Roman"/>
          <w:sz w:val="24"/>
          <w:szCs w:val="24"/>
        </w:rPr>
      </w:pPr>
    </w:p>
    <w:p w:rsidR="006E4E83" w:rsidRPr="009D117A" w:rsidRDefault="006E4E83" w:rsidP="006E4E83">
      <w:pPr>
        <w:spacing w:after="0" w:line="240" w:lineRule="auto"/>
        <w:rPr>
          <w:rFonts w:ascii="Times New Roman" w:eastAsia="Times New Roman" w:hAnsi="Times New Roman" w:cs="Times New Roman"/>
          <w:sz w:val="24"/>
          <w:szCs w:val="24"/>
        </w:rPr>
      </w:pPr>
    </w:p>
    <w:p w:rsidR="006E4E83" w:rsidRPr="009D117A" w:rsidRDefault="006E4E83" w:rsidP="006E4E83">
      <w:pPr>
        <w:spacing w:after="0" w:line="240" w:lineRule="auto"/>
        <w:rPr>
          <w:rFonts w:ascii="Times New Roman" w:eastAsia="Times New Roman" w:hAnsi="Times New Roman" w:cs="Times New Roman"/>
          <w:sz w:val="24"/>
          <w:szCs w:val="24"/>
        </w:rPr>
      </w:pPr>
    </w:p>
    <w:p w:rsidR="0083470F" w:rsidRPr="009D117A" w:rsidRDefault="0083470F"/>
    <w:sectPr w:rsidR="0083470F" w:rsidRPr="009D117A" w:rsidSect="00FF43BD">
      <w:footerReference w:type="even" r:id="rId9"/>
      <w:footerReference w:type="default" r:id="rId10"/>
      <w:pgSz w:w="15840" w:h="12240" w:orient="landscape" w:code="1"/>
      <w:pgMar w:top="720" w:right="1797" w:bottom="23" w:left="119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903" w:rsidRDefault="00A45903">
      <w:pPr>
        <w:spacing w:after="0" w:line="240" w:lineRule="auto"/>
      </w:pPr>
      <w:r>
        <w:separator/>
      </w:r>
    </w:p>
  </w:endnote>
  <w:endnote w:type="continuationSeparator" w:id="0">
    <w:p w:rsidR="00A45903" w:rsidRDefault="00A4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DF" w:rsidRDefault="007028DF" w:rsidP="00FF43BD">
    <w:pPr>
      <w:pStyle w:val="Footer"/>
      <w:framePr w:h="598" w:hRule="exact" w:wrap="auto" w:vAnchor="text" w:hAnchor="margin" w:xAlign="right" w:y="-351"/>
      <w:rPr>
        <w:rStyle w:val="PageNumber"/>
      </w:rPr>
    </w:pPr>
    <w:r>
      <w:rPr>
        <w:rStyle w:val="PageNumber"/>
      </w:rPr>
      <w:fldChar w:fldCharType="begin"/>
    </w:r>
    <w:r>
      <w:rPr>
        <w:rStyle w:val="PageNumber"/>
      </w:rPr>
      <w:instrText xml:space="preserve">PAGE  </w:instrText>
    </w:r>
    <w:r>
      <w:rPr>
        <w:rStyle w:val="PageNumber"/>
      </w:rPr>
      <w:fldChar w:fldCharType="separate"/>
    </w:r>
    <w:r w:rsidR="00F24E4F">
      <w:rPr>
        <w:rStyle w:val="PageNumber"/>
        <w:noProof/>
      </w:rPr>
      <w:t>2</w:t>
    </w:r>
    <w:r>
      <w:rPr>
        <w:rStyle w:val="PageNumber"/>
      </w:rPr>
      <w:fldChar w:fldCharType="end"/>
    </w:r>
  </w:p>
  <w:p w:rsidR="007028DF" w:rsidRDefault="007028DF" w:rsidP="00FF43B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DF" w:rsidRDefault="007028DF" w:rsidP="00FF43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28DF" w:rsidRDefault="007028DF" w:rsidP="00FF43B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DF" w:rsidRDefault="007028DF" w:rsidP="00FF43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24E4F">
      <w:rPr>
        <w:rStyle w:val="PageNumber"/>
        <w:noProof/>
      </w:rPr>
      <w:t>22</w:t>
    </w:r>
    <w:r>
      <w:rPr>
        <w:rStyle w:val="PageNumber"/>
      </w:rPr>
      <w:fldChar w:fldCharType="end"/>
    </w:r>
  </w:p>
  <w:p w:rsidR="007028DF" w:rsidRDefault="007028DF" w:rsidP="00FF43B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903" w:rsidRDefault="00A45903">
      <w:pPr>
        <w:spacing w:after="0" w:line="240" w:lineRule="auto"/>
      </w:pPr>
      <w:r>
        <w:separator/>
      </w:r>
    </w:p>
  </w:footnote>
  <w:footnote w:type="continuationSeparator" w:id="0">
    <w:p w:rsidR="00A45903" w:rsidRDefault="00A459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DF" w:rsidRPr="00461D1C" w:rsidRDefault="007028DF" w:rsidP="00FF43BD">
    <w:pPr>
      <w:pStyle w:val="Header"/>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03E74"/>
    <w:multiLevelType w:val="hybridMultilevel"/>
    <w:tmpl w:val="ACEA04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68E1757"/>
    <w:multiLevelType w:val="hybridMultilevel"/>
    <w:tmpl w:val="1F3A7898"/>
    <w:lvl w:ilvl="0" w:tplc="04180017">
      <w:start w:val="1"/>
      <w:numFmt w:val="lowerLetter"/>
      <w:lvlText w:val="%1)"/>
      <w:lvlJc w:val="left"/>
      <w:pPr>
        <w:tabs>
          <w:tab w:val="num" w:pos="720"/>
        </w:tabs>
        <w:ind w:left="720" w:hanging="360"/>
      </w:pPr>
      <w:rPr>
        <w:rFonts w:cs="Times New Roman" w:hint="default"/>
      </w:rPr>
    </w:lvl>
    <w:lvl w:ilvl="1" w:tplc="04180017">
      <w:start w:val="1"/>
      <w:numFmt w:val="lowerLetter"/>
      <w:lvlText w:val="%2)"/>
      <w:lvlJc w:val="left"/>
      <w:pPr>
        <w:tabs>
          <w:tab w:val="num" w:pos="1440"/>
        </w:tabs>
        <w:ind w:left="1440" w:hanging="360"/>
      </w:pPr>
      <w:rPr>
        <w:rFonts w:cs="Times New Roman" w:hint="default"/>
      </w:rPr>
    </w:lvl>
    <w:lvl w:ilvl="2" w:tplc="23AE5112">
      <w:start w:val="1"/>
      <w:numFmt w:val="bullet"/>
      <w:lvlText w:val="-"/>
      <w:lvlJc w:val="left"/>
      <w:pPr>
        <w:tabs>
          <w:tab w:val="num" w:pos="2160"/>
        </w:tabs>
        <w:ind w:left="2160" w:hanging="360"/>
      </w:pPr>
      <w:rPr>
        <w:rFonts w:ascii="Calibri" w:hAnsi="Calibri" w:hint="default"/>
      </w:rPr>
    </w:lvl>
    <w:lvl w:ilvl="3" w:tplc="BA20DF94">
      <w:start w:val="1"/>
      <w:numFmt w:val="bullet"/>
      <w:lvlText w:val="-"/>
      <w:lvlJc w:val="left"/>
      <w:pPr>
        <w:tabs>
          <w:tab w:val="num" w:pos="2880"/>
        </w:tabs>
        <w:ind w:left="2880" w:hanging="360"/>
      </w:pPr>
      <w:rPr>
        <w:rFonts w:ascii="Calibri" w:hAnsi="Calibri" w:hint="default"/>
      </w:rPr>
    </w:lvl>
    <w:lvl w:ilvl="4" w:tplc="B5DC470A">
      <w:start w:val="1"/>
      <w:numFmt w:val="bullet"/>
      <w:lvlText w:val="-"/>
      <w:lvlJc w:val="left"/>
      <w:pPr>
        <w:tabs>
          <w:tab w:val="num" w:pos="3600"/>
        </w:tabs>
        <w:ind w:left="3600" w:hanging="360"/>
      </w:pPr>
      <w:rPr>
        <w:rFonts w:ascii="Calibri" w:hAnsi="Calibri" w:hint="default"/>
      </w:rPr>
    </w:lvl>
    <w:lvl w:ilvl="5" w:tplc="B7F47FAE">
      <w:start w:val="1"/>
      <w:numFmt w:val="bullet"/>
      <w:lvlText w:val="-"/>
      <w:lvlJc w:val="left"/>
      <w:pPr>
        <w:tabs>
          <w:tab w:val="num" w:pos="4320"/>
        </w:tabs>
        <w:ind w:left="4320" w:hanging="360"/>
      </w:pPr>
      <w:rPr>
        <w:rFonts w:ascii="Calibri" w:hAnsi="Calibri" w:hint="default"/>
      </w:rPr>
    </w:lvl>
    <w:lvl w:ilvl="6" w:tplc="B9C2EB42">
      <w:start w:val="1"/>
      <w:numFmt w:val="bullet"/>
      <w:lvlText w:val="-"/>
      <w:lvlJc w:val="left"/>
      <w:pPr>
        <w:tabs>
          <w:tab w:val="num" w:pos="5040"/>
        </w:tabs>
        <w:ind w:left="5040" w:hanging="360"/>
      </w:pPr>
      <w:rPr>
        <w:rFonts w:ascii="Calibri" w:hAnsi="Calibri" w:hint="default"/>
      </w:rPr>
    </w:lvl>
    <w:lvl w:ilvl="7" w:tplc="D75A2D38">
      <w:start w:val="1"/>
      <w:numFmt w:val="bullet"/>
      <w:lvlText w:val="-"/>
      <w:lvlJc w:val="left"/>
      <w:pPr>
        <w:tabs>
          <w:tab w:val="num" w:pos="5760"/>
        </w:tabs>
        <w:ind w:left="5760" w:hanging="360"/>
      </w:pPr>
      <w:rPr>
        <w:rFonts w:ascii="Calibri" w:hAnsi="Calibri" w:hint="default"/>
      </w:rPr>
    </w:lvl>
    <w:lvl w:ilvl="8" w:tplc="1A4A0686">
      <w:start w:val="1"/>
      <w:numFmt w:val="bullet"/>
      <w:lvlText w:val="-"/>
      <w:lvlJc w:val="left"/>
      <w:pPr>
        <w:tabs>
          <w:tab w:val="num" w:pos="6480"/>
        </w:tabs>
        <w:ind w:left="6480" w:hanging="360"/>
      </w:pPr>
      <w:rPr>
        <w:rFonts w:ascii="Calibri" w:hAnsi="Calibri" w:hint="default"/>
      </w:rPr>
    </w:lvl>
  </w:abstractNum>
  <w:abstractNum w:abstractNumId="2">
    <w:nsid w:val="08096790"/>
    <w:multiLevelType w:val="hybridMultilevel"/>
    <w:tmpl w:val="8A96246C"/>
    <w:lvl w:ilvl="0" w:tplc="04180017">
      <w:start w:val="1"/>
      <w:numFmt w:val="lowerLetter"/>
      <w:lvlText w:val="%1)"/>
      <w:lvlJc w:val="left"/>
      <w:pPr>
        <w:ind w:left="1440" w:hanging="360"/>
      </w:pPr>
      <w:rPr>
        <w:rFonts w:cs="Times New Roman"/>
      </w:rPr>
    </w:lvl>
    <w:lvl w:ilvl="1" w:tplc="04180017">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
    <w:nsid w:val="0A812F11"/>
    <w:multiLevelType w:val="hybridMultilevel"/>
    <w:tmpl w:val="C4405A56"/>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B3B11B8"/>
    <w:multiLevelType w:val="hybridMultilevel"/>
    <w:tmpl w:val="EBB643A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nsid w:val="0BD64FF3"/>
    <w:multiLevelType w:val="hybridMultilevel"/>
    <w:tmpl w:val="B826082A"/>
    <w:lvl w:ilvl="0" w:tplc="04180017">
      <w:start w:val="1"/>
      <w:numFmt w:val="lowerLetter"/>
      <w:lvlText w:val="%1)"/>
      <w:lvlJc w:val="left"/>
      <w:pPr>
        <w:ind w:left="1068" w:hanging="360"/>
      </w:p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0CE44A60"/>
    <w:multiLevelType w:val="hybridMultilevel"/>
    <w:tmpl w:val="35B848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D470C64"/>
    <w:multiLevelType w:val="hybridMultilevel"/>
    <w:tmpl w:val="69844E6E"/>
    <w:lvl w:ilvl="0" w:tplc="36C2115C">
      <w:start w:val="1"/>
      <w:numFmt w:val="lowerLetter"/>
      <w:lvlText w:val="%1)"/>
      <w:lvlJc w:val="left"/>
      <w:pPr>
        <w:ind w:left="1797" w:hanging="360"/>
      </w:pPr>
      <w:rPr>
        <w:rFonts w:cs="Times New Roman" w:hint="default"/>
      </w:rPr>
    </w:lvl>
    <w:lvl w:ilvl="1" w:tplc="04180019" w:tentative="1">
      <w:start w:val="1"/>
      <w:numFmt w:val="lowerLetter"/>
      <w:lvlText w:val="%2."/>
      <w:lvlJc w:val="left"/>
      <w:pPr>
        <w:ind w:left="2517" w:hanging="360"/>
      </w:pPr>
      <w:rPr>
        <w:rFonts w:cs="Times New Roman"/>
      </w:rPr>
    </w:lvl>
    <w:lvl w:ilvl="2" w:tplc="0418001B" w:tentative="1">
      <w:start w:val="1"/>
      <w:numFmt w:val="lowerRoman"/>
      <w:lvlText w:val="%3."/>
      <w:lvlJc w:val="right"/>
      <w:pPr>
        <w:ind w:left="3237" w:hanging="180"/>
      </w:pPr>
      <w:rPr>
        <w:rFonts w:cs="Times New Roman"/>
      </w:rPr>
    </w:lvl>
    <w:lvl w:ilvl="3" w:tplc="0418000F" w:tentative="1">
      <w:start w:val="1"/>
      <w:numFmt w:val="decimal"/>
      <w:lvlText w:val="%4."/>
      <w:lvlJc w:val="left"/>
      <w:pPr>
        <w:ind w:left="3957" w:hanging="360"/>
      </w:pPr>
      <w:rPr>
        <w:rFonts w:cs="Times New Roman"/>
      </w:rPr>
    </w:lvl>
    <w:lvl w:ilvl="4" w:tplc="04180019" w:tentative="1">
      <w:start w:val="1"/>
      <w:numFmt w:val="lowerLetter"/>
      <w:lvlText w:val="%5."/>
      <w:lvlJc w:val="left"/>
      <w:pPr>
        <w:ind w:left="4677" w:hanging="360"/>
      </w:pPr>
      <w:rPr>
        <w:rFonts w:cs="Times New Roman"/>
      </w:rPr>
    </w:lvl>
    <w:lvl w:ilvl="5" w:tplc="0418001B" w:tentative="1">
      <w:start w:val="1"/>
      <w:numFmt w:val="lowerRoman"/>
      <w:lvlText w:val="%6."/>
      <w:lvlJc w:val="right"/>
      <w:pPr>
        <w:ind w:left="5397" w:hanging="180"/>
      </w:pPr>
      <w:rPr>
        <w:rFonts w:cs="Times New Roman"/>
      </w:rPr>
    </w:lvl>
    <w:lvl w:ilvl="6" w:tplc="0418000F" w:tentative="1">
      <w:start w:val="1"/>
      <w:numFmt w:val="decimal"/>
      <w:lvlText w:val="%7."/>
      <w:lvlJc w:val="left"/>
      <w:pPr>
        <w:ind w:left="6117" w:hanging="360"/>
      </w:pPr>
      <w:rPr>
        <w:rFonts w:cs="Times New Roman"/>
      </w:rPr>
    </w:lvl>
    <w:lvl w:ilvl="7" w:tplc="04180019" w:tentative="1">
      <w:start w:val="1"/>
      <w:numFmt w:val="lowerLetter"/>
      <w:lvlText w:val="%8."/>
      <w:lvlJc w:val="left"/>
      <w:pPr>
        <w:ind w:left="6837" w:hanging="360"/>
      </w:pPr>
      <w:rPr>
        <w:rFonts w:cs="Times New Roman"/>
      </w:rPr>
    </w:lvl>
    <w:lvl w:ilvl="8" w:tplc="0418001B" w:tentative="1">
      <w:start w:val="1"/>
      <w:numFmt w:val="lowerRoman"/>
      <w:lvlText w:val="%9."/>
      <w:lvlJc w:val="right"/>
      <w:pPr>
        <w:ind w:left="7557" w:hanging="180"/>
      </w:pPr>
      <w:rPr>
        <w:rFonts w:cs="Times New Roman"/>
      </w:rPr>
    </w:lvl>
  </w:abstractNum>
  <w:abstractNum w:abstractNumId="8">
    <w:nsid w:val="0D692694"/>
    <w:multiLevelType w:val="hybridMultilevel"/>
    <w:tmpl w:val="6C90736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16C197D"/>
    <w:multiLevelType w:val="hybridMultilevel"/>
    <w:tmpl w:val="8BCCB350"/>
    <w:lvl w:ilvl="0" w:tplc="04180001">
      <w:start w:val="1"/>
      <w:numFmt w:val="bullet"/>
      <w:lvlText w:val=""/>
      <w:lvlJc w:val="left"/>
      <w:pPr>
        <w:ind w:left="1080" w:hanging="360"/>
      </w:pPr>
      <w:rPr>
        <w:rFonts w:ascii="Symbol" w:hAnsi="Symbol" w:hint="default"/>
      </w:rPr>
    </w:lvl>
    <w:lvl w:ilvl="1" w:tplc="04180003">
      <w:start w:val="1"/>
      <w:numFmt w:val="bullet"/>
      <w:lvlText w:val="o"/>
      <w:lvlJc w:val="left"/>
      <w:pPr>
        <w:ind w:left="1800" w:hanging="360"/>
      </w:pPr>
      <w:rPr>
        <w:rFonts w:ascii="Courier New" w:hAnsi="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nsid w:val="11E51F68"/>
    <w:multiLevelType w:val="hybridMultilevel"/>
    <w:tmpl w:val="0394C3B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7">
      <w:start w:val="1"/>
      <w:numFmt w:val="lowerLetter"/>
      <w:lvlText w:val="%3)"/>
      <w:lvlJc w:val="lef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17833C43"/>
    <w:multiLevelType w:val="hybridMultilevel"/>
    <w:tmpl w:val="4B4E6D2C"/>
    <w:lvl w:ilvl="0" w:tplc="04180017">
      <w:start w:val="1"/>
      <w:numFmt w:val="lowerLetter"/>
      <w:lvlText w:val="%1)"/>
      <w:lvlJc w:val="left"/>
      <w:pPr>
        <w:ind w:left="1080" w:hanging="360"/>
      </w:pPr>
      <w:rPr>
        <w:rFonts w:cs="Times New Roman" w:hint="default"/>
      </w:rPr>
    </w:lvl>
    <w:lvl w:ilvl="1" w:tplc="04180003">
      <w:start w:val="1"/>
      <w:numFmt w:val="bullet"/>
      <w:lvlText w:val="o"/>
      <w:lvlJc w:val="left"/>
      <w:pPr>
        <w:ind w:left="1800" w:hanging="360"/>
      </w:pPr>
      <w:rPr>
        <w:rFonts w:ascii="Courier New" w:hAnsi="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nsid w:val="1A0C6E73"/>
    <w:multiLevelType w:val="hybridMultilevel"/>
    <w:tmpl w:val="439E678C"/>
    <w:lvl w:ilvl="0" w:tplc="04180017">
      <w:start w:val="1"/>
      <w:numFmt w:val="lowerLetter"/>
      <w:lvlText w:val="%1)"/>
      <w:lvlJc w:val="left"/>
      <w:pPr>
        <w:tabs>
          <w:tab w:val="num" w:pos="720"/>
        </w:tabs>
        <w:ind w:left="720" w:hanging="360"/>
      </w:pPr>
      <w:rPr>
        <w:rFonts w:cs="Times New Roman" w:hint="default"/>
      </w:rPr>
    </w:lvl>
    <w:lvl w:ilvl="1" w:tplc="99C47036">
      <w:start w:val="1"/>
      <w:numFmt w:val="bullet"/>
      <w:lvlText w:val="-"/>
      <w:lvlJc w:val="left"/>
      <w:pPr>
        <w:tabs>
          <w:tab w:val="num" w:pos="1440"/>
        </w:tabs>
        <w:ind w:left="1440" w:hanging="360"/>
      </w:pPr>
      <w:rPr>
        <w:rFonts w:ascii="Calibri" w:hAnsi="Calibri" w:hint="default"/>
      </w:rPr>
    </w:lvl>
    <w:lvl w:ilvl="2" w:tplc="23AE5112">
      <w:start w:val="1"/>
      <w:numFmt w:val="bullet"/>
      <w:lvlText w:val="-"/>
      <w:lvlJc w:val="left"/>
      <w:pPr>
        <w:tabs>
          <w:tab w:val="num" w:pos="2160"/>
        </w:tabs>
        <w:ind w:left="2160" w:hanging="360"/>
      </w:pPr>
      <w:rPr>
        <w:rFonts w:ascii="Calibri" w:hAnsi="Calibri" w:hint="default"/>
      </w:rPr>
    </w:lvl>
    <w:lvl w:ilvl="3" w:tplc="BA20DF94">
      <w:start w:val="1"/>
      <w:numFmt w:val="bullet"/>
      <w:lvlText w:val="-"/>
      <w:lvlJc w:val="left"/>
      <w:pPr>
        <w:tabs>
          <w:tab w:val="num" w:pos="2880"/>
        </w:tabs>
        <w:ind w:left="2880" w:hanging="360"/>
      </w:pPr>
      <w:rPr>
        <w:rFonts w:ascii="Calibri" w:hAnsi="Calibri" w:hint="default"/>
      </w:rPr>
    </w:lvl>
    <w:lvl w:ilvl="4" w:tplc="B5DC470A">
      <w:start w:val="1"/>
      <w:numFmt w:val="bullet"/>
      <w:lvlText w:val="-"/>
      <w:lvlJc w:val="left"/>
      <w:pPr>
        <w:tabs>
          <w:tab w:val="num" w:pos="3600"/>
        </w:tabs>
        <w:ind w:left="3600" w:hanging="360"/>
      </w:pPr>
      <w:rPr>
        <w:rFonts w:ascii="Calibri" w:hAnsi="Calibri" w:hint="default"/>
      </w:rPr>
    </w:lvl>
    <w:lvl w:ilvl="5" w:tplc="B7F47FAE">
      <w:start w:val="1"/>
      <w:numFmt w:val="bullet"/>
      <w:lvlText w:val="-"/>
      <w:lvlJc w:val="left"/>
      <w:pPr>
        <w:tabs>
          <w:tab w:val="num" w:pos="4320"/>
        </w:tabs>
        <w:ind w:left="4320" w:hanging="360"/>
      </w:pPr>
      <w:rPr>
        <w:rFonts w:ascii="Calibri" w:hAnsi="Calibri" w:hint="default"/>
      </w:rPr>
    </w:lvl>
    <w:lvl w:ilvl="6" w:tplc="B9C2EB42">
      <w:start w:val="1"/>
      <w:numFmt w:val="bullet"/>
      <w:lvlText w:val="-"/>
      <w:lvlJc w:val="left"/>
      <w:pPr>
        <w:tabs>
          <w:tab w:val="num" w:pos="5040"/>
        </w:tabs>
        <w:ind w:left="5040" w:hanging="360"/>
      </w:pPr>
      <w:rPr>
        <w:rFonts w:ascii="Calibri" w:hAnsi="Calibri" w:hint="default"/>
      </w:rPr>
    </w:lvl>
    <w:lvl w:ilvl="7" w:tplc="D75A2D38">
      <w:start w:val="1"/>
      <w:numFmt w:val="bullet"/>
      <w:lvlText w:val="-"/>
      <w:lvlJc w:val="left"/>
      <w:pPr>
        <w:tabs>
          <w:tab w:val="num" w:pos="5760"/>
        </w:tabs>
        <w:ind w:left="5760" w:hanging="360"/>
      </w:pPr>
      <w:rPr>
        <w:rFonts w:ascii="Calibri" w:hAnsi="Calibri" w:hint="default"/>
      </w:rPr>
    </w:lvl>
    <w:lvl w:ilvl="8" w:tplc="1A4A0686">
      <w:start w:val="1"/>
      <w:numFmt w:val="bullet"/>
      <w:lvlText w:val="-"/>
      <w:lvlJc w:val="left"/>
      <w:pPr>
        <w:tabs>
          <w:tab w:val="num" w:pos="6480"/>
        </w:tabs>
        <w:ind w:left="6480" w:hanging="360"/>
      </w:pPr>
      <w:rPr>
        <w:rFonts w:ascii="Calibri" w:hAnsi="Calibri" w:hint="default"/>
      </w:rPr>
    </w:lvl>
  </w:abstractNum>
  <w:abstractNum w:abstractNumId="13">
    <w:nsid w:val="1DE76D14"/>
    <w:multiLevelType w:val="hybridMultilevel"/>
    <w:tmpl w:val="BB5C44A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CA32FDD"/>
    <w:multiLevelType w:val="hybridMultilevel"/>
    <w:tmpl w:val="D6A62B78"/>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15">
    <w:nsid w:val="34AF6511"/>
    <w:multiLevelType w:val="hybridMultilevel"/>
    <w:tmpl w:val="4B4E6D2C"/>
    <w:lvl w:ilvl="0" w:tplc="04180017">
      <w:start w:val="1"/>
      <w:numFmt w:val="lowerLetter"/>
      <w:lvlText w:val="%1)"/>
      <w:lvlJc w:val="left"/>
      <w:pPr>
        <w:ind w:left="1080" w:hanging="360"/>
      </w:pPr>
      <w:rPr>
        <w:rFonts w:cs="Times New Roman" w:hint="default"/>
      </w:rPr>
    </w:lvl>
    <w:lvl w:ilvl="1" w:tplc="04180003">
      <w:start w:val="1"/>
      <w:numFmt w:val="bullet"/>
      <w:lvlText w:val="o"/>
      <w:lvlJc w:val="left"/>
      <w:pPr>
        <w:ind w:left="1800" w:hanging="360"/>
      </w:pPr>
      <w:rPr>
        <w:rFonts w:ascii="Courier New" w:hAnsi="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nsid w:val="35843F0A"/>
    <w:multiLevelType w:val="multilevel"/>
    <w:tmpl w:val="3F76134C"/>
    <w:lvl w:ilvl="0">
      <w:start w:val="1"/>
      <w:numFmt w:val="decimal"/>
      <w:lvlText w:val="Art. %1."/>
      <w:lvlJc w:val="left"/>
      <w:pPr>
        <w:tabs>
          <w:tab w:val="num" w:pos="1440"/>
        </w:tabs>
      </w:pPr>
      <w:rPr>
        <w:rFonts w:ascii="Times New Roman" w:hAnsi="Times New Roman" w:cs="Times New Roman" w:hint="default"/>
        <w:b w:val="0"/>
        <w:i w:val="0"/>
        <w:strike w:val="0"/>
        <w:sz w:val="24"/>
        <w:szCs w:val="24"/>
      </w:rPr>
    </w:lvl>
    <w:lvl w:ilvl="1">
      <w:start w:val="1"/>
      <w:numFmt w:val="decimalZero"/>
      <w:isLgl/>
      <w:lvlText w:val="Secţiune %1.%2"/>
      <w:lvlJc w:val="left"/>
      <w:pPr>
        <w:tabs>
          <w:tab w:val="num" w:pos="1440"/>
        </w:tabs>
      </w:pPr>
      <w:rPr>
        <w:rFonts w:cs="Times New Roman" w:hint="default"/>
      </w:rPr>
    </w:lvl>
    <w:lvl w:ilvl="2">
      <w:start w:val="1"/>
      <w:numFmt w:val="lowerLetter"/>
      <w:lvlText w:val="(%3)"/>
      <w:lvlJc w:val="left"/>
      <w:pPr>
        <w:tabs>
          <w:tab w:val="num" w:pos="720"/>
        </w:tabs>
        <w:ind w:left="720" w:hanging="432"/>
      </w:pPr>
      <w:rPr>
        <w:rFonts w:cs="Times New Roman" w:hint="default"/>
      </w:rPr>
    </w:lvl>
    <w:lvl w:ilvl="3">
      <w:start w:val="1"/>
      <w:numFmt w:val="lowerRoman"/>
      <w:lvlText w:val="(%4)"/>
      <w:lvlJc w:val="right"/>
      <w:pPr>
        <w:tabs>
          <w:tab w:val="num" w:pos="864"/>
        </w:tabs>
        <w:ind w:left="864" w:hanging="144"/>
      </w:pPr>
      <w:rPr>
        <w:rFonts w:cs="Times New Roman" w:hint="default"/>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strike w:val="0"/>
      </w:rPr>
    </w:lvl>
    <w:lvl w:ilvl="6">
      <w:start w:val="1"/>
      <w:numFmt w:val="lowerLetter"/>
      <w:lvlText w:val="%7)"/>
      <w:lvlJc w:val="left"/>
      <w:pPr>
        <w:tabs>
          <w:tab w:val="num" w:pos="1368"/>
        </w:tabs>
        <w:ind w:left="1368" w:hanging="360"/>
      </w:pPr>
      <w:rPr>
        <w:rFonts w:cs="Times New Roman" w:hint="default"/>
        <w:b w:val="0"/>
        <w:i w:val="0"/>
        <w:strike w:val="0"/>
        <w:sz w:val="24"/>
        <w:szCs w:val="24"/>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7">
    <w:nsid w:val="48756240"/>
    <w:multiLevelType w:val="hybridMultilevel"/>
    <w:tmpl w:val="F34EC050"/>
    <w:lvl w:ilvl="0" w:tplc="0418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7">
      <w:start w:val="1"/>
      <w:numFmt w:val="lowerLetter"/>
      <w:lvlText w:val="%3)"/>
      <w:lvlJc w:val="lef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8">
    <w:nsid w:val="4AB83BE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1.%2."/>
      <w:lvlJc w:val="left"/>
      <w:pPr>
        <w:tabs>
          <w:tab w:val="num" w:pos="1512"/>
        </w:tabs>
        <w:ind w:left="1512" w:hanging="432"/>
      </w:pPr>
      <w:rPr>
        <w:rFonts w:cs="Times New Roman"/>
      </w:rPr>
    </w:lvl>
    <w:lvl w:ilvl="2">
      <w:start w:val="1"/>
      <w:numFmt w:val="decimal"/>
      <w:lvlText w:val="%1.%2.%3."/>
      <w:lvlJc w:val="left"/>
      <w:pPr>
        <w:tabs>
          <w:tab w:val="num" w:pos="2160"/>
        </w:tabs>
        <w:ind w:left="1944" w:hanging="504"/>
      </w:pPr>
      <w:rPr>
        <w:rFonts w:cs="Times New Roman"/>
      </w:rPr>
    </w:lvl>
    <w:lvl w:ilvl="3">
      <w:start w:val="1"/>
      <w:numFmt w:val="decimal"/>
      <w:lvlText w:val="%1.%2.%3.%4."/>
      <w:lvlJc w:val="left"/>
      <w:pPr>
        <w:tabs>
          <w:tab w:val="num" w:pos="2520"/>
        </w:tabs>
        <w:ind w:left="2448" w:hanging="648"/>
      </w:pPr>
      <w:rPr>
        <w:rFonts w:cs="Times New Roman"/>
      </w:rPr>
    </w:lvl>
    <w:lvl w:ilvl="4">
      <w:start w:val="1"/>
      <w:numFmt w:val="decimal"/>
      <w:lvlText w:val="%1.%2.%3.%4.%5."/>
      <w:lvlJc w:val="left"/>
      <w:pPr>
        <w:tabs>
          <w:tab w:val="num" w:pos="3240"/>
        </w:tabs>
        <w:ind w:left="2952" w:hanging="792"/>
      </w:pPr>
      <w:rPr>
        <w:rFonts w:cs="Times New Roman"/>
      </w:rPr>
    </w:lvl>
    <w:lvl w:ilvl="5">
      <w:start w:val="1"/>
      <w:numFmt w:val="decimal"/>
      <w:lvlText w:val="%1.%2.%3.%4.%5.%6."/>
      <w:lvlJc w:val="left"/>
      <w:pPr>
        <w:tabs>
          <w:tab w:val="num" w:pos="3600"/>
        </w:tabs>
        <w:ind w:left="3456" w:hanging="936"/>
      </w:pPr>
      <w:rPr>
        <w:rFonts w:cs="Times New Roman"/>
      </w:rPr>
    </w:lvl>
    <w:lvl w:ilvl="6">
      <w:start w:val="1"/>
      <w:numFmt w:val="decimal"/>
      <w:lvlText w:val="%1.%2.%3.%4.%5.%6.%7."/>
      <w:lvlJc w:val="left"/>
      <w:pPr>
        <w:tabs>
          <w:tab w:val="num" w:pos="4320"/>
        </w:tabs>
        <w:ind w:left="3960" w:hanging="1080"/>
      </w:pPr>
      <w:rPr>
        <w:rFonts w:cs="Times New Roman"/>
      </w:rPr>
    </w:lvl>
    <w:lvl w:ilvl="7">
      <w:start w:val="1"/>
      <w:numFmt w:val="decimal"/>
      <w:lvlText w:val="%1.%2.%3.%4.%5.%6.%7.%8."/>
      <w:lvlJc w:val="left"/>
      <w:pPr>
        <w:tabs>
          <w:tab w:val="num" w:pos="4680"/>
        </w:tabs>
        <w:ind w:left="4464" w:hanging="1224"/>
      </w:pPr>
      <w:rPr>
        <w:rFonts w:cs="Times New Roman"/>
      </w:rPr>
    </w:lvl>
    <w:lvl w:ilvl="8">
      <w:start w:val="1"/>
      <w:numFmt w:val="decimal"/>
      <w:lvlText w:val="%1.%2.%3.%4.%5.%6.%7.%8.%9."/>
      <w:lvlJc w:val="left"/>
      <w:pPr>
        <w:tabs>
          <w:tab w:val="num" w:pos="5400"/>
        </w:tabs>
        <w:ind w:left="5040" w:hanging="1440"/>
      </w:pPr>
      <w:rPr>
        <w:rFonts w:cs="Times New Roman"/>
      </w:rPr>
    </w:lvl>
  </w:abstractNum>
  <w:abstractNum w:abstractNumId="19">
    <w:nsid w:val="4BA12083"/>
    <w:multiLevelType w:val="hybridMultilevel"/>
    <w:tmpl w:val="E6281EE8"/>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4E666B1C"/>
    <w:multiLevelType w:val="hybridMultilevel"/>
    <w:tmpl w:val="DD08F696"/>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1">
    <w:nsid w:val="4FD02397"/>
    <w:multiLevelType w:val="hybridMultilevel"/>
    <w:tmpl w:val="B26C7CC8"/>
    <w:lvl w:ilvl="0" w:tplc="015464A2">
      <w:start w:val="2"/>
      <w:numFmt w:val="lowerRoman"/>
      <w:lvlText w:val="%1."/>
      <w:lvlJc w:val="left"/>
      <w:pPr>
        <w:tabs>
          <w:tab w:val="num" w:pos="2160"/>
        </w:tabs>
        <w:ind w:left="2160" w:hanging="720"/>
      </w:pPr>
      <w:rPr>
        <w:rFonts w:cs="Times New Roman" w:hint="default"/>
        <w:b w:val="0"/>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2">
    <w:nsid w:val="50075FEF"/>
    <w:multiLevelType w:val="hybridMultilevel"/>
    <w:tmpl w:val="39CA8BA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0A1688F"/>
    <w:multiLevelType w:val="hybridMultilevel"/>
    <w:tmpl w:val="64825896"/>
    <w:lvl w:ilvl="0" w:tplc="04090001">
      <w:start w:val="4"/>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2957A7"/>
    <w:multiLevelType w:val="multilevel"/>
    <w:tmpl w:val="EE54C0E0"/>
    <w:lvl w:ilvl="0">
      <w:start w:val="5"/>
      <w:numFmt w:val="decimal"/>
      <w:lvlText w:val="%1."/>
      <w:lvlJc w:val="left"/>
      <w:pPr>
        <w:tabs>
          <w:tab w:val="num" w:pos="661"/>
        </w:tabs>
        <w:ind w:left="661" w:hanging="360"/>
      </w:pPr>
      <w:rPr>
        <w:rFonts w:cs="Times New Roman" w:hint="default"/>
      </w:rPr>
    </w:lvl>
    <w:lvl w:ilvl="1">
      <w:start w:val="1"/>
      <w:numFmt w:val="decimal"/>
      <w:lvlText w:val="%1.%2."/>
      <w:lvlJc w:val="left"/>
      <w:pPr>
        <w:tabs>
          <w:tab w:val="num" w:pos="1093"/>
        </w:tabs>
        <w:ind w:left="1093" w:hanging="432"/>
      </w:pPr>
      <w:rPr>
        <w:rFonts w:cs="Times New Roman" w:hint="default"/>
      </w:rPr>
    </w:lvl>
    <w:lvl w:ilvl="2">
      <w:start w:val="1"/>
      <w:numFmt w:val="decimal"/>
      <w:lvlText w:val="%1.%2.%3"/>
      <w:lvlJc w:val="left"/>
      <w:pPr>
        <w:tabs>
          <w:tab w:val="num" w:pos="284"/>
        </w:tabs>
        <w:ind w:left="1021" w:hanging="1021"/>
      </w:pPr>
      <w:rPr>
        <w:rFonts w:cs="Times New Roman" w:hint="default"/>
      </w:rPr>
    </w:lvl>
    <w:lvl w:ilvl="3">
      <w:start w:val="1"/>
      <w:numFmt w:val="decimal"/>
      <w:pStyle w:val="Heading4"/>
      <w:lvlText w:val="%1.%2.%3.%4."/>
      <w:lvlJc w:val="left"/>
      <w:pPr>
        <w:tabs>
          <w:tab w:val="num" w:pos="2101"/>
        </w:tabs>
        <w:ind w:left="2029" w:hanging="648"/>
      </w:pPr>
      <w:rPr>
        <w:rFonts w:cs="Times New Roman" w:hint="default"/>
      </w:rPr>
    </w:lvl>
    <w:lvl w:ilvl="4">
      <w:start w:val="1"/>
      <w:numFmt w:val="decimal"/>
      <w:lvlText w:val="%1.%2.%3.%4.%5."/>
      <w:lvlJc w:val="left"/>
      <w:pPr>
        <w:tabs>
          <w:tab w:val="num" w:pos="2821"/>
        </w:tabs>
        <w:ind w:left="2533" w:hanging="792"/>
      </w:pPr>
      <w:rPr>
        <w:rFonts w:cs="Times New Roman" w:hint="default"/>
      </w:rPr>
    </w:lvl>
    <w:lvl w:ilvl="5">
      <w:start w:val="1"/>
      <w:numFmt w:val="decimal"/>
      <w:lvlText w:val="%1.%2.%3.%4.%5.%6."/>
      <w:lvlJc w:val="left"/>
      <w:pPr>
        <w:tabs>
          <w:tab w:val="num" w:pos="3181"/>
        </w:tabs>
        <w:ind w:left="3037" w:hanging="936"/>
      </w:pPr>
      <w:rPr>
        <w:rFonts w:cs="Times New Roman" w:hint="default"/>
      </w:rPr>
    </w:lvl>
    <w:lvl w:ilvl="6">
      <w:start w:val="1"/>
      <w:numFmt w:val="decimal"/>
      <w:lvlText w:val="%1.%2.%3.%4.%5.%6.%7."/>
      <w:lvlJc w:val="left"/>
      <w:pPr>
        <w:tabs>
          <w:tab w:val="num" w:pos="3901"/>
        </w:tabs>
        <w:ind w:left="3541" w:hanging="1080"/>
      </w:pPr>
      <w:rPr>
        <w:rFonts w:cs="Times New Roman" w:hint="default"/>
      </w:rPr>
    </w:lvl>
    <w:lvl w:ilvl="7">
      <w:start w:val="1"/>
      <w:numFmt w:val="decimal"/>
      <w:lvlText w:val="%1.%2.%3.%4.%5.%6.%7.%8."/>
      <w:lvlJc w:val="left"/>
      <w:pPr>
        <w:tabs>
          <w:tab w:val="num" w:pos="4261"/>
        </w:tabs>
        <w:ind w:left="4045" w:hanging="1224"/>
      </w:pPr>
      <w:rPr>
        <w:rFonts w:cs="Times New Roman" w:hint="default"/>
      </w:rPr>
    </w:lvl>
    <w:lvl w:ilvl="8">
      <w:start w:val="1"/>
      <w:numFmt w:val="decimal"/>
      <w:lvlText w:val="%1.%2.%3.%4.%5.%6.%7.%8.%9."/>
      <w:lvlJc w:val="left"/>
      <w:pPr>
        <w:tabs>
          <w:tab w:val="num" w:pos="4981"/>
        </w:tabs>
        <w:ind w:left="4621" w:hanging="1440"/>
      </w:pPr>
      <w:rPr>
        <w:rFonts w:cs="Times New Roman" w:hint="default"/>
      </w:rPr>
    </w:lvl>
  </w:abstractNum>
  <w:abstractNum w:abstractNumId="25">
    <w:nsid w:val="537C102D"/>
    <w:multiLevelType w:val="hybridMultilevel"/>
    <w:tmpl w:val="9D2C4606"/>
    <w:lvl w:ilvl="0" w:tplc="0418001B">
      <w:start w:val="1"/>
      <w:numFmt w:val="lowerRoman"/>
      <w:lvlText w:val="%1."/>
      <w:lvlJc w:val="right"/>
      <w:pPr>
        <w:ind w:left="4500" w:hanging="360"/>
      </w:pPr>
      <w:rPr>
        <w:rFonts w:cs="Times New Roman"/>
      </w:rPr>
    </w:lvl>
    <w:lvl w:ilvl="1" w:tplc="04180019" w:tentative="1">
      <w:start w:val="1"/>
      <w:numFmt w:val="lowerLetter"/>
      <w:lvlText w:val="%2."/>
      <w:lvlJc w:val="left"/>
      <w:pPr>
        <w:ind w:left="5220" w:hanging="360"/>
      </w:pPr>
      <w:rPr>
        <w:rFonts w:cs="Times New Roman"/>
      </w:rPr>
    </w:lvl>
    <w:lvl w:ilvl="2" w:tplc="0418001B" w:tentative="1">
      <w:start w:val="1"/>
      <w:numFmt w:val="lowerRoman"/>
      <w:lvlText w:val="%3."/>
      <w:lvlJc w:val="right"/>
      <w:pPr>
        <w:ind w:left="5940" w:hanging="180"/>
      </w:pPr>
      <w:rPr>
        <w:rFonts w:cs="Times New Roman"/>
      </w:rPr>
    </w:lvl>
    <w:lvl w:ilvl="3" w:tplc="0418000F" w:tentative="1">
      <w:start w:val="1"/>
      <w:numFmt w:val="decimal"/>
      <w:lvlText w:val="%4."/>
      <w:lvlJc w:val="left"/>
      <w:pPr>
        <w:ind w:left="6660" w:hanging="360"/>
      </w:pPr>
      <w:rPr>
        <w:rFonts w:cs="Times New Roman"/>
      </w:rPr>
    </w:lvl>
    <w:lvl w:ilvl="4" w:tplc="04180019" w:tentative="1">
      <w:start w:val="1"/>
      <w:numFmt w:val="lowerLetter"/>
      <w:lvlText w:val="%5."/>
      <w:lvlJc w:val="left"/>
      <w:pPr>
        <w:ind w:left="7380" w:hanging="360"/>
      </w:pPr>
      <w:rPr>
        <w:rFonts w:cs="Times New Roman"/>
      </w:rPr>
    </w:lvl>
    <w:lvl w:ilvl="5" w:tplc="0418001B" w:tentative="1">
      <w:start w:val="1"/>
      <w:numFmt w:val="lowerRoman"/>
      <w:lvlText w:val="%6."/>
      <w:lvlJc w:val="right"/>
      <w:pPr>
        <w:ind w:left="8100" w:hanging="180"/>
      </w:pPr>
      <w:rPr>
        <w:rFonts w:cs="Times New Roman"/>
      </w:rPr>
    </w:lvl>
    <w:lvl w:ilvl="6" w:tplc="0418000F" w:tentative="1">
      <w:start w:val="1"/>
      <w:numFmt w:val="decimal"/>
      <w:lvlText w:val="%7."/>
      <w:lvlJc w:val="left"/>
      <w:pPr>
        <w:ind w:left="8820" w:hanging="360"/>
      </w:pPr>
      <w:rPr>
        <w:rFonts w:cs="Times New Roman"/>
      </w:rPr>
    </w:lvl>
    <w:lvl w:ilvl="7" w:tplc="04180019" w:tentative="1">
      <w:start w:val="1"/>
      <w:numFmt w:val="lowerLetter"/>
      <w:lvlText w:val="%8."/>
      <w:lvlJc w:val="left"/>
      <w:pPr>
        <w:ind w:left="9540" w:hanging="360"/>
      </w:pPr>
      <w:rPr>
        <w:rFonts w:cs="Times New Roman"/>
      </w:rPr>
    </w:lvl>
    <w:lvl w:ilvl="8" w:tplc="0418001B" w:tentative="1">
      <w:start w:val="1"/>
      <w:numFmt w:val="lowerRoman"/>
      <w:lvlText w:val="%9."/>
      <w:lvlJc w:val="right"/>
      <w:pPr>
        <w:ind w:left="10260" w:hanging="180"/>
      </w:pPr>
      <w:rPr>
        <w:rFonts w:cs="Times New Roman"/>
      </w:rPr>
    </w:lvl>
  </w:abstractNum>
  <w:abstractNum w:abstractNumId="26">
    <w:nsid w:val="5B1210D1"/>
    <w:multiLevelType w:val="hybridMultilevel"/>
    <w:tmpl w:val="93CC8234"/>
    <w:lvl w:ilvl="0" w:tplc="0418001B">
      <w:start w:val="1"/>
      <w:numFmt w:val="lowerRoman"/>
      <w:lvlText w:val="%1."/>
      <w:lvlJc w:val="right"/>
      <w:pPr>
        <w:ind w:left="2880" w:hanging="360"/>
      </w:pPr>
      <w:rPr>
        <w:rFonts w:cs="Times New Roman"/>
      </w:rPr>
    </w:lvl>
    <w:lvl w:ilvl="1" w:tplc="9A4CCC94">
      <w:start w:val="1"/>
      <w:numFmt w:val="lowerLetter"/>
      <w:lvlText w:val="%2)"/>
      <w:lvlJc w:val="left"/>
      <w:pPr>
        <w:ind w:left="3600" w:hanging="360"/>
      </w:pPr>
      <w:rPr>
        <w:rFonts w:cs="Times New Roman" w:hint="default"/>
      </w:rPr>
    </w:lvl>
    <w:lvl w:ilvl="2" w:tplc="0418001B">
      <w:start w:val="1"/>
      <w:numFmt w:val="lowerRoman"/>
      <w:lvlText w:val="%3."/>
      <w:lvlJc w:val="right"/>
      <w:pPr>
        <w:ind w:left="4320" w:hanging="180"/>
      </w:pPr>
      <w:rPr>
        <w:rFonts w:cs="Times New Roman"/>
      </w:rPr>
    </w:lvl>
    <w:lvl w:ilvl="3" w:tplc="0418000F" w:tentative="1">
      <w:start w:val="1"/>
      <w:numFmt w:val="decimal"/>
      <w:lvlText w:val="%4."/>
      <w:lvlJc w:val="left"/>
      <w:pPr>
        <w:ind w:left="5040" w:hanging="360"/>
      </w:pPr>
      <w:rPr>
        <w:rFonts w:cs="Times New Roman"/>
      </w:rPr>
    </w:lvl>
    <w:lvl w:ilvl="4" w:tplc="04180019" w:tentative="1">
      <w:start w:val="1"/>
      <w:numFmt w:val="lowerLetter"/>
      <w:lvlText w:val="%5."/>
      <w:lvlJc w:val="left"/>
      <w:pPr>
        <w:ind w:left="5760" w:hanging="360"/>
      </w:pPr>
      <w:rPr>
        <w:rFonts w:cs="Times New Roman"/>
      </w:rPr>
    </w:lvl>
    <w:lvl w:ilvl="5" w:tplc="0418001B" w:tentative="1">
      <w:start w:val="1"/>
      <w:numFmt w:val="lowerRoman"/>
      <w:lvlText w:val="%6."/>
      <w:lvlJc w:val="right"/>
      <w:pPr>
        <w:ind w:left="6480" w:hanging="180"/>
      </w:pPr>
      <w:rPr>
        <w:rFonts w:cs="Times New Roman"/>
      </w:rPr>
    </w:lvl>
    <w:lvl w:ilvl="6" w:tplc="0418000F" w:tentative="1">
      <w:start w:val="1"/>
      <w:numFmt w:val="decimal"/>
      <w:lvlText w:val="%7."/>
      <w:lvlJc w:val="left"/>
      <w:pPr>
        <w:ind w:left="7200" w:hanging="360"/>
      </w:pPr>
      <w:rPr>
        <w:rFonts w:cs="Times New Roman"/>
      </w:rPr>
    </w:lvl>
    <w:lvl w:ilvl="7" w:tplc="04180019" w:tentative="1">
      <w:start w:val="1"/>
      <w:numFmt w:val="lowerLetter"/>
      <w:lvlText w:val="%8."/>
      <w:lvlJc w:val="left"/>
      <w:pPr>
        <w:ind w:left="7920" w:hanging="360"/>
      </w:pPr>
      <w:rPr>
        <w:rFonts w:cs="Times New Roman"/>
      </w:rPr>
    </w:lvl>
    <w:lvl w:ilvl="8" w:tplc="0418001B" w:tentative="1">
      <w:start w:val="1"/>
      <w:numFmt w:val="lowerRoman"/>
      <w:lvlText w:val="%9."/>
      <w:lvlJc w:val="right"/>
      <w:pPr>
        <w:ind w:left="8640" w:hanging="180"/>
      </w:pPr>
      <w:rPr>
        <w:rFonts w:cs="Times New Roman"/>
      </w:rPr>
    </w:lvl>
  </w:abstractNum>
  <w:abstractNum w:abstractNumId="27">
    <w:nsid w:val="5C4A572C"/>
    <w:multiLevelType w:val="hybridMultilevel"/>
    <w:tmpl w:val="E5A6A622"/>
    <w:lvl w:ilvl="0" w:tplc="FB662D68">
      <w:start w:val="1"/>
      <w:numFmt w:val="decimal"/>
      <w:pStyle w:val="Heading2"/>
      <w:lvlText w:val="Secțiunea 1.%1."/>
      <w:lvlJc w:val="left"/>
      <w:pPr>
        <w:ind w:left="1440" w:hanging="360"/>
      </w:pPr>
      <w:rPr>
        <w:rFonts w:cs="Times New Roman" w:hint="default"/>
        <w:b/>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8">
    <w:nsid w:val="5F627AF2"/>
    <w:multiLevelType w:val="hybridMultilevel"/>
    <w:tmpl w:val="D4A076BC"/>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68356D"/>
    <w:multiLevelType w:val="multilevel"/>
    <w:tmpl w:val="6E2AAE30"/>
    <w:lvl w:ilvl="0">
      <w:start w:val="1"/>
      <w:numFmt w:val="decimal"/>
      <w:pStyle w:val="Header"/>
      <w:lvlText w:val="%1."/>
      <w:lvlJc w:val="left"/>
      <w:pPr>
        <w:tabs>
          <w:tab w:val="num" w:pos="720"/>
        </w:tabs>
        <w:ind w:left="720" w:hanging="360"/>
      </w:pPr>
      <w:rPr>
        <w:rFonts w:cs="Times New Roman" w:hint="default"/>
      </w:rPr>
    </w:lvl>
    <w:lvl w:ilvl="1">
      <w:start w:val="1"/>
      <w:numFmt w:val="decimal"/>
      <w:lvlText w:val="%1.%2. "/>
      <w:lvlJc w:val="left"/>
      <w:pPr>
        <w:tabs>
          <w:tab w:val="num" w:pos="1152"/>
        </w:tabs>
        <w:ind w:left="1152" w:hanging="432"/>
      </w:pPr>
      <w:rPr>
        <w:rFonts w:cs="Times New Roman" w:hint="default"/>
      </w:rPr>
    </w:lvl>
    <w:lvl w:ilvl="2">
      <w:start w:val="1"/>
      <w:numFmt w:val="decimal"/>
      <w:lvlText w:val="%2%1..%3."/>
      <w:lvlJc w:val="left"/>
      <w:pPr>
        <w:tabs>
          <w:tab w:val="num" w:pos="1584"/>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0">
    <w:nsid w:val="65443A1C"/>
    <w:multiLevelType w:val="hybridMultilevel"/>
    <w:tmpl w:val="83B2BA66"/>
    <w:lvl w:ilvl="0" w:tplc="2BD26394">
      <w:start w:val="1"/>
      <w:numFmt w:val="decimal"/>
      <w:lvlText w:val="Art.%1."/>
      <w:lvlJc w:val="left"/>
      <w:pPr>
        <w:ind w:left="720" w:hanging="360"/>
      </w:pPr>
      <w:rPr>
        <w:rFonts w:cs="Times New Roman" w:hint="default"/>
        <w:b/>
      </w:rPr>
    </w:lvl>
    <w:lvl w:ilvl="1" w:tplc="04180017">
      <w:start w:val="1"/>
      <w:numFmt w:val="lowerLetter"/>
      <w:lvlText w:val="%2)"/>
      <w:lvlJc w:val="left"/>
      <w:pPr>
        <w:ind w:left="1440" w:hanging="360"/>
      </w:pPr>
      <w:rPr>
        <w:rFonts w:cs="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76D1717"/>
    <w:multiLevelType w:val="hybridMultilevel"/>
    <w:tmpl w:val="22B03706"/>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2">
    <w:nsid w:val="67822AA9"/>
    <w:multiLevelType w:val="hybridMultilevel"/>
    <w:tmpl w:val="FD2C0E8A"/>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lvl>
    <w:lvl w:ilvl="2" w:tplc="0418001B">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ADA0E21"/>
    <w:multiLevelType w:val="hybridMultilevel"/>
    <w:tmpl w:val="96E2CAE8"/>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4">
    <w:nsid w:val="6AFD3DF4"/>
    <w:multiLevelType w:val="hybridMultilevel"/>
    <w:tmpl w:val="D74C1600"/>
    <w:lvl w:ilvl="0" w:tplc="04180017">
      <w:start w:val="1"/>
      <w:numFmt w:val="lowerLetter"/>
      <w:lvlText w:val="%1)"/>
      <w:lvlJc w:val="left"/>
      <w:pPr>
        <w:ind w:left="2148" w:hanging="360"/>
      </w:pPr>
    </w:lvl>
    <w:lvl w:ilvl="1" w:tplc="04180019" w:tentative="1">
      <w:start w:val="1"/>
      <w:numFmt w:val="lowerLetter"/>
      <w:lvlText w:val="%2."/>
      <w:lvlJc w:val="left"/>
      <w:pPr>
        <w:ind w:left="2868" w:hanging="360"/>
      </w:pPr>
    </w:lvl>
    <w:lvl w:ilvl="2" w:tplc="04180017">
      <w:start w:val="1"/>
      <w:numFmt w:val="lowerLetter"/>
      <w:lvlText w:val="%3)"/>
      <w:lvlJc w:val="left"/>
      <w:pPr>
        <w:ind w:left="3588" w:hanging="180"/>
      </w:pPr>
    </w:lvl>
    <w:lvl w:ilvl="3" w:tplc="0418000F" w:tentative="1">
      <w:start w:val="1"/>
      <w:numFmt w:val="decimal"/>
      <w:lvlText w:val="%4."/>
      <w:lvlJc w:val="left"/>
      <w:pPr>
        <w:ind w:left="4308" w:hanging="360"/>
      </w:pPr>
    </w:lvl>
    <w:lvl w:ilvl="4" w:tplc="04180019" w:tentative="1">
      <w:start w:val="1"/>
      <w:numFmt w:val="lowerLetter"/>
      <w:lvlText w:val="%5."/>
      <w:lvlJc w:val="left"/>
      <w:pPr>
        <w:ind w:left="5028" w:hanging="360"/>
      </w:pPr>
    </w:lvl>
    <w:lvl w:ilvl="5" w:tplc="0418001B" w:tentative="1">
      <w:start w:val="1"/>
      <w:numFmt w:val="lowerRoman"/>
      <w:lvlText w:val="%6."/>
      <w:lvlJc w:val="right"/>
      <w:pPr>
        <w:ind w:left="5748" w:hanging="180"/>
      </w:pPr>
    </w:lvl>
    <w:lvl w:ilvl="6" w:tplc="0418000F" w:tentative="1">
      <w:start w:val="1"/>
      <w:numFmt w:val="decimal"/>
      <w:lvlText w:val="%7."/>
      <w:lvlJc w:val="left"/>
      <w:pPr>
        <w:ind w:left="6468" w:hanging="360"/>
      </w:pPr>
    </w:lvl>
    <w:lvl w:ilvl="7" w:tplc="04180019" w:tentative="1">
      <w:start w:val="1"/>
      <w:numFmt w:val="lowerLetter"/>
      <w:lvlText w:val="%8."/>
      <w:lvlJc w:val="left"/>
      <w:pPr>
        <w:ind w:left="7188" w:hanging="360"/>
      </w:pPr>
    </w:lvl>
    <w:lvl w:ilvl="8" w:tplc="0418001B" w:tentative="1">
      <w:start w:val="1"/>
      <w:numFmt w:val="lowerRoman"/>
      <w:lvlText w:val="%9."/>
      <w:lvlJc w:val="right"/>
      <w:pPr>
        <w:ind w:left="7908" w:hanging="180"/>
      </w:pPr>
    </w:lvl>
  </w:abstractNum>
  <w:abstractNum w:abstractNumId="35">
    <w:nsid w:val="6CAF3B93"/>
    <w:multiLevelType w:val="hybridMultilevel"/>
    <w:tmpl w:val="EBB643A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nsid w:val="701D4558"/>
    <w:multiLevelType w:val="hybridMultilevel"/>
    <w:tmpl w:val="2AC29C4A"/>
    <w:lvl w:ilvl="0" w:tplc="04180017">
      <w:start w:val="1"/>
      <w:numFmt w:val="lowerLetter"/>
      <w:lvlText w:val="%1)"/>
      <w:lvlJc w:val="left"/>
      <w:pPr>
        <w:ind w:left="2148" w:hanging="360"/>
      </w:pPr>
    </w:lvl>
    <w:lvl w:ilvl="1" w:tplc="04180019" w:tentative="1">
      <w:start w:val="1"/>
      <w:numFmt w:val="lowerLetter"/>
      <w:lvlText w:val="%2."/>
      <w:lvlJc w:val="left"/>
      <w:pPr>
        <w:ind w:left="2868" w:hanging="360"/>
      </w:pPr>
    </w:lvl>
    <w:lvl w:ilvl="2" w:tplc="0418001B">
      <w:start w:val="1"/>
      <w:numFmt w:val="lowerRoman"/>
      <w:lvlText w:val="%3."/>
      <w:lvlJc w:val="right"/>
      <w:pPr>
        <w:ind w:left="3588" w:hanging="180"/>
      </w:pPr>
    </w:lvl>
    <w:lvl w:ilvl="3" w:tplc="0418000F" w:tentative="1">
      <w:start w:val="1"/>
      <w:numFmt w:val="decimal"/>
      <w:lvlText w:val="%4."/>
      <w:lvlJc w:val="left"/>
      <w:pPr>
        <w:ind w:left="4308" w:hanging="360"/>
      </w:pPr>
    </w:lvl>
    <w:lvl w:ilvl="4" w:tplc="04180019" w:tentative="1">
      <w:start w:val="1"/>
      <w:numFmt w:val="lowerLetter"/>
      <w:lvlText w:val="%5."/>
      <w:lvlJc w:val="left"/>
      <w:pPr>
        <w:ind w:left="5028" w:hanging="360"/>
      </w:pPr>
    </w:lvl>
    <w:lvl w:ilvl="5" w:tplc="0418001B" w:tentative="1">
      <w:start w:val="1"/>
      <w:numFmt w:val="lowerRoman"/>
      <w:lvlText w:val="%6."/>
      <w:lvlJc w:val="right"/>
      <w:pPr>
        <w:ind w:left="5748" w:hanging="180"/>
      </w:pPr>
    </w:lvl>
    <w:lvl w:ilvl="6" w:tplc="0418000F" w:tentative="1">
      <w:start w:val="1"/>
      <w:numFmt w:val="decimal"/>
      <w:lvlText w:val="%7."/>
      <w:lvlJc w:val="left"/>
      <w:pPr>
        <w:ind w:left="6468" w:hanging="360"/>
      </w:pPr>
    </w:lvl>
    <w:lvl w:ilvl="7" w:tplc="04180019" w:tentative="1">
      <w:start w:val="1"/>
      <w:numFmt w:val="lowerLetter"/>
      <w:lvlText w:val="%8."/>
      <w:lvlJc w:val="left"/>
      <w:pPr>
        <w:ind w:left="7188" w:hanging="360"/>
      </w:pPr>
    </w:lvl>
    <w:lvl w:ilvl="8" w:tplc="0418001B" w:tentative="1">
      <w:start w:val="1"/>
      <w:numFmt w:val="lowerRoman"/>
      <w:lvlText w:val="%9."/>
      <w:lvlJc w:val="right"/>
      <w:pPr>
        <w:ind w:left="7908" w:hanging="180"/>
      </w:pPr>
    </w:lvl>
  </w:abstractNum>
  <w:abstractNum w:abstractNumId="37">
    <w:nsid w:val="74BE7638"/>
    <w:multiLevelType w:val="hybridMultilevel"/>
    <w:tmpl w:val="DEE0FB0C"/>
    <w:lvl w:ilvl="0" w:tplc="CF627F3E">
      <w:start w:val="1"/>
      <w:numFmt w:val="decimal"/>
      <w:lvlText w:val="Secțiunea 3.%1."/>
      <w:lvlJc w:val="left"/>
      <w:pPr>
        <w:ind w:left="720" w:hanging="360"/>
      </w:pPr>
      <w:rPr>
        <w:rFonts w:cs="Times New Roman" w:hint="default"/>
      </w:rPr>
    </w:lvl>
    <w:lvl w:ilvl="1" w:tplc="04180017">
      <w:start w:val="1"/>
      <w:numFmt w:val="lowerLetter"/>
      <w:lvlText w:val="%2)"/>
      <w:lvlJc w:val="left"/>
      <w:pPr>
        <w:ind w:left="1440" w:hanging="360"/>
      </w:pPr>
      <w:rPr>
        <w:rFonts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nsid w:val="77567447"/>
    <w:multiLevelType w:val="hybridMultilevel"/>
    <w:tmpl w:val="2CC00C36"/>
    <w:lvl w:ilvl="0" w:tplc="9A4CCC94">
      <w:start w:val="1"/>
      <w:numFmt w:val="lowerLetter"/>
      <w:lvlText w:val="%1)"/>
      <w:lvlJc w:val="left"/>
      <w:pPr>
        <w:ind w:left="2160" w:hanging="360"/>
      </w:pPr>
      <w:rPr>
        <w:rFonts w:cs="Times New Roman" w:hint="default"/>
      </w:rPr>
    </w:lvl>
    <w:lvl w:ilvl="1" w:tplc="04180019" w:tentative="1">
      <w:start w:val="1"/>
      <w:numFmt w:val="lowerLetter"/>
      <w:lvlText w:val="%2."/>
      <w:lvlJc w:val="left"/>
      <w:pPr>
        <w:ind w:hanging="360"/>
      </w:pPr>
      <w:rPr>
        <w:rFonts w:cs="Times New Roman"/>
      </w:rPr>
    </w:lvl>
    <w:lvl w:ilvl="2" w:tplc="0418001B" w:tentative="1">
      <w:start w:val="1"/>
      <w:numFmt w:val="lowerRoman"/>
      <w:lvlText w:val="%3."/>
      <w:lvlJc w:val="right"/>
      <w:pPr>
        <w:ind w:left="720" w:hanging="180"/>
      </w:pPr>
      <w:rPr>
        <w:rFonts w:cs="Times New Roman"/>
      </w:rPr>
    </w:lvl>
    <w:lvl w:ilvl="3" w:tplc="0418000F" w:tentative="1">
      <w:start w:val="1"/>
      <w:numFmt w:val="decimal"/>
      <w:lvlText w:val="%4."/>
      <w:lvlJc w:val="left"/>
      <w:pPr>
        <w:ind w:left="1440" w:hanging="360"/>
      </w:pPr>
      <w:rPr>
        <w:rFonts w:cs="Times New Roman"/>
      </w:rPr>
    </w:lvl>
    <w:lvl w:ilvl="4" w:tplc="04180019" w:tentative="1">
      <w:start w:val="1"/>
      <w:numFmt w:val="lowerLetter"/>
      <w:lvlText w:val="%5."/>
      <w:lvlJc w:val="left"/>
      <w:pPr>
        <w:ind w:left="2160" w:hanging="360"/>
      </w:pPr>
      <w:rPr>
        <w:rFonts w:cs="Times New Roman"/>
      </w:rPr>
    </w:lvl>
    <w:lvl w:ilvl="5" w:tplc="0418001B" w:tentative="1">
      <w:start w:val="1"/>
      <w:numFmt w:val="lowerRoman"/>
      <w:lvlText w:val="%6."/>
      <w:lvlJc w:val="right"/>
      <w:pPr>
        <w:ind w:left="2880" w:hanging="180"/>
      </w:pPr>
      <w:rPr>
        <w:rFonts w:cs="Times New Roman"/>
      </w:rPr>
    </w:lvl>
    <w:lvl w:ilvl="6" w:tplc="0418000F" w:tentative="1">
      <w:start w:val="1"/>
      <w:numFmt w:val="decimal"/>
      <w:lvlText w:val="%7."/>
      <w:lvlJc w:val="left"/>
      <w:pPr>
        <w:ind w:left="3600" w:hanging="360"/>
      </w:pPr>
      <w:rPr>
        <w:rFonts w:cs="Times New Roman"/>
      </w:rPr>
    </w:lvl>
    <w:lvl w:ilvl="7" w:tplc="04180019" w:tentative="1">
      <w:start w:val="1"/>
      <w:numFmt w:val="lowerLetter"/>
      <w:lvlText w:val="%8."/>
      <w:lvlJc w:val="left"/>
      <w:pPr>
        <w:ind w:left="4320" w:hanging="360"/>
      </w:pPr>
      <w:rPr>
        <w:rFonts w:cs="Times New Roman"/>
      </w:rPr>
    </w:lvl>
    <w:lvl w:ilvl="8" w:tplc="0418001B" w:tentative="1">
      <w:start w:val="1"/>
      <w:numFmt w:val="lowerRoman"/>
      <w:lvlText w:val="%9."/>
      <w:lvlJc w:val="right"/>
      <w:pPr>
        <w:ind w:left="5040" w:hanging="180"/>
      </w:pPr>
      <w:rPr>
        <w:rFonts w:cs="Times New Roman"/>
      </w:rPr>
    </w:lvl>
  </w:abstractNum>
  <w:abstractNum w:abstractNumId="39">
    <w:nsid w:val="787C09B3"/>
    <w:multiLevelType w:val="hybridMultilevel"/>
    <w:tmpl w:val="BB9E1E38"/>
    <w:lvl w:ilvl="0" w:tplc="6CBA9CFC">
      <w:start w:val="1"/>
      <w:numFmt w:val="decimal"/>
      <w:lvlText w:val="Secțiunea 2.%1."/>
      <w:lvlJc w:val="left"/>
      <w:pPr>
        <w:ind w:left="1440" w:hanging="360"/>
      </w:pPr>
      <w:rPr>
        <w:rFonts w:cs="Times New Roman" w:hint="default"/>
      </w:rPr>
    </w:lvl>
    <w:lvl w:ilvl="1" w:tplc="AD6C81CC">
      <w:start w:val="1"/>
      <w:numFmt w:val="lowerLetter"/>
      <w:lvlText w:val="%2)"/>
      <w:lvlJc w:val="left"/>
      <w:pPr>
        <w:ind w:left="2520" w:hanging="720"/>
      </w:pPr>
      <w:rPr>
        <w:rFonts w:cs="Times New Roman" w:hint="default"/>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40">
    <w:nsid w:val="79517374"/>
    <w:multiLevelType w:val="hybridMultilevel"/>
    <w:tmpl w:val="E98C4542"/>
    <w:lvl w:ilvl="0" w:tplc="0418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41">
    <w:nsid w:val="7CF211BB"/>
    <w:multiLevelType w:val="singleLevel"/>
    <w:tmpl w:val="60CE45BC"/>
    <w:lvl w:ilvl="0">
      <w:start w:val="1"/>
      <w:numFmt w:val="decimal"/>
      <w:lvlText w:val="Art. %1."/>
      <w:lvlJc w:val="left"/>
      <w:pPr>
        <w:tabs>
          <w:tab w:val="num" w:pos="576"/>
        </w:tabs>
        <w:ind w:left="567" w:hanging="567"/>
      </w:pPr>
      <w:rPr>
        <w:rFonts w:ascii="Times New Roman" w:eastAsia="@SimSun" w:hAnsi="Times New Roman" w:cs="Times New Roman" w:hint="default"/>
        <w:b/>
        <w:bCs/>
        <w:i w:val="0"/>
        <w:iCs w:val="0"/>
        <w:color w:val="auto"/>
        <w:sz w:val="24"/>
        <w:szCs w:val="24"/>
      </w:rPr>
    </w:lvl>
  </w:abstractNum>
  <w:abstractNum w:abstractNumId="42">
    <w:nsid w:val="7D5A3C4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1.%2."/>
      <w:lvlJc w:val="left"/>
      <w:pPr>
        <w:tabs>
          <w:tab w:val="num" w:pos="1512"/>
        </w:tabs>
        <w:ind w:left="1512" w:hanging="432"/>
      </w:pPr>
      <w:rPr>
        <w:rFonts w:cs="Times New Roman"/>
      </w:rPr>
    </w:lvl>
    <w:lvl w:ilvl="2">
      <w:start w:val="1"/>
      <w:numFmt w:val="decimal"/>
      <w:lvlText w:val="%1.%2.%3."/>
      <w:lvlJc w:val="left"/>
      <w:pPr>
        <w:tabs>
          <w:tab w:val="num" w:pos="2160"/>
        </w:tabs>
        <w:ind w:left="1944" w:hanging="504"/>
      </w:pPr>
      <w:rPr>
        <w:rFonts w:cs="Times New Roman"/>
      </w:rPr>
    </w:lvl>
    <w:lvl w:ilvl="3">
      <w:start w:val="1"/>
      <w:numFmt w:val="decimal"/>
      <w:lvlText w:val="%1.%2.%3.%4."/>
      <w:lvlJc w:val="left"/>
      <w:pPr>
        <w:tabs>
          <w:tab w:val="num" w:pos="2520"/>
        </w:tabs>
        <w:ind w:left="2448" w:hanging="648"/>
      </w:pPr>
      <w:rPr>
        <w:rFonts w:cs="Times New Roman"/>
      </w:rPr>
    </w:lvl>
    <w:lvl w:ilvl="4">
      <w:start w:val="1"/>
      <w:numFmt w:val="decimal"/>
      <w:lvlText w:val="%1.%2.%3.%4.%5."/>
      <w:lvlJc w:val="left"/>
      <w:pPr>
        <w:tabs>
          <w:tab w:val="num" w:pos="3240"/>
        </w:tabs>
        <w:ind w:left="2952" w:hanging="792"/>
      </w:pPr>
      <w:rPr>
        <w:rFonts w:cs="Times New Roman"/>
      </w:rPr>
    </w:lvl>
    <w:lvl w:ilvl="5">
      <w:start w:val="1"/>
      <w:numFmt w:val="decimal"/>
      <w:lvlText w:val="%1.%2.%3.%4.%5.%6."/>
      <w:lvlJc w:val="left"/>
      <w:pPr>
        <w:tabs>
          <w:tab w:val="num" w:pos="3600"/>
        </w:tabs>
        <w:ind w:left="3456" w:hanging="936"/>
      </w:pPr>
      <w:rPr>
        <w:rFonts w:cs="Times New Roman"/>
      </w:rPr>
    </w:lvl>
    <w:lvl w:ilvl="6">
      <w:start w:val="1"/>
      <w:numFmt w:val="decimal"/>
      <w:lvlText w:val="%1.%2.%3.%4.%5.%6.%7."/>
      <w:lvlJc w:val="left"/>
      <w:pPr>
        <w:tabs>
          <w:tab w:val="num" w:pos="4320"/>
        </w:tabs>
        <w:ind w:left="3960" w:hanging="1080"/>
      </w:pPr>
      <w:rPr>
        <w:rFonts w:cs="Times New Roman"/>
      </w:rPr>
    </w:lvl>
    <w:lvl w:ilvl="7">
      <w:start w:val="1"/>
      <w:numFmt w:val="decimal"/>
      <w:lvlText w:val="%1.%2.%3.%4.%5.%6.%7.%8."/>
      <w:lvlJc w:val="left"/>
      <w:pPr>
        <w:tabs>
          <w:tab w:val="num" w:pos="4680"/>
        </w:tabs>
        <w:ind w:left="4464" w:hanging="1224"/>
      </w:pPr>
      <w:rPr>
        <w:rFonts w:cs="Times New Roman"/>
      </w:rPr>
    </w:lvl>
    <w:lvl w:ilvl="8">
      <w:start w:val="1"/>
      <w:numFmt w:val="decimal"/>
      <w:lvlText w:val="%1.%2.%3.%4.%5.%6.%7.%8.%9."/>
      <w:lvlJc w:val="left"/>
      <w:pPr>
        <w:tabs>
          <w:tab w:val="num" w:pos="5400"/>
        </w:tabs>
        <w:ind w:left="5040" w:hanging="1440"/>
      </w:pPr>
      <w:rPr>
        <w:rFonts w:cs="Times New Roman"/>
      </w:rPr>
    </w:lvl>
  </w:abstractNum>
  <w:abstractNum w:abstractNumId="43">
    <w:nsid w:val="7D853549"/>
    <w:multiLevelType w:val="hybridMultilevel"/>
    <w:tmpl w:val="A64E8208"/>
    <w:lvl w:ilvl="0" w:tplc="9BBA99C2">
      <w:start w:val="1"/>
      <w:numFmt w:val="decimal"/>
      <w:pStyle w:val="Heading1"/>
      <w:lvlText w:val="Capitolul %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4">
    <w:nsid w:val="7E2F156A"/>
    <w:multiLevelType w:val="hybridMultilevel"/>
    <w:tmpl w:val="8332AC66"/>
    <w:lvl w:ilvl="0" w:tplc="04180017">
      <w:start w:val="1"/>
      <w:numFmt w:val="lowerLetter"/>
      <w:lvlText w:val="%1)"/>
      <w:lvlJc w:val="left"/>
      <w:pPr>
        <w:tabs>
          <w:tab w:val="num" w:pos="1800"/>
        </w:tabs>
        <w:ind w:left="1800" w:hanging="360"/>
      </w:pPr>
      <w:rPr>
        <w:rFonts w:cs="Times New Roman"/>
      </w:rPr>
    </w:lvl>
    <w:lvl w:ilvl="1" w:tplc="04180019">
      <w:start w:val="1"/>
      <w:numFmt w:val="lowerLetter"/>
      <w:lvlText w:val="%2."/>
      <w:lvlJc w:val="left"/>
      <w:pPr>
        <w:tabs>
          <w:tab w:val="num" w:pos="2520"/>
        </w:tabs>
        <w:ind w:left="2520" w:hanging="360"/>
      </w:pPr>
      <w:rPr>
        <w:rFonts w:cs="Times New Roman"/>
      </w:rPr>
    </w:lvl>
    <w:lvl w:ilvl="2" w:tplc="0418001B">
      <w:start w:val="1"/>
      <w:numFmt w:val="lowerRoman"/>
      <w:lvlText w:val="%3."/>
      <w:lvlJc w:val="right"/>
      <w:pPr>
        <w:tabs>
          <w:tab w:val="num" w:pos="3240"/>
        </w:tabs>
        <w:ind w:left="3240" w:hanging="180"/>
      </w:pPr>
      <w:rPr>
        <w:rFonts w:cs="Times New Roman"/>
      </w:rPr>
    </w:lvl>
    <w:lvl w:ilvl="3" w:tplc="0418000F">
      <w:start w:val="1"/>
      <w:numFmt w:val="decimal"/>
      <w:lvlText w:val="%4."/>
      <w:lvlJc w:val="left"/>
      <w:pPr>
        <w:tabs>
          <w:tab w:val="num" w:pos="3960"/>
        </w:tabs>
        <w:ind w:left="3960" w:hanging="360"/>
      </w:pPr>
      <w:rPr>
        <w:rFonts w:cs="Times New Roman"/>
      </w:rPr>
    </w:lvl>
    <w:lvl w:ilvl="4" w:tplc="04180019">
      <w:start w:val="1"/>
      <w:numFmt w:val="lowerLetter"/>
      <w:lvlText w:val="%5."/>
      <w:lvlJc w:val="left"/>
      <w:pPr>
        <w:tabs>
          <w:tab w:val="num" w:pos="4680"/>
        </w:tabs>
        <w:ind w:left="4680" w:hanging="360"/>
      </w:pPr>
      <w:rPr>
        <w:rFonts w:cs="Times New Roman"/>
      </w:rPr>
    </w:lvl>
    <w:lvl w:ilvl="5" w:tplc="0418001B">
      <w:start w:val="1"/>
      <w:numFmt w:val="lowerRoman"/>
      <w:lvlText w:val="%6."/>
      <w:lvlJc w:val="right"/>
      <w:pPr>
        <w:tabs>
          <w:tab w:val="num" w:pos="5400"/>
        </w:tabs>
        <w:ind w:left="5400" w:hanging="180"/>
      </w:pPr>
      <w:rPr>
        <w:rFonts w:cs="Times New Roman"/>
      </w:rPr>
    </w:lvl>
    <w:lvl w:ilvl="6" w:tplc="0418000F">
      <w:start w:val="1"/>
      <w:numFmt w:val="decimal"/>
      <w:lvlText w:val="%7."/>
      <w:lvlJc w:val="left"/>
      <w:pPr>
        <w:tabs>
          <w:tab w:val="num" w:pos="6120"/>
        </w:tabs>
        <w:ind w:left="6120" w:hanging="360"/>
      </w:pPr>
      <w:rPr>
        <w:rFonts w:cs="Times New Roman"/>
      </w:rPr>
    </w:lvl>
    <w:lvl w:ilvl="7" w:tplc="04180019">
      <w:start w:val="1"/>
      <w:numFmt w:val="lowerLetter"/>
      <w:lvlText w:val="%8."/>
      <w:lvlJc w:val="left"/>
      <w:pPr>
        <w:tabs>
          <w:tab w:val="num" w:pos="6840"/>
        </w:tabs>
        <w:ind w:left="6840" w:hanging="360"/>
      </w:pPr>
      <w:rPr>
        <w:rFonts w:cs="Times New Roman"/>
      </w:rPr>
    </w:lvl>
    <w:lvl w:ilvl="8" w:tplc="0418001B">
      <w:start w:val="1"/>
      <w:numFmt w:val="lowerRoman"/>
      <w:lvlText w:val="%9."/>
      <w:lvlJc w:val="right"/>
      <w:pPr>
        <w:tabs>
          <w:tab w:val="num" w:pos="7560"/>
        </w:tabs>
        <w:ind w:left="7560" w:hanging="180"/>
      </w:pPr>
      <w:rPr>
        <w:rFonts w:cs="Times New Roman"/>
      </w:rPr>
    </w:lvl>
  </w:abstractNum>
  <w:abstractNum w:abstractNumId="45">
    <w:nsid w:val="7EEC0269"/>
    <w:multiLevelType w:val="hybridMultilevel"/>
    <w:tmpl w:val="6706C1DA"/>
    <w:lvl w:ilvl="0" w:tplc="F202C988">
      <w:start w:val="1"/>
      <w:numFmt w:val="lowerRoman"/>
      <w:lvlText w:val="%1."/>
      <w:lvlJc w:val="left"/>
      <w:pPr>
        <w:tabs>
          <w:tab w:val="num" w:pos="2160"/>
        </w:tabs>
        <w:ind w:left="2160" w:hanging="720"/>
      </w:pPr>
      <w:rPr>
        <w:rFonts w:cs="Times New Roman" w:hint="default"/>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29"/>
  </w:num>
  <w:num w:numId="2">
    <w:abstractNumId w:val="24"/>
  </w:num>
  <w:num w:numId="3">
    <w:abstractNumId w:val="1"/>
  </w:num>
  <w:num w:numId="4">
    <w:abstractNumId w:val="8"/>
  </w:num>
  <w:num w:numId="5">
    <w:abstractNumId w:val="23"/>
  </w:num>
  <w:num w:numId="6">
    <w:abstractNumId w:val="15"/>
  </w:num>
  <w:num w:numId="7">
    <w:abstractNumId w:val="21"/>
  </w:num>
  <w:num w:numId="8">
    <w:abstractNumId w:val="9"/>
  </w:num>
  <w:num w:numId="9">
    <w:abstractNumId w:val="19"/>
  </w:num>
  <w:num w:numId="10">
    <w:abstractNumId w:val="43"/>
  </w:num>
  <w:num w:numId="11">
    <w:abstractNumId w:val="37"/>
  </w:num>
  <w:num w:numId="12">
    <w:abstractNumId w:val="39"/>
  </w:num>
  <w:num w:numId="13">
    <w:abstractNumId w:val="27"/>
  </w:num>
  <w:num w:numId="14">
    <w:abstractNumId w:val="41"/>
  </w:num>
  <w:num w:numId="15">
    <w:abstractNumId w:val="33"/>
  </w:num>
  <w:num w:numId="16">
    <w:abstractNumId w:val="7"/>
  </w:num>
  <w:num w:numId="17">
    <w:abstractNumId w:val="2"/>
  </w:num>
  <w:num w:numId="18">
    <w:abstractNumId w:val="26"/>
  </w:num>
  <w:num w:numId="19">
    <w:abstractNumId w:val="25"/>
  </w:num>
  <w:num w:numId="20">
    <w:abstractNumId w:val="45"/>
  </w:num>
  <w:num w:numId="21">
    <w:abstractNumId w:val="38"/>
  </w:num>
  <w:num w:numId="22">
    <w:abstractNumId w:val="11"/>
  </w:num>
  <w:num w:numId="23">
    <w:abstractNumId w:val="32"/>
  </w:num>
  <w:num w:numId="24">
    <w:abstractNumId w:val="30"/>
  </w:num>
  <w:num w:numId="25">
    <w:abstractNumId w:val="12"/>
  </w:num>
  <w:num w:numId="26">
    <w:abstractNumId w:val="16"/>
  </w:num>
  <w:num w:numId="27">
    <w:abstractNumId w:val="42"/>
  </w:num>
  <w:num w:numId="28">
    <w:abstractNumId w:val="31"/>
  </w:num>
  <w:num w:numId="29">
    <w:abstractNumId w:val="18"/>
  </w:num>
  <w:num w:numId="30">
    <w:abstractNumId w:val="14"/>
  </w:num>
  <w:num w:numId="31">
    <w:abstractNumId w:val="36"/>
  </w:num>
  <w:num w:numId="32">
    <w:abstractNumId w:val="34"/>
  </w:num>
  <w:num w:numId="33">
    <w:abstractNumId w:val="6"/>
  </w:num>
  <w:num w:numId="34">
    <w:abstractNumId w:val="22"/>
  </w:num>
  <w:num w:numId="35">
    <w:abstractNumId w:val="40"/>
  </w:num>
  <w:num w:numId="36">
    <w:abstractNumId w:val="17"/>
  </w:num>
  <w:num w:numId="37">
    <w:abstractNumId w:val="10"/>
  </w:num>
  <w:num w:numId="38">
    <w:abstractNumId w:val="0"/>
  </w:num>
  <w:num w:numId="39">
    <w:abstractNumId w:val="5"/>
  </w:num>
  <w:num w:numId="40">
    <w:abstractNumId w:val="3"/>
  </w:num>
  <w:num w:numId="41">
    <w:abstractNumId w:val="44"/>
  </w:num>
  <w:num w:numId="42">
    <w:abstractNumId w:val="13"/>
  </w:num>
  <w:num w:numId="43">
    <w:abstractNumId w:val="28"/>
  </w:num>
  <w:num w:numId="44">
    <w:abstractNumId w:val="4"/>
  </w:num>
  <w:num w:numId="45">
    <w:abstractNumId w:val="35"/>
  </w:num>
  <w:num w:numId="46">
    <w:abstractNumId w:val="43"/>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E83"/>
    <w:rsid w:val="00006705"/>
    <w:rsid w:val="001259E4"/>
    <w:rsid w:val="0019363D"/>
    <w:rsid w:val="0019747C"/>
    <w:rsid w:val="001E680E"/>
    <w:rsid w:val="002104C3"/>
    <w:rsid w:val="00213598"/>
    <w:rsid w:val="00230F5A"/>
    <w:rsid w:val="00253CA6"/>
    <w:rsid w:val="003028BF"/>
    <w:rsid w:val="0030567D"/>
    <w:rsid w:val="004021C4"/>
    <w:rsid w:val="0041527C"/>
    <w:rsid w:val="00417D66"/>
    <w:rsid w:val="0048080B"/>
    <w:rsid w:val="00496985"/>
    <w:rsid w:val="004F0272"/>
    <w:rsid w:val="004F096F"/>
    <w:rsid w:val="00515A29"/>
    <w:rsid w:val="00531509"/>
    <w:rsid w:val="00536BA0"/>
    <w:rsid w:val="005E057C"/>
    <w:rsid w:val="005E4FBA"/>
    <w:rsid w:val="005E73A2"/>
    <w:rsid w:val="00626ACE"/>
    <w:rsid w:val="00655FDA"/>
    <w:rsid w:val="00656BBE"/>
    <w:rsid w:val="006C54E8"/>
    <w:rsid w:val="006E3604"/>
    <w:rsid w:val="006E4E83"/>
    <w:rsid w:val="007028DF"/>
    <w:rsid w:val="00716DC9"/>
    <w:rsid w:val="007445B6"/>
    <w:rsid w:val="00791C93"/>
    <w:rsid w:val="007E6B51"/>
    <w:rsid w:val="0083470F"/>
    <w:rsid w:val="00845D87"/>
    <w:rsid w:val="00895963"/>
    <w:rsid w:val="00897DF5"/>
    <w:rsid w:val="008D6309"/>
    <w:rsid w:val="00903A67"/>
    <w:rsid w:val="00966C7F"/>
    <w:rsid w:val="009D117A"/>
    <w:rsid w:val="00A2723E"/>
    <w:rsid w:val="00A31056"/>
    <w:rsid w:val="00A45903"/>
    <w:rsid w:val="00A932C8"/>
    <w:rsid w:val="00AB70F1"/>
    <w:rsid w:val="00B3348B"/>
    <w:rsid w:val="00B95AAF"/>
    <w:rsid w:val="00BD1CF8"/>
    <w:rsid w:val="00C01FFF"/>
    <w:rsid w:val="00CD29D5"/>
    <w:rsid w:val="00E04577"/>
    <w:rsid w:val="00EB20CC"/>
    <w:rsid w:val="00EF0630"/>
    <w:rsid w:val="00F24E4F"/>
    <w:rsid w:val="00F54140"/>
    <w:rsid w:val="00F57798"/>
    <w:rsid w:val="00FA6EF5"/>
    <w:rsid w:val="00FD2110"/>
    <w:rsid w:val="00FF43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AE78F-D910-4CBD-8337-2F7678D3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9"/>
    <w:qFormat/>
    <w:rsid w:val="006E4E83"/>
    <w:pPr>
      <w:widowControl w:val="0"/>
      <w:numPr>
        <w:numId w:val="10"/>
      </w:numPr>
      <w:spacing w:before="120" w:after="120" w:line="360" w:lineRule="auto"/>
      <w:jc w:val="center"/>
      <w:outlineLvl w:val="0"/>
    </w:pPr>
    <w:rPr>
      <w:rFonts w:ascii="Times New Roman" w:eastAsia="Times New Roman" w:hAnsi="Times New Roman" w:cs="Times New Roman"/>
      <w:b/>
      <w:bCs/>
      <w:kern w:val="32"/>
      <w:sz w:val="24"/>
      <w:szCs w:val="24"/>
      <w:lang w:val="en-US"/>
    </w:rPr>
  </w:style>
  <w:style w:type="paragraph" w:styleId="Heading2">
    <w:name w:val="heading 2"/>
    <w:basedOn w:val="Normal"/>
    <w:next w:val="Normal"/>
    <w:link w:val="Heading2Char"/>
    <w:autoRedefine/>
    <w:uiPriority w:val="99"/>
    <w:qFormat/>
    <w:rsid w:val="00655FDA"/>
    <w:pPr>
      <w:widowControl w:val="0"/>
      <w:numPr>
        <w:numId w:val="13"/>
      </w:numPr>
      <w:spacing w:after="120" w:line="360" w:lineRule="auto"/>
      <w:ind w:left="0" w:firstLine="0"/>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autoRedefine/>
    <w:uiPriority w:val="99"/>
    <w:qFormat/>
    <w:rsid w:val="006E4E83"/>
    <w:pPr>
      <w:widowControl w:val="0"/>
      <w:spacing w:before="120" w:after="120" w:line="360" w:lineRule="auto"/>
      <w:jc w:val="both"/>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9"/>
    <w:qFormat/>
    <w:rsid w:val="006E4E83"/>
    <w:pPr>
      <w:keepNext/>
      <w:numPr>
        <w:ilvl w:val="3"/>
        <w:numId w:val="2"/>
      </w:numPr>
      <w:spacing w:before="240" w:after="60" w:line="240" w:lineRule="auto"/>
      <w:outlineLvl w:val="3"/>
    </w:pPr>
    <w:rPr>
      <w:rFonts w:ascii="Calibri" w:eastAsia="Times New Roman" w:hAnsi="Calibri" w:cs="Times New Roman"/>
      <w:b/>
      <w:bCs/>
      <w:sz w:val="28"/>
      <w:szCs w:val="28"/>
      <w:lang w:val="en-US"/>
    </w:rPr>
  </w:style>
  <w:style w:type="paragraph" w:styleId="Heading5">
    <w:name w:val="heading 5"/>
    <w:basedOn w:val="Normal"/>
    <w:next w:val="Normal"/>
    <w:link w:val="Heading5Char"/>
    <w:uiPriority w:val="99"/>
    <w:qFormat/>
    <w:rsid w:val="006E4E83"/>
    <w:pPr>
      <w:spacing w:before="240" w:after="60" w:line="240" w:lineRule="auto"/>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qFormat/>
    <w:rsid w:val="006E4E83"/>
    <w:pPr>
      <w:spacing w:before="240" w:after="60" w:line="360" w:lineRule="auto"/>
      <w:outlineLvl w:val="5"/>
    </w:pPr>
    <w:rPr>
      <w:rFonts w:ascii="Calibri" w:eastAsia="Times New Roman" w:hAnsi="Calibri" w:cs="Times New Roman"/>
      <w:b/>
      <w:bCs/>
      <w:sz w:val="20"/>
      <w:szCs w:val="20"/>
    </w:rPr>
  </w:style>
  <w:style w:type="paragraph" w:styleId="Heading7">
    <w:name w:val="heading 7"/>
    <w:basedOn w:val="Normal"/>
    <w:next w:val="Normal"/>
    <w:link w:val="Heading7Char"/>
    <w:uiPriority w:val="99"/>
    <w:qFormat/>
    <w:rsid w:val="006E4E83"/>
    <w:p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9"/>
    <w:qFormat/>
    <w:rsid w:val="006E4E83"/>
    <w:pPr>
      <w:spacing w:before="240" w:after="60" w:line="240"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9"/>
    <w:qFormat/>
    <w:rsid w:val="006E4E83"/>
    <w:pPr>
      <w:keepNext/>
      <w:spacing w:after="0" w:line="240" w:lineRule="auto"/>
      <w:ind w:left="4320"/>
      <w:jc w:val="both"/>
      <w:outlineLvl w:val="8"/>
    </w:pPr>
    <w:rPr>
      <w:rFonts w:ascii="Cambria" w:eastAsia="Times New Roman" w:hAnsi="Cambri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4E83"/>
    <w:rPr>
      <w:rFonts w:ascii="Times New Roman" w:eastAsia="Times New Roman" w:hAnsi="Times New Roman" w:cs="Times New Roman"/>
      <w:b/>
      <w:bCs/>
      <w:kern w:val="32"/>
      <w:sz w:val="24"/>
      <w:szCs w:val="24"/>
      <w:lang w:val="en-US"/>
    </w:rPr>
  </w:style>
  <w:style w:type="character" w:customStyle="1" w:styleId="Heading2Char">
    <w:name w:val="Heading 2 Char"/>
    <w:basedOn w:val="DefaultParagraphFont"/>
    <w:link w:val="Heading2"/>
    <w:uiPriority w:val="99"/>
    <w:rsid w:val="00655FDA"/>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6E4E83"/>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rsid w:val="006E4E83"/>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9"/>
    <w:rsid w:val="006E4E83"/>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6E4E83"/>
    <w:rPr>
      <w:rFonts w:ascii="Calibri" w:eastAsia="Times New Roman" w:hAnsi="Calibri" w:cs="Times New Roman"/>
      <w:b/>
      <w:bCs/>
      <w:sz w:val="20"/>
      <w:szCs w:val="20"/>
    </w:rPr>
  </w:style>
  <w:style w:type="character" w:customStyle="1" w:styleId="Heading7Char">
    <w:name w:val="Heading 7 Char"/>
    <w:basedOn w:val="DefaultParagraphFont"/>
    <w:link w:val="Heading7"/>
    <w:uiPriority w:val="99"/>
    <w:rsid w:val="006E4E83"/>
    <w:rPr>
      <w:rFonts w:ascii="Calibri" w:eastAsia="Times New Roman" w:hAnsi="Calibri" w:cs="Times New Roman"/>
      <w:sz w:val="24"/>
      <w:szCs w:val="24"/>
    </w:rPr>
  </w:style>
  <w:style w:type="character" w:customStyle="1" w:styleId="Heading8Char">
    <w:name w:val="Heading 8 Char"/>
    <w:basedOn w:val="DefaultParagraphFont"/>
    <w:link w:val="Heading8"/>
    <w:uiPriority w:val="99"/>
    <w:rsid w:val="006E4E83"/>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6E4E83"/>
    <w:rPr>
      <w:rFonts w:ascii="Cambria" w:eastAsia="Times New Roman" w:hAnsi="Cambria" w:cs="Times New Roman"/>
      <w:sz w:val="20"/>
      <w:szCs w:val="20"/>
    </w:rPr>
  </w:style>
  <w:style w:type="numbering" w:customStyle="1" w:styleId="NoList1">
    <w:name w:val="No List1"/>
    <w:next w:val="NoList"/>
    <w:uiPriority w:val="99"/>
    <w:semiHidden/>
    <w:unhideWhenUsed/>
    <w:rsid w:val="006E4E83"/>
  </w:style>
  <w:style w:type="paragraph" w:styleId="BodyText">
    <w:name w:val="Body Text"/>
    <w:basedOn w:val="Normal"/>
    <w:link w:val="BodyTextChar"/>
    <w:uiPriority w:val="99"/>
    <w:rsid w:val="006E4E83"/>
    <w:pPr>
      <w:spacing w:before="240" w:after="0" w:line="360" w:lineRule="auto"/>
      <w:jc w:val="center"/>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6E4E83"/>
    <w:rPr>
      <w:rFonts w:ascii="Times New Roman" w:eastAsia="Times New Roman" w:hAnsi="Times New Roman" w:cs="Times New Roman"/>
      <w:sz w:val="24"/>
      <w:szCs w:val="24"/>
    </w:rPr>
  </w:style>
  <w:style w:type="paragraph" w:styleId="Header">
    <w:name w:val="header"/>
    <w:basedOn w:val="Normal"/>
    <w:link w:val="HeaderChar"/>
    <w:autoRedefine/>
    <w:uiPriority w:val="99"/>
    <w:rsid w:val="006E4E83"/>
    <w:pPr>
      <w:numPr>
        <w:numId w:val="1"/>
      </w:numPr>
      <w:tabs>
        <w:tab w:val="left" w:pos="851"/>
        <w:tab w:val="center" w:pos="4320"/>
        <w:tab w:val="left" w:pos="5954"/>
        <w:tab w:val="right" w:pos="8640"/>
      </w:tabs>
      <w:spacing w:before="120" w:after="0" w:line="340" w:lineRule="exact"/>
      <w:jc w:val="both"/>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6E4E83"/>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semiHidden/>
    <w:rsid w:val="006E4E83"/>
    <w:rPr>
      <w:rFonts w:cs="Times New Roman"/>
      <w:sz w:val="22"/>
      <w:vertAlign w:val="superscript"/>
    </w:rPr>
  </w:style>
  <w:style w:type="paragraph" w:styleId="Footer">
    <w:name w:val="footer"/>
    <w:basedOn w:val="Normal"/>
    <w:link w:val="FooterChar"/>
    <w:uiPriority w:val="99"/>
    <w:rsid w:val="006E4E8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6E4E83"/>
    <w:rPr>
      <w:rFonts w:ascii="Times New Roman" w:eastAsia="Times New Roman" w:hAnsi="Times New Roman" w:cs="Times New Roman"/>
      <w:sz w:val="24"/>
      <w:szCs w:val="24"/>
    </w:rPr>
  </w:style>
  <w:style w:type="paragraph" w:styleId="BodyText3">
    <w:name w:val="Body Text 3"/>
    <w:basedOn w:val="Normal"/>
    <w:link w:val="BodyText3Char"/>
    <w:uiPriority w:val="99"/>
    <w:rsid w:val="006E4E83"/>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E4E83"/>
    <w:rPr>
      <w:rFonts w:ascii="Times New Roman" w:eastAsia="Times New Roman" w:hAnsi="Times New Roman" w:cs="Times New Roman"/>
      <w:sz w:val="16"/>
      <w:szCs w:val="16"/>
    </w:rPr>
  </w:style>
  <w:style w:type="character" w:styleId="PageNumber">
    <w:name w:val="page number"/>
    <w:basedOn w:val="DefaultParagraphFont"/>
    <w:uiPriority w:val="99"/>
    <w:rsid w:val="006E4E83"/>
    <w:rPr>
      <w:rFonts w:cs="Times New Roman"/>
    </w:rPr>
  </w:style>
  <w:style w:type="paragraph" w:styleId="NormalWeb">
    <w:name w:val="Normal (Web)"/>
    <w:basedOn w:val="Normal"/>
    <w:uiPriority w:val="99"/>
    <w:rsid w:val="006E4E8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Heading1Justified">
    <w:name w:val="Style Heading 1 + Justified"/>
    <w:basedOn w:val="Heading1"/>
    <w:autoRedefine/>
    <w:uiPriority w:val="99"/>
    <w:rsid w:val="006E4E83"/>
    <w:pPr>
      <w:ind w:left="360"/>
    </w:pPr>
    <w:rPr>
      <w:b w:val="0"/>
      <w:bCs w:val="0"/>
    </w:rPr>
  </w:style>
  <w:style w:type="paragraph" w:customStyle="1" w:styleId="StilTitlu3Stnga-dreapta">
    <w:name w:val="Stil Titlu 3 + Stânga-dreapta"/>
    <w:basedOn w:val="Heading3"/>
    <w:autoRedefine/>
    <w:uiPriority w:val="99"/>
    <w:rsid w:val="006E4E83"/>
  </w:style>
  <w:style w:type="paragraph" w:styleId="BodyTextIndent">
    <w:name w:val="Body Text Indent"/>
    <w:basedOn w:val="Normal"/>
    <w:link w:val="BodyTextIndentChar"/>
    <w:uiPriority w:val="99"/>
    <w:rsid w:val="006E4E83"/>
    <w:pPr>
      <w:spacing w:after="0" w:line="240" w:lineRule="auto"/>
      <w:ind w:left="720" w:firstLine="36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6E4E83"/>
    <w:rPr>
      <w:rFonts w:ascii="Times New Roman" w:eastAsia="Times New Roman" w:hAnsi="Times New Roman" w:cs="Times New Roman"/>
      <w:sz w:val="24"/>
      <w:szCs w:val="24"/>
    </w:rPr>
  </w:style>
  <w:style w:type="paragraph" w:styleId="BodyText2">
    <w:name w:val="Body Text 2"/>
    <w:basedOn w:val="Normal"/>
    <w:link w:val="BodyText2Char"/>
    <w:uiPriority w:val="99"/>
    <w:rsid w:val="006E4E83"/>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6E4E83"/>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6E4E83"/>
    <w:pPr>
      <w:spacing w:after="0" w:line="240" w:lineRule="auto"/>
      <w:ind w:left="72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6E4E8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6E4E83"/>
    <w:pPr>
      <w:spacing w:after="0" w:line="240" w:lineRule="auto"/>
    </w:pPr>
    <w:rPr>
      <w:rFonts w:ascii="Times New Roman" w:eastAsia="Times New Roman" w:hAnsi="Times New Roman" w:cs="Times New Roman"/>
      <w:sz w:val="2"/>
      <w:szCs w:val="2"/>
    </w:rPr>
  </w:style>
  <w:style w:type="character" w:customStyle="1" w:styleId="BalloonTextChar">
    <w:name w:val="Balloon Text Char"/>
    <w:basedOn w:val="DefaultParagraphFont"/>
    <w:link w:val="BalloonText"/>
    <w:uiPriority w:val="99"/>
    <w:semiHidden/>
    <w:rsid w:val="006E4E83"/>
    <w:rPr>
      <w:rFonts w:ascii="Times New Roman" w:eastAsia="Times New Roman" w:hAnsi="Times New Roman" w:cs="Times New Roman"/>
      <w:sz w:val="2"/>
      <w:szCs w:val="2"/>
    </w:rPr>
  </w:style>
  <w:style w:type="paragraph" w:styleId="BodyTextIndent3">
    <w:name w:val="Body Text Indent 3"/>
    <w:basedOn w:val="Normal"/>
    <w:link w:val="BodyTextIndent3Char"/>
    <w:uiPriority w:val="99"/>
    <w:rsid w:val="006E4E83"/>
    <w:pPr>
      <w:spacing w:after="0" w:line="240" w:lineRule="auto"/>
      <w:ind w:left="709" w:hanging="709"/>
      <w:jc w:val="both"/>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6E4E83"/>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rsid w:val="006E4E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6E4E83"/>
    <w:rPr>
      <w:rFonts w:ascii="Times New Roman" w:eastAsia="Times New Roman" w:hAnsi="Times New Roman" w:cs="Times New Roman"/>
      <w:sz w:val="20"/>
      <w:szCs w:val="20"/>
    </w:rPr>
  </w:style>
  <w:style w:type="paragraph" w:customStyle="1" w:styleId="Char">
    <w:name w:val="Char"/>
    <w:basedOn w:val="Normal"/>
    <w:uiPriority w:val="99"/>
    <w:rsid w:val="006E4E83"/>
    <w:pPr>
      <w:spacing w:after="0" w:line="240" w:lineRule="auto"/>
    </w:pPr>
    <w:rPr>
      <w:rFonts w:ascii="ArialUpR" w:eastAsia="Times New Roman" w:hAnsi="ArialUpR" w:cs="ArialUpR"/>
      <w:sz w:val="24"/>
      <w:szCs w:val="24"/>
      <w:lang w:val="pl-PL" w:eastAsia="pl-PL"/>
    </w:rPr>
  </w:style>
  <w:style w:type="paragraph" w:customStyle="1" w:styleId="Style">
    <w:name w:val="Style"/>
    <w:basedOn w:val="Normal"/>
    <w:uiPriority w:val="99"/>
    <w:rsid w:val="006E4E83"/>
    <w:pPr>
      <w:spacing w:after="0" w:line="240" w:lineRule="auto"/>
    </w:pPr>
    <w:rPr>
      <w:rFonts w:ascii="Times New Roman" w:eastAsia="Times New Roman" w:hAnsi="Times New Roman" w:cs="Times New Roman"/>
      <w:sz w:val="24"/>
      <w:szCs w:val="24"/>
      <w:lang w:val="pl-PL" w:eastAsia="pl-PL"/>
    </w:rPr>
  </w:style>
  <w:style w:type="character" w:styleId="Strong">
    <w:name w:val="Strong"/>
    <w:basedOn w:val="DefaultParagraphFont"/>
    <w:uiPriority w:val="99"/>
    <w:qFormat/>
    <w:rsid w:val="006E4E83"/>
    <w:rPr>
      <w:rFonts w:cs="Times New Roman"/>
      <w:b/>
    </w:rPr>
  </w:style>
  <w:style w:type="character" w:styleId="Emphasis">
    <w:name w:val="Emphasis"/>
    <w:basedOn w:val="DefaultParagraphFont"/>
    <w:uiPriority w:val="99"/>
    <w:qFormat/>
    <w:rsid w:val="006E4E83"/>
    <w:rPr>
      <w:rFonts w:cs="Times New Roman"/>
      <w:i/>
    </w:rPr>
  </w:style>
  <w:style w:type="paragraph" w:customStyle="1" w:styleId="CaracterCharCharCaracterCaracterCaracterCaracter">
    <w:name w:val="Caracter Char Char Caracter Caracter Caracter Caracter"/>
    <w:basedOn w:val="Normal"/>
    <w:uiPriority w:val="99"/>
    <w:rsid w:val="006E4E83"/>
    <w:pPr>
      <w:spacing w:after="0" w:line="240" w:lineRule="auto"/>
    </w:pPr>
    <w:rPr>
      <w:rFonts w:ascii="Times New Roman" w:eastAsia="Times New Roman" w:hAnsi="Times New Roman" w:cs="Times New Roman"/>
      <w:sz w:val="24"/>
      <w:szCs w:val="24"/>
      <w:lang w:val="pl-PL" w:eastAsia="pl-PL"/>
    </w:rPr>
  </w:style>
  <w:style w:type="paragraph" w:styleId="Revision">
    <w:name w:val="Revision"/>
    <w:hidden/>
    <w:uiPriority w:val="99"/>
    <w:semiHidden/>
    <w:rsid w:val="006E4E83"/>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E4E83"/>
    <w:rPr>
      <w:color w:val="808080"/>
    </w:rPr>
  </w:style>
  <w:style w:type="paragraph" w:styleId="ListParagraph">
    <w:name w:val="List Paragraph"/>
    <w:basedOn w:val="Normal"/>
    <w:uiPriority w:val="99"/>
    <w:qFormat/>
    <w:rsid w:val="006E4E83"/>
    <w:pPr>
      <w:spacing w:after="0" w:line="240" w:lineRule="auto"/>
      <w:ind w:left="720"/>
    </w:pPr>
    <w:rPr>
      <w:rFonts w:ascii="Times New Roman" w:eastAsia="Times New Roman" w:hAnsi="Times New Roman" w:cs="Times New Roman"/>
      <w:sz w:val="24"/>
      <w:szCs w:val="24"/>
    </w:rPr>
  </w:style>
  <w:style w:type="paragraph" w:customStyle="1" w:styleId="Char1">
    <w:name w:val="Char1"/>
    <w:basedOn w:val="Normal"/>
    <w:uiPriority w:val="99"/>
    <w:rsid w:val="006E4E83"/>
    <w:pPr>
      <w:spacing w:after="0" w:line="240" w:lineRule="auto"/>
    </w:pPr>
    <w:rPr>
      <w:rFonts w:ascii="Times New Roman" w:eastAsia="Times New Roman" w:hAnsi="Times New Roman" w:cs="Times New Roman"/>
      <w:sz w:val="24"/>
      <w:szCs w:val="24"/>
      <w:lang w:val="pl-PL" w:eastAsia="pl-PL"/>
    </w:rPr>
  </w:style>
  <w:style w:type="paragraph" w:customStyle="1" w:styleId="Char2">
    <w:name w:val="Char2"/>
    <w:basedOn w:val="Normal"/>
    <w:uiPriority w:val="99"/>
    <w:rsid w:val="006E4E83"/>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uiPriority w:val="99"/>
    <w:rsid w:val="006E4E83"/>
    <w:rPr>
      <w:rFonts w:cs="Times New Roman"/>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6E4E83"/>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99"/>
    <w:rsid w:val="006E4E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uiPriority w:val="99"/>
    <w:rsid w:val="006E4E83"/>
    <w:pPr>
      <w:spacing w:after="0" w:line="240" w:lineRule="auto"/>
    </w:pPr>
    <w:rPr>
      <w:rFonts w:ascii="ArialUpR" w:eastAsia="Times New Roman" w:hAnsi="ArialUpR" w:cs="Times New Roman"/>
      <w:sz w:val="24"/>
      <w:szCs w:val="20"/>
      <w:lang w:val="pl-PL" w:eastAsia="pl-PL"/>
    </w:rPr>
  </w:style>
  <w:style w:type="character" w:styleId="CommentReference">
    <w:name w:val="annotation reference"/>
    <w:basedOn w:val="DefaultParagraphFont"/>
    <w:uiPriority w:val="99"/>
    <w:semiHidden/>
    <w:unhideWhenUsed/>
    <w:rsid w:val="006E4E83"/>
    <w:rPr>
      <w:sz w:val="16"/>
      <w:szCs w:val="16"/>
    </w:rPr>
  </w:style>
  <w:style w:type="paragraph" w:styleId="CommentText">
    <w:name w:val="annotation text"/>
    <w:basedOn w:val="Normal"/>
    <w:link w:val="CommentTextChar"/>
    <w:uiPriority w:val="99"/>
    <w:semiHidden/>
    <w:unhideWhenUsed/>
    <w:rsid w:val="006E4E8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E4E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4E83"/>
    <w:rPr>
      <w:b/>
      <w:bCs/>
    </w:rPr>
  </w:style>
  <w:style w:type="character" w:customStyle="1" w:styleId="CommentSubjectChar">
    <w:name w:val="Comment Subject Char"/>
    <w:basedOn w:val="CommentTextChar"/>
    <w:link w:val="CommentSubject"/>
    <w:uiPriority w:val="99"/>
    <w:semiHidden/>
    <w:rsid w:val="006E4E8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7165</Words>
  <Characters>41558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Irina SANDULESCU</cp:lastModifiedBy>
  <cp:revision>3</cp:revision>
  <dcterms:created xsi:type="dcterms:W3CDTF">2015-02-18T14:54:00Z</dcterms:created>
  <dcterms:modified xsi:type="dcterms:W3CDTF">2015-02-18T14:55:00Z</dcterms:modified>
</cp:coreProperties>
</file>